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6.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01E1A" w14:textId="462D7570" w:rsidR="002C3359" w:rsidRPr="002C3359" w:rsidRDefault="002C3359" w:rsidP="001141BF">
      <w:pPr>
        <w:pStyle w:val="Author"/>
        <w:rPr>
          <w:rFonts w:ascii="Arial" w:hAnsi="Arial" w:cs="Arial"/>
          <w:bCs/>
          <w:iCs/>
          <w:kern w:val="28"/>
          <w:sz w:val="36"/>
        </w:rPr>
      </w:pPr>
      <w:r w:rsidRPr="002C3359">
        <w:rPr>
          <w:rFonts w:ascii="Arial" w:hAnsi="Arial" w:cs="Arial"/>
          <w:bCs/>
          <w:iCs/>
          <w:kern w:val="28"/>
          <w:sz w:val="22"/>
          <w:szCs w:val="22"/>
        </w:rPr>
        <w:t>COMPARATIVE ASSESSMENT OF GROSS ALPHA AND GROSS BETA ACTIVITY CONCENTRATIONS IN SOIL AND SEDIMENT FROM DIFFERENT OIL-SPILL ZONES IN RIVERS STATE, NIGERIA.</w:t>
      </w:r>
    </w:p>
    <w:p w14:paraId="2D253ED3" w14:textId="77777777" w:rsidR="00A258C3" w:rsidRPr="00790ADA" w:rsidRDefault="00A258C3" w:rsidP="00441B6F">
      <w:pPr>
        <w:pStyle w:val="Author"/>
        <w:spacing w:line="240" w:lineRule="auto"/>
        <w:jc w:val="both"/>
        <w:rPr>
          <w:rFonts w:ascii="Arial" w:hAnsi="Arial" w:cs="Arial"/>
          <w:sz w:val="36"/>
        </w:rPr>
      </w:pPr>
    </w:p>
    <w:p w14:paraId="13E7C270" w14:textId="7713BC33" w:rsidR="00003BA5" w:rsidRPr="00582CA2" w:rsidRDefault="00003BA5" w:rsidP="001E4574">
      <w:pPr>
        <w:pStyle w:val="Affiliation"/>
        <w:spacing w:after="0" w:line="240" w:lineRule="auto"/>
        <w:ind w:left="720"/>
        <w:jc w:val="left"/>
        <w:rPr>
          <w:rFonts w:ascii="Arial" w:hAnsi="Arial" w:cs="Arial"/>
          <w:i/>
        </w:rPr>
      </w:pPr>
    </w:p>
    <w:p w14:paraId="301420C0" w14:textId="15699D88" w:rsidR="00B01FCD" w:rsidRDefault="00780AF2" w:rsidP="00441B6F">
      <w:pPr>
        <w:pStyle w:val="Copyright"/>
        <w:spacing w:after="0" w:line="240" w:lineRule="auto"/>
        <w:jc w:val="both"/>
        <w:rPr>
          <w:rFonts w:ascii="Arial" w:hAnsi="Arial" w:cs="Arial"/>
        </w:rPr>
      </w:pPr>
      <w:r>
        <w:rPr>
          <w:rFonts w:ascii="Arial" w:hAnsi="Arial" w:cs="Arial"/>
        </w:rPr>
      </w:r>
      <w:r>
        <w:rPr>
          <w:rFonts w:ascii="Arial" w:hAnsi="Arial" w:cs="Arial"/>
        </w:rPr>
        <w:pict w14:anchorId="569E63DB">
          <v:shapetype id="_x0000_t32" coordsize="21600,21600" o:spt="32" o:oned="t" path="m,l21600,21600e" filled="f">
            <v:path arrowok="t" fillok="f" o:connecttype="none"/>
            <o:lock v:ext="edit" shapetype="t"/>
          </v:shapetype>
          <v:shape id="_x0000_s1026" type="#_x0000_t32" style="width:456.2pt;height:.05pt;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74753A66" w14:textId="2927CA94" w:rsidR="00003BA5" w:rsidRPr="00003BA5" w:rsidRDefault="001E4574" w:rsidP="00003BA5">
      <w:pPr>
        <w:pStyle w:val="Copyright"/>
        <w:spacing w:after="0" w:line="240" w:lineRule="auto"/>
        <w:rPr>
          <w:rFonts w:ascii="Arial" w:hAnsi="Arial" w:cs="Arial"/>
          <w:b/>
          <w:bCs/>
          <w:sz w:val="22"/>
          <w:szCs w:val="22"/>
        </w:rPr>
      </w:pPr>
      <w:r>
        <w:rPr>
          <w:rFonts w:ascii="Arial" w:hAnsi="Arial" w:cs="Arial"/>
          <w:b/>
          <w:bCs/>
          <w:sz w:val="22"/>
          <w:szCs w:val="22"/>
        </w:rPr>
        <w:tab/>
      </w:r>
      <w:r w:rsidR="00003BA5" w:rsidRPr="00003BA5">
        <w:rPr>
          <w:rFonts w:ascii="Arial" w:hAnsi="Arial" w:cs="Arial"/>
          <w:b/>
          <w:bCs/>
          <w:sz w:val="22"/>
          <w:szCs w:val="22"/>
        </w:rPr>
        <w:t>ABSTRACT</w:t>
      </w:r>
    </w:p>
    <w:p w14:paraId="11B9CF8C" w14:textId="77777777" w:rsidR="00003BA5" w:rsidRDefault="00003BA5" w:rsidP="00441B6F">
      <w:pPr>
        <w:pStyle w:val="Copyright"/>
        <w:spacing w:after="0" w:line="240" w:lineRule="auto"/>
        <w:jc w:val="both"/>
        <w:rPr>
          <w:rFonts w:ascii="Arial" w:hAnsi="Arial" w:cs="Arial"/>
        </w:rPr>
      </w:pPr>
    </w:p>
    <w:p w14:paraId="129A3546" w14:textId="53F28AC3" w:rsidR="00003BA5" w:rsidRPr="00FB3A86" w:rsidRDefault="00003BA5" w:rsidP="00441B6F">
      <w:pPr>
        <w:pStyle w:val="Copyright"/>
        <w:spacing w:after="0" w:line="240" w:lineRule="auto"/>
        <w:jc w:val="both"/>
        <w:rPr>
          <w:rFonts w:ascii="Arial" w:hAnsi="Arial" w:cs="Arial"/>
        </w:rPr>
        <w:sectPr w:rsidR="00003BA5" w:rsidRPr="00FB3A86" w:rsidSect="009D76C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tbl>
      <w:tblPr>
        <w:tblW w:w="8505" w:type="dxa"/>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505"/>
      </w:tblGrid>
      <w:tr w:rsidR="00296529" w:rsidRPr="007D5F15" w14:paraId="32B91754" w14:textId="77777777" w:rsidTr="00D51BE6">
        <w:tc>
          <w:tcPr>
            <w:tcW w:w="8505" w:type="dxa"/>
            <w:shd w:val="clear" w:color="auto" w:fill="F2F2F2"/>
          </w:tcPr>
          <w:p w14:paraId="59893D34" w14:textId="47B07840" w:rsidR="007D5F15" w:rsidRPr="001141BF" w:rsidRDefault="00BA1B01" w:rsidP="00441B6F">
            <w:pPr>
              <w:pStyle w:val="Body"/>
              <w:spacing w:after="0"/>
              <w:rPr>
                <w:rFonts w:ascii="Arial" w:eastAsia="Calibri" w:hAnsi="Arial" w:cs="Arial"/>
                <w:b/>
              </w:rPr>
            </w:pPr>
            <w:r w:rsidRPr="001141BF">
              <w:rPr>
                <w:rFonts w:ascii="Arial" w:eastAsia="Calibri" w:hAnsi="Arial" w:cs="Arial"/>
                <w:b/>
              </w:rPr>
              <w:t xml:space="preserve">Aims: </w:t>
            </w:r>
          </w:p>
          <w:p w14:paraId="1AC68F6F" w14:textId="5E5AB972" w:rsidR="00BA1B01" w:rsidRPr="001141BF" w:rsidRDefault="000A2AB0" w:rsidP="00441B6F">
            <w:pPr>
              <w:pStyle w:val="Body"/>
              <w:spacing w:after="0"/>
              <w:rPr>
                <w:rFonts w:ascii="Arial" w:eastAsia="Calibri" w:hAnsi="Arial" w:cs="Arial"/>
                <w:b/>
              </w:rPr>
            </w:pPr>
            <w:r w:rsidRPr="001141BF">
              <w:rPr>
                <w:rFonts w:ascii="Arial" w:eastAsia="Calibri" w:hAnsi="Arial" w:cs="Arial"/>
                <w:b/>
              </w:rPr>
              <w:t>Oil exploration and frequent spill incidents have created environmental and radiological safety concerns about the mobilization of existing naturally radionuclides in Rivers State. This study is to assess and compare gross alpha and gross beta activity concentrations in soil and sediment samples taken from different oil-spill zones in Rivers State.</w:t>
            </w:r>
          </w:p>
          <w:p w14:paraId="2A06A1AD" w14:textId="77777777" w:rsidR="007D5F15" w:rsidRPr="001141BF" w:rsidRDefault="007D5F15" w:rsidP="00441B6F">
            <w:pPr>
              <w:pStyle w:val="Body"/>
              <w:spacing w:after="0"/>
              <w:rPr>
                <w:rFonts w:ascii="Arial" w:eastAsia="Calibri" w:hAnsi="Arial" w:cs="Arial"/>
                <w:b/>
              </w:rPr>
            </w:pPr>
          </w:p>
          <w:p w14:paraId="3359D8F1" w14:textId="77777777" w:rsidR="007D5F15" w:rsidRPr="001141BF" w:rsidRDefault="00BA1B01" w:rsidP="00441B6F">
            <w:pPr>
              <w:pStyle w:val="Body"/>
              <w:spacing w:after="0"/>
              <w:rPr>
                <w:rFonts w:ascii="Arial" w:eastAsia="Calibri" w:hAnsi="Arial" w:cs="Arial"/>
                <w:b/>
              </w:rPr>
            </w:pPr>
            <w:r w:rsidRPr="001141BF">
              <w:rPr>
                <w:rFonts w:ascii="Arial" w:eastAsia="Calibri" w:hAnsi="Arial" w:cs="Arial"/>
                <w:b/>
              </w:rPr>
              <w:t xml:space="preserve">Study design: </w:t>
            </w:r>
          </w:p>
          <w:p w14:paraId="4E7959CF" w14:textId="704C1F4E" w:rsidR="00BA1B01" w:rsidRPr="001141BF" w:rsidRDefault="000F5FA3" w:rsidP="00441B6F">
            <w:pPr>
              <w:pStyle w:val="Body"/>
              <w:spacing w:after="0"/>
              <w:rPr>
                <w:rFonts w:ascii="Arial" w:eastAsiaTheme="minorHAnsi" w:hAnsi="Arial" w:cs="Arial"/>
                <w:b/>
                <w:kern w:val="2"/>
                <w14:ligatures w14:val="standardContextual"/>
              </w:rPr>
            </w:pPr>
            <w:r w:rsidRPr="001141BF">
              <w:rPr>
                <w:rFonts w:ascii="Arial" w:eastAsia="Calibri" w:hAnsi="Arial" w:cs="Arial"/>
                <w:b/>
              </w:rPr>
              <w:t xml:space="preserve">The study </w:t>
            </w:r>
            <w:r w:rsidR="009179AA" w:rsidRPr="001141BF">
              <w:rPr>
                <w:rFonts w:ascii="Arial" w:eastAsia="Calibri" w:hAnsi="Arial" w:cs="Arial"/>
                <w:b/>
              </w:rPr>
              <w:t xml:space="preserve">utilizes </w:t>
            </w:r>
            <w:r w:rsidR="009179AA" w:rsidRPr="001141BF">
              <w:rPr>
                <w:rFonts w:ascii="Arial" w:eastAsia="Calibri" w:hAnsi="Arial" w:cs="Arial"/>
                <w:b/>
                <w:iCs/>
              </w:rPr>
              <w:t>comparative design to assess and compare the concentrations of gross alpha and gross beta activity in selected environmental samples from</w:t>
            </w:r>
            <w:r w:rsidR="000A2AB0" w:rsidRPr="001141BF">
              <w:rPr>
                <w:rFonts w:ascii="Arial" w:eastAsiaTheme="minorHAnsi" w:hAnsi="Arial" w:cs="Arial"/>
                <w:b/>
                <w:kern w:val="2"/>
                <w14:ligatures w14:val="standardContextual"/>
              </w:rPr>
              <w:t xml:space="preserve"> </w:t>
            </w:r>
            <w:r w:rsidR="009179AA" w:rsidRPr="001141BF">
              <w:rPr>
                <w:rFonts w:ascii="Arial" w:eastAsiaTheme="minorHAnsi" w:hAnsi="Arial" w:cs="Arial"/>
                <w:b/>
                <w:kern w:val="2"/>
                <w14:ligatures w14:val="standardContextual"/>
              </w:rPr>
              <w:t xml:space="preserve">different oil spill zones. </w:t>
            </w:r>
          </w:p>
          <w:p w14:paraId="6241C3A2" w14:textId="77777777" w:rsidR="00933B62" w:rsidRPr="001141BF" w:rsidRDefault="00933B62" w:rsidP="00441B6F">
            <w:pPr>
              <w:pStyle w:val="Body"/>
              <w:spacing w:after="0"/>
              <w:rPr>
                <w:rFonts w:ascii="Arial" w:eastAsia="Calibri" w:hAnsi="Arial" w:cs="Arial"/>
                <w:b/>
              </w:rPr>
            </w:pPr>
          </w:p>
          <w:p w14:paraId="3D1D9550" w14:textId="77777777" w:rsidR="007D5F15" w:rsidRPr="001141BF" w:rsidRDefault="00BA1B01" w:rsidP="00441B6F">
            <w:pPr>
              <w:pStyle w:val="Body"/>
              <w:spacing w:after="0"/>
              <w:rPr>
                <w:rFonts w:ascii="Arial" w:eastAsia="Calibri" w:hAnsi="Arial" w:cs="Arial"/>
                <w:b/>
              </w:rPr>
            </w:pPr>
            <w:r w:rsidRPr="001141BF">
              <w:rPr>
                <w:rFonts w:ascii="Arial" w:eastAsia="Calibri" w:hAnsi="Arial" w:cs="Arial"/>
                <w:b/>
              </w:rPr>
              <w:t xml:space="preserve">Place and Duration of Study: </w:t>
            </w:r>
          </w:p>
          <w:p w14:paraId="207734CA" w14:textId="0A92CF0B" w:rsidR="00BA1B01" w:rsidRPr="001141BF" w:rsidRDefault="00933B62" w:rsidP="00441B6F">
            <w:pPr>
              <w:pStyle w:val="Body"/>
              <w:spacing w:after="0"/>
              <w:rPr>
                <w:rFonts w:ascii="Arial" w:eastAsiaTheme="minorHAnsi" w:hAnsi="Arial" w:cs="Arial"/>
                <w:b/>
                <w:kern w:val="2"/>
                <w14:ligatures w14:val="standardContextual"/>
              </w:rPr>
            </w:pPr>
            <w:r w:rsidRPr="001141BF">
              <w:rPr>
                <w:rFonts w:ascii="Arial" w:eastAsiaTheme="minorHAnsi" w:hAnsi="Arial" w:cs="Arial"/>
                <w:b/>
                <w:kern w:val="2"/>
                <w14:ligatures w14:val="standardContextual"/>
              </w:rPr>
              <w:t xml:space="preserve">Four crude oil spill sites were identified and sample of environmental matrices (soil and sediments samples) covers the oil spill areas in </w:t>
            </w:r>
            <w:proofErr w:type="spellStart"/>
            <w:r w:rsidRPr="001141BF">
              <w:rPr>
                <w:rFonts w:ascii="Arial" w:eastAsiaTheme="minorHAnsi" w:hAnsi="Arial" w:cs="Arial"/>
                <w:b/>
                <w:kern w:val="2"/>
                <w14:ligatures w14:val="standardContextual"/>
              </w:rPr>
              <w:t>Te</w:t>
            </w:r>
            <w:proofErr w:type="spellEnd"/>
            <w:r w:rsidRPr="001141BF">
              <w:rPr>
                <w:rFonts w:ascii="Arial" w:eastAsiaTheme="minorHAnsi" w:hAnsi="Arial" w:cs="Arial"/>
                <w:b/>
                <w:kern w:val="2"/>
                <w14:ligatures w14:val="standardContextual"/>
              </w:rPr>
              <w:t>-</w:t>
            </w:r>
            <w:proofErr w:type="spellStart"/>
            <w:r w:rsidRPr="001141BF">
              <w:rPr>
                <w:rFonts w:ascii="Arial" w:eastAsiaTheme="minorHAnsi" w:hAnsi="Arial" w:cs="Arial"/>
                <w:b/>
                <w:kern w:val="2"/>
                <w14:ligatures w14:val="standardContextual"/>
              </w:rPr>
              <w:t>oo</w:t>
            </w:r>
            <w:proofErr w:type="spellEnd"/>
            <w:r w:rsidRPr="001141BF">
              <w:rPr>
                <w:rFonts w:ascii="Arial" w:eastAsiaTheme="minorHAnsi" w:hAnsi="Arial" w:cs="Arial"/>
                <w:b/>
                <w:kern w:val="2"/>
                <w14:ligatures w14:val="standardContextual"/>
              </w:rPr>
              <w:t xml:space="preserve">-goo, </w:t>
            </w:r>
            <w:proofErr w:type="spellStart"/>
            <w:r w:rsidRPr="001141BF">
              <w:rPr>
                <w:rFonts w:ascii="Arial" w:eastAsiaTheme="minorHAnsi" w:hAnsi="Arial" w:cs="Arial"/>
                <w:b/>
                <w:kern w:val="2"/>
                <w14:ligatures w14:val="standardContextual"/>
              </w:rPr>
              <w:t>Nupene</w:t>
            </w:r>
            <w:proofErr w:type="spellEnd"/>
            <w:r w:rsidRPr="001141BF">
              <w:rPr>
                <w:rFonts w:ascii="Arial" w:eastAsiaTheme="minorHAnsi" w:hAnsi="Arial" w:cs="Arial"/>
                <w:b/>
                <w:kern w:val="2"/>
                <w14:ligatures w14:val="standardContextual"/>
              </w:rPr>
              <w:t>, Bon-</w:t>
            </w:r>
            <w:proofErr w:type="spellStart"/>
            <w:r w:rsidRPr="001141BF">
              <w:rPr>
                <w:rFonts w:ascii="Arial" w:eastAsiaTheme="minorHAnsi" w:hAnsi="Arial" w:cs="Arial"/>
                <w:b/>
                <w:kern w:val="2"/>
                <w14:ligatures w14:val="standardContextual"/>
              </w:rPr>
              <w:t>ngia</w:t>
            </w:r>
            <w:proofErr w:type="spellEnd"/>
            <w:r w:rsidRPr="001141BF">
              <w:rPr>
                <w:rFonts w:ascii="Arial" w:eastAsiaTheme="minorHAnsi" w:hAnsi="Arial" w:cs="Arial"/>
                <w:b/>
                <w:kern w:val="2"/>
                <w14:ligatures w14:val="standardContextual"/>
              </w:rPr>
              <w:t xml:space="preserve"> and Bolte-</w:t>
            </w:r>
            <w:proofErr w:type="spellStart"/>
            <w:r w:rsidRPr="001141BF">
              <w:rPr>
                <w:rFonts w:ascii="Arial" w:eastAsiaTheme="minorHAnsi" w:hAnsi="Arial" w:cs="Arial"/>
                <w:b/>
                <w:kern w:val="2"/>
                <w14:ligatures w14:val="standardContextual"/>
              </w:rPr>
              <w:t>kpan</w:t>
            </w:r>
            <w:proofErr w:type="spellEnd"/>
            <w:r w:rsidRPr="001141BF">
              <w:rPr>
                <w:rFonts w:ascii="Arial" w:eastAsiaTheme="minorHAnsi" w:hAnsi="Arial" w:cs="Arial"/>
                <w:b/>
                <w:kern w:val="2"/>
                <w14:ligatures w14:val="standardContextual"/>
              </w:rPr>
              <w:t xml:space="preserve"> in Rivers State between May 2015 to June 2018, in Rivers State, Nigeria. </w:t>
            </w:r>
          </w:p>
          <w:p w14:paraId="046D6831" w14:textId="77777777" w:rsidR="00933B62" w:rsidRPr="001141BF" w:rsidRDefault="00933B62" w:rsidP="00441B6F">
            <w:pPr>
              <w:pStyle w:val="Body"/>
              <w:spacing w:after="0"/>
              <w:rPr>
                <w:rFonts w:ascii="Arial" w:eastAsia="Calibri" w:hAnsi="Arial" w:cs="Arial"/>
                <w:b/>
              </w:rPr>
            </w:pPr>
          </w:p>
          <w:p w14:paraId="1668EA53" w14:textId="77777777" w:rsidR="007D5F15" w:rsidRPr="001141BF" w:rsidRDefault="00BA1B01" w:rsidP="00441B6F">
            <w:pPr>
              <w:pStyle w:val="Body"/>
              <w:spacing w:after="0"/>
              <w:rPr>
                <w:rFonts w:ascii="Arial" w:eastAsia="Calibri" w:hAnsi="Arial" w:cs="Arial"/>
                <w:b/>
              </w:rPr>
            </w:pPr>
            <w:r w:rsidRPr="001141BF">
              <w:rPr>
                <w:rFonts w:ascii="Arial" w:eastAsia="Calibri" w:hAnsi="Arial" w:cs="Arial"/>
                <w:b/>
              </w:rPr>
              <w:t xml:space="preserve">Methodology: </w:t>
            </w:r>
          </w:p>
          <w:p w14:paraId="28221DDC" w14:textId="30A71F4F" w:rsidR="00DD6FB2" w:rsidRPr="001141BF" w:rsidRDefault="00DD6FB2" w:rsidP="00441B6F">
            <w:pPr>
              <w:pStyle w:val="Body"/>
              <w:spacing w:after="0"/>
              <w:rPr>
                <w:rFonts w:ascii="Arial" w:eastAsia="Calibri" w:hAnsi="Arial" w:cs="Arial"/>
                <w:b/>
              </w:rPr>
            </w:pPr>
            <w:r w:rsidRPr="001141BF">
              <w:rPr>
                <w:rFonts w:ascii="Arial" w:eastAsia="Calibri" w:hAnsi="Arial" w:cs="Arial"/>
                <w:b/>
              </w:rPr>
              <w:t>Composite soil and sediment samples were obtained from multiple impacted and control sites, air-dried, homogenized, and analyzed under standard radiometric procedures using Protean Instrument Corporation (PIC) MPC 2000DP detector. Correlations were made among the variables (gross alpha and gross beta) to prove the interdependency or direct relationship in the investigated samples.</w:t>
            </w:r>
          </w:p>
          <w:p w14:paraId="234EC4EA" w14:textId="77777777" w:rsidR="00DD6FB2" w:rsidRPr="001141BF" w:rsidRDefault="00DD6FB2" w:rsidP="00441B6F">
            <w:pPr>
              <w:pStyle w:val="Body"/>
              <w:spacing w:after="0"/>
              <w:rPr>
                <w:rFonts w:ascii="Arial" w:eastAsia="Calibri" w:hAnsi="Arial" w:cs="Arial"/>
                <w:b/>
              </w:rPr>
            </w:pPr>
          </w:p>
          <w:p w14:paraId="480C89FF" w14:textId="77777777" w:rsidR="007D5F15" w:rsidRPr="001141BF" w:rsidRDefault="00BA1B01" w:rsidP="00441B6F">
            <w:pPr>
              <w:pStyle w:val="Body"/>
              <w:spacing w:after="0"/>
              <w:rPr>
                <w:rFonts w:ascii="Arial" w:eastAsiaTheme="minorHAnsi" w:hAnsi="Arial" w:cs="Arial"/>
                <w:b/>
                <w:kern w:val="2"/>
                <w14:ligatures w14:val="standardContextual"/>
              </w:rPr>
            </w:pPr>
            <w:r w:rsidRPr="001141BF">
              <w:rPr>
                <w:rFonts w:ascii="Arial" w:eastAsia="Calibri" w:hAnsi="Arial" w:cs="Arial"/>
                <w:b/>
              </w:rPr>
              <w:t>Results:</w:t>
            </w:r>
            <w:r w:rsidR="00220770" w:rsidRPr="001141BF">
              <w:rPr>
                <w:rFonts w:ascii="Arial" w:eastAsiaTheme="minorHAnsi" w:hAnsi="Arial" w:cs="Arial"/>
                <w:b/>
                <w:kern w:val="2"/>
                <w14:ligatures w14:val="standardContextual"/>
              </w:rPr>
              <w:t xml:space="preserve"> </w:t>
            </w:r>
          </w:p>
          <w:p w14:paraId="290DEDA2" w14:textId="5FE89293" w:rsidR="00BA1B01" w:rsidRPr="001141BF" w:rsidRDefault="00220770" w:rsidP="00441B6F">
            <w:pPr>
              <w:pStyle w:val="Body"/>
              <w:spacing w:after="0"/>
              <w:rPr>
                <w:rFonts w:ascii="Arial" w:eastAsia="Calibri" w:hAnsi="Arial" w:cs="Arial"/>
                <w:b/>
              </w:rPr>
            </w:pPr>
            <w:r w:rsidRPr="001141BF">
              <w:rPr>
                <w:rFonts w:ascii="Arial" w:eastAsia="Calibri" w:hAnsi="Arial" w:cs="Arial"/>
                <w:b/>
              </w:rPr>
              <w:t xml:space="preserve">The mean gross alpha and beta activity concentrations in sediment samples ranged from (14.80±2.22 - 52.10±2.59) Bq/kg and (25.60±4.11 - 129.00±4.08) Bq/kg while in soil samples ranged from (49.47±1.59 - 78.07±2.46) Bq/kg and (12.96±3.32 - 156.60±5.02) Bq/kg, respectively, across the sampled locations. The results indicate variations in activity levels among sampling sites, with soil generally exhibiting (78.07±2.46 / 52.10±2.59 Bq/kg for alpha activity) and (156.60±5.02 / 129.00±4.08 Bq/kg for beta activity) concentrations compared to sediments. The results of the gross alpha and gross beta activities in both soil and sediment samples were found to be greater than the gross alpha and beta activity for their control samples which indicates the possibility of mobilization or concentration of both alpha- and beta-emitting radionuclides and some degree of activity elevation in the zones. </w:t>
            </w:r>
            <w:bookmarkStart w:id="1" w:name="_Hlk213942337"/>
            <w:bookmarkStart w:id="2" w:name="_Hlk213942501"/>
            <w:r w:rsidRPr="001141BF">
              <w:rPr>
                <w:rFonts w:ascii="Arial" w:eastAsia="Calibri" w:hAnsi="Arial" w:cs="Arial"/>
                <w:b/>
              </w:rPr>
              <w:t>Correlations were made among the variables (gross alpha and gross beta)</w:t>
            </w:r>
            <w:bookmarkEnd w:id="1"/>
            <w:r w:rsidRPr="001141BF">
              <w:rPr>
                <w:rFonts w:ascii="Arial" w:eastAsia="Calibri" w:hAnsi="Arial" w:cs="Arial"/>
                <w:b/>
              </w:rPr>
              <w:t xml:space="preserve"> to prove the interdependency or direct relationship in the investigated samples </w:t>
            </w:r>
            <w:bookmarkEnd w:id="2"/>
            <w:r w:rsidRPr="001141BF">
              <w:rPr>
                <w:rFonts w:ascii="Arial" w:eastAsia="Calibri" w:hAnsi="Arial" w:cs="Arial"/>
                <w:b/>
              </w:rPr>
              <w:t>and suggests probable radiological impact and migration patterns of radionuclides in oil-polluted zones.</w:t>
            </w:r>
          </w:p>
          <w:p w14:paraId="73BA1C3E" w14:textId="77777777" w:rsidR="00220770" w:rsidRPr="001141BF" w:rsidRDefault="00220770" w:rsidP="00441B6F">
            <w:pPr>
              <w:pStyle w:val="Body"/>
              <w:spacing w:after="0"/>
              <w:rPr>
                <w:rFonts w:ascii="Arial" w:eastAsia="Calibri" w:hAnsi="Arial" w:cs="Arial"/>
                <w:b/>
              </w:rPr>
            </w:pPr>
          </w:p>
          <w:p w14:paraId="73DCCAE8" w14:textId="77777777" w:rsidR="001D2B85" w:rsidRPr="001141BF" w:rsidRDefault="00BA1B01" w:rsidP="00441B6F">
            <w:pPr>
              <w:pStyle w:val="Body"/>
              <w:spacing w:after="0"/>
              <w:rPr>
                <w:rFonts w:ascii="Arial" w:eastAsia="Calibri" w:hAnsi="Arial" w:cs="Arial"/>
                <w:b/>
              </w:rPr>
            </w:pPr>
            <w:r w:rsidRPr="001141BF">
              <w:rPr>
                <w:rFonts w:ascii="Arial" w:eastAsia="Calibri" w:hAnsi="Arial" w:cs="Arial"/>
                <w:b/>
              </w:rPr>
              <w:t xml:space="preserve">Conclusion: </w:t>
            </w:r>
          </w:p>
          <w:p w14:paraId="501E3A8D" w14:textId="5C60424F" w:rsidR="00505F06" w:rsidRPr="007D5F15" w:rsidRDefault="006539A7" w:rsidP="00441B6F">
            <w:pPr>
              <w:pStyle w:val="Body"/>
              <w:spacing w:after="0"/>
              <w:rPr>
                <w:rFonts w:ascii="Arial" w:eastAsia="Calibri" w:hAnsi="Arial" w:cs="Arial"/>
                <w:sz w:val="22"/>
                <w:szCs w:val="22"/>
              </w:rPr>
            </w:pPr>
            <w:r w:rsidRPr="001141BF">
              <w:rPr>
                <w:rFonts w:ascii="Arial" w:eastAsia="Calibri" w:hAnsi="Arial" w:cs="Arial"/>
                <w:b/>
              </w:rPr>
              <w:t xml:space="preserve">The results indicate some degree of disturbance at the oil spill zones. Soil and sediment samples from the oil spill sites may not be harmful to local residents or the general public in and around the area, even though there is little to no radioactive </w:t>
            </w:r>
            <w:r w:rsidRPr="001141BF">
              <w:rPr>
                <w:rFonts w:ascii="Arial" w:eastAsia="Calibri" w:hAnsi="Arial" w:cs="Arial"/>
                <w:b/>
              </w:rPr>
              <w:lastRenderedPageBreak/>
              <w:t>contamination of the soil and sediment</w:t>
            </w:r>
          </w:p>
        </w:tc>
      </w:tr>
    </w:tbl>
    <w:p w14:paraId="01C0BEC5" w14:textId="77777777" w:rsidR="00636EB2" w:rsidRDefault="00636EB2" w:rsidP="00441B6F">
      <w:pPr>
        <w:pStyle w:val="Body"/>
        <w:spacing w:after="0"/>
        <w:rPr>
          <w:rFonts w:ascii="Arial" w:hAnsi="Arial" w:cs="Arial"/>
          <w:i/>
        </w:rPr>
      </w:pPr>
    </w:p>
    <w:p w14:paraId="4E275E5C" w14:textId="28FD1342" w:rsidR="0064751F" w:rsidRPr="0064751F" w:rsidRDefault="00A24E7E" w:rsidP="0064751F">
      <w:pPr>
        <w:pStyle w:val="Body"/>
        <w:rPr>
          <w:rFonts w:ascii="Arial" w:hAnsi="Arial" w:cs="Arial"/>
          <w:i/>
        </w:rPr>
      </w:pPr>
      <w:r>
        <w:rPr>
          <w:rFonts w:ascii="Arial" w:hAnsi="Arial" w:cs="Arial"/>
          <w:i/>
        </w:rPr>
        <w:t xml:space="preserve">Keywords: </w:t>
      </w:r>
      <w:r w:rsidR="0064751F" w:rsidRPr="0064751F">
        <w:rPr>
          <w:rFonts w:ascii="Arial" w:hAnsi="Arial" w:cs="Arial"/>
          <w:i/>
        </w:rPr>
        <w:t>Gross alpha, Gross beta, Soil and Sediments samples, Radiological risk and Oil spill, Rivers State</w:t>
      </w:r>
    </w:p>
    <w:p w14:paraId="2E05E8B2" w14:textId="77777777" w:rsidR="00790ADA" w:rsidRDefault="00790ADA" w:rsidP="00441B6F">
      <w:pPr>
        <w:pStyle w:val="Body"/>
        <w:spacing w:after="0"/>
        <w:rPr>
          <w:rFonts w:ascii="Arial" w:hAnsi="Arial" w:cs="Arial"/>
          <w:i/>
        </w:rPr>
      </w:pPr>
    </w:p>
    <w:p w14:paraId="2F7448CA" w14:textId="57375CE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87027D8" w14:textId="77777777" w:rsidR="0081508D" w:rsidRDefault="0081508D" w:rsidP="00424853">
      <w:pPr>
        <w:spacing w:after="160" w:line="278" w:lineRule="auto"/>
        <w:jc w:val="both"/>
        <w:rPr>
          <w:rFonts w:ascii="Arial" w:eastAsia="Calibri" w:hAnsi="Arial" w:cs="Arial"/>
          <w:kern w:val="2"/>
        </w:rPr>
      </w:pPr>
    </w:p>
    <w:p w14:paraId="27F5B047" w14:textId="56A664A6" w:rsidR="00424853" w:rsidRPr="00424853" w:rsidRDefault="00424853" w:rsidP="00424853">
      <w:pPr>
        <w:spacing w:after="160" w:line="278" w:lineRule="auto"/>
        <w:jc w:val="both"/>
        <w:rPr>
          <w:rFonts w:ascii="Arial" w:eastAsia="Calibri" w:hAnsi="Arial" w:cs="Arial"/>
          <w:kern w:val="2"/>
        </w:rPr>
      </w:pPr>
      <w:r w:rsidRPr="00424853">
        <w:rPr>
          <w:rFonts w:ascii="Arial" w:eastAsia="Calibri" w:hAnsi="Arial" w:cs="Arial"/>
          <w:kern w:val="2"/>
        </w:rPr>
        <w:t>The coastal regions have experienced the existence of natural radioactivity since the earth's formation.</w:t>
      </w:r>
      <w:r w:rsidRPr="00424853">
        <w:rPr>
          <w:rFonts w:ascii="Arial" w:hAnsi="Arial" w:cs="Arial"/>
        </w:rPr>
        <w:t xml:space="preserve"> </w:t>
      </w:r>
      <w:r w:rsidRPr="00424853">
        <w:rPr>
          <w:rFonts w:ascii="Arial" w:eastAsia="Calibri" w:hAnsi="Arial" w:cs="Arial"/>
          <w:kern w:val="2"/>
        </w:rPr>
        <w:t>Because of natural sources present in the earth and human activity carried out, the earth has gained its radioactive status. The presence of these sources and activities have resulted to man and his surroundings been constantly bombarded by those of natural radionuclides.</w:t>
      </w:r>
      <w:r w:rsidRPr="00424853">
        <w:rPr>
          <w:rFonts w:ascii="Arial" w:hAnsi="Arial" w:cs="Arial"/>
        </w:rPr>
        <w:t xml:space="preserve"> </w:t>
      </w:r>
      <w:r w:rsidRPr="00424853">
        <w:rPr>
          <w:rFonts w:ascii="Arial" w:eastAsia="Calibri" w:hAnsi="Arial" w:cs="Arial"/>
          <w:kern w:val="2"/>
        </w:rPr>
        <w:t xml:space="preserve">The Niger Delta states, particularly Rivers and Bayelsa, have been recognized for their major contributions to the Nigerian economy through oil and gas resources. The highlighted states have gas and crude oil deposits in abundant [1]. The development and exploration of oil field in Nigeria's Niger Delta have resulted in a variety of activities involving radioactive materials and radiation generators on a large scale that may agitate the fragile conservations and biophysical systems as well as socioeconomic details of this region. The crude oil is both poisonous and radioactive due to the presence of radionuclides such as Uranium and Thorium [2]. If not handled appropriately, this petroleum (crude oil) can seep into the environment during production, posing a radioactive risk. Oil spills have been identified as a major source of water and land contamination in the Niger Delta region, with the increased frequency linked to industry growth, prevalence of aged oil pipelines, </w:t>
      </w:r>
      <w:r w:rsidRPr="00424853">
        <w:rPr>
          <w:rFonts w:ascii="Arial" w:hAnsi="Arial" w:cs="Arial"/>
          <w:kern w:val="2"/>
        </w:rPr>
        <w:t>vandalism and equipment failure</w:t>
      </w:r>
      <w:r w:rsidRPr="00424853">
        <w:rPr>
          <w:rFonts w:ascii="Arial" w:eastAsia="Calibri" w:hAnsi="Arial" w:cs="Arial"/>
          <w:kern w:val="2"/>
        </w:rPr>
        <w:t xml:space="preserve"> [3]. Natural sources, which can be found in a variety of geological formations such soil, rocks, sediment, water, vegetation, and air, account for about 96% of the total radiation exposure, with manmade sources accounting for 4% [4]. In regions rich in natural nuclides [5], oil exploration activities may result in increased concentrations of naturally existing radionuclides in the soil, surface water, and groundwater. Due to alpha and beta radiations from radium (Ra-226), uranium (U-238), thorium (Th-232), and potassium (K-40), soil materials and rocks greatly contribute to both indoor and outdoor exposure to environmental radioactivity, increasing the risk to human health [5]. Alpha and beta emitters are conceived to be the most significant natural radionuclides in terms of possible internal radiation exposure to people, especially through food and water consumption [6]. Depending on their chemical characteristics and the uptake mechanism by the roots to plants and animals, radionuclides can be transferred via the food chain from the soil [5]. The existence of uranium in disequilibrium with its daughters is typically the cause of low radioactivity in lakes and sediments. Radionuclides are vitally stored and redistributed in the ocean and sediments [7]. Understanding the different concentrations in soil gives important information for monitoring radioactivity in the environment and acts as a fundamental indication of the dispersion and accumulation of radioactivity in the environment [8]. Due to accumulation and transportation of pollutants like radioactivity and heavy metals within the geographical area [9] or disperse through the air into nearby farms, some particulate wastes from oil exploration sites may find their way into nearby rivers and sediments, which play an important role in aquatic radioecology.</w:t>
      </w:r>
      <w:r w:rsidR="0081508D">
        <w:rPr>
          <w:rFonts w:ascii="Arial" w:eastAsia="Calibri" w:hAnsi="Arial" w:cs="Arial"/>
          <w:kern w:val="2"/>
        </w:rPr>
        <w:t xml:space="preserve"> I</w:t>
      </w:r>
      <w:r w:rsidRPr="00424853">
        <w:rPr>
          <w:rFonts w:ascii="Arial" w:eastAsia="Calibri" w:hAnsi="Arial" w:cs="Arial"/>
          <w:kern w:val="2"/>
        </w:rPr>
        <w:t>n these particular oil exploration zones, it is necessary to evaluate the radiation emitters caused by oil spill in soil and sediment.</w:t>
      </w:r>
    </w:p>
    <w:p w14:paraId="1B1937F0" w14:textId="77777777" w:rsidR="00790ADA" w:rsidRPr="00FB3A86" w:rsidRDefault="00790ADA" w:rsidP="00441B6F">
      <w:pPr>
        <w:pStyle w:val="AbstHead"/>
        <w:spacing w:after="0"/>
        <w:jc w:val="both"/>
        <w:rPr>
          <w:rFonts w:ascii="Arial" w:hAnsi="Arial" w:cs="Arial"/>
        </w:rPr>
      </w:pPr>
    </w:p>
    <w:p w14:paraId="34516FDC" w14:textId="7A59BFD3"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333D2D74" w14:textId="77777777" w:rsidR="00790ADA" w:rsidRPr="00FB3A86" w:rsidRDefault="00790ADA" w:rsidP="00441B6F">
      <w:pPr>
        <w:pStyle w:val="AbstHead"/>
        <w:spacing w:after="0"/>
        <w:jc w:val="both"/>
        <w:rPr>
          <w:rFonts w:ascii="Arial" w:hAnsi="Arial" w:cs="Arial"/>
        </w:rPr>
      </w:pPr>
    </w:p>
    <w:p w14:paraId="2E993E65" w14:textId="54CB84A1" w:rsidR="00037804" w:rsidRDefault="00037804" w:rsidP="00037804">
      <w:pPr>
        <w:pStyle w:val="Body"/>
        <w:rPr>
          <w:rFonts w:ascii="Arial" w:hAnsi="Arial" w:cs="Arial"/>
        </w:rPr>
      </w:pPr>
      <w:r w:rsidRPr="00037804">
        <w:rPr>
          <w:rFonts w:ascii="Arial" w:hAnsi="Arial" w:cs="Arial"/>
        </w:rPr>
        <w:t>The study was carried out over a four-year period, from 2014 to 2018, in Rivers State, Nigeria. This is within the four years of study reported in previous research. This is to allow for a longer study duration and to enable the collection of more comprehensive data for stronger and more reliable inferences.</w:t>
      </w:r>
    </w:p>
    <w:p w14:paraId="7FEA4B99" w14:textId="1A6C3F74" w:rsidR="00BC2E1F" w:rsidRPr="00BC2E1F" w:rsidRDefault="00BC2E1F" w:rsidP="00BC2E1F">
      <w:pPr>
        <w:pStyle w:val="Body"/>
        <w:spacing w:after="0"/>
        <w:rPr>
          <w:rFonts w:ascii="Arial" w:hAnsi="Arial" w:cs="Arial"/>
        </w:rPr>
      </w:pPr>
      <w:bookmarkStart w:id="3" w:name="_Hlk213934001"/>
      <w:r w:rsidRPr="00BC2E1F">
        <w:rPr>
          <w:rFonts w:ascii="Arial" w:hAnsi="Arial" w:cs="Arial"/>
        </w:rPr>
        <w:t xml:space="preserve">Four crude oil spill sites were identified, and soil and sediment samples were collected from each of these areas. The study area is located between latitudes </w:t>
      </w:r>
      <m:oMath>
        <m:sSup>
          <m:sSupPr>
            <m:ctrlPr>
              <w:rPr>
                <w:rFonts w:ascii="Cambria Math" w:hAnsi="Cambria Math" w:cs="Arial"/>
                <w:i/>
              </w:rPr>
            </m:ctrlPr>
          </m:sSupPr>
          <m:e>
            <m:r>
              <w:rPr>
                <w:rFonts w:ascii="Cambria Math" w:hAnsi="Cambria Math" w:cs="Arial"/>
              </w:rPr>
              <m:t>4</m:t>
            </m:r>
          </m:e>
          <m:sup>
            <m:r>
              <w:rPr>
                <w:rFonts w:ascii="Cambria Math" w:hAnsi="Cambria Math" w:cs="Arial"/>
              </w:rPr>
              <m:t>0</m:t>
            </m:r>
          </m:sup>
        </m:sSup>
        <m:sSup>
          <m:sSupPr>
            <m:ctrlPr>
              <w:rPr>
                <w:rFonts w:ascii="Cambria Math" w:hAnsi="Cambria Math" w:cs="Arial"/>
                <w:i/>
              </w:rPr>
            </m:ctrlPr>
          </m:sSupPr>
          <m:e>
            <m:r>
              <w:rPr>
                <w:rFonts w:ascii="Cambria Math" w:hAnsi="Cambria Math" w:cs="Arial"/>
              </w:rPr>
              <m:t>220</m:t>
            </m:r>
          </m:e>
          <m:sup>
            <m:r>
              <w:rPr>
                <w:rFonts w:ascii="Cambria Math" w:hAnsi="Cambria Math" w:cs="Arial"/>
              </w:rPr>
              <m:t>''</m:t>
            </m:r>
          </m:sup>
        </m:sSup>
        <m:r>
          <w:rPr>
            <w:rFonts w:ascii="Cambria Math" w:hAnsi="Cambria Math" w:cs="Arial"/>
          </w:rPr>
          <m:t>E</m:t>
        </m:r>
      </m:oMath>
      <w:r w:rsidRPr="00BC2E1F">
        <w:rPr>
          <w:rFonts w:ascii="Arial" w:hAnsi="Arial" w:cs="Arial"/>
        </w:rPr>
        <w:t xml:space="preserve"> and </w:t>
      </w:r>
      <m:oMath>
        <m:sSup>
          <m:sSupPr>
            <m:ctrlPr>
              <w:rPr>
                <w:rFonts w:ascii="Cambria Math" w:hAnsi="Cambria Math" w:cs="Arial"/>
                <w:i/>
              </w:rPr>
            </m:ctrlPr>
          </m:sSupPr>
          <m:e>
            <m:r>
              <w:rPr>
                <w:rFonts w:ascii="Cambria Math" w:hAnsi="Cambria Math" w:cs="Arial"/>
              </w:rPr>
              <m:t>4</m:t>
            </m:r>
          </m:e>
          <m:sup>
            <m:r>
              <w:rPr>
                <w:rFonts w:ascii="Cambria Math" w:hAnsi="Cambria Math" w:cs="Arial"/>
              </w:rPr>
              <m:t>0</m:t>
            </m:r>
          </m:sup>
        </m:sSup>
        <m:sSup>
          <m:sSupPr>
            <m:ctrlPr>
              <w:rPr>
                <w:rFonts w:ascii="Cambria Math" w:hAnsi="Cambria Math" w:cs="Arial"/>
                <w:i/>
              </w:rPr>
            </m:ctrlPr>
          </m:sSupPr>
          <m:e>
            <m:r>
              <w:rPr>
                <w:rFonts w:ascii="Cambria Math" w:hAnsi="Cambria Math" w:cs="Arial"/>
              </w:rPr>
              <m:t>230</m:t>
            </m:r>
          </m:e>
          <m:sup>
            <m:r>
              <w:rPr>
                <w:rFonts w:ascii="Cambria Math" w:hAnsi="Cambria Math" w:cs="Arial"/>
              </w:rPr>
              <m:t>''</m:t>
            </m:r>
          </m:sup>
        </m:sSup>
        <m:r>
          <w:rPr>
            <w:rFonts w:ascii="Cambria Math" w:hAnsi="Cambria Math" w:cs="Arial"/>
          </w:rPr>
          <m:t>E</m:t>
        </m:r>
      </m:oMath>
      <w:r w:rsidRPr="00BC2E1F">
        <w:rPr>
          <w:rFonts w:ascii="Arial" w:hAnsi="Arial" w:cs="Arial"/>
        </w:rPr>
        <w:t xml:space="preserve">, and longitudes </w:t>
      </w:r>
      <m:oMath>
        <m:sSup>
          <m:sSupPr>
            <m:ctrlPr>
              <w:rPr>
                <w:rFonts w:ascii="Cambria Math" w:hAnsi="Cambria Math" w:cs="Arial"/>
                <w:i/>
              </w:rPr>
            </m:ctrlPr>
          </m:sSupPr>
          <m:e>
            <m:r>
              <w:rPr>
                <w:rFonts w:ascii="Cambria Math" w:hAnsi="Cambria Math" w:cs="Arial"/>
              </w:rPr>
              <m:t>7</m:t>
            </m:r>
          </m:e>
          <m:sup>
            <m:r>
              <w:rPr>
                <w:rFonts w:ascii="Cambria Math" w:hAnsi="Cambria Math" w:cs="Arial"/>
              </w:rPr>
              <m:t>0</m:t>
            </m:r>
          </m:sup>
        </m:sSup>
        <m:sSup>
          <m:sSupPr>
            <m:ctrlPr>
              <w:rPr>
                <w:rFonts w:ascii="Cambria Math" w:hAnsi="Cambria Math" w:cs="Arial"/>
                <w:i/>
              </w:rPr>
            </m:ctrlPr>
          </m:sSupPr>
          <m:e>
            <m:r>
              <w:rPr>
                <w:rFonts w:ascii="Cambria Math" w:hAnsi="Cambria Math" w:cs="Arial"/>
              </w:rPr>
              <m:t>100</m:t>
            </m:r>
          </m:e>
          <m:sup>
            <m:r>
              <w:rPr>
                <w:rFonts w:ascii="Cambria Math" w:hAnsi="Cambria Math" w:cs="Arial"/>
              </w:rPr>
              <m:t>''</m:t>
            </m:r>
          </m:sup>
        </m:sSup>
        <m:r>
          <w:rPr>
            <w:rFonts w:ascii="Cambria Math" w:hAnsi="Cambria Math" w:cs="Arial"/>
          </w:rPr>
          <m:t>E</m:t>
        </m:r>
      </m:oMath>
      <w:r w:rsidRPr="00BC2E1F">
        <w:rPr>
          <w:rFonts w:ascii="Arial" w:hAnsi="Arial" w:cs="Arial"/>
        </w:rPr>
        <w:t xml:space="preserve"> and </w:t>
      </w:r>
      <m:oMath>
        <m:sSup>
          <m:sSupPr>
            <m:ctrlPr>
              <w:rPr>
                <w:rFonts w:ascii="Cambria Math" w:hAnsi="Cambria Math" w:cs="Arial"/>
                <w:i/>
              </w:rPr>
            </m:ctrlPr>
          </m:sSupPr>
          <m:e>
            <m:r>
              <w:rPr>
                <w:rFonts w:ascii="Cambria Math" w:hAnsi="Cambria Math" w:cs="Arial"/>
              </w:rPr>
              <m:t>7</m:t>
            </m:r>
          </m:e>
          <m:sup>
            <m:r>
              <w:rPr>
                <w:rFonts w:ascii="Cambria Math" w:hAnsi="Cambria Math" w:cs="Arial"/>
              </w:rPr>
              <m:t>0</m:t>
            </m:r>
          </m:sup>
        </m:sSup>
        <m:sSup>
          <m:sSupPr>
            <m:ctrlPr>
              <w:rPr>
                <w:rFonts w:ascii="Cambria Math" w:hAnsi="Cambria Math" w:cs="Arial"/>
                <w:i/>
              </w:rPr>
            </m:ctrlPr>
          </m:sSupPr>
          <m:e>
            <m:r>
              <w:rPr>
                <w:rFonts w:ascii="Cambria Math" w:hAnsi="Cambria Math" w:cs="Arial"/>
              </w:rPr>
              <m:t>190</m:t>
            </m:r>
          </m:e>
          <m:sup>
            <m:r>
              <w:rPr>
                <w:rFonts w:ascii="Cambria Math" w:hAnsi="Cambria Math" w:cs="Arial"/>
              </w:rPr>
              <m:t>''</m:t>
            </m:r>
          </m:sup>
        </m:sSup>
        <m:r>
          <w:rPr>
            <w:rFonts w:ascii="Cambria Math" w:hAnsi="Cambria Math" w:cs="Arial"/>
          </w:rPr>
          <m:t>E</m:t>
        </m:r>
      </m:oMath>
      <w:r w:rsidRPr="00BC2E1F">
        <w:rPr>
          <w:rFonts w:ascii="Arial" w:hAnsi="Arial" w:cs="Arial"/>
        </w:rPr>
        <w:t>, in the mid-eastern part of the Niger Delta region of Nigeria as shown in Figure 1</w:t>
      </w:r>
      <w:r>
        <w:rPr>
          <w:rFonts w:ascii="Arial" w:hAnsi="Arial" w:cs="Arial"/>
        </w:rPr>
        <w:t xml:space="preserve"> with an inset of Rivers map</w:t>
      </w:r>
      <w:r w:rsidRPr="00BC2E1F">
        <w:rPr>
          <w:rFonts w:ascii="Arial" w:hAnsi="Arial" w:cs="Arial"/>
        </w:rPr>
        <w:t xml:space="preserve">. </w:t>
      </w:r>
      <w:bookmarkEnd w:id="3"/>
      <w:r w:rsidRPr="00BC2E1F">
        <w:rPr>
          <w:rFonts w:ascii="Arial" w:hAnsi="Arial" w:cs="Arial"/>
        </w:rPr>
        <w:t>Details of the area's geology have been documented in previous studies [</w:t>
      </w:r>
      <w:proofErr w:type="gramStart"/>
      <w:r w:rsidRPr="00BC2E1F">
        <w:rPr>
          <w:rFonts w:ascii="Arial" w:hAnsi="Arial" w:cs="Arial"/>
        </w:rPr>
        <w:t>10][</w:t>
      </w:r>
      <w:proofErr w:type="gramEnd"/>
      <w:r w:rsidRPr="00BC2E1F">
        <w:rPr>
          <w:rFonts w:ascii="Arial" w:hAnsi="Arial" w:cs="Arial"/>
        </w:rPr>
        <w:t>11].</w:t>
      </w:r>
    </w:p>
    <w:p w14:paraId="2D455A32" w14:textId="77777777" w:rsidR="00BC2E1F" w:rsidRDefault="00BC2E1F" w:rsidP="00441B6F">
      <w:pPr>
        <w:pStyle w:val="Body"/>
        <w:spacing w:after="0"/>
        <w:rPr>
          <w:rFonts w:ascii="Arial" w:hAnsi="Arial" w:cs="Arial"/>
        </w:rPr>
      </w:pPr>
    </w:p>
    <w:p w14:paraId="695F5C4B" w14:textId="1D22E313" w:rsidR="00790ADA" w:rsidRDefault="00BC2E1F" w:rsidP="00441B6F">
      <w:pPr>
        <w:pStyle w:val="Body"/>
        <w:spacing w:after="0"/>
        <w:rPr>
          <w:rFonts w:ascii="Arial" w:hAnsi="Arial" w:cs="Arial"/>
        </w:rPr>
      </w:pPr>
      <w:r>
        <w:rPr>
          <w:noProof/>
        </w:rPr>
        <w:lastRenderedPageBreak/>
        <w:drawing>
          <wp:inline distT="0" distB="0" distL="0" distR="0" wp14:anchorId="5E6E0F5D" wp14:editId="6490741A">
            <wp:extent cx="5211267" cy="3035808"/>
            <wp:effectExtent l="0" t="0" r="0" b="0"/>
            <wp:docPr id="523870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870980" name="Picture 1"/>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29044" cy="3046164"/>
                    </a:xfrm>
                    <a:prstGeom prst="rect">
                      <a:avLst/>
                    </a:prstGeom>
                    <a:noFill/>
                  </pic:spPr>
                </pic:pic>
              </a:graphicData>
            </a:graphic>
          </wp:inline>
        </w:drawing>
      </w:r>
    </w:p>
    <w:p w14:paraId="1377F24B" w14:textId="77777777" w:rsidR="00BC2E1F" w:rsidRPr="00BC2E1F" w:rsidRDefault="00BC2E1F" w:rsidP="00BC2E1F">
      <w:pPr>
        <w:pStyle w:val="Body"/>
        <w:spacing w:after="0"/>
        <w:rPr>
          <w:rFonts w:ascii="Arial" w:hAnsi="Arial" w:cs="Arial"/>
        </w:rPr>
      </w:pPr>
      <w:r w:rsidRPr="00BC2E1F">
        <w:rPr>
          <w:rFonts w:ascii="Arial" w:hAnsi="Arial" w:cs="Arial"/>
          <w:b/>
        </w:rPr>
        <w:t>Map of Study Area Rivers State</w:t>
      </w:r>
    </w:p>
    <w:p w14:paraId="5DB2553D" w14:textId="77777777" w:rsidR="00BC2E1F" w:rsidRDefault="00BC2E1F" w:rsidP="00441B6F">
      <w:pPr>
        <w:pStyle w:val="Body"/>
        <w:spacing w:after="0"/>
        <w:rPr>
          <w:rFonts w:ascii="Arial" w:hAnsi="Arial" w:cs="Arial"/>
        </w:rPr>
      </w:pPr>
    </w:p>
    <w:p w14:paraId="23A447DC" w14:textId="7B9E2ED1" w:rsidR="000C7C43" w:rsidRDefault="000C7C43" w:rsidP="00441B6F">
      <w:pPr>
        <w:pStyle w:val="Body"/>
        <w:spacing w:after="0"/>
        <w:rPr>
          <w:rFonts w:ascii="Arial" w:hAnsi="Arial" w:cs="Arial"/>
          <w:b/>
          <w:bCs/>
          <w:sz w:val="22"/>
          <w:szCs w:val="22"/>
        </w:rPr>
      </w:pPr>
      <w:r w:rsidRPr="00DF7EA6">
        <w:rPr>
          <w:rFonts w:ascii="Arial" w:hAnsi="Arial" w:cs="Arial"/>
          <w:b/>
          <w:bCs/>
          <w:sz w:val="22"/>
          <w:szCs w:val="22"/>
        </w:rPr>
        <w:t xml:space="preserve">2.1 Collection and </w:t>
      </w:r>
      <w:r w:rsidR="00AC3B85" w:rsidRPr="00DF7EA6">
        <w:rPr>
          <w:rFonts w:ascii="Arial" w:hAnsi="Arial" w:cs="Arial"/>
          <w:b/>
          <w:bCs/>
          <w:sz w:val="22"/>
          <w:szCs w:val="22"/>
        </w:rPr>
        <w:t xml:space="preserve">laboratory </w:t>
      </w:r>
      <w:r w:rsidRPr="00DF7EA6">
        <w:rPr>
          <w:rFonts w:ascii="Arial" w:hAnsi="Arial" w:cs="Arial"/>
          <w:b/>
          <w:bCs/>
          <w:sz w:val="22"/>
          <w:szCs w:val="22"/>
        </w:rPr>
        <w:t xml:space="preserve">analysis of samples </w:t>
      </w:r>
    </w:p>
    <w:p w14:paraId="1F8BD614" w14:textId="77777777" w:rsidR="00DF7EA6" w:rsidRPr="00DF7EA6" w:rsidRDefault="00DF7EA6" w:rsidP="00441B6F">
      <w:pPr>
        <w:pStyle w:val="Body"/>
        <w:spacing w:after="0"/>
        <w:rPr>
          <w:rFonts w:ascii="Arial" w:hAnsi="Arial" w:cs="Arial"/>
          <w:b/>
          <w:bCs/>
          <w:sz w:val="22"/>
          <w:szCs w:val="22"/>
        </w:rPr>
      </w:pPr>
    </w:p>
    <w:p w14:paraId="64DA91AA" w14:textId="77777777" w:rsidR="00BC2E1F" w:rsidRDefault="00BC2E1F" w:rsidP="00BC2E1F">
      <w:pPr>
        <w:pStyle w:val="Body"/>
        <w:spacing w:after="0"/>
        <w:rPr>
          <w:rFonts w:ascii="Arial" w:hAnsi="Arial" w:cs="Arial"/>
        </w:rPr>
      </w:pPr>
      <w:r w:rsidRPr="00BC2E1F">
        <w:rPr>
          <w:rFonts w:ascii="Arial" w:hAnsi="Arial" w:cs="Arial"/>
        </w:rPr>
        <w:t xml:space="preserve">The Rivers State communities of </w:t>
      </w:r>
      <w:proofErr w:type="spellStart"/>
      <w:r w:rsidRPr="00BC2E1F">
        <w:rPr>
          <w:rFonts w:ascii="Arial" w:hAnsi="Arial" w:cs="Arial"/>
        </w:rPr>
        <w:t>Nupene</w:t>
      </w:r>
      <w:proofErr w:type="spellEnd"/>
      <w:r w:rsidRPr="00BC2E1F">
        <w:rPr>
          <w:rFonts w:ascii="Arial" w:hAnsi="Arial" w:cs="Arial"/>
        </w:rPr>
        <w:t>, Teo-</w:t>
      </w:r>
      <w:proofErr w:type="spellStart"/>
      <w:r w:rsidRPr="00BC2E1F">
        <w:rPr>
          <w:rFonts w:ascii="Arial" w:hAnsi="Arial" w:cs="Arial"/>
        </w:rPr>
        <w:t>oo</w:t>
      </w:r>
      <w:proofErr w:type="spellEnd"/>
      <w:r w:rsidRPr="00BC2E1F">
        <w:rPr>
          <w:rFonts w:ascii="Arial" w:hAnsi="Arial" w:cs="Arial"/>
        </w:rPr>
        <w:t>-goo, Bolte-</w:t>
      </w:r>
      <w:proofErr w:type="spellStart"/>
      <w:r w:rsidRPr="00BC2E1F">
        <w:rPr>
          <w:rFonts w:ascii="Arial" w:hAnsi="Arial" w:cs="Arial"/>
        </w:rPr>
        <w:t>Kpan</w:t>
      </w:r>
      <w:proofErr w:type="spellEnd"/>
      <w:r w:rsidRPr="00BC2E1F">
        <w:rPr>
          <w:rFonts w:ascii="Arial" w:hAnsi="Arial" w:cs="Arial"/>
        </w:rPr>
        <w:t xml:space="preserve"> and Bon-</w:t>
      </w:r>
      <w:proofErr w:type="spellStart"/>
      <w:r w:rsidRPr="00BC2E1F">
        <w:rPr>
          <w:rFonts w:ascii="Arial" w:hAnsi="Arial" w:cs="Arial"/>
        </w:rPr>
        <w:t>Ngia</w:t>
      </w:r>
      <w:proofErr w:type="spellEnd"/>
      <w:r w:rsidRPr="00BC2E1F">
        <w:rPr>
          <w:rFonts w:ascii="Arial" w:hAnsi="Arial" w:cs="Arial"/>
        </w:rPr>
        <w:t xml:space="preserve"> were the zones of oil spills where soil and sediment samples were collected. Eight soil samples, eight sediment samples, and two soil and sediment control samples made up the total of 18 samples that were gathered. The samples were air-dried before being sieved through a 2 mm mesh sieve to get rid of any stones or foreign objects in order to get them ready for analysis. After being dried overnight at 80°C in an electric oven to remove any remaining moisture, the samples were ground into a fine powder. The samples were prepared, weighed, and then sealed in Marinelli beakers. Following the guidelines set forth by the International Atomic Energy Agency (IAEA) for gross alpha and beta analyses, they were subsequently kept in desiccators until analysis. A Protean Instrument Corporation (PIC) MPC 2000DP type gas-free proportional counter, situated at the Centre for Energy Research and Training (CERT), Ahmadu Bello University, Zaria, Nigeria, was used to measure the samples' gross alpha and beta activity. </w:t>
      </w:r>
    </w:p>
    <w:p w14:paraId="39B4F615" w14:textId="77777777" w:rsidR="00DF7EA6" w:rsidRDefault="00DF7EA6" w:rsidP="00BC2E1F">
      <w:pPr>
        <w:pStyle w:val="Body"/>
        <w:spacing w:after="0"/>
        <w:rPr>
          <w:rFonts w:ascii="Arial" w:hAnsi="Arial" w:cs="Arial"/>
        </w:rPr>
      </w:pPr>
    </w:p>
    <w:p w14:paraId="2C794BEC" w14:textId="1BBA4621" w:rsidR="00DF7EA6" w:rsidRPr="00C71EAE" w:rsidRDefault="00DF7EA6" w:rsidP="00BC2E1F">
      <w:pPr>
        <w:pStyle w:val="Body"/>
        <w:spacing w:after="0"/>
        <w:rPr>
          <w:rFonts w:ascii="Arial" w:hAnsi="Arial" w:cs="Arial"/>
          <w:b/>
          <w:bCs/>
          <w:u w:val="single"/>
        </w:rPr>
      </w:pPr>
      <w:r w:rsidRPr="00C71EAE">
        <w:rPr>
          <w:rFonts w:ascii="Arial" w:hAnsi="Arial" w:cs="Arial"/>
          <w:b/>
          <w:bCs/>
          <w:u w:val="single"/>
        </w:rPr>
        <w:t>2.1.1 Gross alpha and beta activity</w:t>
      </w:r>
    </w:p>
    <w:p w14:paraId="0970C335" w14:textId="77777777" w:rsidR="00DF7EA6" w:rsidRPr="00DF7EA6" w:rsidRDefault="00DF7EA6" w:rsidP="00BC2E1F">
      <w:pPr>
        <w:pStyle w:val="Body"/>
        <w:spacing w:after="0"/>
        <w:rPr>
          <w:rFonts w:ascii="Arial" w:hAnsi="Arial" w:cs="Arial"/>
          <w:b/>
          <w:bCs/>
        </w:rPr>
      </w:pPr>
    </w:p>
    <w:p w14:paraId="301303E5" w14:textId="77777777" w:rsidR="00BC2E1F" w:rsidRPr="00BC2E1F" w:rsidRDefault="00BC2E1F" w:rsidP="00BC2E1F">
      <w:pPr>
        <w:pStyle w:val="Body"/>
        <w:spacing w:after="0"/>
        <w:rPr>
          <w:rFonts w:ascii="Arial" w:hAnsi="Arial" w:cs="Arial"/>
        </w:rPr>
      </w:pPr>
      <w:r w:rsidRPr="00BC2E1F">
        <w:rPr>
          <w:rFonts w:ascii="Arial" w:hAnsi="Arial" w:cs="Arial"/>
        </w:rPr>
        <w:t>The activity of each of the samples was calculated as;</w:t>
      </w:r>
    </w:p>
    <w:p w14:paraId="64893990" w14:textId="0C67E3B3" w:rsidR="00BC2E1F" w:rsidRPr="00BC2E1F" w:rsidRDefault="00780AF2" w:rsidP="00BC2E1F">
      <w:pPr>
        <w:pStyle w:val="Body"/>
        <w:spacing w:after="0"/>
        <w:rPr>
          <w:rFonts w:ascii="Arial" w:hAnsi="Arial" w:cs="Arial"/>
        </w:rPr>
      </w:pPr>
      <m:oMath>
        <m:sSub>
          <m:sSubPr>
            <m:ctrlPr>
              <w:rPr>
                <w:rFonts w:ascii="Cambria Math" w:hAnsi="Cambria Math" w:cs="Arial"/>
                <w:i/>
              </w:rPr>
            </m:ctrlPr>
          </m:sSubPr>
          <m:e>
            <m:r>
              <w:rPr>
                <w:rFonts w:ascii="Cambria Math" w:hAnsi="Cambria Math" w:cs="Arial"/>
              </w:rPr>
              <m:t>C</m:t>
            </m:r>
          </m:e>
          <m:sub>
            <m:d>
              <m:dPr>
                <m:ctrlPr>
                  <w:rPr>
                    <w:rFonts w:ascii="Cambria Math" w:hAnsi="Cambria Math" w:cs="Arial"/>
                    <w:i/>
                  </w:rPr>
                </m:ctrlPr>
              </m:dPr>
              <m:e>
                <m:r>
                  <w:rPr>
                    <w:rFonts w:ascii="Cambria Math" w:hAnsi="Cambria Math" w:cs="Arial"/>
                  </w:rPr>
                  <m:t>α</m:t>
                </m:r>
                <m:r>
                  <w:rPr>
                    <w:rFonts w:ascii="Cambria Math" w:hAnsi="Cambria Math" w:cs="Arial"/>
                  </w:rPr>
                  <m:t xml:space="preserve">, </m:t>
                </m:r>
                <m:r>
                  <w:rPr>
                    <w:rFonts w:ascii="Cambria Math" w:hAnsi="Cambria Math" w:cs="Arial"/>
                  </w:rPr>
                  <m:t>β</m:t>
                </m:r>
              </m:e>
            </m:d>
          </m:sub>
        </m:sSub>
        <m:r>
          <w:rPr>
            <w:rFonts w:ascii="Cambria Math" w:hAnsi="Cambria Math" w:cs="Arial"/>
          </w:rPr>
          <m:t xml:space="preserve">= </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A</m:t>
                </m:r>
              </m:e>
              <m:sub>
                <m:d>
                  <m:dPr>
                    <m:ctrlPr>
                      <w:rPr>
                        <w:rFonts w:ascii="Cambria Math" w:hAnsi="Cambria Math" w:cs="Arial"/>
                        <w:i/>
                      </w:rPr>
                    </m:ctrlPr>
                  </m:dPr>
                  <m:e>
                    <m:r>
                      <w:rPr>
                        <w:rFonts w:ascii="Cambria Math" w:hAnsi="Cambria Math" w:cs="Arial"/>
                      </w:rPr>
                      <m:t>α</m:t>
                    </m:r>
                    <m:r>
                      <w:rPr>
                        <w:rFonts w:ascii="Cambria Math" w:hAnsi="Cambria Math" w:cs="Arial"/>
                      </w:rPr>
                      <m:t xml:space="preserve">, </m:t>
                    </m:r>
                    <m:r>
                      <w:rPr>
                        <w:rFonts w:ascii="Cambria Math" w:hAnsi="Cambria Math" w:cs="Arial"/>
                      </w:rPr>
                      <m:t>β</m:t>
                    </m:r>
                  </m:e>
                </m:d>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G</m:t>
                </m:r>
              </m:e>
              <m:sub>
                <m:d>
                  <m:dPr>
                    <m:ctrlPr>
                      <w:rPr>
                        <w:rFonts w:ascii="Cambria Math" w:hAnsi="Cambria Math" w:cs="Arial"/>
                        <w:i/>
                      </w:rPr>
                    </m:ctrlPr>
                  </m:dPr>
                  <m:e>
                    <m:r>
                      <w:rPr>
                        <w:rFonts w:ascii="Cambria Math" w:hAnsi="Cambria Math" w:cs="Arial"/>
                      </w:rPr>
                      <m:t>α</m:t>
                    </m:r>
                    <m:r>
                      <w:rPr>
                        <w:rFonts w:ascii="Cambria Math" w:hAnsi="Cambria Math" w:cs="Arial"/>
                      </w:rPr>
                      <m:t xml:space="preserve">, </m:t>
                    </m:r>
                    <m:r>
                      <w:rPr>
                        <w:rFonts w:ascii="Cambria Math" w:hAnsi="Cambria Math" w:cs="Arial"/>
                      </w:rPr>
                      <m:t>β</m:t>
                    </m:r>
                  </m:e>
                </m:d>
              </m:sub>
            </m:sSub>
          </m:e>
        </m:d>
        <m:r>
          <w:rPr>
            <w:rFonts w:ascii="Cambria Math" w:hAnsi="Cambria Math" w:cs="Arial"/>
          </w:rPr>
          <m:t xml:space="preserve"> ×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U</m:t>
                </m:r>
              </m:e>
              <m:sub>
                <m:d>
                  <m:dPr>
                    <m:ctrlPr>
                      <w:rPr>
                        <w:rFonts w:ascii="Cambria Math" w:hAnsi="Cambria Math" w:cs="Arial"/>
                        <w:i/>
                      </w:rPr>
                    </m:ctrlPr>
                  </m:dPr>
                  <m:e>
                    <m:r>
                      <w:rPr>
                        <w:rFonts w:ascii="Cambria Math" w:hAnsi="Cambria Math" w:cs="Arial"/>
                      </w:rPr>
                      <m:t>α</m:t>
                    </m:r>
                    <m:r>
                      <w:rPr>
                        <w:rFonts w:ascii="Cambria Math" w:hAnsi="Cambria Math" w:cs="Arial"/>
                      </w:rPr>
                      <m:t xml:space="preserve">, </m:t>
                    </m:r>
                    <m:r>
                      <w:rPr>
                        <w:rFonts w:ascii="Cambria Math" w:hAnsi="Cambria Math" w:cs="Arial"/>
                      </w:rPr>
                      <m:t>β</m:t>
                    </m:r>
                  </m:e>
                </m:d>
              </m:sub>
            </m:sSub>
          </m:num>
          <m:den>
            <m:sSub>
              <m:sSubPr>
                <m:ctrlPr>
                  <w:rPr>
                    <w:rFonts w:ascii="Cambria Math" w:hAnsi="Cambria Math" w:cs="Arial"/>
                    <w:i/>
                  </w:rPr>
                </m:ctrlPr>
              </m:sSubPr>
              <m:e>
                <m:r>
                  <w:rPr>
                    <w:rFonts w:ascii="Cambria Math" w:hAnsi="Cambria Math" w:cs="Arial"/>
                  </w:rPr>
                  <m:t>H</m:t>
                </m:r>
              </m:e>
              <m:sub>
                <m:d>
                  <m:dPr>
                    <m:ctrlPr>
                      <w:rPr>
                        <w:rFonts w:ascii="Cambria Math" w:hAnsi="Cambria Math" w:cs="Arial"/>
                        <w:i/>
                      </w:rPr>
                    </m:ctrlPr>
                  </m:dPr>
                  <m:e>
                    <m:r>
                      <w:rPr>
                        <w:rFonts w:ascii="Cambria Math" w:hAnsi="Cambria Math" w:cs="Arial"/>
                      </w:rPr>
                      <m:t>α</m:t>
                    </m:r>
                    <m:r>
                      <w:rPr>
                        <w:rFonts w:ascii="Cambria Math" w:hAnsi="Cambria Math" w:cs="Arial"/>
                      </w:rPr>
                      <m:t xml:space="preserve">, </m:t>
                    </m:r>
                    <m:r>
                      <w:rPr>
                        <w:rFonts w:ascii="Cambria Math" w:hAnsi="Cambria Math" w:cs="Arial"/>
                      </w:rPr>
                      <m:t>β</m:t>
                    </m:r>
                  </m:e>
                </m:d>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S</m:t>
                </m:r>
              </m:e>
              <m:sub>
                <m:d>
                  <m:dPr>
                    <m:ctrlPr>
                      <w:rPr>
                        <w:rFonts w:ascii="Cambria Math" w:hAnsi="Cambria Math" w:cs="Arial"/>
                        <w:i/>
                      </w:rPr>
                    </m:ctrlPr>
                  </m:dPr>
                  <m:e>
                    <m:r>
                      <w:rPr>
                        <w:rFonts w:ascii="Cambria Math" w:hAnsi="Cambria Math" w:cs="Arial"/>
                      </w:rPr>
                      <m:t>α</m:t>
                    </m:r>
                    <m:r>
                      <w:rPr>
                        <w:rFonts w:ascii="Cambria Math" w:hAnsi="Cambria Math" w:cs="Arial"/>
                      </w:rPr>
                      <m:t xml:space="preserve">, </m:t>
                    </m:r>
                    <m:r>
                      <w:rPr>
                        <w:rFonts w:ascii="Cambria Math" w:hAnsi="Cambria Math" w:cs="Arial"/>
                      </w:rPr>
                      <m:t>β</m:t>
                    </m:r>
                  </m:e>
                </m:d>
              </m:sub>
            </m:sSub>
            <m:r>
              <w:rPr>
                <w:rFonts w:ascii="Cambria Math" w:hAnsi="Cambria Math" w:cs="Arial"/>
              </w:rPr>
              <m:t>×</m:t>
            </m:r>
            <m:r>
              <w:rPr>
                <w:rFonts w:ascii="Cambria Math" w:hAnsi="Cambria Math" w:cs="Arial"/>
              </w:rPr>
              <m:t>V</m:t>
            </m:r>
          </m:den>
        </m:f>
      </m:oMath>
      <w:r w:rsidR="00BC2E1F" w:rsidRPr="00BC2E1F">
        <w:rPr>
          <w:rFonts w:ascii="Arial" w:hAnsi="Arial" w:cs="Arial"/>
        </w:rPr>
        <w:t xml:space="preserve">                                     </w:t>
      </w:r>
      <w:r w:rsidR="00BC2E1F" w:rsidRPr="00BC2E1F">
        <w:rPr>
          <w:rFonts w:ascii="Arial" w:hAnsi="Arial" w:cs="Arial"/>
        </w:rPr>
        <w:tab/>
        <w:t xml:space="preserve">              </w:t>
      </w:r>
    </w:p>
    <w:p w14:paraId="7F722D30" w14:textId="77777777" w:rsidR="00BC2E1F" w:rsidRPr="00BC2E1F" w:rsidRDefault="00BC2E1F" w:rsidP="00BC2E1F">
      <w:pPr>
        <w:pStyle w:val="Body"/>
        <w:spacing w:after="0"/>
        <w:rPr>
          <w:rFonts w:ascii="Arial" w:hAnsi="Arial" w:cs="Arial"/>
        </w:rPr>
      </w:pPr>
      <w:r w:rsidRPr="00BC2E1F">
        <w:rPr>
          <w:rFonts w:ascii="Arial" w:hAnsi="Arial" w:cs="Arial"/>
        </w:rPr>
        <w:t xml:space="preserve">where </w:t>
      </w:r>
      <w:r w:rsidRPr="00BC2E1F">
        <w:rPr>
          <w:rFonts w:ascii="Arial" w:hAnsi="Arial" w:cs="Arial"/>
          <w:i/>
          <w:iCs/>
        </w:rPr>
        <w:t>C</w:t>
      </w:r>
      <w:r w:rsidRPr="00BC2E1F">
        <w:rPr>
          <w:rFonts w:ascii="Arial" w:hAnsi="Arial" w:cs="Arial"/>
        </w:rPr>
        <w:t xml:space="preserve"> (</w:t>
      </w:r>
      <w:r w:rsidRPr="00BC2E1F">
        <w:rPr>
          <w:rFonts w:ascii="Arial" w:hAnsi="Arial" w:cs="Arial"/>
        </w:rPr>
        <w:sym w:font="Symbol" w:char="F061"/>
      </w:r>
      <w:r w:rsidRPr="00BC2E1F">
        <w:rPr>
          <w:rFonts w:ascii="Arial" w:hAnsi="Arial" w:cs="Arial"/>
        </w:rPr>
        <w:t>,</w:t>
      </w:r>
      <w:r w:rsidRPr="00BC2E1F">
        <w:rPr>
          <w:rFonts w:ascii="Arial" w:hAnsi="Arial" w:cs="Arial"/>
        </w:rPr>
        <w:sym w:font="Symbol" w:char="F062"/>
      </w:r>
      <w:r w:rsidRPr="00BC2E1F">
        <w:rPr>
          <w:rFonts w:ascii="Arial" w:hAnsi="Arial" w:cs="Arial"/>
        </w:rPr>
        <w:t>) is the alpha and beta activity (Bq/kg),</w:t>
      </w:r>
      <w:r w:rsidRPr="00BC2E1F">
        <w:rPr>
          <w:rFonts w:ascii="Arial" w:hAnsi="Arial" w:cs="Arial"/>
          <w:i/>
          <w:iCs/>
        </w:rPr>
        <w:t xml:space="preserve"> G</w:t>
      </w:r>
      <w:r w:rsidRPr="00BC2E1F">
        <w:rPr>
          <w:rFonts w:ascii="Arial" w:hAnsi="Arial" w:cs="Arial"/>
        </w:rPr>
        <w:t xml:space="preserve"> (</w:t>
      </w:r>
      <w:r w:rsidRPr="00BC2E1F">
        <w:rPr>
          <w:rFonts w:ascii="Arial" w:hAnsi="Arial" w:cs="Arial"/>
        </w:rPr>
        <w:sym w:font="Symbol" w:char="F061"/>
      </w:r>
      <w:r w:rsidRPr="00BC2E1F">
        <w:rPr>
          <w:rFonts w:ascii="Arial" w:hAnsi="Arial" w:cs="Arial"/>
        </w:rPr>
        <w:t xml:space="preserve"> ,</w:t>
      </w:r>
      <w:r w:rsidRPr="00BC2E1F">
        <w:rPr>
          <w:rFonts w:ascii="Arial" w:hAnsi="Arial" w:cs="Arial"/>
        </w:rPr>
        <w:sym w:font="Symbol" w:char="F062"/>
      </w:r>
      <w:r w:rsidRPr="00BC2E1F">
        <w:rPr>
          <w:rFonts w:ascii="Arial" w:hAnsi="Arial" w:cs="Arial"/>
        </w:rPr>
        <w:t xml:space="preserve">) is the background count of alpha and beta particle, </w:t>
      </w:r>
      <w:r w:rsidRPr="00BC2E1F">
        <w:rPr>
          <w:rFonts w:ascii="Arial" w:hAnsi="Arial" w:cs="Arial"/>
          <w:i/>
          <w:iCs/>
        </w:rPr>
        <w:t>U</w:t>
      </w:r>
      <w:r w:rsidRPr="00BC2E1F">
        <w:rPr>
          <w:rFonts w:ascii="Arial" w:hAnsi="Arial" w:cs="Arial"/>
        </w:rPr>
        <w:t xml:space="preserve"> (</w:t>
      </w:r>
      <w:r w:rsidRPr="00BC2E1F">
        <w:rPr>
          <w:rFonts w:ascii="Arial" w:hAnsi="Arial" w:cs="Arial"/>
        </w:rPr>
        <w:sym w:font="Symbol" w:char="F061"/>
      </w:r>
      <w:r w:rsidRPr="00BC2E1F">
        <w:rPr>
          <w:rFonts w:ascii="Arial" w:hAnsi="Arial" w:cs="Arial"/>
        </w:rPr>
        <w:t>,</w:t>
      </w:r>
      <w:r w:rsidRPr="00BC2E1F">
        <w:rPr>
          <w:rFonts w:ascii="Arial" w:hAnsi="Arial" w:cs="Arial"/>
        </w:rPr>
        <w:sym w:font="Symbol" w:char="F062"/>
      </w:r>
      <w:r w:rsidRPr="00BC2E1F">
        <w:rPr>
          <w:rFonts w:ascii="Arial" w:hAnsi="Arial" w:cs="Arial"/>
        </w:rPr>
        <w:t>) is the unit coefficient of alpha and beta particle (1.67 x 10</w:t>
      </w:r>
      <w:r w:rsidRPr="00BC2E1F">
        <w:rPr>
          <w:rFonts w:ascii="Arial" w:hAnsi="Arial" w:cs="Arial"/>
          <w:vertAlign w:val="superscript"/>
        </w:rPr>
        <w:t>-2</w:t>
      </w:r>
      <w:r w:rsidRPr="00BC2E1F">
        <w:rPr>
          <w:rFonts w:ascii="Arial" w:hAnsi="Arial" w:cs="Arial"/>
        </w:rPr>
        <w:t xml:space="preserve">) conversion factor from </w:t>
      </w:r>
      <w:proofErr w:type="spellStart"/>
      <w:r w:rsidRPr="00BC2E1F">
        <w:rPr>
          <w:rFonts w:ascii="Arial" w:hAnsi="Arial" w:cs="Arial"/>
        </w:rPr>
        <w:t>cpm</w:t>
      </w:r>
      <w:proofErr w:type="spellEnd"/>
      <w:r w:rsidRPr="00BC2E1F">
        <w:rPr>
          <w:rFonts w:ascii="Arial" w:hAnsi="Arial" w:cs="Arial"/>
        </w:rPr>
        <w:t xml:space="preserve"> to cps (1cps=1Bq), </w:t>
      </w:r>
      <w:r w:rsidRPr="00BC2E1F">
        <w:rPr>
          <w:rFonts w:ascii="Arial" w:hAnsi="Arial" w:cs="Arial"/>
          <w:i/>
          <w:iCs/>
        </w:rPr>
        <w:t>H</w:t>
      </w:r>
      <w:r w:rsidRPr="00BC2E1F">
        <w:rPr>
          <w:rFonts w:ascii="Arial" w:hAnsi="Arial" w:cs="Arial"/>
        </w:rPr>
        <w:t xml:space="preserve"> (</w:t>
      </w:r>
      <w:r w:rsidRPr="00BC2E1F">
        <w:rPr>
          <w:rFonts w:ascii="Arial" w:hAnsi="Arial" w:cs="Arial"/>
        </w:rPr>
        <w:sym w:font="Symbol" w:char="F061"/>
      </w:r>
      <w:r w:rsidRPr="00BC2E1F">
        <w:rPr>
          <w:rFonts w:ascii="Arial" w:hAnsi="Arial" w:cs="Arial"/>
        </w:rPr>
        <w:t>,</w:t>
      </w:r>
      <w:r w:rsidRPr="00BC2E1F">
        <w:rPr>
          <w:rFonts w:ascii="Arial" w:hAnsi="Arial" w:cs="Arial"/>
        </w:rPr>
        <w:sym w:font="Symbol" w:char="F062"/>
      </w:r>
      <w:r w:rsidRPr="00BC2E1F">
        <w:rPr>
          <w:rFonts w:ascii="Arial" w:hAnsi="Arial" w:cs="Arial"/>
        </w:rPr>
        <w:t xml:space="preserve">) is the channel efficiency for alpha or beta counting, </w:t>
      </w:r>
      <w:r w:rsidRPr="00BC2E1F">
        <w:rPr>
          <w:rFonts w:ascii="Arial" w:hAnsi="Arial" w:cs="Arial"/>
          <w:i/>
          <w:iCs/>
        </w:rPr>
        <w:t>S</w:t>
      </w:r>
      <w:r w:rsidRPr="00BC2E1F">
        <w:rPr>
          <w:rFonts w:ascii="Arial" w:hAnsi="Arial" w:cs="Arial"/>
        </w:rPr>
        <w:t xml:space="preserve"> (</w:t>
      </w:r>
      <w:r w:rsidRPr="00BC2E1F">
        <w:rPr>
          <w:rFonts w:ascii="Arial" w:hAnsi="Arial" w:cs="Arial"/>
        </w:rPr>
        <w:sym w:font="Symbol" w:char="F061"/>
      </w:r>
      <w:r w:rsidRPr="00BC2E1F">
        <w:rPr>
          <w:rFonts w:ascii="Arial" w:hAnsi="Arial" w:cs="Arial"/>
        </w:rPr>
        <w:t>,</w:t>
      </w:r>
      <w:r w:rsidRPr="00BC2E1F">
        <w:rPr>
          <w:rFonts w:ascii="Arial" w:hAnsi="Arial" w:cs="Arial"/>
        </w:rPr>
        <w:sym w:font="Symbol" w:char="F062"/>
      </w:r>
      <w:r w:rsidRPr="00BC2E1F">
        <w:rPr>
          <w:rFonts w:ascii="Arial" w:hAnsi="Arial" w:cs="Arial"/>
        </w:rPr>
        <w:t>) is the sample efficiency for alpha or beta counting and V is the sample mass.</w:t>
      </w:r>
    </w:p>
    <w:p w14:paraId="5A3C8F82" w14:textId="77777777" w:rsidR="00BC2E1F" w:rsidRPr="00BC2E1F" w:rsidRDefault="00BC2E1F" w:rsidP="00BC2E1F">
      <w:pPr>
        <w:pStyle w:val="Body"/>
        <w:spacing w:after="0"/>
        <w:rPr>
          <w:rFonts w:ascii="Arial" w:hAnsi="Arial" w:cs="Arial"/>
        </w:rPr>
      </w:pPr>
      <w:r w:rsidRPr="00BC2E1F">
        <w:rPr>
          <w:rFonts w:ascii="Arial" w:hAnsi="Arial" w:cs="Arial"/>
        </w:rPr>
        <w:t xml:space="preserve">Each sample was counted three times to ensure optimal accuracy. The alpha α-only and beta (+α) counting modes were employed for alpha and beta counting, respectively. The count rate of each sample was automatically processed by the computer using certain algorithms that took background counts, alpha and beta particle count rates, and other relevant variables into account. The activity of the samples was computed based on the processed count rates as show below, </w:t>
      </w:r>
    </w:p>
    <w:p w14:paraId="605A5ED8" w14:textId="79716ACE" w:rsidR="00BC2E1F" w:rsidRPr="00BC2E1F" w:rsidRDefault="00780AF2" w:rsidP="00BC2E1F">
      <w:pPr>
        <w:pStyle w:val="Body"/>
        <w:spacing w:after="0"/>
        <w:rPr>
          <w:rFonts w:ascii="Arial" w:hAnsi="Arial" w:cs="Arial"/>
        </w:rPr>
      </w:pPr>
      <m:oMath>
        <m:sSub>
          <m:sSubPr>
            <m:ctrlPr>
              <w:rPr>
                <w:rFonts w:ascii="Cambria Math" w:hAnsi="Cambria Math" w:cs="Arial"/>
                <w:i/>
              </w:rPr>
            </m:ctrlPr>
          </m:sSubPr>
          <m:e>
            <m:r>
              <w:rPr>
                <w:rFonts w:ascii="Cambria Math" w:hAnsi="Cambria Math" w:cs="Arial"/>
              </w:rPr>
              <m:t>A</m:t>
            </m:r>
          </m:e>
          <m:sub>
            <m:d>
              <m:dPr>
                <m:ctrlPr>
                  <w:rPr>
                    <w:rFonts w:ascii="Cambria Math" w:hAnsi="Cambria Math" w:cs="Arial"/>
                    <w:i/>
                  </w:rPr>
                </m:ctrlPr>
              </m:dPr>
              <m:e>
                <m:r>
                  <w:rPr>
                    <w:rFonts w:ascii="Cambria Math" w:hAnsi="Cambria Math" w:cs="Arial"/>
                  </w:rPr>
                  <m:t>α</m:t>
                </m:r>
                <m:r>
                  <w:rPr>
                    <w:rFonts w:ascii="Cambria Math" w:hAnsi="Cambria Math" w:cs="Arial"/>
                  </w:rPr>
                  <m:t xml:space="preserve">, </m:t>
                </m:r>
                <m:r>
                  <w:rPr>
                    <w:rFonts w:ascii="Cambria Math" w:hAnsi="Cambria Math" w:cs="Arial"/>
                  </w:rPr>
                  <m:t>β</m:t>
                </m:r>
              </m:e>
            </m:d>
          </m:sub>
        </m:sSub>
        <m:r>
          <w:rPr>
            <w:rFonts w:ascii="Cambria Math" w:hAnsi="Cambria Math" w:cs="Arial"/>
          </w:rPr>
          <m:t xml:space="preserve"> = </m:t>
        </m:r>
        <m:sSub>
          <m:sSubPr>
            <m:ctrlPr>
              <w:rPr>
                <w:rFonts w:ascii="Cambria Math" w:hAnsi="Cambria Math" w:cs="Arial"/>
                <w:i/>
              </w:rPr>
            </m:ctrlPr>
          </m:sSubPr>
          <m:e>
            <m:r>
              <w:rPr>
                <w:rFonts w:ascii="Cambria Math" w:hAnsi="Cambria Math" w:cs="Arial"/>
              </w:rPr>
              <m:t>B</m:t>
            </m:r>
          </m:e>
          <m:sub>
            <m:r>
              <w:rPr>
                <w:rFonts w:ascii="Cambria Math" w:hAnsi="Cambria Math" w:cs="Arial"/>
              </w:rPr>
              <m:t>α</m:t>
            </m:r>
            <m:r>
              <w:rPr>
                <w:rFonts w:ascii="Cambria Math" w:hAnsi="Cambria Math" w:cs="Arial"/>
              </w:rPr>
              <m:t xml:space="preserve">, </m:t>
            </m:r>
            <m:r>
              <w:rPr>
                <w:rFonts w:ascii="Cambria Math" w:hAnsi="Cambria Math" w:cs="Arial"/>
              </w:rPr>
              <m:t>β</m:t>
            </m:r>
          </m:sub>
        </m:sSub>
        <m:r>
          <w:rPr>
            <w:rFonts w:ascii="Cambria Math" w:hAnsi="Cambria Math" w:cs="Arial"/>
          </w:rPr>
          <m:t>×</m:t>
        </m:r>
        <m:f>
          <m:fPr>
            <m:type m:val="lin"/>
            <m:ctrlPr>
              <w:rPr>
                <w:rFonts w:ascii="Cambria Math" w:hAnsi="Cambria Math" w:cs="Arial"/>
                <w:i/>
              </w:rPr>
            </m:ctrlPr>
          </m:fPr>
          <m:num>
            <m:r>
              <w:rPr>
                <w:rFonts w:ascii="Cambria Math" w:hAnsi="Cambria Math" w:cs="Arial"/>
              </w:rPr>
              <m:t>60</m:t>
            </m:r>
          </m:num>
          <m:den>
            <m:r>
              <w:rPr>
                <w:rFonts w:ascii="Cambria Math" w:hAnsi="Cambria Math" w:cs="Arial"/>
              </w:rPr>
              <m:t>T</m:t>
            </m:r>
          </m:den>
        </m:f>
      </m:oMath>
      <w:r w:rsidR="00BC2E1F" w:rsidRPr="00BC2E1F">
        <w:rPr>
          <w:rFonts w:ascii="Arial" w:hAnsi="Arial" w:cs="Arial"/>
        </w:rPr>
        <w:t xml:space="preserve">  </w:t>
      </w:r>
      <w:r w:rsidR="00BC2E1F" w:rsidRPr="00BC2E1F">
        <w:rPr>
          <w:rFonts w:ascii="Arial" w:hAnsi="Arial" w:cs="Arial"/>
        </w:rPr>
        <w:tab/>
      </w:r>
    </w:p>
    <w:p w14:paraId="31386DFC" w14:textId="5640B39F" w:rsidR="00BC2E1F" w:rsidRPr="00BC2E1F" w:rsidRDefault="00BC2E1F" w:rsidP="00BC2E1F">
      <w:pPr>
        <w:pStyle w:val="Body"/>
        <w:spacing w:after="0"/>
        <w:rPr>
          <w:rFonts w:ascii="Arial" w:hAnsi="Arial" w:cs="Arial"/>
        </w:rPr>
      </w:pPr>
      <w:r w:rsidRPr="00BC2E1F">
        <w:rPr>
          <w:rFonts w:ascii="Arial" w:hAnsi="Arial" w:cs="Arial"/>
        </w:rPr>
        <w:t>Where</w:t>
      </w:r>
      <w:r w:rsidRPr="00BC2E1F">
        <w:rPr>
          <w:rFonts w:ascii="Arial" w:hAnsi="Arial" w:cs="Arial"/>
          <w:i/>
          <w:iCs/>
        </w:rPr>
        <w:t xml:space="preserve"> A </w:t>
      </w:r>
      <w:r w:rsidRPr="00BC2E1F">
        <w:rPr>
          <w:rFonts w:ascii="Arial" w:hAnsi="Arial" w:cs="Arial"/>
        </w:rPr>
        <w:t>(</w:t>
      </w:r>
      <w:r w:rsidRPr="00BC2E1F">
        <w:rPr>
          <w:rFonts w:ascii="Arial" w:hAnsi="Arial" w:cs="Arial"/>
        </w:rPr>
        <w:sym w:font="Symbol" w:char="F061"/>
      </w:r>
      <w:r w:rsidRPr="00BC2E1F">
        <w:rPr>
          <w:rFonts w:ascii="Arial" w:hAnsi="Arial" w:cs="Arial"/>
        </w:rPr>
        <w:t>,</w:t>
      </w:r>
      <w:r w:rsidRPr="00BC2E1F">
        <w:rPr>
          <w:rFonts w:ascii="Arial" w:hAnsi="Arial" w:cs="Arial"/>
        </w:rPr>
        <w:sym w:font="Symbol" w:char="F062"/>
      </w:r>
      <w:r w:rsidRPr="00BC2E1F">
        <w:rPr>
          <w:rFonts w:ascii="Arial" w:hAnsi="Arial" w:cs="Arial"/>
        </w:rPr>
        <w:t>) is the count rate (</w:t>
      </w:r>
      <w:proofErr w:type="spellStart"/>
      <w:r w:rsidRPr="00BC2E1F">
        <w:rPr>
          <w:rFonts w:ascii="Arial" w:hAnsi="Arial" w:cs="Arial"/>
        </w:rPr>
        <w:t>cpm</w:t>
      </w:r>
      <w:proofErr w:type="spellEnd"/>
      <w:r w:rsidRPr="00BC2E1F">
        <w:rPr>
          <w:rFonts w:ascii="Arial" w:hAnsi="Arial" w:cs="Arial"/>
        </w:rPr>
        <w:t>) of alpha and beta particles, B (</w:t>
      </w:r>
      <w:r w:rsidRPr="00BC2E1F">
        <w:rPr>
          <w:rFonts w:ascii="Arial" w:hAnsi="Arial" w:cs="Arial"/>
        </w:rPr>
        <w:sym w:font="Symbol" w:char="F061"/>
      </w:r>
      <w:r w:rsidRPr="00BC2E1F">
        <w:rPr>
          <w:rFonts w:ascii="Arial" w:hAnsi="Arial" w:cs="Arial"/>
        </w:rPr>
        <w:t>,</w:t>
      </w:r>
      <w:r w:rsidRPr="00BC2E1F">
        <w:rPr>
          <w:rFonts w:ascii="Arial" w:hAnsi="Arial" w:cs="Arial"/>
        </w:rPr>
        <w:sym w:font="Symbol" w:char="F062"/>
      </w:r>
      <w:r w:rsidRPr="00BC2E1F">
        <w:rPr>
          <w:rFonts w:ascii="Arial" w:hAnsi="Arial" w:cs="Arial"/>
        </w:rPr>
        <w:t xml:space="preserve">) </w:t>
      </w:r>
      <w:r w:rsidRPr="00BC2E1F">
        <w:rPr>
          <w:rFonts w:ascii="Arial" w:hAnsi="Arial" w:cs="Arial"/>
          <w:i/>
          <w:iCs/>
        </w:rPr>
        <w:t>is</w:t>
      </w:r>
      <w:r w:rsidRPr="00BC2E1F">
        <w:rPr>
          <w:rFonts w:ascii="Arial" w:hAnsi="Arial" w:cs="Arial"/>
        </w:rPr>
        <w:t xml:space="preserve"> the raw count of alpha or beta particle, T is the counting time (2700 sec. or 45min.)</w:t>
      </w:r>
      <w:r w:rsidR="00A10120">
        <w:rPr>
          <w:rFonts w:ascii="Arial" w:hAnsi="Arial" w:cs="Arial"/>
        </w:rPr>
        <w:t xml:space="preserve"> </w:t>
      </w:r>
      <w:r w:rsidRPr="00BC2E1F">
        <w:rPr>
          <w:rFonts w:ascii="Arial" w:hAnsi="Arial" w:cs="Arial"/>
        </w:rPr>
        <w:t xml:space="preserve">and the sample efficiency was assessed using the original mass of the sample in powder form and the recovered mass after pellet formation. </w:t>
      </w:r>
    </w:p>
    <w:p w14:paraId="5CE02992" w14:textId="4C82C9C6" w:rsidR="00BC2E1F" w:rsidRPr="00BC2E1F" w:rsidRDefault="00780AF2" w:rsidP="00BC2E1F">
      <w:pPr>
        <w:pStyle w:val="Body"/>
        <w:spacing w:after="0"/>
        <w:rPr>
          <w:rFonts w:ascii="Arial" w:hAnsi="Arial" w:cs="Arial"/>
          <w:b/>
        </w:rPr>
      </w:pPr>
      <m:oMath>
        <m:sSub>
          <m:sSubPr>
            <m:ctrlPr>
              <w:rPr>
                <w:rFonts w:ascii="Cambria Math" w:hAnsi="Cambria Math" w:cs="Arial"/>
                <w:i/>
              </w:rPr>
            </m:ctrlPr>
          </m:sSubPr>
          <m:e>
            <m:r>
              <w:rPr>
                <w:rFonts w:ascii="Cambria Math" w:hAnsi="Cambria Math" w:cs="Arial"/>
              </w:rPr>
              <m:t>ε</m:t>
            </m:r>
          </m:e>
          <m:sub>
            <m:r>
              <w:rPr>
                <w:rFonts w:ascii="Cambria Math" w:hAnsi="Cambria Math" w:cs="Arial"/>
              </w:rPr>
              <m:t>ss</m:t>
            </m:r>
          </m:sub>
        </m:sSub>
        <m:r>
          <w:rPr>
            <w:rFonts w:ascii="Cambria Math" w:hAnsi="Cambria Math" w:cs="Arial"/>
          </w:rPr>
          <m:t xml:space="preserve"> =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M</m:t>
                </m:r>
              </m:e>
              <m:sub>
                <m:r>
                  <w:rPr>
                    <w:rFonts w:ascii="Cambria Math" w:hAnsi="Cambria Math" w:cs="Arial"/>
                  </w:rPr>
                  <m:t>r</m:t>
                </m:r>
              </m:sub>
            </m:sSub>
          </m:num>
          <m:den>
            <m:sSub>
              <m:sSubPr>
                <m:ctrlPr>
                  <w:rPr>
                    <w:rFonts w:ascii="Cambria Math" w:hAnsi="Cambria Math" w:cs="Arial"/>
                    <w:i/>
                  </w:rPr>
                </m:ctrlPr>
              </m:sSubPr>
              <m:e>
                <m:r>
                  <w:rPr>
                    <w:rFonts w:ascii="Cambria Math" w:hAnsi="Cambria Math" w:cs="Arial"/>
                  </w:rPr>
                  <m:t>M</m:t>
                </m:r>
              </m:e>
              <m:sub>
                <m:r>
                  <w:rPr>
                    <w:rFonts w:ascii="Cambria Math" w:hAnsi="Cambria Math" w:cs="Arial"/>
                  </w:rPr>
                  <m:t>i</m:t>
                </m:r>
              </m:sub>
            </m:sSub>
          </m:den>
        </m:f>
        <m:r>
          <w:rPr>
            <w:rFonts w:ascii="Cambria Math" w:hAnsi="Cambria Math" w:cs="Arial"/>
          </w:rPr>
          <m:t xml:space="preserve"> ×100</m:t>
        </m:r>
      </m:oMath>
      <w:r w:rsidR="00BC2E1F" w:rsidRPr="00BC2E1F">
        <w:rPr>
          <w:rFonts w:ascii="Arial" w:hAnsi="Arial" w:cs="Arial"/>
        </w:rPr>
        <w:t xml:space="preserve"> </w:t>
      </w:r>
      <w:r w:rsidR="00BC2E1F" w:rsidRPr="00BC2E1F">
        <w:rPr>
          <w:rFonts w:ascii="Arial" w:hAnsi="Arial" w:cs="Arial"/>
        </w:rPr>
        <w:tab/>
      </w:r>
      <w:r w:rsidR="00BC2E1F" w:rsidRPr="00BC2E1F">
        <w:rPr>
          <w:rFonts w:ascii="Arial" w:hAnsi="Arial" w:cs="Arial"/>
          <w:b/>
        </w:rPr>
        <w:tab/>
      </w:r>
      <w:r w:rsidR="00BC2E1F" w:rsidRPr="00BC2E1F">
        <w:rPr>
          <w:rFonts w:ascii="Arial" w:hAnsi="Arial" w:cs="Arial"/>
          <w:b/>
        </w:rPr>
        <w:tab/>
      </w:r>
      <w:r w:rsidR="00BC2E1F" w:rsidRPr="00BC2E1F">
        <w:rPr>
          <w:rFonts w:ascii="Arial" w:hAnsi="Arial" w:cs="Arial"/>
          <w:b/>
        </w:rPr>
        <w:tab/>
      </w:r>
      <w:r w:rsidR="00BC2E1F" w:rsidRPr="00BC2E1F">
        <w:rPr>
          <w:rFonts w:ascii="Arial" w:hAnsi="Arial" w:cs="Arial"/>
          <w:b/>
        </w:rPr>
        <w:tab/>
        <w:t xml:space="preserve">            </w:t>
      </w:r>
      <w:r w:rsidR="00BC2E1F" w:rsidRPr="00BC2E1F">
        <w:rPr>
          <w:rFonts w:ascii="Arial" w:hAnsi="Arial" w:cs="Arial"/>
          <w:b/>
        </w:rPr>
        <w:tab/>
      </w:r>
      <w:r w:rsidR="00BC2E1F" w:rsidRPr="00BC2E1F">
        <w:rPr>
          <w:rFonts w:ascii="Arial" w:hAnsi="Arial" w:cs="Arial"/>
          <w:b/>
        </w:rPr>
        <w:tab/>
      </w:r>
      <w:r w:rsidR="00BC2E1F" w:rsidRPr="00BC2E1F">
        <w:rPr>
          <w:rFonts w:ascii="Arial" w:hAnsi="Arial" w:cs="Arial"/>
        </w:rPr>
        <w:tab/>
        <w:t xml:space="preserve">  </w:t>
      </w:r>
    </w:p>
    <w:p w14:paraId="1EA7BBC1" w14:textId="0EA42090" w:rsidR="00BC2E1F" w:rsidRPr="00BC2E1F" w:rsidRDefault="00BC2E1F" w:rsidP="00BC2E1F">
      <w:pPr>
        <w:pStyle w:val="Body"/>
        <w:spacing w:after="0"/>
        <w:rPr>
          <w:rFonts w:ascii="Arial" w:hAnsi="Arial" w:cs="Arial"/>
        </w:rPr>
      </w:pPr>
      <w:r w:rsidRPr="00BC2E1F">
        <w:rPr>
          <w:rFonts w:ascii="Arial" w:hAnsi="Arial" w:cs="Arial"/>
        </w:rPr>
        <w:t xml:space="preserve">where </w:t>
      </w:r>
      <m:oMath>
        <m:sSub>
          <m:sSubPr>
            <m:ctrlPr>
              <w:rPr>
                <w:rFonts w:ascii="Cambria Math" w:hAnsi="Cambria Math" w:cs="Arial"/>
                <w:i/>
              </w:rPr>
            </m:ctrlPr>
          </m:sSubPr>
          <m:e>
            <m:r>
              <w:rPr>
                <w:rFonts w:ascii="Cambria Math" w:hAnsi="Cambria Math" w:cs="Arial"/>
              </w:rPr>
              <m:t>M</m:t>
            </m:r>
          </m:e>
          <m:sub>
            <m:r>
              <w:rPr>
                <w:rFonts w:ascii="Cambria Math" w:hAnsi="Cambria Math" w:cs="Arial"/>
              </w:rPr>
              <m:t>r</m:t>
            </m:r>
          </m:sub>
        </m:sSub>
      </m:oMath>
      <w:r w:rsidRPr="00BC2E1F">
        <w:rPr>
          <w:rFonts w:ascii="Arial" w:hAnsi="Arial" w:cs="Arial"/>
          <w:i/>
          <w:iCs/>
        </w:rPr>
        <w:t xml:space="preserve"> </w:t>
      </w:r>
      <w:r w:rsidRPr="00BC2E1F">
        <w:rPr>
          <w:rFonts w:ascii="Arial" w:hAnsi="Arial" w:cs="Arial"/>
        </w:rPr>
        <w:t>is the recovered mass after pellet was formed and</w:t>
      </w:r>
      <m:oMath>
        <m:r>
          <w:rPr>
            <w:rFonts w:ascii="Cambria Math" w:hAnsi="Cambria Math" w:cs="Arial"/>
          </w:rPr>
          <m:t xml:space="preserve"> </m:t>
        </m:r>
        <m:sSub>
          <m:sSubPr>
            <m:ctrlPr>
              <w:rPr>
                <w:rFonts w:ascii="Cambria Math" w:hAnsi="Cambria Math" w:cs="Arial"/>
                <w:i/>
              </w:rPr>
            </m:ctrlPr>
          </m:sSubPr>
          <m:e>
            <m:r>
              <w:rPr>
                <w:rFonts w:ascii="Cambria Math" w:hAnsi="Cambria Math" w:cs="Arial"/>
              </w:rPr>
              <m:t>M</m:t>
            </m:r>
          </m:e>
          <m:sub>
            <m:r>
              <w:rPr>
                <w:rFonts w:ascii="Cambria Math" w:hAnsi="Cambria Math" w:cs="Arial"/>
              </w:rPr>
              <m:t>i</m:t>
            </m:r>
          </m:sub>
        </m:sSub>
      </m:oMath>
      <w:r w:rsidRPr="00BC2E1F">
        <w:rPr>
          <w:rFonts w:ascii="Arial" w:hAnsi="Arial" w:cs="Arial"/>
        </w:rPr>
        <w:t xml:space="preserve"> </w:t>
      </w:r>
      <w:r w:rsidRPr="00BC2E1F">
        <w:rPr>
          <w:rFonts w:ascii="Arial" w:hAnsi="Arial" w:cs="Arial"/>
          <w:i/>
          <w:iCs/>
        </w:rPr>
        <w:t xml:space="preserve"> </w:t>
      </w:r>
      <w:r w:rsidRPr="00BC2E1F">
        <w:rPr>
          <w:rFonts w:ascii="Arial" w:hAnsi="Arial" w:cs="Arial"/>
        </w:rPr>
        <w:t xml:space="preserve">is the initial mass of the sample in powder </w:t>
      </w:r>
      <w:proofErr w:type="gramStart"/>
      <w:r w:rsidRPr="00BC2E1F">
        <w:rPr>
          <w:rFonts w:ascii="Arial" w:hAnsi="Arial" w:cs="Arial"/>
        </w:rPr>
        <w:t>form.</w:t>
      </w:r>
      <w:proofErr w:type="gramEnd"/>
    </w:p>
    <w:p w14:paraId="23DA9C4E" w14:textId="77777777" w:rsidR="00BC2E1F" w:rsidRPr="00BC2E1F" w:rsidRDefault="00BC2E1F" w:rsidP="00BC2E1F">
      <w:pPr>
        <w:pStyle w:val="Body"/>
        <w:spacing w:after="0"/>
        <w:rPr>
          <w:rFonts w:ascii="Arial" w:hAnsi="Arial" w:cs="Arial"/>
          <w:b/>
        </w:rPr>
      </w:pPr>
      <w:r w:rsidRPr="00BC2E1F">
        <w:rPr>
          <w:rFonts w:ascii="Arial" w:hAnsi="Arial" w:cs="Arial"/>
          <w:bCs/>
        </w:rPr>
        <w:t xml:space="preserve">The instrument was calibrated with </w:t>
      </w:r>
      <w:r w:rsidRPr="00BC2E1F">
        <w:rPr>
          <w:rFonts w:ascii="Arial" w:hAnsi="Arial" w:cs="Arial"/>
        </w:rPr>
        <w:t xml:space="preserve">sources of Sr-90, a beta source, and Pu-239, an alpha source. Detector efficiency for alpha was 87.95%, beta was 42.06%, while the detection limit for alpha was 0.21 </w:t>
      </w:r>
      <w:proofErr w:type="spellStart"/>
      <w:r w:rsidRPr="00BC2E1F">
        <w:rPr>
          <w:rFonts w:ascii="Arial" w:hAnsi="Arial" w:cs="Arial"/>
        </w:rPr>
        <w:t>cpm</w:t>
      </w:r>
      <w:proofErr w:type="spellEnd"/>
      <w:r w:rsidRPr="00BC2E1F">
        <w:rPr>
          <w:rFonts w:ascii="Arial" w:hAnsi="Arial" w:cs="Arial"/>
        </w:rPr>
        <w:t xml:space="preserve"> and beta = 0.22 </w:t>
      </w:r>
      <w:proofErr w:type="spellStart"/>
      <w:r w:rsidRPr="00BC2E1F">
        <w:rPr>
          <w:rFonts w:ascii="Arial" w:hAnsi="Arial" w:cs="Arial"/>
        </w:rPr>
        <w:t>cpm</w:t>
      </w:r>
      <w:proofErr w:type="spellEnd"/>
      <w:r w:rsidRPr="00BC2E1F">
        <w:rPr>
          <w:rFonts w:ascii="Arial" w:hAnsi="Arial" w:cs="Arial"/>
        </w:rPr>
        <w:t xml:space="preserve">. The background of the detector for alpha was 0.50 </w:t>
      </w:r>
      <w:proofErr w:type="spellStart"/>
      <w:r w:rsidRPr="00BC2E1F">
        <w:rPr>
          <w:rFonts w:ascii="Arial" w:hAnsi="Arial" w:cs="Arial"/>
        </w:rPr>
        <w:t>cpm</w:t>
      </w:r>
      <w:proofErr w:type="spellEnd"/>
      <w:r w:rsidRPr="00BC2E1F">
        <w:rPr>
          <w:rFonts w:ascii="Arial" w:hAnsi="Arial" w:cs="Arial"/>
        </w:rPr>
        <w:t xml:space="preserve"> and beta = 0.73.</w:t>
      </w:r>
    </w:p>
    <w:p w14:paraId="7020D3D3" w14:textId="77777777" w:rsidR="00BC2E1F" w:rsidRDefault="00BC2E1F" w:rsidP="00441B6F">
      <w:pPr>
        <w:pStyle w:val="Body"/>
        <w:spacing w:after="0"/>
        <w:rPr>
          <w:rFonts w:ascii="Arial" w:hAnsi="Arial" w:cs="Arial"/>
        </w:rPr>
      </w:pPr>
    </w:p>
    <w:p w14:paraId="6E9F1B9F" w14:textId="77777777" w:rsidR="00790ADA" w:rsidRPr="00FB3A86" w:rsidRDefault="00790ADA" w:rsidP="00441B6F">
      <w:pPr>
        <w:pStyle w:val="Body"/>
        <w:spacing w:after="0"/>
        <w:rPr>
          <w:rFonts w:ascii="Arial" w:hAnsi="Arial" w:cs="Arial"/>
        </w:rPr>
      </w:pPr>
    </w:p>
    <w:p w14:paraId="58D0A4D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8F1A222" w14:textId="77777777" w:rsidR="001928B7" w:rsidRDefault="001928B7" w:rsidP="00441B6F">
      <w:pPr>
        <w:pStyle w:val="Body"/>
        <w:spacing w:after="0"/>
        <w:rPr>
          <w:rFonts w:ascii="Arial" w:hAnsi="Arial" w:cs="Arial"/>
          <w:b/>
          <w:caps/>
          <w:sz w:val="22"/>
        </w:rPr>
      </w:pPr>
    </w:p>
    <w:p w14:paraId="5F75E119" w14:textId="20466DDE" w:rsidR="00790ADA" w:rsidRDefault="00973327" w:rsidP="00441B6F">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 xml:space="preserve">.1 </w:t>
      </w:r>
      <w:r>
        <w:rPr>
          <w:rFonts w:ascii="Arial" w:hAnsi="Arial" w:cs="Arial"/>
          <w:b/>
          <w:sz w:val="22"/>
        </w:rPr>
        <w:t>Results</w:t>
      </w:r>
    </w:p>
    <w:p w14:paraId="7AD18743" w14:textId="77777777" w:rsidR="001928B7" w:rsidRDefault="001928B7" w:rsidP="00441B6F">
      <w:pPr>
        <w:pStyle w:val="Body"/>
        <w:spacing w:after="0"/>
        <w:rPr>
          <w:rFonts w:ascii="Arial" w:hAnsi="Arial" w:cs="Arial"/>
          <w:b/>
          <w:sz w:val="22"/>
          <w:u w:val="single"/>
        </w:rPr>
      </w:pPr>
    </w:p>
    <w:p w14:paraId="10F9DE23" w14:textId="2502E32A" w:rsidR="00973327" w:rsidRDefault="00973327" w:rsidP="00441B6F">
      <w:pPr>
        <w:pStyle w:val="Body"/>
        <w:spacing w:after="0"/>
        <w:rPr>
          <w:rFonts w:ascii="Arial" w:hAnsi="Arial" w:cs="Arial"/>
          <w:b/>
          <w:sz w:val="22"/>
          <w:u w:val="single"/>
        </w:rPr>
      </w:pPr>
      <w:r w:rsidRPr="00973327">
        <w:rPr>
          <w:rFonts w:ascii="Arial" w:hAnsi="Arial" w:cs="Arial"/>
          <w:b/>
          <w:sz w:val="22"/>
          <w:u w:val="single"/>
        </w:rPr>
        <w:t xml:space="preserve">3.1.1 </w:t>
      </w:r>
      <w:r>
        <w:rPr>
          <w:rFonts w:ascii="Arial" w:hAnsi="Arial" w:cs="Arial"/>
          <w:b/>
          <w:sz w:val="22"/>
          <w:u w:val="single"/>
        </w:rPr>
        <w:t>Discussion of results</w:t>
      </w:r>
    </w:p>
    <w:p w14:paraId="738A6911" w14:textId="77777777" w:rsidR="001928B7" w:rsidRPr="00502516" w:rsidRDefault="001928B7" w:rsidP="00441B6F">
      <w:pPr>
        <w:pStyle w:val="Body"/>
        <w:spacing w:after="0"/>
        <w:rPr>
          <w:rFonts w:ascii="Arial" w:hAnsi="Arial" w:cs="Arial"/>
        </w:rPr>
      </w:pPr>
    </w:p>
    <w:p w14:paraId="370425A5" w14:textId="14949109" w:rsidR="00461B12" w:rsidRDefault="00C9061E" w:rsidP="00973327">
      <w:pPr>
        <w:pStyle w:val="Body"/>
        <w:rPr>
          <w:rFonts w:ascii="Arial" w:hAnsi="Arial" w:cs="Arial"/>
        </w:rPr>
      </w:pPr>
      <w:r w:rsidRPr="00C9061E">
        <w:rPr>
          <w:rFonts w:ascii="Arial" w:hAnsi="Arial" w:cs="Arial"/>
        </w:rPr>
        <w:t xml:space="preserve">The results for the mean </w:t>
      </w:r>
      <w:bookmarkStart w:id="4" w:name="_Hlk213940853"/>
      <w:r w:rsidRPr="00C9061E">
        <w:rPr>
          <w:rFonts w:ascii="Arial" w:hAnsi="Arial" w:cs="Arial"/>
        </w:rPr>
        <w:t xml:space="preserve">gross alpha activities </w:t>
      </w:r>
      <w:bookmarkEnd w:id="4"/>
      <w:r w:rsidRPr="00C9061E">
        <w:rPr>
          <w:rFonts w:ascii="Arial" w:hAnsi="Arial" w:cs="Arial"/>
        </w:rPr>
        <w:t xml:space="preserve">in </w:t>
      </w:r>
      <w:r>
        <w:rPr>
          <w:rFonts w:ascii="Arial" w:hAnsi="Arial" w:cs="Arial"/>
        </w:rPr>
        <w:t xml:space="preserve">soil and sediments from </w:t>
      </w:r>
      <w:r w:rsidRPr="00C9061E">
        <w:rPr>
          <w:rFonts w:ascii="Arial" w:hAnsi="Arial" w:cs="Arial"/>
        </w:rPr>
        <w:t xml:space="preserve">selected oil spill sites in Rivers State </w:t>
      </w:r>
      <w:r>
        <w:rPr>
          <w:rFonts w:ascii="Arial" w:hAnsi="Arial" w:cs="Arial"/>
        </w:rPr>
        <w:t>and the</w:t>
      </w:r>
      <w:r w:rsidRPr="00C9061E">
        <w:rPr>
          <w:rFonts w:ascii="Arial" w:hAnsi="Arial" w:cs="Arial"/>
        </w:rPr>
        <w:t xml:space="preserve"> corresponding gross beta activities obtained </w:t>
      </w:r>
      <w:r>
        <w:rPr>
          <w:rFonts w:ascii="Arial" w:hAnsi="Arial" w:cs="Arial"/>
        </w:rPr>
        <w:t>are presented in</w:t>
      </w:r>
      <w:r w:rsidRPr="00C9061E">
        <w:rPr>
          <w:rFonts w:ascii="Arial" w:hAnsi="Arial" w:cs="Arial"/>
        </w:rPr>
        <w:t xml:space="preserve"> table</w:t>
      </w:r>
      <w:r>
        <w:rPr>
          <w:rFonts w:ascii="Arial" w:hAnsi="Arial" w:cs="Arial"/>
        </w:rPr>
        <w:t>s</w:t>
      </w:r>
      <w:r w:rsidRPr="00C9061E">
        <w:rPr>
          <w:rFonts w:ascii="Arial" w:hAnsi="Arial" w:cs="Arial"/>
        </w:rPr>
        <w:t xml:space="preserve"> 1</w:t>
      </w:r>
      <w:r>
        <w:rPr>
          <w:rFonts w:ascii="Arial" w:hAnsi="Arial" w:cs="Arial"/>
        </w:rPr>
        <w:t>-2</w:t>
      </w:r>
      <w:r w:rsidR="00973327">
        <w:rPr>
          <w:rFonts w:ascii="Arial" w:hAnsi="Arial" w:cs="Arial"/>
        </w:rPr>
        <w:t xml:space="preserve"> </w:t>
      </w:r>
      <w:r w:rsidR="00973327" w:rsidRPr="00973327">
        <w:rPr>
          <w:rFonts w:ascii="Arial" w:hAnsi="Arial" w:cs="Arial"/>
        </w:rPr>
        <w:t xml:space="preserve">and Figs. 2 </w:t>
      </w:r>
      <w:r w:rsidR="00973327">
        <w:rPr>
          <w:rFonts w:ascii="Arial" w:hAnsi="Arial" w:cs="Arial"/>
        </w:rPr>
        <w:t>-5</w:t>
      </w:r>
      <w:r w:rsidR="00973327" w:rsidRPr="00973327">
        <w:rPr>
          <w:rFonts w:ascii="Arial" w:hAnsi="Arial" w:cs="Arial"/>
        </w:rPr>
        <w:t xml:space="preserve"> show</w:t>
      </w:r>
      <w:r w:rsidR="00973327">
        <w:rPr>
          <w:rFonts w:ascii="Arial" w:hAnsi="Arial" w:cs="Arial"/>
        </w:rPr>
        <w:t xml:space="preserve"> </w:t>
      </w:r>
      <w:r w:rsidR="00973327" w:rsidRPr="00973327">
        <w:rPr>
          <w:rFonts w:ascii="Arial" w:hAnsi="Arial" w:cs="Arial"/>
        </w:rPr>
        <w:t xml:space="preserve">the comparison of </w:t>
      </w:r>
      <w:r w:rsidR="005D1CA0">
        <w:rPr>
          <w:rFonts w:ascii="Arial" w:hAnsi="Arial" w:cs="Arial"/>
        </w:rPr>
        <w:t>gross alpha and beta activities in samples</w:t>
      </w:r>
      <w:r w:rsidR="00973327">
        <w:rPr>
          <w:rFonts w:ascii="Arial" w:hAnsi="Arial" w:cs="Arial"/>
        </w:rPr>
        <w:t xml:space="preserve"> </w:t>
      </w:r>
      <w:r w:rsidR="00973327" w:rsidRPr="00973327">
        <w:rPr>
          <w:rFonts w:ascii="Arial" w:hAnsi="Arial" w:cs="Arial"/>
        </w:rPr>
        <w:t xml:space="preserve">with </w:t>
      </w:r>
      <w:r w:rsidR="005D1CA0">
        <w:rPr>
          <w:rFonts w:ascii="Arial" w:hAnsi="Arial" w:cs="Arial"/>
        </w:rPr>
        <w:t>control samples</w:t>
      </w:r>
      <w:r w:rsidR="00973327" w:rsidRPr="00973327">
        <w:rPr>
          <w:rFonts w:ascii="Arial" w:hAnsi="Arial" w:cs="Arial"/>
        </w:rPr>
        <w:t xml:space="preserve"> for </w:t>
      </w:r>
      <w:proofErr w:type="spellStart"/>
      <w:r w:rsidR="00973327">
        <w:rPr>
          <w:rFonts w:ascii="Arial" w:hAnsi="Arial" w:cs="Arial"/>
        </w:rPr>
        <w:t>Te</w:t>
      </w:r>
      <w:proofErr w:type="spellEnd"/>
      <w:r w:rsidR="00973327">
        <w:rPr>
          <w:rFonts w:ascii="Arial" w:hAnsi="Arial" w:cs="Arial"/>
        </w:rPr>
        <w:t>-</w:t>
      </w:r>
      <w:proofErr w:type="spellStart"/>
      <w:r w:rsidR="00973327">
        <w:rPr>
          <w:rFonts w:ascii="Arial" w:hAnsi="Arial" w:cs="Arial"/>
        </w:rPr>
        <w:t>oo</w:t>
      </w:r>
      <w:proofErr w:type="spellEnd"/>
      <w:r w:rsidR="00973327">
        <w:rPr>
          <w:rFonts w:ascii="Arial" w:hAnsi="Arial" w:cs="Arial"/>
        </w:rPr>
        <w:t xml:space="preserve">-goo, </w:t>
      </w:r>
      <w:proofErr w:type="spellStart"/>
      <w:r w:rsidR="00973327">
        <w:rPr>
          <w:rFonts w:ascii="Arial" w:hAnsi="Arial" w:cs="Arial"/>
        </w:rPr>
        <w:t>Nupene</w:t>
      </w:r>
      <w:proofErr w:type="spellEnd"/>
      <w:r w:rsidR="00973327" w:rsidRPr="00973327">
        <w:rPr>
          <w:rFonts w:ascii="Arial" w:hAnsi="Arial" w:cs="Arial"/>
        </w:rPr>
        <w:t xml:space="preserve">, </w:t>
      </w:r>
      <w:r w:rsidR="00973327">
        <w:rPr>
          <w:rFonts w:ascii="Arial" w:hAnsi="Arial" w:cs="Arial"/>
        </w:rPr>
        <w:t>Bolte-</w:t>
      </w:r>
      <w:proofErr w:type="spellStart"/>
      <w:r w:rsidR="00973327">
        <w:rPr>
          <w:rFonts w:ascii="Arial" w:hAnsi="Arial" w:cs="Arial"/>
        </w:rPr>
        <w:t>kpan</w:t>
      </w:r>
      <w:proofErr w:type="spellEnd"/>
      <w:r w:rsidR="00973327" w:rsidRPr="00973327">
        <w:rPr>
          <w:rFonts w:ascii="Arial" w:hAnsi="Arial" w:cs="Arial"/>
        </w:rPr>
        <w:t xml:space="preserve"> and </w:t>
      </w:r>
      <w:r w:rsidR="00973327">
        <w:rPr>
          <w:rFonts w:ascii="Arial" w:hAnsi="Arial" w:cs="Arial"/>
        </w:rPr>
        <w:t>Bon-</w:t>
      </w:r>
      <w:proofErr w:type="spellStart"/>
      <w:r w:rsidR="00973327">
        <w:rPr>
          <w:rFonts w:ascii="Arial" w:hAnsi="Arial" w:cs="Arial"/>
        </w:rPr>
        <w:t>ngia</w:t>
      </w:r>
      <w:proofErr w:type="spellEnd"/>
      <w:r w:rsidR="00973327" w:rsidRPr="00973327">
        <w:rPr>
          <w:rFonts w:ascii="Arial" w:hAnsi="Arial" w:cs="Arial"/>
        </w:rPr>
        <w:t xml:space="preserve"> oil spill sites</w:t>
      </w:r>
      <w:r w:rsidR="00973327">
        <w:rPr>
          <w:rFonts w:ascii="Arial" w:hAnsi="Arial" w:cs="Arial"/>
        </w:rPr>
        <w:t xml:space="preserve"> </w:t>
      </w:r>
      <w:r w:rsidR="00973327" w:rsidRPr="00973327">
        <w:rPr>
          <w:rFonts w:ascii="Arial" w:hAnsi="Arial" w:cs="Arial"/>
        </w:rPr>
        <w:t>respectively.</w:t>
      </w:r>
      <w:r>
        <w:rPr>
          <w:rFonts w:ascii="Arial" w:hAnsi="Arial" w:cs="Arial"/>
        </w:rPr>
        <w:t xml:space="preserve"> </w:t>
      </w:r>
    </w:p>
    <w:p w14:paraId="62FC5C9B" w14:textId="10C9CCBE" w:rsidR="00461B12" w:rsidRPr="005D1CA0" w:rsidRDefault="00461B12" w:rsidP="00973327">
      <w:pPr>
        <w:pStyle w:val="Body"/>
        <w:rPr>
          <w:rFonts w:ascii="Arial" w:hAnsi="Arial" w:cs="Arial"/>
          <w:b/>
          <w:bCs/>
        </w:rPr>
      </w:pPr>
      <w:bookmarkStart w:id="5" w:name="_Hlk213942370"/>
      <w:r w:rsidRPr="005D1CA0">
        <w:rPr>
          <w:rFonts w:ascii="Arial" w:hAnsi="Arial" w:cs="Arial"/>
          <w:b/>
          <w:bCs/>
          <w:i/>
        </w:rPr>
        <w:t>3.1.1.1 Gross alpha and beta activities</w:t>
      </w:r>
    </w:p>
    <w:bookmarkEnd w:id="5"/>
    <w:p w14:paraId="43EA4872" w14:textId="61CE5B38" w:rsidR="00790ADA" w:rsidRDefault="00732997" w:rsidP="00973327">
      <w:pPr>
        <w:pStyle w:val="Body"/>
        <w:rPr>
          <w:rFonts w:ascii="Arial" w:hAnsi="Arial" w:cs="Arial"/>
        </w:rPr>
      </w:pPr>
      <w:r w:rsidRPr="00732997">
        <w:rPr>
          <w:rFonts w:ascii="Arial" w:hAnsi="Arial" w:cs="Arial"/>
        </w:rPr>
        <w:t xml:space="preserve">The soil samples from </w:t>
      </w:r>
      <w:proofErr w:type="spellStart"/>
      <w:r w:rsidRPr="00732997">
        <w:rPr>
          <w:rFonts w:ascii="Arial" w:hAnsi="Arial" w:cs="Arial"/>
        </w:rPr>
        <w:t>Te</w:t>
      </w:r>
      <w:proofErr w:type="spellEnd"/>
      <w:r w:rsidRPr="00732997">
        <w:rPr>
          <w:rFonts w:ascii="Arial" w:hAnsi="Arial" w:cs="Arial"/>
        </w:rPr>
        <w:t>-</w:t>
      </w:r>
      <w:proofErr w:type="spellStart"/>
      <w:r w:rsidRPr="00732997">
        <w:rPr>
          <w:rFonts w:ascii="Arial" w:hAnsi="Arial" w:cs="Arial"/>
        </w:rPr>
        <w:t>oo</w:t>
      </w:r>
      <w:proofErr w:type="spellEnd"/>
      <w:r w:rsidRPr="00732997">
        <w:rPr>
          <w:rFonts w:ascii="Arial" w:hAnsi="Arial" w:cs="Arial"/>
        </w:rPr>
        <w:t xml:space="preserve">-goo have the highest gross alpha and beta activity concentrations 78.07±2.46 Bq/kg and 156.60±5.02 Bq/kg while the lowest concentration 49.47±1.59 Bq/kg and 12.96±3.32 Bq/kg was obtained for </w:t>
      </w:r>
      <w:proofErr w:type="spellStart"/>
      <w:r w:rsidRPr="00732997">
        <w:rPr>
          <w:rFonts w:ascii="Arial" w:hAnsi="Arial" w:cs="Arial"/>
        </w:rPr>
        <w:t>Nupene</w:t>
      </w:r>
      <w:proofErr w:type="spellEnd"/>
      <w:r w:rsidRPr="00732997">
        <w:rPr>
          <w:rFonts w:ascii="Arial" w:hAnsi="Arial" w:cs="Arial"/>
        </w:rPr>
        <w:t xml:space="preserve"> oil spill sites of Rivers State. </w:t>
      </w:r>
      <w:bookmarkStart w:id="6" w:name="_Hlk213940131"/>
      <w:r w:rsidRPr="00732997">
        <w:rPr>
          <w:rFonts w:ascii="Arial" w:hAnsi="Arial" w:cs="Arial"/>
        </w:rPr>
        <w:t>The results for the mean gross alpha activities in selected oil spill sites in Rivers State were moderately less than those corresponding gross beta activities obtained in some oil spill sites as shown table 1</w:t>
      </w:r>
      <w:bookmarkEnd w:id="6"/>
      <w:r w:rsidRPr="00732997">
        <w:rPr>
          <w:rFonts w:ascii="Arial" w:hAnsi="Arial" w:cs="Arial"/>
        </w:rPr>
        <w:t xml:space="preserve">. The mean gross alpha activities in oil spill sites of Rivers States were lower than those of selected oil fields by [1] </w:t>
      </w:r>
      <w:proofErr w:type="spellStart"/>
      <w:r w:rsidRPr="00732997">
        <w:rPr>
          <w:rFonts w:ascii="Arial" w:hAnsi="Arial" w:cs="Arial"/>
        </w:rPr>
        <w:t>Ovuomarie-kevin</w:t>
      </w:r>
      <w:proofErr w:type="spellEnd"/>
      <w:r w:rsidRPr="00732997">
        <w:rPr>
          <w:rFonts w:ascii="Arial" w:hAnsi="Arial" w:cs="Arial"/>
        </w:rPr>
        <w:t xml:space="preserve"> in Bayelsa state (22.00±1.78 Bq/kg - 39.40±1.88 </w:t>
      </w:r>
      <w:proofErr w:type="spellStart"/>
      <w:r w:rsidRPr="00732997">
        <w:rPr>
          <w:rFonts w:ascii="Arial" w:hAnsi="Arial" w:cs="Arial"/>
        </w:rPr>
        <w:t>Bq</w:t>
      </w:r>
      <w:proofErr w:type="spellEnd"/>
      <w:r w:rsidRPr="00732997">
        <w:rPr>
          <w:rFonts w:ascii="Arial" w:hAnsi="Arial" w:cs="Arial"/>
        </w:rPr>
        <w:t>/kg (</w:t>
      </w:r>
      <w:proofErr w:type="spellStart"/>
      <w:r w:rsidRPr="00732997">
        <w:rPr>
          <w:rFonts w:ascii="Arial" w:hAnsi="Arial" w:cs="Arial"/>
        </w:rPr>
        <w:t>Imiringi</w:t>
      </w:r>
      <w:proofErr w:type="spellEnd"/>
      <w:r w:rsidRPr="00732997">
        <w:rPr>
          <w:rFonts w:ascii="Arial" w:hAnsi="Arial" w:cs="Arial"/>
        </w:rPr>
        <w:t xml:space="preserve">) and 37.86±2.72 </w:t>
      </w:r>
      <w:proofErr w:type="spellStart"/>
      <w:r w:rsidRPr="00732997">
        <w:rPr>
          <w:rFonts w:ascii="Arial" w:hAnsi="Arial" w:cs="Arial"/>
        </w:rPr>
        <w:t>Bq</w:t>
      </w:r>
      <w:proofErr w:type="spellEnd"/>
      <w:r w:rsidRPr="00732997">
        <w:rPr>
          <w:rFonts w:ascii="Arial" w:hAnsi="Arial" w:cs="Arial"/>
        </w:rPr>
        <w:t xml:space="preserve">/kg - 102.57±3.43 </w:t>
      </w:r>
      <w:proofErr w:type="spellStart"/>
      <w:r w:rsidRPr="00732997">
        <w:rPr>
          <w:rFonts w:ascii="Arial" w:hAnsi="Arial" w:cs="Arial"/>
        </w:rPr>
        <w:t>Bq</w:t>
      </w:r>
      <w:proofErr w:type="spellEnd"/>
      <w:r w:rsidRPr="00732997">
        <w:rPr>
          <w:rFonts w:ascii="Arial" w:hAnsi="Arial" w:cs="Arial"/>
        </w:rPr>
        <w:t>/kg (</w:t>
      </w:r>
      <w:proofErr w:type="spellStart"/>
      <w:r w:rsidRPr="00732997">
        <w:rPr>
          <w:rFonts w:ascii="Arial" w:hAnsi="Arial" w:cs="Arial"/>
        </w:rPr>
        <w:t>Otuasega</w:t>
      </w:r>
      <w:proofErr w:type="spellEnd"/>
      <w:r w:rsidRPr="00732997">
        <w:rPr>
          <w:rFonts w:ascii="Arial" w:hAnsi="Arial" w:cs="Arial"/>
        </w:rPr>
        <w:t xml:space="preserve">)) and , </w:t>
      </w:r>
      <w:proofErr w:type="spellStart"/>
      <w:r w:rsidRPr="00732997">
        <w:rPr>
          <w:rFonts w:ascii="Arial" w:hAnsi="Arial" w:cs="Arial"/>
        </w:rPr>
        <w:t>Anekwue</w:t>
      </w:r>
      <w:proofErr w:type="spellEnd"/>
      <w:r w:rsidRPr="00732997">
        <w:rPr>
          <w:rFonts w:ascii="Arial" w:hAnsi="Arial" w:cs="Arial"/>
        </w:rPr>
        <w:t xml:space="preserve"> and </w:t>
      </w:r>
      <w:proofErr w:type="spellStart"/>
      <w:r w:rsidRPr="00732997">
        <w:rPr>
          <w:rFonts w:ascii="Arial" w:hAnsi="Arial" w:cs="Arial"/>
        </w:rPr>
        <w:t>Meidinyo</w:t>
      </w:r>
      <w:proofErr w:type="spellEnd"/>
      <w:r w:rsidRPr="00732997">
        <w:rPr>
          <w:rFonts w:ascii="Arial" w:hAnsi="Arial" w:cs="Arial"/>
        </w:rPr>
        <w:t xml:space="preserve"> [12][13]</w:t>
      </w:r>
      <w:proofErr w:type="spellStart"/>
      <w:r w:rsidRPr="00732997">
        <w:rPr>
          <w:rFonts w:ascii="Arial" w:hAnsi="Arial" w:cs="Arial"/>
        </w:rPr>
        <w:t>Meidinyo</w:t>
      </w:r>
      <w:proofErr w:type="spellEnd"/>
      <w:r w:rsidRPr="00732997">
        <w:rPr>
          <w:rFonts w:ascii="Arial" w:hAnsi="Arial" w:cs="Arial"/>
        </w:rPr>
        <w:t xml:space="preserve"> around </w:t>
      </w:r>
      <w:proofErr w:type="spellStart"/>
      <w:r w:rsidRPr="00732997">
        <w:rPr>
          <w:rFonts w:ascii="Arial" w:hAnsi="Arial" w:cs="Arial"/>
        </w:rPr>
        <w:t>Imirigin</w:t>
      </w:r>
      <w:proofErr w:type="spellEnd"/>
      <w:r w:rsidRPr="00732997">
        <w:rPr>
          <w:rFonts w:ascii="Arial" w:hAnsi="Arial" w:cs="Arial"/>
        </w:rPr>
        <w:t xml:space="preserve">, </w:t>
      </w:r>
      <w:proofErr w:type="spellStart"/>
      <w:r w:rsidRPr="00732997">
        <w:rPr>
          <w:rFonts w:ascii="Arial" w:hAnsi="Arial" w:cs="Arial"/>
        </w:rPr>
        <w:t>Otuasega</w:t>
      </w:r>
      <w:proofErr w:type="spellEnd"/>
      <w:r w:rsidRPr="00732997">
        <w:rPr>
          <w:rFonts w:ascii="Arial" w:hAnsi="Arial" w:cs="Arial"/>
        </w:rPr>
        <w:t xml:space="preserve">, </w:t>
      </w:r>
      <w:proofErr w:type="spellStart"/>
      <w:r w:rsidRPr="00732997">
        <w:rPr>
          <w:rFonts w:ascii="Arial" w:hAnsi="Arial" w:cs="Arial"/>
        </w:rPr>
        <w:t>Ibelebiri</w:t>
      </w:r>
      <w:proofErr w:type="spellEnd"/>
      <w:r w:rsidRPr="00732997">
        <w:rPr>
          <w:rFonts w:ascii="Arial" w:hAnsi="Arial" w:cs="Arial"/>
        </w:rPr>
        <w:t>, Bayelsa state (530 ± 20 Bq/kg) and Rivers State (152.11 ± 61.67 Bq/kg - 322 ± 121.67 Bq/kg). These results fall within the ranges of 2.4- 120 Bq/kg, 60- 330 Bq/kg, 8- 87 Bq/kg and 53- 960 Bq/kg recorded by [14] Elena (2004) to be typical of soil associated with oil and gas industry.</w:t>
      </w:r>
    </w:p>
    <w:p w14:paraId="02DDBB14"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369F08B9" w14:textId="77777777" w:rsidR="00A72B90" w:rsidRDefault="00A72B90" w:rsidP="00441B6F">
      <w:pPr>
        <w:pStyle w:val="BodyText3"/>
        <w:tabs>
          <w:tab w:val="left" w:pos="1080"/>
        </w:tabs>
        <w:spacing w:after="0"/>
        <w:ind w:left="1080" w:hanging="1080"/>
        <w:jc w:val="both"/>
        <w:rPr>
          <w:rFonts w:ascii="Arial" w:hAnsi="Arial"/>
          <w:b/>
          <w:sz w:val="20"/>
          <w:szCs w:val="20"/>
        </w:rPr>
      </w:pPr>
    </w:p>
    <w:p w14:paraId="3464A657" w14:textId="5510B5C0" w:rsidR="008551DB" w:rsidRPr="008551DB" w:rsidRDefault="008551DB" w:rsidP="0084040C">
      <w:pPr>
        <w:pStyle w:val="BodyText3"/>
        <w:tabs>
          <w:tab w:val="left" w:pos="1080"/>
        </w:tabs>
        <w:spacing w:line="480" w:lineRule="auto"/>
        <w:ind w:left="1080" w:hanging="1080"/>
        <w:jc w:val="both"/>
        <w:rPr>
          <w:rFonts w:ascii="Arial" w:hAnsi="Arial"/>
          <w:b/>
          <w:sz w:val="20"/>
          <w:szCs w:val="20"/>
        </w:rPr>
      </w:pPr>
      <w:r w:rsidRPr="008551DB">
        <w:rPr>
          <w:rFonts w:ascii="Arial" w:hAnsi="Arial"/>
          <w:b/>
          <w:sz w:val="20"/>
          <w:szCs w:val="20"/>
        </w:rPr>
        <w:t>Table 1</w:t>
      </w:r>
      <w:r w:rsidR="0084040C">
        <w:rPr>
          <w:rFonts w:ascii="Arial" w:hAnsi="Arial"/>
          <w:b/>
          <w:sz w:val="20"/>
          <w:szCs w:val="20"/>
        </w:rPr>
        <w:t>.</w:t>
      </w:r>
      <w:r w:rsidRPr="008551DB">
        <w:rPr>
          <w:rFonts w:ascii="Arial" w:hAnsi="Arial"/>
          <w:b/>
          <w:sz w:val="20"/>
          <w:szCs w:val="20"/>
        </w:rPr>
        <w:t xml:space="preserve"> The gross alpha and gross beta activity concentration (Bq/</w:t>
      </w:r>
      <w:r w:rsidRPr="0084040C">
        <w:rPr>
          <w:rFonts w:ascii="Arial" w:hAnsi="Arial"/>
          <w:b/>
          <w:sz w:val="20"/>
          <w:szCs w:val="20"/>
        </w:rPr>
        <w:t>k</w:t>
      </w:r>
      <w:r w:rsidRPr="008551DB">
        <w:rPr>
          <w:rFonts w:ascii="Arial" w:hAnsi="Arial"/>
          <w:b/>
          <w:sz w:val="20"/>
          <w:szCs w:val="20"/>
        </w:rPr>
        <w:t>g) in soil samples</w:t>
      </w:r>
      <w:r w:rsidR="0084040C">
        <w:rPr>
          <w:rFonts w:ascii="Arial" w:hAnsi="Arial"/>
          <w:b/>
          <w:sz w:val="20"/>
          <w:szCs w:val="20"/>
        </w:rPr>
        <w:t xml:space="preserve"> </w:t>
      </w:r>
    </w:p>
    <w:tbl>
      <w:tblPr>
        <w:tblW w:w="9464" w:type="dxa"/>
        <w:tblBorders>
          <w:top w:val="single" w:sz="4" w:space="0" w:color="auto"/>
          <w:bottom w:val="single" w:sz="4" w:space="0" w:color="auto"/>
        </w:tblBorders>
        <w:tblLook w:val="04A0" w:firstRow="1" w:lastRow="0" w:firstColumn="1" w:lastColumn="0" w:noHBand="0" w:noVBand="1"/>
      </w:tblPr>
      <w:tblGrid>
        <w:gridCol w:w="2329"/>
        <w:gridCol w:w="3591"/>
        <w:gridCol w:w="2504"/>
        <w:gridCol w:w="1040"/>
      </w:tblGrid>
      <w:tr w:rsidR="008551DB" w:rsidRPr="008551DB" w14:paraId="1721FEB3" w14:textId="77777777" w:rsidTr="0084040C">
        <w:trPr>
          <w:trHeight w:val="300"/>
        </w:trPr>
        <w:tc>
          <w:tcPr>
            <w:tcW w:w="2329" w:type="dxa"/>
            <w:tcBorders>
              <w:top w:val="single" w:sz="4" w:space="0" w:color="auto"/>
              <w:left w:val="nil"/>
              <w:bottom w:val="single" w:sz="4" w:space="0" w:color="auto"/>
              <w:right w:val="nil"/>
            </w:tcBorders>
            <w:hideMark/>
          </w:tcPr>
          <w:p w14:paraId="144E1846" w14:textId="110AD9AA" w:rsidR="008551DB" w:rsidRPr="008551DB" w:rsidRDefault="009C0315" w:rsidP="0084040C">
            <w:pPr>
              <w:pStyle w:val="BodyText3"/>
              <w:tabs>
                <w:tab w:val="left" w:pos="1080"/>
              </w:tabs>
              <w:spacing w:line="480" w:lineRule="auto"/>
              <w:ind w:left="1080" w:hanging="1080"/>
              <w:jc w:val="both"/>
              <w:rPr>
                <w:rFonts w:ascii="Arial" w:hAnsi="Arial"/>
                <w:b/>
                <w:sz w:val="20"/>
                <w:szCs w:val="20"/>
              </w:rPr>
            </w:pPr>
            <w:r w:rsidRPr="0084040C">
              <w:rPr>
                <w:rFonts w:ascii="Arial" w:hAnsi="Arial"/>
                <w:b/>
                <w:sz w:val="20"/>
                <w:szCs w:val="20"/>
              </w:rPr>
              <w:t>Sample Areas</w:t>
            </w:r>
          </w:p>
        </w:tc>
        <w:tc>
          <w:tcPr>
            <w:tcW w:w="3591" w:type="dxa"/>
            <w:tcBorders>
              <w:top w:val="single" w:sz="4" w:space="0" w:color="auto"/>
              <w:left w:val="nil"/>
              <w:bottom w:val="single" w:sz="4" w:space="0" w:color="auto"/>
              <w:right w:val="nil"/>
            </w:tcBorders>
            <w:noWrap/>
            <w:hideMark/>
          </w:tcPr>
          <w:p w14:paraId="1305DF8B" w14:textId="2B879C28" w:rsidR="008551DB" w:rsidRPr="008551DB" w:rsidRDefault="008551DB" w:rsidP="0084040C">
            <w:pPr>
              <w:pStyle w:val="BodyText3"/>
              <w:tabs>
                <w:tab w:val="left" w:pos="1080"/>
              </w:tabs>
              <w:spacing w:line="480" w:lineRule="auto"/>
              <w:ind w:left="1080" w:hanging="1080"/>
              <w:jc w:val="both"/>
              <w:rPr>
                <w:rFonts w:ascii="Arial" w:hAnsi="Arial"/>
                <w:b/>
                <w:sz w:val="20"/>
                <w:szCs w:val="20"/>
              </w:rPr>
            </w:pPr>
            <w:r w:rsidRPr="008551DB">
              <w:rPr>
                <w:rFonts w:ascii="Arial" w:hAnsi="Arial"/>
                <w:b/>
                <w:sz w:val="20"/>
                <w:szCs w:val="20"/>
              </w:rPr>
              <w:t>Gross alpha Concentration (Bq/</w:t>
            </w:r>
            <w:r w:rsidRPr="0084040C">
              <w:rPr>
                <w:rFonts w:ascii="Arial" w:hAnsi="Arial"/>
                <w:b/>
                <w:sz w:val="20"/>
                <w:szCs w:val="20"/>
              </w:rPr>
              <w:t>k</w:t>
            </w:r>
            <w:r w:rsidRPr="008551DB">
              <w:rPr>
                <w:rFonts w:ascii="Arial" w:hAnsi="Arial"/>
                <w:b/>
                <w:sz w:val="20"/>
                <w:szCs w:val="20"/>
              </w:rPr>
              <w:t>g)</w:t>
            </w:r>
          </w:p>
        </w:tc>
        <w:tc>
          <w:tcPr>
            <w:tcW w:w="3544" w:type="dxa"/>
            <w:gridSpan w:val="2"/>
            <w:tcBorders>
              <w:top w:val="single" w:sz="4" w:space="0" w:color="auto"/>
              <w:left w:val="nil"/>
              <w:bottom w:val="single" w:sz="4" w:space="0" w:color="auto"/>
              <w:right w:val="nil"/>
            </w:tcBorders>
            <w:noWrap/>
            <w:hideMark/>
          </w:tcPr>
          <w:p w14:paraId="635D8E1E" w14:textId="21509422" w:rsidR="008551DB" w:rsidRPr="008551DB" w:rsidRDefault="008551DB" w:rsidP="0084040C">
            <w:pPr>
              <w:pStyle w:val="BodyText3"/>
              <w:tabs>
                <w:tab w:val="left" w:pos="1080"/>
              </w:tabs>
              <w:spacing w:line="480" w:lineRule="auto"/>
              <w:ind w:left="1080" w:hanging="1080"/>
              <w:jc w:val="both"/>
              <w:rPr>
                <w:rFonts w:ascii="Arial" w:hAnsi="Arial"/>
                <w:b/>
                <w:sz w:val="20"/>
                <w:szCs w:val="20"/>
              </w:rPr>
            </w:pPr>
            <w:r w:rsidRPr="008551DB">
              <w:rPr>
                <w:rFonts w:ascii="Arial" w:hAnsi="Arial"/>
                <w:b/>
                <w:sz w:val="20"/>
                <w:szCs w:val="20"/>
              </w:rPr>
              <w:t xml:space="preserve"> Gross beta Concentration (Bq/</w:t>
            </w:r>
            <w:r w:rsidRPr="0084040C">
              <w:rPr>
                <w:rFonts w:ascii="Arial" w:hAnsi="Arial"/>
                <w:b/>
                <w:sz w:val="20"/>
                <w:szCs w:val="20"/>
              </w:rPr>
              <w:t>k</w:t>
            </w:r>
            <w:r w:rsidRPr="008551DB">
              <w:rPr>
                <w:rFonts w:ascii="Arial" w:hAnsi="Arial"/>
                <w:b/>
                <w:sz w:val="20"/>
                <w:szCs w:val="20"/>
              </w:rPr>
              <w:t xml:space="preserve">g)  </w:t>
            </w:r>
          </w:p>
        </w:tc>
      </w:tr>
      <w:tr w:rsidR="008551DB" w:rsidRPr="008551DB" w14:paraId="1C097399" w14:textId="77777777" w:rsidTr="0084040C">
        <w:trPr>
          <w:trHeight w:val="300"/>
        </w:trPr>
        <w:tc>
          <w:tcPr>
            <w:tcW w:w="2329" w:type="dxa"/>
            <w:tcBorders>
              <w:top w:val="single" w:sz="4" w:space="0" w:color="auto"/>
              <w:left w:val="nil"/>
              <w:bottom w:val="nil"/>
              <w:right w:val="nil"/>
            </w:tcBorders>
            <w:hideMark/>
          </w:tcPr>
          <w:p w14:paraId="0E34DECA" w14:textId="77777777" w:rsidR="008551DB" w:rsidRPr="008551DB" w:rsidRDefault="008551DB" w:rsidP="0084040C">
            <w:pPr>
              <w:pStyle w:val="BodyText3"/>
              <w:tabs>
                <w:tab w:val="left" w:pos="1080"/>
              </w:tabs>
              <w:spacing w:line="480" w:lineRule="auto"/>
              <w:ind w:left="1080" w:hanging="1080"/>
              <w:jc w:val="both"/>
              <w:rPr>
                <w:rFonts w:ascii="Arial" w:hAnsi="Arial"/>
                <w:bCs/>
                <w:sz w:val="20"/>
                <w:szCs w:val="20"/>
              </w:rPr>
            </w:pPr>
            <w:r w:rsidRPr="008551DB">
              <w:rPr>
                <w:rFonts w:ascii="Arial" w:hAnsi="Arial"/>
                <w:bCs/>
                <w:sz w:val="20"/>
                <w:szCs w:val="20"/>
              </w:rPr>
              <w:t xml:space="preserve">Rivers soil samples </w:t>
            </w:r>
          </w:p>
        </w:tc>
        <w:tc>
          <w:tcPr>
            <w:tcW w:w="3591" w:type="dxa"/>
            <w:tcBorders>
              <w:top w:val="single" w:sz="4" w:space="0" w:color="auto"/>
              <w:left w:val="nil"/>
              <w:bottom w:val="nil"/>
              <w:right w:val="nil"/>
            </w:tcBorders>
            <w:noWrap/>
          </w:tcPr>
          <w:p w14:paraId="1D53A2FB" w14:textId="77777777" w:rsidR="008551DB" w:rsidRPr="008551DB" w:rsidRDefault="008551DB" w:rsidP="0084040C">
            <w:pPr>
              <w:pStyle w:val="BodyText3"/>
              <w:tabs>
                <w:tab w:val="left" w:pos="1080"/>
              </w:tabs>
              <w:spacing w:line="480" w:lineRule="auto"/>
              <w:ind w:left="1080" w:hanging="1080"/>
              <w:jc w:val="both"/>
              <w:rPr>
                <w:rFonts w:ascii="Arial" w:hAnsi="Arial"/>
                <w:bCs/>
                <w:sz w:val="20"/>
                <w:szCs w:val="20"/>
              </w:rPr>
            </w:pPr>
          </w:p>
        </w:tc>
        <w:tc>
          <w:tcPr>
            <w:tcW w:w="3544" w:type="dxa"/>
            <w:gridSpan w:val="2"/>
            <w:tcBorders>
              <w:top w:val="single" w:sz="4" w:space="0" w:color="auto"/>
              <w:left w:val="nil"/>
              <w:bottom w:val="nil"/>
              <w:right w:val="nil"/>
            </w:tcBorders>
            <w:noWrap/>
          </w:tcPr>
          <w:p w14:paraId="2CA0487B" w14:textId="77777777" w:rsidR="008551DB" w:rsidRPr="008551DB" w:rsidRDefault="008551DB" w:rsidP="0084040C">
            <w:pPr>
              <w:pStyle w:val="BodyText3"/>
              <w:tabs>
                <w:tab w:val="left" w:pos="1080"/>
              </w:tabs>
              <w:spacing w:line="480" w:lineRule="auto"/>
              <w:ind w:left="1080" w:hanging="1080"/>
              <w:jc w:val="both"/>
              <w:rPr>
                <w:rFonts w:ascii="Arial" w:hAnsi="Arial"/>
                <w:bCs/>
                <w:sz w:val="20"/>
                <w:szCs w:val="20"/>
              </w:rPr>
            </w:pPr>
          </w:p>
        </w:tc>
      </w:tr>
      <w:tr w:rsidR="008551DB" w:rsidRPr="008551DB" w14:paraId="43D1943A" w14:textId="77777777" w:rsidTr="0084040C">
        <w:trPr>
          <w:trHeight w:val="300"/>
        </w:trPr>
        <w:tc>
          <w:tcPr>
            <w:tcW w:w="2329" w:type="dxa"/>
            <w:tcBorders>
              <w:top w:val="nil"/>
              <w:left w:val="nil"/>
              <w:bottom w:val="nil"/>
              <w:right w:val="nil"/>
            </w:tcBorders>
            <w:hideMark/>
          </w:tcPr>
          <w:p w14:paraId="31A4710D" w14:textId="77777777" w:rsidR="008551DB" w:rsidRPr="008551DB" w:rsidRDefault="008551DB" w:rsidP="0084040C">
            <w:pPr>
              <w:pStyle w:val="BodyText3"/>
              <w:tabs>
                <w:tab w:val="left" w:pos="1080"/>
              </w:tabs>
              <w:spacing w:line="480" w:lineRule="auto"/>
              <w:ind w:left="1080" w:hanging="1080"/>
              <w:jc w:val="both"/>
              <w:rPr>
                <w:rFonts w:ascii="Arial" w:hAnsi="Arial"/>
                <w:bCs/>
                <w:sz w:val="20"/>
                <w:szCs w:val="20"/>
              </w:rPr>
            </w:pPr>
            <w:proofErr w:type="spellStart"/>
            <w:r w:rsidRPr="008551DB">
              <w:rPr>
                <w:rFonts w:ascii="Arial" w:hAnsi="Arial"/>
                <w:bCs/>
                <w:sz w:val="20"/>
                <w:szCs w:val="20"/>
              </w:rPr>
              <w:t>Te</w:t>
            </w:r>
            <w:proofErr w:type="spellEnd"/>
            <w:r w:rsidRPr="008551DB">
              <w:rPr>
                <w:rFonts w:ascii="Arial" w:hAnsi="Arial"/>
                <w:bCs/>
                <w:sz w:val="20"/>
                <w:szCs w:val="20"/>
              </w:rPr>
              <w:t>-</w:t>
            </w:r>
            <w:proofErr w:type="spellStart"/>
            <w:r w:rsidRPr="008551DB">
              <w:rPr>
                <w:rFonts w:ascii="Arial" w:hAnsi="Arial"/>
                <w:bCs/>
                <w:sz w:val="20"/>
                <w:szCs w:val="20"/>
              </w:rPr>
              <w:t>oo</w:t>
            </w:r>
            <w:proofErr w:type="spellEnd"/>
            <w:r w:rsidRPr="008551DB">
              <w:rPr>
                <w:rFonts w:ascii="Arial" w:hAnsi="Arial"/>
                <w:bCs/>
                <w:sz w:val="20"/>
                <w:szCs w:val="20"/>
              </w:rPr>
              <w:t>-goo Soil</w:t>
            </w:r>
          </w:p>
        </w:tc>
        <w:tc>
          <w:tcPr>
            <w:tcW w:w="3591" w:type="dxa"/>
            <w:tcBorders>
              <w:top w:val="nil"/>
              <w:left w:val="nil"/>
              <w:bottom w:val="nil"/>
              <w:right w:val="nil"/>
            </w:tcBorders>
            <w:noWrap/>
            <w:hideMark/>
          </w:tcPr>
          <w:p w14:paraId="0C91C99B" w14:textId="77777777" w:rsidR="008551DB" w:rsidRPr="008551DB" w:rsidRDefault="008551DB" w:rsidP="0084040C">
            <w:pPr>
              <w:pStyle w:val="BodyText3"/>
              <w:tabs>
                <w:tab w:val="left" w:pos="1080"/>
              </w:tabs>
              <w:spacing w:line="480" w:lineRule="auto"/>
              <w:ind w:left="1080" w:hanging="1080"/>
              <w:jc w:val="both"/>
              <w:rPr>
                <w:rFonts w:ascii="Arial" w:hAnsi="Arial"/>
                <w:bCs/>
                <w:sz w:val="20"/>
                <w:szCs w:val="20"/>
              </w:rPr>
            </w:pPr>
            <w:r w:rsidRPr="008551DB">
              <w:rPr>
                <w:rFonts w:ascii="Arial" w:hAnsi="Arial"/>
                <w:bCs/>
                <w:sz w:val="20"/>
                <w:szCs w:val="20"/>
              </w:rPr>
              <w:t>78.07±2.46</w:t>
            </w:r>
          </w:p>
        </w:tc>
        <w:tc>
          <w:tcPr>
            <w:tcW w:w="3544" w:type="dxa"/>
            <w:gridSpan w:val="2"/>
            <w:tcBorders>
              <w:top w:val="nil"/>
              <w:left w:val="nil"/>
              <w:bottom w:val="nil"/>
              <w:right w:val="nil"/>
            </w:tcBorders>
            <w:noWrap/>
            <w:hideMark/>
          </w:tcPr>
          <w:p w14:paraId="4FEFF688" w14:textId="77777777" w:rsidR="008551DB" w:rsidRPr="008551DB" w:rsidRDefault="008551DB" w:rsidP="0084040C">
            <w:pPr>
              <w:pStyle w:val="BodyText3"/>
              <w:tabs>
                <w:tab w:val="left" w:pos="1080"/>
              </w:tabs>
              <w:spacing w:line="480" w:lineRule="auto"/>
              <w:ind w:left="1080" w:hanging="1080"/>
              <w:jc w:val="both"/>
              <w:rPr>
                <w:rFonts w:ascii="Arial" w:hAnsi="Arial"/>
                <w:bCs/>
                <w:sz w:val="20"/>
                <w:szCs w:val="20"/>
              </w:rPr>
            </w:pPr>
            <w:r w:rsidRPr="008551DB">
              <w:rPr>
                <w:rFonts w:ascii="Arial" w:hAnsi="Arial"/>
                <w:bCs/>
                <w:sz w:val="20"/>
                <w:szCs w:val="20"/>
              </w:rPr>
              <w:t>156.6±5.02</w:t>
            </w:r>
          </w:p>
        </w:tc>
      </w:tr>
      <w:tr w:rsidR="008551DB" w:rsidRPr="008551DB" w14:paraId="46626669" w14:textId="77777777" w:rsidTr="0084040C">
        <w:trPr>
          <w:trHeight w:val="300"/>
        </w:trPr>
        <w:tc>
          <w:tcPr>
            <w:tcW w:w="2329" w:type="dxa"/>
            <w:tcBorders>
              <w:top w:val="nil"/>
              <w:left w:val="nil"/>
              <w:bottom w:val="nil"/>
              <w:right w:val="nil"/>
            </w:tcBorders>
            <w:hideMark/>
          </w:tcPr>
          <w:p w14:paraId="5A304039" w14:textId="77777777" w:rsidR="008551DB" w:rsidRPr="008551DB" w:rsidRDefault="008551DB" w:rsidP="0084040C">
            <w:pPr>
              <w:pStyle w:val="BodyText3"/>
              <w:tabs>
                <w:tab w:val="left" w:pos="1080"/>
              </w:tabs>
              <w:spacing w:line="480" w:lineRule="auto"/>
              <w:ind w:left="1080" w:hanging="1080"/>
              <w:jc w:val="both"/>
              <w:rPr>
                <w:rFonts w:ascii="Arial" w:hAnsi="Arial"/>
                <w:bCs/>
                <w:sz w:val="20"/>
                <w:szCs w:val="20"/>
              </w:rPr>
            </w:pPr>
            <w:proofErr w:type="spellStart"/>
            <w:r w:rsidRPr="008551DB">
              <w:rPr>
                <w:rFonts w:ascii="Arial" w:hAnsi="Arial"/>
                <w:bCs/>
                <w:sz w:val="20"/>
                <w:szCs w:val="20"/>
              </w:rPr>
              <w:t>Nupene</w:t>
            </w:r>
            <w:proofErr w:type="spellEnd"/>
            <w:r w:rsidRPr="008551DB">
              <w:rPr>
                <w:rFonts w:ascii="Arial" w:hAnsi="Arial"/>
                <w:bCs/>
                <w:sz w:val="20"/>
                <w:szCs w:val="20"/>
              </w:rPr>
              <w:t xml:space="preserve"> Soil                                   </w:t>
            </w:r>
          </w:p>
        </w:tc>
        <w:tc>
          <w:tcPr>
            <w:tcW w:w="3591" w:type="dxa"/>
            <w:tcBorders>
              <w:top w:val="nil"/>
              <w:left w:val="nil"/>
              <w:bottom w:val="nil"/>
              <w:right w:val="nil"/>
            </w:tcBorders>
            <w:noWrap/>
            <w:hideMark/>
          </w:tcPr>
          <w:p w14:paraId="081CABAB" w14:textId="77777777" w:rsidR="008551DB" w:rsidRPr="008551DB" w:rsidRDefault="008551DB" w:rsidP="0084040C">
            <w:pPr>
              <w:pStyle w:val="BodyText3"/>
              <w:tabs>
                <w:tab w:val="left" w:pos="1080"/>
              </w:tabs>
              <w:spacing w:line="480" w:lineRule="auto"/>
              <w:ind w:left="1080" w:hanging="1080"/>
              <w:jc w:val="both"/>
              <w:rPr>
                <w:rFonts w:ascii="Arial" w:hAnsi="Arial"/>
                <w:bCs/>
                <w:sz w:val="20"/>
                <w:szCs w:val="20"/>
              </w:rPr>
            </w:pPr>
            <w:r w:rsidRPr="008551DB">
              <w:rPr>
                <w:rFonts w:ascii="Arial" w:hAnsi="Arial"/>
                <w:bCs/>
                <w:sz w:val="20"/>
                <w:szCs w:val="20"/>
              </w:rPr>
              <w:t>49.47±1.59</w:t>
            </w:r>
          </w:p>
        </w:tc>
        <w:tc>
          <w:tcPr>
            <w:tcW w:w="3544" w:type="dxa"/>
            <w:gridSpan w:val="2"/>
            <w:tcBorders>
              <w:top w:val="nil"/>
              <w:left w:val="nil"/>
              <w:bottom w:val="nil"/>
              <w:right w:val="nil"/>
            </w:tcBorders>
            <w:noWrap/>
            <w:hideMark/>
          </w:tcPr>
          <w:p w14:paraId="4EF2743F" w14:textId="77777777" w:rsidR="008551DB" w:rsidRPr="008551DB" w:rsidRDefault="008551DB" w:rsidP="0084040C">
            <w:pPr>
              <w:pStyle w:val="BodyText3"/>
              <w:tabs>
                <w:tab w:val="left" w:pos="1080"/>
              </w:tabs>
              <w:spacing w:line="480" w:lineRule="auto"/>
              <w:ind w:left="1080" w:hanging="1080"/>
              <w:jc w:val="both"/>
              <w:rPr>
                <w:rFonts w:ascii="Arial" w:hAnsi="Arial"/>
                <w:bCs/>
                <w:sz w:val="20"/>
                <w:szCs w:val="20"/>
              </w:rPr>
            </w:pPr>
            <w:r w:rsidRPr="008551DB">
              <w:rPr>
                <w:rFonts w:ascii="Arial" w:hAnsi="Arial"/>
                <w:bCs/>
                <w:sz w:val="20"/>
                <w:szCs w:val="20"/>
              </w:rPr>
              <w:t>12.96±3.32</w:t>
            </w:r>
          </w:p>
        </w:tc>
      </w:tr>
      <w:tr w:rsidR="008551DB" w:rsidRPr="008551DB" w14:paraId="75C02897" w14:textId="77777777" w:rsidTr="0084040C">
        <w:trPr>
          <w:trHeight w:val="300"/>
        </w:trPr>
        <w:tc>
          <w:tcPr>
            <w:tcW w:w="2329" w:type="dxa"/>
            <w:tcBorders>
              <w:top w:val="nil"/>
              <w:left w:val="nil"/>
              <w:bottom w:val="nil"/>
              <w:right w:val="nil"/>
            </w:tcBorders>
            <w:hideMark/>
          </w:tcPr>
          <w:p w14:paraId="47FF9599" w14:textId="77777777" w:rsidR="008551DB" w:rsidRPr="008551DB" w:rsidRDefault="008551DB" w:rsidP="0084040C">
            <w:pPr>
              <w:pStyle w:val="BodyText3"/>
              <w:tabs>
                <w:tab w:val="left" w:pos="1080"/>
              </w:tabs>
              <w:spacing w:line="480" w:lineRule="auto"/>
              <w:ind w:left="1080" w:hanging="1080"/>
              <w:jc w:val="both"/>
              <w:rPr>
                <w:rFonts w:ascii="Arial" w:hAnsi="Arial"/>
                <w:bCs/>
                <w:sz w:val="20"/>
                <w:szCs w:val="20"/>
              </w:rPr>
            </w:pPr>
            <w:r w:rsidRPr="008551DB">
              <w:rPr>
                <w:rFonts w:ascii="Arial" w:hAnsi="Arial"/>
                <w:bCs/>
                <w:sz w:val="20"/>
                <w:szCs w:val="20"/>
              </w:rPr>
              <w:t>Bon-</w:t>
            </w:r>
            <w:proofErr w:type="spellStart"/>
            <w:r w:rsidRPr="008551DB">
              <w:rPr>
                <w:rFonts w:ascii="Arial" w:hAnsi="Arial"/>
                <w:bCs/>
                <w:sz w:val="20"/>
                <w:szCs w:val="20"/>
              </w:rPr>
              <w:t>Ngia</w:t>
            </w:r>
            <w:proofErr w:type="spellEnd"/>
            <w:r w:rsidRPr="008551DB">
              <w:rPr>
                <w:rFonts w:ascii="Arial" w:hAnsi="Arial"/>
                <w:bCs/>
                <w:sz w:val="20"/>
                <w:szCs w:val="20"/>
              </w:rPr>
              <w:t xml:space="preserve"> Soil </w:t>
            </w:r>
          </w:p>
        </w:tc>
        <w:tc>
          <w:tcPr>
            <w:tcW w:w="3591" w:type="dxa"/>
            <w:tcBorders>
              <w:top w:val="nil"/>
              <w:left w:val="nil"/>
              <w:bottom w:val="nil"/>
              <w:right w:val="nil"/>
            </w:tcBorders>
            <w:noWrap/>
            <w:hideMark/>
          </w:tcPr>
          <w:p w14:paraId="331AE50D" w14:textId="77777777" w:rsidR="008551DB" w:rsidRPr="008551DB" w:rsidRDefault="008551DB" w:rsidP="0084040C">
            <w:pPr>
              <w:pStyle w:val="BodyText3"/>
              <w:tabs>
                <w:tab w:val="left" w:pos="1080"/>
              </w:tabs>
              <w:spacing w:line="480" w:lineRule="auto"/>
              <w:ind w:left="1080" w:hanging="1080"/>
              <w:jc w:val="both"/>
              <w:rPr>
                <w:rFonts w:ascii="Arial" w:hAnsi="Arial"/>
                <w:bCs/>
                <w:sz w:val="20"/>
                <w:szCs w:val="20"/>
              </w:rPr>
            </w:pPr>
            <w:r w:rsidRPr="008551DB">
              <w:rPr>
                <w:rFonts w:ascii="Arial" w:hAnsi="Arial"/>
                <w:bCs/>
                <w:sz w:val="20"/>
                <w:szCs w:val="20"/>
              </w:rPr>
              <w:t>49.55±1.56</w:t>
            </w:r>
          </w:p>
        </w:tc>
        <w:tc>
          <w:tcPr>
            <w:tcW w:w="3544" w:type="dxa"/>
            <w:gridSpan w:val="2"/>
            <w:tcBorders>
              <w:top w:val="nil"/>
              <w:left w:val="nil"/>
              <w:bottom w:val="nil"/>
              <w:right w:val="nil"/>
            </w:tcBorders>
            <w:noWrap/>
            <w:hideMark/>
          </w:tcPr>
          <w:p w14:paraId="29D1EEBA" w14:textId="77777777" w:rsidR="008551DB" w:rsidRPr="008551DB" w:rsidRDefault="008551DB" w:rsidP="0084040C">
            <w:pPr>
              <w:pStyle w:val="BodyText3"/>
              <w:tabs>
                <w:tab w:val="left" w:pos="1080"/>
              </w:tabs>
              <w:spacing w:line="480" w:lineRule="auto"/>
              <w:ind w:left="1080" w:hanging="1080"/>
              <w:jc w:val="both"/>
              <w:rPr>
                <w:rFonts w:ascii="Arial" w:hAnsi="Arial"/>
                <w:bCs/>
                <w:sz w:val="20"/>
                <w:szCs w:val="20"/>
              </w:rPr>
            </w:pPr>
            <w:r w:rsidRPr="008551DB">
              <w:rPr>
                <w:rFonts w:ascii="Arial" w:hAnsi="Arial"/>
                <w:bCs/>
                <w:sz w:val="20"/>
                <w:szCs w:val="20"/>
              </w:rPr>
              <w:t>26.82±3.47</w:t>
            </w:r>
          </w:p>
        </w:tc>
      </w:tr>
      <w:tr w:rsidR="008551DB" w:rsidRPr="008551DB" w14:paraId="22081DBC" w14:textId="77777777" w:rsidTr="0084040C">
        <w:trPr>
          <w:trHeight w:val="300"/>
        </w:trPr>
        <w:tc>
          <w:tcPr>
            <w:tcW w:w="2329" w:type="dxa"/>
            <w:tcBorders>
              <w:top w:val="nil"/>
              <w:left w:val="nil"/>
              <w:bottom w:val="single" w:sz="4" w:space="0" w:color="auto"/>
              <w:right w:val="nil"/>
            </w:tcBorders>
            <w:hideMark/>
          </w:tcPr>
          <w:p w14:paraId="67E20C95" w14:textId="77777777" w:rsidR="008551DB" w:rsidRPr="008551DB" w:rsidRDefault="008551DB" w:rsidP="0084040C">
            <w:pPr>
              <w:pStyle w:val="BodyText3"/>
              <w:tabs>
                <w:tab w:val="left" w:pos="1080"/>
              </w:tabs>
              <w:spacing w:line="480" w:lineRule="auto"/>
              <w:ind w:left="1080" w:hanging="1080"/>
              <w:jc w:val="both"/>
              <w:rPr>
                <w:rFonts w:ascii="Arial" w:hAnsi="Arial"/>
                <w:bCs/>
                <w:sz w:val="20"/>
                <w:szCs w:val="20"/>
              </w:rPr>
            </w:pPr>
            <w:r w:rsidRPr="008551DB">
              <w:rPr>
                <w:rFonts w:ascii="Arial" w:hAnsi="Arial"/>
                <w:bCs/>
                <w:sz w:val="20"/>
                <w:szCs w:val="20"/>
              </w:rPr>
              <w:t>Bolte-Kpan Soil</w:t>
            </w:r>
          </w:p>
        </w:tc>
        <w:tc>
          <w:tcPr>
            <w:tcW w:w="3591" w:type="dxa"/>
            <w:tcBorders>
              <w:top w:val="nil"/>
              <w:left w:val="nil"/>
              <w:bottom w:val="single" w:sz="4" w:space="0" w:color="auto"/>
              <w:right w:val="nil"/>
            </w:tcBorders>
            <w:noWrap/>
            <w:hideMark/>
          </w:tcPr>
          <w:p w14:paraId="6609A756" w14:textId="77777777" w:rsidR="008551DB" w:rsidRPr="008551DB" w:rsidRDefault="008551DB" w:rsidP="0084040C">
            <w:pPr>
              <w:pStyle w:val="BodyText3"/>
              <w:tabs>
                <w:tab w:val="left" w:pos="1080"/>
              </w:tabs>
              <w:spacing w:line="480" w:lineRule="auto"/>
              <w:ind w:left="1080" w:hanging="1080"/>
              <w:jc w:val="both"/>
              <w:rPr>
                <w:rFonts w:ascii="Arial" w:hAnsi="Arial"/>
                <w:bCs/>
                <w:sz w:val="20"/>
                <w:szCs w:val="20"/>
              </w:rPr>
            </w:pPr>
            <w:r w:rsidRPr="008551DB">
              <w:rPr>
                <w:rFonts w:ascii="Arial" w:hAnsi="Arial"/>
                <w:bCs/>
                <w:sz w:val="20"/>
                <w:szCs w:val="20"/>
              </w:rPr>
              <w:t>54.88±1.62</w:t>
            </w:r>
          </w:p>
        </w:tc>
        <w:tc>
          <w:tcPr>
            <w:tcW w:w="3544" w:type="dxa"/>
            <w:gridSpan w:val="2"/>
            <w:tcBorders>
              <w:top w:val="nil"/>
              <w:left w:val="nil"/>
              <w:bottom w:val="single" w:sz="4" w:space="0" w:color="auto"/>
              <w:right w:val="nil"/>
            </w:tcBorders>
            <w:noWrap/>
            <w:hideMark/>
          </w:tcPr>
          <w:p w14:paraId="1B658E13" w14:textId="77777777" w:rsidR="008551DB" w:rsidRPr="008551DB" w:rsidRDefault="008551DB" w:rsidP="0084040C">
            <w:pPr>
              <w:pStyle w:val="BodyText3"/>
              <w:tabs>
                <w:tab w:val="left" w:pos="1080"/>
              </w:tabs>
              <w:spacing w:line="480" w:lineRule="auto"/>
              <w:ind w:left="1080" w:hanging="1080"/>
              <w:jc w:val="both"/>
              <w:rPr>
                <w:rFonts w:ascii="Arial" w:hAnsi="Arial"/>
                <w:bCs/>
                <w:sz w:val="20"/>
                <w:szCs w:val="20"/>
              </w:rPr>
            </w:pPr>
            <w:r w:rsidRPr="008551DB">
              <w:rPr>
                <w:rFonts w:ascii="Arial" w:hAnsi="Arial"/>
                <w:bCs/>
                <w:sz w:val="20"/>
                <w:szCs w:val="20"/>
              </w:rPr>
              <w:t>70.23±4.18</w:t>
            </w:r>
          </w:p>
        </w:tc>
      </w:tr>
      <w:tr w:rsidR="008551DB" w:rsidRPr="008551DB" w14:paraId="28793E03" w14:textId="77777777" w:rsidTr="0084040C">
        <w:trPr>
          <w:gridAfter w:val="1"/>
          <w:wAfter w:w="1040" w:type="dxa"/>
          <w:trHeight w:val="410"/>
        </w:trPr>
        <w:tc>
          <w:tcPr>
            <w:tcW w:w="2329" w:type="dxa"/>
            <w:tcBorders>
              <w:top w:val="nil"/>
              <w:left w:val="nil"/>
              <w:bottom w:val="single" w:sz="4" w:space="0" w:color="auto"/>
              <w:right w:val="nil"/>
            </w:tcBorders>
            <w:hideMark/>
          </w:tcPr>
          <w:p w14:paraId="2C697CEE" w14:textId="77777777" w:rsidR="008551DB" w:rsidRPr="008551DB" w:rsidRDefault="008551DB" w:rsidP="0084040C">
            <w:pPr>
              <w:pStyle w:val="BodyText3"/>
              <w:tabs>
                <w:tab w:val="left" w:pos="1080"/>
              </w:tabs>
              <w:spacing w:line="480" w:lineRule="auto"/>
              <w:ind w:left="1080" w:hanging="1080"/>
              <w:jc w:val="both"/>
              <w:rPr>
                <w:rFonts w:ascii="Arial" w:hAnsi="Arial"/>
                <w:bCs/>
                <w:sz w:val="20"/>
                <w:szCs w:val="20"/>
              </w:rPr>
            </w:pPr>
            <w:r w:rsidRPr="008551DB">
              <w:rPr>
                <w:rFonts w:ascii="Arial" w:hAnsi="Arial"/>
                <w:bCs/>
                <w:sz w:val="20"/>
                <w:szCs w:val="20"/>
              </w:rPr>
              <w:t xml:space="preserve">Control Soil*                                    </w:t>
            </w:r>
          </w:p>
        </w:tc>
        <w:tc>
          <w:tcPr>
            <w:tcW w:w="3591" w:type="dxa"/>
            <w:tcBorders>
              <w:top w:val="nil"/>
              <w:left w:val="nil"/>
              <w:bottom w:val="single" w:sz="4" w:space="0" w:color="auto"/>
              <w:right w:val="nil"/>
            </w:tcBorders>
            <w:noWrap/>
            <w:hideMark/>
          </w:tcPr>
          <w:p w14:paraId="65EA82D0" w14:textId="77777777" w:rsidR="008551DB" w:rsidRPr="008551DB" w:rsidRDefault="008551DB" w:rsidP="0084040C">
            <w:pPr>
              <w:pStyle w:val="BodyText3"/>
              <w:tabs>
                <w:tab w:val="left" w:pos="1080"/>
              </w:tabs>
              <w:spacing w:line="480" w:lineRule="auto"/>
              <w:ind w:left="1080" w:hanging="1080"/>
              <w:jc w:val="both"/>
              <w:rPr>
                <w:rFonts w:ascii="Arial" w:hAnsi="Arial"/>
                <w:bCs/>
                <w:sz w:val="20"/>
                <w:szCs w:val="20"/>
              </w:rPr>
            </w:pPr>
            <w:r w:rsidRPr="008551DB">
              <w:rPr>
                <w:rFonts w:ascii="Arial" w:hAnsi="Arial"/>
                <w:bCs/>
                <w:sz w:val="20"/>
                <w:szCs w:val="20"/>
              </w:rPr>
              <w:t>14.09±1.92</w:t>
            </w:r>
          </w:p>
        </w:tc>
        <w:tc>
          <w:tcPr>
            <w:tcW w:w="2504" w:type="dxa"/>
            <w:tcBorders>
              <w:top w:val="nil"/>
              <w:left w:val="nil"/>
              <w:bottom w:val="single" w:sz="4" w:space="0" w:color="auto"/>
              <w:right w:val="nil"/>
            </w:tcBorders>
            <w:noWrap/>
            <w:hideMark/>
          </w:tcPr>
          <w:p w14:paraId="70A942EC" w14:textId="77777777" w:rsidR="008551DB" w:rsidRPr="008551DB" w:rsidRDefault="008551DB" w:rsidP="0084040C">
            <w:pPr>
              <w:pStyle w:val="BodyText3"/>
              <w:tabs>
                <w:tab w:val="left" w:pos="1080"/>
              </w:tabs>
              <w:spacing w:line="480" w:lineRule="auto"/>
              <w:ind w:left="1080" w:hanging="1080"/>
              <w:jc w:val="both"/>
              <w:rPr>
                <w:rFonts w:ascii="Arial" w:hAnsi="Arial"/>
                <w:bCs/>
                <w:sz w:val="20"/>
                <w:szCs w:val="20"/>
              </w:rPr>
            </w:pPr>
            <w:r w:rsidRPr="008551DB">
              <w:rPr>
                <w:rFonts w:ascii="Arial" w:hAnsi="Arial"/>
                <w:bCs/>
                <w:sz w:val="20"/>
                <w:szCs w:val="20"/>
              </w:rPr>
              <w:t>11.31±3.87</w:t>
            </w:r>
          </w:p>
        </w:tc>
      </w:tr>
    </w:tbl>
    <w:p w14:paraId="443D053A" w14:textId="77777777" w:rsidR="008551DB" w:rsidRDefault="008551DB" w:rsidP="00441B6F">
      <w:pPr>
        <w:pStyle w:val="BodyText3"/>
        <w:tabs>
          <w:tab w:val="left" w:pos="1080"/>
        </w:tabs>
        <w:spacing w:after="0"/>
        <w:ind w:left="1080" w:hanging="1080"/>
        <w:jc w:val="both"/>
        <w:rPr>
          <w:rFonts w:ascii="Arial" w:hAnsi="Arial"/>
          <w:b/>
          <w:sz w:val="20"/>
          <w:szCs w:val="20"/>
        </w:rPr>
      </w:pPr>
    </w:p>
    <w:p w14:paraId="36EAB80C" w14:textId="77777777" w:rsidR="0055227A" w:rsidRDefault="0055227A" w:rsidP="00441B6F">
      <w:pPr>
        <w:pStyle w:val="Body"/>
        <w:spacing w:after="0"/>
        <w:rPr>
          <w:rFonts w:ascii="Arial" w:hAnsi="Arial" w:cs="Arial"/>
        </w:rPr>
      </w:pPr>
    </w:p>
    <w:p w14:paraId="1E933808" w14:textId="3FF86295" w:rsidR="00732997" w:rsidRDefault="00732997" w:rsidP="00441B6F">
      <w:pPr>
        <w:pStyle w:val="Body"/>
        <w:spacing w:after="0"/>
        <w:rPr>
          <w:rFonts w:ascii="Arial" w:hAnsi="Arial" w:cs="Arial"/>
          <w:iCs/>
        </w:rPr>
      </w:pPr>
      <w:r w:rsidRPr="00732997">
        <w:rPr>
          <w:rFonts w:ascii="Arial" w:hAnsi="Arial" w:cs="Arial"/>
        </w:rPr>
        <w:t xml:space="preserve">The results of control soil sample for gross alpha and beta activity concentrations are 14.09±1.92 and 11.31.60±3.87 Bq/kg. </w:t>
      </w:r>
      <w:r w:rsidRPr="00732997">
        <w:rPr>
          <w:rFonts w:ascii="Arial" w:hAnsi="Arial" w:cs="Arial"/>
          <w:iCs/>
        </w:rPr>
        <w:t xml:space="preserve">The results of the activity were found to be greater than the gross alpha and beta activity for the control soil samples, except in </w:t>
      </w:r>
      <w:proofErr w:type="spellStart"/>
      <w:r w:rsidRPr="00732997">
        <w:rPr>
          <w:rFonts w:ascii="Arial" w:hAnsi="Arial" w:cs="Arial"/>
          <w:iCs/>
        </w:rPr>
        <w:t>Te</w:t>
      </w:r>
      <w:proofErr w:type="spellEnd"/>
      <w:r w:rsidRPr="00732997">
        <w:rPr>
          <w:rFonts w:ascii="Arial" w:hAnsi="Arial" w:cs="Arial"/>
          <w:iCs/>
        </w:rPr>
        <w:t>-</w:t>
      </w:r>
      <w:proofErr w:type="spellStart"/>
      <w:r w:rsidRPr="00732997">
        <w:rPr>
          <w:rFonts w:ascii="Arial" w:hAnsi="Arial" w:cs="Arial"/>
          <w:iCs/>
        </w:rPr>
        <w:t>oo</w:t>
      </w:r>
      <w:proofErr w:type="spellEnd"/>
      <w:r w:rsidRPr="00732997">
        <w:rPr>
          <w:rFonts w:ascii="Arial" w:hAnsi="Arial" w:cs="Arial"/>
          <w:iCs/>
        </w:rPr>
        <w:t xml:space="preserve">-goo oil spill sites as shown in </w:t>
      </w:r>
      <w:r>
        <w:rPr>
          <w:rFonts w:ascii="Arial" w:hAnsi="Arial" w:cs="Arial"/>
          <w:iCs/>
        </w:rPr>
        <w:t>(</w:t>
      </w:r>
      <w:r w:rsidRPr="00732997">
        <w:rPr>
          <w:rFonts w:ascii="Arial" w:hAnsi="Arial" w:cs="Arial"/>
          <w:iCs/>
        </w:rPr>
        <w:t xml:space="preserve">Figure </w:t>
      </w:r>
      <w:r>
        <w:rPr>
          <w:rFonts w:ascii="Arial" w:hAnsi="Arial" w:cs="Arial"/>
          <w:iCs/>
        </w:rPr>
        <w:t>2</w:t>
      </w:r>
      <w:r w:rsidRPr="00732997">
        <w:rPr>
          <w:rFonts w:ascii="Arial" w:hAnsi="Arial" w:cs="Arial"/>
          <w:iCs/>
        </w:rPr>
        <w:t xml:space="preserve"> and </w:t>
      </w:r>
      <w:r>
        <w:rPr>
          <w:rFonts w:ascii="Arial" w:hAnsi="Arial" w:cs="Arial"/>
          <w:iCs/>
        </w:rPr>
        <w:t>Figure 3)</w:t>
      </w:r>
      <w:r w:rsidRPr="00732997">
        <w:rPr>
          <w:rFonts w:ascii="Arial" w:hAnsi="Arial" w:cs="Arial"/>
          <w:iCs/>
        </w:rPr>
        <w:t xml:space="preserve"> respectively.</w:t>
      </w:r>
      <w:r w:rsidRPr="00732997">
        <w:rPr>
          <w:rFonts w:ascii="Arial" w:hAnsi="Arial" w:cs="Arial"/>
        </w:rPr>
        <w:t xml:space="preserve"> </w:t>
      </w:r>
      <w:r w:rsidRPr="00732997">
        <w:rPr>
          <w:rFonts w:ascii="Arial" w:hAnsi="Arial" w:cs="Arial"/>
          <w:iCs/>
        </w:rPr>
        <w:t>This might be due to the quantity of oil spill in this area.</w:t>
      </w:r>
    </w:p>
    <w:p w14:paraId="246961EB" w14:textId="77777777" w:rsidR="0055227A" w:rsidRDefault="0055227A" w:rsidP="00441B6F">
      <w:pPr>
        <w:pStyle w:val="Body"/>
        <w:spacing w:after="0"/>
        <w:rPr>
          <w:rFonts w:ascii="Arial" w:hAnsi="Arial" w:cs="Arial"/>
          <w:iCs/>
        </w:rPr>
      </w:pPr>
    </w:p>
    <w:p w14:paraId="7D983B2C" w14:textId="2D732096" w:rsidR="00732997" w:rsidRDefault="00732997" w:rsidP="00441B6F">
      <w:pPr>
        <w:pStyle w:val="Body"/>
        <w:spacing w:after="0"/>
        <w:rPr>
          <w:rFonts w:ascii="Arial" w:hAnsi="Arial" w:cs="Arial"/>
        </w:rPr>
      </w:pPr>
      <w:r>
        <w:rPr>
          <w:noProof/>
        </w:rPr>
        <w:lastRenderedPageBreak/>
        <w:drawing>
          <wp:inline distT="0" distB="0" distL="0" distR="0" wp14:anchorId="34B5DFBA" wp14:editId="43C2D01E">
            <wp:extent cx="5212080" cy="2179930"/>
            <wp:effectExtent l="0" t="0" r="0" b="0"/>
            <wp:docPr id="96375715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2442BA2" w14:textId="46684B5A" w:rsidR="00732997" w:rsidRPr="00732997" w:rsidRDefault="00732997" w:rsidP="00732997">
      <w:pPr>
        <w:pStyle w:val="Body"/>
        <w:rPr>
          <w:rFonts w:ascii="Arial" w:hAnsi="Arial" w:cs="Arial"/>
          <w:b/>
        </w:rPr>
      </w:pPr>
      <w:r w:rsidRPr="00732997">
        <w:rPr>
          <w:rFonts w:ascii="Arial" w:hAnsi="Arial" w:cs="Arial"/>
          <w:b/>
        </w:rPr>
        <w:t xml:space="preserve">Fig. </w:t>
      </w:r>
      <w:r>
        <w:rPr>
          <w:rFonts w:ascii="Arial" w:hAnsi="Arial" w:cs="Arial"/>
          <w:b/>
        </w:rPr>
        <w:t>2</w:t>
      </w:r>
      <w:r w:rsidRPr="00732997">
        <w:rPr>
          <w:rFonts w:ascii="Arial" w:hAnsi="Arial" w:cs="Arial"/>
          <w:b/>
        </w:rPr>
        <w:t>. Comparison of gross alpha activity concentration in soil samples with the control sample in oil spill site in Rivers State</w:t>
      </w:r>
    </w:p>
    <w:p w14:paraId="78FD8881" w14:textId="51979BD9" w:rsidR="00732997" w:rsidRDefault="00732997" w:rsidP="00441B6F">
      <w:pPr>
        <w:pStyle w:val="Body"/>
        <w:spacing w:after="0"/>
        <w:rPr>
          <w:rFonts w:ascii="Arial" w:hAnsi="Arial" w:cs="Arial"/>
        </w:rPr>
      </w:pPr>
      <w:r>
        <w:rPr>
          <w:noProof/>
        </w:rPr>
        <w:drawing>
          <wp:inline distT="0" distB="0" distL="0" distR="0" wp14:anchorId="4042B7A3" wp14:editId="01DDCFB9">
            <wp:extent cx="5212080" cy="2574950"/>
            <wp:effectExtent l="0" t="0" r="0" b="0"/>
            <wp:docPr id="113264694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4FD94DF" w14:textId="5CC67371" w:rsidR="00732997" w:rsidRPr="00732997" w:rsidRDefault="00732997" w:rsidP="00732997">
      <w:pPr>
        <w:pStyle w:val="Body"/>
        <w:rPr>
          <w:rFonts w:ascii="Arial" w:hAnsi="Arial" w:cs="Arial"/>
          <w:b/>
        </w:rPr>
      </w:pPr>
      <w:r w:rsidRPr="00732997">
        <w:rPr>
          <w:rFonts w:ascii="Arial" w:hAnsi="Arial" w:cs="Arial"/>
          <w:b/>
        </w:rPr>
        <w:t xml:space="preserve">Fig. </w:t>
      </w:r>
      <w:r>
        <w:rPr>
          <w:rFonts w:ascii="Arial" w:hAnsi="Arial" w:cs="Arial"/>
          <w:b/>
        </w:rPr>
        <w:t>3</w:t>
      </w:r>
      <w:r w:rsidRPr="00732997">
        <w:rPr>
          <w:rFonts w:ascii="Arial" w:hAnsi="Arial" w:cs="Arial"/>
          <w:b/>
        </w:rPr>
        <w:t>. Comparison of gross beta activity concentration in soil samples with control sample in oil spill site in Rivers State</w:t>
      </w:r>
    </w:p>
    <w:p w14:paraId="02C0B448" w14:textId="77777777" w:rsidR="00732997" w:rsidRDefault="00732997" w:rsidP="00441B6F">
      <w:pPr>
        <w:pStyle w:val="Body"/>
        <w:spacing w:after="0"/>
        <w:rPr>
          <w:rFonts w:ascii="Arial" w:hAnsi="Arial" w:cs="Arial"/>
        </w:rPr>
      </w:pPr>
    </w:p>
    <w:p w14:paraId="69C1A549" w14:textId="544E7B73" w:rsidR="008019C8" w:rsidRPr="008019C8" w:rsidRDefault="008019C8" w:rsidP="008019C8">
      <w:pPr>
        <w:spacing w:line="480" w:lineRule="auto"/>
        <w:rPr>
          <w:rFonts w:ascii="Arial" w:hAnsi="Arial" w:cs="Arial"/>
        </w:rPr>
      </w:pPr>
      <w:r w:rsidRPr="008019C8">
        <w:rPr>
          <w:rFonts w:ascii="Arial" w:hAnsi="Arial" w:cs="Arial"/>
          <w:b/>
        </w:rPr>
        <w:t>Table 2. Result of gross alpha and gross beta activity concentration (Bq/Kg) in sediment samples for the study areas</w:t>
      </w:r>
    </w:p>
    <w:tbl>
      <w:tblPr>
        <w:tblW w:w="9606" w:type="dxa"/>
        <w:tblBorders>
          <w:top w:val="single" w:sz="4" w:space="0" w:color="auto"/>
          <w:bottom w:val="single" w:sz="4" w:space="0" w:color="auto"/>
        </w:tblBorders>
        <w:tblLook w:val="04A0" w:firstRow="1" w:lastRow="0" w:firstColumn="1" w:lastColumn="0" w:noHBand="0" w:noVBand="1"/>
      </w:tblPr>
      <w:tblGrid>
        <w:gridCol w:w="2660"/>
        <w:gridCol w:w="3544"/>
        <w:gridCol w:w="3402"/>
      </w:tblGrid>
      <w:tr w:rsidR="008019C8" w:rsidRPr="008019C8" w14:paraId="685C227A" w14:textId="77777777" w:rsidTr="008019C8">
        <w:trPr>
          <w:trHeight w:val="300"/>
        </w:trPr>
        <w:tc>
          <w:tcPr>
            <w:tcW w:w="2660" w:type="dxa"/>
            <w:tcBorders>
              <w:top w:val="single" w:sz="4" w:space="0" w:color="auto"/>
              <w:left w:val="nil"/>
              <w:bottom w:val="single" w:sz="4" w:space="0" w:color="auto"/>
              <w:right w:val="nil"/>
            </w:tcBorders>
            <w:noWrap/>
            <w:hideMark/>
          </w:tcPr>
          <w:p w14:paraId="44EEDE20" w14:textId="38BE8A67" w:rsidR="008019C8" w:rsidRPr="008019C8" w:rsidRDefault="008019C8" w:rsidP="008019C8">
            <w:pPr>
              <w:spacing w:line="480" w:lineRule="auto"/>
              <w:rPr>
                <w:rFonts w:ascii="Arial" w:hAnsi="Arial" w:cs="Arial"/>
                <w:b/>
              </w:rPr>
            </w:pPr>
            <w:r w:rsidRPr="008019C8">
              <w:rPr>
                <w:rFonts w:ascii="Arial" w:hAnsi="Arial" w:cs="Arial"/>
                <w:b/>
              </w:rPr>
              <w:t>Sample areas</w:t>
            </w:r>
          </w:p>
        </w:tc>
        <w:tc>
          <w:tcPr>
            <w:tcW w:w="3544" w:type="dxa"/>
            <w:tcBorders>
              <w:top w:val="single" w:sz="4" w:space="0" w:color="auto"/>
              <w:left w:val="nil"/>
              <w:bottom w:val="single" w:sz="4" w:space="0" w:color="auto"/>
              <w:right w:val="nil"/>
            </w:tcBorders>
            <w:noWrap/>
            <w:hideMark/>
          </w:tcPr>
          <w:p w14:paraId="1ACC4E17" w14:textId="31BA9DA4" w:rsidR="008019C8" w:rsidRPr="008019C8" w:rsidRDefault="008019C8" w:rsidP="008019C8">
            <w:pPr>
              <w:spacing w:line="480" w:lineRule="auto"/>
              <w:rPr>
                <w:rFonts w:ascii="Arial" w:hAnsi="Arial" w:cs="Arial"/>
                <w:b/>
                <w:color w:val="000000"/>
              </w:rPr>
            </w:pPr>
            <w:r>
              <w:rPr>
                <w:rFonts w:ascii="Arial" w:hAnsi="Arial" w:cs="Arial"/>
                <w:b/>
                <w:color w:val="000000"/>
              </w:rPr>
              <w:t>Gross a</w:t>
            </w:r>
            <w:r w:rsidRPr="008019C8">
              <w:rPr>
                <w:rFonts w:ascii="Arial" w:hAnsi="Arial" w:cs="Arial"/>
                <w:b/>
                <w:color w:val="000000"/>
              </w:rPr>
              <w:t>lpha concentration (</w:t>
            </w:r>
            <w:r>
              <w:rPr>
                <w:rFonts w:ascii="Arial" w:hAnsi="Arial" w:cs="Arial"/>
                <w:b/>
                <w:color w:val="000000"/>
              </w:rPr>
              <w:t>B</w:t>
            </w:r>
            <w:r w:rsidRPr="008019C8">
              <w:rPr>
                <w:rFonts w:ascii="Arial" w:hAnsi="Arial" w:cs="Arial"/>
                <w:b/>
                <w:color w:val="000000"/>
              </w:rPr>
              <w:t>q/kg)</w:t>
            </w:r>
          </w:p>
        </w:tc>
        <w:tc>
          <w:tcPr>
            <w:tcW w:w="3402" w:type="dxa"/>
            <w:tcBorders>
              <w:top w:val="single" w:sz="4" w:space="0" w:color="auto"/>
              <w:left w:val="nil"/>
              <w:bottom w:val="single" w:sz="4" w:space="0" w:color="auto"/>
              <w:right w:val="nil"/>
            </w:tcBorders>
            <w:noWrap/>
            <w:hideMark/>
          </w:tcPr>
          <w:p w14:paraId="2ADC8161" w14:textId="0E6A1D87" w:rsidR="008019C8" w:rsidRPr="008019C8" w:rsidRDefault="008019C8" w:rsidP="008019C8">
            <w:pPr>
              <w:spacing w:line="480" w:lineRule="auto"/>
              <w:rPr>
                <w:rFonts w:ascii="Arial" w:hAnsi="Arial" w:cs="Arial"/>
                <w:b/>
                <w:color w:val="000000"/>
              </w:rPr>
            </w:pPr>
            <w:r>
              <w:rPr>
                <w:rFonts w:ascii="Arial" w:hAnsi="Arial" w:cs="Arial"/>
                <w:b/>
                <w:color w:val="000000"/>
              </w:rPr>
              <w:t>Gross b</w:t>
            </w:r>
            <w:r w:rsidRPr="008019C8">
              <w:rPr>
                <w:rFonts w:ascii="Arial" w:hAnsi="Arial" w:cs="Arial"/>
                <w:b/>
                <w:color w:val="000000"/>
              </w:rPr>
              <w:t>eta concentration (</w:t>
            </w:r>
            <w:r>
              <w:rPr>
                <w:rFonts w:ascii="Arial" w:hAnsi="Arial" w:cs="Arial"/>
                <w:b/>
                <w:color w:val="000000"/>
              </w:rPr>
              <w:t>B</w:t>
            </w:r>
            <w:r w:rsidRPr="008019C8">
              <w:rPr>
                <w:rFonts w:ascii="Arial" w:hAnsi="Arial" w:cs="Arial"/>
                <w:b/>
                <w:color w:val="000000"/>
              </w:rPr>
              <w:t xml:space="preserve">q/kg)  </w:t>
            </w:r>
          </w:p>
        </w:tc>
      </w:tr>
      <w:tr w:rsidR="008019C8" w:rsidRPr="008019C8" w14:paraId="23C05C5A" w14:textId="77777777" w:rsidTr="008019C8">
        <w:trPr>
          <w:trHeight w:val="300"/>
        </w:trPr>
        <w:tc>
          <w:tcPr>
            <w:tcW w:w="2660" w:type="dxa"/>
            <w:tcBorders>
              <w:top w:val="single" w:sz="4" w:space="0" w:color="auto"/>
              <w:left w:val="nil"/>
              <w:bottom w:val="nil"/>
              <w:right w:val="nil"/>
            </w:tcBorders>
            <w:noWrap/>
            <w:hideMark/>
          </w:tcPr>
          <w:p w14:paraId="31A3A406" w14:textId="77777777" w:rsidR="008019C8" w:rsidRPr="008019C8" w:rsidRDefault="008019C8" w:rsidP="008019C8">
            <w:pPr>
              <w:spacing w:line="480" w:lineRule="auto"/>
              <w:rPr>
                <w:rFonts w:ascii="Arial" w:hAnsi="Arial" w:cs="Arial"/>
                <w:bCs/>
              </w:rPr>
            </w:pPr>
            <w:r w:rsidRPr="008019C8">
              <w:rPr>
                <w:rFonts w:ascii="Arial" w:hAnsi="Arial" w:cs="Arial"/>
                <w:bCs/>
              </w:rPr>
              <w:t>Rivers sediment samples</w:t>
            </w:r>
          </w:p>
        </w:tc>
        <w:tc>
          <w:tcPr>
            <w:tcW w:w="3544" w:type="dxa"/>
            <w:tcBorders>
              <w:top w:val="single" w:sz="4" w:space="0" w:color="auto"/>
              <w:left w:val="nil"/>
              <w:bottom w:val="nil"/>
              <w:right w:val="nil"/>
            </w:tcBorders>
            <w:noWrap/>
          </w:tcPr>
          <w:p w14:paraId="6DD83DC3" w14:textId="77777777" w:rsidR="008019C8" w:rsidRPr="008019C8" w:rsidRDefault="008019C8" w:rsidP="008019C8">
            <w:pPr>
              <w:spacing w:line="480" w:lineRule="auto"/>
              <w:rPr>
                <w:rFonts w:ascii="Arial" w:hAnsi="Arial" w:cs="Arial"/>
                <w:color w:val="000000"/>
              </w:rPr>
            </w:pPr>
          </w:p>
        </w:tc>
        <w:tc>
          <w:tcPr>
            <w:tcW w:w="3402" w:type="dxa"/>
            <w:tcBorders>
              <w:top w:val="single" w:sz="4" w:space="0" w:color="auto"/>
              <w:left w:val="nil"/>
              <w:bottom w:val="nil"/>
              <w:right w:val="nil"/>
            </w:tcBorders>
            <w:noWrap/>
          </w:tcPr>
          <w:p w14:paraId="1BC65BE7" w14:textId="77777777" w:rsidR="008019C8" w:rsidRPr="008019C8" w:rsidRDefault="008019C8" w:rsidP="008019C8">
            <w:pPr>
              <w:spacing w:line="480" w:lineRule="auto"/>
              <w:rPr>
                <w:rFonts w:ascii="Arial" w:hAnsi="Arial" w:cs="Arial"/>
                <w:color w:val="000000"/>
              </w:rPr>
            </w:pPr>
          </w:p>
        </w:tc>
      </w:tr>
      <w:tr w:rsidR="008019C8" w:rsidRPr="008019C8" w14:paraId="085E363C" w14:textId="77777777" w:rsidTr="008019C8">
        <w:trPr>
          <w:trHeight w:val="300"/>
        </w:trPr>
        <w:tc>
          <w:tcPr>
            <w:tcW w:w="2660" w:type="dxa"/>
            <w:tcBorders>
              <w:top w:val="nil"/>
              <w:left w:val="nil"/>
              <w:bottom w:val="nil"/>
              <w:right w:val="nil"/>
            </w:tcBorders>
            <w:noWrap/>
            <w:hideMark/>
          </w:tcPr>
          <w:p w14:paraId="25A39B59" w14:textId="77777777" w:rsidR="008019C8" w:rsidRPr="008019C8" w:rsidRDefault="008019C8" w:rsidP="008019C8">
            <w:pPr>
              <w:spacing w:line="480" w:lineRule="auto"/>
              <w:rPr>
                <w:rFonts w:ascii="Arial" w:hAnsi="Arial" w:cs="Arial"/>
                <w:bCs/>
              </w:rPr>
            </w:pPr>
            <w:proofErr w:type="spellStart"/>
            <w:proofErr w:type="gramStart"/>
            <w:r w:rsidRPr="008019C8">
              <w:rPr>
                <w:rFonts w:ascii="Arial" w:hAnsi="Arial" w:cs="Arial"/>
                <w:bCs/>
              </w:rPr>
              <w:t>Nupene</w:t>
            </w:r>
            <w:proofErr w:type="spellEnd"/>
            <w:r w:rsidRPr="008019C8">
              <w:rPr>
                <w:rFonts w:ascii="Arial" w:hAnsi="Arial" w:cs="Arial"/>
                <w:bCs/>
              </w:rPr>
              <w:t xml:space="preserve">  Sed.</w:t>
            </w:r>
            <w:proofErr w:type="gramEnd"/>
            <w:r w:rsidRPr="008019C8">
              <w:rPr>
                <w:rFonts w:ascii="Arial" w:hAnsi="Arial" w:cs="Arial"/>
                <w:bCs/>
              </w:rPr>
              <w:t xml:space="preserve"> 1                              </w:t>
            </w:r>
          </w:p>
        </w:tc>
        <w:tc>
          <w:tcPr>
            <w:tcW w:w="3544" w:type="dxa"/>
            <w:tcBorders>
              <w:top w:val="nil"/>
              <w:left w:val="nil"/>
              <w:bottom w:val="nil"/>
              <w:right w:val="nil"/>
            </w:tcBorders>
            <w:noWrap/>
            <w:hideMark/>
          </w:tcPr>
          <w:p w14:paraId="108B7715" w14:textId="77777777" w:rsidR="008019C8" w:rsidRPr="008019C8" w:rsidRDefault="008019C8" w:rsidP="008019C8">
            <w:pPr>
              <w:spacing w:line="480" w:lineRule="auto"/>
              <w:rPr>
                <w:rFonts w:ascii="Arial" w:hAnsi="Arial" w:cs="Arial"/>
              </w:rPr>
            </w:pPr>
            <w:r w:rsidRPr="008019C8">
              <w:rPr>
                <w:rFonts w:ascii="Arial" w:hAnsi="Arial" w:cs="Arial"/>
              </w:rPr>
              <w:t>18.52±1.76</w:t>
            </w:r>
          </w:p>
        </w:tc>
        <w:tc>
          <w:tcPr>
            <w:tcW w:w="3402" w:type="dxa"/>
            <w:tcBorders>
              <w:top w:val="nil"/>
              <w:left w:val="nil"/>
              <w:bottom w:val="nil"/>
              <w:right w:val="nil"/>
            </w:tcBorders>
            <w:noWrap/>
            <w:hideMark/>
          </w:tcPr>
          <w:p w14:paraId="51641A9F" w14:textId="77777777" w:rsidR="008019C8" w:rsidRPr="008019C8" w:rsidRDefault="008019C8" w:rsidP="008019C8">
            <w:pPr>
              <w:spacing w:line="480" w:lineRule="auto"/>
              <w:rPr>
                <w:rFonts w:ascii="Arial" w:hAnsi="Arial" w:cs="Arial"/>
              </w:rPr>
            </w:pPr>
            <w:r w:rsidRPr="008019C8">
              <w:rPr>
                <w:rFonts w:ascii="Arial" w:hAnsi="Arial" w:cs="Arial"/>
              </w:rPr>
              <w:t>98.69±3.08</w:t>
            </w:r>
          </w:p>
        </w:tc>
      </w:tr>
      <w:tr w:rsidR="008019C8" w:rsidRPr="008019C8" w14:paraId="55E122DC" w14:textId="77777777" w:rsidTr="008019C8">
        <w:trPr>
          <w:trHeight w:val="300"/>
        </w:trPr>
        <w:tc>
          <w:tcPr>
            <w:tcW w:w="2660" w:type="dxa"/>
            <w:tcBorders>
              <w:top w:val="nil"/>
              <w:left w:val="nil"/>
              <w:bottom w:val="nil"/>
              <w:right w:val="nil"/>
            </w:tcBorders>
            <w:hideMark/>
          </w:tcPr>
          <w:p w14:paraId="21534190" w14:textId="77777777" w:rsidR="008019C8" w:rsidRPr="008019C8" w:rsidRDefault="008019C8" w:rsidP="008019C8">
            <w:pPr>
              <w:spacing w:line="480" w:lineRule="auto"/>
              <w:rPr>
                <w:rFonts w:ascii="Arial" w:hAnsi="Arial" w:cs="Arial"/>
                <w:bCs/>
              </w:rPr>
            </w:pPr>
            <w:proofErr w:type="spellStart"/>
            <w:r w:rsidRPr="008019C8">
              <w:rPr>
                <w:rFonts w:ascii="Arial" w:hAnsi="Arial" w:cs="Arial"/>
                <w:bCs/>
              </w:rPr>
              <w:t>Nupene</w:t>
            </w:r>
            <w:proofErr w:type="spellEnd"/>
            <w:r w:rsidRPr="008019C8">
              <w:rPr>
                <w:rFonts w:ascii="Arial" w:hAnsi="Arial" w:cs="Arial"/>
                <w:bCs/>
              </w:rPr>
              <w:t xml:space="preserve"> Sed. 2</w:t>
            </w:r>
          </w:p>
        </w:tc>
        <w:tc>
          <w:tcPr>
            <w:tcW w:w="3544" w:type="dxa"/>
            <w:tcBorders>
              <w:top w:val="nil"/>
              <w:left w:val="nil"/>
              <w:bottom w:val="nil"/>
              <w:right w:val="nil"/>
            </w:tcBorders>
            <w:noWrap/>
            <w:hideMark/>
          </w:tcPr>
          <w:p w14:paraId="1206F9C5" w14:textId="77777777" w:rsidR="008019C8" w:rsidRPr="008019C8" w:rsidRDefault="008019C8" w:rsidP="008019C8">
            <w:pPr>
              <w:spacing w:line="480" w:lineRule="auto"/>
              <w:rPr>
                <w:rFonts w:ascii="Arial" w:hAnsi="Arial" w:cs="Arial"/>
              </w:rPr>
            </w:pPr>
            <w:r w:rsidRPr="008019C8">
              <w:rPr>
                <w:rFonts w:ascii="Arial" w:hAnsi="Arial" w:cs="Arial"/>
              </w:rPr>
              <w:t>11.16±2.68</w:t>
            </w:r>
          </w:p>
        </w:tc>
        <w:tc>
          <w:tcPr>
            <w:tcW w:w="3402" w:type="dxa"/>
            <w:tcBorders>
              <w:top w:val="nil"/>
              <w:left w:val="nil"/>
              <w:bottom w:val="nil"/>
              <w:right w:val="nil"/>
            </w:tcBorders>
            <w:noWrap/>
            <w:hideMark/>
          </w:tcPr>
          <w:p w14:paraId="30A8C6D8" w14:textId="77777777" w:rsidR="008019C8" w:rsidRPr="008019C8" w:rsidRDefault="008019C8" w:rsidP="008019C8">
            <w:pPr>
              <w:spacing w:line="480" w:lineRule="auto"/>
              <w:rPr>
                <w:rFonts w:ascii="Arial" w:hAnsi="Arial" w:cs="Arial"/>
              </w:rPr>
            </w:pPr>
            <w:r w:rsidRPr="008019C8">
              <w:rPr>
                <w:rFonts w:ascii="Arial" w:hAnsi="Arial" w:cs="Arial"/>
              </w:rPr>
              <w:t>158.60±5.08</w:t>
            </w:r>
          </w:p>
        </w:tc>
      </w:tr>
      <w:tr w:rsidR="008019C8" w:rsidRPr="008019C8" w14:paraId="7C07AB37" w14:textId="77777777" w:rsidTr="008019C8">
        <w:trPr>
          <w:trHeight w:val="300"/>
        </w:trPr>
        <w:tc>
          <w:tcPr>
            <w:tcW w:w="2660" w:type="dxa"/>
            <w:tcBorders>
              <w:top w:val="nil"/>
              <w:left w:val="nil"/>
              <w:bottom w:val="nil"/>
              <w:right w:val="nil"/>
            </w:tcBorders>
            <w:hideMark/>
          </w:tcPr>
          <w:p w14:paraId="39033C52" w14:textId="77777777" w:rsidR="008019C8" w:rsidRPr="008019C8" w:rsidRDefault="008019C8" w:rsidP="008019C8">
            <w:pPr>
              <w:spacing w:line="480" w:lineRule="auto"/>
              <w:rPr>
                <w:rFonts w:ascii="Arial" w:hAnsi="Arial" w:cs="Arial"/>
                <w:bCs/>
              </w:rPr>
            </w:pPr>
            <w:bookmarkStart w:id="7" w:name="_Hlk212710806"/>
            <w:proofErr w:type="spellStart"/>
            <w:r w:rsidRPr="008019C8">
              <w:rPr>
                <w:rFonts w:ascii="Arial" w:hAnsi="Arial" w:cs="Arial"/>
                <w:bCs/>
              </w:rPr>
              <w:t>Nupene</w:t>
            </w:r>
            <w:proofErr w:type="spellEnd"/>
            <w:r w:rsidRPr="008019C8">
              <w:rPr>
                <w:rFonts w:ascii="Arial" w:hAnsi="Arial" w:cs="Arial"/>
                <w:bCs/>
              </w:rPr>
              <w:t xml:space="preserve"> Sed. Mean</w:t>
            </w:r>
          </w:p>
        </w:tc>
        <w:tc>
          <w:tcPr>
            <w:tcW w:w="3544" w:type="dxa"/>
            <w:tcBorders>
              <w:top w:val="nil"/>
              <w:left w:val="nil"/>
              <w:bottom w:val="nil"/>
              <w:right w:val="nil"/>
            </w:tcBorders>
            <w:noWrap/>
            <w:hideMark/>
          </w:tcPr>
          <w:p w14:paraId="4C2DECEE" w14:textId="77777777" w:rsidR="008019C8" w:rsidRPr="008019C8" w:rsidRDefault="008019C8" w:rsidP="008019C8">
            <w:pPr>
              <w:spacing w:line="480" w:lineRule="auto"/>
              <w:rPr>
                <w:rFonts w:ascii="Arial" w:hAnsi="Arial" w:cs="Arial"/>
                <w:b/>
              </w:rPr>
            </w:pPr>
            <w:r w:rsidRPr="008019C8">
              <w:rPr>
                <w:rFonts w:ascii="Arial" w:hAnsi="Arial" w:cs="Arial"/>
                <w:b/>
              </w:rPr>
              <w:t>14.80±2.22</w:t>
            </w:r>
          </w:p>
        </w:tc>
        <w:tc>
          <w:tcPr>
            <w:tcW w:w="3402" w:type="dxa"/>
            <w:tcBorders>
              <w:top w:val="nil"/>
              <w:left w:val="nil"/>
              <w:bottom w:val="nil"/>
              <w:right w:val="nil"/>
            </w:tcBorders>
            <w:noWrap/>
            <w:hideMark/>
          </w:tcPr>
          <w:p w14:paraId="18E749D2" w14:textId="77777777" w:rsidR="008019C8" w:rsidRPr="008019C8" w:rsidRDefault="008019C8" w:rsidP="008019C8">
            <w:pPr>
              <w:spacing w:line="480" w:lineRule="auto"/>
              <w:rPr>
                <w:rFonts w:ascii="Arial" w:hAnsi="Arial" w:cs="Arial"/>
                <w:b/>
              </w:rPr>
            </w:pPr>
            <w:bookmarkStart w:id="8" w:name="_Hlk212711001"/>
            <w:r w:rsidRPr="008019C8">
              <w:rPr>
                <w:rFonts w:ascii="Arial" w:hAnsi="Arial" w:cs="Arial"/>
                <w:b/>
              </w:rPr>
              <w:t>129.00±4.08</w:t>
            </w:r>
            <w:bookmarkEnd w:id="8"/>
          </w:p>
        </w:tc>
        <w:bookmarkEnd w:id="7"/>
      </w:tr>
      <w:tr w:rsidR="008019C8" w:rsidRPr="008019C8" w14:paraId="6ABC3968" w14:textId="77777777" w:rsidTr="008019C8">
        <w:trPr>
          <w:trHeight w:val="300"/>
        </w:trPr>
        <w:tc>
          <w:tcPr>
            <w:tcW w:w="2660" w:type="dxa"/>
            <w:tcBorders>
              <w:top w:val="nil"/>
              <w:left w:val="nil"/>
              <w:bottom w:val="nil"/>
              <w:right w:val="nil"/>
            </w:tcBorders>
            <w:hideMark/>
          </w:tcPr>
          <w:p w14:paraId="4D406A72" w14:textId="77777777" w:rsidR="008019C8" w:rsidRPr="008019C8" w:rsidRDefault="008019C8" w:rsidP="008019C8">
            <w:pPr>
              <w:spacing w:line="480" w:lineRule="auto"/>
              <w:rPr>
                <w:rFonts w:ascii="Arial" w:hAnsi="Arial" w:cs="Arial"/>
                <w:bCs/>
              </w:rPr>
            </w:pPr>
            <w:proofErr w:type="spellStart"/>
            <w:r w:rsidRPr="008019C8">
              <w:rPr>
                <w:rFonts w:ascii="Arial" w:hAnsi="Arial" w:cs="Arial"/>
                <w:bCs/>
              </w:rPr>
              <w:t>Te</w:t>
            </w:r>
            <w:proofErr w:type="spellEnd"/>
            <w:r w:rsidRPr="008019C8">
              <w:rPr>
                <w:rFonts w:ascii="Arial" w:hAnsi="Arial" w:cs="Arial"/>
                <w:bCs/>
              </w:rPr>
              <w:t>-</w:t>
            </w:r>
            <w:proofErr w:type="spellStart"/>
            <w:r w:rsidRPr="008019C8">
              <w:rPr>
                <w:rFonts w:ascii="Arial" w:hAnsi="Arial" w:cs="Arial"/>
                <w:bCs/>
              </w:rPr>
              <w:t>oo</w:t>
            </w:r>
            <w:proofErr w:type="spellEnd"/>
            <w:r w:rsidRPr="008019C8">
              <w:rPr>
                <w:rFonts w:ascii="Arial" w:hAnsi="Arial" w:cs="Arial"/>
                <w:bCs/>
              </w:rPr>
              <w:t>-goo Sed. 1</w:t>
            </w:r>
          </w:p>
        </w:tc>
        <w:tc>
          <w:tcPr>
            <w:tcW w:w="3544" w:type="dxa"/>
            <w:tcBorders>
              <w:top w:val="nil"/>
              <w:left w:val="nil"/>
              <w:bottom w:val="nil"/>
              <w:right w:val="nil"/>
            </w:tcBorders>
            <w:noWrap/>
            <w:hideMark/>
          </w:tcPr>
          <w:p w14:paraId="3B406EDB" w14:textId="77777777" w:rsidR="008019C8" w:rsidRPr="008019C8" w:rsidRDefault="008019C8" w:rsidP="008019C8">
            <w:pPr>
              <w:spacing w:line="480" w:lineRule="auto"/>
              <w:rPr>
                <w:rFonts w:ascii="Arial" w:hAnsi="Arial" w:cs="Arial"/>
              </w:rPr>
            </w:pPr>
            <w:r w:rsidRPr="008019C8">
              <w:rPr>
                <w:rFonts w:ascii="Arial" w:hAnsi="Arial" w:cs="Arial"/>
              </w:rPr>
              <w:t>24.36±2.14</w:t>
            </w:r>
          </w:p>
        </w:tc>
        <w:tc>
          <w:tcPr>
            <w:tcW w:w="3402" w:type="dxa"/>
            <w:tcBorders>
              <w:top w:val="nil"/>
              <w:left w:val="nil"/>
              <w:bottom w:val="nil"/>
              <w:right w:val="nil"/>
            </w:tcBorders>
            <w:noWrap/>
            <w:hideMark/>
          </w:tcPr>
          <w:p w14:paraId="31E9A06D" w14:textId="77777777" w:rsidR="008019C8" w:rsidRPr="008019C8" w:rsidRDefault="008019C8" w:rsidP="008019C8">
            <w:pPr>
              <w:spacing w:line="480" w:lineRule="auto"/>
              <w:rPr>
                <w:rFonts w:ascii="Arial" w:hAnsi="Arial" w:cs="Arial"/>
              </w:rPr>
            </w:pPr>
            <w:r w:rsidRPr="008019C8">
              <w:rPr>
                <w:rFonts w:ascii="Arial" w:hAnsi="Arial" w:cs="Arial"/>
              </w:rPr>
              <w:t>37.84±4.19</w:t>
            </w:r>
          </w:p>
        </w:tc>
      </w:tr>
      <w:tr w:rsidR="008019C8" w:rsidRPr="008019C8" w14:paraId="114FE2CE" w14:textId="77777777" w:rsidTr="008019C8">
        <w:trPr>
          <w:trHeight w:val="300"/>
        </w:trPr>
        <w:tc>
          <w:tcPr>
            <w:tcW w:w="2660" w:type="dxa"/>
            <w:tcBorders>
              <w:top w:val="nil"/>
              <w:left w:val="nil"/>
              <w:bottom w:val="nil"/>
              <w:right w:val="nil"/>
            </w:tcBorders>
            <w:hideMark/>
          </w:tcPr>
          <w:p w14:paraId="51F33361" w14:textId="77777777" w:rsidR="008019C8" w:rsidRPr="008019C8" w:rsidRDefault="008019C8" w:rsidP="008019C8">
            <w:pPr>
              <w:spacing w:line="480" w:lineRule="auto"/>
              <w:rPr>
                <w:rFonts w:ascii="Arial" w:hAnsi="Arial" w:cs="Arial"/>
                <w:bCs/>
              </w:rPr>
            </w:pPr>
            <w:proofErr w:type="spellStart"/>
            <w:r w:rsidRPr="008019C8">
              <w:rPr>
                <w:rFonts w:ascii="Arial" w:hAnsi="Arial" w:cs="Arial"/>
                <w:bCs/>
              </w:rPr>
              <w:t>Te</w:t>
            </w:r>
            <w:proofErr w:type="spellEnd"/>
            <w:r w:rsidRPr="008019C8">
              <w:rPr>
                <w:rFonts w:ascii="Arial" w:hAnsi="Arial" w:cs="Arial"/>
                <w:bCs/>
              </w:rPr>
              <w:t>-</w:t>
            </w:r>
            <w:proofErr w:type="spellStart"/>
            <w:r w:rsidRPr="008019C8">
              <w:rPr>
                <w:rFonts w:ascii="Arial" w:hAnsi="Arial" w:cs="Arial"/>
                <w:bCs/>
              </w:rPr>
              <w:t>oo</w:t>
            </w:r>
            <w:proofErr w:type="spellEnd"/>
            <w:r w:rsidRPr="008019C8">
              <w:rPr>
                <w:rFonts w:ascii="Arial" w:hAnsi="Arial" w:cs="Arial"/>
                <w:bCs/>
              </w:rPr>
              <w:t>-goo Sed. 2</w:t>
            </w:r>
          </w:p>
        </w:tc>
        <w:tc>
          <w:tcPr>
            <w:tcW w:w="3544" w:type="dxa"/>
            <w:tcBorders>
              <w:top w:val="nil"/>
              <w:left w:val="nil"/>
              <w:bottom w:val="nil"/>
              <w:right w:val="nil"/>
            </w:tcBorders>
            <w:noWrap/>
            <w:hideMark/>
          </w:tcPr>
          <w:p w14:paraId="7A06FFF4" w14:textId="77777777" w:rsidR="008019C8" w:rsidRPr="008019C8" w:rsidRDefault="008019C8" w:rsidP="008019C8">
            <w:pPr>
              <w:spacing w:line="480" w:lineRule="auto"/>
              <w:rPr>
                <w:rFonts w:ascii="Arial" w:hAnsi="Arial" w:cs="Arial"/>
              </w:rPr>
            </w:pPr>
            <w:r w:rsidRPr="008019C8">
              <w:rPr>
                <w:rFonts w:ascii="Arial" w:hAnsi="Arial" w:cs="Arial"/>
              </w:rPr>
              <w:t>6.35±2.02</w:t>
            </w:r>
          </w:p>
        </w:tc>
        <w:tc>
          <w:tcPr>
            <w:tcW w:w="3402" w:type="dxa"/>
            <w:tcBorders>
              <w:top w:val="nil"/>
              <w:left w:val="nil"/>
              <w:bottom w:val="nil"/>
              <w:right w:val="nil"/>
            </w:tcBorders>
            <w:noWrap/>
            <w:hideMark/>
          </w:tcPr>
          <w:p w14:paraId="79962D2C" w14:textId="77777777" w:rsidR="008019C8" w:rsidRPr="008019C8" w:rsidRDefault="008019C8" w:rsidP="008019C8">
            <w:pPr>
              <w:spacing w:line="480" w:lineRule="auto"/>
              <w:rPr>
                <w:rFonts w:ascii="Arial" w:hAnsi="Arial" w:cs="Arial"/>
              </w:rPr>
            </w:pPr>
            <w:r w:rsidRPr="008019C8">
              <w:rPr>
                <w:rFonts w:ascii="Arial" w:hAnsi="Arial" w:cs="Arial"/>
              </w:rPr>
              <w:t>13.29±4.03</w:t>
            </w:r>
          </w:p>
        </w:tc>
      </w:tr>
      <w:tr w:rsidR="008019C8" w:rsidRPr="008019C8" w14:paraId="354D503E" w14:textId="77777777" w:rsidTr="008019C8">
        <w:trPr>
          <w:trHeight w:val="300"/>
        </w:trPr>
        <w:tc>
          <w:tcPr>
            <w:tcW w:w="2660" w:type="dxa"/>
            <w:tcBorders>
              <w:top w:val="nil"/>
              <w:left w:val="nil"/>
              <w:bottom w:val="nil"/>
              <w:right w:val="nil"/>
            </w:tcBorders>
            <w:hideMark/>
          </w:tcPr>
          <w:p w14:paraId="40BCA904" w14:textId="77777777" w:rsidR="008019C8" w:rsidRPr="008019C8" w:rsidRDefault="008019C8" w:rsidP="008019C8">
            <w:pPr>
              <w:spacing w:line="480" w:lineRule="auto"/>
              <w:rPr>
                <w:rFonts w:ascii="Arial" w:hAnsi="Arial" w:cs="Arial"/>
                <w:bCs/>
              </w:rPr>
            </w:pPr>
            <w:proofErr w:type="spellStart"/>
            <w:r w:rsidRPr="008019C8">
              <w:rPr>
                <w:rFonts w:ascii="Arial" w:hAnsi="Arial" w:cs="Arial"/>
                <w:bCs/>
              </w:rPr>
              <w:t>Te</w:t>
            </w:r>
            <w:proofErr w:type="spellEnd"/>
            <w:r w:rsidRPr="008019C8">
              <w:rPr>
                <w:rFonts w:ascii="Arial" w:hAnsi="Arial" w:cs="Arial"/>
                <w:bCs/>
              </w:rPr>
              <w:t>-</w:t>
            </w:r>
            <w:proofErr w:type="spellStart"/>
            <w:r w:rsidRPr="008019C8">
              <w:rPr>
                <w:rFonts w:ascii="Arial" w:hAnsi="Arial" w:cs="Arial"/>
                <w:bCs/>
              </w:rPr>
              <w:t>oo</w:t>
            </w:r>
            <w:proofErr w:type="spellEnd"/>
            <w:r w:rsidRPr="008019C8">
              <w:rPr>
                <w:rFonts w:ascii="Arial" w:hAnsi="Arial" w:cs="Arial"/>
                <w:bCs/>
              </w:rPr>
              <w:t>-goo Sed. Mean</w:t>
            </w:r>
          </w:p>
        </w:tc>
        <w:tc>
          <w:tcPr>
            <w:tcW w:w="3544" w:type="dxa"/>
            <w:tcBorders>
              <w:top w:val="nil"/>
              <w:left w:val="nil"/>
              <w:bottom w:val="nil"/>
              <w:right w:val="nil"/>
            </w:tcBorders>
            <w:noWrap/>
            <w:hideMark/>
          </w:tcPr>
          <w:p w14:paraId="20ACD06D" w14:textId="77777777" w:rsidR="008019C8" w:rsidRPr="008019C8" w:rsidRDefault="008019C8" w:rsidP="008019C8">
            <w:pPr>
              <w:spacing w:line="480" w:lineRule="auto"/>
              <w:rPr>
                <w:rFonts w:ascii="Arial" w:hAnsi="Arial" w:cs="Arial"/>
                <w:b/>
              </w:rPr>
            </w:pPr>
            <w:r w:rsidRPr="008019C8">
              <w:rPr>
                <w:rFonts w:ascii="Arial" w:hAnsi="Arial" w:cs="Arial"/>
                <w:b/>
              </w:rPr>
              <w:t>15.40±2.08</w:t>
            </w:r>
          </w:p>
        </w:tc>
        <w:tc>
          <w:tcPr>
            <w:tcW w:w="3402" w:type="dxa"/>
            <w:tcBorders>
              <w:top w:val="nil"/>
              <w:left w:val="nil"/>
              <w:bottom w:val="nil"/>
              <w:right w:val="nil"/>
            </w:tcBorders>
            <w:noWrap/>
            <w:hideMark/>
          </w:tcPr>
          <w:p w14:paraId="20C4B480" w14:textId="77777777" w:rsidR="008019C8" w:rsidRPr="008019C8" w:rsidRDefault="008019C8" w:rsidP="008019C8">
            <w:pPr>
              <w:spacing w:line="480" w:lineRule="auto"/>
              <w:rPr>
                <w:rFonts w:ascii="Arial" w:hAnsi="Arial" w:cs="Arial"/>
                <w:b/>
              </w:rPr>
            </w:pPr>
            <w:r w:rsidRPr="008019C8">
              <w:rPr>
                <w:rFonts w:ascii="Arial" w:hAnsi="Arial" w:cs="Arial"/>
                <w:b/>
              </w:rPr>
              <w:t>25.60±4.11</w:t>
            </w:r>
          </w:p>
        </w:tc>
      </w:tr>
      <w:tr w:rsidR="008019C8" w:rsidRPr="008019C8" w14:paraId="73EB0717" w14:textId="77777777" w:rsidTr="008019C8">
        <w:trPr>
          <w:trHeight w:val="300"/>
        </w:trPr>
        <w:tc>
          <w:tcPr>
            <w:tcW w:w="2660" w:type="dxa"/>
            <w:tcBorders>
              <w:top w:val="nil"/>
              <w:left w:val="nil"/>
              <w:bottom w:val="nil"/>
              <w:right w:val="nil"/>
            </w:tcBorders>
            <w:noWrap/>
            <w:hideMark/>
          </w:tcPr>
          <w:p w14:paraId="720C27C6" w14:textId="77777777" w:rsidR="008019C8" w:rsidRPr="008019C8" w:rsidRDefault="008019C8" w:rsidP="008019C8">
            <w:pPr>
              <w:spacing w:line="480" w:lineRule="auto"/>
              <w:rPr>
                <w:rFonts w:ascii="Arial" w:hAnsi="Arial" w:cs="Arial"/>
                <w:bCs/>
              </w:rPr>
            </w:pPr>
            <w:r w:rsidRPr="008019C8">
              <w:rPr>
                <w:rFonts w:ascii="Arial" w:hAnsi="Arial" w:cs="Arial"/>
                <w:bCs/>
              </w:rPr>
              <w:lastRenderedPageBreak/>
              <w:t xml:space="preserve">Bonte-Kpan Sed1  </w:t>
            </w:r>
          </w:p>
        </w:tc>
        <w:tc>
          <w:tcPr>
            <w:tcW w:w="3544" w:type="dxa"/>
            <w:tcBorders>
              <w:top w:val="nil"/>
              <w:left w:val="nil"/>
              <w:bottom w:val="nil"/>
              <w:right w:val="nil"/>
            </w:tcBorders>
            <w:noWrap/>
            <w:hideMark/>
          </w:tcPr>
          <w:p w14:paraId="575EBB2F" w14:textId="77777777" w:rsidR="008019C8" w:rsidRPr="008019C8" w:rsidRDefault="008019C8" w:rsidP="008019C8">
            <w:pPr>
              <w:spacing w:line="480" w:lineRule="auto"/>
              <w:rPr>
                <w:rFonts w:ascii="Arial" w:hAnsi="Arial" w:cs="Arial"/>
              </w:rPr>
            </w:pPr>
            <w:r w:rsidRPr="008019C8">
              <w:rPr>
                <w:rFonts w:ascii="Arial" w:hAnsi="Arial" w:cs="Arial"/>
              </w:rPr>
              <w:t>41.96±1.21</w:t>
            </w:r>
          </w:p>
        </w:tc>
        <w:tc>
          <w:tcPr>
            <w:tcW w:w="3402" w:type="dxa"/>
            <w:tcBorders>
              <w:top w:val="nil"/>
              <w:left w:val="nil"/>
              <w:bottom w:val="nil"/>
              <w:right w:val="nil"/>
            </w:tcBorders>
            <w:noWrap/>
            <w:hideMark/>
          </w:tcPr>
          <w:p w14:paraId="683FD569" w14:textId="77777777" w:rsidR="008019C8" w:rsidRPr="008019C8" w:rsidRDefault="008019C8" w:rsidP="008019C8">
            <w:pPr>
              <w:spacing w:line="480" w:lineRule="auto"/>
              <w:rPr>
                <w:rFonts w:ascii="Arial" w:hAnsi="Arial" w:cs="Arial"/>
              </w:rPr>
            </w:pPr>
            <w:r w:rsidRPr="008019C8">
              <w:rPr>
                <w:rFonts w:ascii="Arial" w:hAnsi="Arial" w:cs="Arial"/>
              </w:rPr>
              <w:t>84.19±2.70</w:t>
            </w:r>
          </w:p>
        </w:tc>
      </w:tr>
      <w:tr w:rsidR="008019C8" w:rsidRPr="008019C8" w14:paraId="4962A0A8" w14:textId="77777777" w:rsidTr="008019C8">
        <w:trPr>
          <w:trHeight w:val="300"/>
        </w:trPr>
        <w:tc>
          <w:tcPr>
            <w:tcW w:w="2660" w:type="dxa"/>
            <w:tcBorders>
              <w:top w:val="nil"/>
              <w:left w:val="nil"/>
              <w:bottom w:val="nil"/>
              <w:right w:val="nil"/>
            </w:tcBorders>
            <w:noWrap/>
            <w:hideMark/>
          </w:tcPr>
          <w:p w14:paraId="1A7BF76B" w14:textId="77777777" w:rsidR="008019C8" w:rsidRPr="008019C8" w:rsidRDefault="008019C8" w:rsidP="008019C8">
            <w:pPr>
              <w:spacing w:line="480" w:lineRule="auto"/>
              <w:rPr>
                <w:rFonts w:ascii="Arial" w:hAnsi="Arial" w:cs="Arial"/>
                <w:bCs/>
              </w:rPr>
            </w:pPr>
            <w:r w:rsidRPr="008019C8">
              <w:rPr>
                <w:rFonts w:ascii="Arial" w:hAnsi="Arial" w:cs="Arial"/>
                <w:bCs/>
              </w:rPr>
              <w:t xml:space="preserve">Bonte-Kpan Sed 2                         </w:t>
            </w:r>
          </w:p>
        </w:tc>
        <w:tc>
          <w:tcPr>
            <w:tcW w:w="3544" w:type="dxa"/>
            <w:tcBorders>
              <w:top w:val="nil"/>
              <w:left w:val="nil"/>
              <w:bottom w:val="nil"/>
              <w:right w:val="nil"/>
            </w:tcBorders>
            <w:noWrap/>
            <w:hideMark/>
          </w:tcPr>
          <w:p w14:paraId="20CF734E" w14:textId="77777777" w:rsidR="008019C8" w:rsidRPr="008019C8" w:rsidRDefault="008019C8" w:rsidP="008019C8">
            <w:pPr>
              <w:spacing w:line="480" w:lineRule="auto"/>
              <w:rPr>
                <w:rFonts w:ascii="Arial" w:hAnsi="Arial" w:cs="Arial"/>
              </w:rPr>
            </w:pPr>
            <w:r w:rsidRPr="008019C8">
              <w:rPr>
                <w:rFonts w:ascii="Arial" w:hAnsi="Arial" w:cs="Arial"/>
              </w:rPr>
              <w:t>9.34±1.12</w:t>
            </w:r>
          </w:p>
        </w:tc>
        <w:tc>
          <w:tcPr>
            <w:tcW w:w="3402" w:type="dxa"/>
            <w:tcBorders>
              <w:top w:val="nil"/>
              <w:left w:val="nil"/>
              <w:bottom w:val="nil"/>
              <w:right w:val="nil"/>
            </w:tcBorders>
            <w:noWrap/>
            <w:hideMark/>
          </w:tcPr>
          <w:p w14:paraId="518729FD" w14:textId="77777777" w:rsidR="008019C8" w:rsidRPr="008019C8" w:rsidRDefault="008019C8" w:rsidP="008019C8">
            <w:pPr>
              <w:spacing w:line="480" w:lineRule="auto"/>
              <w:rPr>
                <w:rFonts w:ascii="Arial" w:hAnsi="Arial" w:cs="Arial"/>
              </w:rPr>
            </w:pPr>
            <w:r w:rsidRPr="008019C8">
              <w:rPr>
                <w:rFonts w:ascii="Arial" w:hAnsi="Arial" w:cs="Arial"/>
              </w:rPr>
              <w:t>15.62±2.08</w:t>
            </w:r>
          </w:p>
        </w:tc>
      </w:tr>
      <w:tr w:rsidR="008019C8" w:rsidRPr="008019C8" w14:paraId="67EA7798" w14:textId="77777777" w:rsidTr="008019C8">
        <w:trPr>
          <w:trHeight w:val="300"/>
        </w:trPr>
        <w:tc>
          <w:tcPr>
            <w:tcW w:w="2660" w:type="dxa"/>
            <w:tcBorders>
              <w:top w:val="nil"/>
              <w:left w:val="nil"/>
              <w:bottom w:val="nil"/>
              <w:right w:val="nil"/>
            </w:tcBorders>
            <w:noWrap/>
            <w:hideMark/>
          </w:tcPr>
          <w:p w14:paraId="67BA2D63" w14:textId="77777777" w:rsidR="008019C8" w:rsidRPr="008019C8" w:rsidRDefault="008019C8" w:rsidP="008019C8">
            <w:pPr>
              <w:spacing w:line="480" w:lineRule="auto"/>
              <w:rPr>
                <w:rFonts w:ascii="Arial" w:hAnsi="Arial" w:cs="Arial"/>
                <w:bCs/>
              </w:rPr>
            </w:pPr>
            <w:r w:rsidRPr="008019C8">
              <w:rPr>
                <w:rFonts w:ascii="Arial" w:hAnsi="Arial" w:cs="Arial"/>
                <w:bCs/>
              </w:rPr>
              <w:t>Bonte-Kpan Sed. Mean</w:t>
            </w:r>
          </w:p>
        </w:tc>
        <w:tc>
          <w:tcPr>
            <w:tcW w:w="3544" w:type="dxa"/>
            <w:tcBorders>
              <w:top w:val="nil"/>
              <w:left w:val="nil"/>
              <w:bottom w:val="nil"/>
              <w:right w:val="nil"/>
            </w:tcBorders>
            <w:noWrap/>
            <w:hideMark/>
          </w:tcPr>
          <w:p w14:paraId="6C6C1F6E" w14:textId="77777777" w:rsidR="008019C8" w:rsidRPr="008019C8" w:rsidRDefault="008019C8" w:rsidP="008019C8">
            <w:pPr>
              <w:spacing w:line="480" w:lineRule="auto"/>
              <w:rPr>
                <w:rFonts w:ascii="Arial" w:hAnsi="Arial" w:cs="Arial"/>
                <w:b/>
              </w:rPr>
            </w:pPr>
            <w:r w:rsidRPr="008019C8">
              <w:rPr>
                <w:rFonts w:ascii="Arial" w:hAnsi="Arial" w:cs="Arial"/>
                <w:b/>
              </w:rPr>
              <w:t>25.60±1.16</w:t>
            </w:r>
          </w:p>
        </w:tc>
        <w:tc>
          <w:tcPr>
            <w:tcW w:w="3402" w:type="dxa"/>
            <w:tcBorders>
              <w:top w:val="nil"/>
              <w:left w:val="nil"/>
              <w:bottom w:val="nil"/>
              <w:right w:val="nil"/>
            </w:tcBorders>
            <w:noWrap/>
            <w:hideMark/>
          </w:tcPr>
          <w:p w14:paraId="0AFEB174" w14:textId="77777777" w:rsidR="008019C8" w:rsidRPr="008019C8" w:rsidRDefault="008019C8" w:rsidP="008019C8">
            <w:pPr>
              <w:spacing w:line="480" w:lineRule="auto"/>
              <w:rPr>
                <w:rFonts w:ascii="Arial" w:hAnsi="Arial" w:cs="Arial"/>
                <w:b/>
              </w:rPr>
            </w:pPr>
            <w:bookmarkStart w:id="9" w:name="_Hlk212710953"/>
            <w:r w:rsidRPr="008019C8">
              <w:rPr>
                <w:rFonts w:ascii="Arial" w:hAnsi="Arial" w:cs="Arial"/>
                <w:b/>
              </w:rPr>
              <w:t>42.90±2.39</w:t>
            </w:r>
            <w:bookmarkEnd w:id="9"/>
          </w:p>
        </w:tc>
      </w:tr>
      <w:tr w:rsidR="008019C8" w:rsidRPr="008019C8" w14:paraId="7707F301" w14:textId="77777777" w:rsidTr="008019C8">
        <w:trPr>
          <w:trHeight w:val="300"/>
        </w:trPr>
        <w:tc>
          <w:tcPr>
            <w:tcW w:w="2660" w:type="dxa"/>
            <w:tcBorders>
              <w:top w:val="nil"/>
              <w:left w:val="nil"/>
              <w:bottom w:val="nil"/>
              <w:right w:val="nil"/>
            </w:tcBorders>
            <w:hideMark/>
          </w:tcPr>
          <w:p w14:paraId="28FAF4DC" w14:textId="77777777" w:rsidR="008019C8" w:rsidRPr="008019C8" w:rsidRDefault="008019C8" w:rsidP="008019C8">
            <w:pPr>
              <w:spacing w:line="480" w:lineRule="auto"/>
              <w:rPr>
                <w:rFonts w:ascii="Arial" w:hAnsi="Arial" w:cs="Arial"/>
                <w:bCs/>
              </w:rPr>
            </w:pPr>
            <w:r w:rsidRPr="008019C8">
              <w:rPr>
                <w:rFonts w:ascii="Arial" w:hAnsi="Arial" w:cs="Arial"/>
                <w:bCs/>
              </w:rPr>
              <w:t>Bon-</w:t>
            </w:r>
            <w:proofErr w:type="spellStart"/>
            <w:r w:rsidRPr="008019C8">
              <w:rPr>
                <w:rFonts w:ascii="Arial" w:hAnsi="Arial" w:cs="Arial"/>
                <w:bCs/>
              </w:rPr>
              <w:t>Ngia</w:t>
            </w:r>
            <w:proofErr w:type="spellEnd"/>
            <w:r w:rsidRPr="008019C8">
              <w:rPr>
                <w:rFonts w:ascii="Arial" w:hAnsi="Arial" w:cs="Arial"/>
                <w:bCs/>
              </w:rPr>
              <w:t xml:space="preserve"> Sed. 1</w:t>
            </w:r>
          </w:p>
        </w:tc>
        <w:tc>
          <w:tcPr>
            <w:tcW w:w="3544" w:type="dxa"/>
            <w:tcBorders>
              <w:top w:val="nil"/>
              <w:left w:val="nil"/>
              <w:bottom w:val="nil"/>
              <w:right w:val="nil"/>
            </w:tcBorders>
            <w:noWrap/>
            <w:hideMark/>
          </w:tcPr>
          <w:p w14:paraId="3E907251" w14:textId="77777777" w:rsidR="008019C8" w:rsidRPr="008019C8" w:rsidRDefault="008019C8" w:rsidP="008019C8">
            <w:pPr>
              <w:spacing w:line="480" w:lineRule="auto"/>
              <w:rPr>
                <w:rFonts w:ascii="Arial" w:hAnsi="Arial" w:cs="Arial"/>
              </w:rPr>
            </w:pPr>
            <w:r w:rsidRPr="008019C8">
              <w:rPr>
                <w:rFonts w:ascii="Arial" w:hAnsi="Arial" w:cs="Arial"/>
              </w:rPr>
              <w:t>3.98±2.25</w:t>
            </w:r>
          </w:p>
        </w:tc>
        <w:tc>
          <w:tcPr>
            <w:tcW w:w="3402" w:type="dxa"/>
            <w:tcBorders>
              <w:top w:val="nil"/>
              <w:left w:val="nil"/>
              <w:bottom w:val="nil"/>
              <w:right w:val="nil"/>
            </w:tcBorders>
            <w:noWrap/>
            <w:hideMark/>
          </w:tcPr>
          <w:p w14:paraId="467E5176" w14:textId="77777777" w:rsidR="008019C8" w:rsidRPr="008019C8" w:rsidRDefault="008019C8" w:rsidP="008019C8">
            <w:pPr>
              <w:spacing w:line="480" w:lineRule="auto"/>
              <w:rPr>
                <w:rFonts w:ascii="Arial" w:hAnsi="Arial" w:cs="Arial"/>
              </w:rPr>
            </w:pPr>
            <w:r w:rsidRPr="008019C8">
              <w:rPr>
                <w:rFonts w:ascii="Arial" w:hAnsi="Arial" w:cs="Arial"/>
              </w:rPr>
              <w:t>43.30±4.80</w:t>
            </w:r>
          </w:p>
        </w:tc>
      </w:tr>
      <w:tr w:rsidR="008019C8" w:rsidRPr="008019C8" w14:paraId="78BE44F6" w14:textId="77777777" w:rsidTr="008019C8">
        <w:trPr>
          <w:trHeight w:val="300"/>
        </w:trPr>
        <w:tc>
          <w:tcPr>
            <w:tcW w:w="2660" w:type="dxa"/>
            <w:tcBorders>
              <w:top w:val="nil"/>
              <w:left w:val="nil"/>
              <w:bottom w:val="single" w:sz="4" w:space="0" w:color="auto"/>
              <w:right w:val="nil"/>
            </w:tcBorders>
            <w:noWrap/>
            <w:hideMark/>
          </w:tcPr>
          <w:p w14:paraId="07027716" w14:textId="77777777" w:rsidR="008019C8" w:rsidRPr="008019C8" w:rsidRDefault="008019C8" w:rsidP="008019C8">
            <w:pPr>
              <w:spacing w:line="480" w:lineRule="auto"/>
              <w:rPr>
                <w:rFonts w:ascii="Arial" w:hAnsi="Arial" w:cs="Arial"/>
                <w:bCs/>
              </w:rPr>
            </w:pPr>
            <w:r w:rsidRPr="008019C8">
              <w:rPr>
                <w:rFonts w:ascii="Arial" w:hAnsi="Arial" w:cs="Arial"/>
                <w:bCs/>
              </w:rPr>
              <w:t>Bon-</w:t>
            </w:r>
            <w:proofErr w:type="spellStart"/>
            <w:proofErr w:type="gramStart"/>
            <w:r w:rsidRPr="008019C8">
              <w:rPr>
                <w:rFonts w:ascii="Arial" w:hAnsi="Arial" w:cs="Arial"/>
                <w:bCs/>
              </w:rPr>
              <w:t>Ngia</w:t>
            </w:r>
            <w:proofErr w:type="spellEnd"/>
            <w:r w:rsidRPr="008019C8">
              <w:rPr>
                <w:rFonts w:ascii="Arial" w:hAnsi="Arial" w:cs="Arial"/>
                <w:bCs/>
              </w:rPr>
              <w:t xml:space="preserve">  Sed.</w:t>
            </w:r>
            <w:proofErr w:type="gramEnd"/>
            <w:r w:rsidRPr="008019C8">
              <w:rPr>
                <w:rFonts w:ascii="Arial" w:hAnsi="Arial" w:cs="Arial"/>
                <w:bCs/>
              </w:rPr>
              <w:t xml:space="preserve"> 2                            </w:t>
            </w:r>
          </w:p>
        </w:tc>
        <w:tc>
          <w:tcPr>
            <w:tcW w:w="3544" w:type="dxa"/>
            <w:tcBorders>
              <w:top w:val="nil"/>
              <w:left w:val="nil"/>
              <w:bottom w:val="single" w:sz="4" w:space="0" w:color="auto"/>
              <w:right w:val="nil"/>
            </w:tcBorders>
            <w:noWrap/>
            <w:hideMark/>
          </w:tcPr>
          <w:p w14:paraId="049F3514" w14:textId="77777777" w:rsidR="008019C8" w:rsidRPr="008019C8" w:rsidRDefault="008019C8" w:rsidP="008019C8">
            <w:pPr>
              <w:spacing w:line="480" w:lineRule="auto"/>
              <w:rPr>
                <w:rFonts w:ascii="Arial" w:hAnsi="Arial" w:cs="Arial"/>
              </w:rPr>
            </w:pPr>
            <w:r w:rsidRPr="008019C8">
              <w:rPr>
                <w:rFonts w:ascii="Arial" w:hAnsi="Arial" w:cs="Arial"/>
              </w:rPr>
              <w:t>100.20±2.93</w:t>
            </w:r>
          </w:p>
        </w:tc>
        <w:tc>
          <w:tcPr>
            <w:tcW w:w="3402" w:type="dxa"/>
            <w:tcBorders>
              <w:top w:val="nil"/>
              <w:left w:val="nil"/>
              <w:bottom w:val="single" w:sz="4" w:space="0" w:color="auto"/>
              <w:right w:val="nil"/>
            </w:tcBorders>
            <w:noWrap/>
            <w:hideMark/>
          </w:tcPr>
          <w:p w14:paraId="6AC3E893" w14:textId="77777777" w:rsidR="008019C8" w:rsidRPr="008019C8" w:rsidRDefault="008019C8" w:rsidP="008019C8">
            <w:pPr>
              <w:spacing w:line="480" w:lineRule="auto"/>
              <w:rPr>
                <w:rFonts w:ascii="Arial" w:hAnsi="Arial" w:cs="Arial"/>
              </w:rPr>
            </w:pPr>
            <w:r w:rsidRPr="008019C8">
              <w:rPr>
                <w:rFonts w:ascii="Arial" w:hAnsi="Arial" w:cs="Arial"/>
              </w:rPr>
              <w:t>201.00±6.50</w:t>
            </w:r>
          </w:p>
        </w:tc>
      </w:tr>
      <w:tr w:rsidR="008019C8" w:rsidRPr="008019C8" w14:paraId="616332D7" w14:textId="77777777" w:rsidTr="008019C8">
        <w:trPr>
          <w:trHeight w:val="300"/>
        </w:trPr>
        <w:tc>
          <w:tcPr>
            <w:tcW w:w="2660" w:type="dxa"/>
            <w:tcBorders>
              <w:top w:val="single" w:sz="4" w:space="0" w:color="auto"/>
              <w:left w:val="nil"/>
              <w:bottom w:val="single" w:sz="4" w:space="0" w:color="auto"/>
              <w:right w:val="nil"/>
            </w:tcBorders>
            <w:noWrap/>
            <w:hideMark/>
          </w:tcPr>
          <w:p w14:paraId="36689158" w14:textId="77777777" w:rsidR="008019C8" w:rsidRPr="008019C8" w:rsidRDefault="008019C8" w:rsidP="008019C8">
            <w:pPr>
              <w:spacing w:line="480" w:lineRule="auto"/>
              <w:rPr>
                <w:rFonts w:ascii="Arial" w:hAnsi="Arial" w:cs="Arial"/>
                <w:bCs/>
              </w:rPr>
            </w:pPr>
            <w:r w:rsidRPr="008019C8">
              <w:rPr>
                <w:rFonts w:ascii="Arial" w:hAnsi="Arial" w:cs="Arial"/>
                <w:bCs/>
              </w:rPr>
              <w:t>Bon-</w:t>
            </w:r>
            <w:proofErr w:type="spellStart"/>
            <w:r w:rsidRPr="008019C8">
              <w:rPr>
                <w:rFonts w:ascii="Arial" w:hAnsi="Arial" w:cs="Arial"/>
                <w:bCs/>
              </w:rPr>
              <w:t>Ngia</w:t>
            </w:r>
            <w:proofErr w:type="spellEnd"/>
            <w:r w:rsidRPr="008019C8">
              <w:rPr>
                <w:rFonts w:ascii="Arial" w:hAnsi="Arial" w:cs="Arial"/>
                <w:bCs/>
              </w:rPr>
              <w:t xml:space="preserve"> Sed. Mean</w:t>
            </w:r>
          </w:p>
        </w:tc>
        <w:tc>
          <w:tcPr>
            <w:tcW w:w="3544" w:type="dxa"/>
            <w:tcBorders>
              <w:top w:val="single" w:sz="4" w:space="0" w:color="auto"/>
              <w:left w:val="nil"/>
              <w:bottom w:val="single" w:sz="4" w:space="0" w:color="auto"/>
              <w:right w:val="nil"/>
            </w:tcBorders>
            <w:noWrap/>
            <w:hideMark/>
          </w:tcPr>
          <w:p w14:paraId="649CC019" w14:textId="77777777" w:rsidR="008019C8" w:rsidRPr="008019C8" w:rsidRDefault="008019C8" w:rsidP="008019C8">
            <w:pPr>
              <w:spacing w:line="480" w:lineRule="auto"/>
              <w:rPr>
                <w:rFonts w:ascii="Arial" w:hAnsi="Arial" w:cs="Arial"/>
                <w:b/>
              </w:rPr>
            </w:pPr>
            <w:r w:rsidRPr="008019C8">
              <w:rPr>
                <w:rFonts w:ascii="Arial" w:hAnsi="Arial" w:cs="Arial"/>
                <w:b/>
              </w:rPr>
              <w:t>52.10±2.59</w:t>
            </w:r>
          </w:p>
        </w:tc>
        <w:tc>
          <w:tcPr>
            <w:tcW w:w="3402" w:type="dxa"/>
            <w:tcBorders>
              <w:top w:val="single" w:sz="4" w:space="0" w:color="auto"/>
              <w:left w:val="nil"/>
              <w:bottom w:val="single" w:sz="4" w:space="0" w:color="auto"/>
              <w:right w:val="nil"/>
            </w:tcBorders>
            <w:noWrap/>
            <w:hideMark/>
          </w:tcPr>
          <w:p w14:paraId="6C8264D5" w14:textId="77777777" w:rsidR="008019C8" w:rsidRPr="008019C8" w:rsidRDefault="008019C8" w:rsidP="008019C8">
            <w:pPr>
              <w:spacing w:line="480" w:lineRule="auto"/>
              <w:rPr>
                <w:rFonts w:ascii="Arial" w:hAnsi="Arial" w:cs="Arial"/>
                <w:b/>
              </w:rPr>
            </w:pPr>
            <w:r w:rsidRPr="008019C8">
              <w:rPr>
                <w:rFonts w:ascii="Arial" w:hAnsi="Arial" w:cs="Arial"/>
                <w:b/>
              </w:rPr>
              <w:t>122.00±5.65</w:t>
            </w:r>
          </w:p>
        </w:tc>
      </w:tr>
      <w:tr w:rsidR="00226920" w:rsidRPr="008019C8" w14:paraId="252B2709" w14:textId="77777777" w:rsidTr="008019C8">
        <w:trPr>
          <w:trHeight w:val="300"/>
        </w:trPr>
        <w:tc>
          <w:tcPr>
            <w:tcW w:w="2660" w:type="dxa"/>
            <w:tcBorders>
              <w:top w:val="single" w:sz="4" w:space="0" w:color="auto"/>
              <w:left w:val="nil"/>
              <w:bottom w:val="single" w:sz="4" w:space="0" w:color="auto"/>
              <w:right w:val="nil"/>
            </w:tcBorders>
            <w:noWrap/>
          </w:tcPr>
          <w:p w14:paraId="0A122FF8" w14:textId="4912C0BE" w:rsidR="00226920" w:rsidRPr="008019C8" w:rsidRDefault="00226920" w:rsidP="00226920">
            <w:pPr>
              <w:spacing w:line="480" w:lineRule="auto"/>
              <w:rPr>
                <w:rFonts w:ascii="Arial" w:hAnsi="Arial" w:cs="Arial"/>
                <w:bCs/>
              </w:rPr>
            </w:pPr>
            <w:r>
              <w:rPr>
                <w:rFonts w:ascii="Times New Roman" w:hAnsi="Times New Roman"/>
              </w:rPr>
              <w:t xml:space="preserve">Control Sed.*                                   </w:t>
            </w:r>
          </w:p>
        </w:tc>
        <w:tc>
          <w:tcPr>
            <w:tcW w:w="3544" w:type="dxa"/>
            <w:tcBorders>
              <w:top w:val="single" w:sz="4" w:space="0" w:color="auto"/>
              <w:left w:val="nil"/>
              <w:bottom w:val="single" w:sz="4" w:space="0" w:color="auto"/>
              <w:right w:val="nil"/>
            </w:tcBorders>
            <w:noWrap/>
          </w:tcPr>
          <w:p w14:paraId="76C6F25D" w14:textId="1DA8D455" w:rsidR="00226920" w:rsidRPr="008019C8" w:rsidRDefault="00226920" w:rsidP="00226920">
            <w:pPr>
              <w:spacing w:line="480" w:lineRule="auto"/>
              <w:rPr>
                <w:rFonts w:ascii="Arial" w:hAnsi="Arial" w:cs="Arial"/>
                <w:b/>
              </w:rPr>
            </w:pPr>
            <w:r>
              <w:rPr>
                <w:rFonts w:ascii="Times New Roman" w:hAnsi="Times New Roman"/>
              </w:rPr>
              <w:t>1.95±1.10</w:t>
            </w:r>
          </w:p>
        </w:tc>
        <w:tc>
          <w:tcPr>
            <w:tcW w:w="3402" w:type="dxa"/>
            <w:tcBorders>
              <w:top w:val="single" w:sz="4" w:space="0" w:color="auto"/>
              <w:left w:val="nil"/>
              <w:bottom w:val="single" w:sz="4" w:space="0" w:color="auto"/>
              <w:right w:val="nil"/>
            </w:tcBorders>
            <w:noWrap/>
          </w:tcPr>
          <w:p w14:paraId="494CDF9B" w14:textId="70E6886F" w:rsidR="00226920" w:rsidRPr="008019C8" w:rsidRDefault="00226920" w:rsidP="00226920">
            <w:pPr>
              <w:spacing w:line="480" w:lineRule="auto"/>
              <w:rPr>
                <w:rFonts w:ascii="Arial" w:hAnsi="Arial" w:cs="Arial"/>
                <w:b/>
              </w:rPr>
            </w:pPr>
            <w:r>
              <w:rPr>
                <w:rFonts w:ascii="Times New Roman" w:hAnsi="Times New Roman"/>
              </w:rPr>
              <w:t>19.36±2.58</w:t>
            </w:r>
          </w:p>
        </w:tc>
      </w:tr>
    </w:tbl>
    <w:p w14:paraId="7EB6CAF0" w14:textId="77777777" w:rsidR="00505F06" w:rsidRDefault="00505F06" w:rsidP="00441B6F">
      <w:pPr>
        <w:pStyle w:val="Body"/>
        <w:spacing w:after="0"/>
        <w:rPr>
          <w:rFonts w:ascii="Arial" w:hAnsi="Arial" w:cs="Arial"/>
        </w:rPr>
      </w:pPr>
    </w:p>
    <w:p w14:paraId="72636FC0" w14:textId="77777777" w:rsidR="00226920" w:rsidRDefault="00226920" w:rsidP="00441B6F">
      <w:pPr>
        <w:pStyle w:val="Body"/>
        <w:spacing w:after="0"/>
        <w:rPr>
          <w:rFonts w:ascii="Arial" w:hAnsi="Arial" w:cs="Arial"/>
          <w:b/>
          <w:u w:val="single"/>
        </w:rPr>
      </w:pPr>
    </w:p>
    <w:p w14:paraId="4EB03270" w14:textId="7CA31DFF" w:rsidR="00226920" w:rsidRDefault="00226920" w:rsidP="00441B6F">
      <w:pPr>
        <w:pStyle w:val="Body"/>
        <w:spacing w:after="0"/>
        <w:rPr>
          <w:rFonts w:ascii="Times New Roman" w:hAnsi="Times New Roman"/>
        </w:rPr>
      </w:pPr>
      <w:r w:rsidRPr="00226920">
        <w:rPr>
          <w:rFonts w:ascii="Times New Roman" w:hAnsi="Times New Roman"/>
        </w:rPr>
        <w:t>The results of the gross alpha activities in selected oil spill sites in Rivers State in all sediment samples selected show a corresponding increase in gross beta activities as shown in table 2.</w:t>
      </w:r>
    </w:p>
    <w:p w14:paraId="46941FCB" w14:textId="47F87D54" w:rsidR="00226920" w:rsidRDefault="00226920" w:rsidP="00441B6F">
      <w:pPr>
        <w:pStyle w:val="Body"/>
        <w:spacing w:after="0"/>
        <w:rPr>
          <w:rFonts w:ascii="Times New Roman" w:hAnsi="Times New Roman"/>
        </w:rPr>
      </w:pPr>
      <w:r w:rsidRPr="00226920">
        <w:rPr>
          <w:rFonts w:ascii="Times New Roman" w:hAnsi="Times New Roman"/>
        </w:rPr>
        <w:t>The mean gross alpha and beta activities in sediments around the oil spill sites of Rivers States were lower than those of selected oil and gas fields [15] around Ogba/</w:t>
      </w:r>
      <w:proofErr w:type="spellStart"/>
      <w:r w:rsidRPr="00226920">
        <w:rPr>
          <w:rFonts w:ascii="Times New Roman" w:hAnsi="Times New Roman"/>
        </w:rPr>
        <w:t>Ndoni</w:t>
      </w:r>
      <w:proofErr w:type="spellEnd"/>
      <w:r w:rsidRPr="00226920">
        <w:rPr>
          <w:rFonts w:ascii="Times New Roman" w:hAnsi="Times New Roman"/>
        </w:rPr>
        <w:t>, Rivers State (203.66 ± 6.0 Bq/kg and 7485.92 ± 165.0 Bq/kg). The results in the present study were lower than those reported [16] by Kam and other authors for natural gross alpha and gross beta activity concentrations in the drilling cores in Holocene sediments of the Gulf of Izmir (Eastern Aegean Sea, Turkey) which range from 537 ± 77 to 1800 ± 207 Bq/kg and 993± 60 to 1842± 102 Bq/kg, respectively.</w:t>
      </w:r>
    </w:p>
    <w:p w14:paraId="4D852069" w14:textId="77777777" w:rsidR="00226920" w:rsidRDefault="00226920" w:rsidP="00441B6F">
      <w:pPr>
        <w:pStyle w:val="Body"/>
        <w:spacing w:after="0"/>
        <w:rPr>
          <w:rFonts w:ascii="Arial" w:hAnsi="Arial" w:cs="Arial"/>
          <w:b/>
          <w:u w:val="single"/>
        </w:rPr>
      </w:pPr>
    </w:p>
    <w:p w14:paraId="7EA182E6" w14:textId="7B957B22" w:rsidR="00226920" w:rsidRDefault="00226920" w:rsidP="00441B6F">
      <w:pPr>
        <w:pStyle w:val="Body"/>
        <w:spacing w:after="0"/>
        <w:rPr>
          <w:rFonts w:ascii="Arial" w:hAnsi="Arial" w:cs="Arial"/>
          <w:b/>
          <w:u w:val="single"/>
        </w:rPr>
      </w:pPr>
      <w:r>
        <w:rPr>
          <w:noProof/>
        </w:rPr>
        <w:drawing>
          <wp:inline distT="0" distB="0" distL="0" distR="0" wp14:anchorId="30A1B3ED" wp14:editId="74DA29CC">
            <wp:extent cx="5212080" cy="3021178"/>
            <wp:effectExtent l="0" t="0" r="0" b="0"/>
            <wp:docPr id="212399472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83C90DD" w14:textId="7A7AEA08" w:rsidR="00301C07" w:rsidRDefault="00301C07" w:rsidP="00301C07">
      <w:pPr>
        <w:pStyle w:val="Body"/>
        <w:rPr>
          <w:rFonts w:ascii="Arial" w:hAnsi="Arial" w:cs="Arial"/>
          <w:b/>
        </w:rPr>
      </w:pPr>
      <w:r w:rsidRPr="00301C07">
        <w:rPr>
          <w:rFonts w:ascii="Arial" w:hAnsi="Arial" w:cs="Arial"/>
          <w:b/>
        </w:rPr>
        <w:t xml:space="preserve">Fig. </w:t>
      </w:r>
      <w:r>
        <w:rPr>
          <w:rFonts w:ascii="Arial" w:hAnsi="Arial" w:cs="Arial"/>
          <w:b/>
        </w:rPr>
        <w:t>4</w:t>
      </w:r>
      <w:r w:rsidRPr="00301C07">
        <w:rPr>
          <w:rFonts w:ascii="Arial" w:hAnsi="Arial" w:cs="Arial"/>
          <w:b/>
        </w:rPr>
        <w:t>. Comparison of gross alpha activity concentration in sediment samples with the control sample in oil spill site in Rivers State</w:t>
      </w:r>
    </w:p>
    <w:p w14:paraId="409E3F14" w14:textId="5197CC2E" w:rsidR="00301C07" w:rsidRPr="00301C07" w:rsidRDefault="00301C07" w:rsidP="00301C07">
      <w:pPr>
        <w:pStyle w:val="Body"/>
        <w:rPr>
          <w:rFonts w:ascii="Arial" w:hAnsi="Arial" w:cs="Arial"/>
          <w:b/>
        </w:rPr>
      </w:pPr>
      <w:r>
        <w:rPr>
          <w:noProof/>
        </w:rPr>
        <w:lastRenderedPageBreak/>
        <w:drawing>
          <wp:inline distT="0" distB="0" distL="0" distR="0" wp14:anchorId="4780F1A1" wp14:editId="6583937C">
            <wp:extent cx="5210175" cy="3152851"/>
            <wp:effectExtent l="0" t="0" r="0" b="0"/>
            <wp:docPr id="6567720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A657F8B" w14:textId="642BB638" w:rsidR="00301C07" w:rsidRPr="00301C07" w:rsidRDefault="00301C07" w:rsidP="00301C07">
      <w:pPr>
        <w:pStyle w:val="Body"/>
        <w:rPr>
          <w:rFonts w:ascii="Arial" w:hAnsi="Arial" w:cs="Arial"/>
          <w:b/>
        </w:rPr>
      </w:pPr>
      <w:r w:rsidRPr="00301C07">
        <w:rPr>
          <w:rFonts w:ascii="Arial" w:hAnsi="Arial" w:cs="Arial"/>
          <w:b/>
        </w:rPr>
        <w:t xml:space="preserve">Fig. </w:t>
      </w:r>
      <w:r>
        <w:rPr>
          <w:rFonts w:ascii="Arial" w:hAnsi="Arial" w:cs="Arial"/>
          <w:b/>
        </w:rPr>
        <w:t>5</w:t>
      </w:r>
      <w:r w:rsidRPr="00301C07">
        <w:rPr>
          <w:rFonts w:ascii="Arial" w:hAnsi="Arial" w:cs="Arial"/>
          <w:b/>
        </w:rPr>
        <w:t>. Comparison of gross beta activity concentration in sediment samples with the control sample in oil spill site in Rivers State</w:t>
      </w:r>
    </w:p>
    <w:p w14:paraId="6E410AC2" w14:textId="77777777" w:rsidR="00226920" w:rsidRDefault="00226920" w:rsidP="00441B6F">
      <w:pPr>
        <w:pStyle w:val="Body"/>
        <w:spacing w:after="0"/>
        <w:rPr>
          <w:rFonts w:ascii="Arial" w:hAnsi="Arial" w:cs="Arial"/>
          <w:b/>
          <w:u w:val="single"/>
        </w:rPr>
      </w:pPr>
    </w:p>
    <w:p w14:paraId="17FFE4B5" w14:textId="25B1DE27" w:rsidR="00226920" w:rsidRPr="00226920" w:rsidRDefault="00226920" w:rsidP="00226920">
      <w:pPr>
        <w:pStyle w:val="Body"/>
        <w:rPr>
          <w:rFonts w:ascii="Times New Roman" w:hAnsi="Times New Roman"/>
        </w:rPr>
      </w:pPr>
      <w:r w:rsidRPr="00226920">
        <w:rPr>
          <w:rFonts w:ascii="Times New Roman" w:hAnsi="Times New Roman"/>
        </w:rPr>
        <w:t xml:space="preserve">The results of control sediment sample are 1.95±1.10 and 19.36±2.58 Bq/kg for gross alpha and beta activities, and the result is lower than the gross alpha and beta activities in all the sediment samples from the oil spill study areas as shown in </w:t>
      </w:r>
      <w:r w:rsidR="00301C07">
        <w:rPr>
          <w:rFonts w:ascii="Times New Roman" w:hAnsi="Times New Roman"/>
        </w:rPr>
        <w:t>(</w:t>
      </w:r>
      <w:r w:rsidRPr="00226920">
        <w:rPr>
          <w:rFonts w:ascii="Times New Roman" w:hAnsi="Times New Roman"/>
        </w:rPr>
        <w:t xml:space="preserve">Figure </w:t>
      </w:r>
      <w:r w:rsidR="00301C07">
        <w:rPr>
          <w:rFonts w:ascii="Times New Roman" w:hAnsi="Times New Roman"/>
        </w:rPr>
        <w:t>4</w:t>
      </w:r>
      <w:r w:rsidRPr="00226920">
        <w:rPr>
          <w:rFonts w:ascii="Times New Roman" w:hAnsi="Times New Roman"/>
        </w:rPr>
        <w:t xml:space="preserve"> </w:t>
      </w:r>
      <w:r w:rsidR="00301C07">
        <w:rPr>
          <w:rFonts w:ascii="Times New Roman" w:hAnsi="Times New Roman"/>
        </w:rPr>
        <w:t>and Figure</w:t>
      </w:r>
      <w:r w:rsidRPr="00226920">
        <w:rPr>
          <w:rFonts w:ascii="Times New Roman" w:hAnsi="Times New Roman"/>
        </w:rPr>
        <w:t xml:space="preserve"> </w:t>
      </w:r>
      <w:r w:rsidR="00301C07">
        <w:rPr>
          <w:rFonts w:ascii="Times New Roman" w:hAnsi="Times New Roman"/>
        </w:rPr>
        <w:t>5)</w:t>
      </w:r>
      <w:r w:rsidRPr="00226920">
        <w:rPr>
          <w:rFonts w:ascii="Times New Roman" w:hAnsi="Times New Roman"/>
        </w:rPr>
        <w:t xml:space="preserve"> respectively.</w:t>
      </w:r>
      <w:r>
        <w:rPr>
          <w:rFonts w:ascii="Times New Roman" w:hAnsi="Times New Roman"/>
        </w:rPr>
        <w:t xml:space="preserve"> </w:t>
      </w:r>
      <w:r w:rsidRPr="00226920">
        <w:rPr>
          <w:rFonts w:ascii="Times New Roman" w:hAnsi="Times New Roman"/>
        </w:rPr>
        <w:t xml:space="preserve">The differences could be from oil exploration activities in these areas and the content of mineral substances. </w:t>
      </w:r>
    </w:p>
    <w:p w14:paraId="26470A4A" w14:textId="4A84F17A" w:rsidR="00226920" w:rsidRDefault="001141BF" w:rsidP="00441B6F">
      <w:pPr>
        <w:pStyle w:val="Body"/>
        <w:spacing w:after="0"/>
        <w:rPr>
          <w:rFonts w:ascii="Arial" w:hAnsi="Arial" w:cs="Arial"/>
          <w:b/>
          <w:bCs/>
          <w:i/>
        </w:rPr>
      </w:pPr>
      <w:r w:rsidRPr="001141BF">
        <w:rPr>
          <w:rFonts w:ascii="Arial" w:hAnsi="Arial" w:cs="Arial"/>
          <w:b/>
          <w:bCs/>
          <w:i/>
        </w:rPr>
        <w:t>3.1.1.2 Correlations of gross alpha and beta activities in samples</w:t>
      </w:r>
    </w:p>
    <w:p w14:paraId="20702CF0" w14:textId="65CFDA1B" w:rsidR="00CA1053" w:rsidRPr="00CA1053" w:rsidRDefault="00CA1053" w:rsidP="00441B6F">
      <w:pPr>
        <w:pStyle w:val="Body"/>
        <w:spacing w:after="0"/>
        <w:rPr>
          <w:rFonts w:ascii="Arial" w:hAnsi="Arial" w:cs="Arial"/>
          <w:iCs/>
        </w:rPr>
      </w:pPr>
      <w:r>
        <w:rPr>
          <w:rFonts w:ascii="Arial" w:hAnsi="Arial" w:cs="Arial"/>
          <w:iCs/>
        </w:rPr>
        <w:t xml:space="preserve">The </w:t>
      </w:r>
      <w:r w:rsidRPr="00CA1053">
        <w:rPr>
          <w:rFonts w:ascii="Arial" w:hAnsi="Arial" w:cs="Arial"/>
          <w:iCs/>
        </w:rPr>
        <w:t>interdependency or direct relationship in the samples</w:t>
      </w:r>
      <w:r>
        <w:rPr>
          <w:rFonts w:ascii="Arial" w:hAnsi="Arial" w:cs="Arial"/>
          <w:iCs/>
        </w:rPr>
        <w:t xml:space="preserve"> were investigated through c</w:t>
      </w:r>
      <w:r w:rsidRPr="00CA1053">
        <w:rPr>
          <w:rFonts w:ascii="Arial" w:hAnsi="Arial" w:cs="Arial"/>
          <w:iCs/>
        </w:rPr>
        <w:t xml:space="preserve">orrelations made among the variables (gross alpha and gross beta) </w:t>
      </w:r>
      <w:r>
        <w:rPr>
          <w:rFonts w:ascii="Arial" w:hAnsi="Arial" w:cs="Arial"/>
          <w:iCs/>
        </w:rPr>
        <w:t xml:space="preserve">as presented in Figures 6-7. </w:t>
      </w:r>
    </w:p>
    <w:p w14:paraId="6564F702" w14:textId="77777777" w:rsidR="001141BF" w:rsidRDefault="001141BF" w:rsidP="00441B6F">
      <w:pPr>
        <w:pStyle w:val="Body"/>
        <w:spacing w:after="0"/>
        <w:rPr>
          <w:rFonts w:ascii="Arial" w:hAnsi="Arial" w:cs="Arial"/>
          <w:b/>
          <w:u w:val="single"/>
        </w:rPr>
      </w:pPr>
    </w:p>
    <w:p w14:paraId="38F50B4E" w14:textId="4BC617F6" w:rsidR="00090FD1" w:rsidRDefault="00090FD1" w:rsidP="00441B6F">
      <w:pPr>
        <w:pStyle w:val="Body"/>
        <w:spacing w:after="0"/>
        <w:rPr>
          <w:rFonts w:ascii="Arial" w:hAnsi="Arial" w:cs="Arial"/>
          <w:b/>
          <w:u w:val="single"/>
        </w:rPr>
      </w:pPr>
      <w:r>
        <w:rPr>
          <w:noProof/>
        </w:rPr>
        <w:drawing>
          <wp:inline distT="0" distB="0" distL="0" distR="0" wp14:anchorId="099212E2" wp14:editId="5F409440">
            <wp:extent cx="5212080" cy="2472538"/>
            <wp:effectExtent l="0" t="0" r="0" b="0"/>
            <wp:docPr id="1971135299" name="Chart 1">
              <a:extLst xmlns:a="http://schemas.openxmlformats.org/drawingml/2006/main">
                <a:ext uri="{FF2B5EF4-FFF2-40B4-BE49-F238E27FC236}">
                  <a16:creationId xmlns:a16="http://schemas.microsoft.com/office/drawing/2014/main" id="{5B33C96B-EEDD-B142-EFED-69DBCC993B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9969C00" w14:textId="3020B62E" w:rsidR="00090FD1" w:rsidRPr="00090FD1" w:rsidRDefault="00090FD1" w:rsidP="00090FD1">
      <w:pPr>
        <w:rPr>
          <w:rFonts w:ascii="Times New Roman" w:hAnsi="Times New Roman"/>
          <w:b/>
          <w:bCs/>
        </w:rPr>
      </w:pPr>
      <w:r>
        <w:rPr>
          <w:rFonts w:ascii="Times New Roman" w:hAnsi="Times New Roman"/>
          <w:b/>
          <w:bCs/>
        </w:rPr>
        <w:t>Fig. 6.</w:t>
      </w:r>
      <w:r w:rsidRPr="00090FD1">
        <w:rPr>
          <w:rFonts w:ascii="Times New Roman" w:hAnsi="Times New Roman"/>
          <w:b/>
          <w:bCs/>
        </w:rPr>
        <w:t xml:space="preserve"> Correlation </w:t>
      </w:r>
      <w:bookmarkStart w:id="10" w:name="_Hlk212713855"/>
      <w:r w:rsidRPr="00090FD1">
        <w:rPr>
          <w:rFonts w:ascii="Times New Roman" w:hAnsi="Times New Roman"/>
          <w:b/>
          <w:bCs/>
        </w:rPr>
        <w:t>between gross alpha and beta activities in soil samples of the study areas</w:t>
      </w:r>
      <w:bookmarkEnd w:id="10"/>
    </w:p>
    <w:p w14:paraId="5FF5779B" w14:textId="51EB8AC9" w:rsidR="00090FD1" w:rsidRDefault="00090FD1" w:rsidP="00090FD1">
      <w:pPr>
        <w:rPr>
          <w:rFonts w:ascii="Times New Roman" w:hAnsi="Times New Roman"/>
          <w:b/>
          <w:bCs/>
        </w:rPr>
      </w:pPr>
    </w:p>
    <w:p w14:paraId="5ED80071" w14:textId="3DE87389" w:rsidR="00090FD1" w:rsidRDefault="00090FD1" w:rsidP="00090FD1">
      <w:pPr>
        <w:rPr>
          <w:rFonts w:ascii="Times New Roman" w:hAnsi="Times New Roman"/>
          <w:b/>
          <w:bCs/>
        </w:rPr>
      </w:pPr>
      <w:r>
        <w:rPr>
          <w:noProof/>
        </w:rPr>
        <w:lastRenderedPageBreak/>
        <w:drawing>
          <wp:inline distT="0" distB="0" distL="0" distR="0" wp14:anchorId="19A517D4" wp14:editId="5CE1A031">
            <wp:extent cx="5212080" cy="2670810"/>
            <wp:effectExtent l="0" t="0" r="0" b="0"/>
            <wp:docPr id="262830914" name="Chart 1">
              <a:extLst xmlns:a="http://schemas.openxmlformats.org/drawingml/2006/main">
                <a:ext uri="{FF2B5EF4-FFF2-40B4-BE49-F238E27FC236}">
                  <a16:creationId xmlns:a16="http://schemas.microsoft.com/office/drawing/2014/main" id="{2655693B-C9E7-6048-E5A9-88F3D60C97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FB0FF8F" w14:textId="77777777" w:rsidR="00090FD1" w:rsidRDefault="00090FD1" w:rsidP="00090FD1">
      <w:pPr>
        <w:rPr>
          <w:rFonts w:ascii="Times New Roman" w:hAnsi="Times New Roman"/>
          <w:b/>
          <w:bCs/>
        </w:rPr>
      </w:pPr>
    </w:p>
    <w:p w14:paraId="12704E4B" w14:textId="141E8DB4" w:rsidR="00090FD1" w:rsidRDefault="00090FD1" w:rsidP="00090FD1">
      <w:pPr>
        <w:rPr>
          <w:rFonts w:ascii="Times New Roman" w:hAnsi="Times New Roman"/>
          <w:b/>
          <w:bCs/>
        </w:rPr>
      </w:pPr>
      <w:r>
        <w:rPr>
          <w:rFonts w:ascii="Times New Roman" w:hAnsi="Times New Roman"/>
          <w:b/>
          <w:bCs/>
        </w:rPr>
        <w:t xml:space="preserve">Fig. </w:t>
      </w:r>
      <w:r w:rsidR="00E55B7F">
        <w:rPr>
          <w:rFonts w:ascii="Times New Roman" w:hAnsi="Times New Roman"/>
          <w:b/>
          <w:bCs/>
        </w:rPr>
        <w:t>7</w:t>
      </w:r>
      <w:r>
        <w:rPr>
          <w:rFonts w:ascii="Times New Roman" w:hAnsi="Times New Roman"/>
          <w:b/>
          <w:bCs/>
        </w:rPr>
        <w:t>. Correlation between gross alpha and beta activities in sediment samples of the study areas</w:t>
      </w:r>
    </w:p>
    <w:p w14:paraId="200BFF10" w14:textId="77777777" w:rsidR="00090FD1" w:rsidRDefault="00090FD1" w:rsidP="00090FD1">
      <w:pPr>
        <w:spacing w:after="160" w:line="276" w:lineRule="auto"/>
        <w:jc w:val="both"/>
        <w:rPr>
          <w:rFonts w:ascii="Arial" w:eastAsia="Calibri" w:hAnsi="Arial" w:cs="Arial"/>
          <w:kern w:val="2"/>
        </w:rPr>
      </w:pPr>
    </w:p>
    <w:p w14:paraId="5E08ADCF" w14:textId="448E3ECC" w:rsidR="00090FD1" w:rsidRPr="00090FD1" w:rsidRDefault="00090FD1" w:rsidP="00090FD1">
      <w:pPr>
        <w:spacing w:after="160" w:line="276" w:lineRule="auto"/>
        <w:jc w:val="both"/>
        <w:rPr>
          <w:rFonts w:ascii="Arial" w:eastAsia="Calibri" w:hAnsi="Arial" w:cs="Arial"/>
          <w:kern w:val="2"/>
        </w:rPr>
      </w:pPr>
      <w:r w:rsidRPr="00090FD1">
        <w:rPr>
          <w:rFonts w:ascii="Arial" w:eastAsia="Calibri" w:hAnsi="Arial" w:cs="Arial"/>
          <w:kern w:val="2"/>
        </w:rPr>
        <w:t xml:space="preserve">Figure </w:t>
      </w:r>
      <w:r>
        <w:rPr>
          <w:rFonts w:ascii="Arial" w:eastAsia="Calibri" w:hAnsi="Arial" w:cs="Arial"/>
          <w:kern w:val="2"/>
        </w:rPr>
        <w:t>6</w:t>
      </w:r>
      <w:r w:rsidRPr="00090FD1">
        <w:rPr>
          <w:rFonts w:ascii="Arial" w:eastAsia="Calibri" w:hAnsi="Arial" w:cs="Arial"/>
          <w:kern w:val="2"/>
        </w:rPr>
        <w:t xml:space="preserve"> displays the linear correlation between gross alpha and beta activities (Bq/kg) in soil samples of the study areas. The plot indicates a clear positive trend which implies the gross alpha activity increases as the gross beta activity increases. With a coefficient of determination (R</w:t>
      </w:r>
      <w:r w:rsidRPr="00090FD1">
        <w:rPr>
          <w:rFonts w:ascii="Arial" w:eastAsia="Calibri" w:hAnsi="Arial" w:cs="Arial"/>
          <w:kern w:val="2"/>
          <w:vertAlign w:val="superscript"/>
        </w:rPr>
        <w:t>2</w:t>
      </w:r>
      <w:r w:rsidRPr="00090FD1">
        <w:rPr>
          <w:rFonts w:ascii="Arial" w:eastAsia="Calibri" w:hAnsi="Arial" w:cs="Arial"/>
          <w:kern w:val="2"/>
        </w:rPr>
        <w:t xml:space="preserve">) of 0.65, changes in gross alpha activity constitute around 65% of the variance in gross beta activity. This suggests that the two variables have a strong positive linear connection (r ≈ 0.81), revealing that similar radiological or geochemical elements in the polluted soils influence them. The positive correlation might indicate that oil contamination causes </w:t>
      </w:r>
      <w:bookmarkStart w:id="11" w:name="_Hlk212796378"/>
      <w:r w:rsidRPr="00090FD1">
        <w:rPr>
          <w:rFonts w:ascii="Arial" w:eastAsia="Calibri" w:hAnsi="Arial" w:cs="Arial"/>
          <w:kern w:val="2"/>
        </w:rPr>
        <w:t>the mobilization or concentration of both alpha- and beta-emitting radionuclides.</w:t>
      </w:r>
      <w:bookmarkEnd w:id="11"/>
      <w:r w:rsidRPr="00090FD1">
        <w:rPr>
          <w:rFonts w:ascii="Arial" w:eastAsia="Calibri" w:hAnsi="Arial" w:cs="Arial"/>
          <w:kern w:val="2"/>
        </w:rPr>
        <w:t xml:space="preserve"> The retention and spread of radionuclides may be impacted by changes in soil physicochemical characteristics brought about by oil spills, including pH, organic matter concentration, and redox conditions. Alpha- and beta-emitting radioactive sources or movement patterns in these soils are probably interrelated based on the observed relationships. Gross alpha and gross beta activities in oil-impacted soils have a strong positive correlation (R</w:t>
      </w:r>
      <w:r w:rsidRPr="00090FD1">
        <w:rPr>
          <w:rFonts w:ascii="Arial" w:eastAsia="Calibri" w:hAnsi="Arial" w:cs="Arial"/>
          <w:kern w:val="2"/>
          <w:vertAlign w:val="superscript"/>
        </w:rPr>
        <w:t>2</w:t>
      </w:r>
      <w:r w:rsidRPr="00090FD1">
        <w:rPr>
          <w:rFonts w:ascii="Arial" w:eastAsia="Calibri" w:hAnsi="Arial" w:cs="Arial"/>
          <w:kern w:val="2"/>
        </w:rPr>
        <w:t xml:space="preserve"> = 0.65), indicating that similar environmental processes or contamination sources are probably responsible for both forms of radioactivity. This association </w:t>
      </w:r>
      <w:bookmarkStart w:id="12" w:name="_Hlk212796736"/>
      <w:r w:rsidRPr="00090FD1">
        <w:rPr>
          <w:rFonts w:ascii="Arial" w:eastAsia="Calibri" w:hAnsi="Arial" w:cs="Arial"/>
          <w:kern w:val="2"/>
        </w:rPr>
        <w:t>reveals information on the radiological impact and migration patterns of radionuclides in environments contaminated by oil</w:t>
      </w:r>
      <w:bookmarkEnd w:id="12"/>
      <w:r w:rsidRPr="00090FD1">
        <w:rPr>
          <w:rFonts w:ascii="Arial" w:eastAsia="Calibri" w:hAnsi="Arial" w:cs="Arial"/>
          <w:kern w:val="2"/>
        </w:rPr>
        <w:t>.</w:t>
      </w:r>
    </w:p>
    <w:p w14:paraId="0E00D411" w14:textId="3881C338" w:rsidR="00090FD1" w:rsidRPr="00090FD1" w:rsidRDefault="00090FD1" w:rsidP="00090FD1">
      <w:pPr>
        <w:spacing w:after="160" w:line="276" w:lineRule="auto"/>
        <w:jc w:val="both"/>
        <w:rPr>
          <w:rFonts w:ascii="Arial" w:eastAsia="Calibri" w:hAnsi="Arial" w:cs="Arial"/>
          <w:kern w:val="2"/>
        </w:rPr>
      </w:pPr>
      <w:r w:rsidRPr="00090FD1">
        <w:rPr>
          <w:rFonts w:ascii="Arial" w:eastAsia="Calibri" w:hAnsi="Arial" w:cs="Arial"/>
          <w:kern w:val="2"/>
        </w:rPr>
        <w:t>According to the scatter plot of gross alpha and gross beta activities in sediment samples from oil spill sites which clearly displays a positive linear relationship, revealing that in the sediment samples higher gross alpha levels are typically associated to higher gross beta levels. The coefficient of determination (R</w:t>
      </w:r>
      <w:r w:rsidRPr="00090FD1">
        <w:rPr>
          <w:rFonts w:ascii="Arial" w:eastAsia="Calibri" w:hAnsi="Arial" w:cs="Arial"/>
          <w:kern w:val="2"/>
          <w:vertAlign w:val="superscript"/>
        </w:rPr>
        <w:t>2</w:t>
      </w:r>
      <w:r w:rsidRPr="00090FD1">
        <w:rPr>
          <w:rFonts w:ascii="Arial" w:eastAsia="Calibri" w:hAnsi="Arial" w:cs="Arial"/>
          <w:kern w:val="2"/>
        </w:rPr>
        <w:t xml:space="preserve"> = 0.54) indicates a moderate to strong association between the two measures, with changes in gross alpha activity accounting for approximately 54% of the variance in gross beta activity. With only a few samples displaying elevated values, Figure </w:t>
      </w:r>
      <w:r w:rsidR="006F1671">
        <w:rPr>
          <w:rFonts w:ascii="Arial" w:eastAsia="Calibri" w:hAnsi="Arial" w:cs="Arial"/>
          <w:kern w:val="2"/>
        </w:rPr>
        <w:t>7</w:t>
      </w:r>
      <w:r w:rsidRPr="00090FD1">
        <w:rPr>
          <w:rFonts w:ascii="Arial" w:eastAsia="Calibri" w:hAnsi="Arial" w:cs="Arial"/>
          <w:kern w:val="2"/>
        </w:rPr>
        <w:t>, the majority of the data points are clustered at the lower left section of the figure, suggesting that both alpha and beta activity are typically low across the studied sediments. Given the oil contamination and related changes in sediment composition, this pattern points to a common source or comparable geochemical behavior of alpha- and beta-emitting radionuclides in the sediment matrix.</w:t>
      </w:r>
    </w:p>
    <w:p w14:paraId="41051521" w14:textId="77777777" w:rsidR="00090FD1" w:rsidRDefault="00090FD1" w:rsidP="00441B6F">
      <w:pPr>
        <w:pStyle w:val="Body"/>
        <w:spacing w:after="0"/>
        <w:rPr>
          <w:rFonts w:ascii="Arial" w:hAnsi="Arial" w:cs="Arial"/>
          <w:b/>
          <w:u w:val="single"/>
        </w:rPr>
      </w:pPr>
    </w:p>
    <w:p w14:paraId="242B926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69CC8AC" w14:textId="77777777" w:rsidR="00790ADA" w:rsidRPr="00FB3A86" w:rsidRDefault="00790ADA" w:rsidP="00441B6F">
      <w:pPr>
        <w:pStyle w:val="ConcHead"/>
        <w:spacing w:after="0"/>
        <w:jc w:val="both"/>
        <w:rPr>
          <w:rFonts w:ascii="Arial" w:hAnsi="Arial" w:cs="Arial"/>
        </w:rPr>
      </w:pPr>
    </w:p>
    <w:p w14:paraId="367DF98A" w14:textId="77777777" w:rsidR="001B1DFD" w:rsidRPr="001B1DFD" w:rsidRDefault="001B1DFD" w:rsidP="001B1DFD">
      <w:pPr>
        <w:jc w:val="both"/>
        <w:rPr>
          <w:rFonts w:ascii="Arial" w:hAnsi="Arial" w:cs="Arial"/>
        </w:rPr>
      </w:pPr>
      <w:r w:rsidRPr="001B1DFD">
        <w:rPr>
          <w:rFonts w:ascii="Arial" w:hAnsi="Arial" w:cs="Arial"/>
        </w:rPr>
        <w:t>The comparativeness of gross alpha and beta activity concentrations in soil and sediment samples from various oil spill locations have been assessed. The results obtained in the oil spill zones were greater than the results of control samples of gross alpha and beta activity, indicating some degree of disturbance at the oil spill zones. Soil and sediment samples from the oil spill sites may not be harmful to local residents or the general public in and around the area, even though there is little to no radioactive contamination of the soil and sediment as a result of the oil leak being released into the air or deposited on the ground.</w:t>
      </w:r>
    </w:p>
    <w:p w14:paraId="0949D05E" w14:textId="77777777" w:rsidR="00790ADA" w:rsidRPr="00FB3A86" w:rsidRDefault="00790ADA" w:rsidP="00441B6F">
      <w:pPr>
        <w:pStyle w:val="Body"/>
        <w:spacing w:after="0"/>
        <w:rPr>
          <w:rFonts w:ascii="Arial" w:hAnsi="Arial" w:cs="Arial"/>
        </w:rPr>
      </w:pPr>
    </w:p>
    <w:p w14:paraId="6CE2779B" w14:textId="77777777" w:rsidR="00315186" w:rsidRPr="00315186" w:rsidRDefault="00315186" w:rsidP="00441B6F"/>
    <w:p w14:paraId="6CC91DD7" w14:textId="77777777" w:rsidR="002B685A" w:rsidRDefault="002B685A" w:rsidP="00441B6F">
      <w:pPr>
        <w:pStyle w:val="ReferHead"/>
        <w:spacing w:after="0"/>
        <w:jc w:val="both"/>
        <w:rPr>
          <w:rFonts w:ascii="Arial" w:hAnsi="Arial" w:cs="Arial"/>
          <w:b w:val="0"/>
          <w:caps w:val="0"/>
          <w:sz w:val="20"/>
        </w:rPr>
      </w:pPr>
    </w:p>
    <w:p w14:paraId="6BC7AB3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5FF5A87" w14:textId="77777777" w:rsidR="00790ADA" w:rsidRPr="00FB3A86" w:rsidRDefault="00790ADA" w:rsidP="00441B6F">
      <w:pPr>
        <w:pStyle w:val="ReferHead"/>
        <w:spacing w:after="0"/>
        <w:jc w:val="both"/>
        <w:rPr>
          <w:rFonts w:ascii="Arial" w:hAnsi="Arial" w:cs="Arial"/>
        </w:rPr>
      </w:pPr>
    </w:p>
    <w:p w14:paraId="07D28C29" w14:textId="77777777" w:rsidR="0018524D" w:rsidRPr="0018524D" w:rsidRDefault="0018524D" w:rsidP="0018524D">
      <w:pPr>
        <w:spacing w:after="160" w:line="276" w:lineRule="auto"/>
        <w:jc w:val="both"/>
        <w:rPr>
          <w:rFonts w:ascii="Times New Roman" w:eastAsia="Calibri" w:hAnsi="Times New Roman"/>
          <w:kern w:val="2"/>
          <w:sz w:val="24"/>
          <w:szCs w:val="24"/>
        </w:rPr>
      </w:pPr>
      <w:r w:rsidRPr="0018524D">
        <w:rPr>
          <w:rFonts w:ascii="Times New Roman" w:eastAsia="Calibri" w:hAnsi="Times New Roman"/>
          <w:kern w:val="2"/>
          <w:sz w:val="24"/>
          <w:szCs w:val="24"/>
        </w:rPr>
        <w:t xml:space="preserve">1. Stella E </w:t>
      </w:r>
      <w:proofErr w:type="spellStart"/>
      <w:r w:rsidRPr="0018524D">
        <w:rPr>
          <w:rFonts w:ascii="Times New Roman" w:eastAsia="Calibri" w:hAnsi="Times New Roman"/>
          <w:kern w:val="2"/>
          <w:sz w:val="24"/>
          <w:szCs w:val="24"/>
        </w:rPr>
        <w:t>Ovuomarie-kevin</w:t>
      </w:r>
      <w:proofErr w:type="spellEnd"/>
      <w:r w:rsidRPr="0018524D">
        <w:rPr>
          <w:rFonts w:ascii="Times New Roman" w:eastAsia="Calibri" w:hAnsi="Times New Roman"/>
          <w:kern w:val="2"/>
          <w:sz w:val="24"/>
          <w:szCs w:val="24"/>
        </w:rPr>
        <w:t xml:space="preserve">, Gregory O </w:t>
      </w:r>
      <w:proofErr w:type="spellStart"/>
      <w:r w:rsidRPr="0018524D">
        <w:rPr>
          <w:rFonts w:ascii="Times New Roman" w:eastAsia="Calibri" w:hAnsi="Times New Roman"/>
          <w:kern w:val="2"/>
          <w:sz w:val="24"/>
          <w:szCs w:val="24"/>
        </w:rPr>
        <w:t>Avwiri</w:t>
      </w:r>
      <w:proofErr w:type="spellEnd"/>
      <w:r w:rsidRPr="0018524D">
        <w:rPr>
          <w:rFonts w:ascii="Times New Roman" w:eastAsia="Calibri" w:hAnsi="Times New Roman"/>
          <w:kern w:val="2"/>
          <w:sz w:val="24"/>
          <w:szCs w:val="24"/>
        </w:rPr>
        <w:t xml:space="preserve">, Chinyere P </w:t>
      </w:r>
      <w:proofErr w:type="spellStart"/>
      <w:r w:rsidRPr="0018524D">
        <w:rPr>
          <w:rFonts w:ascii="Times New Roman" w:eastAsia="Calibri" w:hAnsi="Times New Roman"/>
          <w:kern w:val="2"/>
          <w:sz w:val="24"/>
          <w:szCs w:val="24"/>
        </w:rPr>
        <w:t>Ononugbo</w:t>
      </w:r>
      <w:proofErr w:type="spellEnd"/>
      <w:r w:rsidRPr="0018524D">
        <w:rPr>
          <w:rFonts w:ascii="Times New Roman" w:eastAsia="Calibri" w:hAnsi="Times New Roman"/>
          <w:kern w:val="2"/>
          <w:sz w:val="24"/>
          <w:szCs w:val="24"/>
        </w:rPr>
        <w:t xml:space="preserve"> &amp; Abiodun I Olanrewaju (2023). ‘’Evaluation of gross alpha and gross beta activity levels in soil and sediment samples from different oil spill areas in Bayelsa State, Nigeria’’ </w:t>
      </w:r>
      <w:r w:rsidRPr="0018524D">
        <w:rPr>
          <w:rFonts w:ascii="Times New Roman" w:eastAsia="Calibri" w:hAnsi="Times New Roman"/>
          <w:i/>
          <w:iCs/>
          <w:kern w:val="2"/>
          <w:sz w:val="24"/>
          <w:szCs w:val="24"/>
        </w:rPr>
        <w:t>International Journal of Physics and Mathematics</w:t>
      </w:r>
      <w:r w:rsidRPr="0018524D">
        <w:rPr>
          <w:rFonts w:ascii="Times New Roman" w:eastAsia="Calibri" w:hAnsi="Times New Roman"/>
          <w:kern w:val="2"/>
          <w:sz w:val="24"/>
          <w:szCs w:val="24"/>
        </w:rPr>
        <w:t xml:space="preserve">; 5(2): 01-08. Available:  </w:t>
      </w:r>
      <w:hyperlink r:id="rId21" w:history="1">
        <w:r w:rsidRPr="0018524D">
          <w:rPr>
            <w:rFonts w:ascii="Times New Roman" w:eastAsia="Calibri" w:hAnsi="Times New Roman"/>
            <w:kern w:val="2"/>
            <w:sz w:val="24"/>
            <w:szCs w:val="24"/>
          </w:rPr>
          <w:t>https://doi.org/10.33545/26648636.2023.v5.i2a</w:t>
        </w:r>
      </w:hyperlink>
    </w:p>
    <w:p w14:paraId="3357B5CC" w14:textId="77777777" w:rsidR="0018524D" w:rsidRPr="0018524D" w:rsidRDefault="0018524D" w:rsidP="0018524D">
      <w:pPr>
        <w:spacing w:after="160" w:line="276" w:lineRule="auto"/>
        <w:jc w:val="both"/>
        <w:rPr>
          <w:rFonts w:ascii="Times New Roman" w:eastAsia="Calibri" w:hAnsi="Times New Roman"/>
          <w:kern w:val="2"/>
          <w:sz w:val="24"/>
          <w:szCs w:val="24"/>
        </w:rPr>
      </w:pPr>
      <w:r w:rsidRPr="0018524D">
        <w:rPr>
          <w:rFonts w:ascii="Times New Roman" w:eastAsia="Calibri" w:hAnsi="Times New Roman"/>
          <w:kern w:val="2"/>
          <w:sz w:val="24"/>
          <w:szCs w:val="24"/>
        </w:rPr>
        <w:t xml:space="preserve">2. Oil &amp; Gas Producers OGP, (2008). Guidelines for the management of naturally occurring radioactive material </w:t>
      </w:r>
      <w:r w:rsidRPr="0018524D">
        <w:rPr>
          <w:rFonts w:ascii="Times New Roman" w:eastAsia="Calibri" w:hAnsi="Times New Roman"/>
          <w:kern w:val="2"/>
          <w:sz w:val="24"/>
          <w:szCs w:val="24"/>
        </w:rPr>
        <w:tab/>
        <w:t xml:space="preserve">(NORM) in the oil &amp; gas industry, International Association of Oil and Gas Producers Report No. 412. </w:t>
      </w:r>
    </w:p>
    <w:p w14:paraId="46E60FBA" w14:textId="77777777" w:rsidR="0018524D" w:rsidRPr="0018524D" w:rsidRDefault="0018524D" w:rsidP="0018524D">
      <w:pPr>
        <w:spacing w:after="160" w:line="276" w:lineRule="auto"/>
        <w:jc w:val="both"/>
        <w:rPr>
          <w:rFonts w:ascii="Times New Roman" w:eastAsia="Calibri" w:hAnsi="Times New Roman"/>
          <w:kern w:val="2"/>
          <w:sz w:val="24"/>
          <w:szCs w:val="24"/>
        </w:rPr>
      </w:pPr>
      <w:r w:rsidRPr="0018524D">
        <w:rPr>
          <w:rFonts w:ascii="Times New Roman" w:eastAsia="Calibri" w:hAnsi="Times New Roman"/>
          <w:kern w:val="2"/>
          <w:sz w:val="24"/>
          <w:szCs w:val="24"/>
        </w:rPr>
        <w:t xml:space="preserve">3. Umoren YE &amp; </w:t>
      </w:r>
      <w:proofErr w:type="spellStart"/>
      <w:r w:rsidRPr="0018524D">
        <w:rPr>
          <w:rFonts w:ascii="Times New Roman" w:eastAsia="Calibri" w:hAnsi="Times New Roman"/>
          <w:kern w:val="2"/>
          <w:sz w:val="24"/>
          <w:szCs w:val="24"/>
        </w:rPr>
        <w:t>Efe</w:t>
      </w:r>
      <w:proofErr w:type="spellEnd"/>
      <w:r w:rsidRPr="0018524D">
        <w:rPr>
          <w:rFonts w:ascii="Times New Roman" w:eastAsia="Calibri" w:hAnsi="Times New Roman"/>
          <w:kern w:val="2"/>
          <w:sz w:val="24"/>
          <w:szCs w:val="24"/>
        </w:rPr>
        <w:t xml:space="preserve"> </w:t>
      </w:r>
      <w:proofErr w:type="spellStart"/>
      <w:r w:rsidRPr="0018524D">
        <w:rPr>
          <w:rFonts w:ascii="Times New Roman" w:eastAsia="Calibri" w:hAnsi="Times New Roman"/>
          <w:kern w:val="2"/>
          <w:sz w:val="24"/>
          <w:szCs w:val="24"/>
        </w:rPr>
        <w:t>Ohwekevwo</w:t>
      </w:r>
      <w:proofErr w:type="spellEnd"/>
      <w:r w:rsidRPr="0018524D">
        <w:rPr>
          <w:rFonts w:ascii="Times New Roman" w:eastAsia="Calibri" w:hAnsi="Times New Roman"/>
          <w:kern w:val="2"/>
          <w:sz w:val="24"/>
          <w:szCs w:val="24"/>
        </w:rPr>
        <w:t xml:space="preserve"> E. (2011). Influence of crude oil spillage on the γ-radiation status of water and soil in Ogba/</w:t>
      </w:r>
      <w:proofErr w:type="spellStart"/>
      <w:r w:rsidRPr="0018524D">
        <w:rPr>
          <w:rFonts w:ascii="Times New Roman" w:eastAsia="Calibri" w:hAnsi="Times New Roman"/>
          <w:kern w:val="2"/>
          <w:sz w:val="24"/>
          <w:szCs w:val="24"/>
        </w:rPr>
        <w:t>Egbema</w:t>
      </w:r>
      <w:proofErr w:type="spellEnd"/>
      <w:r w:rsidRPr="0018524D">
        <w:rPr>
          <w:rFonts w:ascii="Times New Roman" w:eastAsia="Calibri" w:hAnsi="Times New Roman"/>
          <w:kern w:val="2"/>
          <w:sz w:val="24"/>
          <w:szCs w:val="24"/>
        </w:rPr>
        <w:t>/</w:t>
      </w:r>
      <w:proofErr w:type="spellStart"/>
      <w:r w:rsidRPr="0018524D">
        <w:rPr>
          <w:rFonts w:ascii="Times New Roman" w:eastAsia="Calibri" w:hAnsi="Times New Roman"/>
          <w:kern w:val="2"/>
          <w:sz w:val="24"/>
          <w:szCs w:val="24"/>
        </w:rPr>
        <w:t>Ndoni</w:t>
      </w:r>
      <w:proofErr w:type="spellEnd"/>
      <w:r w:rsidRPr="0018524D">
        <w:rPr>
          <w:rFonts w:ascii="Times New Roman" w:eastAsia="Calibri" w:hAnsi="Times New Roman"/>
          <w:kern w:val="2"/>
          <w:sz w:val="24"/>
          <w:szCs w:val="24"/>
        </w:rPr>
        <w:t xml:space="preserve"> Area, Nigeria.</w:t>
      </w:r>
      <w:r w:rsidRPr="0018524D">
        <w:rPr>
          <w:rFonts w:ascii="Times New Roman" w:eastAsia="Calibri" w:hAnsi="Times New Roman"/>
          <w:i/>
          <w:iCs/>
          <w:kern w:val="2"/>
          <w:sz w:val="24"/>
          <w:szCs w:val="24"/>
        </w:rPr>
        <w:t xml:space="preserve"> Energy and Environment Research</w:t>
      </w:r>
      <w:r w:rsidRPr="0018524D">
        <w:rPr>
          <w:rFonts w:ascii="Times New Roman" w:eastAsia="Calibri" w:hAnsi="Times New Roman"/>
          <w:kern w:val="2"/>
          <w:sz w:val="24"/>
          <w:szCs w:val="24"/>
        </w:rPr>
        <w:t>;3(2). Available: http://dx.doi:10.5539/eer.v3n2p45</w:t>
      </w:r>
    </w:p>
    <w:p w14:paraId="02F62A64" w14:textId="77777777" w:rsidR="0018524D" w:rsidRPr="0018524D" w:rsidRDefault="0018524D" w:rsidP="0018524D">
      <w:pPr>
        <w:spacing w:after="160" w:line="276" w:lineRule="auto"/>
        <w:jc w:val="both"/>
        <w:rPr>
          <w:rFonts w:ascii="Times New Roman" w:eastAsia="Calibri" w:hAnsi="Times New Roman"/>
          <w:kern w:val="2"/>
          <w:sz w:val="24"/>
          <w:szCs w:val="24"/>
        </w:rPr>
      </w:pPr>
      <w:r w:rsidRPr="0018524D">
        <w:rPr>
          <w:rFonts w:ascii="Times New Roman" w:eastAsia="Calibri" w:hAnsi="Times New Roman"/>
          <w:kern w:val="2"/>
          <w:sz w:val="24"/>
          <w:szCs w:val="24"/>
        </w:rPr>
        <w:t xml:space="preserve">4. Saleh, H &amp; Abu Shayeb, M (2014). “Natural radioactivity distribution of Southern Part of Jordan (Ma’ an) Soil, </w:t>
      </w:r>
      <w:r w:rsidRPr="0018524D">
        <w:rPr>
          <w:rFonts w:ascii="Times New Roman" w:eastAsia="Calibri" w:hAnsi="Times New Roman"/>
          <w:i/>
          <w:kern w:val="2"/>
          <w:sz w:val="24"/>
          <w:szCs w:val="24"/>
        </w:rPr>
        <w:t xml:space="preserve">Annals of Nuclear Energy </w:t>
      </w:r>
      <w:r w:rsidRPr="0018524D">
        <w:rPr>
          <w:rFonts w:ascii="Times New Roman" w:eastAsia="Calibri" w:hAnsi="Times New Roman"/>
          <w:kern w:val="2"/>
          <w:sz w:val="24"/>
          <w:szCs w:val="24"/>
        </w:rPr>
        <w:t>65: 184-189, March 2014.</w:t>
      </w:r>
    </w:p>
    <w:p w14:paraId="38C4ED4F" w14:textId="77777777" w:rsidR="0018524D" w:rsidRPr="0018524D" w:rsidRDefault="0018524D" w:rsidP="0018524D">
      <w:pPr>
        <w:spacing w:after="160" w:line="276" w:lineRule="auto"/>
        <w:jc w:val="both"/>
        <w:rPr>
          <w:rFonts w:ascii="Times New Roman" w:eastAsia="Calibri" w:hAnsi="Times New Roman"/>
          <w:kern w:val="2"/>
          <w:sz w:val="24"/>
          <w:szCs w:val="24"/>
        </w:rPr>
      </w:pPr>
      <w:r w:rsidRPr="0018524D">
        <w:rPr>
          <w:rFonts w:ascii="Times New Roman" w:eastAsia="Calibri" w:hAnsi="Times New Roman"/>
          <w:kern w:val="2"/>
          <w:sz w:val="24"/>
          <w:szCs w:val="24"/>
        </w:rPr>
        <w:t xml:space="preserve">5. Ogundare, F.O &amp; Adekoya, O.I, (2014). “Gross alpha and beta radioactivity in surface soil and drinkable water around a steel processing facility”, </w:t>
      </w:r>
      <w:r w:rsidRPr="0018524D">
        <w:rPr>
          <w:rFonts w:ascii="Times New Roman" w:eastAsia="Calibri" w:hAnsi="Times New Roman"/>
          <w:i/>
          <w:kern w:val="2"/>
          <w:sz w:val="24"/>
          <w:szCs w:val="24"/>
        </w:rPr>
        <w:t>Journal of Radiation Research and Applied Sciences</w:t>
      </w:r>
      <w:r w:rsidRPr="0018524D">
        <w:rPr>
          <w:rFonts w:ascii="Times New Roman" w:eastAsia="Calibri" w:hAnsi="Times New Roman"/>
          <w:kern w:val="2"/>
          <w:sz w:val="24"/>
          <w:szCs w:val="24"/>
        </w:rPr>
        <w:t>, 8: 411-417.</w:t>
      </w:r>
    </w:p>
    <w:p w14:paraId="75D0C544" w14:textId="77777777" w:rsidR="0018524D" w:rsidRPr="0018524D" w:rsidRDefault="0018524D" w:rsidP="0018524D">
      <w:pPr>
        <w:spacing w:after="160" w:line="276" w:lineRule="auto"/>
        <w:jc w:val="both"/>
        <w:rPr>
          <w:rFonts w:ascii="Times New Roman" w:eastAsia="Calibri" w:hAnsi="Times New Roman"/>
          <w:kern w:val="2"/>
          <w:sz w:val="24"/>
          <w:szCs w:val="24"/>
        </w:rPr>
      </w:pPr>
      <w:r w:rsidRPr="0018524D">
        <w:rPr>
          <w:rFonts w:ascii="Times New Roman" w:eastAsia="Calibri" w:hAnsi="Times New Roman"/>
          <w:kern w:val="2"/>
          <w:sz w:val="24"/>
          <w:szCs w:val="24"/>
        </w:rPr>
        <w:t xml:space="preserve">6. </w:t>
      </w:r>
      <w:proofErr w:type="spellStart"/>
      <w:r w:rsidRPr="0018524D">
        <w:rPr>
          <w:rFonts w:ascii="Times New Roman" w:eastAsia="Calibri" w:hAnsi="Times New Roman"/>
          <w:kern w:val="2"/>
          <w:sz w:val="24"/>
          <w:szCs w:val="24"/>
        </w:rPr>
        <w:t>Faanu</w:t>
      </w:r>
      <w:proofErr w:type="spellEnd"/>
      <w:r w:rsidRPr="0018524D">
        <w:rPr>
          <w:rFonts w:ascii="Times New Roman" w:eastAsia="Calibri" w:hAnsi="Times New Roman"/>
          <w:kern w:val="2"/>
          <w:sz w:val="24"/>
          <w:szCs w:val="24"/>
        </w:rPr>
        <w:t xml:space="preserve">, A, </w:t>
      </w:r>
      <w:proofErr w:type="spellStart"/>
      <w:r w:rsidRPr="0018524D">
        <w:rPr>
          <w:rFonts w:ascii="Times New Roman" w:eastAsia="Calibri" w:hAnsi="Times New Roman"/>
          <w:kern w:val="2"/>
          <w:sz w:val="24"/>
          <w:szCs w:val="24"/>
        </w:rPr>
        <w:t>Adukpo</w:t>
      </w:r>
      <w:proofErr w:type="spellEnd"/>
      <w:r w:rsidRPr="0018524D">
        <w:rPr>
          <w:rFonts w:ascii="Times New Roman" w:eastAsia="Calibri" w:hAnsi="Times New Roman"/>
          <w:kern w:val="2"/>
          <w:sz w:val="24"/>
          <w:szCs w:val="24"/>
        </w:rPr>
        <w:t xml:space="preserve">, O. K, </w:t>
      </w:r>
      <w:proofErr w:type="spellStart"/>
      <w:r w:rsidRPr="0018524D">
        <w:rPr>
          <w:rFonts w:ascii="Times New Roman" w:eastAsia="Calibri" w:hAnsi="Times New Roman"/>
          <w:kern w:val="2"/>
          <w:sz w:val="24"/>
          <w:szCs w:val="24"/>
        </w:rPr>
        <w:t>Tettey</w:t>
      </w:r>
      <w:proofErr w:type="spellEnd"/>
      <w:r w:rsidRPr="0018524D">
        <w:rPr>
          <w:rFonts w:ascii="Times New Roman" w:eastAsia="Calibri" w:hAnsi="Times New Roman"/>
          <w:kern w:val="2"/>
          <w:sz w:val="24"/>
          <w:szCs w:val="24"/>
        </w:rPr>
        <w:noBreakHyphen/>
        <w:t xml:space="preserve">Larbi, L, </w:t>
      </w:r>
      <w:proofErr w:type="spellStart"/>
      <w:r w:rsidRPr="0018524D">
        <w:rPr>
          <w:rFonts w:ascii="Times New Roman" w:eastAsia="Calibri" w:hAnsi="Times New Roman"/>
          <w:kern w:val="2"/>
          <w:sz w:val="24"/>
          <w:szCs w:val="24"/>
        </w:rPr>
        <w:t>Lawluvi</w:t>
      </w:r>
      <w:proofErr w:type="spellEnd"/>
      <w:r w:rsidRPr="0018524D">
        <w:rPr>
          <w:rFonts w:ascii="Times New Roman" w:eastAsia="Calibri" w:hAnsi="Times New Roman"/>
          <w:kern w:val="2"/>
          <w:sz w:val="24"/>
          <w:szCs w:val="24"/>
        </w:rPr>
        <w:t xml:space="preserve">, H, </w:t>
      </w:r>
      <w:proofErr w:type="spellStart"/>
      <w:r w:rsidRPr="0018524D">
        <w:rPr>
          <w:rFonts w:ascii="Times New Roman" w:eastAsia="Calibri" w:hAnsi="Times New Roman"/>
          <w:kern w:val="2"/>
          <w:sz w:val="24"/>
          <w:szCs w:val="24"/>
        </w:rPr>
        <w:t>Kpeglo</w:t>
      </w:r>
      <w:proofErr w:type="spellEnd"/>
      <w:r w:rsidRPr="0018524D">
        <w:rPr>
          <w:rFonts w:ascii="Times New Roman" w:eastAsia="Calibri" w:hAnsi="Times New Roman"/>
          <w:kern w:val="2"/>
          <w:sz w:val="24"/>
          <w:szCs w:val="24"/>
        </w:rPr>
        <w:t xml:space="preserve">, D.O, Darko, E.O, et al. (2016). “Natural radioactivity levels in soils, rocks and water   at   a   mining   concession   of   Perseus   gold   mine   and surrounding towns in Central Region of Ghana”, </w:t>
      </w:r>
      <w:proofErr w:type="spellStart"/>
      <w:r w:rsidRPr="0018524D">
        <w:rPr>
          <w:rFonts w:ascii="Times New Roman" w:eastAsia="Calibri" w:hAnsi="Times New Roman"/>
          <w:i/>
          <w:kern w:val="2"/>
          <w:sz w:val="24"/>
          <w:szCs w:val="24"/>
        </w:rPr>
        <w:t>SpringerPlus</w:t>
      </w:r>
      <w:proofErr w:type="spellEnd"/>
      <w:r w:rsidRPr="0018524D">
        <w:rPr>
          <w:rFonts w:ascii="Times New Roman" w:eastAsia="Calibri" w:hAnsi="Times New Roman"/>
          <w:i/>
          <w:kern w:val="2"/>
          <w:sz w:val="24"/>
          <w:szCs w:val="24"/>
        </w:rPr>
        <w:t>,</w:t>
      </w:r>
      <w:r w:rsidRPr="0018524D">
        <w:rPr>
          <w:rFonts w:ascii="Times New Roman" w:eastAsia="Calibri" w:hAnsi="Times New Roman"/>
          <w:kern w:val="2"/>
          <w:sz w:val="24"/>
          <w:szCs w:val="24"/>
        </w:rPr>
        <w:t xml:space="preserve"> 5(98)</w:t>
      </w:r>
      <w:r w:rsidRPr="0018524D">
        <w:rPr>
          <w:rFonts w:ascii="Times New Roman" w:eastAsia="Calibri" w:hAnsi="Times New Roman"/>
          <w:i/>
          <w:kern w:val="2"/>
          <w:sz w:val="24"/>
          <w:szCs w:val="24"/>
        </w:rPr>
        <w:t>:</w:t>
      </w:r>
      <w:r w:rsidRPr="0018524D">
        <w:rPr>
          <w:rFonts w:ascii="Times New Roman" w:eastAsia="Calibri" w:hAnsi="Times New Roman"/>
          <w:kern w:val="2"/>
          <w:sz w:val="24"/>
          <w:szCs w:val="24"/>
        </w:rPr>
        <w:t>1-16.</w:t>
      </w:r>
    </w:p>
    <w:p w14:paraId="652CC32D" w14:textId="77777777" w:rsidR="0018524D" w:rsidRPr="0018524D" w:rsidRDefault="0018524D" w:rsidP="0018524D">
      <w:pPr>
        <w:spacing w:after="160" w:line="276" w:lineRule="auto"/>
        <w:jc w:val="both"/>
        <w:rPr>
          <w:rFonts w:ascii="Times New Roman" w:eastAsia="Calibri" w:hAnsi="Times New Roman"/>
          <w:kern w:val="2"/>
          <w:sz w:val="24"/>
          <w:szCs w:val="24"/>
        </w:rPr>
      </w:pPr>
      <w:r w:rsidRPr="0018524D">
        <w:rPr>
          <w:rFonts w:ascii="Times New Roman" w:eastAsia="Calibri" w:hAnsi="Times New Roman"/>
          <w:kern w:val="2"/>
          <w:sz w:val="24"/>
          <w:szCs w:val="24"/>
        </w:rPr>
        <w:t xml:space="preserve">7. </w:t>
      </w:r>
      <w:proofErr w:type="spellStart"/>
      <w:r w:rsidRPr="0018524D">
        <w:rPr>
          <w:rFonts w:ascii="Times New Roman" w:eastAsia="Calibri" w:hAnsi="Times New Roman"/>
          <w:kern w:val="2"/>
          <w:sz w:val="24"/>
          <w:szCs w:val="24"/>
        </w:rPr>
        <w:t>Zorer</w:t>
      </w:r>
      <w:proofErr w:type="spellEnd"/>
      <w:r w:rsidRPr="0018524D">
        <w:rPr>
          <w:rFonts w:ascii="Times New Roman" w:eastAsia="Calibri" w:hAnsi="Times New Roman"/>
          <w:kern w:val="2"/>
          <w:sz w:val="24"/>
          <w:szCs w:val="24"/>
        </w:rPr>
        <w:t xml:space="preserve">, O.S, </w:t>
      </w:r>
      <w:proofErr w:type="spellStart"/>
      <w:r w:rsidRPr="0018524D">
        <w:rPr>
          <w:rFonts w:ascii="Times New Roman" w:eastAsia="Calibri" w:hAnsi="Times New Roman"/>
          <w:kern w:val="2"/>
          <w:sz w:val="24"/>
          <w:szCs w:val="24"/>
        </w:rPr>
        <w:t>Ceylan</w:t>
      </w:r>
      <w:proofErr w:type="spellEnd"/>
      <w:r w:rsidRPr="0018524D">
        <w:rPr>
          <w:rFonts w:ascii="Times New Roman" w:eastAsia="Calibri" w:hAnsi="Times New Roman"/>
          <w:kern w:val="2"/>
          <w:sz w:val="24"/>
          <w:szCs w:val="24"/>
        </w:rPr>
        <w:t xml:space="preserve">, H &amp; </w:t>
      </w:r>
      <w:proofErr w:type="spellStart"/>
      <w:r w:rsidRPr="0018524D">
        <w:rPr>
          <w:rFonts w:ascii="Times New Roman" w:eastAsia="Calibri" w:hAnsi="Times New Roman"/>
          <w:kern w:val="2"/>
          <w:sz w:val="24"/>
          <w:szCs w:val="24"/>
        </w:rPr>
        <w:t>Dogru</w:t>
      </w:r>
      <w:proofErr w:type="spellEnd"/>
      <w:r w:rsidRPr="0018524D">
        <w:rPr>
          <w:rFonts w:ascii="Times New Roman" w:eastAsia="Calibri" w:hAnsi="Times New Roman"/>
          <w:kern w:val="2"/>
          <w:sz w:val="24"/>
          <w:szCs w:val="24"/>
        </w:rPr>
        <w:t xml:space="preserve">, M, (2009). “Gross alpha and beta radioactivity concentration in water, soil and sediment of the </w:t>
      </w:r>
      <w:proofErr w:type="spellStart"/>
      <w:r w:rsidRPr="0018524D">
        <w:rPr>
          <w:rFonts w:ascii="Times New Roman" w:eastAsia="Calibri" w:hAnsi="Times New Roman"/>
          <w:kern w:val="2"/>
          <w:sz w:val="24"/>
          <w:szCs w:val="24"/>
        </w:rPr>
        <w:t>Bendimahi</w:t>
      </w:r>
      <w:proofErr w:type="spellEnd"/>
      <w:r w:rsidRPr="0018524D">
        <w:rPr>
          <w:rFonts w:ascii="Times New Roman" w:eastAsia="Calibri" w:hAnsi="Times New Roman"/>
          <w:kern w:val="2"/>
          <w:sz w:val="24"/>
          <w:szCs w:val="24"/>
        </w:rPr>
        <w:t xml:space="preserve"> River and Van Lake”, </w:t>
      </w:r>
      <w:r w:rsidRPr="0018524D">
        <w:rPr>
          <w:rFonts w:ascii="Times New Roman" w:eastAsia="Calibri" w:hAnsi="Times New Roman"/>
          <w:i/>
          <w:kern w:val="2"/>
          <w:sz w:val="24"/>
          <w:szCs w:val="24"/>
        </w:rPr>
        <w:t>Environ Monit Assess (Turkey)</w:t>
      </w:r>
      <w:r w:rsidRPr="0018524D">
        <w:rPr>
          <w:rFonts w:ascii="Times New Roman" w:eastAsia="Calibri" w:hAnsi="Times New Roman"/>
          <w:kern w:val="2"/>
          <w:sz w:val="24"/>
          <w:szCs w:val="24"/>
        </w:rPr>
        <w:t>,</w:t>
      </w:r>
    </w:p>
    <w:p w14:paraId="014890C2" w14:textId="77777777" w:rsidR="0018524D" w:rsidRPr="0018524D" w:rsidRDefault="0018524D" w:rsidP="0018524D">
      <w:pPr>
        <w:spacing w:after="160" w:line="276" w:lineRule="auto"/>
        <w:jc w:val="both"/>
        <w:rPr>
          <w:rFonts w:ascii="Times New Roman" w:eastAsia="Calibri" w:hAnsi="Times New Roman"/>
          <w:kern w:val="2"/>
          <w:sz w:val="24"/>
          <w:szCs w:val="24"/>
        </w:rPr>
      </w:pPr>
      <w:r w:rsidRPr="0018524D">
        <w:rPr>
          <w:rFonts w:ascii="Times New Roman" w:eastAsia="Calibri" w:hAnsi="Times New Roman"/>
          <w:kern w:val="2"/>
          <w:sz w:val="24"/>
          <w:szCs w:val="24"/>
        </w:rPr>
        <w:t>148(1-4): 39-46.</w:t>
      </w:r>
    </w:p>
    <w:p w14:paraId="57E61C2C" w14:textId="77777777" w:rsidR="0018524D" w:rsidRPr="0018524D" w:rsidRDefault="0018524D" w:rsidP="0018524D">
      <w:pPr>
        <w:spacing w:after="160" w:line="276" w:lineRule="auto"/>
        <w:jc w:val="both"/>
        <w:rPr>
          <w:rFonts w:ascii="Times New Roman" w:eastAsia="Calibri" w:hAnsi="Times New Roman"/>
          <w:kern w:val="2"/>
          <w:sz w:val="24"/>
          <w:szCs w:val="24"/>
        </w:rPr>
      </w:pPr>
      <w:r w:rsidRPr="0018524D">
        <w:rPr>
          <w:rFonts w:ascii="Times New Roman" w:eastAsia="Calibri" w:hAnsi="Times New Roman"/>
          <w:kern w:val="2"/>
          <w:sz w:val="24"/>
          <w:szCs w:val="24"/>
        </w:rPr>
        <w:t xml:space="preserve">8. Saleh, H &amp; Abu Shayeb, M, (2014). “Natural radioactivity distribution of Southern Part of Jordan (Ma’an) Soil”, </w:t>
      </w:r>
      <w:r w:rsidRPr="0018524D">
        <w:rPr>
          <w:rFonts w:ascii="Times New Roman" w:eastAsia="Calibri" w:hAnsi="Times New Roman"/>
          <w:i/>
          <w:kern w:val="2"/>
          <w:sz w:val="24"/>
          <w:szCs w:val="24"/>
        </w:rPr>
        <w:t xml:space="preserve">Annals of Nuclear Energy </w:t>
      </w:r>
      <w:r w:rsidRPr="0018524D">
        <w:rPr>
          <w:rFonts w:ascii="Times New Roman" w:eastAsia="Calibri" w:hAnsi="Times New Roman"/>
          <w:kern w:val="2"/>
          <w:sz w:val="24"/>
          <w:szCs w:val="24"/>
        </w:rPr>
        <w:t>65: 184-189.</w:t>
      </w:r>
    </w:p>
    <w:p w14:paraId="31D39895" w14:textId="77777777" w:rsidR="0018524D" w:rsidRPr="0018524D" w:rsidRDefault="0018524D" w:rsidP="0018524D">
      <w:pPr>
        <w:spacing w:after="160" w:line="276" w:lineRule="auto"/>
        <w:jc w:val="both"/>
        <w:rPr>
          <w:rFonts w:ascii="Times New Roman" w:eastAsia="Calibri" w:hAnsi="Times New Roman"/>
          <w:kern w:val="2"/>
          <w:sz w:val="24"/>
          <w:szCs w:val="24"/>
        </w:rPr>
      </w:pPr>
      <w:r w:rsidRPr="0018524D">
        <w:rPr>
          <w:rFonts w:ascii="Times New Roman" w:eastAsia="Calibri" w:hAnsi="Times New Roman"/>
          <w:kern w:val="2"/>
          <w:sz w:val="24"/>
          <w:szCs w:val="24"/>
        </w:rPr>
        <w:t xml:space="preserve">9. </w:t>
      </w:r>
      <w:proofErr w:type="spellStart"/>
      <w:r w:rsidRPr="0018524D">
        <w:rPr>
          <w:rFonts w:ascii="Times New Roman" w:eastAsia="Calibri" w:hAnsi="Times New Roman"/>
          <w:kern w:val="2"/>
          <w:sz w:val="24"/>
          <w:szCs w:val="24"/>
        </w:rPr>
        <w:t>Aytas</w:t>
      </w:r>
      <w:proofErr w:type="spellEnd"/>
      <w:r w:rsidRPr="0018524D">
        <w:rPr>
          <w:rFonts w:ascii="Times New Roman" w:eastAsia="Calibri" w:hAnsi="Times New Roman"/>
          <w:kern w:val="2"/>
          <w:sz w:val="24"/>
          <w:szCs w:val="24"/>
        </w:rPr>
        <w:t xml:space="preserve">, S, </w:t>
      </w:r>
      <w:proofErr w:type="spellStart"/>
      <w:r w:rsidRPr="0018524D">
        <w:rPr>
          <w:rFonts w:ascii="Times New Roman" w:eastAsia="Calibri" w:hAnsi="Times New Roman"/>
          <w:kern w:val="2"/>
          <w:sz w:val="24"/>
          <w:szCs w:val="24"/>
        </w:rPr>
        <w:t>Yusan</w:t>
      </w:r>
      <w:proofErr w:type="spellEnd"/>
      <w:r w:rsidRPr="0018524D">
        <w:rPr>
          <w:rFonts w:ascii="Times New Roman" w:eastAsia="Calibri" w:hAnsi="Times New Roman"/>
          <w:kern w:val="2"/>
          <w:sz w:val="24"/>
          <w:szCs w:val="24"/>
        </w:rPr>
        <w:t xml:space="preserve">, S, </w:t>
      </w:r>
      <w:proofErr w:type="spellStart"/>
      <w:r w:rsidRPr="0018524D">
        <w:rPr>
          <w:rFonts w:ascii="Times New Roman" w:eastAsia="Calibri" w:hAnsi="Times New Roman"/>
          <w:kern w:val="2"/>
          <w:sz w:val="24"/>
          <w:szCs w:val="24"/>
        </w:rPr>
        <w:t>Aslani</w:t>
      </w:r>
      <w:proofErr w:type="spellEnd"/>
      <w:r w:rsidRPr="0018524D">
        <w:rPr>
          <w:rFonts w:ascii="Times New Roman" w:eastAsia="Calibri" w:hAnsi="Times New Roman"/>
          <w:kern w:val="2"/>
          <w:sz w:val="24"/>
          <w:szCs w:val="24"/>
        </w:rPr>
        <w:t xml:space="preserve">, M. A. A., Karali, T, Turkozu, D.A, Gok, C, et al. (2012). “Natural radioactivity of riverbank sediments of the Maritza and Tundja Rivers in Turkey”, </w:t>
      </w:r>
      <w:r w:rsidRPr="0018524D">
        <w:rPr>
          <w:rFonts w:ascii="Times New Roman" w:eastAsia="Calibri" w:hAnsi="Times New Roman"/>
          <w:i/>
          <w:kern w:val="2"/>
          <w:sz w:val="24"/>
          <w:szCs w:val="24"/>
        </w:rPr>
        <w:t>Journal of Environmental Science and Health, Part A</w:t>
      </w:r>
      <w:r w:rsidRPr="0018524D">
        <w:rPr>
          <w:rFonts w:ascii="Times New Roman" w:eastAsia="Calibri" w:hAnsi="Times New Roman"/>
          <w:kern w:val="2"/>
          <w:sz w:val="24"/>
          <w:szCs w:val="24"/>
        </w:rPr>
        <w:t>,47(13): 2163-2172.</w:t>
      </w:r>
    </w:p>
    <w:p w14:paraId="1D914DD8" w14:textId="77777777" w:rsidR="0018524D" w:rsidRPr="0018524D" w:rsidRDefault="0018524D" w:rsidP="0018524D">
      <w:pPr>
        <w:spacing w:after="160" w:line="276" w:lineRule="auto"/>
        <w:jc w:val="both"/>
        <w:rPr>
          <w:rFonts w:ascii="Times New Roman" w:eastAsia="Calibri" w:hAnsi="Times New Roman"/>
          <w:kern w:val="2"/>
          <w:sz w:val="24"/>
          <w:szCs w:val="24"/>
        </w:rPr>
      </w:pPr>
      <w:r w:rsidRPr="0018524D">
        <w:rPr>
          <w:rFonts w:ascii="Times New Roman" w:eastAsia="Calibri" w:hAnsi="Times New Roman"/>
          <w:kern w:val="2"/>
          <w:sz w:val="24"/>
          <w:szCs w:val="24"/>
        </w:rPr>
        <w:t xml:space="preserve">10. </w:t>
      </w:r>
      <w:proofErr w:type="spellStart"/>
      <w:r w:rsidRPr="0018524D">
        <w:rPr>
          <w:rFonts w:ascii="Times New Roman" w:eastAsia="Calibri" w:hAnsi="Times New Roman"/>
          <w:kern w:val="2"/>
          <w:sz w:val="24"/>
          <w:szCs w:val="24"/>
        </w:rPr>
        <w:t>Ovuomarie-kevin</w:t>
      </w:r>
      <w:proofErr w:type="spellEnd"/>
      <w:r w:rsidRPr="0018524D">
        <w:rPr>
          <w:rFonts w:ascii="Times New Roman" w:eastAsia="Calibri" w:hAnsi="Times New Roman"/>
          <w:kern w:val="2"/>
          <w:sz w:val="24"/>
          <w:szCs w:val="24"/>
        </w:rPr>
        <w:t xml:space="preserve"> S. I., </w:t>
      </w:r>
      <w:proofErr w:type="spellStart"/>
      <w:r w:rsidRPr="0018524D">
        <w:rPr>
          <w:rFonts w:ascii="Times New Roman" w:eastAsia="Calibri" w:hAnsi="Times New Roman"/>
          <w:kern w:val="2"/>
          <w:sz w:val="24"/>
          <w:szCs w:val="24"/>
        </w:rPr>
        <w:t>Ononugbo</w:t>
      </w:r>
      <w:proofErr w:type="spellEnd"/>
      <w:r w:rsidRPr="0018524D">
        <w:rPr>
          <w:rFonts w:ascii="Times New Roman" w:eastAsia="Calibri" w:hAnsi="Times New Roman"/>
          <w:kern w:val="2"/>
          <w:sz w:val="24"/>
          <w:szCs w:val="24"/>
        </w:rPr>
        <w:t xml:space="preserve"> C. P. &amp; </w:t>
      </w:r>
      <w:proofErr w:type="spellStart"/>
      <w:r w:rsidRPr="0018524D">
        <w:rPr>
          <w:rFonts w:ascii="Times New Roman" w:eastAsia="Calibri" w:hAnsi="Times New Roman"/>
          <w:kern w:val="2"/>
          <w:sz w:val="24"/>
          <w:szCs w:val="24"/>
        </w:rPr>
        <w:t>Avwiri</w:t>
      </w:r>
      <w:proofErr w:type="spellEnd"/>
      <w:r w:rsidRPr="0018524D">
        <w:rPr>
          <w:rFonts w:ascii="Times New Roman" w:eastAsia="Calibri" w:hAnsi="Times New Roman"/>
          <w:kern w:val="2"/>
          <w:sz w:val="24"/>
          <w:szCs w:val="24"/>
        </w:rPr>
        <w:t xml:space="preserve"> G. O., (2018). Evaluation of Health Risks from Exposure to Low Levels of Ionizing Radiation in Some Oil Spilled Communities of Rivers State, Nigeria. </w:t>
      </w:r>
      <w:r w:rsidRPr="0018524D">
        <w:rPr>
          <w:rFonts w:ascii="Times New Roman" w:eastAsia="Calibri" w:hAnsi="Times New Roman"/>
          <w:i/>
          <w:iCs/>
          <w:kern w:val="2"/>
          <w:sz w:val="24"/>
          <w:szCs w:val="24"/>
        </w:rPr>
        <w:t>Journal of Scientific Research &amp; Reports 19(5): 1-11. Available at 10.9734/JSRR/2018/42767</w:t>
      </w:r>
    </w:p>
    <w:p w14:paraId="6A641668" w14:textId="77777777" w:rsidR="0018524D" w:rsidRPr="0018524D" w:rsidRDefault="0018524D" w:rsidP="0018524D">
      <w:pPr>
        <w:spacing w:after="160" w:line="276" w:lineRule="auto"/>
        <w:jc w:val="both"/>
        <w:rPr>
          <w:rFonts w:ascii="Times New Roman" w:eastAsia="Calibri" w:hAnsi="Times New Roman"/>
          <w:kern w:val="2"/>
          <w:sz w:val="24"/>
          <w:szCs w:val="24"/>
          <w:lang w:val="en-GB"/>
        </w:rPr>
      </w:pPr>
      <w:r w:rsidRPr="0018524D">
        <w:rPr>
          <w:rFonts w:ascii="Times New Roman" w:eastAsia="Calibri" w:hAnsi="Times New Roman"/>
          <w:kern w:val="2"/>
          <w:sz w:val="24"/>
          <w:szCs w:val="24"/>
          <w:lang w:val="en-GB"/>
        </w:rPr>
        <w:t xml:space="preserve">11. </w:t>
      </w:r>
      <w:proofErr w:type="spellStart"/>
      <w:r w:rsidRPr="0018524D">
        <w:rPr>
          <w:rFonts w:ascii="Times New Roman" w:eastAsia="Calibri" w:hAnsi="Times New Roman"/>
          <w:kern w:val="2"/>
          <w:sz w:val="24"/>
          <w:szCs w:val="24"/>
          <w:lang w:val="en-GB"/>
        </w:rPr>
        <w:t>Nwilo</w:t>
      </w:r>
      <w:proofErr w:type="spellEnd"/>
      <w:r w:rsidRPr="0018524D">
        <w:rPr>
          <w:rFonts w:ascii="Times New Roman" w:eastAsia="Calibri" w:hAnsi="Times New Roman"/>
          <w:kern w:val="2"/>
          <w:sz w:val="24"/>
          <w:szCs w:val="24"/>
          <w:lang w:val="en-GB"/>
        </w:rPr>
        <w:t xml:space="preserve"> P.C. &amp; </w:t>
      </w:r>
      <w:proofErr w:type="spellStart"/>
      <w:r w:rsidRPr="0018524D">
        <w:rPr>
          <w:rFonts w:ascii="Times New Roman" w:eastAsia="Calibri" w:hAnsi="Times New Roman"/>
          <w:kern w:val="2"/>
          <w:sz w:val="24"/>
          <w:szCs w:val="24"/>
          <w:lang w:val="en-GB"/>
        </w:rPr>
        <w:t>Badejo</w:t>
      </w:r>
      <w:proofErr w:type="spellEnd"/>
      <w:r w:rsidRPr="0018524D">
        <w:rPr>
          <w:rFonts w:ascii="Times New Roman" w:eastAsia="Calibri" w:hAnsi="Times New Roman"/>
          <w:kern w:val="2"/>
          <w:sz w:val="24"/>
          <w:szCs w:val="24"/>
          <w:lang w:val="en-GB"/>
        </w:rPr>
        <w:t xml:space="preserve"> O.T. (2005). Oil Spill Problems and Management in the Niger Delta. </w:t>
      </w:r>
      <w:r w:rsidRPr="0018524D">
        <w:rPr>
          <w:rFonts w:ascii="Times New Roman" w:eastAsia="Calibri" w:hAnsi="Times New Roman"/>
          <w:kern w:val="2"/>
          <w:sz w:val="24"/>
          <w:szCs w:val="24"/>
          <w:lang w:val="en-GB"/>
        </w:rPr>
        <w:tab/>
        <w:t>DOI: 10.7901/2169-3358-2005-1-567</w:t>
      </w:r>
    </w:p>
    <w:p w14:paraId="1CBC83CD" w14:textId="77777777" w:rsidR="0018524D" w:rsidRPr="0018524D" w:rsidRDefault="0018524D" w:rsidP="0018524D">
      <w:pPr>
        <w:spacing w:after="160" w:line="276" w:lineRule="auto"/>
        <w:jc w:val="both"/>
        <w:rPr>
          <w:rFonts w:ascii="Times New Roman" w:eastAsia="Calibri" w:hAnsi="Times New Roman"/>
          <w:kern w:val="2"/>
          <w:sz w:val="24"/>
          <w:szCs w:val="24"/>
        </w:rPr>
      </w:pPr>
      <w:r w:rsidRPr="0018524D">
        <w:rPr>
          <w:rFonts w:ascii="Times New Roman" w:eastAsia="Calibri" w:hAnsi="Times New Roman"/>
          <w:kern w:val="2"/>
          <w:sz w:val="24"/>
          <w:szCs w:val="24"/>
        </w:rPr>
        <w:t xml:space="preserve">12. </w:t>
      </w:r>
      <w:proofErr w:type="spellStart"/>
      <w:r w:rsidRPr="0018524D">
        <w:rPr>
          <w:rFonts w:ascii="Times New Roman" w:eastAsia="Calibri" w:hAnsi="Times New Roman"/>
          <w:kern w:val="2"/>
          <w:sz w:val="24"/>
          <w:szCs w:val="24"/>
          <w:lang w:val="en-GB"/>
        </w:rPr>
        <w:t>Anekwe</w:t>
      </w:r>
      <w:proofErr w:type="spellEnd"/>
      <w:r w:rsidRPr="0018524D">
        <w:rPr>
          <w:rFonts w:ascii="Times New Roman" w:eastAsia="Calibri" w:hAnsi="Times New Roman"/>
          <w:kern w:val="2"/>
          <w:sz w:val="24"/>
          <w:szCs w:val="24"/>
          <w:lang w:val="en-GB"/>
        </w:rPr>
        <w:t xml:space="preserve"> U.L, </w:t>
      </w:r>
      <w:proofErr w:type="spellStart"/>
      <w:r w:rsidRPr="0018524D">
        <w:rPr>
          <w:rFonts w:ascii="Times New Roman" w:eastAsia="Calibri" w:hAnsi="Times New Roman"/>
          <w:kern w:val="2"/>
          <w:sz w:val="24"/>
          <w:szCs w:val="24"/>
          <w:lang w:val="en-GB"/>
        </w:rPr>
        <w:t>Avwiri</w:t>
      </w:r>
      <w:proofErr w:type="spellEnd"/>
      <w:r w:rsidRPr="0018524D">
        <w:rPr>
          <w:rFonts w:ascii="Times New Roman" w:eastAsia="Calibri" w:hAnsi="Times New Roman"/>
          <w:kern w:val="2"/>
          <w:sz w:val="24"/>
          <w:szCs w:val="24"/>
          <w:lang w:val="en-GB"/>
        </w:rPr>
        <w:t xml:space="preserve"> G.O, &amp; </w:t>
      </w:r>
      <w:proofErr w:type="spellStart"/>
      <w:r w:rsidRPr="0018524D">
        <w:rPr>
          <w:rFonts w:ascii="Times New Roman" w:eastAsia="Calibri" w:hAnsi="Times New Roman"/>
          <w:kern w:val="2"/>
          <w:sz w:val="24"/>
          <w:szCs w:val="24"/>
          <w:lang w:val="en-GB"/>
        </w:rPr>
        <w:t>Agbalagba</w:t>
      </w:r>
      <w:proofErr w:type="spellEnd"/>
      <w:r w:rsidRPr="0018524D">
        <w:rPr>
          <w:rFonts w:ascii="Times New Roman" w:eastAsia="Calibri" w:hAnsi="Times New Roman"/>
          <w:kern w:val="2"/>
          <w:sz w:val="24"/>
          <w:szCs w:val="24"/>
          <w:lang w:val="en-GB"/>
        </w:rPr>
        <w:t xml:space="preserve"> E.O. (2013). Assessment of gamma-radiation levels in selected oil spilled areas in Rivers State, </w:t>
      </w:r>
      <w:r w:rsidRPr="0018524D">
        <w:rPr>
          <w:rFonts w:ascii="Times New Roman" w:eastAsia="Calibri" w:hAnsi="Times New Roman"/>
          <w:i/>
          <w:kern w:val="2"/>
          <w:sz w:val="24"/>
          <w:szCs w:val="24"/>
          <w:lang w:val="en-GB"/>
        </w:rPr>
        <w:t>Nigeria. Energy Science and Technology</w:t>
      </w:r>
      <w:r w:rsidRPr="0018524D">
        <w:rPr>
          <w:rFonts w:ascii="Times New Roman" w:eastAsia="Calibri" w:hAnsi="Times New Roman"/>
          <w:kern w:val="2"/>
          <w:sz w:val="24"/>
          <w:szCs w:val="24"/>
          <w:lang w:val="en-GB"/>
        </w:rPr>
        <w:t>, 5(1):33-37.</w:t>
      </w:r>
    </w:p>
    <w:p w14:paraId="07191828" w14:textId="77777777" w:rsidR="0018524D" w:rsidRPr="0018524D" w:rsidRDefault="0018524D" w:rsidP="0018524D">
      <w:pPr>
        <w:spacing w:after="160" w:line="276" w:lineRule="auto"/>
        <w:jc w:val="both"/>
        <w:rPr>
          <w:rFonts w:ascii="Times New Roman" w:eastAsia="Calibri" w:hAnsi="Times New Roman"/>
          <w:kern w:val="2"/>
          <w:sz w:val="24"/>
          <w:szCs w:val="24"/>
        </w:rPr>
      </w:pPr>
      <w:r w:rsidRPr="0018524D">
        <w:rPr>
          <w:rFonts w:ascii="Times New Roman" w:eastAsia="Calibri" w:hAnsi="Times New Roman"/>
          <w:kern w:val="2"/>
          <w:sz w:val="24"/>
          <w:szCs w:val="24"/>
        </w:rPr>
        <w:t xml:space="preserve">13. </w:t>
      </w:r>
      <w:proofErr w:type="spellStart"/>
      <w:r w:rsidRPr="0018524D">
        <w:rPr>
          <w:rFonts w:ascii="Times New Roman" w:eastAsia="Calibri" w:hAnsi="Times New Roman"/>
          <w:kern w:val="2"/>
          <w:sz w:val="24"/>
          <w:szCs w:val="24"/>
          <w:lang w:val="en-GB"/>
        </w:rPr>
        <w:t>Meindinyo</w:t>
      </w:r>
      <w:proofErr w:type="spellEnd"/>
      <w:r w:rsidRPr="0018524D">
        <w:rPr>
          <w:rFonts w:ascii="Times New Roman" w:eastAsia="Calibri" w:hAnsi="Times New Roman"/>
          <w:kern w:val="2"/>
          <w:sz w:val="24"/>
          <w:szCs w:val="24"/>
          <w:lang w:val="en-GB"/>
        </w:rPr>
        <w:t xml:space="preserve"> R.K &amp; </w:t>
      </w:r>
      <w:proofErr w:type="spellStart"/>
      <w:r w:rsidRPr="0018524D">
        <w:rPr>
          <w:rFonts w:ascii="Times New Roman" w:eastAsia="Calibri" w:hAnsi="Times New Roman"/>
          <w:kern w:val="2"/>
          <w:sz w:val="24"/>
          <w:szCs w:val="24"/>
          <w:lang w:val="en-GB"/>
        </w:rPr>
        <w:t>Agbalagba</w:t>
      </w:r>
      <w:proofErr w:type="spellEnd"/>
      <w:r w:rsidRPr="0018524D">
        <w:rPr>
          <w:rFonts w:ascii="Times New Roman" w:eastAsia="Calibri" w:hAnsi="Times New Roman"/>
          <w:kern w:val="2"/>
          <w:sz w:val="24"/>
          <w:szCs w:val="24"/>
          <w:lang w:val="en-GB"/>
        </w:rPr>
        <w:t xml:space="preserve"> E.O. (2012).  Radioactivity concentration and heavy metal assessment of soil and water in and around </w:t>
      </w:r>
      <w:proofErr w:type="spellStart"/>
      <w:r w:rsidRPr="0018524D">
        <w:rPr>
          <w:rFonts w:ascii="Times New Roman" w:eastAsia="Calibri" w:hAnsi="Times New Roman"/>
          <w:kern w:val="2"/>
          <w:sz w:val="24"/>
          <w:szCs w:val="24"/>
          <w:lang w:val="en-GB"/>
        </w:rPr>
        <w:t>Imirigin</w:t>
      </w:r>
      <w:proofErr w:type="spellEnd"/>
      <w:r w:rsidRPr="0018524D">
        <w:rPr>
          <w:rFonts w:ascii="Times New Roman" w:eastAsia="Calibri" w:hAnsi="Times New Roman"/>
          <w:kern w:val="2"/>
          <w:sz w:val="24"/>
          <w:szCs w:val="24"/>
          <w:lang w:val="en-GB"/>
        </w:rPr>
        <w:t xml:space="preserve"> oil field, Bayelsa State, Nigeria. </w:t>
      </w:r>
      <w:r w:rsidRPr="0018524D">
        <w:rPr>
          <w:rFonts w:ascii="Times New Roman" w:eastAsia="Calibri" w:hAnsi="Times New Roman"/>
          <w:i/>
          <w:kern w:val="2"/>
          <w:sz w:val="24"/>
          <w:szCs w:val="24"/>
          <w:lang w:val="en-GB"/>
        </w:rPr>
        <w:t>Journal of Environmental Chemistry and Ecotoxicology.</w:t>
      </w:r>
      <w:r w:rsidRPr="0018524D">
        <w:rPr>
          <w:rFonts w:ascii="Times New Roman" w:eastAsia="Calibri" w:hAnsi="Times New Roman"/>
          <w:kern w:val="2"/>
          <w:sz w:val="24"/>
          <w:szCs w:val="24"/>
          <w:lang w:val="en-GB"/>
        </w:rPr>
        <w:t xml:space="preserve"> 4 (2), 29- 34.</w:t>
      </w:r>
    </w:p>
    <w:p w14:paraId="68C07159" w14:textId="77777777" w:rsidR="0018524D" w:rsidRPr="0018524D" w:rsidRDefault="0018524D" w:rsidP="0018524D">
      <w:pPr>
        <w:spacing w:after="160" w:line="276" w:lineRule="auto"/>
        <w:jc w:val="both"/>
        <w:rPr>
          <w:rFonts w:ascii="Times New Roman" w:eastAsia="Calibri" w:hAnsi="Times New Roman"/>
          <w:kern w:val="2"/>
          <w:sz w:val="24"/>
          <w:szCs w:val="24"/>
        </w:rPr>
      </w:pPr>
      <w:r w:rsidRPr="0018524D">
        <w:rPr>
          <w:rFonts w:ascii="Times New Roman" w:eastAsia="Calibri" w:hAnsi="Times New Roman"/>
          <w:kern w:val="2"/>
          <w:sz w:val="24"/>
          <w:szCs w:val="24"/>
        </w:rPr>
        <w:lastRenderedPageBreak/>
        <w:t xml:space="preserve">14. Elena BC &amp; Gracea C. (2004). Radiological Impart Assessment on Behalf of Oil/Gas Industry. </w:t>
      </w:r>
      <w:proofErr w:type="spellStart"/>
      <w:r w:rsidRPr="0018524D">
        <w:rPr>
          <w:rFonts w:ascii="Times New Roman" w:eastAsia="Calibri" w:hAnsi="Times New Roman"/>
          <w:i/>
          <w:iCs/>
          <w:kern w:val="2"/>
          <w:sz w:val="24"/>
          <w:szCs w:val="24"/>
        </w:rPr>
        <w:t>Journ</w:t>
      </w:r>
      <w:proofErr w:type="spellEnd"/>
      <w:r w:rsidRPr="0018524D">
        <w:rPr>
          <w:rFonts w:ascii="Times New Roman" w:eastAsia="Calibri" w:hAnsi="Times New Roman"/>
          <w:i/>
          <w:iCs/>
          <w:kern w:val="2"/>
          <w:sz w:val="24"/>
          <w:szCs w:val="24"/>
        </w:rPr>
        <w:t>. Preventive Med.</w:t>
      </w:r>
      <w:r w:rsidRPr="0018524D">
        <w:rPr>
          <w:rFonts w:ascii="Times New Roman" w:eastAsia="Calibri" w:hAnsi="Times New Roman"/>
          <w:kern w:val="2"/>
          <w:sz w:val="24"/>
          <w:szCs w:val="24"/>
        </w:rPr>
        <w:t>;12(1-2): 16-21.</w:t>
      </w:r>
    </w:p>
    <w:p w14:paraId="39C953BA" w14:textId="77777777" w:rsidR="0018524D" w:rsidRPr="0018524D" w:rsidRDefault="0018524D" w:rsidP="0018524D">
      <w:pPr>
        <w:spacing w:after="160" w:line="276" w:lineRule="auto"/>
        <w:jc w:val="both"/>
        <w:rPr>
          <w:rFonts w:ascii="Times New Roman" w:eastAsia="Calibri" w:hAnsi="Times New Roman"/>
          <w:kern w:val="2"/>
          <w:sz w:val="24"/>
          <w:szCs w:val="24"/>
        </w:rPr>
      </w:pPr>
      <w:r w:rsidRPr="0018524D">
        <w:rPr>
          <w:rFonts w:ascii="Times New Roman" w:eastAsia="Calibri" w:hAnsi="Times New Roman"/>
          <w:kern w:val="2"/>
          <w:sz w:val="24"/>
          <w:szCs w:val="24"/>
        </w:rPr>
        <w:t xml:space="preserve">15. </w:t>
      </w:r>
      <w:proofErr w:type="spellStart"/>
      <w:r w:rsidRPr="0018524D">
        <w:rPr>
          <w:rFonts w:ascii="Times New Roman" w:eastAsia="Calibri" w:hAnsi="Times New Roman"/>
          <w:kern w:val="2"/>
          <w:sz w:val="24"/>
          <w:szCs w:val="24"/>
        </w:rPr>
        <w:t>Agbalagba</w:t>
      </w:r>
      <w:proofErr w:type="spellEnd"/>
      <w:r w:rsidRPr="0018524D">
        <w:rPr>
          <w:rFonts w:ascii="Times New Roman" w:eastAsia="Calibri" w:hAnsi="Times New Roman"/>
          <w:kern w:val="2"/>
          <w:sz w:val="24"/>
          <w:szCs w:val="24"/>
        </w:rPr>
        <w:t xml:space="preserve"> EO, </w:t>
      </w:r>
      <w:proofErr w:type="spellStart"/>
      <w:r w:rsidRPr="0018524D">
        <w:rPr>
          <w:rFonts w:ascii="Times New Roman" w:eastAsia="Calibri" w:hAnsi="Times New Roman"/>
          <w:kern w:val="2"/>
          <w:sz w:val="24"/>
          <w:szCs w:val="24"/>
        </w:rPr>
        <w:t>Avwiri</w:t>
      </w:r>
      <w:proofErr w:type="spellEnd"/>
      <w:r w:rsidRPr="0018524D">
        <w:rPr>
          <w:rFonts w:ascii="Times New Roman" w:eastAsia="Calibri" w:hAnsi="Times New Roman"/>
          <w:kern w:val="2"/>
          <w:sz w:val="24"/>
          <w:szCs w:val="24"/>
        </w:rPr>
        <w:t xml:space="preserve"> GO, &amp; Chad-</w:t>
      </w:r>
      <w:proofErr w:type="spellStart"/>
      <w:r w:rsidRPr="0018524D">
        <w:rPr>
          <w:rFonts w:ascii="Times New Roman" w:eastAsia="Calibri" w:hAnsi="Times New Roman"/>
          <w:kern w:val="2"/>
          <w:sz w:val="24"/>
          <w:szCs w:val="24"/>
        </w:rPr>
        <w:t>Umoreh</w:t>
      </w:r>
      <w:proofErr w:type="spellEnd"/>
      <w:r w:rsidRPr="0018524D">
        <w:rPr>
          <w:rFonts w:ascii="Times New Roman" w:eastAsia="Calibri" w:hAnsi="Times New Roman"/>
          <w:kern w:val="2"/>
          <w:sz w:val="24"/>
          <w:szCs w:val="24"/>
        </w:rPr>
        <w:t xml:space="preserve"> YE. (2012). γ-Spectroscopy measurement of natural radioactivity and assessment of radiation hazard indices in soil samples from oil fields environment of Delta State, </w:t>
      </w:r>
      <w:r w:rsidRPr="0018524D">
        <w:rPr>
          <w:rFonts w:ascii="Times New Roman" w:eastAsia="Calibri" w:hAnsi="Times New Roman"/>
          <w:i/>
          <w:iCs/>
          <w:kern w:val="2"/>
          <w:sz w:val="24"/>
          <w:szCs w:val="24"/>
        </w:rPr>
        <w:t xml:space="preserve">Nigeria. J Environ </w:t>
      </w:r>
      <w:proofErr w:type="spellStart"/>
      <w:r w:rsidRPr="0018524D">
        <w:rPr>
          <w:rFonts w:ascii="Times New Roman" w:eastAsia="Calibri" w:hAnsi="Times New Roman"/>
          <w:i/>
          <w:iCs/>
          <w:kern w:val="2"/>
          <w:sz w:val="24"/>
          <w:szCs w:val="24"/>
        </w:rPr>
        <w:t>Radioact</w:t>
      </w:r>
      <w:proofErr w:type="spellEnd"/>
      <w:r w:rsidRPr="0018524D">
        <w:rPr>
          <w:rFonts w:ascii="Times New Roman" w:eastAsia="Calibri" w:hAnsi="Times New Roman"/>
          <w:i/>
          <w:iCs/>
          <w:kern w:val="2"/>
          <w:sz w:val="24"/>
          <w:szCs w:val="24"/>
        </w:rPr>
        <w:t>.</w:t>
      </w:r>
      <w:r w:rsidRPr="0018524D">
        <w:rPr>
          <w:rFonts w:ascii="Times New Roman" w:eastAsia="Calibri" w:hAnsi="Times New Roman"/>
          <w:kern w:val="2"/>
          <w:sz w:val="24"/>
          <w:szCs w:val="24"/>
        </w:rPr>
        <w:t>; 109: 64 -70.</w:t>
      </w:r>
    </w:p>
    <w:p w14:paraId="7B9DCBBA" w14:textId="77777777" w:rsidR="0018524D" w:rsidRPr="0018524D" w:rsidRDefault="0018524D" w:rsidP="0018524D">
      <w:pPr>
        <w:spacing w:after="160" w:line="276" w:lineRule="auto"/>
        <w:jc w:val="both"/>
        <w:rPr>
          <w:rFonts w:ascii="Times New Roman" w:eastAsia="Calibri" w:hAnsi="Times New Roman"/>
          <w:kern w:val="2"/>
          <w:sz w:val="24"/>
          <w:szCs w:val="24"/>
        </w:rPr>
      </w:pPr>
      <w:r w:rsidRPr="0018524D">
        <w:rPr>
          <w:rFonts w:ascii="Times New Roman" w:eastAsia="Calibri" w:hAnsi="Times New Roman"/>
          <w:kern w:val="2"/>
          <w:sz w:val="24"/>
          <w:szCs w:val="24"/>
        </w:rPr>
        <w:t xml:space="preserve">16. Kam E, </w:t>
      </w:r>
      <w:proofErr w:type="spellStart"/>
      <w:r w:rsidRPr="0018524D">
        <w:rPr>
          <w:rFonts w:ascii="Times New Roman" w:eastAsia="Calibri" w:hAnsi="Times New Roman"/>
          <w:kern w:val="2"/>
          <w:sz w:val="24"/>
          <w:szCs w:val="24"/>
        </w:rPr>
        <w:t>Yümün</w:t>
      </w:r>
      <w:proofErr w:type="spellEnd"/>
      <w:r w:rsidRPr="0018524D">
        <w:rPr>
          <w:rFonts w:ascii="Times New Roman" w:eastAsia="Calibri" w:hAnsi="Times New Roman"/>
          <w:kern w:val="2"/>
          <w:sz w:val="24"/>
          <w:szCs w:val="24"/>
        </w:rPr>
        <w:t xml:space="preserve"> Z, &amp; Kurt D. (2017). Gross Alpha and Gross Beta Activity Concentrations in Sediments in Gulf of Izmir (Eastern Aegean Sea, Turkey). </w:t>
      </w:r>
      <w:r w:rsidRPr="0018524D">
        <w:rPr>
          <w:rFonts w:ascii="Times New Roman" w:eastAsia="Calibri" w:hAnsi="Times New Roman"/>
          <w:i/>
          <w:iCs/>
          <w:kern w:val="2"/>
          <w:sz w:val="24"/>
          <w:szCs w:val="24"/>
        </w:rPr>
        <w:t>Journal of Turkish Chemical Society</w:t>
      </w:r>
      <w:r w:rsidRPr="0018524D">
        <w:rPr>
          <w:rFonts w:ascii="Times New Roman" w:eastAsia="Calibri" w:hAnsi="Times New Roman"/>
          <w:kern w:val="2"/>
          <w:sz w:val="24"/>
          <w:szCs w:val="24"/>
        </w:rPr>
        <w:t>, Section A., 4(3):889–98.</w:t>
      </w:r>
    </w:p>
    <w:p w14:paraId="5FD30C72" w14:textId="77777777" w:rsidR="00B01FCD" w:rsidRPr="00FB3A86" w:rsidRDefault="00B01FCD" w:rsidP="00441B6F">
      <w:pPr>
        <w:pStyle w:val="Appendix"/>
        <w:spacing w:after="0"/>
        <w:jc w:val="both"/>
        <w:rPr>
          <w:rFonts w:ascii="Arial" w:hAnsi="Arial" w:cs="Arial"/>
          <w:b w:val="0"/>
        </w:rPr>
      </w:pPr>
    </w:p>
    <w:sectPr w:rsidR="00B01FCD" w:rsidRPr="00FB3A86" w:rsidSect="009D76CE">
      <w:headerReference w:type="even" r:id="rId22"/>
      <w:headerReference w:type="default" r:id="rId23"/>
      <w:footerReference w:type="default" r:id="rId24"/>
      <w:headerReference w:type="first" r:id="rId2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A7938" w14:textId="77777777" w:rsidR="00780AF2" w:rsidRDefault="00780AF2" w:rsidP="00C37E61">
      <w:r>
        <w:separator/>
      </w:r>
    </w:p>
  </w:endnote>
  <w:endnote w:type="continuationSeparator" w:id="0">
    <w:p w14:paraId="48664E3A" w14:textId="77777777" w:rsidR="00780AF2" w:rsidRDefault="00780AF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33AA3" w14:textId="77777777" w:rsidR="009D76CE" w:rsidRDefault="009D76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67DF2" w14:textId="77777777" w:rsidR="009D76CE" w:rsidRDefault="009D76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9D30D" w14:textId="34338FF5" w:rsidR="00754C9A" w:rsidRPr="006140AB" w:rsidRDefault="00754C9A" w:rsidP="006140AB">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2B3B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FAC1A" w14:textId="77777777" w:rsidR="00780AF2" w:rsidRDefault="00780AF2" w:rsidP="00C37E61">
      <w:r>
        <w:separator/>
      </w:r>
    </w:p>
  </w:footnote>
  <w:footnote w:type="continuationSeparator" w:id="0">
    <w:p w14:paraId="0DDAE045" w14:textId="77777777" w:rsidR="00780AF2" w:rsidRDefault="00780AF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6E2FF" w14:textId="36078158" w:rsidR="009D76CE" w:rsidRDefault="009D76CE">
    <w:pPr>
      <w:pStyle w:val="Header"/>
    </w:pPr>
    <w:r>
      <w:rPr>
        <w:noProof/>
      </w:rPr>
      <w:pict w14:anchorId="49A0B9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31157"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64839" w14:textId="5B2EEE17" w:rsidR="009D76CE" w:rsidRDefault="009D76CE">
    <w:pPr>
      <w:pStyle w:val="Header"/>
    </w:pPr>
    <w:r>
      <w:rPr>
        <w:noProof/>
      </w:rPr>
      <w:pict w14:anchorId="404CBE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31158"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1D5CE" w14:textId="214ED4FC" w:rsidR="00296529" w:rsidRPr="00296529" w:rsidRDefault="009D76CE" w:rsidP="00296529">
    <w:pPr>
      <w:ind w:left="2160"/>
      <w:jc w:val="center"/>
      <w:rPr>
        <w:rFonts w:ascii="Times New Roman" w:eastAsia="Calibri" w:hAnsi="Times New Roman"/>
        <w:i/>
        <w:sz w:val="18"/>
        <w:szCs w:val="22"/>
      </w:rPr>
    </w:pPr>
    <w:r>
      <w:rPr>
        <w:noProof/>
      </w:rPr>
      <w:pict w14:anchorId="6627D6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31156"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A24025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27BDBB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4A9CAB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0D274E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4DC3C2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FFD7E4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0FBB7" w14:textId="28FC28BD" w:rsidR="009D76CE" w:rsidRDefault="009D76CE">
    <w:pPr>
      <w:pStyle w:val="Header"/>
    </w:pPr>
    <w:r>
      <w:rPr>
        <w:noProof/>
      </w:rPr>
      <w:pict w14:anchorId="498C5D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31160"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83CB0" w14:textId="3208CF96" w:rsidR="009D76CE" w:rsidRDefault="009D76CE">
    <w:pPr>
      <w:pStyle w:val="Header"/>
    </w:pPr>
    <w:r>
      <w:rPr>
        <w:noProof/>
      </w:rPr>
      <w:pict w14:anchorId="13A813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31161"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EA69B" w14:textId="629AAED8" w:rsidR="009D76CE" w:rsidRDefault="009D76CE">
    <w:pPr>
      <w:pStyle w:val="Header"/>
    </w:pPr>
    <w:r>
      <w:rPr>
        <w:noProof/>
      </w:rPr>
      <w:pict w14:anchorId="3D4386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31159"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0AB29A7"/>
    <w:multiLevelType w:val="hybridMultilevel"/>
    <w:tmpl w:val="57B080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3BA5"/>
    <w:rsid w:val="00030174"/>
    <w:rsid w:val="00037804"/>
    <w:rsid w:val="0004579C"/>
    <w:rsid w:val="00090FD1"/>
    <w:rsid w:val="00092A9C"/>
    <w:rsid w:val="000A2AB0"/>
    <w:rsid w:val="000A47FA"/>
    <w:rsid w:val="000A65D3"/>
    <w:rsid w:val="000B1E33"/>
    <w:rsid w:val="000C40F1"/>
    <w:rsid w:val="000C7C43"/>
    <w:rsid w:val="000D689F"/>
    <w:rsid w:val="000E48B3"/>
    <w:rsid w:val="000E7B7B"/>
    <w:rsid w:val="000E7D62"/>
    <w:rsid w:val="000F3C7E"/>
    <w:rsid w:val="000F5FA3"/>
    <w:rsid w:val="00103357"/>
    <w:rsid w:val="001141BF"/>
    <w:rsid w:val="00123C9F"/>
    <w:rsid w:val="00126190"/>
    <w:rsid w:val="00130194"/>
    <w:rsid w:val="00130F17"/>
    <w:rsid w:val="001320BF"/>
    <w:rsid w:val="001473B2"/>
    <w:rsid w:val="00163BC4"/>
    <w:rsid w:val="0018524D"/>
    <w:rsid w:val="00191062"/>
    <w:rsid w:val="001928B7"/>
    <w:rsid w:val="00192B72"/>
    <w:rsid w:val="001A29D8"/>
    <w:rsid w:val="001A5CAA"/>
    <w:rsid w:val="001B0427"/>
    <w:rsid w:val="001B1DFD"/>
    <w:rsid w:val="001D2B85"/>
    <w:rsid w:val="001D3A51"/>
    <w:rsid w:val="001E10D2"/>
    <w:rsid w:val="001E25B4"/>
    <w:rsid w:val="001E44FE"/>
    <w:rsid w:val="001E4574"/>
    <w:rsid w:val="00200595"/>
    <w:rsid w:val="00204835"/>
    <w:rsid w:val="00220770"/>
    <w:rsid w:val="00226920"/>
    <w:rsid w:val="00231920"/>
    <w:rsid w:val="0023195C"/>
    <w:rsid w:val="0024282C"/>
    <w:rsid w:val="002460DC"/>
    <w:rsid w:val="00250985"/>
    <w:rsid w:val="002556F6"/>
    <w:rsid w:val="00283105"/>
    <w:rsid w:val="00284C4C"/>
    <w:rsid w:val="00287E68"/>
    <w:rsid w:val="00296529"/>
    <w:rsid w:val="002B27FB"/>
    <w:rsid w:val="002B685A"/>
    <w:rsid w:val="002C3359"/>
    <w:rsid w:val="002C57D2"/>
    <w:rsid w:val="002E0D56"/>
    <w:rsid w:val="00301C07"/>
    <w:rsid w:val="00315186"/>
    <w:rsid w:val="0031600D"/>
    <w:rsid w:val="0033343E"/>
    <w:rsid w:val="003512C2"/>
    <w:rsid w:val="00371FB6"/>
    <w:rsid w:val="003763C1"/>
    <w:rsid w:val="00376795"/>
    <w:rsid w:val="00376BBE"/>
    <w:rsid w:val="0039224F"/>
    <w:rsid w:val="003A43A4"/>
    <w:rsid w:val="003A5746"/>
    <w:rsid w:val="003A7E18"/>
    <w:rsid w:val="003C4C86"/>
    <w:rsid w:val="003C6258"/>
    <w:rsid w:val="003E2904"/>
    <w:rsid w:val="00401927"/>
    <w:rsid w:val="0041027F"/>
    <w:rsid w:val="00412475"/>
    <w:rsid w:val="00420B77"/>
    <w:rsid w:val="00423789"/>
    <w:rsid w:val="00424853"/>
    <w:rsid w:val="00440F43"/>
    <w:rsid w:val="00441B6F"/>
    <w:rsid w:val="00446221"/>
    <w:rsid w:val="00450E62"/>
    <w:rsid w:val="004539DB"/>
    <w:rsid w:val="00461B12"/>
    <w:rsid w:val="00471A80"/>
    <w:rsid w:val="004D18CE"/>
    <w:rsid w:val="004D305E"/>
    <w:rsid w:val="004D4277"/>
    <w:rsid w:val="004F3B0A"/>
    <w:rsid w:val="00502516"/>
    <w:rsid w:val="00505F06"/>
    <w:rsid w:val="00506828"/>
    <w:rsid w:val="0053056E"/>
    <w:rsid w:val="005328F2"/>
    <w:rsid w:val="00551470"/>
    <w:rsid w:val="0055227A"/>
    <w:rsid w:val="00554FDA"/>
    <w:rsid w:val="00582CA2"/>
    <w:rsid w:val="005B5CE6"/>
    <w:rsid w:val="005C784C"/>
    <w:rsid w:val="005D17F6"/>
    <w:rsid w:val="005D1CA0"/>
    <w:rsid w:val="005E5539"/>
    <w:rsid w:val="00602BF5"/>
    <w:rsid w:val="006140AB"/>
    <w:rsid w:val="00617FDD"/>
    <w:rsid w:val="00633614"/>
    <w:rsid w:val="00633F68"/>
    <w:rsid w:val="00636EB2"/>
    <w:rsid w:val="006375B8"/>
    <w:rsid w:val="0064751F"/>
    <w:rsid w:val="006539A7"/>
    <w:rsid w:val="0066510A"/>
    <w:rsid w:val="00673F9F"/>
    <w:rsid w:val="00686953"/>
    <w:rsid w:val="00687DEA"/>
    <w:rsid w:val="00687E67"/>
    <w:rsid w:val="006967F7"/>
    <w:rsid w:val="006A250C"/>
    <w:rsid w:val="006B21D3"/>
    <w:rsid w:val="006B57D0"/>
    <w:rsid w:val="006C7CA1"/>
    <w:rsid w:val="006D30FF"/>
    <w:rsid w:val="006D6940"/>
    <w:rsid w:val="006F11EC"/>
    <w:rsid w:val="006F1671"/>
    <w:rsid w:val="0070082C"/>
    <w:rsid w:val="00732997"/>
    <w:rsid w:val="007369E6"/>
    <w:rsid w:val="00746E59"/>
    <w:rsid w:val="00754C9A"/>
    <w:rsid w:val="0075599A"/>
    <w:rsid w:val="00761D52"/>
    <w:rsid w:val="0077749E"/>
    <w:rsid w:val="00780AF2"/>
    <w:rsid w:val="00790ADA"/>
    <w:rsid w:val="00790CBF"/>
    <w:rsid w:val="007D2288"/>
    <w:rsid w:val="007D5F15"/>
    <w:rsid w:val="007E088F"/>
    <w:rsid w:val="007F7B32"/>
    <w:rsid w:val="008019C8"/>
    <w:rsid w:val="00804BC2"/>
    <w:rsid w:val="00804DFF"/>
    <w:rsid w:val="0081431A"/>
    <w:rsid w:val="0081508D"/>
    <w:rsid w:val="0083216F"/>
    <w:rsid w:val="0084040C"/>
    <w:rsid w:val="008551DB"/>
    <w:rsid w:val="00860000"/>
    <w:rsid w:val="00863BD3"/>
    <w:rsid w:val="008641ED"/>
    <w:rsid w:val="00866D66"/>
    <w:rsid w:val="008671C6"/>
    <w:rsid w:val="00875803"/>
    <w:rsid w:val="008B459E"/>
    <w:rsid w:val="008B71F4"/>
    <w:rsid w:val="008E13AE"/>
    <w:rsid w:val="008E1506"/>
    <w:rsid w:val="008E710C"/>
    <w:rsid w:val="008F69D6"/>
    <w:rsid w:val="00902823"/>
    <w:rsid w:val="00915CA6"/>
    <w:rsid w:val="009179AA"/>
    <w:rsid w:val="00927834"/>
    <w:rsid w:val="00933B62"/>
    <w:rsid w:val="009500A6"/>
    <w:rsid w:val="00957C18"/>
    <w:rsid w:val="009659BA"/>
    <w:rsid w:val="00973327"/>
    <w:rsid w:val="00983040"/>
    <w:rsid w:val="009B3FB9"/>
    <w:rsid w:val="009C0315"/>
    <w:rsid w:val="009C2465"/>
    <w:rsid w:val="009D35A0"/>
    <w:rsid w:val="009D76CE"/>
    <w:rsid w:val="009D7EB7"/>
    <w:rsid w:val="009E048A"/>
    <w:rsid w:val="009E08E9"/>
    <w:rsid w:val="009E3DB9"/>
    <w:rsid w:val="009E6E35"/>
    <w:rsid w:val="009F0EDA"/>
    <w:rsid w:val="00A03B96"/>
    <w:rsid w:val="00A05B19"/>
    <w:rsid w:val="00A10120"/>
    <w:rsid w:val="00A1134E"/>
    <w:rsid w:val="00A24E7E"/>
    <w:rsid w:val="00A258C3"/>
    <w:rsid w:val="00A347C0"/>
    <w:rsid w:val="00A51431"/>
    <w:rsid w:val="00A539AD"/>
    <w:rsid w:val="00A72B90"/>
    <w:rsid w:val="00A874EA"/>
    <w:rsid w:val="00A94063"/>
    <w:rsid w:val="00A94227"/>
    <w:rsid w:val="00AA6219"/>
    <w:rsid w:val="00AA74E0"/>
    <w:rsid w:val="00AB703F"/>
    <w:rsid w:val="00AC3B85"/>
    <w:rsid w:val="00AC6BB8"/>
    <w:rsid w:val="00AE008F"/>
    <w:rsid w:val="00B01FCD"/>
    <w:rsid w:val="00B1776C"/>
    <w:rsid w:val="00B4070B"/>
    <w:rsid w:val="00B52583"/>
    <w:rsid w:val="00B52896"/>
    <w:rsid w:val="00B95236"/>
    <w:rsid w:val="00B96BD9"/>
    <w:rsid w:val="00BA1B01"/>
    <w:rsid w:val="00BA2641"/>
    <w:rsid w:val="00BA419E"/>
    <w:rsid w:val="00BB3057"/>
    <w:rsid w:val="00BB37AA"/>
    <w:rsid w:val="00BC2E1F"/>
    <w:rsid w:val="00BC53A0"/>
    <w:rsid w:val="00BC5617"/>
    <w:rsid w:val="00BE62AD"/>
    <w:rsid w:val="00BF121F"/>
    <w:rsid w:val="00BF1F80"/>
    <w:rsid w:val="00C166EF"/>
    <w:rsid w:val="00C17EB0"/>
    <w:rsid w:val="00C27F5F"/>
    <w:rsid w:val="00C30A0F"/>
    <w:rsid w:val="00C328E6"/>
    <w:rsid w:val="00C37E61"/>
    <w:rsid w:val="00C577D1"/>
    <w:rsid w:val="00C70F1B"/>
    <w:rsid w:val="00C71A47"/>
    <w:rsid w:val="00C71EAE"/>
    <w:rsid w:val="00C7464C"/>
    <w:rsid w:val="00C85588"/>
    <w:rsid w:val="00C9061E"/>
    <w:rsid w:val="00CA1053"/>
    <w:rsid w:val="00CD6755"/>
    <w:rsid w:val="00CD6856"/>
    <w:rsid w:val="00CE0089"/>
    <w:rsid w:val="00CE793C"/>
    <w:rsid w:val="00CF193C"/>
    <w:rsid w:val="00D16C8C"/>
    <w:rsid w:val="00D173F1"/>
    <w:rsid w:val="00D51BE6"/>
    <w:rsid w:val="00D74CB0"/>
    <w:rsid w:val="00D8295D"/>
    <w:rsid w:val="00DA3B28"/>
    <w:rsid w:val="00DB4E82"/>
    <w:rsid w:val="00DC2A65"/>
    <w:rsid w:val="00DD6FB2"/>
    <w:rsid w:val="00DE15F0"/>
    <w:rsid w:val="00DE5663"/>
    <w:rsid w:val="00DE78AA"/>
    <w:rsid w:val="00DF7EA6"/>
    <w:rsid w:val="00E053D0"/>
    <w:rsid w:val="00E05B11"/>
    <w:rsid w:val="00E15994"/>
    <w:rsid w:val="00E3114E"/>
    <w:rsid w:val="00E31A70"/>
    <w:rsid w:val="00E35B02"/>
    <w:rsid w:val="00E55B7F"/>
    <w:rsid w:val="00E66496"/>
    <w:rsid w:val="00E66B35"/>
    <w:rsid w:val="00E66E10"/>
    <w:rsid w:val="00E769F6"/>
    <w:rsid w:val="00E8407C"/>
    <w:rsid w:val="00E84F3C"/>
    <w:rsid w:val="00EA012C"/>
    <w:rsid w:val="00EC32A8"/>
    <w:rsid w:val="00EC6A55"/>
    <w:rsid w:val="00ED0288"/>
    <w:rsid w:val="00ED1643"/>
    <w:rsid w:val="00EE52CB"/>
    <w:rsid w:val="00EF581D"/>
    <w:rsid w:val="00EF7FD8"/>
    <w:rsid w:val="00F06F59"/>
    <w:rsid w:val="00F17988"/>
    <w:rsid w:val="00F469F0"/>
    <w:rsid w:val="00F53273"/>
    <w:rsid w:val="00F755E4"/>
    <w:rsid w:val="00F77D02"/>
    <w:rsid w:val="00FB3A86"/>
    <w:rsid w:val="00FB5B9F"/>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9C91A2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33545/26648636.2023.v5.i2a"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spPr>
        <a:noFill/>
        <a:ln w="6350">
          <a:noFill/>
        </a:ln>
      </c:spPr>
    </c:floor>
    <c:sideWall>
      <c:thickness val="0"/>
      <c:spPr>
        <a:noFill/>
        <a:ln w="25400">
          <a:noFill/>
        </a:ln>
      </c:spPr>
    </c:sideWall>
    <c:backWall>
      <c:thickness val="0"/>
      <c:spPr>
        <a:noFill/>
        <a:ln w="25400">
          <a:noFill/>
        </a:ln>
      </c:spPr>
    </c:backWall>
    <c:plotArea>
      <c:layout/>
      <c:bar3DChart>
        <c:barDir val="col"/>
        <c:grouping val="clustered"/>
        <c:varyColors val="0"/>
        <c:ser>
          <c:idx val="0"/>
          <c:order val="0"/>
          <c:tx>
            <c:strRef>
              <c:f>'soil charts'!$D$27</c:f>
              <c:strCache>
                <c:ptCount val="1"/>
                <c:pt idx="0">
                  <c:v>Alpha Concentration (Bq/Kg)</c:v>
                </c:pt>
              </c:strCache>
            </c:strRef>
          </c:tx>
          <c:spPr>
            <a:solidFill>
              <a:srgbClr val="5B9BD5"/>
            </a:solidFill>
            <a:ln w="25400">
              <a:noFill/>
            </a:ln>
          </c:spPr>
          <c:invertIfNegative val="0"/>
          <c:cat>
            <c:strRef>
              <c:f>'soil charts'!$C$28:$C$31</c:f>
              <c:strCache>
                <c:ptCount val="4"/>
                <c:pt idx="0">
                  <c:v>Te-oo-goo</c:v>
                </c:pt>
                <c:pt idx="1">
                  <c:v>Nupene </c:v>
                </c:pt>
                <c:pt idx="2">
                  <c:v>Bon-Ngia </c:v>
                </c:pt>
                <c:pt idx="3">
                  <c:v>Bolte-Kpan</c:v>
                </c:pt>
              </c:strCache>
            </c:strRef>
          </c:cat>
          <c:val>
            <c:numRef>
              <c:f>'soil charts'!$D$28:$D$31</c:f>
              <c:numCache>
                <c:formatCode>General</c:formatCode>
                <c:ptCount val="4"/>
                <c:pt idx="0">
                  <c:v>78.069999999999993</c:v>
                </c:pt>
                <c:pt idx="1">
                  <c:v>49.47</c:v>
                </c:pt>
                <c:pt idx="2">
                  <c:v>49.55</c:v>
                </c:pt>
                <c:pt idx="3">
                  <c:v>54.879999999999995</c:v>
                </c:pt>
              </c:numCache>
            </c:numRef>
          </c:val>
          <c:extLst>
            <c:ext xmlns:c16="http://schemas.microsoft.com/office/drawing/2014/chart" uri="{C3380CC4-5D6E-409C-BE32-E72D297353CC}">
              <c16:uniqueId val="{00000000-615F-4228-82EA-A16A68DA2648}"/>
            </c:ext>
          </c:extLst>
        </c:ser>
        <c:ser>
          <c:idx val="1"/>
          <c:order val="1"/>
          <c:tx>
            <c:strRef>
              <c:f>'soil charts'!$E$27</c:f>
              <c:strCache>
                <c:ptCount val="1"/>
                <c:pt idx="0">
                  <c:v>Control Soil                                    </c:v>
                </c:pt>
              </c:strCache>
            </c:strRef>
          </c:tx>
          <c:spPr>
            <a:solidFill>
              <a:srgbClr val="ED7D31"/>
            </a:solidFill>
            <a:ln w="25400">
              <a:noFill/>
            </a:ln>
          </c:spPr>
          <c:invertIfNegative val="0"/>
          <c:cat>
            <c:strRef>
              <c:f>'soil charts'!$C$28:$C$31</c:f>
              <c:strCache>
                <c:ptCount val="4"/>
                <c:pt idx="0">
                  <c:v>Te-oo-goo</c:v>
                </c:pt>
                <c:pt idx="1">
                  <c:v>Nupene </c:v>
                </c:pt>
                <c:pt idx="2">
                  <c:v>Bon-Ngia </c:v>
                </c:pt>
                <c:pt idx="3">
                  <c:v>Bolte-Kpan</c:v>
                </c:pt>
              </c:strCache>
            </c:strRef>
          </c:cat>
          <c:val>
            <c:numRef>
              <c:f>'soil charts'!$E$28:$E$31</c:f>
              <c:numCache>
                <c:formatCode>General</c:formatCode>
                <c:ptCount val="4"/>
                <c:pt idx="0">
                  <c:v>14.09</c:v>
                </c:pt>
                <c:pt idx="1">
                  <c:v>14.09</c:v>
                </c:pt>
                <c:pt idx="2">
                  <c:v>14.09</c:v>
                </c:pt>
                <c:pt idx="3">
                  <c:v>14.09</c:v>
                </c:pt>
              </c:numCache>
            </c:numRef>
          </c:val>
          <c:extLst>
            <c:ext xmlns:c16="http://schemas.microsoft.com/office/drawing/2014/chart" uri="{C3380CC4-5D6E-409C-BE32-E72D297353CC}">
              <c16:uniqueId val="{00000001-615F-4228-82EA-A16A68DA2648}"/>
            </c:ext>
          </c:extLst>
        </c:ser>
        <c:dLbls>
          <c:showLegendKey val="0"/>
          <c:showVal val="0"/>
          <c:showCatName val="0"/>
          <c:showSerName val="0"/>
          <c:showPercent val="0"/>
          <c:showBubbleSize val="0"/>
        </c:dLbls>
        <c:gapWidth val="150"/>
        <c:shape val="box"/>
        <c:axId val="82840576"/>
        <c:axId val="82916480"/>
        <c:axId val="0"/>
      </c:bar3DChart>
      <c:catAx>
        <c:axId val="82840576"/>
        <c:scaling>
          <c:orientation val="minMax"/>
        </c:scaling>
        <c:delete val="0"/>
        <c:axPos val="b"/>
        <c:title>
          <c:tx>
            <c:rich>
              <a:bodyPr/>
              <a:lstStyle/>
              <a:p>
                <a:pPr>
                  <a:defRPr sz="1000" b="0" i="0" u="none" strike="noStrike" baseline="0">
                    <a:solidFill>
                      <a:srgbClr val="333333"/>
                    </a:solidFill>
                    <a:latin typeface="Calibri"/>
                    <a:ea typeface="Calibri"/>
                    <a:cs typeface="Calibri"/>
                  </a:defRPr>
                </a:pPr>
                <a:r>
                  <a:rPr lang="en-US"/>
                  <a:t>Sample areas</a:t>
                </a:r>
              </a:p>
            </c:rich>
          </c:tx>
          <c:overlay val="0"/>
          <c:spPr>
            <a:noFill/>
            <a:ln w="25400">
              <a:noFill/>
            </a:ln>
          </c:sp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916480"/>
        <c:crosses val="autoZero"/>
        <c:auto val="1"/>
        <c:lblAlgn val="ctr"/>
        <c:lblOffset val="100"/>
        <c:noMultiLvlLbl val="0"/>
      </c:catAx>
      <c:valAx>
        <c:axId val="82916480"/>
        <c:scaling>
          <c:orientation val="minMax"/>
        </c:scaling>
        <c:delete val="0"/>
        <c:axPos val="l"/>
        <c:title>
          <c:tx>
            <c:rich>
              <a:bodyPr/>
              <a:lstStyle/>
              <a:p>
                <a:pPr>
                  <a:defRPr sz="1000" b="0" i="0" u="none" strike="noStrike" baseline="0">
                    <a:solidFill>
                      <a:srgbClr val="333333"/>
                    </a:solidFill>
                    <a:latin typeface="Calibri"/>
                    <a:ea typeface="Calibri"/>
                    <a:cs typeface="Calibri"/>
                  </a:defRPr>
                </a:pPr>
                <a:r>
                  <a:rPr lang="en-US"/>
                  <a:t>Gross alpha concentration in soil samples (Bq/kg)</a:t>
                </a:r>
              </a:p>
            </c:rich>
          </c:tx>
          <c:overlay val="0"/>
          <c:spPr>
            <a:noFill/>
            <a:ln w="25400">
              <a:noFill/>
            </a:ln>
          </c:sp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840576"/>
        <c:crosses val="autoZero"/>
        <c:crossBetween val="between"/>
      </c:valAx>
      <c:spPr>
        <a:noFill/>
        <a:ln w="25400">
          <a:noFill/>
        </a:ln>
      </c:spPr>
    </c:plotArea>
    <c:legend>
      <c:legendPos val="r"/>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spPr>
        <a:noFill/>
        <a:ln w="6350">
          <a:noFill/>
        </a:ln>
      </c:spPr>
    </c:floor>
    <c:sideWall>
      <c:thickness val="0"/>
      <c:spPr>
        <a:noFill/>
        <a:ln w="25400">
          <a:noFill/>
        </a:ln>
      </c:spPr>
    </c:sideWall>
    <c:backWall>
      <c:thickness val="0"/>
      <c:spPr>
        <a:noFill/>
        <a:ln w="25400">
          <a:noFill/>
        </a:ln>
      </c:spPr>
    </c:backWall>
    <c:plotArea>
      <c:layout/>
      <c:bar3DChart>
        <c:barDir val="col"/>
        <c:grouping val="clustered"/>
        <c:varyColors val="0"/>
        <c:ser>
          <c:idx val="0"/>
          <c:order val="0"/>
          <c:tx>
            <c:strRef>
              <c:f>'soil charts'!$H$27</c:f>
              <c:strCache>
                <c:ptCount val="1"/>
                <c:pt idx="0">
                  <c:v> Beta Concentration (Bq/kg)  </c:v>
                </c:pt>
              </c:strCache>
            </c:strRef>
          </c:tx>
          <c:spPr>
            <a:solidFill>
              <a:srgbClr val="5B9BD5"/>
            </a:solidFill>
            <a:ln w="25387">
              <a:noFill/>
            </a:ln>
          </c:spPr>
          <c:invertIfNegative val="0"/>
          <c:cat>
            <c:strRef>
              <c:f>'soil charts'!$G$28:$G$31</c:f>
              <c:strCache>
                <c:ptCount val="4"/>
                <c:pt idx="0">
                  <c:v>Te-oo-goo</c:v>
                </c:pt>
                <c:pt idx="1">
                  <c:v>Nupene</c:v>
                </c:pt>
                <c:pt idx="2">
                  <c:v>Bon-Ngia </c:v>
                </c:pt>
                <c:pt idx="3">
                  <c:v>Bolte-Kpan</c:v>
                </c:pt>
              </c:strCache>
            </c:strRef>
          </c:cat>
          <c:val>
            <c:numRef>
              <c:f>'soil charts'!$H$28:$H$31</c:f>
              <c:numCache>
                <c:formatCode>General</c:formatCode>
                <c:ptCount val="4"/>
                <c:pt idx="0">
                  <c:v>156.6</c:v>
                </c:pt>
                <c:pt idx="1">
                  <c:v>12.96</c:v>
                </c:pt>
                <c:pt idx="2">
                  <c:v>26.82</c:v>
                </c:pt>
                <c:pt idx="3">
                  <c:v>70.23</c:v>
                </c:pt>
              </c:numCache>
            </c:numRef>
          </c:val>
          <c:extLst>
            <c:ext xmlns:c16="http://schemas.microsoft.com/office/drawing/2014/chart" uri="{C3380CC4-5D6E-409C-BE32-E72D297353CC}">
              <c16:uniqueId val="{00000000-20A1-4A44-ACEC-B857DEFEA7C2}"/>
            </c:ext>
          </c:extLst>
        </c:ser>
        <c:ser>
          <c:idx val="1"/>
          <c:order val="1"/>
          <c:tx>
            <c:strRef>
              <c:f>'soil charts'!$I$27</c:f>
              <c:strCache>
                <c:ptCount val="1"/>
                <c:pt idx="0">
                  <c:v>Control Soil (Bq/Kg)                                </c:v>
                </c:pt>
              </c:strCache>
            </c:strRef>
          </c:tx>
          <c:spPr>
            <a:solidFill>
              <a:srgbClr val="ED7D31"/>
            </a:solidFill>
            <a:ln w="25387">
              <a:noFill/>
            </a:ln>
          </c:spPr>
          <c:invertIfNegative val="0"/>
          <c:cat>
            <c:strRef>
              <c:f>'soil charts'!$G$28:$G$31</c:f>
              <c:strCache>
                <c:ptCount val="4"/>
                <c:pt idx="0">
                  <c:v>Te-oo-goo</c:v>
                </c:pt>
                <c:pt idx="1">
                  <c:v>Nupene</c:v>
                </c:pt>
                <c:pt idx="2">
                  <c:v>Bon-Ngia </c:v>
                </c:pt>
                <c:pt idx="3">
                  <c:v>Bolte-Kpan</c:v>
                </c:pt>
              </c:strCache>
            </c:strRef>
          </c:cat>
          <c:val>
            <c:numRef>
              <c:f>'soil charts'!$I$28:$I$31</c:f>
              <c:numCache>
                <c:formatCode>General</c:formatCode>
                <c:ptCount val="4"/>
                <c:pt idx="0">
                  <c:v>11.3</c:v>
                </c:pt>
                <c:pt idx="1">
                  <c:v>11.3</c:v>
                </c:pt>
                <c:pt idx="2">
                  <c:v>11.3</c:v>
                </c:pt>
                <c:pt idx="3">
                  <c:v>11.3</c:v>
                </c:pt>
              </c:numCache>
            </c:numRef>
          </c:val>
          <c:extLst>
            <c:ext xmlns:c16="http://schemas.microsoft.com/office/drawing/2014/chart" uri="{C3380CC4-5D6E-409C-BE32-E72D297353CC}">
              <c16:uniqueId val="{00000001-20A1-4A44-ACEC-B857DEFEA7C2}"/>
            </c:ext>
          </c:extLst>
        </c:ser>
        <c:dLbls>
          <c:showLegendKey val="0"/>
          <c:showVal val="0"/>
          <c:showCatName val="0"/>
          <c:showSerName val="0"/>
          <c:showPercent val="0"/>
          <c:showBubbleSize val="0"/>
        </c:dLbls>
        <c:gapWidth val="150"/>
        <c:shape val="box"/>
        <c:axId val="113866240"/>
        <c:axId val="115473408"/>
        <c:axId val="0"/>
      </c:bar3DChart>
      <c:catAx>
        <c:axId val="113866240"/>
        <c:scaling>
          <c:orientation val="minMax"/>
        </c:scaling>
        <c:delete val="0"/>
        <c:axPos val="b"/>
        <c:title>
          <c:tx>
            <c:rich>
              <a:bodyPr/>
              <a:lstStyle/>
              <a:p>
                <a:pPr>
                  <a:defRPr sz="999" b="0" i="0" u="none" strike="noStrike" baseline="0">
                    <a:solidFill>
                      <a:srgbClr val="333333"/>
                    </a:solidFill>
                    <a:latin typeface="Calibri"/>
                    <a:ea typeface="Calibri"/>
                    <a:cs typeface="Calibri"/>
                  </a:defRPr>
                </a:pPr>
                <a:r>
                  <a:rPr lang="en-US"/>
                  <a:t>Sample areas</a:t>
                </a:r>
              </a:p>
            </c:rich>
          </c:tx>
          <c:overlay val="0"/>
          <c:spPr>
            <a:noFill/>
            <a:ln w="25387">
              <a:noFill/>
            </a:ln>
          </c:sp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473408"/>
        <c:crosses val="autoZero"/>
        <c:auto val="1"/>
        <c:lblAlgn val="ctr"/>
        <c:lblOffset val="100"/>
        <c:noMultiLvlLbl val="0"/>
      </c:catAx>
      <c:valAx>
        <c:axId val="115473408"/>
        <c:scaling>
          <c:orientation val="minMax"/>
        </c:scaling>
        <c:delete val="0"/>
        <c:axPos val="l"/>
        <c:title>
          <c:tx>
            <c:rich>
              <a:bodyPr/>
              <a:lstStyle/>
              <a:p>
                <a:pPr>
                  <a:defRPr sz="999" b="0" i="0" u="none" strike="noStrike" baseline="0">
                    <a:solidFill>
                      <a:srgbClr val="333333"/>
                    </a:solidFill>
                    <a:latin typeface="Calibri"/>
                    <a:ea typeface="Calibri"/>
                    <a:cs typeface="Calibri"/>
                  </a:defRPr>
                </a:pPr>
                <a:r>
                  <a:rPr lang="en-US"/>
                  <a:t>Gross beta concentration in soil samples (Bq/kg)</a:t>
                </a:r>
              </a:p>
            </c:rich>
          </c:tx>
          <c:overlay val="0"/>
          <c:spPr>
            <a:noFill/>
            <a:ln w="25387">
              <a:noFill/>
            </a:ln>
          </c:sp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866240"/>
        <c:crosses val="autoZero"/>
        <c:crossBetween val="between"/>
      </c:valAx>
      <c:spPr>
        <a:noFill/>
        <a:ln w="25387">
          <a:noFill/>
        </a:ln>
      </c:spPr>
    </c:plotArea>
    <c:legend>
      <c:legendPos val="r"/>
      <c:overlay val="0"/>
      <c:spPr>
        <a:noFill/>
        <a:ln w="25387">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0"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spPr>
        <a:noFill/>
        <a:ln w="6350">
          <a:noFill/>
        </a:ln>
      </c:spPr>
    </c:floor>
    <c:sideWall>
      <c:thickness val="0"/>
      <c:spPr>
        <a:noFill/>
        <a:ln w="25400">
          <a:noFill/>
        </a:ln>
      </c:spPr>
    </c:sideWall>
    <c:backWall>
      <c:thickness val="0"/>
      <c:spPr>
        <a:noFill/>
        <a:ln w="25400">
          <a:noFill/>
        </a:ln>
      </c:spPr>
    </c:backWall>
    <c:plotArea>
      <c:layout/>
      <c:bar3DChart>
        <c:barDir val="col"/>
        <c:grouping val="clustered"/>
        <c:varyColors val="0"/>
        <c:ser>
          <c:idx val="0"/>
          <c:order val="0"/>
          <c:tx>
            <c:strRef>
              <c:f>'sediment charts'!$C$36</c:f>
              <c:strCache>
                <c:ptCount val="1"/>
                <c:pt idx="0">
                  <c:v>Alpha Concentration (Bq/Kg)</c:v>
                </c:pt>
              </c:strCache>
            </c:strRef>
          </c:tx>
          <c:spPr>
            <a:solidFill>
              <a:srgbClr val="5B9BD5"/>
            </a:solidFill>
            <a:ln w="25381">
              <a:noFill/>
            </a:ln>
          </c:spPr>
          <c:invertIfNegative val="0"/>
          <c:cat>
            <c:strRef>
              <c:f>'sediment charts'!$B$37:$B$40</c:f>
              <c:strCache>
                <c:ptCount val="4"/>
                <c:pt idx="0">
                  <c:v>NUPENE</c:v>
                </c:pt>
                <c:pt idx="1">
                  <c:v>TE-OO-GOO</c:v>
                </c:pt>
                <c:pt idx="2">
                  <c:v>BOLTE-KPAN</c:v>
                </c:pt>
                <c:pt idx="3">
                  <c:v>BON-NGIA</c:v>
                </c:pt>
              </c:strCache>
            </c:strRef>
          </c:cat>
          <c:val>
            <c:numRef>
              <c:f>'sediment charts'!$C$37:$C$40</c:f>
              <c:numCache>
                <c:formatCode>General</c:formatCode>
                <c:ptCount val="4"/>
                <c:pt idx="0">
                  <c:v>14.84</c:v>
                </c:pt>
                <c:pt idx="1">
                  <c:v>15.357000000000006</c:v>
                </c:pt>
                <c:pt idx="2">
                  <c:v>25.648999999999987</c:v>
                </c:pt>
                <c:pt idx="3">
                  <c:v>52.091000000000001</c:v>
                </c:pt>
              </c:numCache>
            </c:numRef>
          </c:val>
          <c:extLst>
            <c:ext xmlns:c16="http://schemas.microsoft.com/office/drawing/2014/chart" uri="{C3380CC4-5D6E-409C-BE32-E72D297353CC}">
              <c16:uniqueId val="{00000000-8CBA-4246-A190-30A05E51CA0E}"/>
            </c:ext>
          </c:extLst>
        </c:ser>
        <c:ser>
          <c:idx val="1"/>
          <c:order val="1"/>
          <c:tx>
            <c:strRef>
              <c:f>'sediment charts'!$D$36</c:f>
              <c:strCache>
                <c:ptCount val="1"/>
                <c:pt idx="0">
                  <c:v>Control Sed (Bq/Kg)                                  </c:v>
                </c:pt>
              </c:strCache>
            </c:strRef>
          </c:tx>
          <c:spPr>
            <a:solidFill>
              <a:srgbClr val="ED7D31"/>
            </a:solidFill>
            <a:ln w="25381">
              <a:noFill/>
            </a:ln>
          </c:spPr>
          <c:invertIfNegative val="0"/>
          <c:cat>
            <c:strRef>
              <c:f>'sediment charts'!$B$37:$B$40</c:f>
              <c:strCache>
                <c:ptCount val="4"/>
                <c:pt idx="0">
                  <c:v>NUPENE</c:v>
                </c:pt>
                <c:pt idx="1">
                  <c:v>TE-OO-GOO</c:v>
                </c:pt>
                <c:pt idx="2">
                  <c:v>BOLTE-KPAN</c:v>
                </c:pt>
                <c:pt idx="3">
                  <c:v>BON-NGIA</c:v>
                </c:pt>
              </c:strCache>
            </c:strRef>
          </c:cat>
          <c:val>
            <c:numRef>
              <c:f>'sediment charts'!$D$37:$D$40</c:f>
              <c:numCache>
                <c:formatCode>General</c:formatCode>
                <c:ptCount val="4"/>
                <c:pt idx="0">
                  <c:v>1.9530000000000001</c:v>
                </c:pt>
                <c:pt idx="1">
                  <c:v>1.9530000000000001</c:v>
                </c:pt>
                <c:pt idx="2">
                  <c:v>1.9530000000000001</c:v>
                </c:pt>
                <c:pt idx="3">
                  <c:v>1.9530000000000001</c:v>
                </c:pt>
              </c:numCache>
            </c:numRef>
          </c:val>
          <c:extLst>
            <c:ext xmlns:c16="http://schemas.microsoft.com/office/drawing/2014/chart" uri="{C3380CC4-5D6E-409C-BE32-E72D297353CC}">
              <c16:uniqueId val="{00000001-8CBA-4246-A190-30A05E51CA0E}"/>
            </c:ext>
          </c:extLst>
        </c:ser>
        <c:dLbls>
          <c:showLegendKey val="0"/>
          <c:showVal val="0"/>
          <c:showCatName val="0"/>
          <c:showSerName val="0"/>
          <c:showPercent val="0"/>
          <c:showBubbleSize val="0"/>
        </c:dLbls>
        <c:gapWidth val="150"/>
        <c:shape val="box"/>
        <c:axId val="112521984"/>
        <c:axId val="112523904"/>
        <c:axId val="0"/>
      </c:bar3DChart>
      <c:catAx>
        <c:axId val="112521984"/>
        <c:scaling>
          <c:orientation val="minMax"/>
        </c:scaling>
        <c:delete val="0"/>
        <c:axPos val="b"/>
        <c:title>
          <c:tx>
            <c:rich>
              <a:bodyPr/>
              <a:lstStyle/>
              <a:p>
                <a:pPr>
                  <a:defRPr sz="999" b="0" i="0" u="none" strike="noStrike" baseline="0">
                    <a:solidFill>
                      <a:srgbClr val="333333"/>
                    </a:solidFill>
                    <a:latin typeface="Calibri"/>
                    <a:ea typeface="Calibri"/>
                    <a:cs typeface="Calibri"/>
                  </a:defRPr>
                </a:pPr>
                <a:r>
                  <a:rPr lang="en-US"/>
                  <a:t>Sample areas</a:t>
                </a:r>
              </a:p>
            </c:rich>
          </c:tx>
          <c:overlay val="0"/>
          <c:spPr>
            <a:noFill/>
            <a:ln w="25381">
              <a:noFill/>
            </a:ln>
          </c:sp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crossAx val="112523904"/>
        <c:crosses val="autoZero"/>
        <c:auto val="1"/>
        <c:lblAlgn val="ctr"/>
        <c:lblOffset val="100"/>
        <c:noMultiLvlLbl val="0"/>
      </c:catAx>
      <c:valAx>
        <c:axId val="112523904"/>
        <c:scaling>
          <c:orientation val="minMax"/>
        </c:scaling>
        <c:delete val="0"/>
        <c:axPos val="l"/>
        <c:title>
          <c:tx>
            <c:rich>
              <a:bodyPr/>
              <a:lstStyle/>
              <a:p>
                <a:pPr>
                  <a:defRPr sz="999" b="0" i="0" u="none" strike="noStrike" baseline="0">
                    <a:solidFill>
                      <a:srgbClr val="333333"/>
                    </a:solidFill>
                    <a:latin typeface="Calibri"/>
                    <a:ea typeface="Calibri"/>
                    <a:cs typeface="Calibri"/>
                  </a:defRPr>
                </a:pPr>
                <a:r>
                  <a:rPr lang="en-US"/>
                  <a:t>Gross alpha concentration in sediment samples (Bq/kg)</a:t>
                </a:r>
              </a:p>
            </c:rich>
          </c:tx>
          <c:overlay val="0"/>
          <c:spPr>
            <a:noFill/>
            <a:ln w="25381">
              <a:noFill/>
            </a:ln>
          </c:sp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crossAx val="112521984"/>
        <c:crosses val="autoZero"/>
        <c:crossBetween val="between"/>
      </c:valAx>
      <c:spPr>
        <a:noFill/>
        <a:ln w="25381">
          <a:noFill/>
        </a:ln>
      </c:spPr>
    </c:plotArea>
    <c:legend>
      <c:legendPos val="r"/>
      <c:overlay val="0"/>
      <c:spPr>
        <a:noFill/>
        <a:ln w="25381">
          <a:noFill/>
        </a:ln>
      </c:spPr>
      <c:txPr>
        <a:bodyPr rot="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18"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spPr>
        <a:noFill/>
        <a:ln w="6350">
          <a:noFill/>
        </a:ln>
      </c:spPr>
    </c:floor>
    <c:sideWall>
      <c:thickness val="0"/>
      <c:spPr>
        <a:noFill/>
        <a:ln w="25400">
          <a:noFill/>
        </a:ln>
      </c:spPr>
    </c:sideWall>
    <c:backWall>
      <c:thickness val="0"/>
      <c:spPr>
        <a:noFill/>
        <a:ln w="25400">
          <a:noFill/>
        </a:ln>
      </c:spPr>
    </c:backWall>
    <c:plotArea>
      <c:layout/>
      <c:bar3DChart>
        <c:barDir val="col"/>
        <c:grouping val="clustered"/>
        <c:varyColors val="0"/>
        <c:ser>
          <c:idx val="0"/>
          <c:order val="0"/>
          <c:tx>
            <c:strRef>
              <c:f>'sediment charts'!$G$36</c:f>
              <c:strCache>
                <c:ptCount val="1"/>
                <c:pt idx="0">
                  <c:v>Beta Concentration (Bq/Kg)</c:v>
                </c:pt>
              </c:strCache>
            </c:strRef>
          </c:tx>
          <c:spPr>
            <a:solidFill>
              <a:srgbClr val="5B9BD5"/>
            </a:solidFill>
            <a:ln w="25398">
              <a:noFill/>
            </a:ln>
          </c:spPr>
          <c:invertIfNegative val="0"/>
          <c:cat>
            <c:strRef>
              <c:f>'sediment charts'!$F$37:$F$40</c:f>
              <c:strCache>
                <c:ptCount val="4"/>
                <c:pt idx="0">
                  <c:v>NUPENE</c:v>
                </c:pt>
                <c:pt idx="1">
                  <c:v>TE-OO-GOO</c:v>
                </c:pt>
                <c:pt idx="2">
                  <c:v>BOLTE-KPAN</c:v>
                </c:pt>
                <c:pt idx="3">
                  <c:v>BON-NGIA</c:v>
                </c:pt>
              </c:strCache>
            </c:strRef>
          </c:cat>
          <c:val>
            <c:numRef>
              <c:f>'sediment charts'!$G$37:$G$40</c:f>
              <c:numCache>
                <c:formatCode>General</c:formatCode>
                <c:ptCount val="4"/>
                <c:pt idx="0">
                  <c:v>128.64499999999998</c:v>
                </c:pt>
                <c:pt idx="1">
                  <c:v>25.564999999999987</c:v>
                </c:pt>
                <c:pt idx="2">
                  <c:v>42.876000000000005</c:v>
                </c:pt>
                <c:pt idx="3">
                  <c:v>122.14999999999999</c:v>
                </c:pt>
              </c:numCache>
            </c:numRef>
          </c:val>
          <c:extLst>
            <c:ext xmlns:c16="http://schemas.microsoft.com/office/drawing/2014/chart" uri="{C3380CC4-5D6E-409C-BE32-E72D297353CC}">
              <c16:uniqueId val="{00000000-523D-4612-A8AE-A4492AF2E99F}"/>
            </c:ext>
          </c:extLst>
        </c:ser>
        <c:ser>
          <c:idx val="1"/>
          <c:order val="1"/>
          <c:tx>
            <c:strRef>
              <c:f>'sediment charts'!$H$36</c:f>
              <c:strCache>
                <c:ptCount val="1"/>
                <c:pt idx="0">
                  <c:v>Control Sed (Bq/Kg)                                 </c:v>
                </c:pt>
              </c:strCache>
            </c:strRef>
          </c:tx>
          <c:spPr>
            <a:solidFill>
              <a:srgbClr val="ED7D31"/>
            </a:solidFill>
            <a:ln w="25398">
              <a:noFill/>
            </a:ln>
          </c:spPr>
          <c:invertIfNegative val="0"/>
          <c:cat>
            <c:strRef>
              <c:f>'sediment charts'!$F$37:$F$40</c:f>
              <c:strCache>
                <c:ptCount val="4"/>
                <c:pt idx="0">
                  <c:v>NUPENE</c:v>
                </c:pt>
                <c:pt idx="1">
                  <c:v>TE-OO-GOO</c:v>
                </c:pt>
                <c:pt idx="2">
                  <c:v>BOLTE-KPAN</c:v>
                </c:pt>
                <c:pt idx="3">
                  <c:v>BON-NGIA</c:v>
                </c:pt>
              </c:strCache>
            </c:strRef>
          </c:cat>
          <c:val>
            <c:numRef>
              <c:f>'sediment charts'!$H$37:$H$40</c:f>
              <c:numCache>
                <c:formatCode>General</c:formatCode>
                <c:ptCount val="4"/>
                <c:pt idx="0">
                  <c:v>1.9359999999999982</c:v>
                </c:pt>
                <c:pt idx="1">
                  <c:v>1.9359999999999982</c:v>
                </c:pt>
                <c:pt idx="2">
                  <c:v>1.9359999999999982</c:v>
                </c:pt>
                <c:pt idx="3">
                  <c:v>1.9359999999999982</c:v>
                </c:pt>
              </c:numCache>
            </c:numRef>
          </c:val>
          <c:extLst>
            <c:ext xmlns:c16="http://schemas.microsoft.com/office/drawing/2014/chart" uri="{C3380CC4-5D6E-409C-BE32-E72D297353CC}">
              <c16:uniqueId val="{00000001-523D-4612-A8AE-A4492AF2E99F}"/>
            </c:ext>
          </c:extLst>
        </c:ser>
        <c:dLbls>
          <c:showLegendKey val="0"/>
          <c:showVal val="0"/>
          <c:showCatName val="0"/>
          <c:showSerName val="0"/>
          <c:showPercent val="0"/>
          <c:showBubbleSize val="0"/>
        </c:dLbls>
        <c:gapWidth val="150"/>
        <c:shape val="box"/>
        <c:axId val="128740736"/>
        <c:axId val="128919040"/>
        <c:axId val="0"/>
      </c:bar3DChart>
      <c:catAx>
        <c:axId val="128740736"/>
        <c:scaling>
          <c:orientation val="minMax"/>
        </c:scaling>
        <c:delete val="0"/>
        <c:axPos val="b"/>
        <c:title>
          <c:tx>
            <c:rich>
              <a:bodyPr/>
              <a:lstStyle/>
              <a:p>
                <a:pPr>
                  <a:defRPr sz="1000" b="0" i="0" u="none" strike="noStrike" baseline="0">
                    <a:solidFill>
                      <a:srgbClr val="333333"/>
                    </a:solidFill>
                    <a:latin typeface="Calibri"/>
                    <a:ea typeface="Calibri"/>
                    <a:cs typeface="Calibri"/>
                  </a:defRPr>
                </a:pPr>
                <a:r>
                  <a:rPr lang="en-US"/>
                  <a:t>Sample areas</a:t>
                </a:r>
              </a:p>
            </c:rich>
          </c:tx>
          <c:overlay val="0"/>
          <c:spPr>
            <a:noFill/>
            <a:ln w="25398">
              <a:noFill/>
            </a:ln>
          </c:sp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919040"/>
        <c:crosses val="autoZero"/>
        <c:auto val="1"/>
        <c:lblAlgn val="ctr"/>
        <c:lblOffset val="100"/>
        <c:noMultiLvlLbl val="0"/>
      </c:catAx>
      <c:valAx>
        <c:axId val="128919040"/>
        <c:scaling>
          <c:orientation val="minMax"/>
        </c:scaling>
        <c:delete val="0"/>
        <c:axPos val="l"/>
        <c:title>
          <c:tx>
            <c:rich>
              <a:bodyPr/>
              <a:lstStyle/>
              <a:p>
                <a:pPr>
                  <a:defRPr sz="1000" b="0" i="0" u="none" strike="noStrike" baseline="0">
                    <a:solidFill>
                      <a:srgbClr val="333333"/>
                    </a:solidFill>
                    <a:latin typeface="Calibri"/>
                    <a:ea typeface="Calibri"/>
                    <a:cs typeface="Calibri"/>
                  </a:defRPr>
                </a:pPr>
                <a:r>
                  <a:rPr lang="en-US"/>
                  <a:t>Gross beta concentration in sediment samples (Bq/kg)</a:t>
                </a:r>
              </a:p>
            </c:rich>
          </c:tx>
          <c:overlay val="0"/>
          <c:spPr>
            <a:noFill/>
            <a:ln w="25398">
              <a:noFill/>
            </a:ln>
          </c:sp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740736"/>
        <c:crosses val="autoZero"/>
        <c:crossBetween val="between"/>
      </c:valAx>
      <c:spPr>
        <a:noFill/>
        <a:ln w="25398">
          <a:noFill/>
        </a:ln>
      </c:spPr>
    </c:plotArea>
    <c:legend>
      <c:legendPos val="r"/>
      <c:overlay val="0"/>
      <c:spPr>
        <a:noFill/>
        <a:ln w="25398">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4"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9525" cap="rnd">
                <a:solidFill>
                  <a:schemeClr val="accent1"/>
                </a:solidFill>
              </a:ln>
              <a:effectLst/>
            </c:spPr>
            <c:trendlineType val="linear"/>
            <c:dispRSqr val="0"/>
            <c:dispEq val="0"/>
          </c:trendline>
          <c:trendline>
            <c:spPr>
              <a:ln w="9525" cap="rnd">
                <a:solidFill>
                  <a:schemeClr val="accent1"/>
                </a:solidFill>
              </a:ln>
              <a:effectLst/>
            </c:spPr>
            <c:trendlineType val="linear"/>
            <c:dispRSqr val="1"/>
            <c:dispEq val="1"/>
            <c:trendlineLbl>
              <c:layout>
                <c:manualLayout>
                  <c:x val="0.1489394372100096"/>
                  <c:y val="0.211473461650627"/>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trendlineLbl>
          </c:trendline>
          <c:xVal>
            <c:numRef>
              <c:f>Sheet1!$B$3:$B$7</c:f>
              <c:numCache>
                <c:formatCode>General</c:formatCode>
                <c:ptCount val="5"/>
                <c:pt idx="0">
                  <c:v>78.069999999999993</c:v>
                </c:pt>
                <c:pt idx="1">
                  <c:v>49.47</c:v>
                </c:pt>
                <c:pt idx="2">
                  <c:v>49.55</c:v>
                </c:pt>
                <c:pt idx="3">
                  <c:v>54.88</c:v>
                </c:pt>
                <c:pt idx="4">
                  <c:v>14.09</c:v>
                </c:pt>
              </c:numCache>
            </c:numRef>
          </c:xVal>
          <c:yVal>
            <c:numRef>
              <c:f>Sheet1!$C$3:$C$7</c:f>
              <c:numCache>
                <c:formatCode>General</c:formatCode>
                <c:ptCount val="5"/>
                <c:pt idx="0">
                  <c:v>156.6</c:v>
                </c:pt>
                <c:pt idx="1">
                  <c:v>12.96</c:v>
                </c:pt>
                <c:pt idx="2">
                  <c:v>26.82</c:v>
                </c:pt>
                <c:pt idx="3">
                  <c:v>70.23</c:v>
                </c:pt>
                <c:pt idx="4">
                  <c:v>11.31</c:v>
                </c:pt>
              </c:numCache>
            </c:numRef>
          </c:yVal>
          <c:smooth val="0"/>
          <c:extLst>
            <c:ext xmlns:c16="http://schemas.microsoft.com/office/drawing/2014/chart" uri="{C3380CC4-5D6E-409C-BE32-E72D297353CC}">
              <c16:uniqueId val="{00000002-7513-41D8-8216-A94E36B06D1A}"/>
            </c:ext>
          </c:extLst>
        </c:ser>
        <c:dLbls>
          <c:showLegendKey val="0"/>
          <c:showVal val="0"/>
          <c:showCatName val="0"/>
          <c:showSerName val="0"/>
          <c:showPercent val="0"/>
          <c:showBubbleSize val="0"/>
        </c:dLbls>
        <c:axId val="444489903"/>
        <c:axId val="444477423"/>
      </c:scatterChart>
      <c:valAx>
        <c:axId val="444489903"/>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Gross beta activity concentration (Bq/kg)</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44477423"/>
        <c:crosses val="autoZero"/>
        <c:crossBetween val="midCat"/>
      </c:valAx>
      <c:valAx>
        <c:axId val="444477423"/>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Gross alpha activity concentration (Bq/kg)</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44489903"/>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9525" cap="rnd">
                <a:solidFill>
                  <a:schemeClr val="accent1"/>
                </a:solidFill>
              </a:ln>
              <a:effectLst/>
            </c:spPr>
            <c:trendlineType val="linear"/>
            <c:dispRSqr val="0"/>
            <c:dispEq val="0"/>
          </c:trendline>
          <c:trendline>
            <c:spPr>
              <a:ln w="9525" cap="rnd">
                <a:solidFill>
                  <a:schemeClr val="accent1"/>
                </a:solidFill>
              </a:ln>
              <a:effectLst/>
            </c:spPr>
            <c:trendlineType val="linear"/>
            <c:dispRSqr val="1"/>
            <c:dispEq val="1"/>
            <c:trendlineLbl>
              <c:layout>
                <c:manualLayout>
                  <c:x val="0.14429593175853017"/>
                  <c:y val="-0.1081266404199475"/>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trendlineLbl>
          </c:trendline>
          <c:xVal>
            <c:numRef>
              <c:f>Sheet1!$O$2:$O$10</c:f>
              <c:numCache>
                <c:formatCode>General</c:formatCode>
                <c:ptCount val="9"/>
                <c:pt idx="0">
                  <c:v>18.52</c:v>
                </c:pt>
                <c:pt idx="1">
                  <c:v>11.16</c:v>
                </c:pt>
                <c:pt idx="2">
                  <c:v>24.36</c:v>
                </c:pt>
                <c:pt idx="3">
                  <c:v>6.35</c:v>
                </c:pt>
                <c:pt idx="4">
                  <c:v>41.96</c:v>
                </c:pt>
                <c:pt idx="5">
                  <c:v>9.34</c:v>
                </c:pt>
                <c:pt idx="6">
                  <c:v>3.98</c:v>
                </c:pt>
                <c:pt idx="7">
                  <c:v>100.2</c:v>
                </c:pt>
                <c:pt idx="8">
                  <c:v>1.95</c:v>
                </c:pt>
              </c:numCache>
            </c:numRef>
          </c:xVal>
          <c:yVal>
            <c:numRef>
              <c:f>Sheet1!$P$2:$P$10</c:f>
              <c:numCache>
                <c:formatCode>General</c:formatCode>
                <c:ptCount val="9"/>
                <c:pt idx="0">
                  <c:v>98.69</c:v>
                </c:pt>
                <c:pt idx="1">
                  <c:v>158.6</c:v>
                </c:pt>
                <c:pt idx="2">
                  <c:v>37.840000000000003</c:v>
                </c:pt>
                <c:pt idx="3">
                  <c:v>13.29</c:v>
                </c:pt>
                <c:pt idx="4">
                  <c:v>84.19</c:v>
                </c:pt>
                <c:pt idx="5">
                  <c:v>15.62</c:v>
                </c:pt>
                <c:pt idx="6">
                  <c:v>43.3</c:v>
                </c:pt>
                <c:pt idx="7">
                  <c:v>201</c:v>
                </c:pt>
                <c:pt idx="8">
                  <c:v>19.36</c:v>
                </c:pt>
              </c:numCache>
            </c:numRef>
          </c:yVal>
          <c:smooth val="0"/>
          <c:extLst>
            <c:ext xmlns:c16="http://schemas.microsoft.com/office/drawing/2014/chart" uri="{C3380CC4-5D6E-409C-BE32-E72D297353CC}">
              <c16:uniqueId val="{00000002-15B7-4827-8FEF-E803D311EA0A}"/>
            </c:ext>
          </c:extLst>
        </c:ser>
        <c:dLbls>
          <c:showLegendKey val="0"/>
          <c:showVal val="0"/>
          <c:showCatName val="0"/>
          <c:showSerName val="0"/>
          <c:showPercent val="0"/>
          <c:showBubbleSize val="0"/>
        </c:dLbls>
        <c:axId val="444507663"/>
        <c:axId val="444516783"/>
      </c:scatterChart>
      <c:valAx>
        <c:axId val="444507663"/>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Gross beta activity concentration (Bq/kg)</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44516783"/>
        <c:crosses val="autoZero"/>
        <c:crossBetween val="midCat"/>
      </c:valAx>
      <c:valAx>
        <c:axId val="444516783"/>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Gross alpha activity concentration (Bq/kg)</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44507663"/>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E1774-A917-4B18-921F-41B87C886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438</TotalTime>
  <Pages>10</Pages>
  <Words>3350</Words>
  <Characters>19101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22407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70</cp:revision>
  <cp:lastPrinted>1999-07-06T11:00:00Z</cp:lastPrinted>
  <dcterms:created xsi:type="dcterms:W3CDTF">2014-10-25T14:34:00Z</dcterms:created>
  <dcterms:modified xsi:type="dcterms:W3CDTF">2025-11-17T11:27:00Z</dcterms:modified>
</cp:coreProperties>
</file>