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6FD75" w14:textId="562CBFC7" w:rsidR="002E7DD4" w:rsidRDefault="007A65AA" w:rsidP="007A65AA">
      <w:pPr>
        <w:rPr>
          <w:rFonts w:ascii="Times New Roman" w:hAnsi="Times New Roman" w:cs="Times New Roman"/>
          <w:b/>
          <w:bCs/>
          <w:sz w:val="28"/>
          <w:szCs w:val="28"/>
          <w:lang w:val="en-US"/>
        </w:rPr>
      </w:pPr>
      <w:r w:rsidRPr="007A65AA">
        <w:rPr>
          <w:rFonts w:ascii="Times New Roman" w:hAnsi="Times New Roman" w:cs="Times New Roman"/>
          <w:b/>
          <w:bCs/>
          <w:sz w:val="28"/>
          <w:szCs w:val="28"/>
          <w:lang w:val="en-US"/>
        </w:rPr>
        <w:t xml:space="preserve">EMPIRICAL ANALYSIS OF THE </w:t>
      </w:r>
      <w:r w:rsidRPr="007A46D8">
        <w:rPr>
          <w:rFonts w:ascii="Times New Roman" w:hAnsi="Times New Roman" w:cs="Times New Roman"/>
          <w:b/>
          <w:bCs/>
          <w:sz w:val="28"/>
          <w:szCs w:val="28"/>
          <w:lang w:val="en-US"/>
        </w:rPr>
        <w:t>OPTIMALITY</w:t>
      </w:r>
      <w:r w:rsidRPr="007A65AA">
        <w:rPr>
          <w:rFonts w:ascii="Times New Roman" w:hAnsi="Times New Roman" w:cs="Times New Roman"/>
          <w:b/>
          <w:bCs/>
          <w:sz w:val="28"/>
          <w:szCs w:val="28"/>
          <w:lang w:val="en-US"/>
        </w:rPr>
        <w:t xml:space="preserve"> OF THE FRANC ZONE: AN INVESTIGATION USING THE CRITERIA OF OPTIMAL MONETARY ZONES</w:t>
      </w:r>
    </w:p>
    <w:p w14:paraId="793A7DB9" w14:textId="77777777" w:rsidR="00E84571" w:rsidRDefault="00E84571" w:rsidP="007A65AA">
      <w:pPr>
        <w:rPr>
          <w:rFonts w:ascii="Times New Roman" w:hAnsi="Times New Roman" w:cs="Times New Roman"/>
          <w:b/>
          <w:bCs/>
          <w:sz w:val="28"/>
          <w:szCs w:val="28"/>
          <w:lang w:val="en-US"/>
        </w:rPr>
      </w:pPr>
    </w:p>
    <w:p w14:paraId="076AF0B3" w14:textId="77777777" w:rsidR="00E84571" w:rsidRPr="00914350" w:rsidRDefault="00E84571" w:rsidP="00914350">
      <w:pPr>
        <w:spacing w:line="240" w:lineRule="auto"/>
        <w:rPr>
          <w:rFonts w:ascii="Times New Roman" w:hAnsi="Times New Roman" w:cs="Times New Roman"/>
          <w:sz w:val="24"/>
          <w:szCs w:val="24"/>
          <w:lang w:val="en-US"/>
        </w:rPr>
      </w:pPr>
      <w:bookmarkStart w:id="0" w:name="_GoBack"/>
      <w:bookmarkEnd w:id="0"/>
    </w:p>
    <w:p w14:paraId="49A1A0CB" w14:textId="2C699062" w:rsidR="007A65AA" w:rsidRPr="007A46D8" w:rsidRDefault="007A65AA" w:rsidP="007A65AA">
      <w:pPr>
        <w:rPr>
          <w:rFonts w:ascii="Times New Roman" w:hAnsi="Times New Roman" w:cs="Times New Roman"/>
          <w:b/>
          <w:bCs/>
          <w:sz w:val="24"/>
          <w:szCs w:val="24"/>
          <w:lang w:val="en-US"/>
        </w:rPr>
      </w:pPr>
      <w:r w:rsidRPr="007A46D8">
        <w:rPr>
          <w:rFonts w:ascii="Times New Roman" w:hAnsi="Times New Roman" w:cs="Times New Roman"/>
          <w:b/>
          <w:bCs/>
          <w:sz w:val="24"/>
          <w:szCs w:val="24"/>
          <w:lang w:val="en-US"/>
        </w:rPr>
        <w:t>Abstract</w:t>
      </w:r>
    </w:p>
    <w:p w14:paraId="58A267FB" w14:textId="5647481F" w:rsidR="007A65AA" w:rsidRDefault="007A65AA" w:rsidP="007A65AA">
      <w:pPr>
        <w:jc w:val="both"/>
        <w:rPr>
          <w:rFonts w:ascii="Times New Roman" w:hAnsi="Times New Roman" w:cs="Times New Roman"/>
          <w:sz w:val="24"/>
          <w:szCs w:val="24"/>
          <w:lang w:val="en-US"/>
        </w:rPr>
      </w:pPr>
      <w:r w:rsidRPr="007A65AA">
        <w:rPr>
          <w:rFonts w:ascii="Times New Roman" w:hAnsi="Times New Roman" w:cs="Times New Roman"/>
          <w:sz w:val="24"/>
          <w:szCs w:val="24"/>
          <w:lang w:val="en-US"/>
        </w:rPr>
        <w:t>This study examines the economic viability of the franc zone (CEMAC and UEMOA) in light of the theory of optimal currency areas (OCA) initiated by Mundell (1961). The main objective is to determine whether this monetary union constitutes a “union of convenience” inherited from history or an area that meets the criteria of economic efficiency. We seek to move beyond ideological debates through a quantitative empirical investigation of the zone's ability to absorb shocks without exchange rate adjustment. We adopt a mixed methodological approach combining descriptive analyses and advanced econometric tools over the period 1990-2024. The sample includes the 14 countries of the franc zone, compared to a control group (Nigeria and Angola) to isolate the effect of the exchange rate regime. Four canonical criteria are operationalized: factor mobility (analyzed via migration flows and foreign direct investment); trade openness (McKinnon) (measured by the ratio (Exports + Imports)/GDP); economic diversification (</w:t>
      </w:r>
      <w:proofErr w:type="spellStart"/>
      <w:r w:rsidRPr="007A65AA">
        <w:rPr>
          <w:rFonts w:ascii="Times New Roman" w:hAnsi="Times New Roman" w:cs="Times New Roman"/>
          <w:sz w:val="24"/>
          <w:szCs w:val="24"/>
          <w:lang w:val="en-US"/>
        </w:rPr>
        <w:t>Kenen</w:t>
      </w:r>
      <w:proofErr w:type="spellEnd"/>
      <w:r w:rsidRPr="007A65AA">
        <w:rPr>
          <w:rFonts w:ascii="Times New Roman" w:hAnsi="Times New Roman" w:cs="Times New Roman"/>
          <w:sz w:val="24"/>
          <w:szCs w:val="24"/>
          <w:lang w:val="en-US"/>
        </w:rPr>
        <w:t xml:space="preserve">) (assessed by the Herfindahl-Hirschman Index (HHI)); and cycle synchronization and the nature of shocks (treated by </w:t>
      </w:r>
      <w:proofErr w:type="spellStart"/>
      <w:r w:rsidRPr="007A65AA">
        <w:rPr>
          <w:rFonts w:ascii="Times New Roman" w:hAnsi="Times New Roman" w:cs="Times New Roman"/>
          <w:sz w:val="24"/>
          <w:szCs w:val="24"/>
          <w:lang w:val="en-US"/>
        </w:rPr>
        <w:t>Hodrick</w:t>
      </w:r>
      <w:proofErr w:type="spellEnd"/>
      <w:r w:rsidRPr="007A65AA">
        <w:rPr>
          <w:rFonts w:ascii="Times New Roman" w:hAnsi="Times New Roman" w:cs="Times New Roman"/>
          <w:sz w:val="24"/>
          <w:szCs w:val="24"/>
          <w:lang w:val="en-US"/>
        </w:rPr>
        <w:t>-Prescott filters and VAR/SVAR models). The results of our work are as follows: successful nominal stability (unit root tests (ADF) confirm that inflation is stationary for all countries, demonstrating effective nominal anchoring thanks to pegging to the euro); high trade openness (the CFA franc zone is statistically more open than other groups of African countries, partially validating the McKinnon criterion); weak adjustment mechanisms (labor mobility does not function as a stabilizer; econometric models show that an increase in unemployment does not lead to significant emigration.</w:t>
      </w:r>
      <w:r w:rsidRPr="007A65AA">
        <w:rPr>
          <w:lang w:val="en-US"/>
        </w:rPr>
        <w:t xml:space="preserve"> </w:t>
      </w:r>
      <w:r w:rsidRPr="007A65AA">
        <w:rPr>
          <w:rFonts w:ascii="Times New Roman" w:hAnsi="Times New Roman" w:cs="Times New Roman"/>
          <w:sz w:val="24"/>
          <w:szCs w:val="24"/>
          <w:lang w:val="en-US"/>
        </w:rPr>
        <w:t>Similarly, capital does not compensate for asymmetric shocks; the analysis reveals a strong dependence on raw materials, economic cycles are heterogeneous, and shocks are mostly asymmetric, making a single monetary policy suboptimal. The study concludes that the franc zone does not, ex ante, meet the conditions for an optimal currency area. While it guarantees remarkable price stability, its architecture suffers from a lack of real convergence and an absence of compensatory fiscal mechanisms. The viability of the union therefore relies more on its institutional credibility and external anchoring than on intrinsic economic integration.</w:t>
      </w:r>
    </w:p>
    <w:p w14:paraId="5A87DA99" w14:textId="7D7078A6" w:rsidR="007A46D8" w:rsidRPr="00914350" w:rsidRDefault="007A46D8" w:rsidP="007A65AA">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Keywords: </w:t>
      </w:r>
      <w:r w:rsidR="00914350" w:rsidRPr="00914350">
        <w:rPr>
          <w:rFonts w:ascii="Times New Roman" w:hAnsi="Times New Roman" w:cs="Times New Roman"/>
          <w:b/>
          <w:bCs/>
          <w:sz w:val="24"/>
          <w:szCs w:val="24"/>
          <w:lang w:val="en-US"/>
        </w:rPr>
        <w:t>Optimal Currency Areas, Franc Zone, Asymmetric Shocks, Monetary Integration</w:t>
      </w:r>
    </w:p>
    <w:p w14:paraId="7BE92FBD" w14:textId="1E1A218D" w:rsidR="007A65AA" w:rsidRPr="007A65AA" w:rsidRDefault="007A65AA" w:rsidP="007A65AA">
      <w:pPr>
        <w:jc w:val="both"/>
        <w:rPr>
          <w:rFonts w:ascii="Times New Roman" w:hAnsi="Times New Roman" w:cs="Times New Roman"/>
          <w:b/>
          <w:bCs/>
          <w:sz w:val="24"/>
          <w:szCs w:val="24"/>
          <w:lang w:val="en-US"/>
        </w:rPr>
      </w:pPr>
      <w:r w:rsidRPr="007A65AA">
        <w:rPr>
          <w:rFonts w:ascii="Times New Roman" w:hAnsi="Times New Roman" w:cs="Times New Roman"/>
          <w:b/>
          <w:bCs/>
          <w:sz w:val="24"/>
          <w:szCs w:val="24"/>
          <w:lang w:val="en-US"/>
        </w:rPr>
        <w:t>Introduction</w:t>
      </w:r>
    </w:p>
    <w:p w14:paraId="123022C8" w14:textId="3BD96590" w:rsidR="007A65AA" w:rsidRDefault="007A65AA" w:rsidP="007A65AA">
      <w:pPr>
        <w:jc w:val="both"/>
        <w:rPr>
          <w:rFonts w:ascii="Times New Roman" w:hAnsi="Times New Roman" w:cs="Times New Roman"/>
          <w:sz w:val="24"/>
          <w:szCs w:val="24"/>
          <w:lang w:val="en-US"/>
        </w:rPr>
      </w:pPr>
      <w:r w:rsidRPr="007A65AA">
        <w:rPr>
          <w:rFonts w:ascii="Times New Roman" w:hAnsi="Times New Roman" w:cs="Times New Roman"/>
          <w:sz w:val="24"/>
          <w:szCs w:val="24"/>
          <w:lang w:val="en-US"/>
        </w:rPr>
        <w:t xml:space="preserve">The theory of optimal currency areas (OCAs) emerged in the early 1960s in North America, in a historical context marked by questions about economic and monetary boundaries. Initially developed by Mundell (1961), this theory seeks to determine the criteria defining an optimal currency area and the conditions justifying the adoption of a fixed exchange rate regime by a country. Mundell does not challenge the argument put forward by Friedman et al. (1953) in favor of exchange rate flexibility, which was dominant at the time, but he qualifies this approach </w:t>
      </w:r>
      <w:r w:rsidRPr="007A65AA">
        <w:rPr>
          <w:rFonts w:ascii="Times New Roman" w:hAnsi="Times New Roman" w:cs="Times New Roman"/>
          <w:sz w:val="24"/>
          <w:szCs w:val="24"/>
          <w:lang w:val="en-US"/>
        </w:rPr>
        <w:lastRenderedPageBreak/>
        <w:t xml:space="preserve">by demonstrating that no exchange rate regime is universally optimal. This conclusion, taken up and further developed by Frankel (1999), emphasizes that no monetary system is suitable for all countries or all periods, whereas economic debates often tend toward radical positions, presenting fixed or floating exchange rates as absolute solutions to international monetary imbalances.  </w:t>
      </w:r>
    </w:p>
    <w:p w14:paraId="1969B5BE" w14:textId="7DFFDB5F" w:rsidR="00B42AAD" w:rsidRDefault="00B42AAD" w:rsidP="00B42AAD">
      <w:pPr>
        <w:jc w:val="both"/>
        <w:rPr>
          <w:rFonts w:ascii="Times New Roman" w:hAnsi="Times New Roman" w:cs="Times New Roman"/>
          <w:sz w:val="24"/>
          <w:szCs w:val="24"/>
          <w:lang w:val="en-US"/>
        </w:rPr>
      </w:pPr>
      <w:r w:rsidRPr="00B42AAD">
        <w:rPr>
          <w:rFonts w:ascii="Times New Roman" w:hAnsi="Times New Roman" w:cs="Times New Roman"/>
          <w:sz w:val="24"/>
          <w:szCs w:val="24"/>
          <w:lang w:val="en-US"/>
        </w:rPr>
        <w:t>Africa, with its varied monetary experiences and specific challenges, also offers a unique field of study for the theory of optimal currency areas (OCAs). With the continent accounting for 17% of the world's population but only 3% of global GDP, the monetary issue is crucial. For example, one of the current questions is how to reconcile stability, regional integration, and economic development in an environment marked by fragmentation, external shocks, and the emergence of new financial technologies.</w:t>
      </w:r>
      <w:r w:rsidR="00AB5090">
        <w:rPr>
          <w:rFonts w:ascii="Times New Roman" w:hAnsi="Times New Roman" w:cs="Times New Roman"/>
          <w:sz w:val="24"/>
          <w:szCs w:val="24"/>
          <w:lang w:val="en-US"/>
        </w:rPr>
        <w:t xml:space="preserve"> </w:t>
      </w:r>
      <w:r w:rsidRPr="00B42AAD">
        <w:rPr>
          <w:rFonts w:ascii="Times New Roman" w:hAnsi="Times New Roman" w:cs="Times New Roman"/>
          <w:sz w:val="24"/>
          <w:szCs w:val="24"/>
          <w:lang w:val="en-US"/>
        </w:rPr>
        <w:t>To what extent do African realities require a rethinking of monetary optimality criteria, and what lessons can be learned for other developing regions? Or, for that matter, is the Franc Zone, in fact, an optimal currency area?</w:t>
      </w:r>
    </w:p>
    <w:p w14:paraId="4028E5D2" w14:textId="06572AAD" w:rsidR="00B42AAD" w:rsidRPr="00B42AAD" w:rsidRDefault="00B42AAD" w:rsidP="00B42AAD">
      <w:pPr>
        <w:jc w:val="both"/>
        <w:rPr>
          <w:rFonts w:ascii="Times New Roman" w:hAnsi="Times New Roman" w:cs="Times New Roman"/>
          <w:b/>
          <w:bCs/>
          <w:sz w:val="24"/>
          <w:szCs w:val="24"/>
          <w:lang w:val="en-US"/>
        </w:rPr>
      </w:pPr>
      <w:r w:rsidRPr="00B42AAD">
        <w:rPr>
          <w:rFonts w:ascii="Times New Roman" w:hAnsi="Times New Roman" w:cs="Times New Roman"/>
          <w:b/>
          <w:bCs/>
          <w:sz w:val="24"/>
          <w:szCs w:val="24"/>
          <w:lang w:val="en-US"/>
        </w:rPr>
        <w:t>1. Development of the methodological framework for analyzing the optimality of the franc zone</w:t>
      </w:r>
    </w:p>
    <w:p w14:paraId="3742F47D" w14:textId="06FCB60A" w:rsidR="007A65AA" w:rsidRDefault="00B42AAD" w:rsidP="00B42AAD">
      <w:pPr>
        <w:jc w:val="both"/>
        <w:rPr>
          <w:rFonts w:ascii="Times New Roman" w:hAnsi="Times New Roman" w:cs="Times New Roman"/>
          <w:sz w:val="24"/>
          <w:szCs w:val="24"/>
          <w:lang w:val="en-US"/>
        </w:rPr>
      </w:pPr>
      <w:r w:rsidRPr="00B42AAD">
        <w:rPr>
          <w:rFonts w:ascii="Times New Roman" w:hAnsi="Times New Roman" w:cs="Times New Roman"/>
          <w:sz w:val="24"/>
          <w:szCs w:val="24"/>
          <w:lang w:val="en-US"/>
        </w:rPr>
        <w:t xml:space="preserve">A rigorous assessment of the optimality of the Franc Zone requires moving from theoretical debate to empirical investigation based on tangible data and robust methods. The aim of this first section is to lay the solid methodological foundations on which the entire analysis will be based. It describes the entire process in a transparent and systematic manner, from data collection to the design of econometric models and the construction of key indicators. A rigorous methodology is essential to ensure that the results presented in the following section are both credible and interpretable. We begin with a brief methodological review, which situates our approach within the landscape of existing studies on optimal currency areas (OCAs) and justifies the choices made. We then present in detail the data sources used, the study period, and the composition of the sample, including a group of carefully selected control countries to serve as a point of comparison. The section will continue with the presentation and construction of the variables that operationalize the abstract criteria of </w:t>
      </w:r>
      <w:r>
        <w:rPr>
          <w:rFonts w:ascii="Times New Roman" w:hAnsi="Times New Roman" w:cs="Times New Roman"/>
          <w:sz w:val="24"/>
          <w:szCs w:val="24"/>
          <w:lang w:val="en-US"/>
        </w:rPr>
        <w:t>OMZ</w:t>
      </w:r>
      <w:r w:rsidRPr="00B42AAD">
        <w:rPr>
          <w:rFonts w:ascii="Times New Roman" w:hAnsi="Times New Roman" w:cs="Times New Roman"/>
          <w:sz w:val="24"/>
          <w:szCs w:val="24"/>
          <w:lang w:val="en-US"/>
        </w:rPr>
        <w:t>s. For each concept</w:t>
      </w:r>
      <w:r>
        <w:rPr>
          <w:rFonts w:ascii="Times New Roman" w:hAnsi="Times New Roman" w:cs="Times New Roman"/>
          <w:sz w:val="24"/>
          <w:szCs w:val="24"/>
          <w:lang w:val="en-US"/>
        </w:rPr>
        <w:t xml:space="preserve"> </w:t>
      </w:r>
      <w:r w:rsidRPr="00B42AAD">
        <w:rPr>
          <w:rFonts w:ascii="Times New Roman" w:hAnsi="Times New Roman" w:cs="Times New Roman"/>
          <w:sz w:val="24"/>
          <w:szCs w:val="24"/>
          <w:lang w:val="en-US"/>
        </w:rPr>
        <w:t>cycle synchronization, nature of shocks, factor mobility, etc.</w:t>
      </w:r>
      <w:r>
        <w:rPr>
          <w:rFonts w:ascii="Times New Roman" w:hAnsi="Times New Roman" w:cs="Times New Roman"/>
          <w:sz w:val="24"/>
          <w:szCs w:val="24"/>
          <w:lang w:val="en-US"/>
        </w:rPr>
        <w:t xml:space="preserve"> </w:t>
      </w:r>
      <w:r w:rsidRPr="00B42AAD">
        <w:rPr>
          <w:rFonts w:ascii="Times New Roman" w:hAnsi="Times New Roman" w:cs="Times New Roman"/>
          <w:sz w:val="24"/>
          <w:szCs w:val="24"/>
          <w:lang w:val="en-US"/>
        </w:rPr>
        <w:t>we will define the quantitative indicators used and explain the methodological choices underlying their construction.</w:t>
      </w:r>
    </w:p>
    <w:p w14:paraId="14A27417" w14:textId="77777777" w:rsidR="003C2DE9" w:rsidRPr="003C2DE9" w:rsidRDefault="003C2DE9" w:rsidP="003C2DE9">
      <w:pPr>
        <w:jc w:val="both"/>
        <w:rPr>
          <w:rFonts w:ascii="Times New Roman" w:hAnsi="Times New Roman" w:cs="Times New Roman"/>
          <w:b/>
          <w:bCs/>
          <w:sz w:val="24"/>
          <w:szCs w:val="24"/>
          <w:lang w:val="en-US"/>
        </w:rPr>
      </w:pPr>
      <w:r w:rsidRPr="003C2DE9">
        <w:rPr>
          <w:rFonts w:ascii="Times New Roman" w:hAnsi="Times New Roman" w:cs="Times New Roman"/>
          <w:b/>
          <w:bCs/>
          <w:sz w:val="24"/>
          <w:szCs w:val="24"/>
          <w:lang w:val="en-US"/>
        </w:rPr>
        <w:t>1.1. Methodological Review and Data Sources</w:t>
      </w:r>
    </w:p>
    <w:p w14:paraId="374C5991" w14:textId="3CDD9D8D" w:rsidR="003C2DE9" w:rsidRPr="003C2DE9" w:rsidRDefault="003C2DE9" w:rsidP="003C2DE9">
      <w:pPr>
        <w:jc w:val="both"/>
        <w:rPr>
          <w:rFonts w:ascii="Times New Roman" w:hAnsi="Times New Roman" w:cs="Times New Roman"/>
          <w:b/>
          <w:bCs/>
          <w:sz w:val="24"/>
          <w:szCs w:val="24"/>
          <w:lang w:val="en-US"/>
        </w:rPr>
      </w:pPr>
      <w:r w:rsidRPr="003C2DE9">
        <w:rPr>
          <w:rFonts w:ascii="Times New Roman" w:hAnsi="Times New Roman" w:cs="Times New Roman"/>
          <w:b/>
          <w:bCs/>
          <w:sz w:val="24"/>
          <w:szCs w:val="24"/>
          <w:lang w:val="en-US"/>
        </w:rPr>
        <w:t>1.1.1. Review of Empirical Approaches to Assessing OMZs</w:t>
      </w:r>
    </w:p>
    <w:p w14:paraId="67E4D83D" w14:textId="0714E6E5" w:rsidR="003C2DE9" w:rsidRDefault="003C2DE9" w:rsidP="003C2DE9">
      <w:pPr>
        <w:jc w:val="both"/>
        <w:rPr>
          <w:rFonts w:ascii="Times New Roman" w:hAnsi="Times New Roman" w:cs="Times New Roman"/>
          <w:sz w:val="24"/>
          <w:szCs w:val="24"/>
          <w:lang w:val="en-US"/>
        </w:rPr>
      </w:pPr>
      <w:r w:rsidRPr="003C2DE9">
        <w:rPr>
          <w:rFonts w:ascii="Times New Roman" w:hAnsi="Times New Roman" w:cs="Times New Roman"/>
          <w:sz w:val="24"/>
          <w:szCs w:val="24"/>
          <w:lang w:val="en-US"/>
        </w:rPr>
        <w:t>Empirical assessment of the optimality of a monetary union is traditionally based on two complementary methodological pillars, derived from the seminal literature (</w:t>
      </w:r>
      <w:proofErr w:type="spellStart"/>
      <w:r w:rsidRPr="003C2DE9">
        <w:rPr>
          <w:rFonts w:ascii="Times New Roman" w:hAnsi="Times New Roman" w:cs="Times New Roman"/>
          <w:sz w:val="24"/>
          <w:szCs w:val="24"/>
          <w:lang w:val="en-US"/>
        </w:rPr>
        <w:t>Bayoumi</w:t>
      </w:r>
      <w:proofErr w:type="spellEnd"/>
      <w:r w:rsidRPr="003C2DE9">
        <w:rPr>
          <w:rFonts w:ascii="Times New Roman" w:hAnsi="Times New Roman" w:cs="Times New Roman"/>
          <w:sz w:val="24"/>
          <w:szCs w:val="24"/>
          <w:lang w:val="en-US"/>
        </w:rPr>
        <w:t xml:space="preserve"> and </w:t>
      </w:r>
      <w:proofErr w:type="spellStart"/>
      <w:r w:rsidRPr="003C2DE9">
        <w:rPr>
          <w:rFonts w:ascii="Times New Roman" w:hAnsi="Times New Roman" w:cs="Times New Roman"/>
          <w:sz w:val="24"/>
          <w:szCs w:val="24"/>
          <w:lang w:val="en-US"/>
        </w:rPr>
        <w:t>Eichengreen</w:t>
      </w:r>
      <w:proofErr w:type="spellEnd"/>
      <w:r w:rsidRPr="003C2DE9">
        <w:rPr>
          <w:rFonts w:ascii="Times New Roman" w:hAnsi="Times New Roman" w:cs="Times New Roman"/>
          <w:sz w:val="24"/>
          <w:szCs w:val="24"/>
          <w:lang w:val="en-US"/>
        </w:rPr>
        <w:t>, 1994; Frankel and Rose, 1998). These are the analysis of the synchronization of economic cycles and the analysis of the nature of shocks and adjustment mechanisms. The synchronization of economic cycles tests the hypothesis that the economies of member countries fluctuate in a concordant manner. A strong correlation between business cycles, generally measured by the cyclical component of GDP, makes a single monetary policy less costly, as it meets the same needs for all members. Methods range from simple correlation calculations to more complex models such as dynamic factor models (Ayad et al., 2024), which allow shocks to be broken down into common (symmetric) and idiosyncratic (asymmetric) components.</w:t>
      </w:r>
    </w:p>
    <w:p w14:paraId="160D1A29" w14:textId="77777777" w:rsidR="003C2DE9" w:rsidRPr="003C2DE9" w:rsidRDefault="003C2DE9" w:rsidP="003C2DE9">
      <w:pPr>
        <w:jc w:val="both"/>
        <w:rPr>
          <w:rFonts w:ascii="Times New Roman" w:hAnsi="Times New Roman" w:cs="Times New Roman"/>
          <w:b/>
          <w:bCs/>
          <w:sz w:val="24"/>
          <w:szCs w:val="24"/>
          <w:lang w:val="en-US"/>
        </w:rPr>
      </w:pPr>
      <w:r w:rsidRPr="003C2DE9">
        <w:rPr>
          <w:rFonts w:ascii="Times New Roman" w:hAnsi="Times New Roman" w:cs="Times New Roman"/>
          <w:b/>
          <w:bCs/>
          <w:sz w:val="24"/>
          <w:szCs w:val="24"/>
          <w:lang w:val="en-US"/>
        </w:rPr>
        <w:t>1.1.2. Data presentation, sampling, and data sources</w:t>
      </w:r>
    </w:p>
    <w:p w14:paraId="3807A959" w14:textId="35C0A63A" w:rsidR="003C2DE9" w:rsidRPr="003C2DE9" w:rsidRDefault="003C2DE9" w:rsidP="003C2DE9">
      <w:pPr>
        <w:jc w:val="both"/>
        <w:rPr>
          <w:rFonts w:ascii="Times New Roman" w:hAnsi="Times New Roman" w:cs="Times New Roman"/>
          <w:b/>
          <w:bCs/>
          <w:sz w:val="24"/>
          <w:szCs w:val="24"/>
          <w:lang w:val="en-US"/>
        </w:rPr>
      </w:pPr>
      <w:r w:rsidRPr="003C2DE9">
        <w:rPr>
          <w:rFonts w:ascii="Times New Roman" w:hAnsi="Times New Roman" w:cs="Times New Roman"/>
          <w:b/>
          <w:bCs/>
          <w:sz w:val="24"/>
          <w:szCs w:val="24"/>
          <w:lang w:val="en-US"/>
        </w:rPr>
        <w:lastRenderedPageBreak/>
        <w:t>1.1.2.</w:t>
      </w:r>
      <w:r w:rsidR="00AB5090">
        <w:rPr>
          <w:rFonts w:ascii="Times New Roman" w:hAnsi="Times New Roman" w:cs="Times New Roman"/>
          <w:b/>
          <w:bCs/>
          <w:sz w:val="24"/>
          <w:szCs w:val="24"/>
          <w:lang w:val="en-US"/>
        </w:rPr>
        <w:t>1</w:t>
      </w:r>
      <w:r w:rsidRPr="003C2DE9">
        <w:rPr>
          <w:rFonts w:ascii="Times New Roman" w:hAnsi="Times New Roman" w:cs="Times New Roman"/>
          <w:b/>
          <w:bCs/>
          <w:sz w:val="24"/>
          <w:szCs w:val="24"/>
          <w:lang w:val="en-US"/>
        </w:rPr>
        <w:t>. Sampling</w:t>
      </w:r>
    </w:p>
    <w:p w14:paraId="2418C379" w14:textId="18F899BF" w:rsidR="003C2DE9" w:rsidRDefault="003C2DE9" w:rsidP="003C2DE9">
      <w:pPr>
        <w:jc w:val="both"/>
        <w:rPr>
          <w:rFonts w:ascii="Times New Roman" w:hAnsi="Times New Roman" w:cs="Times New Roman"/>
          <w:sz w:val="24"/>
          <w:szCs w:val="24"/>
          <w:lang w:val="en-US"/>
        </w:rPr>
      </w:pPr>
      <w:r w:rsidRPr="003C2DE9">
        <w:rPr>
          <w:rFonts w:ascii="Times New Roman" w:hAnsi="Times New Roman" w:cs="Times New Roman"/>
          <w:sz w:val="24"/>
          <w:szCs w:val="24"/>
          <w:lang w:val="en-US"/>
        </w:rPr>
        <w:t xml:space="preserve">We have several groups of countries. First, the treatment group, consisting of the </w:t>
      </w:r>
      <w:proofErr w:type="gramStart"/>
      <w:r w:rsidRPr="003C2DE9">
        <w:rPr>
          <w:rFonts w:ascii="Times New Roman" w:hAnsi="Times New Roman" w:cs="Times New Roman"/>
          <w:sz w:val="24"/>
          <w:szCs w:val="24"/>
          <w:lang w:val="en-US"/>
        </w:rPr>
        <w:t>14 member</w:t>
      </w:r>
      <w:proofErr w:type="gramEnd"/>
      <w:r w:rsidRPr="003C2DE9">
        <w:rPr>
          <w:rFonts w:ascii="Times New Roman" w:hAnsi="Times New Roman" w:cs="Times New Roman"/>
          <w:sz w:val="24"/>
          <w:szCs w:val="24"/>
          <w:lang w:val="en-US"/>
        </w:rPr>
        <w:t xml:space="preserve"> countries of the Franc Zone (8 from WAEMU: Benin, Burkina Faso, Côte d'Ivoire, Guinea-Bissau, Mali, Niger, Senegal, Togo; 6 from CEMAC: Cameroon, Central African Republic, Congo, Gabon, Equatorial Guinea, Chad).</w:t>
      </w:r>
    </w:p>
    <w:p w14:paraId="358A6A60" w14:textId="77777777" w:rsidR="003C2DE9" w:rsidRPr="003C2DE9" w:rsidRDefault="003C2DE9" w:rsidP="003C2DE9">
      <w:pPr>
        <w:jc w:val="both"/>
        <w:rPr>
          <w:rFonts w:ascii="Times New Roman" w:hAnsi="Times New Roman" w:cs="Times New Roman"/>
          <w:sz w:val="24"/>
          <w:szCs w:val="24"/>
          <w:lang w:val="en-US"/>
        </w:rPr>
      </w:pPr>
      <w:r w:rsidRPr="003C2DE9">
        <w:rPr>
          <w:rFonts w:ascii="Times New Roman" w:hAnsi="Times New Roman" w:cs="Times New Roman"/>
          <w:sz w:val="24"/>
          <w:szCs w:val="24"/>
          <w:lang w:val="en-US"/>
        </w:rPr>
        <w:t>To isolate the specific effect of the Franc Zone exchange rate regime, a group of non-member African countries with similar structural characteristics but more flexible exchange rate regimes was formed. This choice is justified by their geographical proximity, their similarity in terms of economic structure (some are commodity exporters) and their level of development. These countries share structural characteristics, levels of development, exposure to global shocks, and a regional environment similar to those of the Franc Zone countries.</w:t>
      </w:r>
    </w:p>
    <w:p w14:paraId="769F767B" w14:textId="6BF363F6" w:rsidR="00F5123B" w:rsidRPr="00F5123B" w:rsidRDefault="00F5123B" w:rsidP="00F5123B">
      <w:pPr>
        <w:jc w:val="both"/>
        <w:rPr>
          <w:rFonts w:ascii="Times New Roman" w:hAnsi="Times New Roman" w:cs="Times New Roman"/>
          <w:b/>
          <w:bCs/>
          <w:sz w:val="24"/>
          <w:szCs w:val="24"/>
          <w:lang w:val="en-US"/>
        </w:rPr>
      </w:pPr>
      <w:r w:rsidRPr="00F5123B">
        <w:rPr>
          <w:rFonts w:ascii="Times New Roman" w:hAnsi="Times New Roman" w:cs="Times New Roman"/>
          <w:b/>
          <w:bCs/>
          <w:sz w:val="24"/>
          <w:szCs w:val="24"/>
          <w:lang w:val="en-US"/>
        </w:rPr>
        <w:t>1.1.2.</w:t>
      </w:r>
      <w:r w:rsidR="00AB5090">
        <w:rPr>
          <w:rFonts w:ascii="Times New Roman" w:hAnsi="Times New Roman" w:cs="Times New Roman"/>
          <w:b/>
          <w:bCs/>
          <w:sz w:val="24"/>
          <w:szCs w:val="24"/>
          <w:lang w:val="en-US"/>
        </w:rPr>
        <w:t>2</w:t>
      </w:r>
      <w:r w:rsidRPr="00F5123B">
        <w:rPr>
          <w:rFonts w:ascii="Times New Roman" w:hAnsi="Times New Roman" w:cs="Times New Roman"/>
          <w:b/>
          <w:bCs/>
          <w:sz w:val="24"/>
          <w:szCs w:val="24"/>
          <w:lang w:val="en-US"/>
        </w:rPr>
        <w:t>. Data sources</w:t>
      </w:r>
    </w:p>
    <w:p w14:paraId="0C64E7E0" w14:textId="5E9154AD" w:rsidR="003C2DE9"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 xml:space="preserve">Macroeconomic and financial data are collected from the following institutional sources to ensure their reliability and comparability. For example, data on real GDP, inflation, and international trade are extracted from the International Monetary Fund (IMF) database, World Economic Outlook (WEO), and International Financial Statistics (IFS). Sectoral and export composition data are extracted from the World Bank's World Development Indicators (WDI) database. Data on employment and unemployment are provided by the </w:t>
      </w:r>
      <w:proofErr w:type="spellStart"/>
      <w:r w:rsidRPr="00F5123B">
        <w:rPr>
          <w:rFonts w:ascii="Times New Roman" w:hAnsi="Times New Roman" w:cs="Times New Roman"/>
          <w:sz w:val="24"/>
          <w:szCs w:val="24"/>
          <w:lang w:val="en-US"/>
        </w:rPr>
        <w:t>subregional</w:t>
      </w:r>
      <w:proofErr w:type="spellEnd"/>
      <w:r w:rsidRPr="00F5123B">
        <w:rPr>
          <w:rFonts w:ascii="Times New Roman" w:hAnsi="Times New Roman" w:cs="Times New Roman"/>
          <w:sz w:val="24"/>
          <w:szCs w:val="24"/>
          <w:lang w:val="en-US"/>
        </w:rPr>
        <w:t xml:space="preserve"> statistical agency (AFRISTAT) and national statistical institutes (NSIs) of the countries concerned.</w:t>
      </w:r>
    </w:p>
    <w:p w14:paraId="70A925BB" w14:textId="7076962D" w:rsidR="00F5123B" w:rsidRPr="00F5123B" w:rsidRDefault="00F5123B" w:rsidP="00F5123B">
      <w:pPr>
        <w:jc w:val="both"/>
        <w:rPr>
          <w:rFonts w:ascii="Times New Roman" w:hAnsi="Times New Roman" w:cs="Times New Roman"/>
          <w:b/>
          <w:bCs/>
          <w:sz w:val="24"/>
          <w:szCs w:val="24"/>
          <w:lang w:val="en-US"/>
        </w:rPr>
      </w:pPr>
      <w:r w:rsidRPr="00F5123B">
        <w:rPr>
          <w:rFonts w:ascii="Times New Roman" w:hAnsi="Times New Roman" w:cs="Times New Roman"/>
          <w:b/>
          <w:bCs/>
          <w:sz w:val="24"/>
          <w:szCs w:val="24"/>
          <w:lang w:val="en-US"/>
        </w:rPr>
        <w:t>1.1.3. Selection and operationalization of O</w:t>
      </w:r>
      <w:r>
        <w:rPr>
          <w:rFonts w:ascii="Times New Roman" w:hAnsi="Times New Roman" w:cs="Times New Roman"/>
          <w:b/>
          <w:bCs/>
          <w:sz w:val="24"/>
          <w:szCs w:val="24"/>
          <w:lang w:val="en-US"/>
        </w:rPr>
        <w:t>MZ</w:t>
      </w:r>
      <w:r w:rsidRPr="00F5123B">
        <w:rPr>
          <w:rFonts w:ascii="Times New Roman" w:hAnsi="Times New Roman" w:cs="Times New Roman"/>
          <w:b/>
          <w:bCs/>
          <w:sz w:val="24"/>
          <w:szCs w:val="24"/>
          <w:lang w:val="en-US"/>
        </w:rPr>
        <w:t xml:space="preserve"> criteria</w:t>
      </w:r>
    </w:p>
    <w:p w14:paraId="2419677A" w14:textId="1EBE540D" w:rsidR="00F5123B" w:rsidRPr="00F5123B"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 xml:space="preserve">Before proceeding with any empirical estimation, a fundamental preliminary step is to translate the sometimes-abstract theoretical concepts found in the literature on optimal currency areas into measurable and observable indicators. This operationalization is crucial, as it determines the very validity of our investigation. </w:t>
      </w:r>
    </w:p>
    <w:p w14:paraId="74A8669A" w14:textId="7DA38690" w:rsidR="00F5123B"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Criteria such as “factor mobility” or “similarity of shocks” cannot be directly measured; they require the selection of relevant proxy variables capable of capturing their essence despite the limitations inherent in the available data. The purpose of this subsection is precisely to justify the selection of the criteria we have chosen for our analysis and to detail the methodology used to transform them into quantifiable measures. We will therefore review the criteria underlying the theory, explaining for each of them the choice of indicators used, their sources, and any limitations that this approach may entail. This work of definition and clarification is a prerequisite for the construction of a robust and interpretable analytical framework.</w:t>
      </w:r>
    </w:p>
    <w:p w14:paraId="4A17ADE4" w14:textId="77777777" w:rsidR="00F5123B" w:rsidRPr="00F5123B" w:rsidRDefault="00F5123B" w:rsidP="00F5123B">
      <w:pPr>
        <w:jc w:val="both"/>
        <w:rPr>
          <w:rFonts w:ascii="Times New Roman" w:hAnsi="Times New Roman" w:cs="Times New Roman"/>
          <w:b/>
          <w:bCs/>
          <w:sz w:val="24"/>
          <w:szCs w:val="24"/>
          <w:lang w:val="en-US"/>
        </w:rPr>
      </w:pPr>
      <w:r w:rsidRPr="00F5123B">
        <w:rPr>
          <w:rFonts w:ascii="Times New Roman" w:hAnsi="Times New Roman" w:cs="Times New Roman"/>
          <w:b/>
          <w:bCs/>
          <w:sz w:val="24"/>
          <w:szCs w:val="24"/>
          <w:lang w:val="en-US"/>
        </w:rPr>
        <w:t>1.1.3.1. Factor Mobility (Mundell's Criterion)</w:t>
      </w:r>
    </w:p>
    <w:p w14:paraId="6E880288" w14:textId="43138228" w:rsidR="00F5123B"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 xml:space="preserve">The factor mobility criterion, the cornerstone of Robert Mundell's theory, posits that the free movement of labor and capital can replace exchange rate adjustment in the event of an asymmetric shock. A shock negatively affecting a specific region of the union could thus be corrected by the emigration of its labor force to more prosperous regions and by reverse capital flows, alleviating social and economic tensions without resorting to devaluation. However, the operationalization of this concept in the specific context of the Franc Zone faces significant methodological constraints. A direct measure of capital mobility, although theoretically relevant, is complex to establish in practice due to the sometimes-informal nature of flows and the difficulty of isolating speculative movements from long-term investments. Consequently, </w:t>
      </w:r>
      <w:r w:rsidRPr="00F5123B">
        <w:rPr>
          <w:rFonts w:ascii="Times New Roman" w:hAnsi="Times New Roman" w:cs="Times New Roman"/>
          <w:sz w:val="24"/>
          <w:szCs w:val="24"/>
          <w:lang w:val="en-US"/>
        </w:rPr>
        <w:lastRenderedPageBreak/>
        <w:t>our analysis will focus primarily on labor mobility and foreign direct investment mobility, factors that are more easily observable, although not without obstacles.</w:t>
      </w:r>
    </w:p>
    <w:p w14:paraId="2C01E99B" w14:textId="77777777" w:rsidR="00F5123B" w:rsidRPr="00F5123B" w:rsidRDefault="00F5123B" w:rsidP="00F5123B">
      <w:pPr>
        <w:jc w:val="both"/>
        <w:rPr>
          <w:rFonts w:ascii="Times New Roman" w:hAnsi="Times New Roman" w:cs="Times New Roman"/>
          <w:b/>
          <w:bCs/>
          <w:sz w:val="24"/>
          <w:szCs w:val="24"/>
          <w:lang w:val="en-US"/>
        </w:rPr>
      </w:pPr>
      <w:r w:rsidRPr="00F5123B">
        <w:rPr>
          <w:rFonts w:ascii="Times New Roman" w:hAnsi="Times New Roman" w:cs="Times New Roman"/>
          <w:b/>
          <w:bCs/>
          <w:sz w:val="24"/>
          <w:szCs w:val="24"/>
          <w:lang w:val="en-US"/>
        </w:rPr>
        <w:t>1.1.3.2. Economic Openness (McKinnon criterion)</w:t>
      </w:r>
    </w:p>
    <w:p w14:paraId="6A59F953" w14:textId="606B9867" w:rsidR="00F5123B"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The criterion developed by Ronald McKinnon emphasizes the decisive role of the size and degree of openness of an economy in the choice of its exchange rate regime. His central thesis is that the smaller and more open an economy is, the more the advantages of a fixed exchange rate regime, and by extension a monetary union, outweigh the cost of losing the national monetary instrument. For a highly open economy, where tradable goods account for a large share of the consumption basket, changes in the nominal exchange rate have a rapid and massive impact on domestic prices, thus limiting its effectiveness in correcting real imbalances. The price stability offered by a credible monetary anchor then becomes a superior good.</w:t>
      </w:r>
    </w:p>
    <w:p w14:paraId="57A3FFBF" w14:textId="056153E4" w:rsidR="00FA26F4" w:rsidRDefault="00FA26F4" w:rsidP="00F5123B">
      <w:pPr>
        <w:jc w:val="both"/>
        <w:rPr>
          <w:rFonts w:ascii="Times New Roman" w:hAnsi="Times New Roman" w:cs="Times New Roman"/>
          <w:sz w:val="24"/>
          <w:szCs w:val="24"/>
          <w:lang w:val="en-US"/>
        </w:rPr>
      </w:pPr>
      <w:r w:rsidRPr="00FA26F4">
        <w:rPr>
          <w:rFonts w:ascii="Times New Roman" w:hAnsi="Times New Roman" w:cs="Times New Roman"/>
          <w:sz w:val="24"/>
          <w:szCs w:val="24"/>
          <w:lang w:val="en-US"/>
        </w:rPr>
        <w:t>The operationalization of this criterion is based on a classic proxy variable that is widely accepted in economic literature: the ratio of foreign trade to gross domestic product (GDP). This ratio, calculated as the sum of exports and imports of goods and services divided by GDP multiplied by 100, measures the relative importance of international flows in overall economic activity. A high ratio indicates an economy that is deeply integrated into global markets, whose prosperity depends significantly on international trade and which is, therefore, highly sensitive to exchange rate fluctuations.</w:t>
      </w:r>
    </w:p>
    <w:p w14:paraId="4A5F99B4" w14:textId="77777777" w:rsidR="003B0147" w:rsidRPr="003B0147" w:rsidRDefault="003B0147" w:rsidP="003B0147">
      <w:pPr>
        <w:jc w:val="both"/>
        <w:rPr>
          <w:rFonts w:ascii="Times New Roman" w:hAnsi="Times New Roman" w:cs="Times New Roman"/>
          <w:b/>
          <w:bCs/>
          <w:sz w:val="24"/>
          <w:szCs w:val="24"/>
          <w:lang w:val="en-US"/>
        </w:rPr>
      </w:pPr>
      <w:r w:rsidRPr="003B0147">
        <w:rPr>
          <w:rFonts w:ascii="Times New Roman" w:hAnsi="Times New Roman" w:cs="Times New Roman"/>
          <w:b/>
          <w:bCs/>
          <w:sz w:val="24"/>
          <w:szCs w:val="24"/>
          <w:lang w:val="en-US"/>
        </w:rPr>
        <w:t>1.2.    Presentation of econometric techniques</w:t>
      </w:r>
    </w:p>
    <w:p w14:paraId="50986382" w14:textId="77777777" w:rsidR="003B0147" w:rsidRP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 xml:space="preserve">The robustness of the conclusions of an empirical analysis depends intrinsically on the relevance and rigor of the methods used to process the data. The nature of the questions asked about cycle synchronization, the nature of shocks, and long-term dynamics requires the use of a range of econometric tools adapted to both time series and panel data. </w:t>
      </w:r>
    </w:p>
    <w:p w14:paraId="10D6CACD" w14:textId="012E5942"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The purpose of this subsection is to provide an overview of the set of statistical techniques that will be used to test the hypotheses derived from optimal currency area theory. The aim here is not to provide an exhaustive technical description, but to justify the choice of these techniques, explain the underlying logic, and specify their purpose in the context of our investigation. Their methodical application will enable us to distinguish between random correlations and structural relationships, and to ensure the robustness of the inferences drawn from the observation of the data.</w:t>
      </w:r>
    </w:p>
    <w:p w14:paraId="6BE0FDF3" w14:textId="77777777" w:rsidR="003B0147" w:rsidRPr="003B0147" w:rsidRDefault="003B0147" w:rsidP="003B0147">
      <w:pPr>
        <w:jc w:val="both"/>
        <w:rPr>
          <w:rFonts w:ascii="Times New Roman" w:hAnsi="Times New Roman" w:cs="Times New Roman"/>
          <w:b/>
          <w:bCs/>
          <w:sz w:val="24"/>
          <w:szCs w:val="24"/>
          <w:lang w:val="en-US"/>
        </w:rPr>
      </w:pPr>
      <w:r w:rsidRPr="003B0147">
        <w:rPr>
          <w:rFonts w:ascii="Times New Roman" w:hAnsi="Times New Roman" w:cs="Times New Roman"/>
          <w:b/>
          <w:bCs/>
          <w:sz w:val="24"/>
          <w:szCs w:val="24"/>
          <w:lang w:val="en-US"/>
        </w:rPr>
        <w:t>1.2.1.    Time Series Techniques</w:t>
      </w:r>
    </w:p>
    <w:p w14:paraId="317B3489" w14:textId="77777777" w:rsidR="003B0147" w:rsidRP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The analysis of macroeconomic time series forms the empirical basis of our study, as it allows us to model the dynamic evolution of variables and the interactions between them within each economy and between countries in the zone. However, the crude application of econometric techniques to raw non-stationary data would lead to misleading results and absurd regressions. Our approach therefore follows a rigorous and essential methodological sequence.</w:t>
      </w:r>
    </w:p>
    <w:p w14:paraId="576E9FFA" w14:textId="5E9B3CEA"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The first step is to verify the stochastic properties of the series using unit root tests, such as the Augmented Dickey-Fuller (ADF) test and the Phillips-</w:t>
      </w:r>
      <w:proofErr w:type="spellStart"/>
      <w:r w:rsidRPr="003B0147">
        <w:rPr>
          <w:rFonts w:ascii="Times New Roman" w:hAnsi="Times New Roman" w:cs="Times New Roman"/>
          <w:sz w:val="24"/>
          <w:szCs w:val="24"/>
          <w:lang w:val="en-US"/>
        </w:rPr>
        <w:t>Perron</w:t>
      </w:r>
      <w:proofErr w:type="spellEnd"/>
      <w:r w:rsidRPr="003B0147">
        <w:rPr>
          <w:rFonts w:ascii="Times New Roman" w:hAnsi="Times New Roman" w:cs="Times New Roman"/>
          <w:sz w:val="24"/>
          <w:szCs w:val="24"/>
          <w:lang w:val="en-US"/>
        </w:rPr>
        <w:t xml:space="preserve"> (PP) test. These tests determine whether a series is stationary, i.e., whether its statistical properties (mean, variance) are constant over time or whether it contains a stochastic trend (unit root). This distinction is crucial; using non-stationary series as they are </w:t>
      </w:r>
      <w:proofErr w:type="gramStart"/>
      <w:r w:rsidRPr="003B0147">
        <w:rPr>
          <w:rFonts w:ascii="Times New Roman" w:hAnsi="Times New Roman" w:cs="Times New Roman"/>
          <w:sz w:val="24"/>
          <w:szCs w:val="24"/>
          <w:lang w:val="en-US"/>
        </w:rPr>
        <w:t>carries</w:t>
      </w:r>
      <w:proofErr w:type="gramEnd"/>
      <w:r w:rsidRPr="003B0147">
        <w:rPr>
          <w:rFonts w:ascii="Times New Roman" w:hAnsi="Times New Roman" w:cs="Times New Roman"/>
          <w:sz w:val="24"/>
          <w:szCs w:val="24"/>
          <w:lang w:val="en-US"/>
        </w:rPr>
        <w:t xml:space="preserve"> a high risk of spurious correlations. If a series is non-stationary in level but stationary in first differences, it is said to be integrated of order one, </w:t>
      </w:r>
      <w:proofErr w:type="gramStart"/>
      <w:r w:rsidRPr="003B0147">
        <w:rPr>
          <w:rFonts w:ascii="Times New Roman" w:hAnsi="Times New Roman" w:cs="Times New Roman"/>
          <w:sz w:val="24"/>
          <w:szCs w:val="24"/>
          <w:lang w:val="en-US"/>
        </w:rPr>
        <w:t>I(</w:t>
      </w:r>
      <w:proofErr w:type="gramEnd"/>
      <w:r w:rsidRPr="003B0147">
        <w:rPr>
          <w:rFonts w:ascii="Times New Roman" w:hAnsi="Times New Roman" w:cs="Times New Roman"/>
          <w:sz w:val="24"/>
          <w:szCs w:val="24"/>
          <w:lang w:val="en-US"/>
        </w:rPr>
        <w:t>1).</w:t>
      </w:r>
    </w:p>
    <w:p w14:paraId="300345D9" w14:textId="27759EEE"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lastRenderedPageBreak/>
        <w:t>Finally, to analyze the dynamics of shocks and their propagation effects, we will use Vector Autoregressive (VAR) models. A VAR models a system where each variable is explained by its own past values and by the past values of all other variables in the system. Its main advantage lies in the construction of impulse response functions (IRFs), which trace the dynamic effect over time of a shock to one of the variables on the entire system. This technique is ideally suited to identifying and comparing the nature (supply or demand) and persistence of shocks affecting different economies, and thus to empirically testing the criterion of shock similarity.</w:t>
      </w:r>
    </w:p>
    <w:p w14:paraId="5F895D96" w14:textId="196750B8"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Tables 1, 2, 3, and 4 present the results of the unit root tests. As mentioned above, the unit root test (ADF) is a preliminary and essential step in any econometric time series modeling. Its purpose is to determine whether an economic series has a stochastic trend (non-stationarity), i.e., whether it is influenced by shocks with permanent effects. A non-stationary series can lead to spurious regressions (illusory correlations) and invalidate statistical inferences. Stationarity is a necessary condition for standard VAR modeling and a prerequisite for cointegration tests.</w:t>
      </w:r>
    </w:p>
    <w:p w14:paraId="5C912AD8" w14:textId="6455E471"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Table 1 shows the results of the unit root test on GDP. According to the principle of the unit root test, H₀ postulates that the series has a unit root (non-stationary). If the p-value is greater than or equal to 0.05, H₀ is not rejected, meaning that the series is non-stationary. However, if the p-value is less than or equal to 0.05, H₀ is rejected, meaning that the series is stationary. From Table 1, we can see that 12 out of 14 countries have a p-value greater than 0.05. In conclusion, their GDP is non-stationary in level. On the other hand, two countries (Equatorial Guinea and the Central African Republic) have a p-value less than 0.05, which implies that their GDP is stationary in level.</w:t>
      </w:r>
    </w:p>
    <w:p w14:paraId="5A26F221" w14:textId="6E630BBA" w:rsidR="003B0147" w:rsidRPr="003B0147" w:rsidRDefault="003B0147" w:rsidP="003B0147">
      <w:pPr>
        <w:pStyle w:val="Caption"/>
        <w:rPr>
          <w:rFonts w:ascii="Times New Roman" w:eastAsia="SimSun" w:hAnsi="Times New Roman" w:cs="Times New Roman"/>
          <w:i w:val="0"/>
          <w:color w:val="000000" w:themeColor="text1"/>
          <w:sz w:val="24"/>
          <w:szCs w:val="24"/>
          <w:lang w:val="en-US" w:eastAsia="zh-CN"/>
        </w:rPr>
      </w:pPr>
      <w:bookmarkStart w:id="1" w:name="_Toc215577679"/>
      <w:r w:rsidRPr="003B0147">
        <w:rPr>
          <w:rFonts w:ascii="Times New Roman" w:hAnsi="Times New Roman" w:cs="Times New Roman"/>
          <w:b/>
          <w:i w:val="0"/>
          <w:color w:val="000000" w:themeColor="text1"/>
          <w:sz w:val="24"/>
          <w:szCs w:val="24"/>
          <w:lang w:val="en-US"/>
        </w:rPr>
        <w:t>Table</w:t>
      </w:r>
      <w:r w:rsidR="00E84571">
        <w:rPr>
          <w:rFonts w:ascii="Times New Roman" w:hAnsi="Times New Roman" w:cs="Times New Roman"/>
          <w:b/>
          <w:i w:val="0"/>
          <w:color w:val="000000" w:themeColor="text1"/>
          <w:sz w:val="24"/>
          <w:szCs w:val="24"/>
          <w:lang w:val="en-US"/>
        </w:rPr>
        <w:t xml:space="preserve"> </w:t>
      </w:r>
      <w:r w:rsidRPr="00603361">
        <w:rPr>
          <w:rFonts w:ascii="Times New Roman" w:hAnsi="Times New Roman" w:cs="Times New Roman"/>
          <w:b/>
          <w:i w:val="0"/>
          <w:color w:val="000000" w:themeColor="text1"/>
          <w:sz w:val="24"/>
          <w:szCs w:val="24"/>
        </w:rPr>
        <w:fldChar w:fldCharType="begin"/>
      </w:r>
      <w:r w:rsidRPr="003B0147">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3B0147">
        <w:rPr>
          <w:rFonts w:ascii="Times New Roman" w:hAnsi="Times New Roman" w:cs="Times New Roman"/>
          <w:b/>
          <w:i w:val="0"/>
          <w:noProof/>
          <w:color w:val="000000" w:themeColor="text1"/>
          <w:sz w:val="24"/>
          <w:szCs w:val="24"/>
          <w:lang w:val="en-US"/>
        </w:rPr>
        <w:t>1</w:t>
      </w:r>
      <w:r w:rsidRPr="00603361">
        <w:rPr>
          <w:rFonts w:ascii="Times New Roman" w:hAnsi="Times New Roman" w:cs="Times New Roman"/>
          <w:b/>
          <w:i w:val="0"/>
          <w:color w:val="000000" w:themeColor="text1"/>
          <w:sz w:val="24"/>
          <w:szCs w:val="24"/>
        </w:rPr>
        <w:fldChar w:fldCharType="end"/>
      </w:r>
      <w:r w:rsidRPr="003B0147">
        <w:rPr>
          <w:rFonts w:ascii="Times New Roman" w:eastAsia="SimSun" w:hAnsi="Times New Roman" w:cs="Times New Roman"/>
          <w:i w:val="0"/>
          <w:color w:val="000000" w:themeColor="text1"/>
          <w:sz w:val="24"/>
          <w:szCs w:val="24"/>
          <w:lang w:val="en-US" w:eastAsia="zh-CN"/>
        </w:rPr>
        <w:t xml:space="preserve">: </w:t>
      </w:r>
      <w:bookmarkEnd w:id="1"/>
      <w:r w:rsidRPr="003B0147">
        <w:rPr>
          <w:rFonts w:ascii="Times New Roman" w:eastAsia="SimSun" w:hAnsi="Times New Roman" w:cs="Times New Roman"/>
          <w:i w:val="0"/>
          <w:color w:val="000000" w:themeColor="text1"/>
          <w:sz w:val="24"/>
          <w:szCs w:val="24"/>
          <w:lang w:val="en-US" w:eastAsia="zh-CN"/>
        </w:rPr>
        <w:t>unit root test o</w:t>
      </w:r>
      <w:r>
        <w:rPr>
          <w:rFonts w:ascii="Times New Roman" w:eastAsia="SimSun" w:hAnsi="Times New Roman" w:cs="Times New Roman"/>
          <w:i w:val="0"/>
          <w:color w:val="000000" w:themeColor="text1"/>
          <w:sz w:val="24"/>
          <w:szCs w:val="24"/>
          <w:lang w:val="en-US" w:eastAsia="zh-CN"/>
        </w:rPr>
        <w:t>n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706"/>
        <w:gridCol w:w="996"/>
        <w:gridCol w:w="2532"/>
      </w:tblGrid>
      <w:tr w:rsidR="003B0147" w:rsidRPr="00180187" w14:paraId="714C6E7C" w14:textId="77777777" w:rsidTr="009A7559">
        <w:trPr>
          <w:trHeight w:val="250"/>
        </w:trPr>
        <w:tc>
          <w:tcPr>
            <w:tcW w:w="2132" w:type="dxa"/>
          </w:tcPr>
          <w:p w14:paraId="2323B96D" w14:textId="74AF0533" w:rsidR="003B0147" w:rsidRPr="00180187" w:rsidRDefault="00F35C2E" w:rsidP="009A7559">
            <w:pPr>
              <w:pStyle w:val="NoSpacing"/>
              <w:rPr>
                <w:rFonts w:ascii="Times New Roman" w:hAnsi="Times New Roman" w:cs="Times New Roman"/>
                <w:lang w:eastAsia="zh-CN"/>
              </w:rPr>
            </w:pPr>
            <w:r>
              <w:rPr>
                <w:rFonts w:ascii="Times New Roman" w:hAnsi="Times New Roman" w:cs="Times New Roman"/>
                <w:lang w:eastAsia="zh-CN"/>
              </w:rPr>
              <w:t>Country</w:t>
            </w:r>
          </w:p>
        </w:tc>
        <w:tc>
          <w:tcPr>
            <w:tcW w:w="1706" w:type="dxa"/>
          </w:tcPr>
          <w:p w14:paraId="2C8D517B"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Statistiques ADF</w:t>
            </w:r>
          </w:p>
        </w:tc>
        <w:tc>
          <w:tcPr>
            <w:tcW w:w="996" w:type="dxa"/>
          </w:tcPr>
          <w:p w14:paraId="447BAF14"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P-value</w:t>
            </w:r>
          </w:p>
        </w:tc>
        <w:tc>
          <w:tcPr>
            <w:tcW w:w="2532" w:type="dxa"/>
          </w:tcPr>
          <w:p w14:paraId="57F87279"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Conclusion </w:t>
            </w:r>
          </w:p>
        </w:tc>
      </w:tr>
      <w:tr w:rsidR="003B0147" w:rsidRPr="00180187" w14:paraId="2D6EF46B" w14:textId="77777777" w:rsidTr="009A7559">
        <w:trPr>
          <w:trHeight w:val="250"/>
        </w:trPr>
        <w:tc>
          <w:tcPr>
            <w:tcW w:w="2132" w:type="dxa"/>
          </w:tcPr>
          <w:p w14:paraId="1C3785C8"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Burkina Fasso</w:t>
            </w:r>
          </w:p>
        </w:tc>
        <w:tc>
          <w:tcPr>
            <w:tcW w:w="1706" w:type="dxa"/>
          </w:tcPr>
          <w:p w14:paraId="19141184"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5,163</w:t>
            </w:r>
          </w:p>
        </w:tc>
        <w:tc>
          <w:tcPr>
            <w:tcW w:w="996" w:type="dxa"/>
          </w:tcPr>
          <w:p w14:paraId="31F0AFD9"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7996E8D4" w14:textId="39FD6C4B"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Non </w:t>
            </w:r>
            <w:proofErr w:type="spellStart"/>
            <w:r w:rsidRPr="00180187">
              <w:rPr>
                <w:rFonts w:ascii="Times New Roman" w:hAnsi="Times New Roman" w:cs="Times New Roman"/>
                <w:lang w:eastAsia="zh-CN"/>
              </w:rPr>
              <w:t>stationna</w:t>
            </w:r>
            <w:r>
              <w:rPr>
                <w:rFonts w:ascii="Times New Roman" w:hAnsi="Times New Roman" w:cs="Times New Roman"/>
                <w:lang w:eastAsia="zh-CN"/>
              </w:rPr>
              <w:t>ry</w:t>
            </w:r>
            <w:proofErr w:type="spellEnd"/>
          </w:p>
        </w:tc>
      </w:tr>
      <w:tr w:rsidR="003B0147" w:rsidRPr="00180187" w14:paraId="12B7CFD2" w14:textId="77777777" w:rsidTr="009A7559">
        <w:trPr>
          <w:trHeight w:val="250"/>
        </w:trPr>
        <w:tc>
          <w:tcPr>
            <w:tcW w:w="2132" w:type="dxa"/>
          </w:tcPr>
          <w:p w14:paraId="14A379D3"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Benin </w:t>
            </w:r>
          </w:p>
        </w:tc>
        <w:tc>
          <w:tcPr>
            <w:tcW w:w="1706" w:type="dxa"/>
          </w:tcPr>
          <w:p w14:paraId="5E855C08"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10,057</w:t>
            </w:r>
          </w:p>
        </w:tc>
        <w:tc>
          <w:tcPr>
            <w:tcW w:w="996" w:type="dxa"/>
          </w:tcPr>
          <w:p w14:paraId="3D288A94"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57592A47" w14:textId="7F0EF102"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Non </w:t>
            </w:r>
            <w:proofErr w:type="spellStart"/>
            <w:r w:rsidRPr="00180187">
              <w:rPr>
                <w:rFonts w:ascii="Times New Roman" w:hAnsi="Times New Roman" w:cs="Times New Roman"/>
                <w:lang w:eastAsia="zh-CN"/>
              </w:rPr>
              <w:t>stationna</w:t>
            </w:r>
            <w:r>
              <w:rPr>
                <w:rFonts w:ascii="Times New Roman" w:hAnsi="Times New Roman" w:cs="Times New Roman"/>
                <w:lang w:eastAsia="zh-CN"/>
              </w:rPr>
              <w:t>ry</w:t>
            </w:r>
            <w:proofErr w:type="spellEnd"/>
          </w:p>
        </w:tc>
      </w:tr>
      <w:tr w:rsidR="003B0147" w:rsidRPr="00180187" w14:paraId="1A97C9C6" w14:textId="77777777" w:rsidTr="009A7559">
        <w:trPr>
          <w:trHeight w:val="250"/>
        </w:trPr>
        <w:tc>
          <w:tcPr>
            <w:tcW w:w="2132" w:type="dxa"/>
          </w:tcPr>
          <w:p w14:paraId="30AC5F97"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Cameroun</w:t>
            </w:r>
          </w:p>
        </w:tc>
        <w:tc>
          <w:tcPr>
            <w:tcW w:w="1706" w:type="dxa"/>
          </w:tcPr>
          <w:p w14:paraId="5FDBF573"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4,411</w:t>
            </w:r>
          </w:p>
        </w:tc>
        <w:tc>
          <w:tcPr>
            <w:tcW w:w="996" w:type="dxa"/>
          </w:tcPr>
          <w:p w14:paraId="14643591"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0,9999</w:t>
            </w:r>
          </w:p>
        </w:tc>
        <w:tc>
          <w:tcPr>
            <w:tcW w:w="2532" w:type="dxa"/>
          </w:tcPr>
          <w:p w14:paraId="6367A7A8" w14:textId="21E1BAA4" w:rsidR="003B0147" w:rsidRPr="00180187" w:rsidRDefault="003B0147" w:rsidP="003B0147">
            <w:pPr>
              <w:pStyle w:val="NoSpacing"/>
              <w:rPr>
                <w:rFonts w:ascii="Times New Roman" w:hAnsi="Times New Roman" w:cs="Times New Roman"/>
                <w:lang w:eastAsia="zh-CN"/>
              </w:rPr>
            </w:pPr>
            <w:r w:rsidRPr="00692CC3">
              <w:rPr>
                <w:rFonts w:ascii="Times New Roman" w:hAnsi="Times New Roman" w:cs="Times New Roman"/>
                <w:lang w:eastAsia="zh-CN"/>
              </w:rPr>
              <w:t xml:space="preserve">Non </w:t>
            </w:r>
            <w:proofErr w:type="spellStart"/>
            <w:r w:rsidRPr="00692CC3">
              <w:rPr>
                <w:rFonts w:ascii="Times New Roman" w:hAnsi="Times New Roman" w:cs="Times New Roman"/>
                <w:lang w:eastAsia="zh-CN"/>
              </w:rPr>
              <w:t>stationnary</w:t>
            </w:r>
            <w:proofErr w:type="spellEnd"/>
          </w:p>
        </w:tc>
      </w:tr>
      <w:tr w:rsidR="003B0147" w:rsidRPr="00180187" w14:paraId="1E6AC39C" w14:textId="77777777" w:rsidTr="009A7559">
        <w:trPr>
          <w:trHeight w:val="250"/>
        </w:trPr>
        <w:tc>
          <w:tcPr>
            <w:tcW w:w="2132" w:type="dxa"/>
          </w:tcPr>
          <w:p w14:paraId="4C24806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Congo</w:t>
            </w:r>
          </w:p>
        </w:tc>
        <w:tc>
          <w:tcPr>
            <w:tcW w:w="1706" w:type="dxa"/>
          </w:tcPr>
          <w:p w14:paraId="2F5FCB16"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-0,927</w:t>
            </w:r>
          </w:p>
        </w:tc>
        <w:tc>
          <w:tcPr>
            <w:tcW w:w="996" w:type="dxa"/>
          </w:tcPr>
          <w:p w14:paraId="08FEDDA4"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0,1806</w:t>
            </w:r>
          </w:p>
        </w:tc>
        <w:tc>
          <w:tcPr>
            <w:tcW w:w="2532" w:type="dxa"/>
          </w:tcPr>
          <w:p w14:paraId="34899D78" w14:textId="06FB7C66" w:rsidR="003B0147" w:rsidRPr="00180187" w:rsidRDefault="003B0147" w:rsidP="003B0147">
            <w:pPr>
              <w:pStyle w:val="NoSpacing"/>
              <w:rPr>
                <w:rFonts w:ascii="Times New Roman" w:hAnsi="Times New Roman" w:cs="Times New Roman"/>
                <w:lang w:eastAsia="zh-CN"/>
              </w:rPr>
            </w:pPr>
            <w:r w:rsidRPr="00692CC3">
              <w:rPr>
                <w:rFonts w:ascii="Times New Roman" w:hAnsi="Times New Roman" w:cs="Times New Roman"/>
                <w:lang w:eastAsia="zh-CN"/>
              </w:rPr>
              <w:t xml:space="preserve">Non </w:t>
            </w:r>
            <w:proofErr w:type="spellStart"/>
            <w:r w:rsidRPr="00692CC3">
              <w:rPr>
                <w:rFonts w:ascii="Times New Roman" w:hAnsi="Times New Roman" w:cs="Times New Roman"/>
                <w:lang w:eastAsia="zh-CN"/>
              </w:rPr>
              <w:t>stationnary</w:t>
            </w:r>
            <w:proofErr w:type="spellEnd"/>
          </w:p>
        </w:tc>
      </w:tr>
      <w:tr w:rsidR="003B0147" w:rsidRPr="00180187" w14:paraId="22CF1173" w14:textId="77777777" w:rsidTr="009A7559">
        <w:trPr>
          <w:trHeight w:val="250"/>
        </w:trPr>
        <w:tc>
          <w:tcPr>
            <w:tcW w:w="2132" w:type="dxa"/>
          </w:tcPr>
          <w:p w14:paraId="00DF084D"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Côte d'Ivoire</w:t>
            </w:r>
          </w:p>
        </w:tc>
        <w:tc>
          <w:tcPr>
            <w:tcW w:w="1706" w:type="dxa"/>
          </w:tcPr>
          <w:p w14:paraId="074E102C"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5,240</w:t>
            </w:r>
          </w:p>
        </w:tc>
        <w:tc>
          <w:tcPr>
            <w:tcW w:w="996" w:type="dxa"/>
          </w:tcPr>
          <w:p w14:paraId="58CF232D"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1D856DB9" w14:textId="46D38E25" w:rsidR="003B0147" w:rsidRPr="00180187" w:rsidRDefault="003B0147" w:rsidP="003B0147">
            <w:pPr>
              <w:pStyle w:val="NoSpacing"/>
              <w:rPr>
                <w:rFonts w:ascii="Times New Roman" w:hAnsi="Times New Roman" w:cs="Times New Roman"/>
                <w:lang w:eastAsia="zh-CN"/>
              </w:rPr>
            </w:pPr>
            <w:r w:rsidRPr="00692CC3">
              <w:rPr>
                <w:rFonts w:ascii="Times New Roman" w:hAnsi="Times New Roman" w:cs="Times New Roman"/>
                <w:lang w:eastAsia="zh-CN"/>
              </w:rPr>
              <w:t xml:space="preserve">Non </w:t>
            </w:r>
            <w:proofErr w:type="spellStart"/>
            <w:r w:rsidRPr="00692CC3">
              <w:rPr>
                <w:rFonts w:ascii="Times New Roman" w:hAnsi="Times New Roman" w:cs="Times New Roman"/>
                <w:lang w:eastAsia="zh-CN"/>
              </w:rPr>
              <w:t>stationnary</w:t>
            </w:r>
            <w:proofErr w:type="spellEnd"/>
          </w:p>
        </w:tc>
      </w:tr>
      <w:tr w:rsidR="003B0147" w:rsidRPr="00180187" w14:paraId="2E66981C" w14:textId="77777777" w:rsidTr="009A7559">
        <w:trPr>
          <w:trHeight w:val="250"/>
        </w:trPr>
        <w:tc>
          <w:tcPr>
            <w:tcW w:w="2132" w:type="dxa"/>
          </w:tcPr>
          <w:p w14:paraId="7CDD27F0"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Gabon</w:t>
            </w:r>
          </w:p>
        </w:tc>
        <w:tc>
          <w:tcPr>
            <w:tcW w:w="1706" w:type="dxa"/>
          </w:tcPr>
          <w:p w14:paraId="4B52271C"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0,739</w:t>
            </w:r>
          </w:p>
        </w:tc>
        <w:tc>
          <w:tcPr>
            <w:tcW w:w="996" w:type="dxa"/>
          </w:tcPr>
          <w:p w14:paraId="29B34001"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0,7672</w:t>
            </w:r>
          </w:p>
        </w:tc>
        <w:tc>
          <w:tcPr>
            <w:tcW w:w="2532" w:type="dxa"/>
          </w:tcPr>
          <w:p w14:paraId="5CAB303E" w14:textId="6B24BA46" w:rsidR="003B0147" w:rsidRPr="00180187" w:rsidRDefault="003B0147" w:rsidP="003B0147">
            <w:pPr>
              <w:pStyle w:val="NoSpacing"/>
              <w:rPr>
                <w:rFonts w:ascii="Times New Roman" w:hAnsi="Times New Roman" w:cs="Times New Roman"/>
                <w:lang w:eastAsia="zh-CN"/>
              </w:rPr>
            </w:pPr>
            <w:r w:rsidRPr="00692CC3">
              <w:rPr>
                <w:rFonts w:ascii="Times New Roman" w:hAnsi="Times New Roman" w:cs="Times New Roman"/>
                <w:lang w:eastAsia="zh-CN"/>
              </w:rPr>
              <w:t xml:space="preserve">Non </w:t>
            </w:r>
            <w:proofErr w:type="spellStart"/>
            <w:r w:rsidRPr="00692CC3">
              <w:rPr>
                <w:rFonts w:ascii="Times New Roman" w:hAnsi="Times New Roman" w:cs="Times New Roman"/>
                <w:lang w:eastAsia="zh-CN"/>
              </w:rPr>
              <w:t>stationnary</w:t>
            </w:r>
            <w:proofErr w:type="spellEnd"/>
          </w:p>
        </w:tc>
      </w:tr>
      <w:tr w:rsidR="003B0147" w:rsidRPr="00180187" w14:paraId="3F76AC6D" w14:textId="77777777" w:rsidTr="009A7559">
        <w:trPr>
          <w:trHeight w:val="250"/>
        </w:trPr>
        <w:tc>
          <w:tcPr>
            <w:tcW w:w="2132" w:type="dxa"/>
          </w:tcPr>
          <w:p w14:paraId="30E63EF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Guinée</w:t>
            </w:r>
          </w:p>
        </w:tc>
        <w:tc>
          <w:tcPr>
            <w:tcW w:w="1706" w:type="dxa"/>
          </w:tcPr>
          <w:p w14:paraId="0C0B616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7,457</w:t>
            </w:r>
          </w:p>
        </w:tc>
        <w:tc>
          <w:tcPr>
            <w:tcW w:w="996" w:type="dxa"/>
          </w:tcPr>
          <w:p w14:paraId="2BA5738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054EEA14" w14:textId="6E027E08" w:rsidR="003B0147" w:rsidRPr="00180187" w:rsidRDefault="003B0147" w:rsidP="003B0147">
            <w:pPr>
              <w:pStyle w:val="NoSpacing"/>
              <w:rPr>
                <w:rFonts w:ascii="Times New Roman" w:hAnsi="Times New Roman" w:cs="Times New Roman"/>
                <w:lang w:eastAsia="zh-CN"/>
              </w:rPr>
            </w:pPr>
            <w:r w:rsidRPr="00692CC3">
              <w:rPr>
                <w:rFonts w:ascii="Times New Roman" w:hAnsi="Times New Roman" w:cs="Times New Roman"/>
                <w:lang w:eastAsia="zh-CN"/>
              </w:rPr>
              <w:t xml:space="preserve">Non </w:t>
            </w:r>
            <w:proofErr w:type="spellStart"/>
            <w:r w:rsidRPr="00692CC3">
              <w:rPr>
                <w:rFonts w:ascii="Times New Roman" w:hAnsi="Times New Roman" w:cs="Times New Roman"/>
                <w:lang w:eastAsia="zh-CN"/>
              </w:rPr>
              <w:t>stationnary</w:t>
            </w:r>
            <w:proofErr w:type="spellEnd"/>
          </w:p>
        </w:tc>
      </w:tr>
      <w:tr w:rsidR="003B0147" w:rsidRPr="00180187" w14:paraId="7DC9CE49" w14:textId="77777777" w:rsidTr="009A7559">
        <w:trPr>
          <w:trHeight w:val="237"/>
        </w:trPr>
        <w:tc>
          <w:tcPr>
            <w:tcW w:w="2132" w:type="dxa"/>
          </w:tcPr>
          <w:p w14:paraId="46C19D0D"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Guinée </w:t>
            </w:r>
            <w:proofErr w:type="spellStart"/>
            <w:r w:rsidRPr="00180187">
              <w:rPr>
                <w:rFonts w:ascii="Times New Roman" w:hAnsi="Times New Roman" w:cs="Times New Roman"/>
                <w:lang w:eastAsia="zh-CN"/>
              </w:rPr>
              <w:t>Equato</w:t>
            </w:r>
            <w:proofErr w:type="spellEnd"/>
          </w:p>
        </w:tc>
        <w:tc>
          <w:tcPr>
            <w:tcW w:w="1706" w:type="dxa"/>
          </w:tcPr>
          <w:p w14:paraId="0CB2D232"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-1,513</w:t>
            </w:r>
          </w:p>
        </w:tc>
        <w:tc>
          <w:tcPr>
            <w:tcW w:w="996" w:type="dxa"/>
          </w:tcPr>
          <w:p w14:paraId="43366CCE"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0,0700</w:t>
            </w:r>
          </w:p>
        </w:tc>
        <w:tc>
          <w:tcPr>
            <w:tcW w:w="2532" w:type="dxa"/>
          </w:tcPr>
          <w:p w14:paraId="19F8EDDC" w14:textId="22C24733" w:rsidR="003B0147" w:rsidRPr="00180187" w:rsidRDefault="003B0147" w:rsidP="009A7559">
            <w:pPr>
              <w:pStyle w:val="NoSpacing"/>
              <w:rPr>
                <w:rFonts w:ascii="Times New Roman" w:hAnsi="Times New Roman" w:cs="Times New Roman"/>
                <w:lang w:eastAsia="zh-CN"/>
              </w:rPr>
            </w:pPr>
            <w:proofErr w:type="spellStart"/>
            <w:r w:rsidRPr="00180187">
              <w:rPr>
                <w:rFonts w:ascii="Times New Roman" w:hAnsi="Times New Roman" w:cs="Times New Roman"/>
                <w:lang w:eastAsia="zh-CN"/>
              </w:rPr>
              <w:t>Stationna</w:t>
            </w:r>
            <w:r>
              <w:rPr>
                <w:rFonts w:ascii="Times New Roman" w:hAnsi="Times New Roman" w:cs="Times New Roman"/>
                <w:lang w:eastAsia="zh-CN"/>
              </w:rPr>
              <w:t>ry</w:t>
            </w:r>
            <w:proofErr w:type="spellEnd"/>
          </w:p>
        </w:tc>
      </w:tr>
      <w:tr w:rsidR="003B0147" w:rsidRPr="00180187" w14:paraId="3C0E8F3B" w14:textId="77777777" w:rsidTr="009A7559">
        <w:trPr>
          <w:trHeight w:val="250"/>
        </w:trPr>
        <w:tc>
          <w:tcPr>
            <w:tcW w:w="2132" w:type="dxa"/>
          </w:tcPr>
          <w:p w14:paraId="41FBBDA8"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Mali</w:t>
            </w:r>
          </w:p>
        </w:tc>
        <w:tc>
          <w:tcPr>
            <w:tcW w:w="1706" w:type="dxa"/>
          </w:tcPr>
          <w:p w14:paraId="71A7A8AD"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2,936</w:t>
            </w:r>
          </w:p>
        </w:tc>
        <w:tc>
          <w:tcPr>
            <w:tcW w:w="996" w:type="dxa"/>
          </w:tcPr>
          <w:p w14:paraId="47FEDC19"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0,9969</w:t>
            </w:r>
          </w:p>
        </w:tc>
        <w:tc>
          <w:tcPr>
            <w:tcW w:w="2532" w:type="dxa"/>
          </w:tcPr>
          <w:p w14:paraId="174E909D" w14:textId="5BB64380" w:rsidR="003B0147" w:rsidRPr="00180187" w:rsidRDefault="003B0147" w:rsidP="003B0147">
            <w:pPr>
              <w:pStyle w:val="NoSpacing"/>
              <w:rPr>
                <w:rFonts w:ascii="Times New Roman" w:hAnsi="Times New Roman" w:cs="Times New Roman"/>
                <w:lang w:eastAsia="zh-CN"/>
              </w:rPr>
            </w:pPr>
            <w:r w:rsidRPr="00503456">
              <w:rPr>
                <w:rFonts w:ascii="Times New Roman" w:hAnsi="Times New Roman" w:cs="Times New Roman"/>
                <w:lang w:eastAsia="zh-CN"/>
              </w:rPr>
              <w:t xml:space="preserve">Non </w:t>
            </w:r>
            <w:proofErr w:type="spellStart"/>
            <w:r w:rsidRPr="00503456">
              <w:rPr>
                <w:rFonts w:ascii="Times New Roman" w:hAnsi="Times New Roman" w:cs="Times New Roman"/>
                <w:lang w:eastAsia="zh-CN"/>
              </w:rPr>
              <w:t>stationnary</w:t>
            </w:r>
            <w:proofErr w:type="spellEnd"/>
          </w:p>
        </w:tc>
      </w:tr>
      <w:tr w:rsidR="003B0147" w:rsidRPr="00180187" w14:paraId="5DBEDB89" w14:textId="77777777" w:rsidTr="009A7559">
        <w:trPr>
          <w:trHeight w:val="250"/>
        </w:trPr>
        <w:tc>
          <w:tcPr>
            <w:tcW w:w="2132" w:type="dxa"/>
          </w:tcPr>
          <w:p w14:paraId="1599AD1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Niger</w:t>
            </w:r>
          </w:p>
        </w:tc>
        <w:tc>
          <w:tcPr>
            <w:tcW w:w="1706" w:type="dxa"/>
          </w:tcPr>
          <w:p w14:paraId="439313D7"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5,219</w:t>
            </w:r>
          </w:p>
        </w:tc>
        <w:tc>
          <w:tcPr>
            <w:tcW w:w="996" w:type="dxa"/>
          </w:tcPr>
          <w:p w14:paraId="7C6D04E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7D6318E4" w14:textId="47AEE50F" w:rsidR="003B0147" w:rsidRPr="00180187" w:rsidRDefault="003B0147" w:rsidP="003B0147">
            <w:pPr>
              <w:pStyle w:val="NoSpacing"/>
              <w:rPr>
                <w:rFonts w:ascii="Times New Roman" w:hAnsi="Times New Roman" w:cs="Times New Roman"/>
                <w:lang w:eastAsia="zh-CN"/>
              </w:rPr>
            </w:pPr>
            <w:r w:rsidRPr="00503456">
              <w:rPr>
                <w:rFonts w:ascii="Times New Roman" w:hAnsi="Times New Roman" w:cs="Times New Roman"/>
                <w:lang w:eastAsia="zh-CN"/>
              </w:rPr>
              <w:t xml:space="preserve">Non </w:t>
            </w:r>
            <w:proofErr w:type="spellStart"/>
            <w:r w:rsidRPr="00503456">
              <w:rPr>
                <w:rFonts w:ascii="Times New Roman" w:hAnsi="Times New Roman" w:cs="Times New Roman"/>
                <w:lang w:eastAsia="zh-CN"/>
              </w:rPr>
              <w:t>stationnary</w:t>
            </w:r>
            <w:proofErr w:type="spellEnd"/>
          </w:p>
        </w:tc>
      </w:tr>
      <w:tr w:rsidR="003B0147" w:rsidRPr="00180187" w14:paraId="48798C11" w14:textId="77777777" w:rsidTr="009A7559">
        <w:trPr>
          <w:trHeight w:val="250"/>
        </w:trPr>
        <w:tc>
          <w:tcPr>
            <w:tcW w:w="2132" w:type="dxa"/>
          </w:tcPr>
          <w:p w14:paraId="7DF90895" w14:textId="77777777" w:rsidR="003B0147" w:rsidRPr="00180187" w:rsidRDefault="003B0147" w:rsidP="009A7559">
            <w:pPr>
              <w:pStyle w:val="NoSpacing"/>
              <w:rPr>
                <w:rFonts w:ascii="Times New Roman" w:hAnsi="Times New Roman" w:cs="Times New Roman"/>
                <w:lang w:eastAsia="zh-CN"/>
              </w:rPr>
            </w:pPr>
            <w:proofErr w:type="spellStart"/>
            <w:r w:rsidRPr="00180187">
              <w:rPr>
                <w:rFonts w:ascii="Times New Roman" w:hAnsi="Times New Roman" w:cs="Times New Roman"/>
                <w:lang w:eastAsia="zh-CN"/>
              </w:rPr>
              <w:t>Rép</w:t>
            </w:r>
            <w:proofErr w:type="spellEnd"/>
            <w:r w:rsidRPr="00180187">
              <w:rPr>
                <w:rFonts w:ascii="Times New Roman" w:hAnsi="Times New Roman" w:cs="Times New Roman"/>
                <w:lang w:eastAsia="zh-CN"/>
              </w:rPr>
              <w:t xml:space="preserve"> Centre Afrique</w:t>
            </w:r>
          </w:p>
        </w:tc>
        <w:tc>
          <w:tcPr>
            <w:tcW w:w="1706" w:type="dxa"/>
          </w:tcPr>
          <w:p w14:paraId="55CB38F5"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-1,933 </w:t>
            </w:r>
          </w:p>
        </w:tc>
        <w:tc>
          <w:tcPr>
            <w:tcW w:w="996" w:type="dxa"/>
          </w:tcPr>
          <w:p w14:paraId="70550085"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0,0311</w:t>
            </w:r>
          </w:p>
        </w:tc>
        <w:tc>
          <w:tcPr>
            <w:tcW w:w="2532" w:type="dxa"/>
          </w:tcPr>
          <w:p w14:paraId="0801CF47" w14:textId="0E001D1B" w:rsidR="003B0147" w:rsidRPr="00180187" w:rsidRDefault="003B0147" w:rsidP="009A7559">
            <w:pPr>
              <w:pStyle w:val="NoSpacing"/>
              <w:rPr>
                <w:rFonts w:ascii="Times New Roman" w:hAnsi="Times New Roman" w:cs="Times New Roman"/>
                <w:lang w:eastAsia="zh-CN"/>
              </w:rPr>
            </w:pPr>
            <w:proofErr w:type="spellStart"/>
            <w:r w:rsidRPr="00180187">
              <w:rPr>
                <w:rFonts w:ascii="Times New Roman" w:hAnsi="Times New Roman" w:cs="Times New Roman"/>
                <w:lang w:eastAsia="zh-CN"/>
              </w:rPr>
              <w:t>Stationna</w:t>
            </w:r>
            <w:r>
              <w:rPr>
                <w:rFonts w:ascii="Times New Roman" w:hAnsi="Times New Roman" w:cs="Times New Roman"/>
                <w:lang w:eastAsia="zh-CN"/>
              </w:rPr>
              <w:t>ry</w:t>
            </w:r>
            <w:proofErr w:type="spellEnd"/>
          </w:p>
        </w:tc>
      </w:tr>
      <w:tr w:rsidR="003B0147" w:rsidRPr="00180187" w14:paraId="6F2E5287" w14:textId="77777777" w:rsidTr="009A7559">
        <w:trPr>
          <w:trHeight w:val="250"/>
        </w:trPr>
        <w:tc>
          <w:tcPr>
            <w:tcW w:w="2132" w:type="dxa"/>
          </w:tcPr>
          <w:p w14:paraId="79FF47A2"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Sénégal</w:t>
            </w:r>
          </w:p>
        </w:tc>
        <w:tc>
          <w:tcPr>
            <w:tcW w:w="1706" w:type="dxa"/>
          </w:tcPr>
          <w:p w14:paraId="516BFB6D"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7,105</w:t>
            </w:r>
          </w:p>
        </w:tc>
        <w:tc>
          <w:tcPr>
            <w:tcW w:w="996" w:type="dxa"/>
          </w:tcPr>
          <w:p w14:paraId="36995BE4"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346704C2" w14:textId="3250C89F" w:rsidR="003B0147" w:rsidRPr="00180187" w:rsidRDefault="003B0147" w:rsidP="003B0147">
            <w:pPr>
              <w:pStyle w:val="NoSpacing"/>
              <w:rPr>
                <w:rFonts w:ascii="Times New Roman" w:hAnsi="Times New Roman" w:cs="Times New Roman"/>
                <w:lang w:eastAsia="zh-CN"/>
              </w:rPr>
            </w:pPr>
            <w:r w:rsidRPr="00294059">
              <w:rPr>
                <w:rFonts w:ascii="Times New Roman" w:hAnsi="Times New Roman" w:cs="Times New Roman"/>
                <w:lang w:eastAsia="zh-CN"/>
              </w:rPr>
              <w:t xml:space="preserve">Non </w:t>
            </w:r>
            <w:proofErr w:type="spellStart"/>
            <w:r w:rsidRPr="00294059">
              <w:rPr>
                <w:rFonts w:ascii="Times New Roman" w:hAnsi="Times New Roman" w:cs="Times New Roman"/>
                <w:lang w:eastAsia="zh-CN"/>
              </w:rPr>
              <w:t>stationnary</w:t>
            </w:r>
            <w:proofErr w:type="spellEnd"/>
          </w:p>
        </w:tc>
      </w:tr>
      <w:tr w:rsidR="003B0147" w:rsidRPr="00180187" w14:paraId="5F2D259D" w14:textId="77777777" w:rsidTr="009A7559">
        <w:trPr>
          <w:trHeight w:val="250"/>
        </w:trPr>
        <w:tc>
          <w:tcPr>
            <w:tcW w:w="2132" w:type="dxa"/>
          </w:tcPr>
          <w:p w14:paraId="5F20ECE4"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Tchad</w:t>
            </w:r>
          </w:p>
        </w:tc>
        <w:tc>
          <w:tcPr>
            <w:tcW w:w="1706" w:type="dxa"/>
          </w:tcPr>
          <w:p w14:paraId="0D2CDDB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0,819</w:t>
            </w:r>
          </w:p>
        </w:tc>
        <w:tc>
          <w:tcPr>
            <w:tcW w:w="996" w:type="dxa"/>
          </w:tcPr>
          <w:p w14:paraId="0D437F9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0,7906</w:t>
            </w:r>
          </w:p>
        </w:tc>
        <w:tc>
          <w:tcPr>
            <w:tcW w:w="2532" w:type="dxa"/>
          </w:tcPr>
          <w:p w14:paraId="71838FB6" w14:textId="43FDC05A" w:rsidR="003B0147" w:rsidRPr="00180187" w:rsidRDefault="003B0147" w:rsidP="003B0147">
            <w:pPr>
              <w:pStyle w:val="NoSpacing"/>
              <w:rPr>
                <w:rFonts w:ascii="Times New Roman" w:hAnsi="Times New Roman" w:cs="Times New Roman"/>
                <w:lang w:eastAsia="zh-CN"/>
              </w:rPr>
            </w:pPr>
            <w:r w:rsidRPr="00294059">
              <w:rPr>
                <w:rFonts w:ascii="Times New Roman" w:hAnsi="Times New Roman" w:cs="Times New Roman"/>
                <w:lang w:eastAsia="zh-CN"/>
              </w:rPr>
              <w:t xml:space="preserve">Non </w:t>
            </w:r>
            <w:proofErr w:type="spellStart"/>
            <w:r w:rsidRPr="00294059">
              <w:rPr>
                <w:rFonts w:ascii="Times New Roman" w:hAnsi="Times New Roman" w:cs="Times New Roman"/>
                <w:lang w:eastAsia="zh-CN"/>
              </w:rPr>
              <w:t>stationnary</w:t>
            </w:r>
            <w:proofErr w:type="spellEnd"/>
          </w:p>
        </w:tc>
      </w:tr>
      <w:tr w:rsidR="003B0147" w:rsidRPr="00180187" w14:paraId="16FF8187" w14:textId="77777777" w:rsidTr="009A7559">
        <w:trPr>
          <w:trHeight w:val="250"/>
        </w:trPr>
        <w:tc>
          <w:tcPr>
            <w:tcW w:w="2132" w:type="dxa"/>
          </w:tcPr>
          <w:p w14:paraId="6208D279"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Togo</w:t>
            </w:r>
          </w:p>
        </w:tc>
        <w:tc>
          <w:tcPr>
            <w:tcW w:w="1706" w:type="dxa"/>
          </w:tcPr>
          <w:p w14:paraId="077F4F04"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4,108</w:t>
            </w:r>
          </w:p>
        </w:tc>
        <w:tc>
          <w:tcPr>
            <w:tcW w:w="996" w:type="dxa"/>
          </w:tcPr>
          <w:p w14:paraId="3A0704E0"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0,9999</w:t>
            </w:r>
          </w:p>
        </w:tc>
        <w:tc>
          <w:tcPr>
            <w:tcW w:w="2532" w:type="dxa"/>
          </w:tcPr>
          <w:p w14:paraId="3A52D699" w14:textId="578BDF42" w:rsidR="003B0147" w:rsidRPr="00180187" w:rsidRDefault="003B0147" w:rsidP="003B0147">
            <w:pPr>
              <w:pStyle w:val="NoSpacing"/>
              <w:rPr>
                <w:rFonts w:ascii="Times New Roman" w:hAnsi="Times New Roman" w:cs="Times New Roman"/>
                <w:lang w:eastAsia="zh-CN"/>
              </w:rPr>
            </w:pPr>
            <w:r w:rsidRPr="00294059">
              <w:rPr>
                <w:rFonts w:ascii="Times New Roman" w:hAnsi="Times New Roman" w:cs="Times New Roman"/>
                <w:lang w:eastAsia="zh-CN"/>
              </w:rPr>
              <w:t xml:space="preserve">Non </w:t>
            </w:r>
            <w:proofErr w:type="spellStart"/>
            <w:r w:rsidRPr="00294059">
              <w:rPr>
                <w:rFonts w:ascii="Times New Roman" w:hAnsi="Times New Roman" w:cs="Times New Roman"/>
                <w:lang w:eastAsia="zh-CN"/>
              </w:rPr>
              <w:t>stationnary</w:t>
            </w:r>
            <w:proofErr w:type="spellEnd"/>
          </w:p>
        </w:tc>
      </w:tr>
    </w:tbl>
    <w:p w14:paraId="2FE46C70" w14:textId="77777777" w:rsidR="003B0147" w:rsidRDefault="003B0147" w:rsidP="003B0147">
      <w:pPr>
        <w:jc w:val="both"/>
        <w:rPr>
          <w:rFonts w:ascii="Times New Roman" w:hAnsi="Times New Roman" w:cs="Times New Roman"/>
          <w:sz w:val="24"/>
          <w:szCs w:val="24"/>
          <w:lang w:val="en-US"/>
        </w:rPr>
      </w:pPr>
    </w:p>
    <w:p w14:paraId="1058E17A" w14:textId="3D31255D" w:rsidR="00F35C2E" w:rsidRDefault="00F35C2E" w:rsidP="003B0147">
      <w:pPr>
        <w:jc w:val="both"/>
        <w:rPr>
          <w:rFonts w:ascii="Times New Roman" w:hAnsi="Times New Roman" w:cs="Times New Roman"/>
          <w:sz w:val="24"/>
          <w:szCs w:val="24"/>
          <w:lang w:val="en-US"/>
        </w:rPr>
      </w:pPr>
      <w:r w:rsidRPr="00F35C2E">
        <w:rPr>
          <w:rFonts w:ascii="Times New Roman" w:hAnsi="Times New Roman" w:cs="Times New Roman"/>
          <w:sz w:val="24"/>
          <w:szCs w:val="24"/>
          <w:lang w:val="en-US"/>
        </w:rPr>
        <w:t>The dominant non-stationarity of GDP indicates that the economies of the region are subject to permanent shocks (e.g., resource discoveries, major institutional changes, conflicts) that permanently alter their growth trajectory. GDP does not return to a stable path after a shock. The stationarity of GDP for Equatorial Guinea and the CAR suggests that their output fluctuates around a constant average level (effects of temporary shocks). Positive and high ADF statistics (e.g., 5.163 for Burkina Faso, 10.067 for Benin) confirm non-stationarity (the ADF statistic must be negative and low to reject H₀).</w:t>
      </w:r>
    </w:p>
    <w:p w14:paraId="2F85D7DC" w14:textId="056E43C8" w:rsidR="00F35C2E" w:rsidRPr="00F35C2E" w:rsidRDefault="00F35C2E" w:rsidP="00F35C2E">
      <w:pPr>
        <w:pStyle w:val="Caption"/>
        <w:rPr>
          <w:rFonts w:ascii="Times New Roman" w:eastAsia="SimSun" w:hAnsi="Times New Roman" w:cs="Times New Roman"/>
          <w:i w:val="0"/>
          <w:color w:val="000000" w:themeColor="text1"/>
          <w:sz w:val="24"/>
          <w:szCs w:val="24"/>
          <w:lang w:val="en-US" w:eastAsia="zh-CN"/>
        </w:rPr>
      </w:pPr>
      <w:bookmarkStart w:id="2" w:name="_Toc215577680"/>
      <w:r w:rsidRPr="00F35C2E">
        <w:rPr>
          <w:rFonts w:ascii="Times New Roman" w:hAnsi="Times New Roman" w:cs="Times New Roman"/>
          <w:b/>
          <w:i w:val="0"/>
          <w:color w:val="000000" w:themeColor="text1"/>
          <w:sz w:val="24"/>
          <w:szCs w:val="24"/>
          <w:lang w:val="en-US"/>
        </w:rPr>
        <w:lastRenderedPageBreak/>
        <w:t xml:space="preserve">Table </w:t>
      </w:r>
      <w:r w:rsidRPr="00603361">
        <w:rPr>
          <w:rFonts w:ascii="Times New Roman" w:hAnsi="Times New Roman" w:cs="Times New Roman"/>
          <w:b/>
          <w:i w:val="0"/>
          <w:color w:val="000000" w:themeColor="text1"/>
          <w:sz w:val="24"/>
          <w:szCs w:val="24"/>
        </w:rPr>
        <w:fldChar w:fldCharType="begin"/>
      </w:r>
      <w:r w:rsidRPr="00F35C2E">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F35C2E">
        <w:rPr>
          <w:rFonts w:ascii="Times New Roman" w:hAnsi="Times New Roman" w:cs="Times New Roman"/>
          <w:b/>
          <w:i w:val="0"/>
          <w:noProof/>
          <w:color w:val="000000" w:themeColor="text1"/>
          <w:sz w:val="24"/>
          <w:szCs w:val="24"/>
          <w:lang w:val="en-US"/>
        </w:rPr>
        <w:t>2</w:t>
      </w:r>
      <w:r w:rsidRPr="00603361">
        <w:rPr>
          <w:rFonts w:ascii="Times New Roman" w:hAnsi="Times New Roman" w:cs="Times New Roman"/>
          <w:b/>
          <w:i w:val="0"/>
          <w:color w:val="000000" w:themeColor="text1"/>
          <w:sz w:val="24"/>
          <w:szCs w:val="24"/>
        </w:rPr>
        <w:fldChar w:fldCharType="end"/>
      </w:r>
      <w:r w:rsidRPr="00F35C2E">
        <w:rPr>
          <w:rFonts w:ascii="Times New Roman" w:eastAsia="SimSun" w:hAnsi="Times New Roman" w:cs="Times New Roman"/>
          <w:i w:val="0"/>
          <w:color w:val="000000" w:themeColor="text1"/>
          <w:sz w:val="24"/>
          <w:szCs w:val="24"/>
          <w:lang w:val="en-US" w:eastAsia="zh-CN"/>
        </w:rPr>
        <w:t xml:space="preserve">: </w:t>
      </w:r>
      <w:bookmarkEnd w:id="2"/>
      <w:r w:rsidRPr="00F35C2E">
        <w:rPr>
          <w:rFonts w:ascii="Times New Roman" w:eastAsia="SimSun" w:hAnsi="Times New Roman" w:cs="Times New Roman"/>
          <w:i w:val="0"/>
          <w:color w:val="000000" w:themeColor="text1"/>
          <w:sz w:val="24"/>
          <w:szCs w:val="24"/>
          <w:lang w:val="en-US" w:eastAsia="zh-CN"/>
        </w:rPr>
        <w:t>unit root test on inflation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656"/>
        <w:gridCol w:w="1134"/>
        <w:gridCol w:w="1280"/>
      </w:tblGrid>
      <w:tr w:rsidR="00F35C2E" w:rsidRPr="00180187" w14:paraId="0107A3BB" w14:textId="77777777" w:rsidTr="00F35C2E">
        <w:trPr>
          <w:trHeight w:val="247"/>
        </w:trPr>
        <w:tc>
          <w:tcPr>
            <w:tcW w:w="2535" w:type="dxa"/>
          </w:tcPr>
          <w:p w14:paraId="3CB6CFB0" w14:textId="3BD69195" w:rsidR="00F35C2E" w:rsidRPr="00180187" w:rsidRDefault="00F35C2E" w:rsidP="009A7559">
            <w:pPr>
              <w:pStyle w:val="NoSpacing"/>
              <w:rPr>
                <w:rFonts w:ascii="Times New Roman" w:hAnsi="Times New Roman" w:cs="Times New Roman"/>
                <w:lang w:eastAsia="zh-CN"/>
              </w:rPr>
            </w:pPr>
            <w:r>
              <w:rPr>
                <w:rFonts w:ascii="Times New Roman" w:hAnsi="Times New Roman" w:cs="Times New Roman"/>
                <w:lang w:eastAsia="zh-CN"/>
              </w:rPr>
              <w:t>Country</w:t>
            </w:r>
          </w:p>
        </w:tc>
        <w:tc>
          <w:tcPr>
            <w:tcW w:w="1656" w:type="dxa"/>
          </w:tcPr>
          <w:p w14:paraId="4C4A78B1" w14:textId="77777777" w:rsidR="00F35C2E" w:rsidRPr="00180187" w:rsidRDefault="00F35C2E" w:rsidP="009A7559">
            <w:pPr>
              <w:pStyle w:val="NoSpacing"/>
              <w:rPr>
                <w:rFonts w:ascii="Times New Roman" w:hAnsi="Times New Roman" w:cs="Times New Roman"/>
                <w:lang w:eastAsia="zh-CN"/>
              </w:rPr>
            </w:pPr>
            <w:r w:rsidRPr="00180187">
              <w:rPr>
                <w:rFonts w:ascii="Times New Roman" w:hAnsi="Times New Roman" w:cs="Times New Roman"/>
                <w:lang w:eastAsia="zh-CN"/>
              </w:rPr>
              <w:t>Statistiques ADF</w:t>
            </w:r>
          </w:p>
        </w:tc>
        <w:tc>
          <w:tcPr>
            <w:tcW w:w="1134" w:type="dxa"/>
          </w:tcPr>
          <w:p w14:paraId="6004EB66" w14:textId="77777777" w:rsidR="00F35C2E" w:rsidRPr="00180187" w:rsidRDefault="00F35C2E" w:rsidP="009A7559">
            <w:pPr>
              <w:pStyle w:val="NoSpacing"/>
              <w:rPr>
                <w:rFonts w:ascii="Times New Roman" w:hAnsi="Times New Roman" w:cs="Times New Roman"/>
                <w:lang w:eastAsia="zh-CN"/>
              </w:rPr>
            </w:pPr>
            <w:r w:rsidRPr="00180187">
              <w:rPr>
                <w:rFonts w:ascii="Times New Roman" w:hAnsi="Times New Roman" w:cs="Times New Roman"/>
                <w:lang w:eastAsia="zh-CN"/>
              </w:rPr>
              <w:t>P-value</w:t>
            </w:r>
          </w:p>
        </w:tc>
        <w:tc>
          <w:tcPr>
            <w:tcW w:w="1280" w:type="dxa"/>
          </w:tcPr>
          <w:p w14:paraId="37C7A4BC" w14:textId="77777777" w:rsidR="00F35C2E" w:rsidRPr="00180187" w:rsidRDefault="00F35C2E"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Conclusion </w:t>
            </w:r>
          </w:p>
        </w:tc>
      </w:tr>
      <w:tr w:rsidR="00F35C2E" w:rsidRPr="00180187" w14:paraId="5FBB4DA6" w14:textId="77777777" w:rsidTr="00F35C2E">
        <w:trPr>
          <w:trHeight w:val="265"/>
        </w:trPr>
        <w:tc>
          <w:tcPr>
            <w:tcW w:w="2535" w:type="dxa"/>
          </w:tcPr>
          <w:p w14:paraId="1D20F1D6" w14:textId="77777777" w:rsidR="00F35C2E" w:rsidRPr="00180187" w:rsidRDefault="00F35C2E" w:rsidP="009A7559">
            <w:pPr>
              <w:pStyle w:val="NoSpacing"/>
              <w:rPr>
                <w:rFonts w:ascii="Times New Roman" w:hAnsi="Times New Roman" w:cs="Times New Roman"/>
                <w:lang w:eastAsia="zh-CN"/>
              </w:rPr>
            </w:pPr>
            <w:r w:rsidRPr="00180187">
              <w:rPr>
                <w:rFonts w:ascii="Times New Roman" w:hAnsi="Times New Roman" w:cs="Times New Roman"/>
                <w:lang w:eastAsia="zh-CN"/>
              </w:rPr>
              <w:t>Burkina Fasso</w:t>
            </w:r>
          </w:p>
        </w:tc>
        <w:tc>
          <w:tcPr>
            <w:tcW w:w="1656" w:type="dxa"/>
          </w:tcPr>
          <w:p w14:paraId="13EA5B5D" w14:textId="77777777" w:rsidR="00F35C2E" w:rsidRPr="00180187" w:rsidRDefault="00F35C2E" w:rsidP="009A7559">
            <w:pPr>
              <w:pStyle w:val="NoSpacing"/>
              <w:rPr>
                <w:rFonts w:ascii="Times New Roman" w:hAnsi="Times New Roman" w:cs="Times New Roman"/>
                <w:lang w:eastAsia="zh-CN"/>
              </w:rPr>
            </w:pPr>
            <w:r w:rsidRPr="00180187">
              <w:rPr>
                <w:rFonts w:ascii="Times New Roman" w:hAnsi="Times New Roman" w:cs="Times New Roman"/>
                <w:lang w:eastAsia="zh-CN"/>
              </w:rPr>
              <w:t>-5.235</w:t>
            </w:r>
          </w:p>
        </w:tc>
        <w:tc>
          <w:tcPr>
            <w:tcW w:w="1134" w:type="dxa"/>
          </w:tcPr>
          <w:p w14:paraId="20BFBBBE" w14:textId="77777777" w:rsidR="00F35C2E" w:rsidRPr="00180187" w:rsidRDefault="00F35C2E" w:rsidP="009A7559">
            <w:pPr>
              <w:pStyle w:val="NoSpacing"/>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769225A6" w14:textId="4A153C23" w:rsidR="00F35C2E" w:rsidRPr="00180187" w:rsidRDefault="00F35C2E" w:rsidP="009A7559">
            <w:pPr>
              <w:pStyle w:val="NoSpacing"/>
              <w:rPr>
                <w:rFonts w:ascii="Times New Roman" w:hAnsi="Times New Roman" w:cs="Times New Roman"/>
                <w:lang w:eastAsia="zh-CN"/>
              </w:rPr>
            </w:pPr>
            <w:proofErr w:type="spellStart"/>
            <w:r w:rsidRPr="00180187">
              <w:rPr>
                <w:rFonts w:ascii="Times New Roman" w:hAnsi="Times New Roman" w:cs="Times New Roman"/>
                <w:lang w:eastAsia="zh-CN"/>
              </w:rPr>
              <w:t>Stationna</w:t>
            </w:r>
            <w:r>
              <w:rPr>
                <w:rFonts w:ascii="Times New Roman" w:hAnsi="Times New Roman" w:cs="Times New Roman"/>
                <w:lang w:eastAsia="zh-CN"/>
              </w:rPr>
              <w:t>ry</w:t>
            </w:r>
            <w:proofErr w:type="spellEnd"/>
          </w:p>
        </w:tc>
      </w:tr>
      <w:tr w:rsidR="00F35C2E" w:rsidRPr="00180187" w14:paraId="68BEB83A" w14:textId="77777777" w:rsidTr="00F35C2E">
        <w:trPr>
          <w:trHeight w:val="247"/>
        </w:trPr>
        <w:tc>
          <w:tcPr>
            <w:tcW w:w="2535" w:type="dxa"/>
          </w:tcPr>
          <w:p w14:paraId="2F9EB099"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Benin </w:t>
            </w:r>
          </w:p>
        </w:tc>
        <w:tc>
          <w:tcPr>
            <w:tcW w:w="1656" w:type="dxa"/>
          </w:tcPr>
          <w:p w14:paraId="75E9A882"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-4.936</w:t>
            </w:r>
          </w:p>
        </w:tc>
        <w:tc>
          <w:tcPr>
            <w:tcW w:w="1134" w:type="dxa"/>
          </w:tcPr>
          <w:p w14:paraId="1FF275A5"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3397FC81" w14:textId="6A89B221"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2C373D9B" w14:textId="77777777" w:rsidTr="00F35C2E">
        <w:trPr>
          <w:trHeight w:val="247"/>
        </w:trPr>
        <w:tc>
          <w:tcPr>
            <w:tcW w:w="2535" w:type="dxa"/>
          </w:tcPr>
          <w:p w14:paraId="77AE8154"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Cameroun</w:t>
            </w:r>
          </w:p>
        </w:tc>
        <w:tc>
          <w:tcPr>
            <w:tcW w:w="1656" w:type="dxa"/>
          </w:tcPr>
          <w:p w14:paraId="7CA461CF"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-5.818</w:t>
            </w:r>
          </w:p>
        </w:tc>
        <w:tc>
          <w:tcPr>
            <w:tcW w:w="1134" w:type="dxa"/>
          </w:tcPr>
          <w:p w14:paraId="49492A6D"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16ED648D" w14:textId="363CDEC9"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526D019E" w14:textId="77777777" w:rsidTr="00F35C2E">
        <w:trPr>
          <w:trHeight w:val="265"/>
        </w:trPr>
        <w:tc>
          <w:tcPr>
            <w:tcW w:w="2535" w:type="dxa"/>
          </w:tcPr>
          <w:p w14:paraId="5E43289E"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Congo</w:t>
            </w:r>
          </w:p>
        </w:tc>
        <w:tc>
          <w:tcPr>
            <w:tcW w:w="1656" w:type="dxa"/>
          </w:tcPr>
          <w:p w14:paraId="517A0FE9"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-5.917</w:t>
            </w:r>
          </w:p>
        </w:tc>
        <w:tc>
          <w:tcPr>
            <w:tcW w:w="1134" w:type="dxa"/>
          </w:tcPr>
          <w:p w14:paraId="52C147AB"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5BE745C8" w14:textId="00B201F6"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3322E5F8" w14:textId="77777777" w:rsidTr="00F35C2E">
        <w:trPr>
          <w:trHeight w:val="247"/>
        </w:trPr>
        <w:tc>
          <w:tcPr>
            <w:tcW w:w="2535" w:type="dxa"/>
          </w:tcPr>
          <w:p w14:paraId="3AE3DCD2"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Côte d'Ivoire</w:t>
            </w:r>
          </w:p>
        </w:tc>
        <w:tc>
          <w:tcPr>
            <w:tcW w:w="1656" w:type="dxa"/>
          </w:tcPr>
          <w:p w14:paraId="529B36A2"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-4.845</w:t>
            </w:r>
          </w:p>
        </w:tc>
        <w:tc>
          <w:tcPr>
            <w:tcW w:w="1134" w:type="dxa"/>
          </w:tcPr>
          <w:p w14:paraId="278BD698"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3AB454B8" w14:textId="0E72B91C"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7247EB65" w14:textId="77777777" w:rsidTr="00F35C2E">
        <w:trPr>
          <w:trHeight w:val="247"/>
        </w:trPr>
        <w:tc>
          <w:tcPr>
            <w:tcW w:w="2535" w:type="dxa"/>
          </w:tcPr>
          <w:p w14:paraId="5CDD2DBD"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Gabon</w:t>
            </w:r>
          </w:p>
        </w:tc>
        <w:tc>
          <w:tcPr>
            <w:tcW w:w="1656" w:type="dxa"/>
          </w:tcPr>
          <w:p w14:paraId="2C3092EA"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-6.426 </w:t>
            </w:r>
          </w:p>
        </w:tc>
        <w:tc>
          <w:tcPr>
            <w:tcW w:w="1134" w:type="dxa"/>
          </w:tcPr>
          <w:p w14:paraId="5E80DA05"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1038E8CE" w14:textId="03BE462E"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22400825" w14:textId="77777777" w:rsidTr="00F35C2E">
        <w:trPr>
          <w:trHeight w:val="265"/>
        </w:trPr>
        <w:tc>
          <w:tcPr>
            <w:tcW w:w="2535" w:type="dxa"/>
          </w:tcPr>
          <w:p w14:paraId="4C1E633F"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Guinée</w:t>
            </w:r>
          </w:p>
        </w:tc>
        <w:tc>
          <w:tcPr>
            <w:tcW w:w="1656" w:type="dxa"/>
          </w:tcPr>
          <w:p w14:paraId="44D254E8"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-3.272</w:t>
            </w:r>
          </w:p>
        </w:tc>
        <w:tc>
          <w:tcPr>
            <w:tcW w:w="1134" w:type="dxa"/>
          </w:tcPr>
          <w:p w14:paraId="54102D22"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0BA05DED" w14:textId="7CC41D64"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5A4AD6A5" w14:textId="77777777" w:rsidTr="00F35C2E">
        <w:trPr>
          <w:trHeight w:val="247"/>
        </w:trPr>
        <w:tc>
          <w:tcPr>
            <w:tcW w:w="2535" w:type="dxa"/>
          </w:tcPr>
          <w:p w14:paraId="0D852C04"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Guinée </w:t>
            </w:r>
            <w:proofErr w:type="spellStart"/>
            <w:r w:rsidRPr="00180187">
              <w:rPr>
                <w:rFonts w:ascii="Times New Roman" w:hAnsi="Times New Roman" w:cs="Times New Roman"/>
                <w:lang w:eastAsia="zh-CN"/>
              </w:rPr>
              <w:t>Equato</w:t>
            </w:r>
            <w:proofErr w:type="spellEnd"/>
          </w:p>
        </w:tc>
        <w:tc>
          <w:tcPr>
            <w:tcW w:w="1656" w:type="dxa"/>
          </w:tcPr>
          <w:p w14:paraId="48F64E40"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-5.142</w:t>
            </w:r>
          </w:p>
        </w:tc>
        <w:tc>
          <w:tcPr>
            <w:tcW w:w="1134" w:type="dxa"/>
          </w:tcPr>
          <w:p w14:paraId="2C24BAF4"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1824E3FB" w14:textId="7F34176C"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0CF92DC1" w14:textId="77777777" w:rsidTr="00F35C2E">
        <w:trPr>
          <w:trHeight w:val="247"/>
        </w:trPr>
        <w:tc>
          <w:tcPr>
            <w:tcW w:w="2535" w:type="dxa"/>
          </w:tcPr>
          <w:p w14:paraId="04195635"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Mali</w:t>
            </w:r>
          </w:p>
        </w:tc>
        <w:tc>
          <w:tcPr>
            <w:tcW w:w="1656" w:type="dxa"/>
          </w:tcPr>
          <w:p w14:paraId="5B0CCFB2"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-5.855</w:t>
            </w:r>
          </w:p>
        </w:tc>
        <w:tc>
          <w:tcPr>
            <w:tcW w:w="1134" w:type="dxa"/>
          </w:tcPr>
          <w:p w14:paraId="1588D275"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3CFE9078" w14:textId="45F1EF43"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5C4A2361" w14:textId="77777777" w:rsidTr="00F35C2E">
        <w:trPr>
          <w:trHeight w:val="247"/>
        </w:trPr>
        <w:tc>
          <w:tcPr>
            <w:tcW w:w="2535" w:type="dxa"/>
          </w:tcPr>
          <w:p w14:paraId="4E5CF6A4"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Niger</w:t>
            </w:r>
          </w:p>
        </w:tc>
        <w:tc>
          <w:tcPr>
            <w:tcW w:w="1656" w:type="dxa"/>
          </w:tcPr>
          <w:p w14:paraId="5F6ECDE3"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-10.018</w:t>
            </w:r>
          </w:p>
        </w:tc>
        <w:tc>
          <w:tcPr>
            <w:tcW w:w="1134" w:type="dxa"/>
          </w:tcPr>
          <w:p w14:paraId="38DD7547"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22E8E948" w14:textId="3139D62B"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3F879A0C" w14:textId="77777777" w:rsidTr="00F35C2E">
        <w:trPr>
          <w:trHeight w:val="265"/>
        </w:trPr>
        <w:tc>
          <w:tcPr>
            <w:tcW w:w="2535" w:type="dxa"/>
          </w:tcPr>
          <w:p w14:paraId="233C313B" w14:textId="77777777" w:rsidR="00F35C2E" w:rsidRPr="00180187" w:rsidRDefault="00F35C2E" w:rsidP="00F35C2E">
            <w:pPr>
              <w:pStyle w:val="NoSpacing"/>
              <w:rPr>
                <w:rFonts w:ascii="Times New Roman" w:hAnsi="Times New Roman" w:cs="Times New Roman"/>
                <w:lang w:eastAsia="zh-CN"/>
              </w:rPr>
            </w:pPr>
            <w:proofErr w:type="spellStart"/>
            <w:r w:rsidRPr="00180187">
              <w:rPr>
                <w:rFonts w:ascii="Times New Roman" w:hAnsi="Times New Roman" w:cs="Times New Roman"/>
                <w:lang w:eastAsia="zh-CN"/>
              </w:rPr>
              <w:t>Rép</w:t>
            </w:r>
            <w:proofErr w:type="spellEnd"/>
            <w:r w:rsidRPr="00180187">
              <w:rPr>
                <w:rFonts w:ascii="Times New Roman" w:hAnsi="Times New Roman" w:cs="Times New Roman"/>
                <w:lang w:eastAsia="zh-CN"/>
              </w:rPr>
              <w:t xml:space="preserve"> Centre Afrique</w:t>
            </w:r>
          </w:p>
        </w:tc>
        <w:tc>
          <w:tcPr>
            <w:tcW w:w="1656" w:type="dxa"/>
          </w:tcPr>
          <w:p w14:paraId="57397AFA"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-5.814 </w:t>
            </w:r>
          </w:p>
        </w:tc>
        <w:tc>
          <w:tcPr>
            <w:tcW w:w="1134" w:type="dxa"/>
          </w:tcPr>
          <w:p w14:paraId="532F9ACB"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64522CA5" w14:textId="517607DE"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7C1F9F36" w14:textId="77777777" w:rsidTr="00F35C2E">
        <w:trPr>
          <w:trHeight w:val="247"/>
        </w:trPr>
        <w:tc>
          <w:tcPr>
            <w:tcW w:w="2535" w:type="dxa"/>
          </w:tcPr>
          <w:p w14:paraId="502D8B9C"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Sénégal</w:t>
            </w:r>
          </w:p>
        </w:tc>
        <w:tc>
          <w:tcPr>
            <w:tcW w:w="1656" w:type="dxa"/>
          </w:tcPr>
          <w:p w14:paraId="7E51C3EC"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-5.126</w:t>
            </w:r>
          </w:p>
        </w:tc>
        <w:tc>
          <w:tcPr>
            <w:tcW w:w="1134" w:type="dxa"/>
          </w:tcPr>
          <w:p w14:paraId="21D6364A"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31ED6A9C" w14:textId="24B7F742"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6853DC71" w14:textId="77777777" w:rsidTr="00F35C2E">
        <w:trPr>
          <w:trHeight w:val="247"/>
        </w:trPr>
        <w:tc>
          <w:tcPr>
            <w:tcW w:w="2535" w:type="dxa"/>
          </w:tcPr>
          <w:p w14:paraId="642BD1D4"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Tchad</w:t>
            </w:r>
          </w:p>
        </w:tc>
        <w:tc>
          <w:tcPr>
            <w:tcW w:w="1656" w:type="dxa"/>
          </w:tcPr>
          <w:p w14:paraId="001D8B8F"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0.819</w:t>
            </w:r>
          </w:p>
        </w:tc>
        <w:tc>
          <w:tcPr>
            <w:tcW w:w="1134" w:type="dxa"/>
          </w:tcPr>
          <w:p w14:paraId="087FA2C0"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23936344" w14:textId="3D2CAAEE"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74234274" w14:textId="77777777" w:rsidTr="00F35C2E">
        <w:trPr>
          <w:trHeight w:val="247"/>
        </w:trPr>
        <w:tc>
          <w:tcPr>
            <w:tcW w:w="2535" w:type="dxa"/>
          </w:tcPr>
          <w:p w14:paraId="743CC735"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Togo</w:t>
            </w:r>
          </w:p>
        </w:tc>
        <w:tc>
          <w:tcPr>
            <w:tcW w:w="1656" w:type="dxa"/>
          </w:tcPr>
          <w:p w14:paraId="5AB330D7"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-4.959 </w:t>
            </w:r>
          </w:p>
        </w:tc>
        <w:tc>
          <w:tcPr>
            <w:tcW w:w="1134" w:type="dxa"/>
          </w:tcPr>
          <w:p w14:paraId="27659A39"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7FDA48AE" w14:textId="08A43579"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bl>
    <w:p w14:paraId="5A04DBAB" w14:textId="77777777" w:rsidR="00F35C2E" w:rsidRDefault="00F35C2E" w:rsidP="003B0147">
      <w:pPr>
        <w:jc w:val="both"/>
        <w:rPr>
          <w:rFonts w:ascii="Times New Roman" w:hAnsi="Times New Roman" w:cs="Times New Roman"/>
          <w:sz w:val="24"/>
          <w:szCs w:val="24"/>
          <w:lang w:val="en-US"/>
        </w:rPr>
      </w:pPr>
    </w:p>
    <w:p w14:paraId="1956627B" w14:textId="2E2B5449" w:rsidR="00F35C2E" w:rsidRDefault="00F35C2E" w:rsidP="003B0147">
      <w:pPr>
        <w:jc w:val="both"/>
        <w:rPr>
          <w:rFonts w:ascii="Times New Roman" w:hAnsi="Times New Roman" w:cs="Times New Roman"/>
          <w:sz w:val="24"/>
          <w:szCs w:val="24"/>
          <w:lang w:val="en-US"/>
        </w:rPr>
      </w:pPr>
      <w:r w:rsidRPr="00F35C2E">
        <w:rPr>
          <w:rFonts w:ascii="Times New Roman" w:hAnsi="Times New Roman" w:cs="Times New Roman"/>
          <w:sz w:val="24"/>
          <w:szCs w:val="24"/>
          <w:lang w:val="en-US"/>
        </w:rPr>
        <w:t>Table 2 shows that all countries without exception have a p-value = 0.0000, which implies rejection of H₀. Inflation is indeed stationary in level for all countries. Furthermore, the ADF statistics are all positive and significant, which is a very important and expected result for the countries of the Franc Zone. It reflects the successful nominal anchoring of the common monetary policy. Thanks to their monetary policy framework and pegging to the euro, the BCEAO and BEAC are able to keep inflation around a stable average. Inflationary shocks (e.g., rising food prices) have only a temporary effect; inflation returns to its average thanks to the credibility of monetary policy.</w:t>
      </w:r>
    </w:p>
    <w:p w14:paraId="50252EBB" w14:textId="754F761A" w:rsidR="00F35C2E" w:rsidRPr="00F35C2E" w:rsidRDefault="00F35C2E" w:rsidP="00F35C2E">
      <w:pPr>
        <w:pStyle w:val="Caption"/>
        <w:rPr>
          <w:rFonts w:ascii="Times New Roman" w:eastAsia="SimSun" w:hAnsi="Times New Roman" w:cs="Times New Roman"/>
          <w:i w:val="0"/>
          <w:color w:val="000000" w:themeColor="text1"/>
          <w:sz w:val="24"/>
          <w:szCs w:val="24"/>
          <w:lang w:val="en-US" w:eastAsia="zh-CN"/>
        </w:rPr>
      </w:pPr>
      <w:bookmarkStart w:id="3" w:name="_Toc215577681"/>
      <w:r w:rsidRPr="00F35C2E">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F35C2E">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F35C2E">
        <w:rPr>
          <w:rFonts w:ascii="Times New Roman" w:hAnsi="Times New Roman" w:cs="Times New Roman"/>
          <w:b/>
          <w:i w:val="0"/>
          <w:noProof/>
          <w:color w:val="000000" w:themeColor="text1"/>
          <w:sz w:val="24"/>
          <w:szCs w:val="24"/>
          <w:lang w:val="en-US"/>
        </w:rPr>
        <w:t>3</w:t>
      </w:r>
      <w:r w:rsidRPr="00603361">
        <w:rPr>
          <w:rFonts w:ascii="Times New Roman" w:hAnsi="Times New Roman" w:cs="Times New Roman"/>
          <w:b/>
          <w:i w:val="0"/>
          <w:color w:val="000000" w:themeColor="text1"/>
          <w:sz w:val="24"/>
          <w:szCs w:val="24"/>
        </w:rPr>
        <w:fldChar w:fldCharType="end"/>
      </w:r>
      <w:r w:rsidRPr="00F35C2E">
        <w:rPr>
          <w:rFonts w:ascii="Times New Roman" w:eastAsia="SimSun" w:hAnsi="Times New Roman" w:cs="Times New Roman"/>
          <w:b/>
          <w:i w:val="0"/>
          <w:color w:val="000000" w:themeColor="text1"/>
          <w:sz w:val="24"/>
          <w:szCs w:val="24"/>
          <w:lang w:val="en-US" w:eastAsia="zh-CN"/>
        </w:rPr>
        <w:t>:</w:t>
      </w:r>
      <w:r w:rsidRPr="00F35C2E">
        <w:rPr>
          <w:rFonts w:ascii="Times New Roman" w:eastAsia="SimSun" w:hAnsi="Times New Roman" w:cs="Times New Roman"/>
          <w:i w:val="0"/>
          <w:color w:val="000000" w:themeColor="text1"/>
          <w:sz w:val="24"/>
          <w:szCs w:val="24"/>
          <w:lang w:val="en-US" w:eastAsia="zh-CN"/>
        </w:rPr>
        <w:t xml:space="preserve"> </w:t>
      </w:r>
      <w:bookmarkEnd w:id="3"/>
      <w:r w:rsidRPr="00F35C2E">
        <w:rPr>
          <w:rFonts w:ascii="Times New Roman" w:eastAsia="SimSun" w:hAnsi="Times New Roman" w:cs="Times New Roman"/>
          <w:i w:val="0"/>
          <w:color w:val="000000" w:themeColor="text1"/>
          <w:sz w:val="24"/>
          <w:szCs w:val="24"/>
          <w:lang w:val="en-US" w:eastAsia="zh-CN"/>
        </w:rPr>
        <w:t>unit root test on economic openness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856"/>
        <w:gridCol w:w="1083"/>
        <w:gridCol w:w="2249"/>
      </w:tblGrid>
      <w:tr w:rsidR="00F35C2E" w:rsidRPr="00180187" w14:paraId="1B75EA58" w14:textId="77777777" w:rsidTr="009A7559">
        <w:trPr>
          <w:trHeight w:val="271"/>
        </w:trPr>
        <w:tc>
          <w:tcPr>
            <w:tcW w:w="2320" w:type="dxa"/>
          </w:tcPr>
          <w:p w14:paraId="3D7E9C11" w14:textId="02EDDC93" w:rsidR="00F35C2E" w:rsidRPr="00180187" w:rsidRDefault="00F35C2E" w:rsidP="009A7559">
            <w:pPr>
              <w:pStyle w:val="NoSpacing"/>
            </w:pPr>
            <w:r>
              <w:t>Country</w:t>
            </w:r>
          </w:p>
        </w:tc>
        <w:tc>
          <w:tcPr>
            <w:tcW w:w="1856" w:type="dxa"/>
          </w:tcPr>
          <w:p w14:paraId="3D3613BD" w14:textId="77777777" w:rsidR="00F35C2E" w:rsidRPr="00180187" w:rsidRDefault="00F35C2E" w:rsidP="009A7559">
            <w:pPr>
              <w:pStyle w:val="NoSpacing"/>
            </w:pPr>
            <w:r w:rsidRPr="00180187">
              <w:t>Statistiques ADF</w:t>
            </w:r>
          </w:p>
        </w:tc>
        <w:tc>
          <w:tcPr>
            <w:tcW w:w="1083" w:type="dxa"/>
          </w:tcPr>
          <w:p w14:paraId="5EA01226" w14:textId="77777777" w:rsidR="00F35C2E" w:rsidRPr="00180187" w:rsidRDefault="00F35C2E" w:rsidP="009A7559">
            <w:pPr>
              <w:pStyle w:val="NoSpacing"/>
            </w:pPr>
            <w:r w:rsidRPr="00180187">
              <w:t>P-value</w:t>
            </w:r>
          </w:p>
        </w:tc>
        <w:tc>
          <w:tcPr>
            <w:tcW w:w="2249" w:type="dxa"/>
          </w:tcPr>
          <w:p w14:paraId="3DE52980" w14:textId="77777777" w:rsidR="00F35C2E" w:rsidRPr="00180187" w:rsidRDefault="00F35C2E" w:rsidP="009A7559">
            <w:pPr>
              <w:pStyle w:val="NoSpacing"/>
            </w:pPr>
            <w:r w:rsidRPr="00180187">
              <w:t xml:space="preserve">Conclusion </w:t>
            </w:r>
          </w:p>
        </w:tc>
      </w:tr>
      <w:tr w:rsidR="00F35C2E" w:rsidRPr="00180187" w14:paraId="7BFC29CA" w14:textId="77777777" w:rsidTr="009A7559">
        <w:trPr>
          <w:trHeight w:val="192"/>
        </w:trPr>
        <w:tc>
          <w:tcPr>
            <w:tcW w:w="2320" w:type="dxa"/>
          </w:tcPr>
          <w:p w14:paraId="15ABF974" w14:textId="77777777" w:rsidR="00F35C2E" w:rsidRPr="00180187" w:rsidRDefault="00F35C2E" w:rsidP="009A7559">
            <w:pPr>
              <w:pStyle w:val="NoSpacing"/>
            </w:pPr>
            <w:r w:rsidRPr="00180187">
              <w:t>Burkina Fasso</w:t>
            </w:r>
          </w:p>
        </w:tc>
        <w:tc>
          <w:tcPr>
            <w:tcW w:w="1856" w:type="dxa"/>
          </w:tcPr>
          <w:p w14:paraId="018D958F" w14:textId="77777777" w:rsidR="00F35C2E" w:rsidRPr="00180187" w:rsidRDefault="00F35C2E" w:rsidP="009A7559">
            <w:pPr>
              <w:pStyle w:val="NoSpacing"/>
            </w:pPr>
            <w:r w:rsidRPr="00180187">
              <w:t>-2,304</w:t>
            </w:r>
          </w:p>
        </w:tc>
        <w:tc>
          <w:tcPr>
            <w:tcW w:w="1083" w:type="dxa"/>
          </w:tcPr>
          <w:p w14:paraId="2FAF4E31" w14:textId="77777777" w:rsidR="00F35C2E" w:rsidRPr="00180187" w:rsidRDefault="00F35C2E" w:rsidP="009A7559">
            <w:pPr>
              <w:pStyle w:val="NoSpacing"/>
            </w:pPr>
            <w:r w:rsidRPr="00180187">
              <w:t>1,0000</w:t>
            </w:r>
          </w:p>
        </w:tc>
        <w:tc>
          <w:tcPr>
            <w:tcW w:w="2249" w:type="dxa"/>
          </w:tcPr>
          <w:p w14:paraId="73576CF7" w14:textId="7F6D559C" w:rsidR="00F35C2E" w:rsidRPr="00180187" w:rsidRDefault="00F35C2E" w:rsidP="009A7559">
            <w:pPr>
              <w:pStyle w:val="NoSpacing"/>
            </w:pPr>
            <w:r w:rsidRPr="00180187">
              <w:t xml:space="preserve">Non </w:t>
            </w:r>
            <w:proofErr w:type="spellStart"/>
            <w:r w:rsidRPr="00180187">
              <w:t>stationna</w:t>
            </w:r>
            <w:r>
              <w:t>ry</w:t>
            </w:r>
            <w:proofErr w:type="spellEnd"/>
          </w:p>
        </w:tc>
      </w:tr>
      <w:tr w:rsidR="00F35C2E" w:rsidRPr="00180187" w14:paraId="7CDB2A4C" w14:textId="77777777" w:rsidTr="009A7559">
        <w:trPr>
          <w:trHeight w:val="210"/>
        </w:trPr>
        <w:tc>
          <w:tcPr>
            <w:tcW w:w="2320" w:type="dxa"/>
          </w:tcPr>
          <w:p w14:paraId="13DC1BC1" w14:textId="77777777" w:rsidR="00F35C2E" w:rsidRPr="00180187" w:rsidRDefault="00F35C2E" w:rsidP="00F35C2E">
            <w:pPr>
              <w:pStyle w:val="NoSpacing"/>
            </w:pPr>
            <w:r w:rsidRPr="00180187">
              <w:t xml:space="preserve">Benin </w:t>
            </w:r>
          </w:p>
        </w:tc>
        <w:tc>
          <w:tcPr>
            <w:tcW w:w="1856" w:type="dxa"/>
          </w:tcPr>
          <w:p w14:paraId="7E2167D8" w14:textId="77777777" w:rsidR="00F35C2E" w:rsidRPr="00180187" w:rsidRDefault="00F35C2E" w:rsidP="00F35C2E">
            <w:pPr>
              <w:pStyle w:val="NoSpacing"/>
            </w:pPr>
            <w:r w:rsidRPr="00180187">
              <w:t>-1,551</w:t>
            </w:r>
          </w:p>
        </w:tc>
        <w:tc>
          <w:tcPr>
            <w:tcW w:w="1083" w:type="dxa"/>
          </w:tcPr>
          <w:p w14:paraId="6299B42A" w14:textId="77777777" w:rsidR="00F35C2E" w:rsidRPr="00180187" w:rsidRDefault="00F35C2E" w:rsidP="00F35C2E">
            <w:pPr>
              <w:pStyle w:val="NoSpacing"/>
            </w:pPr>
            <w:r w:rsidRPr="00180187">
              <w:t>1,0000</w:t>
            </w:r>
          </w:p>
        </w:tc>
        <w:tc>
          <w:tcPr>
            <w:tcW w:w="2249" w:type="dxa"/>
          </w:tcPr>
          <w:p w14:paraId="3DA1A246" w14:textId="086F5610" w:rsidR="00F35C2E" w:rsidRPr="00180187" w:rsidRDefault="00F35C2E" w:rsidP="00F35C2E">
            <w:pPr>
              <w:pStyle w:val="NoSpacing"/>
            </w:pPr>
            <w:r w:rsidRPr="00A36BC8">
              <w:t xml:space="preserve">Non </w:t>
            </w:r>
            <w:proofErr w:type="spellStart"/>
            <w:r w:rsidRPr="00A36BC8">
              <w:t>stationnary</w:t>
            </w:r>
            <w:proofErr w:type="spellEnd"/>
          </w:p>
        </w:tc>
      </w:tr>
      <w:tr w:rsidR="00F35C2E" w:rsidRPr="00180187" w14:paraId="12C9A9AE" w14:textId="77777777" w:rsidTr="009A7559">
        <w:trPr>
          <w:trHeight w:val="200"/>
        </w:trPr>
        <w:tc>
          <w:tcPr>
            <w:tcW w:w="2320" w:type="dxa"/>
          </w:tcPr>
          <w:p w14:paraId="7EF2A1C3" w14:textId="77777777" w:rsidR="00F35C2E" w:rsidRPr="00180187" w:rsidRDefault="00F35C2E" w:rsidP="00F35C2E">
            <w:pPr>
              <w:pStyle w:val="NoSpacing"/>
            </w:pPr>
            <w:r w:rsidRPr="00180187">
              <w:t>Cameroun</w:t>
            </w:r>
          </w:p>
        </w:tc>
        <w:tc>
          <w:tcPr>
            <w:tcW w:w="1856" w:type="dxa"/>
          </w:tcPr>
          <w:p w14:paraId="3D34B54B" w14:textId="77777777" w:rsidR="00F35C2E" w:rsidRPr="00180187" w:rsidRDefault="00F35C2E" w:rsidP="00F35C2E">
            <w:pPr>
              <w:pStyle w:val="NoSpacing"/>
            </w:pPr>
            <w:r w:rsidRPr="00180187">
              <w:t>-1,043</w:t>
            </w:r>
          </w:p>
        </w:tc>
        <w:tc>
          <w:tcPr>
            <w:tcW w:w="1083" w:type="dxa"/>
          </w:tcPr>
          <w:p w14:paraId="2A1BD70A" w14:textId="77777777" w:rsidR="00F35C2E" w:rsidRPr="00180187" w:rsidRDefault="00F35C2E" w:rsidP="00F35C2E">
            <w:pPr>
              <w:pStyle w:val="NoSpacing"/>
            </w:pPr>
            <w:r w:rsidRPr="00180187">
              <w:t>0,1999</w:t>
            </w:r>
          </w:p>
        </w:tc>
        <w:tc>
          <w:tcPr>
            <w:tcW w:w="2249" w:type="dxa"/>
          </w:tcPr>
          <w:p w14:paraId="0915577A" w14:textId="29E4BB8A" w:rsidR="00F35C2E" w:rsidRPr="00180187" w:rsidRDefault="00F35C2E" w:rsidP="00F35C2E">
            <w:pPr>
              <w:pStyle w:val="NoSpacing"/>
            </w:pPr>
            <w:r w:rsidRPr="00A36BC8">
              <w:t xml:space="preserve">Non </w:t>
            </w:r>
            <w:proofErr w:type="spellStart"/>
            <w:r w:rsidRPr="00A36BC8">
              <w:t>stationnary</w:t>
            </w:r>
            <w:proofErr w:type="spellEnd"/>
          </w:p>
        </w:tc>
      </w:tr>
      <w:tr w:rsidR="00F35C2E" w:rsidRPr="00180187" w14:paraId="5C0C3C49" w14:textId="77777777" w:rsidTr="009A7559">
        <w:trPr>
          <w:trHeight w:val="76"/>
        </w:trPr>
        <w:tc>
          <w:tcPr>
            <w:tcW w:w="2320" w:type="dxa"/>
          </w:tcPr>
          <w:p w14:paraId="5D7F4131" w14:textId="77777777" w:rsidR="00F35C2E" w:rsidRPr="00180187" w:rsidRDefault="00F35C2E" w:rsidP="00F35C2E">
            <w:pPr>
              <w:pStyle w:val="NoSpacing"/>
            </w:pPr>
            <w:r w:rsidRPr="00180187">
              <w:t>Congo</w:t>
            </w:r>
          </w:p>
        </w:tc>
        <w:tc>
          <w:tcPr>
            <w:tcW w:w="1856" w:type="dxa"/>
          </w:tcPr>
          <w:p w14:paraId="75F4CB7D" w14:textId="77777777" w:rsidR="00F35C2E" w:rsidRPr="00180187" w:rsidRDefault="00F35C2E" w:rsidP="00F35C2E">
            <w:pPr>
              <w:pStyle w:val="NoSpacing"/>
            </w:pPr>
            <w:r w:rsidRPr="00180187">
              <w:t>-1,412</w:t>
            </w:r>
          </w:p>
        </w:tc>
        <w:tc>
          <w:tcPr>
            <w:tcW w:w="1083" w:type="dxa"/>
          </w:tcPr>
          <w:p w14:paraId="4B2F80AE" w14:textId="77777777" w:rsidR="00F35C2E" w:rsidRPr="00180187" w:rsidRDefault="00F35C2E" w:rsidP="00F35C2E">
            <w:pPr>
              <w:pStyle w:val="NoSpacing"/>
            </w:pPr>
            <w:r w:rsidRPr="00180187">
              <w:t>0,1206</w:t>
            </w:r>
          </w:p>
        </w:tc>
        <w:tc>
          <w:tcPr>
            <w:tcW w:w="2249" w:type="dxa"/>
          </w:tcPr>
          <w:p w14:paraId="7868803A" w14:textId="34332C9E" w:rsidR="00F35C2E" w:rsidRPr="00180187" w:rsidRDefault="00F35C2E" w:rsidP="00F35C2E">
            <w:pPr>
              <w:pStyle w:val="NoSpacing"/>
            </w:pPr>
            <w:r w:rsidRPr="00A36BC8">
              <w:t xml:space="preserve">Non </w:t>
            </w:r>
            <w:proofErr w:type="spellStart"/>
            <w:r w:rsidRPr="00A36BC8">
              <w:t>stationnary</w:t>
            </w:r>
            <w:proofErr w:type="spellEnd"/>
          </w:p>
        </w:tc>
      </w:tr>
      <w:tr w:rsidR="00F35C2E" w:rsidRPr="00180187" w14:paraId="6C6314CB" w14:textId="77777777" w:rsidTr="009A7559">
        <w:trPr>
          <w:trHeight w:val="271"/>
        </w:trPr>
        <w:tc>
          <w:tcPr>
            <w:tcW w:w="2320" w:type="dxa"/>
          </w:tcPr>
          <w:p w14:paraId="5C71A93D" w14:textId="77777777" w:rsidR="00F35C2E" w:rsidRPr="00180187" w:rsidRDefault="00F35C2E" w:rsidP="00F35C2E">
            <w:pPr>
              <w:pStyle w:val="NoSpacing"/>
            </w:pPr>
            <w:r w:rsidRPr="00180187">
              <w:t>Côte d'Ivoire</w:t>
            </w:r>
          </w:p>
        </w:tc>
        <w:tc>
          <w:tcPr>
            <w:tcW w:w="1856" w:type="dxa"/>
          </w:tcPr>
          <w:p w14:paraId="0F767882" w14:textId="77777777" w:rsidR="00F35C2E" w:rsidRPr="00180187" w:rsidRDefault="00F35C2E" w:rsidP="00F35C2E">
            <w:pPr>
              <w:pStyle w:val="NoSpacing"/>
            </w:pPr>
            <w:r w:rsidRPr="00180187">
              <w:t>0,0892</w:t>
            </w:r>
          </w:p>
        </w:tc>
        <w:tc>
          <w:tcPr>
            <w:tcW w:w="1083" w:type="dxa"/>
          </w:tcPr>
          <w:p w14:paraId="4EF9C38E" w14:textId="77777777" w:rsidR="00F35C2E" w:rsidRPr="00180187" w:rsidRDefault="00F35C2E" w:rsidP="00F35C2E">
            <w:pPr>
              <w:pStyle w:val="NoSpacing"/>
            </w:pPr>
            <w:r w:rsidRPr="00180187">
              <w:t>0,0000</w:t>
            </w:r>
          </w:p>
        </w:tc>
        <w:tc>
          <w:tcPr>
            <w:tcW w:w="2249" w:type="dxa"/>
          </w:tcPr>
          <w:p w14:paraId="5ECFFE7E" w14:textId="45445816" w:rsidR="00F35C2E" w:rsidRPr="00180187" w:rsidRDefault="00F35C2E" w:rsidP="00F35C2E">
            <w:pPr>
              <w:pStyle w:val="NoSpacing"/>
            </w:pPr>
            <w:proofErr w:type="spellStart"/>
            <w:r>
              <w:t>S</w:t>
            </w:r>
            <w:r w:rsidRPr="00A36BC8">
              <w:t>tationnary</w:t>
            </w:r>
            <w:proofErr w:type="spellEnd"/>
          </w:p>
        </w:tc>
      </w:tr>
      <w:tr w:rsidR="00F35C2E" w:rsidRPr="00180187" w14:paraId="4CC547CE" w14:textId="77777777" w:rsidTr="009A7559">
        <w:trPr>
          <w:trHeight w:val="70"/>
        </w:trPr>
        <w:tc>
          <w:tcPr>
            <w:tcW w:w="2320" w:type="dxa"/>
          </w:tcPr>
          <w:p w14:paraId="3021949A" w14:textId="77777777" w:rsidR="00F35C2E" w:rsidRPr="00180187" w:rsidRDefault="00F35C2E" w:rsidP="00F35C2E">
            <w:pPr>
              <w:pStyle w:val="NoSpacing"/>
            </w:pPr>
            <w:r w:rsidRPr="00180187">
              <w:t>Gabon</w:t>
            </w:r>
          </w:p>
        </w:tc>
        <w:tc>
          <w:tcPr>
            <w:tcW w:w="1856" w:type="dxa"/>
          </w:tcPr>
          <w:p w14:paraId="134E9E4E" w14:textId="77777777" w:rsidR="00F35C2E" w:rsidRPr="00180187" w:rsidRDefault="00F35C2E" w:rsidP="00F35C2E">
            <w:pPr>
              <w:pStyle w:val="NoSpacing"/>
            </w:pPr>
            <w:r w:rsidRPr="00180187">
              <w:t>0,739</w:t>
            </w:r>
          </w:p>
        </w:tc>
        <w:tc>
          <w:tcPr>
            <w:tcW w:w="1083" w:type="dxa"/>
          </w:tcPr>
          <w:p w14:paraId="4A1BDF51" w14:textId="77777777" w:rsidR="00F35C2E" w:rsidRPr="00180187" w:rsidRDefault="00F35C2E" w:rsidP="00F35C2E">
            <w:pPr>
              <w:pStyle w:val="NoSpacing"/>
            </w:pPr>
            <w:r w:rsidRPr="00180187">
              <w:t>0,5672</w:t>
            </w:r>
          </w:p>
        </w:tc>
        <w:tc>
          <w:tcPr>
            <w:tcW w:w="2249" w:type="dxa"/>
          </w:tcPr>
          <w:p w14:paraId="2A52FD1F" w14:textId="0972FA60" w:rsidR="00F35C2E" w:rsidRPr="00180187" w:rsidRDefault="00F35C2E" w:rsidP="00F35C2E">
            <w:pPr>
              <w:pStyle w:val="NoSpacing"/>
            </w:pPr>
            <w:r w:rsidRPr="002A2A96">
              <w:t xml:space="preserve">Non </w:t>
            </w:r>
            <w:proofErr w:type="spellStart"/>
            <w:r w:rsidRPr="002A2A96">
              <w:t>stationnary</w:t>
            </w:r>
            <w:proofErr w:type="spellEnd"/>
          </w:p>
        </w:tc>
      </w:tr>
      <w:tr w:rsidR="00F35C2E" w:rsidRPr="00180187" w14:paraId="6011C866" w14:textId="77777777" w:rsidTr="009A7559">
        <w:trPr>
          <w:trHeight w:val="231"/>
        </w:trPr>
        <w:tc>
          <w:tcPr>
            <w:tcW w:w="2320" w:type="dxa"/>
          </w:tcPr>
          <w:p w14:paraId="476096DB" w14:textId="77777777" w:rsidR="00F35C2E" w:rsidRPr="00180187" w:rsidRDefault="00F35C2E" w:rsidP="00F35C2E">
            <w:pPr>
              <w:pStyle w:val="NoSpacing"/>
            </w:pPr>
            <w:r w:rsidRPr="00180187">
              <w:t>Guinée</w:t>
            </w:r>
          </w:p>
        </w:tc>
        <w:tc>
          <w:tcPr>
            <w:tcW w:w="1856" w:type="dxa"/>
          </w:tcPr>
          <w:p w14:paraId="5F883469" w14:textId="77777777" w:rsidR="00F35C2E" w:rsidRPr="00180187" w:rsidRDefault="00F35C2E" w:rsidP="00F35C2E">
            <w:pPr>
              <w:pStyle w:val="NoSpacing"/>
            </w:pPr>
            <w:r w:rsidRPr="00180187">
              <w:t>7,457</w:t>
            </w:r>
          </w:p>
        </w:tc>
        <w:tc>
          <w:tcPr>
            <w:tcW w:w="1083" w:type="dxa"/>
          </w:tcPr>
          <w:p w14:paraId="074F8CB8" w14:textId="77777777" w:rsidR="00F35C2E" w:rsidRPr="00180187" w:rsidRDefault="00F35C2E" w:rsidP="00F35C2E">
            <w:pPr>
              <w:pStyle w:val="NoSpacing"/>
            </w:pPr>
            <w:r w:rsidRPr="00180187">
              <w:t>1,2000</w:t>
            </w:r>
          </w:p>
        </w:tc>
        <w:tc>
          <w:tcPr>
            <w:tcW w:w="2249" w:type="dxa"/>
          </w:tcPr>
          <w:p w14:paraId="11D629E4" w14:textId="4AFF8E09" w:rsidR="00F35C2E" w:rsidRPr="00180187" w:rsidRDefault="00F35C2E" w:rsidP="00F35C2E">
            <w:pPr>
              <w:pStyle w:val="NoSpacing"/>
            </w:pPr>
            <w:r w:rsidRPr="002A2A96">
              <w:t xml:space="preserve">Non </w:t>
            </w:r>
            <w:proofErr w:type="spellStart"/>
            <w:r w:rsidRPr="002A2A96">
              <w:t>stationnary</w:t>
            </w:r>
            <w:proofErr w:type="spellEnd"/>
          </w:p>
        </w:tc>
      </w:tr>
      <w:tr w:rsidR="00F35C2E" w:rsidRPr="00180187" w14:paraId="2168D1DB" w14:textId="77777777" w:rsidTr="009A7559">
        <w:trPr>
          <w:trHeight w:val="271"/>
        </w:trPr>
        <w:tc>
          <w:tcPr>
            <w:tcW w:w="2320" w:type="dxa"/>
          </w:tcPr>
          <w:p w14:paraId="2541D037" w14:textId="77777777" w:rsidR="00F35C2E" w:rsidRPr="00180187" w:rsidRDefault="00F35C2E" w:rsidP="00F35C2E">
            <w:pPr>
              <w:pStyle w:val="NoSpacing"/>
            </w:pPr>
            <w:r w:rsidRPr="00180187">
              <w:t xml:space="preserve">Guinée </w:t>
            </w:r>
            <w:proofErr w:type="spellStart"/>
            <w:r w:rsidRPr="00180187">
              <w:t>Equato</w:t>
            </w:r>
            <w:proofErr w:type="spellEnd"/>
          </w:p>
        </w:tc>
        <w:tc>
          <w:tcPr>
            <w:tcW w:w="1856" w:type="dxa"/>
          </w:tcPr>
          <w:p w14:paraId="68DD9BAE" w14:textId="77777777" w:rsidR="00F35C2E" w:rsidRPr="00180187" w:rsidRDefault="00F35C2E" w:rsidP="00F35C2E">
            <w:pPr>
              <w:pStyle w:val="NoSpacing"/>
            </w:pPr>
            <w:r w:rsidRPr="00180187">
              <w:t>-1,513</w:t>
            </w:r>
          </w:p>
        </w:tc>
        <w:tc>
          <w:tcPr>
            <w:tcW w:w="1083" w:type="dxa"/>
          </w:tcPr>
          <w:p w14:paraId="18AA49EA" w14:textId="77777777" w:rsidR="00F35C2E" w:rsidRPr="00180187" w:rsidRDefault="00F35C2E" w:rsidP="00F35C2E">
            <w:pPr>
              <w:pStyle w:val="NoSpacing"/>
            </w:pPr>
            <w:r w:rsidRPr="00180187">
              <w:t>0,7707</w:t>
            </w:r>
          </w:p>
        </w:tc>
        <w:tc>
          <w:tcPr>
            <w:tcW w:w="2249" w:type="dxa"/>
          </w:tcPr>
          <w:p w14:paraId="57E25878" w14:textId="5961EA45" w:rsidR="00F35C2E" w:rsidRPr="00180187" w:rsidRDefault="00F35C2E" w:rsidP="00F35C2E">
            <w:pPr>
              <w:pStyle w:val="NoSpacing"/>
            </w:pPr>
            <w:proofErr w:type="spellStart"/>
            <w:r>
              <w:t>S</w:t>
            </w:r>
            <w:r w:rsidRPr="00BE5D45">
              <w:t>tationnary</w:t>
            </w:r>
            <w:proofErr w:type="spellEnd"/>
          </w:p>
        </w:tc>
      </w:tr>
      <w:tr w:rsidR="00F35C2E" w:rsidRPr="00180187" w14:paraId="4243143F" w14:textId="77777777" w:rsidTr="009A7559">
        <w:trPr>
          <w:trHeight w:val="83"/>
        </w:trPr>
        <w:tc>
          <w:tcPr>
            <w:tcW w:w="2320" w:type="dxa"/>
          </w:tcPr>
          <w:p w14:paraId="4D47855E" w14:textId="77777777" w:rsidR="00F35C2E" w:rsidRPr="00180187" w:rsidRDefault="00F35C2E" w:rsidP="00F35C2E">
            <w:pPr>
              <w:pStyle w:val="NoSpacing"/>
            </w:pPr>
            <w:r w:rsidRPr="00180187">
              <w:t>Mali</w:t>
            </w:r>
          </w:p>
        </w:tc>
        <w:tc>
          <w:tcPr>
            <w:tcW w:w="1856" w:type="dxa"/>
          </w:tcPr>
          <w:p w14:paraId="4BD43393" w14:textId="77777777" w:rsidR="00F35C2E" w:rsidRPr="00180187" w:rsidRDefault="00F35C2E" w:rsidP="00F35C2E">
            <w:pPr>
              <w:pStyle w:val="NoSpacing"/>
            </w:pPr>
            <w:r w:rsidRPr="00180187">
              <w:t>2,936</w:t>
            </w:r>
          </w:p>
        </w:tc>
        <w:tc>
          <w:tcPr>
            <w:tcW w:w="1083" w:type="dxa"/>
          </w:tcPr>
          <w:p w14:paraId="26CB72BC" w14:textId="77777777" w:rsidR="00F35C2E" w:rsidRPr="00180187" w:rsidRDefault="00F35C2E" w:rsidP="00F35C2E">
            <w:pPr>
              <w:pStyle w:val="NoSpacing"/>
            </w:pPr>
            <w:r w:rsidRPr="00180187">
              <w:t>0,2965</w:t>
            </w:r>
          </w:p>
        </w:tc>
        <w:tc>
          <w:tcPr>
            <w:tcW w:w="2249" w:type="dxa"/>
          </w:tcPr>
          <w:p w14:paraId="65FD5216" w14:textId="690C460B" w:rsidR="00F35C2E" w:rsidRPr="00180187" w:rsidRDefault="00F35C2E" w:rsidP="00F35C2E">
            <w:pPr>
              <w:pStyle w:val="NoSpacing"/>
            </w:pPr>
            <w:r w:rsidRPr="00BE5D45">
              <w:t xml:space="preserve">Non </w:t>
            </w:r>
            <w:proofErr w:type="spellStart"/>
            <w:r w:rsidRPr="00BE5D45">
              <w:t>stationnary</w:t>
            </w:r>
            <w:proofErr w:type="spellEnd"/>
          </w:p>
        </w:tc>
      </w:tr>
      <w:tr w:rsidR="00F35C2E" w:rsidRPr="00180187" w14:paraId="675D6DB9" w14:textId="77777777" w:rsidTr="009A7559">
        <w:trPr>
          <w:trHeight w:val="70"/>
        </w:trPr>
        <w:tc>
          <w:tcPr>
            <w:tcW w:w="2320" w:type="dxa"/>
          </w:tcPr>
          <w:p w14:paraId="226C9133" w14:textId="77777777" w:rsidR="00F35C2E" w:rsidRPr="00180187" w:rsidRDefault="00F35C2E" w:rsidP="00F35C2E">
            <w:pPr>
              <w:pStyle w:val="NoSpacing"/>
            </w:pPr>
            <w:r w:rsidRPr="00180187">
              <w:t>Niger</w:t>
            </w:r>
          </w:p>
        </w:tc>
        <w:tc>
          <w:tcPr>
            <w:tcW w:w="1856" w:type="dxa"/>
          </w:tcPr>
          <w:p w14:paraId="3A0B22FA" w14:textId="77777777" w:rsidR="00F35C2E" w:rsidRPr="00180187" w:rsidRDefault="00F35C2E" w:rsidP="00F35C2E">
            <w:pPr>
              <w:pStyle w:val="NoSpacing"/>
            </w:pPr>
            <w:r w:rsidRPr="00180187">
              <w:t>5,219</w:t>
            </w:r>
          </w:p>
        </w:tc>
        <w:tc>
          <w:tcPr>
            <w:tcW w:w="1083" w:type="dxa"/>
          </w:tcPr>
          <w:p w14:paraId="5849954E" w14:textId="77777777" w:rsidR="00F35C2E" w:rsidRPr="00180187" w:rsidRDefault="00F35C2E" w:rsidP="00F35C2E">
            <w:pPr>
              <w:pStyle w:val="NoSpacing"/>
            </w:pPr>
            <w:r w:rsidRPr="00180187">
              <w:t>1,0000</w:t>
            </w:r>
          </w:p>
        </w:tc>
        <w:tc>
          <w:tcPr>
            <w:tcW w:w="2249" w:type="dxa"/>
          </w:tcPr>
          <w:p w14:paraId="19F1ABED" w14:textId="5D453DC3" w:rsidR="00F35C2E" w:rsidRPr="00180187" w:rsidRDefault="00F35C2E" w:rsidP="00F35C2E">
            <w:pPr>
              <w:pStyle w:val="NoSpacing"/>
            </w:pPr>
            <w:r w:rsidRPr="00BE5D45">
              <w:t xml:space="preserve">Non </w:t>
            </w:r>
            <w:proofErr w:type="spellStart"/>
            <w:r w:rsidRPr="00BE5D45">
              <w:t>stationnary</w:t>
            </w:r>
            <w:proofErr w:type="spellEnd"/>
          </w:p>
        </w:tc>
      </w:tr>
      <w:tr w:rsidR="00F35C2E" w:rsidRPr="00180187" w14:paraId="28B4B10F" w14:textId="77777777" w:rsidTr="009A7559">
        <w:trPr>
          <w:trHeight w:val="70"/>
        </w:trPr>
        <w:tc>
          <w:tcPr>
            <w:tcW w:w="2320" w:type="dxa"/>
          </w:tcPr>
          <w:p w14:paraId="06474F1E" w14:textId="77777777" w:rsidR="00F35C2E" w:rsidRPr="00180187" w:rsidRDefault="00F35C2E" w:rsidP="00F35C2E">
            <w:pPr>
              <w:pStyle w:val="NoSpacing"/>
            </w:pPr>
            <w:proofErr w:type="spellStart"/>
            <w:r w:rsidRPr="00180187">
              <w:t>Rép</w:t>
            </w:r>
            <w:proofErr w:type="spellEnd"/>
            <w:r w:rsidRPr="00180187">
              <w:t xml:space="preserve"> Centre Afrique</w:t>
            </w:r>
          </w:p>
        </w:tc>
        <w:tc>
          <w:tcPr>
            <w:tcW w:w="1856" w:type="dxa"/>
          </w:tcPr>
          <w:p w14:paraId="78B2DD81" w14:textId="77777777" w:rsidR="00F35C2E" w:rsidRPr="00180187" w:rsidRDefault="00F35C2E" w:rsidP="00F35C2E">
            <w:pPr>
              <w:pStyle w:val="NoSpacing"/>
            </w:pPr>
            <w:r w:rsidRPr="00180187">
              <w:t>-0,662</w:t>
            </w:r>
          </w:p>
        </w:tc>
        <w:tc>
          <w:tcPr>
            <w:tcW w:w="1083" w:type="dxa"/>
          </w:tcPr>
          <w:p w14:paraId="00E89321" w14:textId="77777777" w:rsidR="00F35C2E" w:rsidRPr="00180187" w:rsidRDefault="00F35C2E" w:rsidP="00F35C2E">
            <w:pPr>
              <w:pStyle w:val="NoSpacing"/>
            </w:pPr>
            <w:r w:rsidRPr="00180187">
              <w:t>0,4311</w:t>
            </w:r>
          </w:p>
        </w:tc>
        <w:tc>
          <w:tcPr>
            <w:tcW w:w="2249" w:type="dxa"/>
          </w:tcPr>
          <w:p w14:paraId="756116CD" w14:textId="178C50D7" w:rsidR="00F35C2E" w:rsidRPr="00180187" w:rsidRDefault="00F35C2E" w:rsidP="00F35C2E">
            <w:pPr>
              <w:pStyle w:val="NoSpacing"/>
            </w:pPr>
            <w:r w:rsidRPr="00BE5D45">
              <w:t xml:space="preserve">Non </w:t>
            </w:r>
            <w:proofErr w:type="spellStart"/>
            <w:r w:rsidRPr="00BE5D45">
              <w:t>stationnary</w:t>
            </w:r>
            <w:proofErr w:type="spellEnd"/>
          </w:p>
        </w:tc>
      </w:tr>
      <w:tr w:rsidR="00F35C2E" w:rsidRPr="00180187" w14:paraId="20321402" w14:textId="77777777" w:rsidTr="009A7559">
        <w:trPr>
          <w:trHeight w:val="70"/>
        </w:trPr>
        <w:tc>
          <w:tcPr>
            <w:tcW w:w="2320" w:type="dxa"/>
          </w:tcPr>
          <w:p w14:paraId="36F951C2" w14:textId="77777777" w:rsidR="00F35C2E" w:rsidRPr="00180187" w:rsidRDefault="00F35C2E" w:rsidP="00F35C2E">
            <w:pPr>
              <w:pStyle w:val="NoSpacing"/>
            </w:pPr>
            <w:r w:rsidRPr="00180187">
              <w:t>Sénégal</w:t>
            </w:r>
          </w:p>
        </w:tc>
        <w:tc>
          <w:tcPr>
            <w:tcW w:w="1856" w:type="dxa"/>
          </w:tcPr>
          <w:p w14:paraId="15C259FE" w14:textId="77777777" w:rsidR="00F35C2E" w:rsidRPr="00180187" w:rsidRDefault="00F35C2E" w:rsidP="00F35C2E">
            <w:pPr>
              <w:pStyle w:val="NoSpacing"/>
            </w:pPr>
            <w:r w:rsidRPr="00180187">
              <w:t>-0,941</w:t>
            </w:r>
          </w:p>
        </w:tc>
        <w:tc>
          <w:tcPr>
            <w:tcW w:w="1083" w:type="dxa"/>
          </w:tcPr>
          <w:p w14:paraId="5C0328EF" w14:textId="77777777" w:rsidR="00F35C2E" w:rsidRPr="00180187" w:rsidRDefault="00F35C2E" w:rsidP="00F35C2E">
            <w:pPr>
              <w:pStyle w:val="NoSpacing"/>
            </w:pPr>
            <w:r w:rsidRPr="00180187">
              <w:t>1,0000</w:t>
            </w:r>
          </w:p>
        </w:tc>
        <w:tc>
          <w:tcPr>
            <w:tcW w:w="2249" w:type="dxa"/>
          </w:tcPr>
          <w:p w14:paraId="0046337E" w14:textId="68DC3CF2" w:rsidR="00F35C2E" w:rsidRPr="00180187" w:rsidRDefault="00F35C2E" w:rsidP="00F35C2E">
            <w:pPr>
              <w:pStyle w:val="NoSpacing"/>
            </w:pPr>
            <w:r w:rsidRPr="00BE5D45">
              <w:t xml:space="preserve">Non </w:t>
            </w:r>
            <w:proofErr w:type="spellStart"/>
            <w:r w:rsidRPr="00BE5D45">
              <w:t>stationnary</w:t>
            </w:r>
            <w:proofErr w:type="spellEnd"/>
          </w:p>
        </w:tc>
      </w:tr>
      <w:tr w:rsidR="00F35C2E" w:rsidRPr="00180187" w14:paraId="494A838D" w14:textId="77777777" w:rsidTr="009A7559">
        <w:trPr>
          <w:trHeight w:val="271"/>
        </w:trPr>
        <w:tc>
          <w:tcPr>
            <w:tcW w:w="2320" w:type="dxa"/>
          </w:tcPr>
          <w:p w14:paraId="3C366326" w14:textId="77777777" w:rsidR="00F35C2E" w:rsidRPr="00180187" w:rsidRDefault="00F35C2E" w:rsidP="00F35C2E">
            <w:pPr>
              <w:pStyle w:val="NoSpacing"/>
            </w:pPr>
            <w:r w:rsidRPr="00180187">
              <w:t>Tchad</w:t>
            </w:r>
          </w:p>
        </w:tc>
        <w:tc>
          <w:tcPr>
            <w:tcW w:w="1856" w:type="dxa"/>
          </w:tcPr>
          <w:p w14:paraId="0D86898A" w14:textId="77777777" w:rsidR="00F35C2E" w:rsidRPr="00180187" w:rsidRDefault="00F35C2E" w:rsidP="00F35C2E">
            <w:pPr>
              <w:pStyle w:val="NoSpacing"/>
            </w:pPr>
            <w:r w:rsidRPr="00180187">
              <w:t>-3,933</w:t>
            </w:r>
          </w:p>
        </w:tc>
        <w:tc>
          <w:tcPr>
            <w:tcW w:w="1083" w:type="dxa"/>
          </w:tcPr>
          <w:p w14:paraId="7D5739B6" w14:textId="77777777" w:rsidR="00F35C2E" w:rsidRPr="00180187" w:rsidRDefault="00F35C2E" w:rsidP="00F35C2E">
            <w:pPr>
              <w:pStyle w:val="NoSpacing"/>
            </w:pPr>
            <w:r w:rsidRPr="00180187">
              <w:t>0,0004</w:t>
            </w:r>
          </w:p>
        </w:tc>
        <w:tc>
          <w:tcPr>
            <w:tcW w:w="2249" w:type="dxa"/>
          </w:tcPr>
          <w:p w14:paraId="164DFF5E" w14:textId="4108040C" w:rsidR="00F35C2E" w:rsidRPr="00180187" w:rsidRDefault="00F35C2E" w:rsidP="00F35C2E">
            <w:pPr>
              <w:pStyle w:val="NoSpacing"/>
            </w:pPr>
            <w:proofErr w:type="spellStart"/>
            <w:r>
              <w:t>S</w:t>
            </w:r>
            <w:r w:rsidRPr="007D334E">
              <w:t>tationnary</w:t>
            </w:r>
            <w:proofErr w:type="spellEnd"/>
          </w:p>
        </w:tc>
      </w:tr>
      <w:tr w:rsidR="00F35C2E" w:rsidRPr="00180187" w14:paraId="5E03FE80" w14:textId="77777777" w:rsidTr="009A7559">
        <w:trPr>
          <w:trHeight w:val="70"/>
        </w:trPr>
        <w:tc>
          <w:tcPr>
            <w:tcW w:w="2320" w:type="dxa"/>
          </w:tcPr>
          <w:p w14:paraId="4AA5A039" w14:textId="77777777" w:rsidR="00F35C2E" w:rsidRPr="00180187" w:rsidRDefault="00F35C2E" w:rsidP="00F35C2E">
            <w:pPr>
              <w:pStyle w:val="NoSpacing"/>
            </w:pPr>
            <w:r w:rsidRPr="00180187">
              <w:t>Togo</w:t>
            </w:r>
          </w:p>
        </w:tc>
        <w:tc>
          <w:tcPr>
            <w:tcW w:w="1856" w:type="dxa"/>
          </w:tcPr>
          <w:p w14:paraId="4F00890B" w14:textId="77777777" w:rsidR="00F35C2E" w:rsidRPr="00180187" w:rsidRDefault="00F35C2E" w:rsidP="00F35C2E">
            <w:pPr>
              <w:pStyle w:val="NoSpacing"/>
            </w:pPr>
            <w:r w:rsidRPr="00180187">
              <w:t xml:space="preserve">-0,672 </w:t>
            </w:r>
          </w:p>
        </w:tc>
        <w:tc>
          <w:tcPr>
            <w:tcW w:w="1083" w:type="dxa"/>
          </w:tcPr>
          <w:p w14:paraId="629638C5" w14:textId="77777777" w:rsidR="00F35C2E" w:rsidRPr="00180187" w:rsidRDefault="00F35C2E" w:rsidP="00F35C2E">
            <w:pPr>
              <w:pStyle w:val="NoSpacing"/>
            </w:pPr>
            <w:r w:rsidRPr="00180187">
              <w:t xml:space="preserve">0,2538 </w:t>
            </w:r>
          </w:p>
        </w:tc>
        <w:tc>
          <w:tcPr>
            <w:tcW w:w="2249" w:type="dxa"/>
          </w:tcPr>
          <w:p w14:paraId="380CCC3C" w14:textId="247C7BCD" w:rsidR="00F35C2E" w:rsidRPr="00180187" w:rsidRDefault="00F35C2E" w:rsidP="00F35C2E">
            <w:pPr>
              <w:pStyle w:val="NoSpacing"/>
            </w:pPr>
            <w:r w:rsidRPr="007D334E">
              <w:t xml:space="preserve">Non </w:t>
            </w:r>
            <w:proofErr w:type="spellStart"/>
            <w:r w:rsidRPr="007D334E">
              <w:t>stationnary</w:t>
            </w:r>
            <w:proofErr w:type="spellEnd"/>
          </w:p>
        </w:tc>
      </w:tr>
    </w:tbl>
    <w:p w14:paraId="619C09EC" w14:textId="77777777" w:rsidR="00F35C2E" w:rsidRDefault="00F35C2E" w:rsidP="003B0147">
      <w:pPr>
        <w:jc w:val="both"/>
        <w:rPr>
          <w:rFonts w:ascii="Times New Roman" w:hAnsi="Times New Roman" w:cs="Times New Roman"/>
          <w:sz w:val="24"/>
          <w:szCs w:val="24"/>
          <w:lang w:val="en-US"/>
        </w:rPr>
      </w:pPr>
    </w:p>
    <w:p w14:paraId="07E5D0EF" w14:textId="77777777" w:rsidR="00383683" w:rsidRPr="00383683" w:rsidRDefault="00383683" w:rsidP="00383683">
      <w:pPr>
        <w:jc w:val="both"/>
        <w:rPr>
          <w:rFonts w:ascii="Times New Roman" w:hAnsi="Times New Roman" w:cs="Times New Roman"/>
          <w:sz w:val="24"/>
          <w:szCs w:val="24"/>
          <w:lang w:val="en-US"/>
        </w:rPr>
      </w:pPr>
      <w:r w:rsidRPr="00383683">
        <w:rPr>
          <w:rFonts w:ascii="Times New Roman" w:hAnsi="Times New Roman" w:cs="Times New Roman"/>
          <w:sz w:val="24"/>
          <w:szCs w:val="24"/>
          <w:lang w:val="en-US"/>
        </w:rPr>
        <w:t xml:space="preserve">Table 3 shows the results of the unit root test on economic openness. It can be seen that 14 out of 15 countries have a p-value greater than 0.05, which implies that their economic openness rate is non-stationary. On the other hand, two countries (Côte d'Ivoire and Chad) have a p-value </w:t>
      </w:r>
      <w:r w:rsidRPr="00383683">
        <w:rPr>
          <w:rFonts w:ascii="Times New Roman" w:hAnsi="Times New Roman" w:cs="Times New Roman"/>
          <w:sz w:val="24"/>
          <w:szCs w:val="24"/>
          <w:lang w:val="en-US"/>
        </w:rPr>
        <w:lastRenderedPageBreak/>
        <w:t>below 0.05, which shows that their openness rate is stationary. Furthermore, the negative and significant ADF statistic for Chad (-3.933) confirms robust stationarity.</w:t>
      </w:r>
    </w:p>
    <w:p w14:paraId="1C383B6D" w14:textId="168D27B6" w:rsidR="00383683" w:rsidRDefault="00383683" w:rsidP="00383683">
      <w:pPr>
        <w:jc w:val="both"/>
        <w:rPr>
          <w:rFonts w:ascii="Times New Roman" w:hAnsi="Times New Roman" w:cs="Times New Roman"/>
          <w:sz w:val="24"/>
          <w:szCs w:val="24"/>
          <w:lang w:val="en-US"/>
        </w:rPr>
      </w:pPr>
      <w:r w:rsidRPr="00383683">
        <w:rPr>
          <w:rFonts w:ascii="Times New Roman" w:hAnsi="Times New Roman" w:cs="Times New Roman"/>
          <w:sz w:val="24"/>
          <w:szCs w:val="24"/>
          <w:lang w:val="en-US"/>
        </w:rPr>
        <w:t>Indeed, the dominant non-stationarity suggests that the economic openness rate is influenced by permanent shocks (e.g., changes in trade policy, discoveries of resources) in most countries. The stationarity for Côte d'Ivoire and Chad indicates that their openness rate fluctuates around a constant average (effects of temporary shocks).</w:t>
      </w:r>
    </w:p>
    <w:p w14:paraId="2C73B11F" w14:textId="3EE8AA29" w:rsidR="00383683" w:rsidRPr="00383683" w:rsidRDefault="00383683" w:rsidP="00383683">
      <w:pPr>
        <w:pStyle w:val="Caption"/>
        <w:rPr>
          <w:rFonts w:ascii="Times New Roman" w:eastAsia="SimSun" w:hAnsi="Times New Roman" w:cs="Times New Roman"/>
          <w:b/>
          <w:i w:val="0"/>
          <w:color w:val="000000" w:themeColor="text1"/>
          <w:sz w:val="24"/>
          <w:szCs w:val="24"/>
          <w:lang w:val="en-US" w:eastAsia="zh-CN"/>
        </w:rPr>
      </w:pPr>
      <w:bookmarkStart w:id="4" w:name="_Toc215577682"/>
      <w:r w:rsidRPr="00383683">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383683">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383683">
        <w:rPr>
          <w:rFonts w:ascii="Times New Roman" w:hAnsi="Times New Roman" w:cs="Times New Roman"/>
          <w:b/>
          <w:i w:val="0"/>
          <w:noProof/>
          <w:color w:val="000000" w:themeColor="text1"/>
          <w:sz w:val="24"/>
          <w:szCs w:val="24"/>
          <w:lang w:val="en-US"/>
        </w:rPr>
        <w:t>4</w:t>
      </w:r>
      <w:r w:rsidRPr="00603361">
        <w:rPr>
          <w:rFonts w:ascii="Times New Roman" w:hAnsi="Times New Roman" w:cs="Times New Roman"/>
          <w:b/>
          <w:i w:val="0"/>
          <w:color w:val="000000" w:themeColor="text1"/>
          <w:sz w:val="24"/>
          <w:szCs w:val="24"/>
        </w:rPr>
        <w:fldChar w:fldCharType="end"/>
      </w:r>
      <w:r w:rsidRPr="00383683">
        <w:rPr>
          <w:rFonts w:ascii="Times New Roman" w:eastAsia="SimSun" w:hAnsi="Times New Roman" w:cs="Times New Roman"/>
          <w:b/>
          <w:i w:val="0"/>
          <w:color w:val="000000" w:themeColor="text1"/>
          <w:sz w:val="24"/>
          <w:szCs w:val="24"/>
          <w:lang w:val="en-US" w:eastAsia="zh-CN"/>
        </w:rPr>
        <w:t>:</w:t>
      </w:r>
      <w:bookmarkEnd w:id="4"/>
      <w:r w:rsidRPr="00383683">
        <w:rPr>
          <w:lang w:val="en-US"/>
        </w:rPr>
        <w:t xml:space="preserve"> </w:t>
      </w:r>
      <w:r w:rsidRPr="00383683">
        <w:rPr>
          <w:rFonts w:ascii="Times New Roman" w:eastAsia="SimSun" w:hAnsi="Times New Roman" w:cs="Times New Roman"/>
          <w:bCs/>
          <w:i w:val="0"/>
          <w:color w:val="000000" w:themeColor="text1"/>
          <w:sz w:val="24"/>
          <w:szCs w:val="24"/>
          <w:lang w:val="en-US" w:eastAsia="zh-CN"/>
        </w:rPr>
        <w:t>unit root test on exports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84"/>
        <w:gridCol w:w="1100"/>
        <w:gridCol w:w="2736"/>
      </w:tblGrid>
      <w:tr w:rsidR="00383683" w:rsidRPr="00180187" w14:paraId="30497DEB" w14:textId="77777777" w:rsidTr="009A7559">
        <w:trPr>
          <w:trHeight w:val="146"/>
        </w:trPr>
        <w:tc>
          <w:tcPr>
            <w:tcW w:w="2355" w:type="dxa"/>
          </w:tcPr>
          <w:p w14:paraId="6D5EB89E" w14:textId="4226748F" w:rsidR="00383683" w:rsidRPr="00180187" w:rsidRDefault="00383683" w:rsidP="009A7559">
            <w:pPr>
              <w:pStyle w:val="NoSpacing"/>
              <w:rPr>
                <w:rFonts w:ascii="Times New Roman" w:hAnsi="Times New Roman" w:cs="Times New Roman"/>
                <w:sz w:val="24"/>
                <w:szCs w:val="24"/>
              </w:rPr>
            </w:pPr>
            <w:r>
              <w:rPr>
                <w:rFonts w:ascii="Times New Roman" w:hAnsi="Times New Roman" w:cs="Times New Roman"/>
                <w:sz w:val="24"/>
                <w:szCs w:val="24"/>
              </w:rPr>
              <w:t>Country</w:t>
            </w:r>
          </w:p>
        </w:tc>
        <w:tc>
          <w:tcPr>
            <w:tcW w:w="1884" w:type="dxa"/>
          </w:tcPr>
          <w:p w14:paraId="65DD74BD" w14:textId="77777777"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Statistiques ADF</w:t>
            </w:r>
          </w:p>
        </w:tc>
        <w:tc>
          <w:tcPr>
            <w:tcW w:w="1100" w:type="dxa"/>
          </w:tcPr>
          <w:p w14:paraId="7BD473DD" w14:textId="77777777"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P-value</w:t>
            </w:r>
          </w:p>
        </w:tc>
        <w:tc>
          <w:tcPr>
            <w:tcW w:w="2736" w:type="dxa"/>
          </w:tcPr>
          <w:p w14:paraId="206DD322" w14:textId="77777777"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Conclusion </w:t>
            </w:r>
          </w:p>
        </w:tc>
      </w:tr>
      <w:tr w:rsidR="00383683" w:rsidRPr="00180187" w14:paraId="3CE5A16D" w14:textId="77777777" w:rsidTr="009A7559">
        <w:trPr>
          <w:trHeight w:val="70"/>
        </w:trPr>
        <w:tc>
          <w:tcPr>
            <w:tcW w:w="2355" w:type="dxa"/>
          </w:tcPr>
          <w:p w14:paraId="0E706D8D" w14:textId="77777777"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Burkina Fasso</w:t>
            </w:r>
          </w:p>
        </w:tc>
        <w:tc>
          <w:tcPr>
            <w:tcW w:w="1884" w:type="dxa"/>
          </w:tcPr>
          <w:p w14:paraId="0A277126" w14:textId="77777777"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-0,741</w:t>
            </w:r>
          </w:p>
        </w:tc>
        <w:tc>
          <w:tcPr>
            <w:tcW w:w="1100" w:type="dxa"/>
          </w:tcPr>
          <w:p w14:paraId="262C77C1" w14:textId="77777777"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0,2321</w:t>
            </w:r>
          </w:p>
        </w:tc>
        <w:tc>
          <w:tcPr>
            <w:tcW w:w="2736" w:type="dxa"/>
          </w:tcPr>
          <w:p w14:paraId="12FADC64" w14:textId="46CB7DEB"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Non </w:t>
            </w:r>
            <w:proofErr w:type="spellStart"/>
            <w:r w:rsidRPr="00180187">
              <w:rPr>
                <w:rFonts w:ascii="Times New Roman" w:hAnsi="Times New Roman" w:cs="Times New Roman"/>
                <w:sz w:val="24"/>
                <w:szCs w:val="24"/>
              </w:rPr>
              <w:t>stationna</w:t>
            </w:r>
            <w:r>
              <w:rPr>
                <w:rFonts w:ascii="Times New Roman" w:hAnsi="Times New Roman" w:cs="Times New Roman"/>
                <w:sz w:val="24"/>
                <w:szCs w:val="24"/>
              </w:rPr>
              <w:t>ry</w:t>
            </w:r>
            <w:proofErr w:type="spellEnd"/>
          </w:p>
        </w:tc>
      </w:tr>
      <w:tr w:rsidR="00383683" w:rsidRPr="00180187" w14:paraId="465214D9" w14:textId="77777777" w:rsidTr="009A7559">
        <w:trPr>
          <w:trHeight w:val="154"/>
        </w:trPr>
        <w:tc>
          <w:tcPr>
            <w:tcW w:w="2355" w:type="dxa"/>
          </w:tcPr>
          <w:p w14:paraId="506E95CF"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Benin </w:t>
            </w:r>
          </w:p>
        </w:tc>
        <w:tc>
          <w:tcPr>
            <w:tcW w:w="1884" w:type="dxa"/>
          </w:tcPr>
          <w:p w14:paraId="3D75FD6B"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-0,367</w:t>
            </w:r>
          </w:p>
        </w:tc>
        <w:tc>
          <w:tcPr>
            <w:tcW w:w="1100" w:type="dxa"/>
          </w:tcPr>
          <w:p w14:paraId="7287B5D4"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0,3578</w:t>
            </w:r>
          </w:p>
        </w:tc>
        <w:tc>
          <w:tcPr>
            <w:tcW w:w="2736" w:type="dxa"/>
          </w:tcPr>
          <w:p w14:paraId="5B577C8D" w14:textId="1390562B" w:rsidR="00383683" w:rsidRPr="00180187" w:rsidRDefault="00383683" w:rsidP="00383683">
            <w:pPr>
              <w:pStyle w:val="NoSpacing"/>
              <w:rPr>
                <w:rFonts w:ascii="Times New Roman" w:hAnsi="Times New Roman" w:cs="Times New Roman"/>
                <w:sz w:val="24"/>
                <w:szCs w:val="24"/>
              </w:rPr>
            </w:pPr>
            <w:r w:rsidRPr="009710F7">
              <w:rPr>
                <w:rFonts w:ascii="Times New Roman" w:hAnsi="Times New Roman" w:cs="Times New Roman"/>
                <w:sz w:val="24"/>
                <w:szCs w:val="24"/>
              </w:rPr>
              <w:t xml:space="preserve">Non </w:t>
            </w:r>
            <w:proofErr w:type="spellStart"/>
            <w:r w:rsidRPr="009710F7">
              <w:rPr>
                <w:rFonts w:ascii="Times New Roman" w:hAnsi="Times New Roman" w:cs="Times New Roman"/>
                <w:sz w:val="24"/>
                <w:szCs w:val="24"/>
              </w:rPr>
              <w:t>stationnary</w:t>
            </w:r>
            <w:proofErr w:type="spellEnd"/>
          </w:p>
        </w:tc>
      </w:tr>
      <w:tr w:rsidR="00383683" w:rsidRPr="00180187" w14:paraId="1ADC559B" w14:textId="77777777" w:rsidTr="009A7559">
        <w:trPr>
          <w:trHeight w:val="68"/>
        </w:trPr>
        <w:tc>
          <w:tcPr>
            <w:tcW w:w="2355" w:type="dxa"/>
          </w:tcPr>
          <w:p w14:paraId="55F6AAB0"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 Cameroun</w:t>
            </w:r>
          </w:p>
        </w:tc>
        <w:tc>
          <w:tcPr>
            <w:tcW w:w="1884" w:type="dxa"/>
          </w:tcPr>
          <w:p w14:paraId="72FF0451"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 -2,852 </w:t>
            </w:r>
          </w:p>
        </w:tc>
        <w:tc>
          <w:tcPr>
            <w:tcW w:w="1100" w:type="dxa"/>
          </w:tcPr>
          <w:p w14:paraId="3C558439"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0,0038</w:t>
            </w:r>
          </w:p>
        </w:tc>
        <w:tc>
          <w:tcPr>
            <w:tcW w:w="2736" w:type="dxa"/>
          </w:tcPr>
          <w:p w14:paraId="37BE4EA8" w14:textId="0CE6BFB0" w:rsidR="00383683" w:rsidRPr="00180187" w:rsidRDefault="00383683" w:rsidP="00383683">
            <w:pPr>
              <w:pStyle w:val="NoSpacing"/>
              <w:rPr>
                <w:rFonts w:ascii="Times New Roman" w:hAnsi="Times New Roman" w:cs="Times New Roman"/>
                <w:sz w:val="24"/>
                <w:szCs w:val="24"/>
              </w:rPr>
            </w:pPr>
            <w:proofErr w:type="spellStart"/>
            <w:r>
              <w:rPr>
                <w:rFonts w:ascii="Times New Roman" w:hAnsi="Times New Roman" w:cs="Times New Roman"/>
                <w:sz w:val="24"/>
                <w:szCs w:val="24"/>
              </w:rPr>
              <w:t>S</w:t>
            </w:r>
            <w:r w:rsidRPr="009710F7">
              <w:rPr>
                <w:rFonts w:ascii="Times New Roman" w:hAnsi="Times New Roman" w:cs="Times New Roman"/>
                <w:sz w:val="24"/>
                <w:szCs w:val="24"/>
              </w:rPr>
              <w:t>tationnary</w:t>
            </w:r>
            <w:proofErr w:type="spellEnd"/>
          </w:p>
        </w:tc>
      </w:tr>
      <w:tr w:rsidR="00383683" w:rsidRPr="00180187" w14:paraId="5F673966" w14:textId="77777777" w:rsidTr="009A7559">
        <w:trPr>
          <w:trHeight w:val="176"/>
        </w:trPr>
        <w:tc>
          <w:tcPr>
            <w:tcW w:w="2355" w:type="dxa"/>
          </w:tcPr>
          <w:p w14:paraId="11CCD53B"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Congo</w:t>
            </w:r>
          </w:p>
        </w:tc>
        <w:tc>
          <w:tcPr>
            <w:tcW w:w="1884" w:type="dxa"/>
          </w:tcPr>
          <w:p w14:paraId="7A1CFB91"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-0,737</w:t>
            </w:r>
          </w:p>
        </w:tc>
        <w:tc>
          <w:tcPr>
            <w:tcW w:w="1100" w:type="dxa"/>
          </w:tcPr>
          <w:p w14:paraId="44EBE04A"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0,2356</w:t>
            </w:r>
          </w:p>
        </w:tc>
        <w:tc>
          <w:tcPr>
            <w:tcW w:w="2736" w:type="dxa"/>
          </w:tcPr>
          <w:p w14:paraId="28083F0A" w14:textId="56046973" w:rsidR="00383683" w:rsidRPr="00180187" w:rsidRDefault="00383683" w:rsidP="00383683">
            <w:pPr>
              <w:pStyle w:val="NoSpacing"/>
              <w:rPr>
                <w:rFonts w:ascii="Times New Roman" w:hAnsi="Times New Roman" w:cs="Times New Roman"/>
                <w:sz w:val="24"/>
                <w:szCs w:val="24"/>
              </w:rPr>
            </w:pPr>
            <w:r w:rsidRPr="009710F7">
              <w:rPr>
                <w:rFonts w:ascii="Times New Roman" w:hAnsi="Times New Roman" w:cs="Times New Roman"/>
                <w:sz w:val="24"/>
                <w:szCs w:val="24"/>
              </w:rPr>
              <w:t xml:space="preserve">Non </w:t>
            </w:r>
            <w:proofErr w:type="spellStart"/>
            <w:r w:rsidRPr="009710F7">
              <w:rPr>
                <w:rFonts w:ascii="Times New Roman" w:hAnsi="Times New Roman" w:cs="Times New Roman"/>
                <w:sz w:val="24"/>
                <w:szCs w:val="24"/>
              </w:rPr>
              <w:t>stationnary</w:t>
            </w:r>
            <w:proofErr w:type="spellEnd"/>
          </w:p>
        </w:tc>
      </w:tr>
      <w:tr w:rsidR="00383683" w:rsidRPr="00180187" w14:paraId="3B3515DC" w14:textId="77777777" w:rsidTr="009A7559">
        <w:trPr>
          <w:trHeight w:val="264"/>
        </w:trPr>
        <w:tc>
          <w:tcPr>
            <w:tcW w:w="2355" w:type="dxa"/>
          </w:tcPr>
          <w:p w14:paraId="1611E4EF"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Côte d'Ivoire</w:t>
            </w:r>
          </w:p>
        </w:tc>
        <w:tc>
          <w:tcPr>
            <w:tcW w:w="1884" w:type="dxa"/>
          </w:tcPr>
          <w:p w14:paraId="4788675C"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-0,737  </w:t>
            </w:r>
          </w:p>
        </w:tc>
        <w:tc>
          <w:tcPr>
            <w:tcW w:w="1100" w:type="dxa"/>
          </w:tcPr>
          <w:p w14:paraId="56F219A6"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0,0000</w:t>
            </w:r>
          </w:p>
        </w:tc>
        <w:tc>
          <w:tcPr>
            <w:tcW w:w="2736" w:type="dxa"/>
          </w:tcPr>
          <w:p w14:paraId="20CEDE5B" w14:textId="2C305BA7" w:rsidR="00383683" w:rsidRPr="00180187" w:rsidRDefault="00383683" w:rsidP="00383683">
            <w:pPr>
              <w:pStyle w:val="NoSpacing"/>
              <w:rPr>
                <w:rFonts w:ascii="Times New Roman" w:hAnsi="Times New Roman" w:cs="Times New Roman"/>
                <w:sz w:val="24"/>
                <w:szCs w:val="24"/>
              </w:rPr>
            </w:pPr>
            <w:proofErr w:type="spellStart"/>
            <w:r>
              <w:rPr>
                <w:rFonts w:ascii="Times New Roman" w:hAnsi="Times New Roman" w:cs="Times New Roman"/>
                <w:sz w:val="24"/>
                <w:szCs w:val="24"/>
              </w:rPr>
              <w:t>S</w:t>
            </w:r>
            <w:r w:rsidRPr="00FA23BC">
              <w:rPr>
                <w:rFonts w:ascii="Times New Roman" w:hAnsi="Times New Roman" w:cs="Times New Roman"/>
                <w:sz w:val="24"/>
                <w:szCs w:val="24"/>
              </w:rPr>
              <w:t>tationnary</w:t>
            </w:r>
            <w:proofErr w:type="spellEnd"/>
          </w:p>
        </w:tc>
      </w:tr>
      <w:tr w:rsidR="00383683" w:rsidRPr="00180187" w14:paraId="0A471C1C" w14:textId="77777777" w:rsidTr="009A7559">
        <w:trPr>
          <w:trHeight w:val="70"/>
        </w:trPr>
        <w:tc>
          <w:tcPr>
            <w:tcW w:w="2355" w:type="dxa"/>
          </w:tcPr>
          <w:p w14:paraId="7E9479BA"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Gabon</w:t>
            </w:r>
          </w:p>
        </w:tc>
        <w:tc>
          <w:tcPr>
            <w:tcW w:w="1884" w:type="dxa"/>
          </w:tcPr>
          <w:p w14:paraId="210EC87D"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0,739</w:t>
            </w:r>
          </w:p>
        </w:tc>
        <w:tc>
          <w:tcPr>
            <w:tcW w:w="1100" w:type="dxa"/>
          </w:tcPr>
          <w:p w14:paraId="4F2E16E3"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0,5672</w:t>
            </w:r>
          </w:p>
        </w:tc>
        <w:tc>
          <w:tcPr>
            <w:tcW w:w="2736" w:type="dxa"/>
          </w:tcPr>
          <w:p w14:paraId="3630D423" w14:textId="3E831B97" w:rsidR="00383683" w:rsidRPr="00180187" w:rsidRDefault="00383683" w:rsidP="00383683">
            <w:pPr>
              <w:pStyle w:val="NoSpacing"/>
              <w:rPr>
                <w:rFonts w:ascii="Times New Roman" w:hAnsi="Times New Roman" w:cs="Times New Roman"/>
                <w:sz w:val="24"/>
                <w:szCs w:val="24"/>
              </w:rPr>
            </w:pPr>
            <w:r w:rsidRPr="00FA23BC">
              <w:rPr>
                <w:rFonts w:ascii="Times New Roman" w:hAnsi="Times New Roman" w:cs="Times New Roman"/>
                <w:sz w:val="24"/>
                <w:szCs w:val="24"/>
              </w:rPr>
              <w:t xml:space="preserve">Non </w:t>
            </w:r>
            <w:proofErr w:type="spellStart"/>
            <w:r w:rsidRPr="00FA23BC">
              <w:rPr>
                <w:rFonts w:ascii="Times New Roman" w:hAnsi="Times New Roman" w:cs="Times New Roman"/>
                <w:sz w:val="24"/>
                <w:szCs w:val="24"/>
              </w:rPr>
              <w:t>stationnary</w:t>
            </w:r>
            <w:proofErr w:type="spellEnd"/>
          </w:p>
        </w:tc>
      </w:tr>
      <w:tr w:rsidR="00383683" w:rsidRPr="00180187" w14:paraId="5E481B07" w14:textId="77777777" w:rsidTr="009A7559">
        <w:trPr>
          <w:trHeight w:val="189"/>
        </w:trPr>
        <w:tc>
          <w:tcPr>
            <w:tcW w:w="2355" w:type="dxa"/>
          </w:tcPr>
          <w:p w14:paraId="650E0608"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Guinée</w:t>
            </w:r>
          </w:p>
        </w:tc>
        <w:tc>
          <w:tcPr>
            <w:tcW w:w="1884" w:type="dxa"/>
          </w:tcPr>
          <w:p w14:paraId="660A5305"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7,457</w:t>
            </w:r>
          </w:p>
        </w:tc>
        <w:tc>
          <w:tcPr>
            <w:tcW w:w="1100" w:type="dxa"/>
          </w:tcPr>
          <w:p w14:paraId="351FD928"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1,2000</w:t>
            </w:r>
          </w:p>
        </w:tc>
        <w:tc>
          <w:tcPr>
            <w:tcW w:w="2736" w:type="dxa"/>
          </w:tcPr>
          <w:p w14:paraId="21DAB46A" w14:textId="3F1D2DD0" w:rsidR="00383683" w:rsidRPr="00180187" w:rsidRDefault="00383683" w:rsidP="00383683">
            <w:pPr>
              <w:pStyle w:val="NoSpacing"/>
              <w:rPr>
                <w:rFonts w:ascii="Times New Roman" w:hAnsi="Times New Roman" w:cs="Times New Roman"/>
                <w:sz w:val="24"/>
                <w:szCs w:val="24"/>
              </w:rPr>
            </w:pPr>
            <w:r w:rsidRPr="00FA23BC">
              <w:rPr>
                <w:rFonts w:ascii="Times New Roman" w:hAnsi="Times New Roman" w:cs="Times New Roman"/>
                <w:sz w:val="24"/>
                <w:szCs w:val="24"/>
              </w:rPr>
              <w:t xml:space="preserve">Non </w:t>
            </w:r>
            <w:proofErr w:type="spellStart"/>
            <w:r w:rsidRPr="00FA23BC">
              <w:rPr>
                <w:rFonts w:ascii="Times New Roman" w:hAnsi="Times New Roman" w:cs="Times New Roman"/>
                <w:sz w:val="24"/>
                <w:szCs w:val="24"/>
              </w:rPr>
              <w:t>stationnary</w:t>
            </w:r>
            <w:proofErr w:type="spellEnd"/>
          </w:p>
        </w:tc>
      </w:tr>
      <w:tr w:rsidR="00383683" w:rsidRPr="00180187" w14:paraId="1F04B50B" w14:textId="77777777" w:rsidTr="009A7559">
        <w:trPr>
          <w:trHeight w:val="264"/>
        </w:trPr>
        <w:tc>
          <w:tcPr>
            <w:tcW w:w="2355" w:type="dxa"/>
          </w:tcPr>
          <w:p w14:paraId="0F41B130"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Guinée </w:t>
            </w:r>
            <w:proofErr w:type="spellStart"/>
            <w:r w:rsidRPr="00180187">
              <w:rPr>
                <w:rFonts w:ascii="Times New Roman" w:hAnsi="Times New Roman" w:cs="Times New Roman"/>
                <w:sz w:val="24"/>
                <w:szCs w:val="24"/>
              </w:rPr>
              <w:t>Equato</w:t>
            </w:r>
            <w:proofErr w:type="spellEnd"/>
          </w:p>
        </w:tc>
        <w:tc>
          <w:tcPr>
            <w:tcW w:w="1884" w:type="dxa"/>
          </w:tcPr>
          <w:p w14:paraId="66374983"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-1,513</w:t>
            </w:r>
          </w:p>
        </w:tc>
        <w:tc>
          <w:tcPr>
            <w:tcW w:w="1100" w:type="dxa"/>
          </w:tcPr>
          <w:p w14:paraId="720C26F0"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0,7707</w:t>
            </w:r>
          </w:p>
        </w:tc>
        <w:tc>
          <w:tcPr>
            <w:tcW w:w="2736" w:type="dxa"/>
          </w:tcPr>
          <w:p w14:paraId="573ECB28" w14:textId="3ECB32D0" w:rsidR="00383683" w:rsidRPr="00180187" w:rsidRDefault="00383683" w:rsidP="00383683">
            <w:pPr>
              <w:pStyle w:val="NoSpacing"/>
              <w:rPr>
                <w:rFonts w:ascii="Times New Roman" w:hAnsi="Times New Roman" w:cs="Times New Roman"/>
                <w:sz w:val="24"/>
                <w:szCs w:val="24"/>
              </w:rPr>
            </w:pPr>
            <w:proofErr w:type="spellStart"/>
            <w:r>
              <w:rPr>
                <w:rFonts w:ascii="Times New Roman" w:hAnsi="Times New Roman" w:cs="Times New Roman"/>
                <w:sz w:val="24"/>
                <w:szCs w:val="24"/>
              </w:rPr>
              <w:t>S</w:t>
            </w:r>
            <w:r w:rsidRPr="00F973FB">
              <w:rPr>
                <w:rFonts w:ascii="Times New Roman" w:hAnsi="Times New Roman" w:cs="Times New Roman"/>
                <w:sz w:val="24"/>
                <w:szCs w:val="24"/>
              </w:rPr>
              <w:t>tationnary</w:t>
            </w:r>
            <w:proofErr w:type="spellEnd"/>
          </w:p>
        </w:tc>
      </w:tr>
      <w:tr w:rsidR="00383683" w:rsidRPr="00180187" w14:paraId="73875AE7" w14:textId="77777777" w:rsidTr="009A7559">
        <w:trPr>
          <w:trHeight w:val="70"/>
        </w:trPr>
        <w:tc>
          <w:tcPr>
            <w:tcW w:w="2355" w:type="dxa"/>
          </w:tcPr>
          <w:p w14:paraId="12A235F9"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Mali</w:t>
            </w:r>
          </w:p>
        </w:tc>
        <w:tc>
          <w:tcPr>
            <w:tcW w:w="1884" w:type="dxa"/>
          </w:tcPr>
          <w:p w14:paraId="73FD562A"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2,936</w:t>
            </w:r>
          </w:p>
        </w:tc>
        <w:tc>
          <w:tcPr>
            <w:tcW w:w="1100" w:type="dxa"/>
          </w:tcPr>
          <w:p w14:paraId="58DF78C0"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0,2965</w:t>
            </w:r>
          </w:p>
        </w:tc>
        <w:tc>
          <w:tcPr>
            <w:tcW w:w="2736" w:type="dxa"/>
          </w:tcPr>
          <w:p w14:paraId="10284262" w14:textId="2681FB89" w:rsidR="00383683" w:rsidRPr="00180187" w:rsidRDefault="00383683" w:rsidP="00383683">
            <w:pPr>
              <w:pStyle w:val="NoSpacing"/>
              <w:rPr>
                <w:rFonts w:ascii="Times New Roman" w:hAnsi="Times New Roman" w:cs="Times New Roman"/>
                <w:sz w:val="24"/>
                <w:szCs w:val="24"/>
              </w:rPr>
            </w:pPr>
            <w:r w:rsidRPr="00F973FB">
              <w:rPr>
                <w:rFonts w:ascii="Times New Roman" w:hAnsi="Times New Roman" w:cs="Times New Roman"/>
                <w:sz w:val="24"/>
                <w:szCs w:val="24"/>
              </w:rPr>
              <w:t xml:space="preserve">Non </w:t>
            </w:r>
            <w:proofErr w:type="spellStart"/>
            <w:r w:rsidRPr="00F973FB">
              <w:rPr>
                <w:rFonts w:ascii="Times New Roman" w:hAnsi="Times New Roman" w:cs="Times New Roman"/>
                <w:sz w:val="24"/>
                <w:szCs w:val="24"/>
              </w:rPr>
              <w:t>stationnary</w:t>
            </w:r>
            <w:proofErr w:type="spellEnd"/>
          </w:p>
        </w:tc>
      </w:tr>
      <w:tr w:rsidR="00383683" w:rsidRPr="00180187" w14:paraId="61568C6F" w14:textId="77777777" w:rsidTr="009A7559">
        <w:trPr>
          <w:trHeight w:val="70"/>
        </w:trPr>
        <w:tc>
          <w:tcPr>
            <w:tcW w:w="2355" w:type="dxa"/>
          </w:tcPr>
          <w:p w14:paraId="2AB73DB1"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Niger</w:t>
            </w:r>
          </w:p>
        </w:tc>
        <w:tc>
          <w:tcPr>
            <w:tcW w:w="1884" w:type="dxa"/>
          </w:tcPr>
          <w:p w14:paraId="52C666D2"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5,219</w:t>
            </w:r>
          </w:p>
        </w:tc>
        <w:tc>
          <w:tcPr>
            <w:tcW w:w="1100" w:type="dxa"/>
          </w:tcPr>
          <w:p w14:paraId="206376FC"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1,0000</w:t>
            </w:r>
          </w:p>
        </w:tc>
        <w:tc>
          <w:tcPr>
            <w:tcW w:w="2736" w:type="dxa"/>
          </w:tcPr>
          <w:p w14:paraId="22D85C38" w14:textId="6163A9B7" w:rsidR="00383683" w:rsidRPr="00180187" w:rsidRDefault="00383683" w:rsidP="00383683">
            <w:pPr>
              <w:pStyle w:val="NoSpacing"/>
              <w:rPr>
                <w:rFonts w:ascii="Times New Roman" w:hAnsi="Times New Roman" w:cs="Times New Roman"/>
                <w:sz w:val="24"/>
                <w:szCs w:val="24"/>
              </w:rPr>
            </w:pPr>
            <w:r w:rsidRPr="00F973FB">
              <w:rPr>
                <w:rFonts w:ascii="Times New Roman" w:hAnsi="Times New Roman" w:cs="Times New Roman"/>
                <w:sz w:val="24"/>
                <w:szCs w:val="24"/>
              </w:rPr>
              <w:t xml:space="preserve">Non </w:t>
            </w:r>
            <w:proofErr w:type="spellStart"/>
            <w:r w:rsidRPr="00F973FB">
              <w:rPr>
                <w:rFonts w:ascii="Times New Roman" w:hAnsi="Times New Roman" w:cs="Times New Roman"/>
                <w:sz w:val="24"/>
                <w:szCs w:val="24"/>
              </w:rPr>
              <w:t>stationnary</w:t>
            </w:r>
            <w:proofErr w:type="spellEnd"/>
          </w:p>
        </w:tc>
      </w:tr>
      <w:tr w:rsidR="00383683" w:rsidRPr="00180187" w14:paraId="73EE44A8" w14:textId="77777777" w:rsidTr="009A7559">
        <w:trPr>
          <w:trHeight w:val="70"/>
        </w:trPr>
        <w:tc>
          <w:tcPr>
            <w:tcW w:w="2355" w:type="dxa"/>
          </w:tcPr>
          <w:p w14:paraId="50567216" w14:textId="77777777" w:rsidR="00383683" w:rsidRPr="00180187" w:rsidRDefault="00383683" w:rsidP="00383683">
            <w:pPr>
              <w:pStyle w:val="NoSpacing"/>
              <w:rPr>
                <w:rFonts w:ascii="Times New Roman" w:hAnsi="Times New Roman" w:cs="Times New Roman"/>
                <w:sz w:val="24"/>
                <w:szCs w:val="24"/>
              </w:rPr>
            </w:pPr>
            <w:proofErr w:type="spellStart"/>
            <w:r w:rsidRPr="00180187">
              <w:rPr>
                <w:rFonts w:ascii="Times New Roman" w:hAnsi="Times New Roman" w:cs="Times New Roman"/>
                <w:sz w:val="24"/>
                <w:szCs w:val="24"/>
              </w:rPr>
              <w:t>Rép</w:t>
            </w:r>
            <w:proofErr w:type="spellEnd"/>
            <w:r w:rsidRPr="00180187">
              <w:rPr>
                <w:rFonts w:ascii="Times New Roman" w:hAnsi="Times New Roman" w:cs="Times New Roman"/>
                <w:sz w:val="24"/>
                <w:szCs w:val="24"/>
              </w:rPr>
              <w:t xml:space="preserve"> Centre Afrique</w:t>
            </w:r>
          </w:p>
        </w:tc>
        <w:tc>
          <w:tcPr>
            <w:tcW w:w="1884" w:type="dxa"/>
          </w:tcPr>
          <w:p w14:paraId="1F63A82F"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-0,662</w:t>
            </w:r>
          </w:p>
        </w:tc>
        <w:tc>
          <w:tcPr>
            <w:tcW w:w="1100" w:type="dxa"/>
          </w:tcPr>
          <w:p w14:paraId="4D37E605"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0,4311</w:t>
            </w:r>
          </w:p>
        </w:tc>
        <w:tc>
          <w:tcPr>
            <w:tcW w:w="2736" w:type="dxa"/>
          </w:tcPr>
          <w:p w14:paraId="74802A93" w14:textId="15C71318" w:rsidR="00383683" w:rsidRPr="00180187" w:rsidRDefault="00383683" w:rsidP="00383683">
            <w:pPr>
              <w:pStyle w:val="NoSpacing"/>
              <w:rPr>
                <w:rFonts w:ascii="Times New Roman" w:hAnsi="Times New Roman" w:cs="Times New Roman"/>
                <w:sz w:val="24"/>
                <w:szCs w:val="24"/>
              </w:rPr>
            </w:pPr>
            <w:r w:rsidRPr="00F973FB">
              <w:rPr>
                <w:rFonts w:ascii="Times New Roman" w:hAnsi="Times New Roman" w:cs="Times New Roman"/>
                <w:sz w:val="24"/>
                <w:szCs w:val="24"/>
              </w:rPr>
              <w:t xml:space="preserve">Non </w:t>
            </w:r>
            <w:proofErr w:type="spellStart"/>
            <w:r w:rsidRPr="00F973FB">
              <w:rPr>
                <w:rFonts w:ascii="Times New Roman" w:hAnsi="Times New Roman" w:cs="Times New Roman"/>
                <w:sz w:val="24"/>
                <w:szCs w:val="24"/>
              </w:rPr>
              <w:t>stationnary</w:t>
            </w:r>
            <w:proofErr w:type="spellEnd"/>
          </w:p>
        </w:tc>
      </w:tr>
      <w:tr w:rsidR="00383683" w:rsidRPr="00180187" w14:paraId="70EDD53F" w14:textId="77777777" w:rsidTr="009A7559">
        <w:trPr>
          <w:trHeight w:val="70"/>
        </w:trPr>
        <w:tc>
          <w:tcPr>
            <w:tcW w:w="2355" w:type="dxa"/>
          </w:tcPr>
          <w:p w14:paraId="16CCD998"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Sénégal</w:t>
            </w:r>
          </w:p>
        </w:tc>
        <w:tc>
          <w:tcPr>
            <w:tcW w:w="1884" w:type="dxa"/>
          </w:tcPr>
          <w:p w14:paraId="4BC459BC"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-0,941</w:t>
            </w:r>
          </w:p>
        </w:tc>
        <w:tc>
          <w:tcPr>
            <w:tcW w:w="1100" w:type="dxa"/>
          </w:tcPr>
          <w:p w14:paraId="46B36002"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1,0000</w:t>
            </w:r>
          </w:p>
        </w:tc>
        <w:tc>
          <w:tcPr>
            <w:tcW w:w="2736" w:type="dxa"/>
          </w:tcPr>
          <w:p w14:paraId="6A76F6FA" w14:textId="19D67FC3" w:rsidR="00383683" w:rsidRPr="00180187" w:rsidRDefault="00383683" w:rsidP="00383683">
            <w:pPr>
              <w:pStyle w:val="NoSpacing"/>
              <w:rPr>
                <w:rFonts w:ascii="Times New Roman" w:hAnsi="Times New Roman" w:cs="Times New Roman"/>
                <w:sz w:val="24"/>
                <w:szCs w:val="24"/>
              </w:rPr>
            </w:pPr>
            <w:r w:rsidRPr="00F973FB">
              <w:rPr>
                <w:rFonts w:ascii="Times New Roman" w:hAnsi="Times New Roman" w:cs="Times New Roman"/>
                <w:sz w:val="24"/>
                <w:szCs w:val="24"/>
              </w:rPr>
              <w:t xml:space="preserve">Non </w:t>
            </w:r>
            <w:proofErr w:type="spellStart"/>
            <w:r w:rsidRPr="00F973FB">
              <w:rPr>
                <w:rFonts w:ascii="Times New Roman" w:hAnsi="Times New Roman" w:cs="Times New Roman"/>
                <w:sz w:val="24"/>
                <w:szCs w:val="24"/>
              </w:rPr>
              <w:t>stationnary</w:t>
            </w:r>
            <w:proofErr w:type="spellEnd"/>
          </w:p>
        </w:tc>
      </w:tr>
      <w:tr w:rsidR="00383683" w:rsidRPr="00180187" w14:paraId="2CD6F63F" w14:textId="77777777" w:rsidTr="009A7559">
        <w:trPr>
          <w:trHeight w:val="213"/>
        </w:trPr>
        <w:tc>
          <w:tcPr>
            <w:tcW w:w="2355" w:type="dxa"/>
          </w:tcPr>
          <w:p w14:paraId="6F1AB876"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Tchad</w:t>
            </w:r>
          </w:p>
        </w:tc>
        <w:tc>
          <w:tcPr>
            <w:tcW w:w="1884" w:type="dxa"/>
          </w:tcPr>
          <w:p w14:paraId="6F237A54"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-3,933</w:t>
            </w:r>
          </w:p>
        </w:tc>
        <w:tc>
          <w:tcPr>
            <w:tcW w:w="1100" w:type="dxa"/>
          </w:tcPr>
          <w:p w14:paraId="3F18E546"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1,0000</w:t>
            </w:r>
          </w:p>
        </w:tc>
        <w:tc>
          <w:tcPr>
            <w:tcW w:w="2736" w:type="dxa"/>
          </w:tcPr>
          <w:p w14:paraId="3920728A" w14:textId="1AD5AD97" w:rsidR="00383683" w:rsidRPr="00180187" w:rsidRDefault="00383683" w:rsidP="00383683">
            <w:pPr>
              <w:pStyle w:val="NoSpacing"/>
              <w:rPr>
                <w:rFonts w:ascii="Times New Roman" w:hAnsi="Times New Roman" w:cs="Times New Roman"/>
                <w:sz w:val="24"/>
                <w:szCs w:val="24"/>
              </w:rPr>
            </w:pPr>
            <w:r w:rsidRPr="00F973FB">
              <w:rPr>
                <w:rFonts w:ascii="Times New Roman" w:hAnsi="Times New Roman" w:cs="Times New Roman"/>
                <w:sz w:val="24"/>
                <w:szCs w:val="24"/>
              </w:rPr>
              <w:t xml:space="preserve">Non </w:t>
            </w:r>
            <w:proofErr w:type="spellStart"/>
            <w:r w:rsidRPr="00F973FB">
              <w:rPr>
                <w:rFonts w:ascii="Times New Roman" w:hAnsi="Times New Roman" w:cs="Times New Roman"/>
                <w:sz w:val="24"/>
                <w:szCs w:val="24"/>
              </w:rPr>
              <w:t>stationnary</w:t>
            </w:r>
            <w:proofErr w:type="spellEnd"/>
          </w:p>
        </w:tc>
      </w:tr>
      <w:tr w:rsidR="00383683" w:rsidRPr="00180187" w14:paraId="090FBA32" w14:textId="77777777" w:rsidTr="009A7559">
        <w:trPr>
          <w:trHeight w:val="264"/>
        </w:trPr>
        <w:tc>
          <w:tcPr>
            <w:tcW w:w="2355" w:type="dxa"/>
          </w:tcPr>
          <w:p w14:paraId="4DB187C2"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Togo</w:t>
            </w:r>
          </w:p>
        </w:tc>
        <w:tc>
          <w:tcPr>
            <w:tcW w:w="1884" w:type="dxa"/>
          </w:tcPr>
          <w:p w14:paraId="2EB1F226"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-2,082 </w:t>
            </w:r>
          </w:p>
        </w:tc>
        <w:tc>
          <w:tcPr>
            <w:tcW w:w="1100" w:type="dxa"/>
          </w:tcPr>
          <w:p w14:paraId="7BA35905"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0,0227</w:t>
            </w:r>
          </w:p>
        </w:tc>
        <w:tc>
          <w:tcPr>
            <w:tcW w:w="2736" w:type="dxa"/>
          </w:tcPr>
          <w:p w14:paraId="449AFE04" w14:textId="2368E74A" w:rsidR="00383683" w:rsidRPr="00180187" w:rsidRDefault="00383683" w:rsidP="00383683">
            <w:pPr>
              <w:pStyle w:val="NoSpacing"/>
              <w:rPr>
                <w:rFonts w:ascii="Times New Roman" w:hAnsi="Times New Roman" w:cs="Times New Roman"/>
                <w:sz w:val="24"/>
                <w:szCs w:val="24"/>
              </w:rPr>
            </w:pPr>
            <w:proofErr w:type="spellStart"/>
            <w:r>
              <w:rPr>
                <w:rFonts w:ascii="Times New Roman" w:hAnsi="Times New Roman" w:cs="Times New Roman"/>
                <w:sz w:val="24"/>
                <w:szCs w:val="24"/>
              </w:rPr>
              <w:t>S</w:t>
            </w:r>
            <w:r w:rsidRPr="00F973FB">
              <w:rPr>
                <w:rFonts w:ascii="Times New Roman" w:hAnsi="Times New Roman" w:cs="Times New Roman"/>
                <w:sz w:val="24"/>
                <w:szCs w:val="24"/>
              </w:rPr>
              <w:t>tationnary</w:t>
            </w:r>
            <w:proofErr w:type="spellEnd"/>
          </w:p>
        </w:tc>
      </w:tr>
    </w:tbl>
    <w:p w14:paraId="6A467803" w14:textId="77777777" w:rsidR="00383683" w:rsidRDefault="00383683" w:rsidP="00383683">
      <w:pPr>
        <w:jc w:val="both"/>
        <w:rPr>
          <w:rFonts w:ascii="Times New Roman" w:hAnsi="Times New Roman" w:cs="Times New Roman"/>
          <w:sz w:val="24"/>
          <w:szCs w:val="24"/>
          <w:lang w:val="en-US"/>
        </w:rPr>
      </w:pPr>
    </w:p>
    <w:p w14:paraId="5E54BBBC" w14:textId="77777777" w:rsidR="00383683" w:rsidRPr="00383683" w:rsidRDefault="00383683" w:rsidP="00383683">
      <w:pPr>
        <w:jc w:val="both"/>
        <w:rPr>
          <w:rFonts w:ascii="Times New Roman" w:hAnsi="Times New Roman" w:cs="Times New Roman"/>
          <w:sz w:val="24"/>
          <w:szCs w:val="24"/>
          <w:lang w:val="en-US"/>
        </w:rPr>
      </w:pPr>
      <w:r w:rsidRPr="00383683">
        <w:rPr>
          <w:rFonts w:ascii="Times New Roman" w:hAnsi="Times New Roman" w:cs="Times New Roman"/>
          <w:sz w:val="24"/>
          <w:szCs w:val="24"/>
          <w:lang w:val="en-US"/>
        </w:rPr>
        <w:t xml:space="preserve">Table 4 shows the results of the unit root test on exports. We can see that most countries have a p-value greater than 0.05, which means that exports are non-stationary for these countries. A few countries (e.g., Cameroon, Côte d'Ivoire, and Togo) have a p-value less than 0.05, which means that their exports are stationary.  </w:t>
      </w:r>
    </w:p>
    <w:p w14:paraId="73B2F3EF" w14:textId="77777777" w:rsidR="00383683" w:rsidRPr="00383683" w:rsidRDefault="00383683" w:rsidP="00383683">
      <w:pPr>
        <w:jc w:val="both"/>
        <w:rPr>
          <w:rFonts w:ascii="Times New Roman" w:hAnsi="Times New Roman" w:cs="Times New Roman"/>
          <w:sz w:val="24"/>
          <w:szCs w:val="24"/>
          <w:lang w:val="en-US"/>
        </w:rPr>
      </w:pPr>
      <w:r w:rsidRPr="00383683">
        <w:rPr>
          <w:rFonts w:ascii="Times New Roman" w:hAnsi="Times New Roman" w:cs="Times New Roman"/>
          <w:sz w:val="24"/>
          <w:szCs w:val="24"/>
          <w:lang w:val="en-US"/>
        </w:rPr>
        <w:t>Indeed, the non-stationarity of exports in most countries reflects a dependence on permanent shocks, such as fluctuations in commodity prices and structurally changing foreign demand. Stationarity for a few countries suggests that their exports follow a stable trend, explained by possible diversification or stable demand.</w:t>
      </w:r>
    </w:p>
    <w:p w14:paraId="198F75F9" w14:textId="410CF3D3" w:rsidR="0029561B" w:rsidRPr="0029561B" w:rsidRDefault="0029561B" w:rsidP="0029561B">
      <w:pPr>
        <w:pStyle w:val="Caption"/>
        <w:rPr>
          <w:rFonts w:ascii="Times New Roman" w:eastAsia="SimSun" w:hAnsi="Times New Roman" w:cs="Times New Roman"/>
          <w:i w:val="0"/>
          <w:color w:val="000000" w:themeColor="text1"/>
          <w:sz w:val="24"/>
          <w:szCs w:val="24"/>
          <w:lang w:val="en-US" w:eastAsia="zh-CN"/>
        </w:rPr>
      </w:pPr>
      <w:bookmarkStart w:id="5" w:name="_Toc215577683"/>
      <w:r w:rsidRPr="0029561B">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29561B">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29561B">
        <w:rPr>
          <w:rFonts w:ascii="Times New Roman" w:hAnsi="Times New Roman" w:cs="Times New Roman"/>
          <w:b/>
          <w:i w:val="0"/>
          <w:noProof/>
          <w:color w:val="000000" w:themeColor="text1"/>
          <w:sz w:val="24"/>
          <w:szCs w:val="24"/>
          <w:lang w:val="en-US"/>
        </w:rPr>
        <w:t>5</w:t>
      </w:r>
      <w:r w:rsidRPr="00603361">
        <w:rPr>
          <w:rFonts w:ascii="Times New Roman" w:hAnsi="Times New Roman" w:cs="Times New Roman"/>
          <w:b/>
          <w:i w:val="0"/>
          <w:color w:val="000000" w:themeColor="text1"/>
          <w:sz w:val="24"/>
          <w:szCs w:val="24"/>
        </w:rPr>
        <w:fldChar w:fldCharType="end"/>
      </w:r>
      <w:r w:rsidRPr="0029561B">
        <w:rPr>
          <w:rFonts w:ascii="Times New Roman" w:eastAsia="SimSun" w:hAnsi="Times New Roman" w:cs="Times New Roman"/>
          <w:i w:val="0"/>
          <w:color w:val="000000" w:themeColor="text1"/>
          <w:sz w:val="24"/>
          <w:szCs w:val="24"/>
          <w:lang w:val="en-US" w:eastAsia="zh-CN"/>
        </w:rPr>
        <w:t xml:space="preserve">: </w:t>
      </w:r>
      <w:bookmarkEnd w:id="5"/>
      <w:r>
        <w:rPr>
          <w:rFonts w:ascii="Times New Roman" w:eastAsia="SimSun" w:hAnsi="Times New Roman" w:cs="Times New Roman"/>
          <w:i w:val="0"/>
          <w:color w:val="000000" w:themeColor="text1"/>
          <w:sz w:val="24"/>
          <w:szCs w:val="24"/>
          <w:lang w:val="en-US" w:eastAsia="zh-CN"/>
        </w:rPr>
        <w:t>r</w:t>
      </w:r>
      <w:r w:rsidRPr="0029561B">
        <w:rPr>
          <w:rFonts w:ascii="Times New Roman" w:eastAsia="SimSun" w:hAnsi="Times New Roman" w:cs="Times New Roman"/>
          <w:i w:val="0"/>
          <w:color w:val="000000" w:themeColor="text1"/>
          <w:sz w:val="24"/>
          <w:szCs w:val="24"/>
          <w:lang w:val="en-US" w:eastAsia="zh-CN"/>
        </w:rPr>
        <w:t xml:space="preserve">esults of the </w:t>
      </w:r>
      <w:proofErr w:type="spellStart"/>
      <w:r w:rsidRPr="0029561B">
        <w:rPr>
          <w:rFonts w:ascii="Times New Roman" w:eastAsia="SimSun" w:hAnsi="Times New Roman" w:cs="Times New Roman"/>
          <w:i w:val="0"/>
          <w:color w:val="000000" w:themeColor="text1"/>
          <w:sz w:val="24"/>
          <w:szCs w:val="24"/>
          <w:lang w:val="en-US" w:eastAsia="zh-CN"/>
        </w:rPr>
        <w:t>Joansen</w:t>
      </w:r>
      <w:proofErr w:type="spellEnd"/>
      <w:r w:rsidRPr="0029561B">
        <w:rPr>
          <w:rFonts w:ascii="Times New Roman" w:eastAsia="SimSun" w:hAnsi="Times New Roman" w:cs="Times New Roman"/>
          <w:i w:val="0"/>
          <w:color w:val="000000" w:themeColor="text1"/>
          <w:sz w:val="24"/>
          <w:szCs w:val="24"/>
          <w:lang w:val="en-US" w:eastAsia="zh-CN"/>
        </w:rPr>
        <w:t xml:space="preserve"> test between GDP, exports and inflation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3"/>
        <w:gridCol w:w="1067"/>
        <w:gridCol w:w="1296"/>
        <w:gridCol w:w="1226"/>
        <w:gridCol w:w="1777"/>
      </w:tblGrid>
      <w:tr w:rsidR="0029561B" w:rsidRPr="00180187" w14:paraId="7B9ECCC8" w14:textId="77777777" w:rsidTr="009A7559">
        <w:tc>
          <w:tcPr>
            <w:tcW w:w="1696" w:type="dxa"/>
          </w:tcPr>
          <w:p w14:paraId="2FAD8A2E"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 xml:space="preserve">Maximum </w:t>
            </w:r>
            <w:proofErr w:type="spellStart"/>
            <w:r w:rsidRPr="00180187">
              <w:rPr>
                <w:rFonts w:ascii="Times New Roman" w:hAnsi="Times New Roman" w:cs="Times New Roman"/>
                <w:sz w:val="24"/>
                <w:szCs w:val="24"/>
                <w:lang w:eastAsia="zh-CN"/>
              </w:rPr>
              <w:t>rank</w:t>
            </w:r>
            <w:proofErr w:type="spellEnd"/>
            <w:r w:rsidRPr="00180187">
              <w:rPr>
                <w:rFonts w:ascii="Times New Roman" w:hAnsi="Times New Roman" w:cs="Times New Roman"/>
                <w:sz w:val="24"/>
                <w:szCs w:val="24"/>
                <w:lang w:eastAsia="zh-CN"/>
              </w:rPr>
              <w:t xml:space="preserve"> </w:t>
            </w:r>
          </w:p>
        </w:tc>
        <w:tc>
          <w:tcPr>
            <w:tcW w:w="776" w:type="dxa"/>
          </w:tcPr>
          <w:p w14:paraId="2F9ACD72" w14:textId="77777777" w:rsidR="0029561B" w:rsidRPr="00180187" w:rsidRDefault="0029561B" w:rsidP="009A7559">
            <w:pPr>
              <w:pStyle w:val="NoSpacing"/>
              <w:rPr>
                <w:rFonts w:ascii="Times New Roman" w:hAnsi="Times New Roman" w:cs="Times New Roman"/>
                <w:sz w:val="24"/>
                <w:szCs w:val="24"/>
                <w:lang w:eastAsia="zh-CN"/>
              </w:rPr>
            </w:pPr>
            <w:proofErr w:type="spellStart"/>
            <w:proofErr w:type="gramStart"/>
            <w:r w:rsidRPr="00180187">
              <w:rPr>
                <w:rFonts w:ascii="Times New Roman" w:hAnsi="Times New Roman" w:cs="Times New Roman"/>
                <w:sz w:val="24"/>
                <w:szCs w:val="24"/>
                <w:lang w:eastAsia="zh-CN"/>
              </w:rPr>
              <w:t>parms</w:t>
            </w:r>
            <w:proofErr w:type="spellEnd"/>
            <w:proofErr w:type="gramEnd"/>
          </w:p>
        </w:tc>
        <w:tc>
          <w:tcPr>
            <w:tcW w:w="1067" w:type="dxa"/>
          </w:tcPr>
          <w:p w14:paraId="60C853DF"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LL</w:t>
            </w:r>
          </w:p>
        </w:tc>
        <w:tc>
          <w:tcPr>
            <w:tcW w:w="1183" w:type="dxa"/>
          </w:tcPr>
          <w:p w14:paraId="00467A77" w14:textId="77777777" w:rsidR="0029561B" w:rsidRPr="00180187" w:rsidRDefault="0029561B" w:rsidP="009A7559">
            <w:pPr>
              <w:pStyle w:val="NoSpacing"/>
              <w:rPr>
                <w:rFonts w:ascii="Times New Roman" w:hAnsi="Times New Roman" w:cs="Times New Roman"/>
                <w:sz w:val="24"/>
                <w:szCs w:val="24"/>
                <w:lang w:eastAsia="zh-CN"/>
              </w:rPr>
            </w:pPr>
            <w:proofErr w:type="spellStart"/>
            <w:r w:rsidRPr="00180187">
              <w:rPr>
                <w:rFonts w:ascii="Times New Roman" w:hAnsi="Times New Roman" w:cs="Times New Roman"/>
                <w:sz w:val="24"/>
                <w:szCs w:val="24"/>
                <w:lang w:eastAsia="zh-CN"/>
              </w:rPr>
              <w:t>Eigenvalue</w:t>
            </w:r>
            <w:proofErr w:type="spellEnd"/>
          </w:p>
        </w:tc>
        <w:tc>
          <w:tcPr>
            <w:tcW w:w="1226" w:type="dxa"/>
          </w:tcPr>
          <w:p w14:paraId="2AD4E2A6"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 xml:space="preserve">Trace stat </w:t>
            </w:r>
          </w:p>
        </w:tc>
        <w:tc>
          <w:tcPr>
            <w:tcW w:w="1777" w:type="dxa"/>
          </w:tcPr>
          <w:p w14:paraId="4407D5B8"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 xml:space="preserve">5% </w:t>
            </w:r>
            <w:proofErr w:type="spellStart"/>
            <w:r w:rsidRPr="00180187">
              <w:rPr>
                <w:rFonts w:ascii="Times New Roman" w:hAnsi="Times New Roman" w:cs="Times New Roman"/>
                <w:sz w:val="24"/>
                <w:szCs w:val="24"/>
                <w:lang w:eastAsia="zh-CN"/>
              </w:rPr>
              <w:t>critical</w:t>
            </w:r>
            <w:proofErr w:type="spellEnd"/>
            <w:r w:rsidRPr="00180187">
              <w:rPr>
                <w:rFonts w:ascii="Times New Roman" w:hAnsi="Times New Roman" w:cs="Times New Roman"/>
                <w:sz w:val="24"/>
                <w:szCs w:val="24"/>
                <w:lang w:eastAsia="zh-CN"/>
              </w:rPr>
              <w:t xml:space="preserve"> value</w:t>
            </w:r>
          </w:p>
        </w:tc>
      </w:tr>
      <w:tr w:rsidR="0029561B" w:rsidRPr="00180187" w14:paraId="6A00787F" w14:textId="77777777" w:rsidTr="009A7559">
        <w:tc>
          <w:tcPr>
            <w:tcW w:w="1696" w:type="dxa"/>
          </w:tcPr>
          <w:p w14:paraId="162305CD"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 xml:space="preserve">0 </w:t>
            </w:r>
          </w:p>
        </w:tc>
        <w:tc>
          <w:tcPr>
            <w:tcW w:w="776" w:type="dxa"/>
          </w:tcPr>
          <w:p w14:paraId="58A247BD"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9</w:t>
            </w:r>
          </w:p>
        </w:tc>
        <w:tc>
          <w:tcPr>
            <w:tcW w:w="1067" w:type="dxa"/>
          </w:tcPr>
          <w:p w14:paraId="64A6F553"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-250,12</w:t>
            </w:r>
          </w:p>
        </w:tc>
        <w:tc>
          <w:tcPr>
            <w:tcW w:w="1183" w:type="dxa"/>
          </w:tcPr>
          <w:p w14:paraId="741E5EEB"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w:t>
            </w:r>
          </w:p>
        </w:tc>
        <w:tc>
          <w:tcPr>
            <w:tcW w:w="1226" w:type="dxa"/>
          </w:tcPr>
          <w:p w14:paraId="4C2C618B" w14:textId="77777777" w:rsidR="0029561B" w:rsidRPr="00180187" w:rsidRDefault="0029561B" w:rsidP="009A7559">
            <w:pPr>
              <w:pStyle w:val="NoSpacing"/>
              <w:rPr>
                <w:rFonts w:ascii="Times New Roman" w:hAnsi="Times New Roman" w:cs="Times New Roman"/>
                <w:sz w:val="24"/>
                <w:szCs w:val="24"/>
                <w:lang w:eastAsia="zh-CN"/>
              </w:rPr>
            </w:pPr>
            <w:proofErr w:type="gramStart"/>
            <w:r w:rsidRPr="00180187">
              <w:rPr>
                <w:rFonts w:ascii="Times New Roman" w:hAnsi="Times New Roman" w:cs="Times New Roman"/>
                <w:sz w:val="24"/>
                <w:szCs w:val="24"/>
                <w:lang w:eastAsia="zh-CN"/>
              </w:rPr>
              <w:t>45,,</w:t>
            </w:r>
            <w:proofErr w:type="gramEnd"/>
            <w:r w:rsidRPr="00180187">
              <w:rPr>
                <w:rFonts w:ascii="Times New Roman" w:hAnsi="Times New Roman" w:cs="Times New Roman"/>
                <w:sz w:val="24"/>
                <w:szCs w:val="24"/>
                <w:lang w:eastAsia="zh-CN"/>
              </w:rPr>
              <w:t>67</w:t>
            </w:r>
          </w:p>
        </w:tc>
        <w:tc>
          <w:tcPr>
            <w:tcW w:w="1777" w:type="dxa"/>
          </w:tcPr>
          <w:p w14:paraId="5DA6FB38"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29,68</w:t>
            </w:r>
          </w:p>
        </w:tc>
      </w:tr>
      <w:tr w:rsidR="0029561B" w:rsidRPr="00180187" w14:paraId="1269A2A7" w14:textId="77777777" w:rsidTr="009A7559">
        <w:tc>
          <w:tcPr>
            <w:tcW w:w="1696" w:type="dxa"/>
          </w:tcPr>
          <w:p w14:paraId="2F1B8238"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1</w:t>
            </w:r>
          </w:p>
        </w:tc>
        <w:tc>
          <w:tcPr>
            <w:tcW w:w="776" w:type="dxa"/>
          </w:tcPr>
          <w:p w14:paraId="4D5F6F44"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14</w:t>
            </w:r>
          </w:p>
        </w:tc>
        <w:tc>
          <w:tcPr>
            <w:tcW w:w="1067" w:type="dxa"/>
          </w:tcPr>
          <w:p w14:paraId="613C6422"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-240,89</w:t>
            </w:r>
          </w:p>
        </w:tc>
        <w:tc>
          <w:tcPr>
            <w:tcW w:w="1183" w:type="dxa"/>
          </w:tcPr>
          <w:p w14:paraId="64DA63C9"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0,45</w:t>
            </w:r>
          </w:p>
        </w:tc>
        <w:tc>
          <w:tcPr>
            <w:tcW w:w="1226" w:type="dxa"/>
          </w:tcPr>
          <w:p w14:paraId="29330464"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27,21</w:t>
            </w:r>
          </w:p>
        </w:tc>
        <w:tc>
          <w:tcPr>
            <w:tcW w:w="1777" w:type="dxa"/>
          </w:tcPr>
          <w:p w14:paraId="253C3929"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15,41</w:t>
            </w:r>
          </w:p>
        </w:tc>
      </w:tr>
      <w:tr w:rsidR="0029561B" w:rsidRPr="00180187" w14:paraId="21BDC4BB" w14:textId="77777777" w:rsidTr="009A7559">
        <w:tc>
          <w:tcPr>
            <w:tcW w:w="1696" w:type="dxa"/>
          </w:tcPr>
          <w:p w14:paraId="7991A274"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w:t>
            </w:r>
          </w:p>
        </w:tc>
        <w:tc>
          <w:tcPr>
            <w:tcW w:w="776" w:type="dxa"/>
          </w:tcPr>
          <w:p w14:paraId="63122869"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17</w:t>
            </w:r>
          </w:p>
        </w:tc>
        <w:tc>
          <w:tcPr>
            <w:tcW w:w="1067" w:type="dxa"/>
          </w:tcPr>
          <w:p w14:paraId="4AA5301E"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-235,10</w:t>
            </w:r>
          </w:p>
        </w:tc>
        <w:tc>
          <w:tcPr>
            <w:tcW w:w="1183" w:type="dxa"/>
          </w:tcPr>
          <w:p w14:paraId="3E33BEEC"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0,32</w:t>
            </w:r>
          </w:p>
        </w:tc>
        <w:tc>
          <w:tcPr>
            <w:tcW w:w="1226" w:type="dxa"/>
          </w:tcPr>
          <w:p w14:paraId="62303D46"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15,63</w:t>
            </w:r>
          </w:p>
        </w:tc>
        <w:tc>
          <w:tcPr>
            <w:tcW w:w="1777" w:type="dxa"/>
          </w:tcPr>
          <w:p w14:paraId="6FAB8297"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3,76</w:t>
            </w:r>
          </w:p>
        </w:tc>
      </w:tr>
      <w:tr w:rsidR="0029561B" w:rsidRPr="00180187" w14:paraId="3E723BB5" w14:textId="77777777" w:rsidTr="009A7559">
        <w:tc>
          <w:tcPr>
            <w:tcW w:w="1696" w:type="dxa"/>
          </w:tcPr>
          <w:p w14:paraId="083106BD"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3</w:t>
            </w:r>
          </w:p>
        </w:tc>
        <w:tc>
          <w:tcPr>
            <w:tcW w:w="776" w:type="dxa"/>
          </w:tcPr>
          <w:p w14:paraId="5BDC3B1A"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18</w:t>
            </w:r>
          </w:p>
        </w:tc>
        <w:tc>
          <w:tcPr>
            <w:tcW w:w="1067" w:type="dxa"/>
          </w:tcPr>
          <w:p w14:paraId="2AD4485C"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-232,78</w:t>
            </w:r>
          </w:p>
        </w:tc>
        <w:tc>
          <w:tcPr>
            <w:tcW w:w="1183" w:type="dxa"/>
          </w:tcPr>
          <w:p w14:paraId="2CE8CB30"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0,12</w:t>
            </w:r>
          </w:p>
        </w:tc>
        <w:tc>
          <w:tcPr>
            <w:tcW w:w="1226" w:type="dxa"/>
          </w:tcPr>
          <w:p w14:paraId="79C7BB23"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w:t>
            </w:r>
          </w:p>
        </w:tc>
        <w:tc>
          <w:tcPr>
            <w:tcW w:w="1777" w:type="dxa"/>
          </w:tcPr>
          <w:p w14:paraId="7E633196"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w:t>
            </w:r>
          </w:p>
        </w:tc>
      </w:tr>
    </w:tbl>
    <w:p w14:paraId="4B5B832E" w14:textId="77777777" w:rsidR="00383683" w:rsidRDefault="00383683" w:rsidP="00383683">
      <w:pPr>
        <w:jc w:val="both"/>
        <w:rPr>
          <w:rFonts w:ascii="Times New Roman" w:hAnsi="Times New Roman" w:cs="Times New Roman"/>
          <w:sz w:val="24"/>
          <w:szCs w:val="24"/>
          <w:lang w:val="en-US"/>
        </w:rPr>
      </w:pPr>
    </w:p>
    <w:p w14:paraId="1BD460E1" w14:textId="77777777" w:rsidR="0029561B" w:rsidRPr="0029561B" w:rsidRDefault="0029561B" w:rsidP="0029561B">
      <w:pPr>
        <w:jc w:val="both"/>
        <w:rPr>
          <w:rFonts w:ascii="Times New Roman" w:hAnsi="Times New Roman" w:cs="Times New Roman"/>
          <w:sz w:val="24"/>
          <w:szCs w:val="24"/>
          <w:lang w:val="en-US"/>
        </w:rPr>
      </w:pPr>
      <w:r w:rsidRPr="0029561B">
        <w:rPr>
          <w:rFonts w:ascii="Times New Roman" w:hAnsi="Times New Roman" w:cs="Times New Roman"/>
          <w:sz w:val="24"/>
          <w:szCs w:val="24"/>
          <w:lang w:val="en-US"/>
        </w:rPr>
        <w:t xml:space="preserve">The results of Johansen's cointegration test (Table 5) reveal the existence of long-term structural relationships between gross domestic product, exports, and inflation within the economic zone studied. Analysis of the trace statistic, compared with critical values at a five percent </w:t>
      </w:r>
      <w:r w:rsidRPr="0029561B">
        <w:rPr>
          <w:rFonts w:ascii="Times New Roman" w:hAnsi="Times New Roman" w:cs="Times New Roman"/>
          <w:sz w:val="24"/>
          <w:szCs w:val="24"/>
          <w:lang w:val="en-US"/>
        </w:rPr>
        <w:lastRenderedPageBreak/>
        <w:t xml:space="preserve">significance level, allows us to successively reject the null hypotheses of no cointegration relationship. </w:t>
      </w:r>
    </w:p>
    <w:p w14:paraId="6DA5ABB4" w14:textId="3D955ED9" w:rsidR="0029561B" w:rsidRDefault="0029561B" w:rsidP="0029561B">
      <w:pPr>
        <w:jc w:val="both"/>
        <w:rPr>
          <w:rFonts w:ascii="Times New Roman" w:hAnsi="Times New Roman" w:cs="Times New Roman"/>
          <w:sz w:val="24"/>
          <w:szCs w:val="24"/>
          <w:lang w:val="en-US"/>
        </w:rPr>
      </w:pPr>
      <w:r w:rsidRPr="0029561B">
        <w:rPr>
          <w:rFonts w:ascii="Times New Roman" w:hAnsi="Times New Roman" w:cs="Times New Roman"/>
          <w:sz w:val="24"/>
          <w:szCs w:val="24"/>
          <w:lang w:val="en-US"/>
        </w:rPr>
        <w:t>More specifically, the high value of the trace statistic for the hypothesis of no cointegration relationship clearly indicates that these three variables share at least one common stochastic trend. The test then establishes that not one, but three distinct cointegration relationships link these variables in the long term.</w:t>
      </w:r>
    </w:p>
    <w:p w14:paraId="70E4A00C" w14:textId="77777777" w:rsidR="0029561B" w:rsidRPr="0029561B" w:rsidRDefault="0029561B" w:rsidP="0029561B">
      <w:pPr>
        <w:jc w:val="both"/>
        <w:rPr>
          <w:rFonts w:ascii="Times New Roman" w:hAnsi="Times New Roman" w:cs="Times New Roman"/>
          <w:sz w:val="24"/>
          <w:szCs w:val="24"/>
          <w:lang w:val="en-US"/>
        </w:rPr>
      </w:pPr>
      <w:r w:rsidRPr="0029561B">
        <w:rPr>
          <w:rFonts w:ascii="Times New Roman" w:hAnsi="Times New Roman" w:cs="Times New Roman"/>
          <w:sz w:val="24"/>
          <w:szCs w:val="24"/>
          <w:lang w:val="en-US"/>
        </w:rPr>
        <w:t xml:space="preserve">This econometric discovery is of considerable importance for economic modeling. It validates the existence of equilibrium forces that keep these variables in a stable relationship despite temporary shocks that may affect them in the short term. Gross domestic product, export volume, and the general price level thus evolve in concert according to fixed proportions over the long term, forming a coherent economic system. </w:t>
      </w:r>
    </w:p>
    <w:p w14:paraId="50C0C820" w14:textId="77777777" w:rsidR="00F463DE" w:rsidRPr="00F463DE" w:rsidRDefault="00F463DE" w:rsidP="00F463DE">
      <w:pPr>
        <w:pStyle w:val="font-claude-response-body"/>
        <w:rPr>
          <w:lang w:val="en-US"/>
        </w:rPr>
      </w:pPr>
      <w:r w:rsidRPr="00F463DE">
        <w:rPr>
          <w:rStyle w:val="Strong"/>
          <w:lang w:val="en-US"/>
        </w:rPr>
        <w:t>2. Empirical Results and Interpretation</w:t>
      </w:r>
    </w:p>
    <w:p w14:paraId="0ECA5423" w14:textId="77777777" w:rsidR="00F463DE" w:rsidRPr="00F463DE" w:rsidRDefault="00F463DE" w:rsidP="00F463DE">
      <w:pPr>
        <w:pStyle w:val="font-claude-response-body"/>
        <w:jc w:val="both"/>
        <w:rPr>
          <w:lang w:val="en-US"/>
        </w:rPr>
      </w:pPr>
      <w:r w:rsidRPr="00F463DE">
        <w:rPr>
          <w:lang w:val="en-US"/>
        </w:rPr>
        <w:t>Building upon the methodological tools precisely defined in the previous section, this second part aims to present, analyze, and interpret the empirical results obtained. The objective is not merely to deliver a succession of figures and statistics, but to systematically confront them with the postulates of optimum currency area theory, in order to assess, criterion by criterion, the economic viability of the Franc Zone. This section will be structured in two stages. First, we will present and discuss the results specific to each of the criteria examined: factor mobility, openness, diversification and symmetry of shocks, and trade and financial integration. This vertical analysis will enable us to establish a precise diagnosis of the structural strengths and weaknesses of the zone.</w:t>
      </w:r>
    </w:p>
    <w:p w14:paraId="4709ABCD" w14:textId="77777777" w:rsidR="00F463DE" w:rsidRPr="00F463DE" w:rsidRDefault="00F463DE" w:rsidP="00F463DE">
      <w:pPr>
        <w:pStyle w:val="font-claude-response-body"/>
        <w:rPr>
          <w:lang w:val="en-US"/>
        </w:rPr>
      </w:pPr>
      <w:r w:rsidRPr="00F463DE">
        <w:rPr>
          <w:rStyle w:val="Strong"/>
          <w:lang w:val="en-US"/>
        </w:rPr>
        <w:t>2.1. Presentation and Analysis of Results by Criterion</w:t>
      </w:r>
    </w:p>
    <w:p w14:paraId="5910AF70" w14:textId="77777777" w:rsidR="00F463DE" w:rsidRPr="00F463DE" w:rsidRDefault="00F463DE" w:rsidP="00F463DE">
      <w:pPr>
        <w:pStyle w:val="font-claude-response-body"/>
        <w:jc w:val="both"/>
        <w:rPr>
          <w:lang w:val="en-US"/>
        </w:rPr>
      </w:pPr>
      <w:r w:rsidRPr="00F463DE">
        <w:rPr>
          <w:lang w:val="en-US"/>
        </w:rPr>
        <w:t>The implementation of the methodological framework defined previously now enables us to subject the Franc Zone to empirical scrutiny. This subsection aims to present and interpret the empirical results obtained for each of the five optimality criteria selected. The analysis will proceed systematically, confronting observed data with theoretical predictions. This will not be a mere enumeration of numerical results, but rather a critical interpretation aimed at assessing the extent to which the economic reality of the zone validates or refutes the postulates of the founders of optimum currency area theory. For each criterion, we will examine raw data, calculated indicators (such as the openness ratio, the Herfindahl-Hirschman index, cycle correlation coefficients), and econometric model outputs (cointegration tests, impulse response functions, panel models).</w:t>
      </w:r>
    </w:p>
    <w:p w14:paraId="0E2A6B80" w14:textId="77777777" w:rsidR="00F463DE" w:rsidRPr="00F463DE" w:rsidRDefault="00F463DE" w:rsidP="00F463DE">
      <w:pPr>
        <w:pStyle w:val="font-claude-response-body"/>
        <w:rPr>
          <w:lang w:val="en-US"/>
        </w:rPr>
      </w:pPr>
      <w:r w:rsidRPr="00F463DE">
        <w:rPr>
          <w:rStyle w:val="Strong"/>
          <w:lang w:val="en-US"/>
        </w:rPr>
        <w:t>2.1.1. Results on Factor Mobility and Flexibility: Evidence of Low Official Labor Mobility but Significant Flexibility through the Informal Sector</w:t>
      </w:r>
    </w:p>
    <w:p w14:paraId="480E9532" w14:textId="3F7D6F6A" w:rsidR="00F463DE" w:rsidRDefault="00F463DE" w:rsidP="00F463DE">
      <w:pPr>
        <w:pStyle w:val="font-claude-response-body"/>
        <w:jc w:val="both"/>
        <w:rPr>
          <w:lang w:val="en-US"/>
        </w:rPr>
      </w:pPr>
      <w:r w:rsidRPr="00F463DE">
        <w:rPr>
          <w:lang w:val="en-US"/>
        </w:rPr>
        <w:t xml:space="preserve">The empirical analysis of the factor mobility criterion, central to Mundell's theory, reveals a contrasting reality within the Franc Zone. While the perfect mobility of labor and capital postulated by ideal theory remains unattainable, several adjustment mechanisms, both formal and informal, nonetheless operate and partially fulfill this stabilizing function. Direct measurement of cross-border labor mobility faces the unavailability of granular and harmonized quantitative data. Official statistics struggle to capture the true magnitude of migratory flows, particularly those directed toward regional economic hubs such as Côte d'Ivoire and Senegal. </w:t>
      </w:r>
      <w:r w:rsidRPr="00F463DE">
        <w:rPr>
          <w:lang w:val="en-US"/>
        </w:rPr>
        <w:lastRenderedPageBreak/>
        <w:t>This limitation prevents robust quantification of the stabilizing role of migration in response to asymmetric demand shocks in the labor market.</w:t>
      </w:r>
    </w:p>
    <w:p w14:paraId="4EC92656" w14:textId="77777777" w:rsidR="00F463DE" w:rsidRPr="00F463DE" w:rsidRDefault="00F463DE" w:rsidP="00F463DE">
      <w:pPr>
        <w:pStyle w:val="font-claude-response-body"/>
        <w:rPr>
          <w:lang w:val="en-US"/>
        </w:rPr>
      </w:pPr>
      <w:r w:rsidRPr="00F463DE">
        <w:rPr>
          <w:rStyle w:val="Strong"/>
          <w:lang w:val="en-US"/>
        </w:rPr>
        <w:t>2.1.1.1. Indicators for Analyzing Labor Mobility: Unemployment and International Migration</w:t>
      </w:r>
    </w:p>
    <w:p w14:paraId="15D088D6" w14:textId="77777777" w:rsidR="00F463DE" w:rsidRPr="00F463DE" w:rsidRDefault="00F463DE" w:rsidP="00F463DE">
      <w:pPr>
        <w:pStyle w:val="font-claude-response-body"/>
        <w:jc w:val="both"/>
        <w:rPr>
          <w:lang w:val="en-US"/>
        </w:rPr>
      </w:pPr>
      <w:r w:rsidRPr="00F463DE">
        <w:rPr>
          <w:lang w:val="en-US"/>
        </w:rPr>
        <w:t>This subsection examines the first component of Mundell's criterion: labor mobility. Its objective is to determine whether worker movements can serve as an adjustment mechanism to asymmetric shocks by mitigating unemployment rate divergences among member countries.</w:t>
      </w:r>
    </w:p>
    <w:p w14:paraId="7C1E3A2D" w14:textId="77777777" w:rsidR="00F463DE" w:rsidRDefault="00F463DE" w:rsidP="00F463DE">
      <w:pPr>
        <w:pStyle w:val="font-claude-response-body"/>
        <w:jc w:val="both"/>
        <w:rPr>
          <w:lang w:val="en-US"/>
        </w:rPr>
      </w:pPr>
      <w:r w:rsidRPr="00F463DE">
        <w:rPr>
          <w:lang w:val="en-US"/>
        </w:rPr>
        <w:t>Figure 1, which presents the dispersion of unemployment rates over time, provides an essential preliminary finding. It reveals persistent disparities among countries in the zone. Unemployment does not converge toward a single rate; certain countries structurally maintain a higher rate than others. This persistent heterogeneity immediately suggests the absence of a powerful automatic correction mechanism, raising questions about the effectiveness of labor mobility.</w:t>
      </w:r>
    </w:p>
    <w:p w14:paraId="152C1077" w14:textId="325101D9" w:rsidR="00F463DE" w:rsidRPr="00603361" w:rsidRDefault="00F463DE" w:rsidP="00F463DE">
      <w:pPr>
        <w:pStyle w:val="Caption"/>
        <w:rPr>
          <w:rFonts w:ascii="Times New Roman" w:eastAsia="SimSun" w:hAnsi="Times New Roman" w:cs="Times New Roman"/>
          <w:i w:val="0"/>
          <w:color w:val="000000" w:themeColor="text1"/>
          <w:sz w:val="24"/>
          <w:szCs w:val="24"/>
          <w:lang w:eastAsia="zh-CN"/>
        </w:rPr>
      </w:pPr>
      <w:bookmarkStart w:id="6" w:name="_Toc215577659"/>
      <w:r w:rsidRPr="00603361">
        <w:rPr>
          <w:rFonts w:ascii="Times New Roman" w:hAnsi="Times New Roman" w:cs="Times New Roman"/>
          <w:b/>
          <w:i w:val="0"/>
          <w:color w:val="000000" w:themeColor="text1"/>
          <w:sz w:val="24"/>
          <w:szCs w:val="24"/>
        </w:rPr>
        <w:t xml:space="preserve">Figure </w:t>
      </w:r>
      <w:r w:rsidRPr="00603361">
        <w:rPr>
          <w:rFonts w:ascii="Times New Roman" w:hAnsi="Times New Roman" w:cs="Times New Roman"/>
          <w:b/>
          <w:i w:val="0"/>
          <w:color w:val="000000" w:themeColor="text1"/>
          <w:sz w:val="24"/>
          <w:szCs w:val="24"/>
        </w:rPr>
        <w:fldChar w:fldCharType="begin"/>
      </w:r>
      <w:r w:rsidRPr="00603361">
        <w:rPr>
          <w:rFonts w:ascii="Times New Roman" w:hAnsi="Times New Roman" w:cs="Times New Roman"/>
          <w:b/>
          <w:i w:val="0"/>
          <w:color w:val="000000" w:themeColor="text1"/>
          <w:sz w:val="24"/>
          <w:szCs w:val="24"/>
        </w:rPr>
        <w:instrText xml:space="preserve"> SEQ Figure \* ARABIC </w:instrText>
      </w:r>
      <w:r w:rsidRPr="00603361">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1</w:t>
      </w:r>
      <w:r w:rsidRPr="00603361">
        <w:rPr>
          <w:rFonts w:ascii="Times New Roman" w:hAnsi="Times New Roman" w:cs="Times New Roman"/>
          <w:b/>
          <w:i w:val="0"/>
          <w:color w:val="000000" w:themeColor="text1"/>
          <w:sz w:val="24"/>
          <w:szCs w:val="24"/>
        </w:rPr>
        <w:fldChar w:fldCharType="end"/>
      </w:r>
      <w:r w:rsidRPr="00603361">
        <w:rPr>
          <w:rFonts w:ascii="Times New Roman" w:eastAsia="SimSun" w:hAnsi="Times New Roman" w:cs="Times New Roman"/>
          <w:b/>
          <w:i w:val="0"/>
          <w:color w:val="000000" w:themeColor="text1"/>
          <w:sz w:val="24"/>
          <w:szCs w:val="24"/>
          <w:lang w:eastAsia="zh-CN"/>
        </w:rPr>
        <w:t>:</w:t>
      </w:r>
      <w:r w:rsidRPr="00603361">
        <w:rPr>
          <w:rFonts w:ascii="Times New Roman" w:eastAsia="SimSun" w:hAnsi="Times New Roman" w:cs="Times New Roman"/>
          <w:i w:val="0"/>
          <w:color w:val="000000" w:themeColor="text1"/>
          <w:sz w:val="24"/>
          <w:szCs w:val="24"/>
          <w:lang w:eastAsia="zh-CN"/>
        </w:rPr>
        <w:t xml:space="preserve"> </w:t>
      </w:r>
      <w:bookmarkEnd w:id="6"/>
      <w:proofErr w:type="spellStart"/>
      <w:r w:rsidRPr="00F463DE">
        <w:rPr>
          <w:rFonts w:ascii="Times New Roman" w:eastAsia="SimSun" w:hAnsi="Times New Roman" w:cs="Times New Roman"/>
          <w:i w:val="0"/>
          <w:color w:val="000000" w:themeColor="text1"/>
          <w:sz w:val="24"/>
          <w:szCs w:val="24"/>
          <w:lang w:eastAsia="zh-CN"/>
        </w:rPr>
        <w:t>unemployment</w:t>
      </w:r>
      <w:proofErr w:type="spellEnd"/>
      <w:r w:rsidRPr="00F463DE">
        <w:rPr>
          <w:rFonts w:ascii="Times New Roman" w:eastAsia="SimSun" w:hAnsi="Times New Roman" w:cs="Times New Roman"/>
          <w:i w:val="0"/>
          <w:color w:val="000000" w:themeColor="text1"/>
          <w:sz w:val="24"/>
          <w:szCs w:val="24"/>
          <w:lang w:eastAsia="zh-CN"/>
        </w:rPr>
        <w:t xml:space="preserve"> dispersion</w:t>
      </w:r>
    </w:p>
    <w:p w14:paraId="73F04E13" w14:textId="64F0170D" w:rsidR="00F463DE" w:rsidRDefault="00F463DE" w:rsidP="00F463DE">
      <w:pPr>
        <w:spacing w:line="240" w:lineRule="auto"/>
        <w:jc w:val="both"/>
        <w:rPr>
          <w:rFonts w:ascii="Times New Roman" w:eastAsia="SimSun" w:hAnsi="Times New Roman" w:cs="Times New Roman"/>
          <w:sz w:val="24"/>
          <w:lang w:eastAsia="zh-CN"/>
        </w:rPr>
      </w:pPr>
      <w:r w:rsidRPr="00A80FC1">
        <w:rPr>
          <w:rFonts w:ascii="Times New Roman" w:eastAsia="SimSun" w:hAnsi="Times New Roman" w:cs="Times New Roman"/>
          <w:noProof/>
          <w:sz w:val="24"/>
          <w:lang w:eastAsia="fr-FR"/>
        </w:rPr>
        <w:drawing>
          <wp:inline distT="0" distB="0" distL="0" distR="0" wp14:anchorId="6B98C6E0" wp14:editId="5F1271CA">
            <wp:extent cx="5113209" cy="2874873"/>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23211" cy="2880496"/>
                    </a:xfrm>
                    <a:prstGeom prst="rect">
                      <a:avLst/>
                    </a:prstGeom>
                    <a:noFill/>
                    <a:ln>
                      <a:noFill/>
                    </a:ln>
                  </pic:spPr>
                </pic:pic>
              </a:graphicData>
            </a:graphic>
          </wp:inline>
        </w:drawing>
      </w:r>
    </w:p>
    <w:p w14:paraId="5B2933B3" w14:textId="782F0B9C" w:rsidR="00F463DE" w:rsidRPr="00A80FC1" w:rsidRDefault="00F463DE" w:rsidP="00F463DE">
      <w:pPr>
        <w:rPr>
          <w:rFonts w:ascii="Times New Roman" w:eastAsia="SimSun" w:hAnsi="Times New Roman" w:cs="Times New Roman"/>
          <w:sz w:val="24"/>
          <w:lang w:eastAsia="zh-CN"/>
        </w:rPr>
      </w:pPr>
      <w:r>
        <w:rPr>
          <w:rFonts w:ascii="Times New Roman" w:eastAsia="SimSun" w:hAnsi="Times New Roman" w:cs="Times New Roman"/>
          <w:sz w:val="24"/>
          <w:lang w:eastAsia="zh-CN"/>
        </w:rPr>
        <w:br w:type="page"/>
      </w:r>
    </w:p>
    <w:p w14:paraId="170B5015" w14:textId="57DA26E4" w:rsidR="00F463DE" w:rsidRPr="00F463DE" w:rsidRDefault="00F463DE" w:rsidP="00F463DE">
      <w:pPr>
        <w:pStyle w:val="Caption"/>
        <w:rPr>
          <w:rFonts w:ascii="Times New Roman" w:eastAsia="SimSun" w:hAnsi="Times New Roman" w:cs="Times New Roman"/>
          <w:b/>
          <w:i w:val="0"/>
          <w:color w:val="000000" w:themeColor="text1"/>
          <w:sz w:val="24"/>
          <w:szCs w:val="24"/>
          <w:lang w:val="en-US" w:eastAsia="zh-CN"/>
        </w:rPr>
      </w:pPr>
      <w:bookmarkStart w:id="7" w:name="_Toc215577660"/>
      <w:r w:rsidRPr="00F463DE">
        <w:rPr>
          <w:rFonts w:ascii="Times New Roman" w:hAnsi="Times New Roman" w:cs="Times New Roman"/>
          <w:b/>
          <w:i w:val="0"/>
          <w:color w:val="000000" w:themeColor="text1"/>
          <w:sz w:val="24"/>
          <w:szCs w:val="24"/>
          <w:lang w:val="en-US"/>
        </w:rPr>
        <w:lastRenderedPageBreak/>
        <w:t xml:space="preserve">Figure </w:t>
      </w:r>
      <w:r w:rsidRPr="00603361">
        <w:rPr>
          <w:rFonts w:ascii="Times New Roman" w:hAnsi="Times New Roman" w:cs="Times New Roman"/>
          <w:b/>
          <w:i w:val="0"/>
          <w:color w:val="000000" w:themeColor="text1"/>
          <w:sz w:val="24"/>
          <w:szCs w:val="24"/>
        </w:rPr>
        <w:fldChar w:fldCharType="begin"/>
      </w:r>
      <w:r w:rsidRPr="00F463DE">
        <w:rPr>
          <w:rFonts w:ascii="Times New Roman" w:hAnsi="Times New Roman" w:cs="Times New Roman"/>
          <w:b/>
          <w:i w:val="0"/>
          <w:color w:val="000000" w:themeColor="text1"/>
          <w:sz w:val="24"/>
          <w:szCs w:val="24"/>
          <w:lang w:val="en-US"/>
        </w:rPr>
        <w:instrText xml:space="preserve"> SEQ Figure \* ARABIC </w:instrText>
      </w:r>
      <w:r w:rsidRPr="00603361">
        <w:rPr>
          <w:rFonts w:ascii="Times New Roman" w:hAnsi="Times New Roman" w:cs="Times New Roman"/>
          <w:b/>
          <w:i w:val="0"/>
          <w:color w:val="000000" w:themeColor="text1"/>
          <w:sz w:val="24"/>
          <w:szCs w:val="24"/>
        </w:rPr>
        <w:fldChar w:fldCharType="separate"/>
      </w:r>
      <w:r w:rsidRPr="00F463DE">
        <w:rPr>
          <w:rFonts w:ascii="Times New Roman" w:hAnsi="Times New Roman" w:cs="Times New Roman"/>
          <w:b/>
          <w:i w:val="0"/>
          <w:noProof/>
          <w:color w:val="000000" w:themeColor="text1"/>
          <w:sz w:val="24"/>
          <w:szCs w:val="24"/>
          <w:lang w:val="en-US"/>
        </w:rPr>
        <w:t>2</w:t>
      </w:r>
      <w:r w:rsidRPr="00603361">
        <w:rPr>
          <w:rFonts w:ascii="Times New Roman" w:hAnsi="Times New Roman" w:cs="Times New Roman"/>
          <w:b/>
          <w:i w:val="0"/>
          <w:color w:val="000000" w:themeColor="text1"/>
          <w:sz w:val="24"/>
          <w:szCs w:val="24"/>
        </w:rPr>
        <w:fldChar w:fldCharType="end"/>
      </w:r>
      <w:r w:rsidRPr="00F463DE">
        <w:rPr>
          <w:rFonts w:ascii="Times New Roman" w:eastAsia="SimSun" w:hAnsi="Times New Roman" w:cs="Times New Roman"/>
          <w:b/>
          <w:i w:val="0"/>
          <w:color w:val="000000" w:themeColor="text1"/>
          <w:sz w:val="24"/>
          <w:szCs w:val="24"/>
          <w:lang w:val="en-US" w:eastAsia="zh-CN"/>
        </w:rPr>
        <w:t xml:space="preserve">: </w:t>
      </w:r>
      <w:bookmarkEnd w:id="7"/>
      <w:r w:rsidRPr="00F463DE">
        <w:rPr>
          <w:rFonts w:ascii="Times New Roman" w:eastAsia="SimSun" w:hAnsi="Times New Roman" w:cs="Times New Roman"/>
          <w:i w:val="0"/>
          <w:color w:val="000000" w:themeColor="text1"/>
          <w:sz w:val="24"/>
          <w:szCs w:val="24"/>
          <w:lang w:val="en-US" w:eastAsia="zh-CN"/>
        </w:rPr>
        <w:t>correlation between unemployment and international migration</w:t>
      </w:r>
    </w:p>
    <w:p w14:paraId="280BE68F" w14:textId="77777777" w:rsidR="00F463DE" w:rsidRPr="00A80FC1" w:rsidRDefault="00F463DE" w:rsidP="00F463DE">
      <w:pPr>
        <w:spacing w:line="240" w:lineRule="auto"/>
        <w:jc w:val="both"/>
        <w:rPr>
          <w:rFonts w:ascii="Times New Roman" w:eastAsia="SimSun" w:hAnsi="Times New Roman" w:cs="Times New Roman"/>
          <w:sz w:val="24"/>
          <w:lang w:eastAsia="zh-CN"/>
        </w:rPr>
      </w:pPr>
      <w:r w:rsidRPr="00A80FC1">
        <w:rPr>
          <w:rFonts w:ascii="Times New Roman" w:eastAsia="SimSun" w:hAnsi="Times New Roman" w:cs="Times New Roman"/>
          <w:noProof/>
          <w:sz w:val="24"/>
          <w:lang w:eastAsia="fr-FR"/>
        </w:rPr>
        <w:drawing>
          <wp:inline distT="0" distB="0" distL="0" distR="0" wp14:anchorId="61A43A4E" wp14:editId="745DC010">
            <wp:extent cx="5114290" cy="339283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1658" cy="3397721"/>
                    </a:xfrm>
                    <a:prstGeom prst="rect">
                      <a:avLst/>
                    </a:prstGeom>
                    <a:noFill/>
                    <a:ln>
                      <a:noFill/>
                    </a:ln>
                  </pic:spPr>
                </pic:pic>
              </a:graphicData>
            </a:graphic>
          </wp:inline>
        </w:drawing>
      </w:r>
    </w:p>
    <w:p w14:paraId="0520B64C" w14:textId="6CE42B0C" w:rsidR="00F463DE" w:rsidRDefault="00F463DE" w:rsidP="00F463DE">
      <w:pPr>
        <w:pStyle w:val="font-claude-response-body"/>
        <w:jc w:val="both"/>
        <w:rPr>
          <w:lang w:val="en-US"/>
        </w:rPr>
      </w:pPr>
      <w:r w:rsidRPr="00F463DE">
        <w:rPr>
          <w:lang w:val="en-US"/>
        </w:rPr>
        <w:t>Figure 2 directly attempts to visualize the relationship posited by theory between unemployment (the "push" to emigrate) and international migration (the "flight" of workers). The scatter plot and trend line (fitted values) reveal a weak, even counterintuitive relationship.</w:t>
      </w:r>
    </w:p>
    <w:p w14:paraId="1C347CCF" w14:textId="76FE2363" w:rsidR="00F463DE" w:rsidRPr="009A7559" w:rsidRDefault="00F463DE" w:rsidP="00F463DE">
      <w:pPr>
        <w:pStyle w:val="Caption"/>
        <w:rPr>
          <w:rFonts w:ascii="Times New Roman" w:eastAsia="SimSun" w:hAnsi="Times New Roman" w:cs="Times New Roman"/>
          <w:i w:val="0"/>
          <w:color w:val="000000" w:themeColor="text1"/>
          <w:sz w:val="24"/>
          <w:szCs w:val="24"/>
          <w:lang w:val="en-IN" w:eastAsia="zh-CN"/>
        </w:rPr>
      </w:pPr>
      <w:bookmarkStart w:id="8" w:name="_Toc215577684"/>
      <w:r w:rsidRPr="009A7559">
        <w:rPr>
          <w:rFonts w:ascii="Times New Roman" w:hAnsi="Times New Roman" w:cs="Times New Roman"/>
          <w:b/>
          <w:i w:val="0"/>
          <w:color w:val="000000" w:themeColor="text1"/>
          <w:sz w:val="24"/>
          <w:szCs w:val="24"/>
          <w:lang w:val="en-IN"/>
        </w:rPr>
        <w:t xml:space="preserve">Table </w:t>
      </w:r>
      <w:r w:rsidRPr="00603361">
        <w:rPr>
          <w:rFonts w:ascii="Times New Roman" w:hAnsi="Times New Roman" w:cs="Times New Roman"/>
          <w:b/>
          <w:i w:val="0"/>
          <w:color w:val="000000" w:themeColor="text1"/>
          <w:sz w:val="24"/>
          <w:szCs w:val="24"/>
        </w:rPr>
        <w:fldChar w:fldCharType="begin"/>
      </w:r>
      <w:r w:rsidRPr="009A7559">
        <w:rPr>
          <w:rFonts w:ascii="Times New Roman" w:hAnsi="Times New Roman" w:cs="Times New Roman"/>
          <w:b/>
          <w:i w:val="0"/>
          <w:color w:val="000000" w:themeColor="text1"/>
          <w:sz w:val="24"/>
          <w:szCs w:val="24"/>
          <w:lang w:val="en-IN"/>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9A7559">
        <w:rPr>
          <w:rFonts w:ascii="Times New Roman" w:hAnsi="Times New Roman" w:cs="Times New Roman"/>
          <w:b/>
          <w:i w:val="0"/>
          <w:noProof/>
          <w:color w:val="000000" w:themeColor="text1"/>
          <w:sz w:val="24"/>
          <w:szCs w:val="24"/>
          <w:lang w:val="en-IN"/>
        </w:rPr>
        <w:t>6</w:t>
      </w:r>
      <w:r w:rsidRPr="00603361">
        <w:rPr>
          <w:rFonts w:ascii="Times New Roman" w:hAnsi="Times New Roman" w:cs="Times New Roman"/>
          <w:b/>
          <w:i w:val="0"/>
          <w:color w:val="000000" w:themeColor="text1"/>
          <w:sz w:val="24"/>
          <w:szCs w:val="24"/>
        </w:rPr>
        <w:fldChar w:fldCharType="end"/>
      </w:r>
      <w:r w:rsidRPr="009A7559">
        <w:rPr>
          <w:rFonts w:ascii="Times New Roman" w:eastAsia="SimSun" w:hAnsi="Times New Roman" w:cs="Times New Roman"/>
          <w:b/>
          <w:i w:val="0"/>
          <w:color w:val="000000" w:themeColor="text1"/>
          <w:sz w:val="24"/>
          <w:szCs w:val="24"/>
          <w:lang w:val="en-IN" w:eastAsia="zh-CN"/>
        </w:rPr>
        <w:t>:</w:t>
      </w:r>
      <w:r w:rsidRPr="009A7559">
        <w:rPr>
          <w:rFonts w:ascii="Times New Roman" w:eastAsia="SimSun" w:hAnsi="Times New Roman" w:cs="Times New Roman"/>
          <w:i w:val="0"/>
          <w:color w:val="000000" w:themeColor="text1"/>
          <w:sz w:val="24"/>
          <w:szCs w:val="24"/>
          <w:lang w:val="en-IN" w:eastAsia="zh-CN"/>
        </w:rPr>
        <w:t xml:space="preserve"> </w:t>
      </w:r>
      <w:bookmarkEnd w:id="8"/>
      <w:r w:rsidRPr="009A7559">
        <w:rPr>
          <w:rFonts w:ascii="Times New Roman" w:eastAsia="SimSun" w:hAnsi="Times New Roman" w:cs="Times New Roman"/>
          <w:i w:val="0"/>
          <w:color w:val="000000" w:themeColor="text1"/>
          <w:sz w:val="24"/>
          <w:szCs w:val="24"/>
          <w:lang w:val="en-IN" w:eastAsia="zh-CN"/>
        </w:rPr>
        <w:t xml:space="preserve">VEC </w:t>
      </w:r>
      <w:proofErr w:type="spellStart"/>
      <w:r w:rsidRPr="009A7559">
        <w:rPr>
          <w:rFonts w:ascii="Times New Roman" w:eastAsia="SimSun" w:hAnsi="Times New Roman" w:cs="Times New Roman"/>
          <w:i w:val="0"/>
          <w:color w:val="000000" w:themeColor="text1"/>
          <w:sz w:val="24"/>
          <w:szCs w:val="24"/>
          <w:lang w:val="en-IN" w:eastAsia="zh-CN"/>
        </w:rPr>
        <w:t>modeling</w:t>
      </w:r>
      <w:proofErr w:type="spellEnd"/>
      <w:r w:rsidRPr="009A7559">
        <w:rPr>
          <w:rFonts w:ascii="Times New Roman" w:eastAsia="SimSun" w:hAnsi="Times New Roman" w:cs="Times New Roman"/>
          <w:i w:val="0"/>
          <w:color w:val="000000" w:themeColor="text1"/>
          <w:sz w:val="24"/>
          <w:szCs w:val="24"/>
          <w:lang w:val="en-IN" w:eastAsia="zh-CN"/>
        </w:rPr>
        <w:t xml:space="preserve"> of unemployment on international migration</w:t>
      </w:r>
    </w:p>
    <w:tbl>
      <w:tblPr>
        <w:tblW w:w="0" w:type="auto"/>
        <w:jc w:val="center"/>
        <w:tblLayout w:type="fixed"/>
        <w:tblCellMar>
          <w:left w:w="75" w:type="dxa"/>
          <w:right w:w="75" w:type="dxa"/>
        </w:tblCellMar>
        <w:tblLook w:val="0000" w:firstRow="0" w:lastRow="0" w:firstColumn="0" w:lastColumn="0" w:noHBand="0" w:noVBand="0"/>
      </w:tblPr>
      <w:tblGrid>
        <w:gridCol w:w="3068"/>
        <w:gridCol w:w="3177"/>
      </w:tblGrid>
      <w:tr w:rsidR="00F463DE" w:rsidRPr="00180187" w14:paraId="50116F4C" w14:textId="77777777" w:rsidTr="009A7559">
        <w:trPr>
          <w:trHeight w:val="264"/>
          <w:jc w:val="center"/>
        </w:trPr>
        <w:tc>
          <w:tcPr>
            <w:tcW w:w="3068" w:type="dxa"/>
            <w:tcBorders>
              <w:top w:val="single" w:sz="6" w:space="0" w:color="auto"/>
              <w:left w:val="nil"/>
              <w:bottom w:val="nil"/>
              <w:right w:val="nil"/>
            </w:tcBorders>
          </w:tcPr>
          <w:p w14:paraId="24A4DDA1" w14:textId="77777777" w:rsidR="00F463DE" w:rsidRPr="009A7559" w:rsidRDefault="00F463DE" w:rsidP="009A7559">
            <w:pPr>
              <w:pStyle w:val="NoSpacing"/>
              <w:rPr>
                <w:rFonts w:ascii="Times New Roman" w:hAnsi="Times New Roman" w:cs="Times New Roman"/>
                <w:sz w:val="20"/>
                <w:szCs w:val="20"/>
                <w:lang w:val="en-IN" w:eastAsia="zh-CN"/>
              </w:rPr>
            </w:pPr>
          </w:p>
        </w:tc>
        <w:tc>
          <w:tcPr>
            <w:tcW w:w="3177" w:type="dxa"/>
            <w:tcBorders>
              <w:top w:val="single" w:sz="6" w:space="0" w:color="auto"/>
              <w:left w:val="nil"/>
              <w:bottom w:val="nil"/>
              <w:right w:val="nil"/>
            </w:tcBorders>
          </w:tcPr>
          <w:p w14:paraId="63D72774"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w:t>
            </w:r>
          </w:p>
        </w:tc>
      </w:tr>
      <w:tr w:rsidR="00F463DE" w:rsidRPr="00180187" w14:paraId="11F01D03" w14:textId="77777777" w:rsidTr="009A7559">
        <w:trPr>
          <w:trHeight w:val="281"/>
          <w:jc w:val="center"/>
        </w:trPr>
        <w:tc>
          <w:tcPr>
            <w:tcW w:w="3068" w:type="dxa"/>
            <w:tcBorders>
              <w:top w:val="nil"/>
              <w:left w:val="nil"/>
              <w:bottom w:val="single" w:sz="6" w:space="0" w:color="auto"/>
              <w:right w:val="nil"/>
            </w:tcBorders>
          </w:tcPr>
          <w:p w14:paraId="47E78E8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VARIABLES</w:t>
            </w:r>
          </w:p>
        </w:tc>
        <w:tc>
          <w:tcPr>
            <w:tcW w:w="3177" w:type="dxa"/>
            <w:tcBorders>
              <w:top w:val="nil"/>
              <w:left w:val="nil"/>
              <w:bottom w:val="single" w:sz="6" w:space="0" w:color="auto"/>
              <w:right w:val="nil"/>
            </w:tcBorders>
          </w:tcPr>
          <w:p w14:paraId="1952A0D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Migration internationale</w:t>
            </w:r>
          </w:p>
        </w:tc>
      </w:tr>
      <w:tr w:rsidR="00F463DE" w:rsidRPr="00180187" w14:paraId="039857E8" w14:textId="77777777" w:rsidTr="009A7559">
        <w:trPr>
          <w:trHeight w:val="65"/>
          <w:jc w:val="center"/>
        </w:trPr>
        <w:tc>
          <w:tcPr>
            <w:tcW w:w="3068" w:type="dxa"/>
            <w:tcBorders>
              <w:top w:val="nil"/>
              <w:left w:val="nil"/>
              <w:bottom w:val="nil"/>
              <w:right w:val="nil"/>
            </w:tcBorders>
          </w:tcPr>
          <w:p w14:paraId="4395C093"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6309A1FD" w14:textId="77777777" w:rsidR="00F463DE" w:rsidRPr="00180187" w:rsidRDefault="00F463DE" w:rsidP="009A7559">
            <w:pPr>
              <w:pStyle w:val="NoSpacing"/>
              <w:rPr>
                <w:rFonts w:ascii="Times New Roman" w:hAnsi="Times New Roman" w:cs="Times New Roman"/>
                <w:sz w:val="20"/>
                <w:szCs w:val="20"/>
                <w:lang w:eastAsia="zh-CN"/>
              </w:rPr>
            </w:pPr>
          </w:p>
        </w:tc>
      </w:tr>
      <w:tr w:rsidR="00F463DE" w:rsidRPr="00180187" w14:paraId="34194E02" w14:textId="77777777" w:rsidTr="009A7559">
        <w:trPr>
          <w:trHeight w:val="80"/>
          <w:jc w:val="center"/>
        </w:trPr>
        <w:tc>
          <w:tcPr>
            <w:tcW w:w="3068" w:type="dxa"/>
            <w:tcBorders>
              <w:top w:val="nil"/>
              <w:left w:val="nil"/>
              <w:bottom w:val="nil"/>
              <w:right w:val="nil"/>
            </w:tcBorders>
          </w:tcPr>
          <w:p w14:paraId="06710F77" w14:textId="77777777" w:rsidR="00F463DE" w:rsidRPr="00180187" w:rsidRDefault="00F463DE" w:rsidP="009A7559">
            <w:pPr>
              <w:pStyle w:val="NoSpacing"/>
              <w:rPr>
                <w:rFonts w:ascii="Times New Roman" w:hAnsi="Times New Roman" w:cs="Times New Roman"/>
                <w:sz w:val="20"/>
                <w:szCs w:val="20"/>
                <w:lang w:eastAsia="zh-CN"/>
              </w:rPr>
            </w:pPr>
            <w:proofErr w:type="gramStart"/>
            <w:r w:rsidRPr="00180187">
              <w:rPr>
                <w:rFonts w:ascii="Times New Roman" w:hAnsi="Times New Roman" w:cs="Times New Roman"/>
                <w:sz w:val="20"/>
                <w:szCs w:val="20"/>
                <w:lang w:eastAsia="zh-CN"/>
              </w:rPr>
              <w:t>chômage</w:t>
            </w:r>
            <w:proofErr w:type="gramEnd"/>
          </w:p>
        </w:tc>
        <w:tc>
          <w:tcPr>
            <w:tcW w:w="3177" w:type="dxa"/>
            <w:tcBorders>
              <w:top w:val="nil"/>
              <w:left w:val="nil"/>
              <w:bottom w:val="nil"/>
              <w:right w:val="nil"/>
            </w:tcBorders>
          </w:tcPr>
          <w:p w14:paraId="3A6AF3D7"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-0,0464</w:t>
            </w:r>
          </w:p>
        </w:tc>
      </w:tr>
      <w:tr w:rsidR="00F463DE" w:rsidRPr="00180187" w14:paraId="6E194AB8" w14:textId="77777777" w:rsidTr="009A7559">
        <w:trPr>
          <w:trHeight w:val="80"/>
          <w:jc w:val="center"/>
        </w:trPr>
        <w:tc>
          <w:tcPr>
            <w:tcW w:w="3068" w:type="dxa"/>
            <w:tcBorders>
              <w:top w:val="nil"/>
              <w:left w:val="nil"/>
              <w:bottom w:val="nil"/>
              <w:right w:val="nil"/>
            </w:tcBorders>
          </w:tcPr>
          <w:p w14:paraId="49D26078"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26CBA8D9"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(0,0711)</w:t>
            </w:r>
          </w:p>
        </w:tc>
      </w:tr>
      <w:tr w:rsidR="00F463DE" w:rsidRPr="00180187" w14:paraId="3678A133" w14:textId="77777777" w:rsidTr="009A7559">
        <w:trPr>
          <w:trHeight w:val="80"/>
          <w:jc w:val="center"/>
        </w:trPr>
        <w:tc>
          <w:tcPr>
            <w:tcW w:w="3068" w:type="dxa"/>
            <w:tcBorders>
              <w:top w:val="nil"/>
              <w:left w:val="nil"/>
              <w:bottom w:val="nil"/>
              <w:right w:val="nil"/>
            </w:tcBorders>
          </w:tcPr>
          <w:p w14:paraId="5B547665"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 xml:space="preserve">Bénin </w:t>
            </w:r>
          </w:p>
        </w:tc>
        <w:tc>
          <w:tcPr>
            <w:tcW w:w="3177" w:type="dxa"/>
            <w:tcBorders>
              <w:top w:val="nil"/>
              <w:left w:val="nil"/>
              <w:bottom w:val="nil"/>
              <w:right w:val="nil"/>
            </w:tcBorders>
          </w:tcPr>
          <w:p w14:paraId="524EDCC7"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-2,349***</w:t>
            </w:r>
          </w:p>
        </w:tc>
      </w:tr>
      <w:tr w:rsidR="00F463DE" w:rsidRPr="00180187" w14:paraId="287AACCD" w14:textId="77777777" w:rsidTr="009A7559">
        <w:trPr>
          <w:trHeight w:val="80"/>
          <w:jc w:val="center"/>
        </w:trPr>
        <w:tc>
          <w:tcPr>
            <w:tcW w:w="3068" w:type="dxa"/>
            <w:tcBorders>
              <w:top w:val="nil"/>
              <w:left w:val="nil"/>
              <w:bottom w:val="nil"/>
              <w:right w:val="nil"/>
            </w:tcBorders>
          </w:tcPr>
          <w:p w14:paraId="4CCCF260"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6D7B2656"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(0,164)</w:t>
            </w:r>
          </w:p>
        </w:tc>
      </w:tr>
      <w:tr w:rsidR="00F463DE" w:rsidRPr="00180187" w14:paraId="35F4C026" w14:textId="77777777" w:rsidTr="009A7559">
        <w:trPr>
          <w:trHeight w:val="80"/>
          <w:jc w:val="center"/>
        </w:trPr>
        <w:tc>
          <w:tcPr>
            <w:tcW w:w="3068" w:type="dxa"/>
            <w:tcBorders>
              <w:top w:val="nil"/>
              <w:left w:val="nil"/>
              <w:bottom w:val="nil"/>
              <w:right w:val="nil"/>
            </w:tcBorders>
          </w:tcPr>
          <w:p w14:paraId="0543FC2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 xml:space="preserve">Cameroun </w:t>
            </w:r>
          </w:p>
        </w:tc>
        <w:tc>
          <w:tcPr>
            <w:tcW w:w="3177" w:type="dxa"/>
            <w:tcBorders>
              <w:top w:val="nil"/>
              <w:left w:val="nil"/>
              <w:bottom w:val="nil"/>
              <w:right w:val="nil"/>
            </w:tcBorders>
          </w:tcPr>
          <w:p w14:paraId="1C2E4409"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-2,654***</w:t>
            </w:r>
          </w:p>
        </w:tc>
      </w:tr>
      <w:tr w:rsidR="00F463DE" w:rsidRPr="00180187" w14:paraId="5194B5B5" w14:textId="77777777" w:rsidTr="009A7559">
        <w:trPr>
          <w:trHeight w:val="80"/>
          <w:jc w:val="center"/>
        </w:trPr>
        <w:tc>
          <w:tcPr>
            <w:tcW w:w="3068" w:type="dxa"/>
            <w:tcBorders>
              <w:top w:val="nil"/>
              <w:left w:val="nil"/>
              <w:bottom w:val="nil"/>
              <w:right w:val="nil"/>
            </w:tcBorders>
          </w:tcPr>
          <w:p w14:paraId="097C3219"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7C9A96B6"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(0,153)</w:t>
            </w:r>
          </w:p>
        </w:tc>
      </w:tr>
      <w:tr w:rsidR="00F463DE" w:rsidRPr="00180187" w14:paraId="4BEA09A9" w14:textId="77777777" w:rsidTr="009A7559">
        <w:trPr>
          <w:trHeight w:val="93"/>
          <w:jc w:val="center"/>
        </w:trPr>
        <w:tc>
          <w:tcPr>
            <w:tcW w:w="3068" w:type="dxa"/>
            <w:tcBorders>
              <w:top w:val="nil"/>
              <w:left w:val="nil"/>
              <w:bottom w:val="nil"/>
              <w:right w:val="nil"/>
            </w:tcBorders>
          </w:tcPr>
          <w:p w14:paraId="510BC8AE"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Congo</w:t>
            </w:r>
          </w:p>
        </w:tc>
        <w:tc>
          <w:tcPr>
            <w:tcW w:w="3177" w:type="dxa"/>
            <w:tcBorders>
              <w:top w:val="nil"/>
              <w:left w:val="nil"/>
              <w:bottom w:val="nil"/>
              <w:right w:val="nil"/>
            </w:tcBorders>
          </w:tcPr>
          <w:p w14:paraId="4C1E9294"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5,406***</w:t>
            </w:r>
          </w:p>
        </w:tc>
      </w:tr>
      <w:tr w:rsidR="00F463DE" w:rsidRPr="00180187" w14:paraId="18A87636" w14:textId="77777777" w:rsidTr="009A7559">
        <w:trPr>
          <w:trHeight w:val="96"/>
          <w:jc w:val="center"/>
        </w:trPr>
        <w:tc>
          <w:tcPr>
            <w:tcW w:w="3068" w:type="dxa"/>
            <w:tcBorders>
              <w:top w:val="nil"/>
              <w:left w:val="nil"/>
              <w:bottom w:val="nil"/>
              <w:right w:val="nil"/>
            </w:tcBorders>
          </w:tcPr>
          <w:p w14:paraId="6C8186B0"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4018F62A"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(1,162)</w:t>
            </w:r>
          </w:p>
        </w:tc>
      </w:tr>
      <w:tr w:rsidR="00F463DE" w:rsidRPr="00180187" w14:paraId="7A387036" w14:textId="77777777" w:rsidTr="009A7559">
        <w:trPr>
          <w:trHeight w:val="115"/>
          <w:jc w:val="center"/>
        </w:trPr>
        <w:tc>
          <w:tcPr>
            <w:tcW w:w="3068" w:type="dxa"/>
            <w:tcBorders>
              <w:top w:val="nil"/>
              <w:left w:val="nil"/>
              <w:bottom w:val="nil"/>
              <w:right w:val="nil"/>
            </w:tcBorders>
          </w:tcPr>
          <w:p w14:paraId="11CBBE0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Côte d’ivoire</w:t>
            </w:r>
          </w:p>
        </w:tc>
        <w:tc>
          <w:tcPr>
            <w:tcW w:w="3177" w:type="dxa"/>
            <w:tcBorders>
              <w:top w:val="nil"/>
              <w:left w:val="nil"/>
              <w:bottom w:val="nil"/>
              <w:right w:val="nil"/>
            </w:tcBorders>
          </w:tcPr>
          <w:p w14:paraId="5044CB4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7,288***</w:t>
            </w:r>
          </w:p>
        </w:tc>
      </w:tr>
      <w:tr w:rsidR="00F463DE" w:rsidRPr="00180187" w14:paraId="54DAEAFD" w14:textId="77777777" w:rsidTr="009A7559">
        <w:trPr>
          <w:trHeight w:val="118"/>
          <w:jc w:val="center"/>
        </w:trPr>
        <w:tc>
          <w:tcPr>
            <w:tcW w:w="3068" w:type="dxa"/>
            <w:tcBorders>
              <w:top w:val="nil"/>
              <w:left w:val="nil"/>
              <w:bottom w:val="nil"/>
              <w:right w:val="nil"/>
            </w:tcBorders>
          </w:tcPr>
          <w:p w14:paraId="6235B1A4"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40ECBB51"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(0,0954)</w:t>
            </w:r>
          </w:p>
        </w:tc>
      </w:tr>
      <w:tr w:rsidR="00F463DE" w:rsidRPr="00180187" w14:paraId="3B03A57B" w14:textId="77777777" w:rsidTr="009A7559">
        <w:trPr>
          <w:trHeight w:val="137"/>
          <w:jc w:val="center"/>
        </w:trPr>
        <w:tc>
          <w:tcPr>
            <w:tcW w:w="3068" w:type="dxa"/>
            <w:tcBorders>
              <w:top w:val="nil"/>
              <w:left w:val="nil"/>
              <w:bottom w:val="nil"/>
              <w:right w:val="nil"/>
            </w:tcBorders>
          </w:tcPr>
          <w:p w14:paraId="6D75E092"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Gabon</w:t>
            </w:r>
          </w:p>
        </w:tc>
        <w:tc>
          <w:tcPr>
            <w:tcW w:w="3177" w:type="dxa"/>
            <w:tcBorders>
              <w:top w:val="nil"/>
              <w:left w:val="nil"/>
              <w:bottom w:val="nil"/>
              <w:right w:val="nil"/>
            </w:tcBorders>
          </w:tcPr>
          <w:p w14:paraId="5E353A1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11,78***</w:t>
            </w:r>
          </w:p>
        </w:tc>
      </w:tr>
      <w:tr w:rsidR="00F463DE" w:rsidRPr="00180187" w14:paraId="181E9843" w14:textId="77777777" w:rsidTr="009A7559">
        <w:trPr>
          <w:trHeight w:val="140"/>
          <w:jc w:val="center"/>
        </w:trPr>
        <w:tc>
          <w:tcPr>
            <w:tcW w:w="3068" w:type="dxa"/>
            <w:tcBorders>
              <w:top w:val="nil"/>
              <w:left w:val="nil"/>
              <w:bottom w:val="nil"/>
              <w:right w:val="nil"/>
            </w:tcBorders>
          </w:tcPr>
          <w:p w14:paraId="15F040F2"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3CF82E8C"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(1,067)</w:t>
            </w:r>
          </w:p>
        </w:tc>
      </w:tr>
      <w:tr w:rsidR="00F463DE" w:rsidRPr="00180187" w14:paraId="359F7DCC" w14:textId="77777777" w:rsidTr="009A7559">
        <w:trPr>
          <w:trHeight w:val="80"/>
          <w:jc w:val="center"/>
        </w:trPr>
        <w:tc>
          <w:tcPr>
            <w:tcW w:w="3068" w:type="dxa"/>
            <w:tcBorders>
              <w:top w:val="nil"/>
              <w:left w:val="nil"/>
              <w:bottom w:val="nil"/>
              <w:right w:val="nil"/>
            </w:tcBorders>
          </w:tcPr>
          <w:p w14:paraId="68C40F4A"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Guinée Equatorial</w:t>
            </w:r>
          </w:p>
        </w:tc>
        <w:tc>
          <w:tcPr>
            <w:tcW w:w="3177" w:type="dxa"/>
            <w:tcBorders>
              <w:top w:val="nil"/>
              <w:left w:val="nil"/>
              <w:bottom w:val="nil"/>
              <w:right w:val="nil"/>
            </w:tcBorders>
          </w:tcPr>
          <w:p w14:paraId="448B78A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-3,045***</w:t>
            </w:r>
          </w:p>
        </w:tc>
      </w:tr>
      <w:tr w:rsidR="00F463DE" w:rsidRPr="00180187" w14:paraId="102ADFB0" w14:textId="77777777" w:rsidTr="009A7559">
        <w:trPr>
          <w:trHeight w:val="80"/>
          <w:jc w:val="center"/>
        </w:trPr>
        <w:tc>
          <w:tcPr>
            <w:tcW w:w="3068" w:type="dxa"/>
            <w:tcBorders>
              <w:top w:val="nil"/>
              <w:left w:val="nil"/>
              <w:bottom w:val="nil"/>
              <w:right w:val="nil"/>
            </w:tcBorders>
          </w:tcPr>
          <w:p w14:paraId="42A9D59F"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08751ECA"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(0,317)</w:t>
            </w:r>
          </w:p>
        </w:tc>
      </w:tr>
      <w:tr w:rsidR="00F463DE" w:rsidRPr="00180187" w14:paraId="48BAE821" w14:textId="77777777" w:rsidTr="009A7559">
        <w:trPr>
          <w:trHeight w:val="80"/>
          <w:jc w:val="center"/>
        </w:trPr>
        <w:tc>
          <w:tcPr>
            <w:tcW w:w="3068" w:type="dxa"/>
            <w:tcBorders>
              <w:top w:val="nil"/>
              <w:left w:val="nil"/>
              <w:bottom w:val="nil"/>
              <w:right w:val="nil"/>
            </w:tcBorders>
          </w:tcPr>
          <w:p w14:paraId="57D40E2C"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Mali</w:t>
            </w:r>
          </w:p>
        </w:tc>
        <w:tc>
          <w:tcPr>
            <w:tcW w:w="3177" w:type="dxa"/>
            <w:tcBorders>
              <w:top w:val="nil"/>
              <w:left w:val="nil"/>
              <w:bottom w:val="nil"/>
              <w:right w:val="nil"/>
            </w:tcBorders>
          </w:tcPr>
          <w:p w14:paraId="7D308067"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-2,420***</w:t>
            </w:r>
          </w:p>
        </w:tc>
      </w:tr>
      <w:tr w:rsidR="00F463DE" w:rsidRPr="00180187" w14:paraId="658C3751" w14:textId="77777777" w:rsidTr="009A7559">
        <w:trPr>
          <w:trHeight w:val="80"/>
          <w:jc w:val="center"/>
        </w:trPr>
        <w:tc>
          <w:tcPr>
            <w:tcW w:w="3068" w:type="dxa"/>
            <w:tcBorders>
              <w:top w:val="nil"/>
              <w:left w:val="nil"/>
              <w:bottom w:val="nil"/>
              <w:right w:val="nil"/>
            </w:tcBorders>
          </w:tcPr>
          <w:p w14:paraId="45680571"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42A59685"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(0,147)</w:t>
            </w:r>
          </w:p>
        </w:tc>
      </w:tr>
      <w:tr w:rsidR="00F463DE" w:rsidRPr="00180187" w14:paraId="0EABD23D" w14:textId="77777777" w:rsidTr="009A7559">
        <w:trPr>
          <w:trHeight w:val="80"/>
          <w:jc w:val="center"/>
        </w:trPr>
        <w:tc>
          <w:tcPr>
            <w:tcW w:w="3068" w:type="dxa"/>
            <w:tcBorders>
              <w:top w:val="nil"/>
              <w:left w:val="nil"/>
              <w:bottom w:val="nil"/>
              <w:right w:val="nil"/>
            </w:tcBorders>
          </w:tcPr>
          <w:p w14:paraId="4F3317C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Niger</w:t>
            </w:r>
          </w:p>
        </w:tc>
        <w:tc>
          <w:tcPr>
            <w:tcW w:w="3177" w:type="dxa"/>
            <w:tcBorders>
              <w:top w:val="nil"/>
              <w:left w:val="nil"/>
              <w:bottom w:val="nil"/>
              <w:right w:val="nil"/>
            </w:tcBorders>
          </w:tcPr>
          <w:p w14:paraId="762543ED"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-3,322***</w:t>
            </w:r>
          </w:p>
        </w:tc>
      </w:tr>
      <w:tr w:rsidR="00F463DE" w:rsidRPr="00180187" w14:paraId="0CCE9781" w14:textId="77777777" w:rsidTr="009A7559">
        <w:trPr>
          <w:trHeight w:val="80"/>
          <w:jc w:val="center"/>
        </w:trPr>
        <w:tc>
          <w:tcPr>
            <w:tcW w:w="3068" w:type="dxa"/>
            <w:tcBorders>
              <w:top w:val="nil"/>
              <w:left w:val="nil"/>
              <w:bottom w:val="nil"/>
              <w:right w:val="nil"/>
            </w:tcBorders>
          </w:tcPr>
          <w:p w14:paraId="70AD1A71"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3BDC484D"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(0,143)</w:t>
            </w:r>
          </w:p>
        </w:tc>
      </w:tr>
      <w:tr w:rsidR="00F463DE" w:rsidRPr="00180187" w14:paraId="7261565E" w14:textId="77777777" w:rsidTr="009A7559">
        <w:trPr>
          <w:trHeight w:val="82"/>
          <w:jc w:val="center"/>
        </w:trPr>
        <w:tc>
          <w:tcPr>
            <w:tcW w:w="3068" w:type="dxa"/>
            <w:tcBorders>
              <w:top w:val="nil"/>
              <w:left w:val="nil"/>
              <w:bottom w:val="nil"/>
              <w:right w:val="nil"/>
            </w:tcBorders>
          </w:tcPr>
          <w:p w14:paraId="6C96E80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RCA</w:t>
            </w:r>
          </w:p>
        </w:tc>
        <w:tc>
          <w:tcPr>
            <w:tcW w:w="3177" w:type="dxa"/>
            <w:tcBorders>
              <w:top w:val="nil"/>
              <w:left w:val="nil"/>
              <w:bottom w:val="nil"/>
              <w:right w:val="nil"/>
            </w:tcBorders>
          </w:tcPr>
          <w:p w14:paraId="74516A2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-1,719***</w:t>
            </w:r>
          </w:p>
        </w:tc>
      </w:tr>
      <w:tr w:rsidR="00F463DE" w:rsidRPr="00180187" w14:paraId="12E2619F" w14:textId="77777777" w:rsidTr="009A7559">
        <w:trPr>
          <w:trHeight w:val="80"/>
          <w:jc w:val="center"/>
        </w:trPr>
        <w:tc>
          <w:tcPr>
            <w:tcW w:w="3068" w:type="dxa"/>
            <w:tcBorders>
              <w:top w:val="nil"/>
              <w:left w:val="nil"/>
              <w:bottom w:val="nil"/>
              <w:right w:val="nil"/>
            </w:tcBorders>
          </w:tcPr>
          <w:p w14:paraId="1B3B4106"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4B3A33C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(0,136)</w:t>
            </w:r>
          </w:p>
        </w:tc>
      </w:tr>
      <w:tr w:rsidR="00F463DE" w:rsidRPr="00180187" w14:paraId="63F88DD5" w14:textId="77777777" w:rsidTr="009A7559">
        <w:trPr>
          <w:trHeight w:val="80"/>
          <w:jc w:val="center"/>
        </w:trPr>
        <w:tc>
          <w:tcPr>
            <w:tcW w:w="3068" w:type="dxa"/>
            <w:tcBorders>
              <w:top w:val="nil"/>
              <w:left w:val="nil"/>
              <w:bottom w:val="nil"/>
              <w:right w:val="nil"/>
            </w:tcBorders>
          </w:tcPr>
          <w:p w14:paraId="11C7C6F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Sénégal</w:t>
            </w:r>
          </w:p>
        </w:tc>
        <w:tc>
          <w:tcPr>
            <w:tcW w:w="3177" w:type="dxa"/>
            <w:tcBorders>
              <w:top w:val="nil"/>
              <w:left w:val="nil"/>
              <w:bottom w:val="nil"/>
              <w:right w:val="nil"/>
            </w:tcBorders>
          </w:tcPr>
          <w:p w14:paraId="3827A52D"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-1,987***</w:t>
            </w:r>
          </w:p>
        </w:tc>
      </w:tr>
      <w:tr w:rsidR="00F463DE" w:rsidRPr="00180187" w14:paraId="1440D61D" w14:textId="77777777" w:rsidTr="009A7559">
        <w:trPr>
          <w:trHeight w:val="80"/>
          <w:jc w:val="center"/>
        </w:trPr>
        <w:tc>
          <w:tcPr>
            <w:tcW w:w="3068" w:type="dxa"/>
            <w:tcBorders>
              <w:top w:val="nil"/>
              <w:left w:val="nil"/>
              <w:bottom w:val="nil"/>
              <w:right w:val="nil"/>
            </w:tcBorders>
          </w:tcPr>
          <w:p w14:paraId="51660017"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511E58C8"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(0,00551)</w:t>
            </w:r>
          </w:p>
        </w:tc>
      </w:tr>
      <w:tr w:rsidR="00F463DE" w:rsidRPr="00180187" w14:paraId="3385F783" w14:textId="77777777" w:rsidTr="009A7559">
        <w:trPr>
          <w:trHeight w:val="80"/>
          <w:jc w:val="center"/>
        </w:trPr>
        <w:tc>
          <w:tcPr>
            <w:tcW w:w="3068" w:type="dxa"/>
            <w:tcBorders>
              <w:top w:val="nil"/>
              <w:left w:val="nil"/>
              <w:bottom w:val="nil"/>
              <w:right w:val="nil"/>
            </w:tcBorders>
          </w:tcPr>
          <w:p w14:paraId="1662C7C4"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 xml:space="preserve"> Tchad</w:t>
            </w:r>
          </w:p>
        </w:tc>
        <w:tc>
          <w:tcPr>
            <w:tcW w:w="3177" w:type="dxa"/>
            <w:tcBorders>
              <w:top w:val="nil"/>
              <w:left w:val="nil"/>
              <w:bottom w:val="nil"/>
              <w:right w:val="nil"/>
            </w:tcBorders>
          </w:tcPr>
          <w:p w14:paraId="66966AA4"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-1,768***</w:t>
            </w:r>
          </w:p>
        </w:tc>
      </w:tr>
      <w:tr w:rsidR="00F463DE" w:rsidRPr="00180187" w14:paraId="38395697" w14:textId="77777777" w:rsidTr="009A7559">
        <w:trPr>
          <w:trHeight w:val="80"/>
          <w:jc w:val="center"/>
        </w:trPr>
        <w:tc>
          <w:tcPr>
            <w:tcW w:w="3068" w:type="dxa"/>
            <w:tcBorders>
              <w:top w:val="nil"/>
              <w:left w:val="nil"/>
              <w:bottom w:val="nil"/>
              <w:right w:val="nil"/>
            </w:tcBorders>
          </w:tcPr>
          <w:p w14:paraId="35751F94"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69493313"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(0,189)</w:t>
            </w:r>
          </w:p>
        </w:tc>
      </w:tr>
      <w:tr w:rsidR="00F463DE" w:rsidRPr="00180187" w14:paraId="19C66A61" w14:textId="77777777" w:rsidTr="009A7559">
        <w:trPr>
          <w:trHeight w:val="80"/>
          <w:jc w:val="center"/>
        </w:trPr>
        <w:tc>
          <w:tcPr>
            <w:tcW w:w="3068" w:type="dxa"/>
            <w:tcBorders>
              <w:top w:val="nil"/>
              <w:left w:val="nil"/>
              <w:bottom w:val="nil"/>
              <w:right w:val="nil"/>
            </w:tcBorders>
          </w:tcPr>
          <w:p w14:paraId="0ABBADE9"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 xml:space="preserve">Togo </w:t>
            </w:r>
          </w:p>
        </w:tc>
        <w:tc>
          <w:tcPr>
            <w:tcW w:w="3177" w:type="dxa"/>
            <w:tcBorders>
              <w:top w:val="nil"/>
              <w:left w:val="nil"/>
              <w:bottom w:val="nil"/>
              <w:right w:val="nil"/>
            </w:tcBorders>
          </w:tcPr>
          <w:p w14:paraId="5D0B68F5"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-0,966***</w:t>
            </w:r>
          </w:p>
        </w:tc>
      </w:tr>
      <w:tr w:rsidR="00F463DE" w:rsidRPr="00180187" w14:paraId="2A3F0758" w14:textId="77777777" w:rsidTr="009A7559">
        <w:trPr>
          <w:trHeight w:val="80"/>
          <w:jc w:val="center"/>
        </w:trPr>
        <w:tc>
          <w:tcPr>
            <w:tcW w:w="3068" w:type="dxa"/>
            <w:tcBorders>
              <w:top w:val="nil"/>
              <w:left w:val="nil"/>
              <w:bottom w:val="nil"/>
              <w:right w:val="nil"/>
            </w:tcBorders>
          </w:tcPr>
          <w:p w14:paraId="6BEBC9E0"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4FAC90E2"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(0,00651)</w:t>
            </w:r>
          </w:p>
        </w:tc>
      </w:tr>
      <w:tr w:rsidR="00F463DE" w:rsidRPr="00180187" w14:paraId="24DD29B0" w14:textId="77777777" w:rsidTr="009A7559">
        <w:trPr>
          <w:trHeight w:val="80"/>
          <w:jc w:val="center"/>
        </w:trPr>
        <w:tc>
          <w:tcPr>
            <w:tcW w:w="3068" w:type="dxa"/>
            <w:tcBorders>
              <w:top w:val="nil"/>
              <w:left w:val="nil"/>
              <w:bottom w:val="nil"/>
              <w:right w:val="nil"/>
            </w:tcBorders>
          </w:tcPr>
          <w:p w14:paraId="4F097B42"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Année 2000</w:t>
            </w:r>
          </w:p>
        </w:tc>
        <w:tc>
          <w:tcPr>
            <w:tcW w:w="3177" w:type="dxa"/>
            <w:tcBorders>
              <w:top w:val="nil"/>
              <w:left w:val="nil"/>
              <w:bottom w:val="nil"/>
              <w:right w:val="nil"/>
            </w:tcBorders>
          </w:tcPr>
          <w:p w14:paraId="39CA66F9"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0,113</w:t>
            </w:r>
          </w:p>
        </w:tc>
      </w:tr>
      <w:tr w:rsidR="00F463DE" w:rsidRPr="00180187" w14:paraId="55FD9D8B" w14:textId="77777777" w:rsidTr="009A7559">
        <w:trPr>
          <w:trHeight w:val="80"/>
          <w:jc w:val="center"/>
        </w:trPr>
        <w:tc>
          <w:tcPr>
            <w:tcW w:w="3068" w:type="dxa"/>
            <w:tcBorders>
              <w:top w:val="nil"/>
              <w:left w:val="nil"/>
              <w:bottom w:val="nil"/>
              <w:right w:val="nil"/>
            </w:tcBorders>
          </w:tcPr>
          <w:p w14:paraId="53950680"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172733D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(0,394)</w:t>
            </w:r>
          </w:p>
        </w:tc>
      </w:tr>
      <w:tr w:rsidR="00F463DE" w:rsidRPr="00180187" w14:paraId="11D8E9A0" w14:textId="77777777" w:rsidTr="009A7559">
        <w:trPr>
          <w:trHeight w:val="80"/>
          <w:jc w:val="center"/>
        </w:trPr>
        <w:tc>
          <w:tcPr>
            <w:tcW w:w="3068" w:type="dxa"/>
            <w:tcBorders>
              <w:top w:val="nil"/>
              <w:left w:val="nil"/>
              <w:bottom w:val="nil"/>
              <w:right w:val="nil"/>
            </w:tcBorders>
          </w:tcPr>
          <w:p w14:paraId="7D91CBC9"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Année 2005</w:t>
            </w:r>
          </w:p>
        </w:tc>
        <w:tc>
          <w:tcPr>
            <w:tcW w:w="3177" w:type="dxa"/>
            <w:tcBorders>
              <w:top w:val="nil"/>
              <w:left w:val="nil"/>
              <w:bottom w:val="nil"/>
              <w:right w:val="nil"/>
            </w:tcBorders>
          </w:tcPr>
          <w:p w14:paraId="5D43EC9B"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0,124</w:t>
            </w:r>
          </w:p>
        </w:tc>
      </w:tr>
      <w:tr w:rsidR="00F463DE" w:rsidRPr="00180187" w14:paraId="4AB38148" w14:textId="77777777" w:rsidTr="009A7559">
        <w:trPr>
          <w:trHeight w:val="80"/>
          <w:jc w:val="center"/>
        </w:trPr>
        <w:tc>
          <w:tcPr>
            <w:tcW w:w="3068" w:type="dxa"/>
            <w:tcBorders>
              <w:top w:val="nil"/>
              <w:left w:val="nil"/>
              <w:bottom w:val="nil"/>
              <w:right w:val="nil"/>
            </w:tcBorders>
          </w:tcPr>
          <w:p w14:paraId="49876781"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6A9AAB88"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(0,471)</w:t>
            </w:r>
          </w:p>
        </w:tc>
      </w:tr>
      <w:tr w:rsidR="00F463DE" w:rsidRPr="00180187" w14:paraId="766B7078" w14:textId="77777777" w:rsidTr="009A7559">
        <w:trPr>
          <w:trHeight w:val="80"/>
          <w:jc w:val="center"/>
        </w:trPr>
        <w:tc>
          <w:tcPr>
            <w:tcW w:w="3068" w:type="dxa"/>
            <w:tcBorders>
              <w:top w:val="nil"/>
              <w:left w:val="nil"/>
              <w:bottom w:val="nil"/>
              <w:right w:val="nil"/>
            </w:tcBorders>
          </w:tcPr>
          <w:p w14:paraId="6373912E"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Année 2010</w:t>
            </w:r>
          </w:p>
        </w:tc>
        <w:tc>
          <w:tcPr>
            <w:tcW w:w="3177" w:type="dxa"/>
            <w:tcBorders>
              <w:top w:val="nil"/>
              <w:left w:val="nil"/>
              <w:bottom w:val="nil"/>
              <w:right w:val="nil"/>
            </w:tcBorders>
          </w:tcPr>
          <w:p w14:paraId="63956C5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0,205</w:t>
            </w:r>
          </w:p>
        </w:tc>
      </w:tr>
      <w:tr w:rsidR="00F463DE" w:rsidRPr="00180187" w14:paraId="44A018DF" w14:textId="77777777" w:rsidTr="009A7559">
        <w:trPr>
          <w:trHeight w:val="80"/>
          <w:jc w:val="center"/>
        </w:trPr>
        <w:tc>
          <w:tcPr>
            <w:tcW w:w="3068" w:type="dxa"/>
            <w:tcBorders>
              <w:top w:val="nil"/>
              <w:left w:val="nil"/>
              <w:bottom w:val="nil"/>
              <w:right w:val="nil"/>
            </w:tcBorders>
          </w:tcPr>
          <w:p w14:paraId="12C6A462"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699CEF95"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(0,592)</w:t>
            </w:r>
          </w:p>
        </w:tc>
      </w:tr>
      <w:tr w:rsidR="00F463DE" w:rsidRPr="00180187" w14:paraId="368EF121" w14:textId="77777777" w:rsidTr="009A7559">
        <w:trPr>
          <w:trHeight w:val="80"/>
          <w:jc w:val="center"/>
        </w:trPr>
        <w:tc>
          <w:tcPr>
            <w:tcW w:w="3068" w:type="dxa"/>
            <w:tcBorders>
              <w:top w:val="nil"/>
              <w:left w:val="nil"/>
              <w:bottom w:val="nil"/>
              <w:right w:val="nil"/>
            </w:tcBorders>
          </w:tcPr>
          <w:p w14:paraId="4CE6F283"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Année 2015</w:t>
            </w:r>
          </w:p>
        </w:tc>
        <w:tc>
          <w:tcPr>
            <w:tcW w:w="3177" w:type="dxa"/>
            <w:tcBorders>
              <w:top w:val="nil"/>
              <w:left w:val="nil"/>
              <w:bottom w:val="nil"/>
              <w:right w:val="nil"/>
            </w:tcBorders>
          </w:tcPr>
          <w:p w14:paraId="52F25AB7"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-0,0710</w:t>
            </w:r>
          </w:p>
        </w:tc>
      </w:tr>
      <w:tr w:rsidR="00F463DE" w:rsidRPr="00180187" w14:paraId="5FF011BC" w14:textId="77777777" w:rsidTr="009A7559">
        <w:trPr>
          <w:trHeight w:val="80"/>
          <w:jc w:val="center"/>
        </w:trPr>
        <w:tc>
          <w:tcPr>
            <w:tcW w:w="3068" w:type="dxa"/>
            <w:tcBorders>
              <w:top w:val="nil"/>
              <w:left w:val="nil"/>
              <w:bottom w:val="nil"/>
              <w:right w:val="nil"/>
            </w:tcBorders>
          </w:tcPr>
          <w:p w14:paraId="24C53FE1"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3E3059C1"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(0,600)</w:t>
            </w:r>
          </w:p>
        </w:tc>
      </w:tr>
      <w:tr w:rsidR="00F463DE" w:rsidRPr="00180187" w14:paraId="5C5DD96D" w14:textId="77777777" w:rsidTr="009A7559">
        <w:trPr>
          <w:trHeight w:val="80"/>
          <w:jc w:val="center"/>
        </w:trPr>
        <w:tc>
          <w:tcPr>
            <w:tcW w:w="3068" w:type="dxa"/>
            <w:tcBorders>
              <w:top w:val="nil"/>
              <w:left w:val="nil"/>
              <w:bottom w:val="nil"/>
              <w:right w:val="nil"/>
            </w:tcBorders>
          </w:tcPr>
          <w:p w14:paraId="17E54439"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Constant</w:t>
            </w:r>
          </w:p>
        </w:tc>
        <w:tc>
          <w:tcPr>
            <w:tcW w:w="3177" w:type="dxa"/>
            <w:tcBorders>
              <w:top w:val="nil"/>
              <w:left w:val="nil"/>
              <w:bottom w:val="nil"/>
              <w:right w:val="nil"/>
            </w:tcBorders>
          </w:tcPr>
          <w:p w14:paraId="5176F9E6"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4,375***</w:t>
            </w:r>
          </w:p>
        </w:tc>
      </w:tr>
      <w:tr w:rsidR="00F463DE" w:rsidRPr="00180187" w14:paraId="6DF79713" w14:textId="77777777" w:rsidTr="009A7559">
        <w:trPr>
          <w:trHeight w:val="80"/>
          <w:jc w:val="center"/>
        </w:trPr>
        <w:tc>
          <w:tcPr>
            <w:tcW w:w="3068" w:type="dxa"/>
            <w:tcBorders>
              <w:top w:val="nil"/>
              <w:left w:val="nil"/>
              <w:bottom w:val="nil"/>
              <w:right w:val="nil"/>
            </w:tcBorders>
          </w:tcPr>
          <w:p w14:paraId="176B0184"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7F25F366"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(0,494)</w:t>
            </w:r>
          </w:p>
        </w:tc>
      </w:tr>
      <w:tr w:rsidR="00F463DE" w:rsidRPr="00180187" w14:paraId="6BCCD2FE" w14:textId="77777777" w:rsidTr="009A7559">
        <w:trPr>
          <w:trHeight w:val="80"/>
          <w:jc w:val="center"/>
        </w:trPr>
        <w:tc>
          <w:tcPr>
            <w:tcW w:w="3068" w:type="dxa"/>
            <w:tcBorders>
              <w:top w:val="nil"/>
              <w:left w:val="nil"/>
              <w:bottom w:val="nil"/>
              <w:right w:val="nil"/>
            </w:tcBorders>
          </w:tcPr>
          <w:p w14:paraId="4E6B9A07"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1100EE90" w14:textId="77777777" w:rsidR="00F463DE" w:rsidRPr="00180187" w:rsidRDefault="00F463DE" w:rsidP="009A7559">
            <w:pPr>
              <w:pStyle w:val="NoSpacing"/>
              <w:rPr>
                <w:rFonts w:ascii="Times New Roman" w:hAnsi="Times New Roman" w:cs="Times New Roman"/>
                <w:sz w:val="20"/>
                <w:szCs w:val="20"/>
                <w:lang w:eastAsia="zh-CN"/>
              </w:rPr>
            </w:pPr>
          </w:p>
        </w:tc>
      </w:tr>
      <w:tr w:rsidR="00F463DE" w:rsidRPr="00180187" w14:paraId="705049CC" w14:textId="77777777" w:rsidTr="009A7559">
        <w:trPr>
          <w:trHeight w:val="80"/>
          <w:jc w:val="center"/>
        </w:trPr>
        <w:tc>
          <w:tcPr>
            <w:tcW w:w="3068" w:type="dxa"/>
            <w:tcBorders>
              <w:top w:val="nil"/>
              <w:left w:val="nil"/>
              <w:bottom w:val="nil"/>
              <w:right w:val="nil"/>
            </w:tcBorders>
          </w:tcPr>
          <w:p w14:paraId="2BC73B75"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Observations</w:t>
            </w:r>
          </w:p>
        </w:tc>
        <w:tc>
          <w:tcPr>
            <w:tcW w:w="3177" w:type="dxa"/>
            <w:tcBorders>
              <w:top w:val="nil"/>
              <w:left w:val="nil"/>
              <w:bottom w:val="nil"/>
              <w:right w:val="nil"/>
            </w:tcBorders>
          </w:tcPr>
          <w:p w14:paraId="1540C19C"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450</w:t>
            </w:r>
          </w:p>
        </w:tc>
      </w:tr>
      <w:tr w:rsidR="00F463DE" w:rsidRPr="00180187" w14:paraId="358BD3ED" w14:textId="77777777" w:rsidTr="009A7559">
        <w:tblPrEx>
          <w:tblBorders>
            <w:bottom w:val="single" w:sz="6" w:space="0" w:color="auto"/>
          </w:tblBorders>
        </w:tblPrEx>
        <w:trPr>
          <w:trHeight w:val="264"/>
          <w:jc w:val="center"/>
        </w:trPr>
        <w:tc>
          <w:tcPr>
            <w:tcW w:w="3068" w:type="dxa"/>
            <w:tcBorders>
              <w:top w:val="nil"/>
              <w:left w:val="nil"/>
              <w:bottom w:val="single" w:sz="6" w:space="0" w:color="auto"/>
              <w:right w:val="nil"/>
            </w:tcBorders>
          </w:tcPr>
          <w:p w14:paraId="532C05ED"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R-</w:t>
            </w:r>
            <w:proofErr w:type="spellStart"/>
            <w:r w:rsidRPr="00180187">
              <w:rPr>
                <w:rFonts w:ascii="Times New Roman" w:hAnsi="Times New Roman" w:cs="Times New Roman"/>
                <w:sz w:val="20"/>
                <w:szCs w:val="20"/>
                <w:lang w:eastAsia="zh-CN"/>
              </w:rPr>
              <w:t>squared</w:t>
            </w:r>
            <w:proofErr w:type="spellEnd"/>
          </w:p>
        </w:tc>
        <w:tc>
          <w:tcPr>
            <w:tcW w:w="3177" w:type="dxa"/>
            <w:tcBorders>
              <w:top w:val="nil"/>
              <w:left w:val="nil"/>
              <w:bottom w:val="single" w:sz="6" w:space="0" w:color="auto"/>
              <w:right w:val="nil"/>
            </w:tcBorders>
          </w:tcPr>
          <w:p w14:paraId="5AEC47D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0,973</w:t>
            </w:r>
          </w:p>
        </w:tc>
      </w:tr>
    </w:tbl>
    <w:p w14:paraId="504DEB03" w14:textId="77777777" w:rsidR="00F463DE" w:rsidRPr="00A80FC1" w:rsidRDefault="00F463DE" w:rsidP="00F463DE">
      <w:pPr>
        <w:spacing w:after="0" w:line="240" w:lineRule="auto"/>
        <w:jc w:val="center"/>
        <w:rPr>
          <w:rFonts w:ascii="Times New Roman" w:eastAsia="SimSun" w:hAnsi="Times New Roman" w:cs="Times New Roman"/>
          <w:sz w:val="24"/>
          <w:lang w:val="en-US" w:eastAsia="zh-CN"/>
        </w:rPr>
      </w:pPr>
      <w:r w:rsidRPr="00A80FC1">
        <w:rPr>
          <w:rFonts w:ascii="Times New Roman" w:eastAsia="SimSun" w:hAnsi="Times New Roman" w:cs="Times New Roman"/>
          <w:sz w:val="24"/>
          <w:lang w:val="en-US" w:eastAsia="zh-CN"/>
        </w:rPr>
        <w:t>Robust standard errors in parentheses</w:t>
      </w:r>
    </w:p>
    <w:p w14:paraId="583DA99B" w14:textId="77777777" w:rsidR="00F463DE" w:rsidRPr="00A80FC1" w:rsidRDefault="00F463DE" w:rsidP="00F463DE">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p&lt;0.01, ** p&lt;0.05, * p&lt;0.1</w:t>
      </w:r>
    </w:p>
    <w:p w14:paraId="279B7D10" w14:textId="77777777" w:rsidR="00F463DE" w:rsidRPr="00F463DE" w:rsidRDefault="00F463DE" w:rsidP="00F463DE">
      <w:pPr>
        <w:pStyle w:val="font-claude-response-body"/>
        <w:jc w:val="both"/>
        <w:rPr>
          <w:lang w:val="en-US"/>
        </w:rPr>
      </w:pPr>
    </w:p>
    <w:p w14:paraId="2D65EE49" w14:textId="77777777" w:rsidR="00660C9A" w:rsidRPr="00660C9A" w:rsidRDefault="00660C9A" w:rsidP="00660C9A">
      <w:pPr>
        <w:pStyle w:val="font-claude-response-body"/>
        <w:jc w:val="both"/>
        <w:rPr>
          <w:lang w:val="en-US"/>
        </w:rPr>
      </w:pPr>
      <w:r w:rsidRPr="00660C9A">
        <w:rPr>
          <w:lang w:val="en-US"/>
        </w:rPr>
        <w:t>The trend is slightly positive, indicating that countries with higher unemployment tend to have a slightly higher emigration rate. However, this relationship is very tenuous and the dispersion of points is extreme, meaning that many countries with moderate unemployment have highly variable emigration rates. This suggests that unemployment is far from being the sole determinant of migration and that the theoretical link is, at best, very weak.</w:t>
      </w:r>
    </w:p>
    <w:p w14:paraId="738061E8" w14:textId="1485BA48" w:rsidR="00660C9A" w:rsidRPr="00660C9A" w:rsidRDefault="00660C9A" w:rsidP="00660C9A">
      <w:pPr>
        <w:pStyle w:val="font-claude-response-body"/>
        <w:rPr>
          <w:lang w:val="en-US"/>
        </w:rPr>
      </w:pPr>
      <w:r w:rsidRPr="00660C9A">
        <w:rPr>
          <w:lang w:val="en-US"/>
        </w:rPr>
        <w:t>The conclusion emerging from the combination of these three elements is clear: international labor mobility does not function as an effective adjustment mechanism within the Franc Zone. The persistence of unemployment disparities (Figure 1) is symptomatic of this dysfunction. The weak positive visual relationship (Figure 2) actually masks an absence of causal link, as confirmed by the econometric model (Table 6) which invalidates Mundell's central hypothesis.</w:t>
      </w:r>
    </w:p>
    <w:p w14:paraId="54B71703" w14:textId="77777777" w:rsidR="00660C9A" w:rsidRPr="00660C9A" w:rsidRDefault="00660C9A" w:rsidP="00660C9A">
      <w:pPr>
        <w:pStyle w:val="font-claude-response-body"/>
        <w:jc w:val="both"/>
        <w:rPr>
          <w:lang w:val="en-US"/>
        </w:rPr>
      </w:pPr>
      <w:r w:rsidRPr="00660C9A">
        <w:rPr>
          <w:rStyle w:val="Strong"/>
          <w:lang w:val="en-US"/>
        </w:rPr>
        <w:t>2.1.1.2. Indicators for Analyzing Capital Mobility: FDI (Outflows, Inflows)</w:t>
      </w:r>
    </w:p>
    <w:p w14:paraId="0EFAC381" w14:textId="77777777" w:rsidR="00660C9A" w:rsidRPr="00660C9A" w:rsidRDefault="00660C9A" w:rsidP="00660C9A">
      <w:pPr>
        <w:pStyle w:val="font-claude-response-body"/>
        <w:jc w:val="both"/>
        <w:rPr>
          <w:lang w:val="en-US"/>
        </w:rPr>
      </w:pPr>
      <w:r w:rsidRPr="00660C9A">
        <w:rPr>
          <w:lang w:val="en-US"/>
        </w:rPr>
        <w:t>This subsection focuses on the second component of Mundell's criterion: capital mobility. Its objective is to assess the extent to which capital flows freely to serve as an adjustment mechanism in response to asymmetric shocks. The analysis combines a measure of the freedom of capital movement (financial openness) with an investigation of its determinants.</w:t>
      </w:r>
    </w:p>
    <w:p w14:paraId="69DB053E" w14:textId="058A7E2C" w:rsidR="00AA55B7" w:rsidRDefault="00660C9A" w:rsidP="00660C9A">
      <w:pPr>
        <w:pStyle w:val="font-claude-response-body"/>
        <w:jc w:val="both"/>
        <w:rPr>
          <w:lang w:val="en-US"/>
        </w:rPr>
      </w:pPr>
      <w:r w:rsidRPr="00660C9A">
        <w:rPr>
          <w:lang w:val="en-US"/>
        </w:rPr>
        <w:t>Figure 3, which illustrates the dispersion of financial openness within the Franc Zone, is a crucial starting point. It reveals pronounced heterogeneity among member countries. While some display a stable and relatively high degree of financial openness, others exhibit significant volatility and much lower levels. This initial dispersion indicates that the environment for capital flows is not uniform across the zone, which could hinder their stabilizing role. It therefore raises the question of the factors explaining these differences.</w:t>
      </w:r>
    </w:p>
    <w:p w14:paraId="2D16FECE" w14:textId="77777777" w:rsidR="00AA55B7" w:rsidRDefault="00AA55B7">
      <w:pPr>
        <w:rPr>
          <w:rFonts w:ascii="Times New Roman" w:eastAsia="Times New Roman" w:hAnsi="Times New Roman" w:cs="Times New Roman"/>
          <w:sz w:val="24"/>
          <w:szCs w:val="24"/>
          <w:lang w:val="en-US" w:eastAsia="fr-FR"/>
        </w:rPr>
      </w:pPr>
      <w:r>
        <w:rPr>
          <w:lang w:val="en-US"/>
        </w:rPr>
        <w:br w:type="page"/>
      </w:r>
    </w:p>
    <w:p w14:paraId="4FFF05B3" w14:textId="77777777" w:rsidR="00660C9A" w:rsidRPr="00660C9A" w:rsidRDefault="00660C9A" w:rsidP="00660C9A">
      <w:pPr>
        <w:pStyle w:val="font-claude-response-body"/>
        <w:jc w:val="both"/>
        <w:rPr>
          <w:lang w:val="en-US"/>
        </w:rPr>
      </w:pPr>
    </w:p>
    <w:p w14:paraId="7541FBE6" w14:textId="49B05B3E" w:rsidR="00660C9A" w:rsidRPr="00660C9A" w:rsidRDefault="00660C9A" w:rsidP="00660C9A">
      <w:pPr>
        <w:pStyle w:val="Caption"/>
        <w:rPr>
          <w:rFonts w:ascii="Times New Roman" w:eastAsia="SimSun" w:hAnsi="Times New Roman" w:cs="Times New Roman"/>
          <w:i w:val="0"/>
          <w:color w:val="000000" w:themeColor="text1"/>
          <w:sz w:val="24"/>
          <w:szCs w:val="24"/>
          <w:lang w:val="en-US" w:eastAsia="zh-CN"/>
        </w:rPr>
      </w:pPr>
      <w:bookmarkStart w:id="9" w:name="_Toc215577661"/>
      <w:r w:rsidRPr="00660C9A">
        <w:rPr>
          <w:rFonts w:ascii="Times New Roman" w:hAnsi="Times New Roman" w:cs="Times New Roman"/>
          <w:b/>
          <w:i w:val="0"/>
          <w:color w:val="000000" w:themeColor="text1"/>
          <w:sz w:val="24"/>
          <w:szCs w:val="24"/>
          <w:lang w:val="en-US"/>
        </w:rPr>
        <w:t xml:space="preserve">Figure </w:t>
      </w:r>
      <w:r w:rsidRPr="00603361">
        <w:rPr>
          <w:rFonts w:ascii="Times New Roman" w:hAnsi="Times New Roman" w:cs="Times New Roman"/>
          <w:b/>
          <w:i w:val="0"/>
          <w:color w:val="000000" w:themeColor="text1"/>
          <w:sz w:val="24"/>
          <w:szCs w:val="24"/>
        </w:rPr>
        <w:fldChar w:fldCharType="begin"/>
      </w:r>
      <w:r w:rsidRPr="00660C9A">
        <w:rPr>
          <w:rFonts w:ascii="Times New Roman" w:hAnsi="Times New Roman" w:cs="Times New Roman"/>
          <w:b/>
          <w:i w:val="0"/>
          <w:color w:val="000000" w:themeColor="text1"/>
          <w:sz w:val="24"/>
          <w:szCs w:val="24"/>
          <w:lang w:val="en-US"/>
        </w:rPr>
        <w:instrText xml:space="preserve"> SEQ Figure \* ARABIC </w:instrText>
      </w:r>
      <w:r w:rsidRPr="00603361">
        <w:rPr>
          <w:rFonts w:ascii="Times New Roman" w:hAnsi="Times New Roman" w:cs="Times New Roman"/>
          <w:b/>
          <w:i w:val="0"/>
          <w:color w:val="000000" w:themeColor="text1"/>
          <w:sz w:val="24"/>
          <w:szCs w:val="24"/>
        </w:rPr>
        <w:fldChar w:fldCharType="separate"/>
      </w:r>
      <w:r w:rsidRPr="00660C9A">
        <w:rPr>
          <w:rFonts w:ascii="Times New Roman" w:hAnsi="Times New Roman" w:cs="Times New Roman"/>
          <w:b/>
          <w:i w:val="0"/>
          <w:noProof/>
          <w:color w:val="000000" w:themeColor="text1"/>
          <w:sz w:val="24"/>
          <w:szCs w:val="24"/>
          <w:lang w:val="en-US"/>
        </w:rPr>
        <w:t>3</w:t>
      </w:r>
      <w:r w:rsidRPr="00603361">
        <w:rPr>
          <w:rFonts w:ascii="Times New Roman" w:hAnsi="Times New Roman" w:cs="Times New Roman"/>
          <w:b/>
          <w:i w:val="0"/>
          <w:color w:val="000000" w:themeColor="text1"/>
          <w:sz w:val="24"/>
          <w:szCs w:val="24"/>
        </w:rPr>
        <w:fldChar w:fldCharType="end"/>
      </w:r>
      <w:r w:rsidRPr="00660C9A">
        <w:rPr>
          <w:rFonts w:ascii="Times New Roman" w:eastAsia="SimSun" w:hAnsi="Times New Roman" w:cs="Times New Roman"/>
          <w:i w:val="0"/>
          <w:color w:val="000000" w:themeColor="text1"/>
          <w:sz w:val="24"/>
          <w:szCs w:val="24"/>
          <w:lang w:val="en-US" w:eastAsia="zh-CN"/>
        </w:rPr>
        <w:t xml:space="preserve">: </w:t>
      </w:r>
      <w:bookmarkEnd w:id="9"/>
      <w:r w:rsidRPr="00660C9A">
        <w:rPr>
          <w:rFonts w:ascii="Times New Roman" w:eastAsia="SimSun" w:hAnsi="Times New Roman" w:cs="Times New Roman"/>
          <w:i w:val="0"/>
          <w:color w:val="000000" w:themeColor="text1"/>
          <w:sz w:val="24"/>
          <w:szCs w:val="24"/>
          <w:lang w:val="en-US" w:eastAsia="zh-CN"/>
        </w:rPr>
        <w:t>dispersion of financial openness in the Franc Zone</w:t>
      </w:r>
    </w:p>
    <w:p w14:paraId="7F699884" w14:textId="77777777" w:rsidR="00660C9A" w:rsidRDefault="00660C9A" w:rsidP="00660C9A">
      <w:pPr>
        <w:spacing w:line="240" w:lineRule="auto"/>
        <w:jc w:val="both"/>
        <w:rPr>
          <w:rFonts w:ascii="Times New Roman" w:eastAsia="SimSun" w:hAnsi="Times New Roman" w:cs="Times New Roman"/>
          <w:sz w:val="24"/>
          <w:lang w:eastAsia="zh-CN"/>
        </w:rPr>
      </w:pPr>
      <w:r w:rsidRPr="00A80FC1">
        <w:rPr>
          <w:rFonts w:ascii="Times New Roman" w:eastAsia="SimSun" w:hAnsi="Times New Roman" w:cs="Times New Roman"/>
          <w:noProof/>
          <w:sz w:val="24"/>
          <w:lang w:eastAsia="fr-FR"/>
        </w:rPr>
        <w:drawing>
          <wp:inline distT="0" distB="0" distL="0" distR="0" wp14:anchorId="110D0ACC" wp14:editId="5CD433EC">
            <wp:extent cx="5111464" cy="2773106"/>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396"/>
                    <a:stretch/>
                  </pic:blipFill>
                  <pic:spPr bwMode="auto">
                    <a:xfrm>
                      <a:off x="0" y="0"/>
                      <a:ext cx="5143253" cy="2790352"/>
                    </a:xfrm>
                    <a:prstGeom prst="rect">
                      <a:avLst/>
                    </a:prstGeom>
                    <a:noFill/>
                    <a:ln>
                      <a:noFill/>
                    </a:ln>
                    <a:extLst>
                      <a:ext uri="{53640926-AAD7-44D8-BBD7-CCE9431645EC}">
                        <a14:shadowObscured xmlns:a14="http://schemas.microsoft.com/office/drawing/2010/main"/>
                      </a:ext>
                    </a:extLst>
                  </pic:spPr>
                </pic:pic>
              </a:graphicData>
            </a:graphic>
          </wp:inline>
        </w:drawing>
      </w:r>
    </w:p>
    <w:p w14:paraId="36EDBF83" w14:textId="77777777" w:rsidR="00660C9A" w:rsidRPr="00660C9A" w:rsidRDefault="00660C9A" w:rsidP="00660C9A">
      <w:pPr>
        <w:pStyle w:val="font-claude-response-body"/>
        <w:jc w:val="both"/>
        <w:rPr>
          <w:lang w:val="en-US"/>
        </w:rPr>
      </w:pPr>
      <w:r w:rsidRPr="00660C9A">
        <w:rPr>
          <w:lang w:val="en-US"/>
        </w:rPr>
        <w:t>To address this question, Table 7 presents the results of a panel data regression aimed at identifying the determinants of inward Foreign Direct Investment (FDI), a key proxy for long-term capital flows. The picture that emerges is one of imperfect and conditional capital mobility.</w:t>
      </w:r>
    </w:p>
    <w:p w14:paraId="59D8E386" w14:textId="77777777" w:rsidR="00660C9A" w:rsidRPr="00660C9A" w:rsidRDefault="00660C9A" w:rsidP="00660C9A">
      <w:pPr>
        <w:pStyle w:val="font-claude-response-body"/>
        <w:jc w:val="both"/>
        <w:rPr>
          <w:lang w:val="en-US"/>
        </w:rPr>
      </w:pPr>
      <w:r w:rsidRPr="00660C9A">
        <w:rPr>
          <w:lang w:val="en-US"/>
        </w:rPr>
        <w:t>Capital flows, proxied by FDI, exist but are channeled through specific factors: they favor large markets and trade-open economies. Most importantly, their complex relationship with political stability reveals that the drivers of investment in the zone may be less related to the general quality of institutions than to rent-seeking in specific primary sectors.</w:t>
      </w:r>
    </w:p>
    <w:p w14:paraId="011A74E4" w14:textId="047DCCE1" w:rsidR="00660C9A" w:rsidRPr="00660C9A" w:rsidRDefault="00660C9A" w:rsidP="00660C9A">
      <w:pPr>
        <w:pStyle w:val="Caption"/>
        <w:rPr>
          <w:rFonts w:ascii="Times New Roman" w:eastAsia="SimSun" w:hAnsi="Times New Roman" w:cs="Times New Roman"/>
          <w:b/>
          <w:i w:val="0"/>
          <w:color w:val="000000" w:themeColor="text1"/>
          <w:sz w:val="24"/>
          <w:szCs w:val="24"/>
          <w:lang w:val="en-US" w:eastAsia="zh-CN"/>
        </w:rPr>
      </w:pPr>
      <w:bookmarkStart w:id="10" w:name="_Toc215577685"/>
      <w:r w:rsidRPr="00660C9A">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660C9A">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660C9A">
        <w:rPr>
          <w:rFonts w:ascii="Times New Roman" w:hAnsi="Times New Roman" w:cs="Times New Roman"/>
          <w:b/>
          <w:i w:val="0"/>
          <w:noProof/>
          <w:color w:val="000000" w:themeColor="text1"/>
          <w:sz w:val="24"/>
          <w:szCs w:val="24"/>
          <w:lang w:val="en-US"/>
        </w:rPr>
        <w:t>7</w:t>
      </w:r>
      <w:r w:rsidRPr="00603361">
        <w:rPr>
          <w:rFonts w:ascii="Times New Roman" w:hAnsi="Times New Roman" w:cs="Times New Roman"/>
          <w:b/>
          <w:i w:val="0"/>
          <w:color w:val="000000" w:themeColor="text1"/>
          <w:sz w:val="24"/>
          <w:szCs w:val="24"/>
        </w:rPr>
        <w:fldChar w:fldCharType="end"/>
      </w:r>
      <w:r w:rsidRPr="00660C9A">
        <w:rPr>
          <w:rFonts w:ascii="Times New Roman" w:eastAsia="SimSun" w:hAnsi="Times New Roman" w:cs="Times New Roman"/>
          <w:b/>
          <w:i w:val="0"/>
          <w:color w:val="000000" w:themeColor="text1"/>
          <w:sz w:val="24"/>
          <w:szCs w:val="24"/>
          <w:lang w:val="en-US" w:eastAsia="zh-CN"/>
        </w:rPr>
        <w:t xml:space="preserve">: </w:t>
      </w:r>
      <w:bookmarkEnd w:id="10"/>
      <w:r w:rsidRPr="00660C9A">
        <w:rPr>
          <w:rFonts w:ascii="Times New Roman" w:eastAsia="SimSun" w:hAnsi="Times New Roman" w:cs="Times New Roman"/>
          <w:i w:val="0"/>
          <w:color w:val="000000" w:themeColor="text1"/>
          <w:sz w:val="24"/>
          <w:szCs w:val="24"/>
          <w:lang w:val="en-US" w:eastAsia="zh-CN"/>
        </w:rPr>
        <w:t>Determinant of incoming IDE flow (fixed-effects model)</w:t>
      </w:r>
    </w:p>
    <w:tbl>
      <w:tblPr>
        <w:tblW w:w="0" w:type="auto"/>
        <w:jc w:val="center"/>
        <w:tblLayout w:type="fixed"/>
        <w:tblCellMar>
          <w:left w:w="75" w:type="dxa"/>
          <w:right w:w="75" w:type="dxa"/>
        </w:tblCellMar>
        <w:tblLook w:val="0000" w:firstRow="0" w:lastRow="0" w:firstColumn="0" w:lastColumn="0" w:noHBand="0" w:noVBand="0"/>
      </w:tblPr>
      <w:tblGrid>
        <w:gridCol w:w="2811"/>
        <w:gridCol w:w="1872"/>
        <w:gridCol w:w="1584"/>
        <w:gridCol w:w="1584"/>
      </w:tblGrid>
      <w:tr w:rsidR="00660C9A" w:rsidRPr="00A80FC1" w14:paraId="73AA3249" w14:textId="77777777" w:rsidTr="009A7559">
        <w:trPr>
          <w:jc w:val="center"/>
        </w:trPr>
        <w:tc>
          <w:tcPr>
            <w:tcW w:w="2811" w:type="dxa"/>
            <w:tcBorders>
              <w:top w:val="single" w:sz="6" w:space="0" w:color="auto"/>
              <w:left w:val="nil"/>
              <w:bottom w:val="nil"/>
              <w:right w:val="nil"/>
            </w:tcBorders>
          </w:tcPr>
          <w:p w14:paraId="6F03121C" w14:textId="77777777" w:rsidR="00660C9A" w:rsidRPr="00660C9A" w:rsidRDefault="00660C9A" w:rsidP="009A7559">
            <w:pPr>
              <w:pStyle w:val="NoSpacing"/>
              <w:rPr>
                <w:lang w:val="en-US" w:eastAsia="zh-CN"/>
              </w:rPr>
            </w:pPr>
          </w:p>
        </w:tc>
        <w:tc>
          <w:tcPr>
            <w:tcW w:w="1872" w:type="dxa"/>
            <w:tcBorders>
              <w:top w:val="single" w:sz="6" w:space="0" w:color="auto"/>
              <w:left w:val="nil"/>
              <w:bottom w:val="nil"/>
              <w:right w:val="nil"/>
            </w:tcBorders>
          </w:tcPr>
          <w:p w14:paraId="63DAC0B8" w14:textId="77777777" w:rsidR="00660C9A" w:rsidRPr="00A80FC1" w:rsidRDefault="00660C9A" w:rsidP="009A7559">
            <w:pPr>
              <w:pStyle w:val="NoSpacing"/>
              <w:rPr>
                <w:lang w:eastAsia="zh-CN"/>
              </w:rPr>
            </w:pPr>
            <w:r w:rsidRPr="00A80FC1">
              <w:rPr>
                <w:lang w:eastAsia="zh-CN"/>
              </w:rPr>
              <w:t>(1)</w:t>
            </w:r>
          </w:p>
        </w:tc>
        <w:tc>
          <w:tcPr>
            <w:tcW w:w="1584" w:type="dxa"/>
            <w:tcBorders>
              <w:top w:val="single" w:sz="6" w:space="0" w:color="auto"/>
              <w:left w:val="nil"/>
              <w:bottom w:val="nil"/>
              <w:right w:val="nil"/>
            </w:tcBorders>
          </w:tcPr>
          <w:p w14:paraId="5A2044A9" w14:textId="77777777" w:rsidR="00660C9A" w:rsidRPr="00A80FC1" w:rsidRDefault="00660C9A" w:rsidP="009A7559">
            <w:pPr>
              <w:pStyle w:val="NoSpacing"/>
              <w:rPr>
                <w:lang w:eastAsia="zh-CN"/>
              </w:rPr>
            </w:pPr>
            <w:r w:rsidRPr="00A80FC1">
              <w:rPr>
                <w:lang w:eastAsia="zh-CN"/>
              </w:rPr>
              <w:t>(2)</w:t>
            </w:r>
          </w:p>
        </w:tc>
        <w:tc>
          <w:tcPr>
            <w:tcW w:w="1584" w:type="dxa"/>
            <w:tcBorders>
              <w:top w:val="single" w:sz="6" w:space="0" w:color="auto"/>
              <w:left w:val="nil"/>
              <w:bottom w:val="nil"/>
              <w:right w:val="nil"/>
            </w:tcBorders>
          </w:tcPr>
          <w:p w14:paraId="22F6DDDD" w14:textId="77777777" w:rsidR="00660C9A" w:rsidRPr="00A80FC1" w:rsidRDefault="00660C9A" w:rsidP="009A7559">
            <w:pPr>
              <w:pStyle w:val="NoSpacing"/>
              <w:rPr>
                <w:lang w:eastAsia="zh-CN"/>
              </w:rPr>
            </w:pPr>
            <w:r w:rsidRPr="00A80FC1">
              <w:rPr>
                <w:lang w:eastAsia="zh-CN"/>
              </w:rPr>
              <w:t>(3)</w:t>
            </w:r>
          </w:p>
        </w:tc>
      </w:tr>
      <w:tr w:rsidR="00660C9A" w:rsidRPr="00A80FC1" w14:paraId="5E760027" w14:textId="77777777" w:rsidTr="009A7559">
        <w:trPr>
          <w:jc w:val="center"/>
        </w:trPr>
        <w:tc>
          <w:tcPr>
            <w:tcW w:w="2811" w:type="dxa"/>
            <w:tcBorders>
              <w:top w:val="nil"/>
              <w:left w:val="nil"/>
              <w:bottom w:val="single" w:sz="6" w:space="0" w:color="auto"/>
              <w:right w:val="nil"/>
            </w:tcBorders>
          </w:tcPr>
          <w:p w14:paraId="635813E7" w14:textId="77777777" w:rsidR="00660C9A" w:rsidRPr="00A80FC1" w:rsidRDefault="00660C9A" w:rsidP="009A7559">
            <w:pPr>
              <w:pStyle w:val="NoSpacing"/>
              <w:rPr>
                <w:lang w:eastAsia="zh-CN"/>
              </w:rPr>
            </w:pPr>
            <w:r w:rsidRPr="00A80FC1">
              <w:rPr>
                <w:lang w:eastAsia="zh-CN"/>
              </w:rPr>
              <w:t>VARIABLES</w:t>
            </w:r>
          </w:p>
        </w:tc>
        <w:tc>
          <w:tcPr>
            <w:tcW w:w="1872" w:type="dxa"/>
            <w:tcBorders>
              <w:top w:val="nil"/>
              <w:left w:val="nil"/>
              <w:bottom w:val="single" w:sz="6" w:space="0" w:color="auto"/>
              <w:right w:val="nil"/>
            </w:tcBorders>
          </w:tcPr>
          <w:p w14:paraId="450068A6" w14:textId="77777777" w:rsidR="00660C9A" w:rsidRPr="00A80FC1" w:rsidRDefault="00660C9A" w:rsidP="009A7559">
            <w:pPr>
              <w:pStyle w:val="NoSpacing"/>
              <w:rPr>
                <w:lang w:eastAsia="zh-CN"/>
              </w:rPr>
            </w:pPr>
            <w:proofErr w:type="spellStart"/>
            <w:r w:rsidRPr="00A80FC1">
              <w:rPr>
                <w:lang w:eastAsia="zh-CN"/>
              </w:rPr>
              <w:t>IDE_e</w:t>
            </w:r>
            <w:proofErr w:type="spellEnd"/>
          </w:p>
        </w:tc>
        <w:tc>
          <w:tcPr>
            <w:tcW w:w="1584" w:type="dxa"/>
            <w:tcBorders>
              <w:top w:val="nil"/>
              <w:left w:val="nil"/>
              <w:bottom w:val="single" w:sz="6" w:space="0" w:color="auto"/>
              <w:right w:val="nil"/>
            </w:tcBorders>
          </w:tcPr>
          <w:p w14:paraId="3BBB7914" w14:textId="77777777" w:rsidR="00660C9A" w:rsidRPr="00A80FC1" w:rsidRDefault="00660C9A" w:rsidP="009A7559">
            <w:pPr>
              <w:pStyle w:val="NoSpacing"/>
              <w:rPr>
                <w:lang w:eastAsia="zh-CN"/>
              </w:rPr>
            </w:pPr>
            <w:proofErr w:type="spellStart"/>
            <w:r w:rsidRPr="00A80FC1">
              <w:rPr>
                <w:lang w:eastAsia="zh-CN"/>
              </w:rPr>
              <w:t>IDE_e</w:t>
            </w:r>
            <w:proofErr w:type="spellEnd"/>
          </w:p>
        </w:tc>
        <w:tc>
          <w:tcPr>
            <w:tcW w:w="1584" w:type="dxa"/>
            <w:tcBorders>
              <w:top w:val="nil"/>
              <w:left w:val="nil"/>
              <w:bottom w:val="single" w:sz="6" w:space="0" w:color="auto"/>
              <w:right w:val="nil"/>
            </w:tcBorders>
          </w:tcPr>
          <w:p w14:paraId="2220C6C4" w14:textId="77777777" w:rsidR="00660C9A" w:rsidRPr="00A80FC1" w:rsidRDefault="00660C9A" w:rsidP="009A7559">
            <w:pPr>
              <w:pStyle w:val="NoSpacing"/>
              <w:rPr>
                <w:lang w:eastAsia="zh-CN"/>
              </w:rPr>
            </w:pPr>
            <w:proofErr w:type="spellStart"/>
            <w:r w:rsidRPr="00A80FC1">
              <w:rPr>
                <w:lang w:eastAsia="zh-CN"/>
              </w:rPr>
              <w:t>IDE_e</w:t>
            </w:r>
            <w:proofErr w:type="spellEnd"/>
          </w:p>
        </w:tc>
      </w:tr>
      <w:tr w:rsidR="00660C9A" w:rsidRPr="00A80FC1" w14:paraId="7F1F749A" w14:textId="77777777" w:rsidTr="009A7559">
        <w:trPr>
          <w:jc w:val="center"/>
        </w:trPr>
        <w:tc>
          <w:tcPr>
            <w:tcW w:w="2811" w:type="dxa"/>
            <w:tcBorders>
              <w:top w:val="nil"/>
              <w:left w:val="nil"/>
              <w:bottom w:val="nil"/>
              <w:right w:val="nil"/>
            </w:tcBorders>
          </w:tcPr>
          <w:p w14:paraId="6FF0C5C9"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02E0A643"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7F56FDBA"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4750BAEA" w14:textId="77777777" w:rsidR="00660C9A" w:rsidRPr="00A80FC1" w:rsidRDefault="00660C9A" w:rsidP="009A7559">
            <w:pPr>
              <w:pStyle w:val="NoSpacing"/>
              <w:rPr>
                <w:lang w:eastAsia="zh-CN"/>
              </w:rPr>
            </w:pPr>
          </w:p>
        </w:tc>
      </w:tr>
      <w:tr w:rsidR="00660C9A" w:rsidRPr="00A80FC1" w14:paraId="74059014" w14:textId="77777777" w:rsidTr="009A7559">
        <w:trPr>
          <w:jc w:val="center"/>
        </w:trPr>
        <w:tc>
          <w:tcPr>
            <w:tcW w:w="2811" w:type="dxa"/>
            <w:tcBorders>
              <w:top w:val="nil"/>
              <w:left w:val="nil"/>
              <w:bottom w:val="nil"/>
              <w:right w:val="nil"/>
            </w:tcBorders>
          </w:tcPr>
          <w:p w14:paraId="74C930BA" w14:textId="77777777" w:rsidR="00660C9A" w:rsidRPr="00A80FC1" w:rsidRDefault="00660C9A" w:rsidP="009A7559">
            <w:pPr>
              <w:pStyle w:val="NoSpacing"/>
              <w:rPr>
                <w:lang w:eastAsia="zh-CN"/>
              </w:rPr>
            </w:pPr>
            <w:r w:rsidRPr="00A80FC1">
              <w:rPr>
                <w:lang w:eastAsia="zh-CN"/>
              </w:rPr>
              <w:t>PIB_</w:t>
            </w:r>
          </w:p>
        </w:tc>
        <w:tc>
          <w:tcPr>
            <w:tcW w:w="1872" w:type="dxa"/>
            <w:tcBorders>
              <w:top w:val="nil"/>
              <w:left w:val="nil"/>
              <w:bottom w:val="nil"/>
              <w:right w:val="nil"/>
            </w:tcBorders>
          </w:tcPr>
          <w:p w14:paraId="655F4847" w14:textId="77777777" w:rsidR="00660C9A" w:rsidRPr="00A80FC1" w:rsidRDefault="00660C9A" w:rsidP="009A7559">
            <w:pPr>
              <w:pStyle w:val="NoSpacing"/>
              <w:rPr>
                <w:lang w:eastAsia="zh-CN"/>
              </w:rPr>
            </w:pPr>
            <w:r w:rsidRPr="00A80FC1">
              <w:rPr>
                <w:lang w:eastAsia="zh-CN"/>
              </w:rPr>
              <w:t>0,01***</w:t>
            </w:r>
          </w:p>
        </w:tc>
        <w:tc>
          <w:tcPr>
            <w:tcW w:w="1584" w:type="dxa"/>
            <w:tcBorders>
              <w:top w:val="nil"/>
              <w:left w:val="nil"/>
              <w:bottom w:val="nil"/>
              <w:right w:val="nil"/>
            </w:tcBorders>
          </w:tcPr>
          <w:p w14:paraId="1364BD9D"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1ACAE024" w14:textId="77777777" w:rsidR="00660C9A" w:rsidRPr="00A80FC1" w:rsidRDefault="00660C9A" w:rsidP="009A7559">
            <w:pPr>
              <w:pStyle w:val="NoSpacing"/>
              <w:rPr>
                <w:lang w:eastAsia="zh-CN"/>
              </w:rPr>
            </w:pPr>
          </w:p>
        </w:tc>
      </w:tr>
      <w:tr w:rsidR="00660C9A" w:rsidRPr="00A80FC1" w14:paraId="16ECA8E8" w14:textId="77777777" w:rsidTr="009A7559">
        <w:trPr>
          <w:jc w:val="center"/>
        </w:trPr>
        <w:tc>
          <w:tcPr>
            <w:tcW w:w="2811" w:type="dxa"/>
            <w:tcBorders>
              <w:top w:val="nil"/>
              <w:left w:val="nil"/>
              <w:bottom w:val="nil"/>
              <w:right w:val="nil"/>
            </w:tcBorders>
          </w:tcPr>
          <w:p w14:paraId="147548A7"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7270EC08" w14:textId="77777777" w:rsidR="00660C9A" w:rsidRPr="00A80FC1" w:rsidRDefault="00660C9A" w:rsidP="009A7559">
            <w:pPr>
              <w:pStyle w:val="NoSpacing"/>
              <w:rPr>
                <w:lang w:eastAsia="zh-CN"/>
              </w:rPr>
            </w:pPr>
            <w:r w:rsidRPr="00A80FC1">
              <w:rPr>
                <w:lang w:eastAsia="zh-CN"/>
              </w:rPr>
              <w:t>(0,215)</w:t>
            </w:r>
          </w:p>
        </w:tc>
        <w:tc>
          <w:tcPr>
            <w:tcW w:w="1584" w:type="dxa"/>
            <w:tcBorders>
              <w:top w:val="nil"/>
              <w:left w:val="nil"/>
              <w:bottom w:val="nil"/>
              <w:right w:val="nil"/>
            </w:tcBorders>
          </w:tcPr>
          <w:p w14:paraId="711BE60A"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65506A4" w14:textId="77777777" w:rsidR="00660C9A" w:rsidRPr="00A80FC1" w:rsidRDefault="00660C9A" w:rsidP="009A7559">
            <w:pPr>
              <w:pStyle w:val="NoSpacing"/>
              <w:rPr>
                <w:lang w:eastAsia="zh-CN"/>
              </w:rPr>
            </w:pPr>
          </w:p>
        </w:tc>
      </w:tr>
      <w:tr w:rsidR="00660C9A" w:rsidRPr="00A80FC1" w14:paraId="0E2B763A" w14:textId="77777777" w:rsidTr="009A7559">
        <w:trPr>
          <w:jc w:val="center"/>
        </w:trPr>
        <w:tc>
          <w:tcPr>
            <w:tcW w:w="2811" w:type="dxa"/>
            <w:tcBorders>
              <w:top w:val="nil"/>
              <w:left w:val="nil"/>
              <w:bottom w:val="nil"/>
              <w:right w:val="nil"/>
            </w:tcBorders>
          </w:tcPr>
          <w:p w14:paraId="10189244" w14:textId="77777777" w:rsidR="00660C9A" w:rsidRPr="00A80FC1" w:rsidRDefault="00660C9A" w:rsidP="009A7559">
            <w:pPr>
              <w:pStyle w:val="NoSpacing"/>
              <w:rPr>
                <w:lang w:eastAsia="zh-CN"/>
              </w:rPr>
            </w:pPr>
            <w:r w:rsidRPr="00A80FC1">
              <w:rPr>
                <w:lang w:eastAsia="zh-CN"/>
              </w:rPr>
              <w:t>Inflation</w:t>
            </w:r>
          </w:p>
        </w:tc>
        <w:tc>
          <w:tcPr>
            <w:tcW w:w="1872" w:type="dxa"/>
            <w:tcBorders>
              <w:top w:val="nil"/>
              <w:left w:val="nil"/>
              <w:bottom w:val="nil"/>
              <w:right w:val="nil"/>
            </w:tcBorders>
          </w:tcPr>
          <w:p w14:paraId="19B00735" w14:textId="77777777" w:rsidR="00660C9A" w:rsidRPr="00A80FC1" w:rsidRDefault="00660C9A" w:rsidP="009A7559">
            <w:pPr>
              <w:pStyle w:val="NoSpacing"/>
              <w:rPr>
                <w:lang w:eastAsia="zh-CN"/>
              </w:rPr>
            </w:pPr>
            <w:r w:rsidRPr="00A80FC1">
              <w:rPr>
                <w:lang w:eastAsia="zh-CN"/>
              </w:rPr>
              <w:t>0,0176</w:t>
            </w:r>
          </w:p>
        </w:tc>
        <w:tc>
          <w:tcPr>
            <w:tcW w:w="1584" w:type="dxa"/>
            <w:tcBorders>
              <w:top w:val="nil"/>
              <w:left w:val="nil"/>
              <w:bottom w:val="nil"/>
              <w:right w:val="nil"/>
            </w:tcBorders>
          </w:tcPr>
          <w:p w14:paraId="11114131"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DFEAC79" w14:textId="77777777" w:rsidR="00660C9A" w:rsidRPr="00A80FC1" w:rsidRDefault="00660C9A" w:rsidP="009A7559">
            <w:pPr>
              <w:pStyle w:val="NoSpacing"/>
              <w:rPr>
                <w:lang w:eastAsia="zh-CN"/>
              </w:rPr>
            </w:pPr>
          </w:p>
        </w:tc>
      </w:tr>
      <w:tr w:rsidR="00660C9A" w:rsidRPr="00A80FC1" w14:paraId="2FD82FD4" w14:textId="77777777" w:rsidTr="009A7559">
        <w:trPr>
          <w:jc w:val="center"/>
        </w:trPr>
        <w:tc>
          <w:tcPr>
            <w:tcW w:w="2811" w:type="dxa"/>
            <w:tcBorders>
              <w:top w:val="nil"/>
              <w:left w:val="nil"/>
              <w:bottom w:val="nil"/>
              <w:right w:val="nil"/>
            </w:tcBorders>
          </w:tcPr>
          <w:p w14:paraId="34634180"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5ED48857" w14:textId="77777777" w:rsidR="00660C9A" w:rsidRPr="00A80FC1" w:rsidRDefault="00660C9A" w:rsidP="009A7559">
            <w:pPr>
              <w:pStyle w:val="NoSpacing"/>
              <w:rPr>
                <w:lang w:eastAsia="zh-CN"/>
              </w:rPr>
            </w:pPr>
            <w:r w:rsidRPr="00A80FC1">
              <w:rPr>
                <w:lang w:eastAsia="zh-CN"/>
              </w:rPr>
              <w:t>(0,0188)</w:t>
            </w:r>
          </w:p>
        </w:tc>
        <w:tc>
          <w:tcPr>
            <w:tcW w:w="1584" w:type="dxa"/>
            <w:tcBorders>
              <w:top w:val="nil"/>
              <w:left w:val="nil"/>
              <w:bottom w:val="nil"/>
              <w:right w:val="nil"/>
            </w:tcBorders>
          </w:tcPr>
          <w:p w14:paraId="1A7F5E54"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2352857F" w14:textId="77777777" w:rsidR="00660C9A" w:rsidRPr="00A80FC1" w:rsidRDefault="00660C9A" w:rsidP="009A7559">
            <w:pPr>
              <w:pStyle w:val="NoSpacing"/>
              <w:rPr>
                <w:lang w:eastAsia="zh-CN"/>
              </w:rPr>
            </w:pPr>
          </w:p>
        </w:tc>
      </w:tr>
      <w:tr w:rsidR="00660C9A" w:rsidRPr="00A80FC1" w14:paraId="2D17C462" w14:textId="77777777" w:rsidTr="009A7559">
        <w:trPr>
          <w:jc w:val="center"/>
        </w:trPr>
        <w:tc>
          <w:tcPr>
            <w:tcW w:w="2811" w:type="dxa"/>
            <w:tcBorders>
              <w:top w:val="nil"/>
              <w:left w:val="nil"/>
              <w:bottom w:val="nil"/>
              <w:right w:val="nil"/>
            </w:tcBorders>
          </w:tcPr>
          <w:p w14:paraId="13AFB7ED" w14:textId="77777777" w:rsidR="00660C9A" w:rsidRPr="00A80FC1" w:rsidRDefault="00660C9A" w:rsidP="009A7559">
            <w:pPr>
              <w:pStyle w:val="NoSpacing"/>
              <w:rPr>
                <w:lang w:eastAsia="zh-CN"/>
              </w:rPr>
            </w:pPr>
            <w:proofErr w:type="gramStart"/>
            <w:r w:rsidRPr="00A80FC1">
              <w:rPr>
                <w:lang w:eastAsia="zh-CN"/>
              </w:rPr>
              <w:t>ouverture</w:t>
            </w:r>
            <w:proofErr w:type="gramEnd"/>
          </w:p>
        </w:tc>
        <w:tc>
          <w:tcPr>
            <w:tcW w:w="1872" w:type="dxa"/>
            <w:tcBorders>
              <w:top w:val="nil"/>
              <w:left w:val="nil"/>
              <w:bottom w:val="nil"/>
              <w:right w:val="nil"/>
            </w:tcBorders>
          </w:tcPr>
          <w:p w14:paraId="572FC5C1" w14:textId="77777777" w:rsidR="00660C9A" w:rsidRPr="00A80FC1" w:rsidRDefault="00660C9A" w:rsidP="009A7559">
            <w:pPr>
              <w:pStyle w:val="NoSpacing"/>
              <w:rPr>
                <w:lang w:eastAsia="zh-CN"/>
              </w:rPr>
            </w:pPr>
            <w:r w:rsidRPr="00A80FC1">
              <w:rPr>
                <w:lang w:eastAsia="zh-CN"/>
              </w:rPr>
              <w:t>103,5***</w:t>
            </w:r>
          </w:p>
        </w:tc>
        <w:tc>
          <w:tcPr>
            <w:tcW w:w="1584" w:type="dxa"/>
            <w:tcBorders>
              <w:top w:val="nil"/>
              <w:left w:val="nil"/>
              <w:bottom w:val="nil"/>
              <w:right w:val="nil"/>
            </w:tcBorders>
          </w:tcPr>
          <w:p w14:paraId="5EC261F7"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62352D4D" w14:textId="77777777" w:rsidR="00660C9A" w:rsidRPr="00A80FC1" w:rsidRDefault="00660C9A" w:rsidP="009A7559">
            <w:pPr>
              <w:pStyle w:val="NoSpacing"/>
              <w:rPr>
                <w:lang w:eastAsia="zh-CN"/>
              </w:rPr>
            </w:pPr>
          </w:p>
        </w:tc>
      </w:tr>
      <w:tr w:rsidR="00660C9A" w:rsidRPr="00A80FC1" w14:paraId="40B6E71E" w14:textId="77777777" w:rsidTr="009A7559">
        <w:trPr>
          <w:jc w:val="center"/>
        </w:trPr>
        <w:tc>
          <w:tcPr>
            <w:tcW w:w="2811" w:type="dxa"/>
            <w:tcBorders>
              <w:top w:val="nil"/>
              <w:left w:val="nil"/>
              <w:bottom w:val="nil"/>
              <w:right w:val="nil"/>
            </w:tcBorders>
          </w:tcPr>
          <w:p w14:paraId="03D59C2D"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34D52325" w14:textId="77777777" w:rsidR="00660C9A" w:rsidRPr="00A80FC1" w:rsidRDefault="00660C9A" w:rsidP="009A7559">
            <w:pPr>
              <w:pStyle w:val="NoSpacing"/>
              <w:rPr>
                <w:lang w:eastAsia="zh-CN"/>
              </w:rPr>
            </w:pPr>
            <w:r w:rsidRPr="00A80FC1">
              <w:rPr>
                <w:lang w:eastAsia="zh-CN"/>
              </w:rPr>
              <w:t>(9,125)</w:t>
            </w:r>
          </w:p>
        </w:tc>
        <w:tc>
          <w:tcPr>
            <w:tcW w:w="1584" w:type="dxa"/>
            <w:tcBorders>
              <w:top w:val="nil"/>
              <w:left w:val="nil"/>
              <w:bottom w:val="nil"/>
              <w:right w:val="nil"/>
            </w:tcBorders>
          </w:tcPr>
          <w:p w14:paraId="6FB21024"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1D221CC8" w14:textId="77777777" w:rsidR="00660C9A" w:rsidRPr="00A80FC1" w:rsidRDefault="00660C9A" w:rsidP="009A7559">
            <w:pPr>
              <w:pStyle w:val="NoSpacing"/>
              <w:rPr>
                <w:lang w:eastAsia="zh-CN"/>
              </w:rPr>
            </w:pPr>
          </w:p>
        </w:tc>
      </w:tr>
      <w:tr w:rsidR="00660C9A" w:rsidRPr="00A80FC1" w14:paraId="265B49C5" w14:textId="77777777" w:rsidTr="009A7559">
        <w:trPr>
          <w:jc w:val="center"/>
        </w:trPr>
        <w:tc>
          <w:tcPr>
            <w:tcW w:w="2811" w:type="dxa"/>
            <w:tcBorders>
              <w:top w:val="nil"/>
              <w:left w:val="nil"/>
              <w:bottom w:val="nil"/>
              <w:right w:val="nil"/>
            </w:tcBorders>
          </w:tcPr>
          <w:p w14:paraId="43CD4829" w14:textId="77777777" w:rsidR="00660C9A" w:rsidRPr="00A80FC1" w:rsidRDefault="00660C9A" w:rsidP="009A7559">
            <w:pPr>
              <w:pStyle w:val="NoSpacing"/>
              <w:rPr>
                <w:lang w:eastAsia="zh-CN"/>
              </w:rPr>
            </w:pPr>
            <w:r w:rsidRPr="00A80FC1">
              <w:rPr>
                <w:lang w:eastAsia="zh-CN"/>
              </w:rPr>
              <w:t>Urbanisation_</w:t>
            </w:r>
          </w:p>
        </w:tc>
        <w:tc>
          <w:tcPr>
            <w:tcW w:w="1872" w:type="dxa"/>
            <w:tcBorders>
              <w:top w:val="nil"/>
              <w:left w:val="nil"/>
              <w:bottom w:val="nil"/>
              <w:right w:val="nil"/>
            </w:tcBorders>
          </w:tcPr>
          <w:p w14:paraId="355613B4" w14:textId="77777777" w:rsidR="00660C9A" w:rsidRPr="00A80FC1" w:rsidRDefault="00660C9A" w:rsidP="009A7559">
            <w:pPr>
              <w:pStyle w:val="NoSpacing"/>
              <w:rPr>
                <w:lang w:eastAsia="zh-CN"/>
              </w:rPr>
            </w:pPr>
            <w:r w:rsidRPr="00A80FC1">
              <w:rPr>
                <w:lang w:eastAsia="zh-CN"/>
              </w:rPr>
              <w:t>-8,14e-07***</w:t>
            </w:r>
          </w:p>
        </w:tc>
        <w:tc>
          <w:tcPr>
            <w:tcW w:w="1584" w:type="dxa"/>
            <w:tcBorders>
              <w:top w:val="nil"/>
              <w:left w:val="nil"/>
              <w:bottom w:val="nil"/>
              <w:right w:val="nil"/>
            </w:tcBorders>
          </w:tcPr>
          <w:p w14:paraId="423EACD1"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7978B240" w14:textId="77777777" w:rsidR="00660C9A" w:rsidRPr="00A80FC1" w:rsidRDefault="00660C9A" w:rsidP="009A7559">
            <w:pPr>
              <w:pStyle w:val="NoSpacing"/>
              <w:rPr>
                <w:lang w:eastAsia="zh-CN"/>
              </w:rPr>
            </w:pPr>
          </w:p>
        </w:tc>
      </w:tr>
      <w:tr w:rsidR="00660C9A" w:rsidRPr="00A80FC1" w14:paraId="46596EC0" w14:textId="77777777" w:rsidTr="009A7559">
        <w:trPr>
          <w:jc w:val="center"/>
        </w:trPr>
        <w:tc>
          <w:tcPr>
            <w:tcW w:w="2811" w:type="dxa"/>
            <w:tcBorders>
              <w:top w:val="nil"/>
              <w:left w:val="nil"/>
              <w:bottom w:val="nil"/>
              <w:right w:val="nil"/>
            </w:tcBorders>
          </w:tcPr>
          <w:p w14:paraId="1729E29C"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3CE73E8F" w14:textId="77777777" w:rsidR="00660C9A" w:rsidRPr="00A80FC1" w:rsidRDefault="00660C9A" w:rsidP="009A7559">
            <w:pPr>
              <w:pStyle w:val="NoSpacing"/>
              <w:rPr>
                <w:lang w:eastAsia="zh-CN"/>
              </w:rPr>
            </w:pPr>
            <w:r w:rsidRPr="00A80FC1">
              <w:rPr>
                <w:lang w:eastAsia="zh-CN"/>
              </w:rPr>
              <w:t>(2,72e-07)</w:t>
            </w:r>
          </w:p>
        </w:tc>
        <w:tc>
          <w:tcPr>
            <w:tcW w:w="1584" w:type="dxa"/>
            <w:tcBorders>
              <w:top w:val="nil"/>
              <w:left w:val="nil"/>
              <w:bottom w:val="nil"/>
              <w:right w:val="nil"/>
            </w:tcBorders>
          </w:tcPr>
          <w:p w14:paraId="0E57BD28"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7006CC4" w14:textId="77777777" w:rsidR="00660C9A" w:rsidRPr="00A80FC1" w:rsidRDefault="00660C9A" w:rsidP="009A7559">
            <w:pPr>
              <w:pStyle w:val="NoSpacing"/>
              <w:rPr>
                <w:lang w:eastAsia="zh-CN"/>
              </w:rPr>
            </w:pPr>
          </w:p>
        </w:tc>
      </w:tr>
      <w:tr w:rsidR="00660C9A" w:rsidRPr="00A80FC1" w14:paraId="3556B9D0" w14:textId="77777777" w:rsidTr="009A7559">
        <w:trPr>
          <w:jc w:val="center"/>
        </w:trPr>
        <w:tc>
          <w:tcPr>
            <w:tcW w:w="2811" w:type="dxa"/>
            <w:tcBorders>
              <w:top w:val="nil"/>
              <w:left w:val="nil"/>
              <w:bottom w:val="nil"/>
              <w:right w:val="nil"/>
            </w:tcBorders>
          </w:tcPr>
          <w:p w14:paraId="6FFA8387" w14:textId="77777777" w:rsidR="00660C9A" w:rsidRPr="00A80FC1" w:rsidRDefault="00660C9A" w:rsidP="009A7559">
            <w:pPr>
              <w:pStyle w:val="NoSpacing"/>
              <w:rPr>
                <w:lang w:eastAsia="zh-CN"/>
              </w:rPr>
            </w:pPr>
            <w:r w:rsidRPr="00A80FC1">
              <w:rPr>
                <w:lang w:eastAsia="zh-CN"/>
              </w:rPr>
              <w:t xml:space="preserve">Stabilité politique </w:t>
            </w:r>
          </w:p>
        </w:tc>
        <w:tc>
          <w:tcPr>
            <w:tcW w:w="1872" w:type="dxa"/>
            <w:tcBorders>
              <w:top w:val="nil"/>
              <w:left w:val="nil"/>
              <w:bottom w:val="nil"/>
              <w:right w:val="nil"/>
            </w:tcBorders>
          </w:tcPr>
          <w:p w14:paraId="7894D2B1" w14:textId="77777777" w:rsidR="00660C9A" w:rsidRPr="00A80FC1" w:rsidRDefault="00660C9A" w:rsidP="009A7559">
            <w:pPr>
              <w:pStyle w:val="NoSpacing"/>
              <w:rPr>
                <w:lang w:eastAsia="zh-CN"/>
              </w:rPr>
            </w:pPr>
            <w:r w:rsidRPr="00A80FC1">
              <w:rPr>
                <w:lang w:eastAsia="zh-CN"/>
              </w:rPr>
              <w:t>-5,9047***</w:t>
            </w:r>
          </w:p>
        </w:tc>
        <w:tc>
          <w:tcPr>
            <w:tcW w:w="1584" w:type="dxa"/>
            <w:tcBorders>
              <w:top w:val="nil"/>
              <w:left w:val="nil"/>
              <w:bottom w:val="nil"/>
              <w:right w:val="nil"/>
            </w:tcBorders>
          </w:tcPr>
          <w:p w14:paraId="0063CBDD"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0F907EA2" w14:textId="77777777" w:rsidR="00660C9A" w:rsidRPr="00A80FC1" w:rsidRDefault="00660C9A" w:rsidP="009A7559">
            <w:pPr>
              <w:pStyle w:val="NoSpacing"/>
              <w:rPr>
                <w:lang w:eastAsia="zh-CN"/>
              </w:rPr>
            </w:pPr>
          </w:p>
        </w:tc>
      </w:tr>
      <w:tr w:rsidR="00660C9A" w:rsidRPr="00A80FC1" w14:paraId="3E131AB5" w14:textId="77777777" w:rsidTr="009A7559">
        <w:trPr>
          <w:jc w:val="center"/>
        </w:trPr>
        <w:tc>
          <w:tcPr>
            <w:tcW w:w="2811" w:type="dxa"/>
            <w:tcBorders>
              <w:top w:val="nil"/>
              <w:left w:val="nil"/>
              <w:bottom w:val="nil"/>
              <w:right w:val="nil"/>
            </w:tcBorders>
          </w:tcPr>
          <w:p w14:paraId="5B2321CE"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6DD4C58F" w14:textId="77777777" w:rsidR="00660C9A" w:rsidRPr="00A80FC1" w:rsidRDefault="00660C9A" w:rsidP="009A7559">
            <w:pPr>
              <w:pStyle w:val="NoSpacing"/>
              <w:rPr>
                <w:lang w:eastAsia="zh-CN"/>
              </w:rPr>
            </w:pPr>
            <w:r w:rsidRPr="00A80FC1">
              <w:rPr>
                <w:lang w:eastAsia="zh-CN"/>
              </w:rPr>
              <w:t>(0,2178)</w:t>
            </w:r>
          </w:p>
        </w:tc>
        <w:tc>
          <w:tcPr>
            <w:tcW w:w="1584" w:type="dxa"/>
            <w:tcBorders>
              <w:top w:val="nil"/>
              <w:left w:val="nil"/>
              <w:bottom w:val="nil"/>
              <w:right w:val="nil"/>
            </w:tcBorders>
          </w:tcPr>
          <w:p w14:paraId="16ABE41B"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B5A9BAD" w14:textId="77777777" w:rsidR="00660C9A" w:rsidRPr="00A80FC1" w:rsidRDefault="00660C9A" w:rsidP="009A7559">
            <w:pPr>
              <w:pStyle w:val="NoSpacing"/>
              <w:rPr>
                <w:lang w:eastAsia="zh-CN"/>
              </w:rPr>
            </w:pPr>
          </w:p>
        </w:tc>
      </w:tr>
      <w:tr w:rsidR="00660C9A" w:rsidRPr="00A80FC1" w14:paraId="3957CBD3" w14:textId="77777777" w:rsidTr="009A7559">
        <w:trPr>
          <w:jc w:val="center"/>
        </w:trPr>
        <w:tc>
          <w:tcPr>
            <w:tcW w:w="2811" w:type="dxa"/>
            <w:tcBorders>
              <w:top w:val="nil"/>
              <w:left w:val="nil"/>
              <w:bottom w:val="nil"/>
              <w:right w:val="nil"/>
            </w:tcBorders>
          </w:tcPr>
          <w:p w14:paraId="7DF469F1" w14:textId="77777777" w:rsidR="00660C9A" w:rsidRPr="00A80FC1" w:rsidRDefault="00660C9A" w:rsidP="009A7559">
            <w:pPr>
              <w:pStyle w:val="NoSpacing"/>
              <w:rPr>
                <w:lang w:eastAsia="zh-CN"/>
              </w:rPr>
            </w:pPr>
            <w:proofErr w:type="gramStart"/>
            <w:r w:rsidRPr="00A80FC1">
              <w:rPr>
                <w:lang w:eastAsia="zh-CN"/>
              </w:rPr>
              <w:t>L,PIB</w:t>
            </w:r>
            <w:proofErr w:type="gramEnd"/>
            <w:r w:rsidRPr="00A80FC1">
              <w:rPr>
                <w:lang w:eastAsia="zh-CN"/>
              </w:rPr>
              <w:t>_</w:t>
            </w:r>
          </w:p>
        </w:tc>
        <w:tc>
          <w:tcPr>
            <w:tcW w:w="1872" w:type="dxa"/>
            <w:tcBorders>
              <w:top w:val="nil"/>
              <w:left w:val="nil"/>
              <w:bottom w:val="nil"/>
              <w:right w:val="nil"/>
            </w:tcBorders>
          </w:tcPr>
          <w:p w14:paraId="24913ABD"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7287259F" w14:textId="77777777" w:rsidR="00660C9A" w:rsidRPr="00A80FC1" w:rsidRDefault="00660C9A" w:rsidP="009A7559">
            <w:pPr>
              <w:pStyle w:val="NoSpacing"/>
              <w:rPr>
                <w:lang w:eastAsia="zh-CN"/>
              </w:rPr>
            </w:pPr>
            <w:r w:rsidRPr="00A80FC1">
              <w:rPr>
                <w:lang w:eastAsia="zh-CN"/>
              </w:rPr>
              <w:t>0,014**</w:t>
            </w:r>
          </w:p>
        </w:tc>
        <w:tc>
          <w:tcPr>
            <w:tcW w:w="1584" w:type="dxa"/>
            <w:tcBorders>
              <w:top w:val="nil"/>
              <w:left w:val="nil"/>
              <w:bottom w:val="nil"/>
              <w:right w:val="nil"/>
            </w:tcBorders>
          </w:tcPr>
          <w:p w14:paraId="45BB311C" w14:textId="77777777" w:rsidR="00660C9A" w:rsidRPr="00A80FC1" w:rsidRDefault="00660C9A" w:rsidP="009A7559">
            <w:pPr>
              <w:pStyle w:val="NoSpacing"/>
              <w:rPr>
                <w:lang w:eastAsia="zh-CN"/>
              </w:rPr>
            </w:pPr>
            <w:r w:rsidRPr="00A80FC1">
              <w:rPr>
                <w:lang w:eastAsia="zh-CN"/>
              </w:rPr>
              <w:t>0,012**</w:t>
            </w:r>
          </w:p>
        </w:tc>
      </w:tr>
      <w:tr w:rsidR="00660C9A" w:rsidRPr="00A80FC1" w14:paraId="62107B23" w14:textId="77777777" w:rsidTr="009A7559">
        <w:trPr>
          <w:jc w:val="center"/>
        </w:trPr>
        <w:tc>
          <w:tcPr>
            <w:tcW w:w="2811" w:type="dxa"/>
            <w:tcBorders>
              <w:top w:val="nil"/>
              <w:left w:val="nil"/>
              <w:bottom w:val="nil"/>
              <w:right w:val="nil"/>
            </w:tcBorders>
          </w:tcPr>
          <w:p w14:paraId="78333085"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5ED95A79"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370AD0C" w14:textId="77777777" w:rsidR="00660C9A" w:rsidRPr="00A80FC1" w:rsidRDefault="00660C9A" w:rsidP="009A7559">
            <w:pPr>
              <w:pStyle w:val="NoSpacing"/>
              <w:rPr>
                <w:lang w:eastAsia="zh-CN"/>
              </w:rPr>
            </w:pPr>
            <w:r w:rsidRPr="00A80FC1">
              <w:rPr>
                <w:lang w:eastAsia="zh-CN"/>
              </w:rPr>
              <w:t>(0,215)</w:t>
            </w:r>
          </w:p>
        </w:tc>
        <w:tc>
          <w:tcPr>
            <w:tcW w:w="1584" w:type="dxa"/>
            <w:tcBorders>
              <w:top w:val="nil"/>
              <w:left w:val="nil"/>
              <w:bottom w:val="nil"/>
              <w:right w:val="nil"/>
            </w:tcBorders>
          </w:tcPr>
          <w:p w14:paraId="24AB7E14" w14:textId="77777777" w:rsidR="00660C9A" w:rsidRPr="00A80FC1" w:rsidRDefault="00660C9A" w:rsidP="009A7559">
            <w:pPr>
              <w:pStyle w:val="NoSpacing"/>
              <w:rPr>
                <w:lang w:eastAsia="zh-CN"/>
              </w:rPr>
            </w:pPr>
            <w:r w:rsidRPr="00A80FC1">
              <w:rPr>
                <w:lang w:eastAsia="zh-CN"/>
              </w:rPr>
              <w:t>(0,215)</w:t>
            </w:r>
          </w:p>
        </w:tc>
      </w:tr>
      <w:tr w:rsidR="00660C9A" w:rsidRPr="00A80FC1" w14:paraId="1B33A1FD" w14:textId="77777777" w:rsidTr="009A7559">
        <w:trPr>
          <w:jc w:val="center"/>
        </w:trPr>
        <w:tc>
          <w:tcPr>
            <w:tcW w:w="2811" w:type="dxa"/>
            <w:tcBorders>
              <w:top w:val="nil"/>
              <w:left w:val="nil"/>
              <w:bottom w:val="nil"/>
              <w:right w:val="nil"/>
            </w:tcBorders>
          </w:tcPr>
          <w:p w14:paraId="2D50DE8F" w14:textId="77777777" w:rsidR="00660C9A" w:rsidRPr="00A80FC1" w:rsidRDefault="00660C9A" w:rsidP="009A7559">
            <w:pPr>
              <w:pStyle w:val="NoSpacing"/>
              <w:rPr>
                <w:lang w:eastAsia="zh-CN"/>
              </w:rPr>
            </w:pPr>
            <w:proofErr w:type="spellStart"/>
            <w:proofErr w:type="gramStart"/>
            <w:r w:rsidRPr="00A80FC1">
              <w:rPr>
                <w:lang w:eastAsia="zh-CN"/>
              </w:rPr>
              <w:t>L,Inflation</w:t>
            </w:r>
            <w:proofErr w:type="spellEnd"/>
            <w:proofErr w:type="gramEnd"/>
          </w:p>
        </w:tc>
        <w:tc>
          <w:tcPr>
            <w:tcW w:w="1872" w:type="dxa"/>
            <w:tcBorders>
              <w:top w:val="nil"/>
              <w:left w:val="nil"/>
              <w:bottom w:val="nil"/>
              <w:right w:val="nil"/>
            </w:tcBorders>
          </w:tcPr>
          <w:p w14:paraId="1276DC8F"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74F80DCC" w14:textId="77777777" w:rsidR="00660C9A" w:rsidRPr="00A80FC1" w:rsidRDefault="00660C9A" w:rsidP="009A7559">
            <w:pPr>
              <w:pStyle w:val="NoSpacing"/>
              <w:rPr>
                <w:lang w:eastAsia="zh-CN"/>
              </w:rPr>
            </w:pPr>
            <w:r w:rsidRPr="00A80FC1">
              <w:rPr>
                <w:lang w:eastAsia="zh-CN"/>
              </w:rPr>
              <w:t>-0,00289</w:t>
            </w:r>
          </w:p>
        </w:tc>
        <w:tc>
          <w:tcPr>
            <w:tcW w:w="1584" w:type="dxa"/>
            <w:tcBorders>
              <w:top w:val="nil"/>
              <w:left w:val="nil"/>
              <w:bottom w:val="nil"/>
              <w:right w:val="nil"/>
            </w:tcBorders>
          </w:tcPr>
          <w:p w14:paraId="6B363F9F" w14:textId="77777777" w:rsidR="00660C9A" w:rsidRPr="00A80FC1" w:rsidRDefault="00660C9A" w:rsidP="009A7559">
            <w:pPr>
              <w:pStyle w:val="NoSpacing"/>
              <w:rPr>
                <w:lang w:eastAsia="zh-CN"/>
              </w:rPr>
            </w:pPr>
            <w:r w:rsidRPr="00A80FC1">
              <w:rPr>
                <w:lang w:eastAsia="zh-CN"/>
              </w:rPr>
              <w:t>-0,00289</w:t>
            </w:r>
          </w:p>
        </w:tc>
      </w:tr>
      <w:tr w:rsidR="00660C9A" w:rsidRPr="00A80FC1" w14:paraId="7043653C" w14:textId="77777777" w:rsidTr="009A7559">
        <w:trPr>
          <w:jc w:val="center"/>
        </w:trPr>
        <w:tc>
          <w:tcPr>
            <w:tcW w:w="2811" w:type="dxa"/>
            <w:tcBorders>
              <w:top w:val="nil"/>
              <w:left w:val="nil"/>
              <w:bottom w:val="nil"/>
              <w:right w:val="nil"/>
            </w:tcBorders>
          </w:tcPr>
          <w:p w14:paraId="26DA17B1"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17CB9E4C"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7984778A" w14:textId="77777777" w:rsidR="00660C9A" w:rsidRPr="00A80FC1" w:rsidRDefault="00660C9A" w:rsidP="009A7559">
            <w:pPr>
              <w:pStyle w:val="NoSpacing"/>
              <w:rPr>
                <w:lang w:eastAsia="zh-CN"/>
              </w:rPr>
            </w:pPr>
            <w:r w:rsidRPr="00A80FC1">
              <w:rPr>
                <w:lang w:eastAsia="zh-CN"/>
              </w:rPr>
              <w:t>(0,0223)</w:t>
            </w:r>
          </w:p>
        </w:tc>
        <w:tc>
          <w:tcPr>
            <w:tcW w:w="1584" w:type="dxa"/>
            <w:tcBorders>
              <w:top w:val="nil"/>
              <w:left w:val="nil"/>
              <w:bottom w:val="nil"/>
              <w:right w:val="nil"/>
            </w:tcBorders>
          </w:tcPr>
          <w:p w14:paraId="69EAD03B" w14:textId="77777777" w:rsidR="00660C9A" w:rsidRPr="00A80FC1" w:rsidRDefault="00660C9A" w:rsidP="009A7559">
            <w:pPr>
              <w:pStyle w:val="NoSpacing"/>
              <w:rPr>
                <w:lang w:eastAsia="zh-CN"/>
              </w:rPr>
            </w:pPr>
            <w:r w:rsidRPr="00A80FC1">
              <w:rPr>
                <w:lang w:eastAsia="zh-CN"/>
              </w:rPr>
              <w:t>(0,0223)</w:t>
            </w:r>
          </w:p>
        </w:tc>
      </w:tr>
      <w:tr w:rsidR="00660C9A" w:rsidRPr="00A80FC1" w14:paraId="197E9E0D" w14:textId="77777777" w:rsidTr="009A7559">
        <w:trPr>
          <w:jc w:val="center"/>
        </w:trPr>
        <w:tc>
          <w:tcPr>
            <w:tcW w:w="2811" w:type="dxa"/>
            <w:tcBorders>
              <w:top w:val="nil"/>
              <w:left w:val="nil"/>
              <w:bottom w:val="nil"/>
              <w:right w:val="nil"/>
            </w:tcBorders>
          </w:tcPr>
          <w:p w14:paraId="648FAE06" w14:textId="77777777" w:rsidR="00660C9A" w:rsidRPr="00A80FC1" w:rsidRDefault="00660C9A" w:rsidP="009A7559">
            <w:pPr>
              <w:pStyle w:val="NoSpacing"/>
              <w:rPr>
                <w:lang w:eastAsia="zh-CN"/>
              </w:rPr>
            </w:pPr>
            <w:proofErr w:type="spellStart"/>
            <w:proofErr w:type="gramStart"/>
            <w:r w:rsidRPr="00A80FC1">
              <w:rPr>
                <w:lang w:eastAsia="zh-CN"/>
              </w:rPr>
              <w:t>L,ouverture</w:t>
            </w:r>
            <w:proofErr w:type="spellEnd"/>
            <w:proofErr w:type="gramEnd"/>
          </w:p>
        </w:tc>
        <w:tc>
          <w:tcPr>
            <w:tcW w:w="1872" w:type="dxa"/>
            <w:tcBorders>
              <w:top w:val="nil"/>
              <w:left w:val="nil"/>
              <w:bottom w:val="nil"/>
              <w:right w:val="nil"/>
            </w:tcBorders>
          </w:tcPr>
          <w:p w14:paraId="77140680"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64A5309" w14:textId="77777777" w:rsidR="00660C9A" w:rsidRPr="00A80FC1" w:rsidRDefault="00660C9A" w:rsidP="009A7559">
            <w:pPr>
              <w:pStyle w:val="NoSpacing"/>
              <w:rPr>
                <w:lang w:eastAsia="zh-CN"/>
              </w:rPr>
            </w:pPr>
            <w:r w:rsidRPr="00A80FC1">
              <w:rPr>
                <w:lang w:eastAsia="zh-CN"/>
              </w:rPr>
              <w:t>90,08***</w:t>
            </w:r>
          </w:p>
        </w:tc>
        <w:tc>
          <w:tcPr>
            <w:tcW w:w="1584" w:type="dxa"/>
            <w:tcBorders>
              <w:top w:val="nil"/>
              <w:left w:val="nil"/>
              <w:bottom w:val="nil"/>
              <w:right w:val="nil"/>
            </w:tcBorders>
          </w:tcPr>
          <w:p w14:paraId="7C6067E4" w14:textId="77777777" w:rsidR="00660C9A" w:rsidRPr="00A80FC1" w:rsidRDefault="00660C9A" w:rsidP="009A7559">
            <w:pPr>
              <w:pStyle w:val="NoSpacing"/>
              <w:rPr>
                <w:lang w:eastAsia="zh-CN"/>
              </w:rPr>
            </w:pPr>
            <w:r w:rsidRPr="00A80FC1">
              <w:rPr>
                <w:lang w:eastAsia="zh-CN"/>
              </w:rPr>
              <w:t>90,08***</w:t>
            </w:r>
          </w:p>
        </w:tc>
      </w:tr>
      <w:tr w:rsidR="00660C9A" w:rsidRPr="00A80FC1" w14:paraId="3F2D4003" w14:textId="77777777" w:rsidTr="009A7559">
        <w:trPr>
          <w:jc w:val="center"/>
        </w:trPr>
        <w:tc>
          <w:tcPr>
            <w:tcW w:w="2811" w:type="dxa"/>
            <w:tcBorders>
              <w:top w:val="nil"/>
              <w:left w:val="nil"/>
              <w:bottom w:val="nil"/>
              <w:right w:val="nil"/>
            </w:tcBorders>
          </w:tcPr>
          <w:p w14:paraId="298214E4"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7E684332"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00E6C33D" w14:textId="77777777" w:rsidR="00660C9A" w:rsidRPr="00A80FC1" w:rsidRDefault="00660C9A" w:rsidP="009A7559">
            <w:pPr>
              <w:pStyle w:val="NoSpacing"/>
              <w:rPr>
                <w:lang w:eastAsia="zh-CN"/>
              </w:rPr>
            </w:pPr>
            <w:r w:rsidRPr="00A80FC1">
              <w:rPr>
                <w:lang w:eastAsia="zh-CN"/>
              </w:rPr>
              <w:t>(10,91)</w:t>
            </w:r>
          </w:p>
        </w:tc>
        <w:tc>
          <w:tcPr>
            <w:tcW w:w="1584" w:type="dxa"/>
            <w:tcBorders>
              <w:top w:val="nil"/>
              <w:left w:val="nil"/>
              <w:bottom w:val="nil"/>
              <w:right w:val="nil"/>
            </w:tcBorders>
          </w:tcPr>
          <w:p w14:paraId="2FDCA832" w14:textId="77777777" w:rsidR="00660C9A" w:rsidRPr="00A80FC1" w:rsidRDefault="00660C9A" w:rsidP="009A7559">
            <w:pPr>
              <w:pStyle w:val="NoSpacing"/>
              <w:rPr>
                <w:lang w:eastAsia="zh-CN"/>
              </w:rPr>
            </w:pPr>
            <w:r w:rsidRPr="00A80FC1">
              <w:rPr>
                <w:lang w:eastAsia="zh-CN"/>
              </w:rPr>
              <w:t>(10,91)</w:t>
            </w:r>
          </w:p>
        </w:tc>
      </w:tr>
      <w:tr w:rsidR="00660C9A" w:rsidRPr="00A80FC1" w14:paraId="27124420" w14:textId="77777777" w:rsidTr="009A7559">
        <w:trPr>
          <w:jc w:val="center"/>
        </w:trPr>
        <w:tc>
          <w:tcPr>
            <w:tcW w:w="2811" w:type="dxa"/>
            <w:tcBorders>
              <w:top w:val="nil"/>
              <w:left w:val="nil"/>
              <w:bottom w:val="nil"/>
              <w:right w:val="nil"/>
            </w:tcBorders>
          </w:tcPr>
          <w:p w14:paraId="45FD7AC2" w14:textId="77777777" w:rsidR="00660C9A" w:rsidRPr="00A80FC1" w:rsidRDefault="00660C9A" w:rsidP="009A7559">
            <w:pPr>
              <w:pStyle w:val="NoSpacing"/>
              <w:rPr>
                <w:lang w:eastAsia="zh-CN"/>
              </w:rPr>
            </w:pPr>
            <w:proofErr w:type="spellStart"/>
            <w:proofErr w:type="gramStart"/>
            <w:r w:rsidRPr="00A80FC1">
              <w:rPr>
                <w:lang w:eastAsia="zh-CN"/>
              </w:rPr>
              <w:lastRenderedPageBreak/>
              <w:t>L,Urbanisation</w:t>
            </w:r>
            <w:proofErr w:type="spellEnd"/>
            <w:proofErr w:type="gramEnd"/>
            <w:r w:rsidRPr="00A80FC1">
              <w:rPr>
                <w:lang w:eastAsia="zh-CN"/>
              </w:rPr>
              <w:t>_</w:t>
            </w:r>
          </w:p>
        </w:tc>
        <w:tc>
          <w:tcPr>
            <w:tcW w:w="1872" w:type="dxa"/>
            <w:tcBorders>
              <w:top w:val="nil"/>
              <w:left w:val="nil"/>
              <w:bottom w:val="nil"/>
              <w:right w:val="nil"/>
            </w:tcBorders>
          </w:tcPr>
          <w:p w14:paraId="285B4789"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0D40B31" w14:textId="77777777" w:rsidR="00660C9A" w:rsidRPr="00A80FC1" w:rsidRDefault="00660C9A" w:rsidP="009A7559">
            <w:pPr>
              <w:pStyle w:val="NoSpacing"/>
              <w:rPr>
                <w:lang w:eastAsia="zh-CN"/>
              </w:rPr>
            </w:pPr>
            <w:r w:rsidRPr="00A80FC1">
              <w:rPr>
                <w:lang w:eastAsia="zh-CN"/>
              </w:rPr>
              <w:t>-5,99e-07*</w:t>
            </w:r>
          </w:p>
        </w:tc>
        <w:tc>
          <w:tcPr>
            <w:tcW w:w="1584" w:type="dxa"/>
            <w:tcBorders>
              <w:top w:val="nil"/>
              <w:left w:val="nil"/>
              <w:bottom w:val="nil"/>
              <w:right w:val="nil"/>
            </w:tcBorders>
          </w:tcPr>
          <w:p w14:paraId="71BE2805" w14:textId="77777777" w:rsidR="00660C9A" w:rsidRPr="00A80FC1" w:rsidRDefault="00660C9A" w:rsidP="009A7559">
            <w:pPr>
              <w:pStyle w:val="NoSpacing"/>
              <w:rPr>
                <w:lang w:eastAsia="zh-CN"/>
              </w:rPr>
            </w:pPr>
            <w:r w:rsidRPr="00A80FC1">
              <w:rPr>
                <w:lang w:eastAsia="zh-CN"/>
              </w:rPr>
              <w:t>-5,99e-07*</w:t>
            </w:r>
          </w:p>
        </w:tc>
      </w:tr>
      <w:tr w:rsidR="00660C9A" w:rsidRPr="00A80FC1" w14:paraId="03E0062B" w14:textId="77777777" w:rsidTr="009A7559">
        <w:trPr>
          <w:jc w:val="center"/>
        </w:trPr>
        <w:tc>
          <w:tcPr>
            <w:tcW w:w="2811" w:type="dxa"/>
            <w:tcBorders>
              <w:top w:val="nil"/>
              <w:left w:val="nil"/>
              <w:bottom w:val="nil"/>
              <w:right w:val="nil"/>
            </w:tcBorders>
          </w:tcPr>
          <w:p w14:paraId="02CC404B"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70CB275A"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3CB1AB0C" w14:textId="77777777" w:rsidR="00660C9A" w:rsidRPr="00A80FC1" w:rsidRDefault="00660C9A" w:rsidP="009A7559">
            <w:pPr>
              <w:pStyle w:val="NoSpacing"/>
              <w:rPr>
                <w:lang w:eastAsia="zh-CN"/>
              </w:rPr>
            </w:pPr>
            <w:r w:rsidRPr="00A80FC1">
              <w:rPr>
                <w:lang w:eastAsia="zh-CN"/>
              </w:rPr>
              <w:t>(3,36e-07)</w:t>
            </w:r>
          </w:p>
        </w:tc>
        <w:tc>
          <w:tcPr>
            <w:tcW w:w="1584" w:type="dxa"/>
            <w:tcBorders>
              <w:top w:val="nil"/>
              <w:left w:val="nil"/>
              <w:bottom w:val="nil"/>
              <w:right w:val="nil"/>
            </w:tcBorders>
          </w:tcPr>
          <w:p w14:paraId="06FBC5CD" w14:textId="77777777" w:rsidR="00660C9A" w:rsidRPr="00A80FC1" w:rsidRDefault="00660C9A" w:rsidP="009A7559">
            <w:pPr>
              <w:pStyle w:val="NoSpacing"/>
              <w:rPr>
                <w:lang w:eastAsia="zh-CN"/>
              </w:rPr>
            </w:pPr>
            <w:r w:rsidRPr="00A80FC1">
              <w:rPr>
                <w:lang w:eastAsia="zh-CN"/>
              </w:rPr>
              <w:t>(3,36e-07)</w:t>
            </w:r>
          </w:p>
        </w:tc>
      </w:tr>
      <w:tr w:rsidR="00660C9A" w:rsidRPr="00A80FC1" w14:paraId="5AC7BB76" w14:textId="77777777" w:rsidTr="009A7559">
        <w:trPr>
          <w:jc w:val="center"/>
        </w:trPr>
        <w:tc>
          <w:tcPr>
            <w:tcW w:w="2811" w:type="dxa"/>
            <w:tcBorders>
              <w:top w:val="nil"/>
              <w:left w:val="nil"/>
              <w:bottom w:val="nil"/>
              <w:right w:val="nil"/>
            </w:tcBorders>
          </w:tcPr>
          <w:p w14:paraId="4459580B" w14:textId="77777777" w:rsidR="00660C9A" w:rsidRPr="00A80FC1" w:rsidRDefault="00660C9A" w:rsidP="009A7559">
            <w:pPr>
              <w:pStyle w:val="NoSpacing"/>
              <w:rPr>
                <w:lang w:eastAsia="zh-CN"/>
              </w:rPr>
            </w:pPr>
            <w:r w:rsidRPr="00A80FC1">
              <w:rPr>
                <w:lang w:eastAsia="zh-CN"/>
              </w:rPr>
              <w:t>Constant</w:t>
            </w:r>
          </w:p>
        </w:tc>
        <w:tc>
          <w:tcPr>
            <w:tcW w:w="1872" w:type="dxa"/>
            <w:tcBorders>
              <w:top w:val="nil"/>
              <w:left w:val="nil"/>
              <w:bottom w:val="nil"/>
              <w:right w:val="nil"/>
            </w:tcBorders>
          </w:tcPr>
          <w:p w14:paraId="32936F38" w14:textId="77777777" w:rsidR="00660C9A" w:rsidRPr="00A80FC1" w:rsidRDefault="00660C9A" w:rsidP="009A7559">
            <w:pPr>
              <w:pStyle w:val="NoSpacing"/>
              <w:rPr>
                <w:lang w:eastAsia="zh-CN"/>
              </w:rPr>
            </w:pPr>
            <w:r w:rsidRPr="00A80FC1">
              <w:rPr>
                <w:lang w:eastAsia="zh-CN"/>
              </w:rPr>
              <w:t>-2,947***</w:t>
            </w:r>
          </w:p>
        </w:tc>
        <w:tc>
          <w:tcPr>
            <w:tcW w:w="1584" w:type="dxa"/>
            <w:tcBorders>
              <w:top w:val="nil"/>
              <w:left w:val="nil"/>
              <w:bottom w:val="nil"/>
              <w:right w:val="nil"/>
            </w:tcBorders>
          </w:tcPr>
          <w:p w14:paraId="5D1E8D49" w14:textId="77777777" w:rsidR="00660C9A" w:rsidRPr="00A80FC1" w:rsidRDefault="00660C9A" w:rsidP="009A7559">
            <w:pPr>
              <w:pStyle w:val="NoSpacing"/>
              <w:rPr>
                <w:lang w:eastAsia="zh-CN"/>
              </w:rPr>
            </w:pPr>
            <w:r w:rsidRPr="00A80FC1">
              <w:rPr>
                <w:lang w:eastAsia="zh-CN"/>
              </w:rPr>
              <w:t>-2,329***</w:t>
            </w:r>
          </w:p>
        </w:tc>
        <w:tc>
          <w:tcPr>
            <w:tcW w:w="1584" w:type="dxa"/>
            <w:tcBorders>
              <w:top w:val="nil"/>
              <w:left w:val="nil"/>
              <w:bottom w:val="nil"/>
              <w:right w:val="nil"/>
            </w:tcBorders>
          </w:tcPr>
          <w:p w14:paraId="781F1078" w14:textId="77777777" w:rsidR="00660C9A" w:rsidRPr="00A80FC1" w:rsidRDefault="00660C9A" w:rsidP="009A7559">
            <w:pPr>
              <w:pStyle w:val="NoSpacing"/>
              <w:rPr>
                <w:lang w:eastAsia="zh-CN"/>
              </w:rPr>
            </w:pPr>
            <w:r w:rsidRPr="00A80FC1">
              <w:rPr>
                <w:lang w:eastAsia="zh-CN"/>
              </w:rPr>
              <w:t>-2,329***</w:t>
            </w:r>
          </w:p>
        </w:tc>
      </w:tr>
      <w:tr w:rsidR="00660C9A" w:rsidRPr="00A80FC1" w14:paraId="52314EA1" w14:textId="77777777" w:rsidTr="009A7559">
        <w:trPr>
          <w:jc w:val="center"/>
        </w:trPr>
        <w:tc>
          <w:tcPr>
            <w:tcW w:w="2811" w:type="dxa"/>
            <w:tcBorders>
              <w:top w:val="nil"/>
              <w:left w:val="nil"/>
              <w:bottom w:val="nil"/>
              <w:right w:val="nil"/>
            </w:tcBorders>
          </w:tcPr>
          <w:p w14:paraId="3B6F7F0D"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3F69DFC1" w14:textId="77777777" w:rsidR="00660C9A" w:rsidRPr="00A80FC1" w:rsidRDefault="00660C9A" w:rsidP="009A7559">
            <w:pPr>
              <w:pStyle w:val="NoSpacing"/>
              <w:rPr>
                <w:lang w:eastAsia="zh-CN"/>
              </w:rPr>
            </w:pPr>
            <w:r w:rsidRPr="00A80FC1">
              <w:rPr>
                <w:lang w:eastAsia="zh-CN"/>
              </w:rPr>
              <w:t>(0,578)</w:t>
            </w:r>
          </w:p>
        </w:tc>
        <w:tc>
          <w:tcPr>
            <w:tcW w:w="1584" w:type="dxa"/>
            <w:tcBorders>
              <w:top w:val="nil"/>
              <w:left w:val="nil"/>
              <w:bottom w:val="nil"/>
              <w:right w:val="nil"/>
            </w:tcBorders>
          </w:tcPr>
          <w:p w14:paraId="5BB9B445" w14:textId="77777777" w:rsidR="00660C9A" w:rsidRPr="00A80FC1" w:rsidRDefault="00660C9A" w:rsidP="009A7559">
            <w:pPr>
              <w:pStyle w:val="NoSpacing"/>
              <w:rPr>
                <w:lang w:eastAsia="zh-CN"/>
              </w:rPr>
            </w:pPr>
            <w:r w:rsidRPr="00A80FC1">
              <w:rPr>
                <w:lang w:eastAsia="zh-CN"/>
              </w:rPr>
              <w:t>(0,703)</w:t>
            </w:r>
          </w:p>
        </w:tc>
        <w:tc>
          <w:tcPr>
            <w:tcW w:w="1584" w:type="dxa"/>
            <w:tcBorders>
              <w:top w:val="nil"/>
              <w:left w:val="nil"/>
              <w:bottom w:val="nil"/>
              <w:right w:val="nil"/>
            </w:tcBorders>
          </w:tcPr>
          <w:p w14:paraId="7E45AE01" w14:textId="77777777" w:rsidR="00660C9A" w:rsidRPr="00A80FC1" w:rsidRDefault="00660C9A" w:rsidP="009A7559">
            <w:pPr>
              <w:pStyle w:val="NoSpacing"/>
              <w:rPr>
                <w:lang w:eastAsia="zh-CN"/>
              </w:rPr>
            </w:pPr>
            <w:r w:rsidRPr="00A80FC1">
              <w:rPr>
                <w:lang w:eastAsia="zh-CN"/>
              </w:rPr>
              <w:t>(0,703)</w:t>
            </w:r>
          </w:p>
        </w:tc>
      </w:tr>
      <w:tr w:rsidR="00660C9A" w:rsidRPr="00A80FC1" w14:paraId="5CEB5E03" w14:textId="77777777" w:rsidTr="009A7559">
        <w:trPr>
          <w:jc w:val="center"/>
        </w:trPr>
        <w:tc>
          <w:tcPr>
            <w:tcW w:w="2811" w:type="dxa"/>
            <w:tcBorders>
              <w:top w:val="nil"/>
              <w:left w:val="nil"/>
              <w:bottom w:val="nil"/>
              <w:right w:val="nil"/>
            </w:tcBorders>
          </w:tcPr>
          <w:p w14:paraId="48A2507A"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15F637EF"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21CC769C"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3BEF0DA6" w14:textId="77777777" w:rsidR="00660C9A" w:rsidRPr="00A80FC1" w:rsidRDefault="00660C9A" w:rsidP="009A7559">
            <w:pPr>
              <w:pStyle w:val="NoSpacing"/>
              <w:rPr>
                <w:lang w:eastAsia="zh-CN"/>
              </w:rPr>
            </w:pPr>
          </w:p>
        </w:tc>
      </w:tr>
      <w:tr w:rsidR="00660C9A" w:rsidRPr="00A80FC1" w14:paraId="336506A5" w14:textId="77777777" w:rsidTr="009A7559">
        <w:trPr>
          <w:jc w:val="center"/>
        </w:trPr>
        <w:tc>
          <w:tcPr>
            <w:tcW w:w="2811" w:type="dxa"/>
            <w:tcBorders>
              <w:top w:val="nil"/>
              <w:left w:val="nil"/>
              <w:bottom w:val="nil"/>
              <w:right w:val="nil"/>
            </w:tcBorders>
          </w:tcPr>
          <w:p w14:paraId="4C828895" w14:textId="77777777" w:rsidR="00660C9A" w:rsidRPr="00A80FC1" w:rsidRDefault="00660C9A" w:rsidP="009A7559">
            <w:pPr>
              <w:pStyle w:val="NoSpacing"/>
              <w:rPr>
                <w:lang w:eastAsia="zh-CN"/>
              </w:rPr>
            </w:pPr>
            <w:r w:rsidRPr="00A80FC1">
              <w:rPr>
                <w:lang w:eastAsia="zh-CN"/>
              </w:rPr>
              <w:t>Observations</w:t>
            </w:r>
          </w:p>
        </w:tc>
        <w:tc>
          <w:tcPr>
            <w:tcW w:w="1872" w:type="dxa"/>
            <w:tcBorders>
              <w:top w:val="nil"/>
              <w:left w:val="nil"/>
              <w:bottom w:val="nil"/>
              <w:right w:val="nil"/>
            </w:tcBorders>
          </w:tcPr>
          <w:p w14:paraId="46BEA0C2" w14:textId="77777777" w:rsidR="00660C9A" w:rsidRPr="00A80FC1" w:rsidRDefault="00660C9A" w:rsidP="009A7559">
            <w:pPr>
              <w:pStyle w:val="NoSpacing"/>
              <w:rPr>
                <w:lang w:eastAsia="zh-CN"/>
              </w:rPr>
            </w:pPr>
            <w:r w:rsidRPr="00A80FC1">
              <w:rPr>
                <w:lang w:eastAsia="zh-CN"/>
              </w:rPr>
              <w:t>303</w:t>
            </w:r>
          </w:p>
        </w:tc>
        <w:tc>
          <w:tcPr>
            <w:tcW w:w="1584" w:type="dxa"/>
            <w:tcBorders>
              <w:top w:val="nil"/>
              <w:left w:val="nil"/>
              <w:bottom w:val="nil"/>
              <w:right w:val="nil"/>
            </w:tcBorders>
          </w:tcPr>
          <w:p w14:paraId="1A2A0A25" w14:textId="77777777" w:rsidR="00660C9A" w:rsidRPr="00A80FC1" w:rsidRDefault="00660C9A" w:rsidP="009A7559">
            <w:pPr>
              <w:pStyle w:val="NoSpacing"/>
              <w:rPr>
                <w:lang w:eastAsia="zh-CN"/>
              </w:rPr>
            </w:pPr>
            <w:r w:rsidRPr="00A80FC1">
              <w:rPr>
                <w:lang w:eastAsia="zh-CN"/>
              </w:rPr>
              <w:t>297</w:t>
            </w:r>
          </w:p>
        </w:tc>
        <w:tc>
          <w:tcPr>
            <w:tcW w:w="1584" w:type="dxa"/>
            <w:tcBorders>
              <w:top w:val="nil"/>
              <w:left w:val="nil"/>
              <w:bottom w:val="nil"/>
              <w:right w:val="nil"/>
            </w:tcBorders>
          </w:tcPr>
          <w:p w14:paraId="59D3F4D9" w14:textId="77777777" w:rsidR="00660C9A" w:rsidRPr="00A80FC1" w:rsidRDefault="00660C9A" w:rsidP="009A7559">
            <w:pPr>
              <w:pStyle w:val="NoSpacing"/>
              <w:rPr>
                <w:lang w:eastAsia="zh-CN"/>
              </w:rPr>
            </w:pPr>
            <w:r w:rsidRPr="00A80FC1">
              <w:rPr>
                <w:lang w:eastAsia="zh-CN"/>
              </w:rPr>
              <w:t>297</w:t>
            </w:r>
          </w:p>
        </w:tc>
      </w:tr>
      <w:tr w:rsidR="00660C9A" w:rsidRPr="00A80FC1" w14:paraId="19EC7827" w14:textId="77777777" w:rsidTr="009A7559">
        <w:trPr>
          <w:jc w:val="center"/>
        </w:trPr>
        <w:tc>
          <w:tcPr>
            <w:tcW w:w="2811" w:type="dxa"/>
            <w:tcBorders>
              <w:top w:val="nil"/>
              <w:left w:val="nil"/>
              <w:bottom w:val="nil"/>
              <w:right w:val="nil"/>
            </w:tcBorders>
          </w:tcPr>
          <w:p w14:paraId="45BCAB4D" w14:textId="77777777" w:rsidR="00660C9A" w:rsidRPr="00A80FC1" w:rsidRDefault="00660C9A" w:rsidP="009A7559">
            <w:pPr>
              <w:pStyle w:val="NoSpacing"/>
              <w:rPr>
                <w:lang w:eastAsia="zh-CN"/>
              </w:rPr>
            </w:pPr>
            <w:r w:rsidRPr="00A80FC1">
              <w:rPr>
                <w:lang w:eastAsia="zh-CN"/>
              </w:rPr>
              <w:t>R-</w:t>
            </w:r>
            <w:proofErr w:type="spellStart"/>
            <w:r w:rsidRPr="00A80FC1">
              <w:rPr>
                <w:lang w:eastAsia="zh-CN"/>
              </w:rPr>
              <w:t>squared</w:t>
            </w:r>
            <w:proofErr w:type="spellEnd"/>
          </w:p>
        </w:tc>
        <w:tc>
          <w:tcPr>
            <w:tcW w:w="1872" w:type="dxa"/>
            <w:tcBorders>
              <w:top w:val="nil"/>
              <w:left w:val="nil"/>
              <w:bottom w:val="nil"/>
              <w:right w:val="nil"/>
            </w:tcBorders>
          </w:tcPr>
          <w:p w14:paraId="72048E20" w14:textId="77777777" w:rsidR="00660C9A" w:rsidRPr="00A80FC1" w:rsidRDefault="00660C9A" w:rsidP="009A7559">
            <w:pPr>
              <w:pStyle w:val="NoSpacing"/>
              <w:rPr>
                <w:lang w:eastAsia="zh-CN"/>
              </w:rPr>
            </w:pPr>
            <w:r w:rsidRPr="00A80FC1">
              <w:rPr>
                <w:lang w:eastAsia="zh-CN"/>
              </w:rPr>
              <w:t>0,343</w:t>
            </w:r>
          </w:p>
        </w:tc>
        <w:tc>
          <w:tcPr>
            <w:tcW w:w="1584" w:type="dxa"/>
            <w:tcBorders>
              <w:top w:val="nil"/>
              <w:left w:val="nil"/>
              <w:bottom w:val="nil"/>
              <w:right w:val="nil"/>
            </w:tcBorders>
          </w:tcPr>
          <w:p w14:paraId="33CD43B5" w14:textId="77777777" w:rsidR="00660C9A" w:rsidRPr="00A80FC1" w:rsidRDefault="00660C9A" w:rsidP="009A7559">
            <w:pPr>
              <w:pStyle w:val="NoSpacing"/>
              <w:rPr>
                <w:lang w:eastAsia="zh-CN"/>
              </w:rPr>
            </w:pPr>
            <w:r w:rsidRPr="00A80FC1">
              <w:rPr>
                <w:lang w:eastAsia="zh-CN"/>
              </w:rPr>
              <w:t>0,232</w:t>
            </w:r>
          </w:p>
        </w:tc>
        <w:tc>
          <w:tcPr>
            <w:tcW w:w="1584" w:type="dxa"/>
            <w:tcBorders>
              <w:top w:val="nil"/>
              <w:left w:val="nil"/>
              <w:bottom w:val="nil"/>
              <w:right w:val="nil"/>
            </w:tcBorders>
          </w:tcPr>
          <w:p w14:paraId="64AB47C0" w14:textId="77777777" w:rsidR="00660C9A" w:rsidRPr="00A80FC1" w:rsidRDefault="00660C9A" w:rsidP="009A7559">
            <w:pPr>
              <w:pStyle w:val="NoSpacing"/>
              <w:rPr>
                <w:lang w:eastAsia="zh-CN"/>
              </w:rPr>
            </w:pPr>
            <w:r w:rsidRPr="00A80FC1">
              <w:rPr>
                <w:lang w:eastAsia="zh-CN"/>
              </w:rPr>
              <w:t>0,232</w:t>
            </w:r>
          </w:p>
        </w:tc>
      </w:tr>
      <w:tr w:rsidR="00660C9A" w:rsidRPr="00A80FC1" w14:paraId="7570D4DC" w14:textId="77777777" w:rsidTr="009A7559">
        <w:tblPrEx>
          <w:tblBorders>
            <w:bottom w:val="single" w:sz="6" w:space="0" w:color="auto"/>
          </w:tblBorders>
        </w:tblPrEx>
        <w:trPr>
          <w:jc w:val="center"/>
        </w:trPr>
        <w:tc>
          <w:tcPr>
            <w:tcW w:w="2811" w:type="dxa"/>
            <w:tcBorders>
              <w:top w:val="nil"/>
              <w:left w:val="nil"/>
              <w:bottom w:val="single" w:sz="6" w:space="0" w:color="auto"/>
              <w:right w:val="nil"/>
            </w:tcBorders>
          </w:tcPr>
          <w:p w14:paraId="1FCA3D1F" w14:textId="77777777" w:rsidR="00660C9A" w:rsidRPr="00A80FC1" w:rsidRDefault="00660C9A" w:rsidP="009A7559">
            <w:pPr>
              <w:pStyle w:val="NoSpacing"/>
              <w:rPr>
                <w:lang w:eastAsia="zh-CN"/>
              </w:rPr>
            </w:pPr>
            <w:proofErr w:type="spellStart"/>
            <w:r w:rsidRPr="00A80FC1">
              <w:rPr>
                <w:lang w:eastAsia="zh-CN"/>
              </w:rPr>
              <w:t>Number</w:t>
            </w:r>
            <w:proofErr w:type="spellEnd"/>
            <w:r w:rsidRPr="00A80FC1">
              <w:rPr>
                <w:lang w:eastAsia="zh-CN"/>
              </w:rPr>
              <w:t xml:space="preserve"> of </w:t>
            </w:r>
            <w:proofErr w:type="spellStart"/>
            <w:r w:rsidRPr="00A80FC1">
              <w:rPr>
                <w:lang w:eastAsia="zh-CN"/>
              </w:rPr>
              <w:t>Nom_pays</w:t>
            </w:r>
            <w:proofErr w:type="spellEnd"/>
          </w:p>
        </w:tc>
        <w:tc>
          <w:tcPr>
            <w:tcW w:w="1872" w:type="dxa"/>
            <w:tcBorders>
              <w:top w:val="nil"/>
              <w:left w:val="nil"/>
              <w:bottom w:val="single" w:sz="6" w:space="0" w:color="auto"/>
              <w:right w:val="nil"/>
            </w:tcBorders>
          </w:tcPr>
          <w:p w14:paraId="2C9796A5" w14:textId="77777777" w:rsidR="00660C9A" w:rsidRPr="00A80FC1" w:rsidRDefault="00660C9A" w:rsidP="009A7559">
            <w:pPr>
              <w:pStyle w:val="NoSpacing"/>
              <w:rPr>
                <w:lang w:eastAsia="zh-CN"/>
              </w:rPr>
            </w:pPr>
            <w:r w:rsidRPr="00A80FC1">
              <w:rPr>
                <w:lang w:eastAsia="zh-CN"/>
              </w:rPr>
              <w:t>12</w:t>
            </w:r>
          </w:p>
        </w:tc>
        <w:tc>
          <w:tcPr>
            <w:tcW w:w="1584" w:type="dxa"/>
            <w:tcBorders>
              <w:top w:val="nil"/>
              <w:left w:val="nil"/>
              <w:bottom w:val="single" w:sz="6" w:space="0" w:color="auto"/>
              <w:right w:val="nil"/>
            </w:tcBorders>
          </w:tcPr>
          <w:p w14:paraId="4E7AFD40" w14:textId="77777777" w:rsidR="00660C9A" w:rsidRPr="00A80FC1" w:rsidRDefault="00660C9A" w:rsidP="009A7559">
            <w:pPr>
              <w:pStyle w:val="NoSpacing"/>
              <w:rPr>
                <w:lang w:eastAsia="zh-CN"/>
              </w:rPr>
            </w:pPr>
            <w:r w:rsidRPr="00A80FC1">
              <w:rPr>
                <w:lang w:eastAsia="zh-CN"/>
              </w:rPr>
              <w:t>12</w:t>
            </w:r>
          </w:p>
        </w:tc>
        <w:tc>
          <w:tcPr>
            <w:tcW w:w="1584" w:type="dxa"/>
            <w:tcBorders>
              <w:top w:val="nil"/>
              <w:left w:val="nil"/>
              <w:bottom w:val="single" w:sz="6" w:space="0" w:color="auto"/>
              <w:right w:val="nil"/>
            </w:tcBorders>
          </w:tcPr>
          <w:p w14:paraId="5F525AC3" w14:textId="77777777" w:rsidR="00660C9A" w:rsidRPr="00A80FC1" w:rsidRDefault="00660C9A" w:rsidP="009A7559">
            <w:pPr>
              <w:pStyle w:val="NoSpacing"/>
              <w:rPr>
                <w:lang w:eastAsia="zh-CN"/>
              </w:rPr>
            </w:pPr>
            <w:r w:rsidRPr="00A80FC1">
              <w:rPr>
                <w:lang w:eastAsia="zh-CN"/>
              </w:rPr>
              <w:t>12</w:t>
            </w:r>
          </w:p>
        </w:tc>
      </w:tr>
    </w:tbl>
    <w:p w14:paraId="04A2FCF4" w14:textId="77777777" w:rsidR="00660C9A" w:rsidRPr="00A80FC1" w:rsidRDefault="00660C9A" w:rsidP="00660C9A">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xml:space="preserve">Standard </w:t>
      </w:r>
      <w:proofErr w:type="spellStart"/>
      <w:r w:rsidRPr="00A80FC1">
        <w:rPr>
          <w:rFonts w:ascii="Times New Roman" w:eastAsia="SimSun" w:hAnsi="Times New Roman" w:cs="Times New Roman"/>
          <w:sz w:val="24"/>
          <w:lang w:eastAsia="zh-CN"/>
        </w:rPr>
        <w:t>errors</w:t>
      </w:r>
      <w:proofErr w:type="spellEnd"/>
      <w:r w:rsidRPr="00A80FC1">
        <w:rPr>
          <w:rFonts w:ascii="Times New Roman" w:eastAsia="SimSun" w:hAnsi="Times New Roman" w:cs="Times New Roman"/>
          <w:sz w:val="24"/>
          <w:lang w:eastAsia="zh-CN"/>
        </w:rPr>
        <w:t xml:space="preserve"> in </w:t>
      </w:r>
      <w:proofErr w:type="spellStart"/>
      <w:r w:rsidRPr="00A80FC1">
        <w:rPr>
          <w:rFonts w:ascii="Times New Roman" w:eastAsia="SimSun" w:hAnsi="Times New Roman" w:cs="Times New Roman"/>
          <w:sz w:val="24"/>
          <w:lang w:eastAsia="zh-CN"/>
        </w:rPr>
        <w:t>parentheses</w:t>
      </w:r>
      <w:proofErr w:type="spellEnd"/>
    </w:p>
    <w:p w14:paraId="7BCEC805" w14:textId="77777777" w:rsidR="00660C9A" w:rsidRPr="00A80FC1" w:rsidRDefault="00660C9A" w:rsidP="00660C9A">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p&lt;0.01, ** p&lt;0.05, * p&lt;0.1</w:t>
      </w:r>
    </w:p>
    <w:p w14:paraId="3D8F7983" w14:textId="77777777" w:rsidR="00660C9A" w:rsidRPr="00660C9A" w:rsidRDefault="00660C9A" w:rsidP="00660C9A">
      <w:pPr>
        <w:spacing w:line="240" w:lineRule="auto"/>
        <w:jc w:val="both"/>
        <w:rPr>
          <w:rFonts w:ascii="Times New Roman" w:eastAsia="SimSun" w:hAnsi="Times New Roman" w:cs="Times New Roman"/>
          <w:sz w:val="24"/>
          <w:lang w:val="en-US" w:eastAsia="zh-CN"/>
        </w:rPr>
      </w:pPr>
    </w:p>
    <w:p w14:paraId="7FEFA355" w14:textId="5CF24B41" w:rsidR="00F463DE" w:rsidRDefault="00660C9A" w:rsidP="00660C9A">
      <w:pPr>
        <w:pStyle w:val="font-claude-response-body"/>
        <w:jc w:val="both"/>
        <w:rPr>
          <w:lang w:val="en-US"/>
        </w:rPr>
      </w:pPr>
      <w:r w:rsidRPr="00660C9A">
        <w:rPr>
          <w:lang w:val="en-US"/>
        </w:rPr>
        <w:t>Consequently, capital does not appear to function as an automatic and fluid adjustment mechanism serving the monetary union. Its mobility is heterogeneous (as shown in Figure 3) and driven by rent-seeking and market logics rather than by arbitrage aimed at balancing shocks among member countries (as suggested by Table 7). A negative asymmetric shock in a small, resource-poor country will not necessarily attract capital to compensate, as investors will be more sensitive to market size and sector of activity than to seeking convergence opportunities. In this respect, capital mobility in the Franc Zone only very partially validates Mundell's criterion.</w:t>
      </w:r>
    </w:p>
    <w:p w14:paraId="75F00AED" w14:textId="77777777" w:rsidR="00660C9A" w:rsidRPr="00660C9A" w:rsidRDefault="00660C9A" w:rsidP="00660C9A">
      <w:pPr>
        <w:pStyle w:val="font-claude-response-body"/>
        <w:rPr>
          <w:lang w:val="en-US"/>
        </w:rPr>
      </w:pPr>
      <w:r w:rsidRPr="00660C9A">
        <w:rPr>
          <w:rStyle w:val="Strong"/>
          <w:lang w:val="en-US"/>
        </w:rPr>
        <w:t>2.1.2. Results on the Degree of Openness: Confirmation of the Highly Open Nature of Member Economies, Partially Validating McKinnon's Criterion</w:t>
      </w:r>
    </w:p>
    <w:p w14:paraId="14E01D63" w14:textId="77777777" w:rsidR="00660C9A" w:rsidRDefault="00660C9A" w:rsidP="00660C9A">
      <w:pPr>
        <w:pStyle w:val="font-claude-response-body"/>
        <w:jc w:val="both"/>
        <w:rPr>
          <w:lang w:val="en-US"/>
        </w:rPr>
      </w:pPr>
      <w:r w:rsidRPr="00660C9A">
        <w:rPr>
          <w:lang w:val="en-US"/>
        </w:rPr>
        <w:t>This subsection aims to assess McKinnon's criterion, according to which small, highly open economies derive greater benefits from a fixed exchange rate regime. The analysis robustly confirms that Franc Zone countries indeed exhibit the characteristics of small open economies, partially validating this fundamental criterion.</w:t>
      </w:r>
    </w:p>
    <w:p w14:paraId="479A798A" w14:textId="796E9810" w:rsidR="00660C9A" w:rsidRPr="00660C9A" w:rsidRDefault="00660C9A" w:rsidP="00660C9A">
      <w:pPr>
        <w:pStyle w:val="Caption"/>
        <w:rPr>
          <w:rFonts w:ascii="Times New Roman" w:eastAsia="SimSun" w:hAnsi="Times New Roman" w:cs="Times New Roman"/>
          <w:i w:val="0"/>
          <w:color w:val="000000" w:themeColor="text1"/>
          <w:sz w:val="24"/>
          <w:szCs w:val="24"/>
          <w:lang w:val="en-US" w:eastAsia="zh-CN"/>
        </w:rPr>
      </w:pPr>
      <w:bookmarkStart w:id="11" w:name="_Toc215577686"/>
      <w:r w:rsidRPr="00660C9A">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660C9A">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660C9A">
        <w:rPr>
          <w:rFonts w:ascii="Times New Roman" w:hAnsi="Times New Roman" w:cs="Times New Roman"/>
          <w:b/>
          <w:i w:val="0"/>
          <w:noProof/>
          <w:color w:val="000000" w:themeColor="text1"/>
          <w:sz w:val="24"/>
          <w:szCs w:val="24"/>
          <w:lang w:val="en-US"/>
        </w:rPr>
        <w:t>8</w:t>
      </w:r>
      <w:r w:rsidRPr="00603361">
        <w:rPr>
          <w:rFonts w:ascii="Times New Roman" w:hAnsi="Times New Roman" w:cs="Times New Roman"/>
          <w:b/>
          <w:i w:val="0"/>
          <w:color w:val="000000" w:themeColor="text1"/>
          <w:sz w:val="24"/>
          <w:szCs w:val="24"/>
        </w:rPr>
        <w:fldChar w:fldCharType="end"/>
      </w:r>
      <w:r w:rsidRPr="00660C9A">
        <w:rPr>
          <w:rFonts w:ascii="Times New Roman" w:eastAsia="SimSun" w:hAnsi="Times New Roman" w:cs="Times New Roman"/>
          <w:i w:val="0"/>
          <w:color w:val="000000" w:themeColor="text1"/>
          <w:sz w:val="24"/>
          <w:szCs w:val="24"/>
          <w:lang w:val="en-US" w:eastAsia="zh-CN"/>
        </w:rPr>
        <w:t xml:space="preserve">: </w:t>
      </w:r>
      <w:bookmarkEnd w:id="11"/>
      <w:r w:rsidRPr="00660C9A">
        <w:rPr>
          <w:rFonts w:ascii="Times New Roman" w:eastAsia="SimSun" w:hAnsi="Times New Roman" w:cs="Times New Roman"/>
          <w:i w:val="0"/>
          <w:color w:val="000000" w:themeColor="text1"/>
          <w:sz w:val="24"/>
          <w:szCs w:val="24"/>
          <w:lang w:val="en-US" w:eastAsia="zh-CN"/>
        </w:rPr>
        <w:t>comparative analysis of the degree of openness with other groups of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973"/>
        <w:gridCol w:w="1973"/>
        <w:gridCol w:w="1973"/>
      </w:tblGrid>
      <w:tr w:rsidR="00660C9A" w:rsidRPr="00A80FC1" w14:paraId="2F1CFEE8" w14:textId="77777777" w:rsidTr="009A7559">
        <w:trPr>
          <w:trHeight w:val="252"/>
        </w:trPr>
        <w:tc>
          <w:tcPr>
            <w:tcW w:w="1973" w:type="dxa"/>
            <w:noWrap/>
            <w:hideMark/>
          </w:tcPr>
          <w:p w14:paraId="0C357615" w14:textId="37EA998D" w:rsidR="00660C9A" w:rsidRPr="00A80FC1" w:rsidRDefault="00660C9A" w:rsidP="009A7559">
            <w:pPr>
              <w:pStyle w:val="NoSpacing"/>
              <w:rPr>
                <w:lang w:eastAsia="zh-CN"/>
              </w:rPr>
            </w:pPr>
            <w:r w:rsidRPr="00A80FC1">
              <w:rPr>
                <w:lang w:eastAsia="zh-CN"/>
              </w:rPr>
              <w:t xml:space="preserve">Group       </w:t>
            </w:r>
            <w:proofErr w:type="spellStart"/>
            <w:r w:rsidRPr="00A80FC1">
              <w:rPr>
                <w:lang w:eastAsia="zh-CN"/>
              </w:rPr>
              <w:t>mean</w:t>
            </w:r>
            <w:proofErr w:type="spellEnd"/>
          </w:p>
        </w:tc>
        <w:tc>
          <w:tcPr>
            <w:tcW w:w="1973" w:type="dxa"/>
            <w:noWrap/>
            <w:hideMark/>
          </w:tcPr>
          <w:p w14:paraId="79FFBA06" w14:textId="77777777" w:rsidR="00660C9A" w:rsidRPr="00A80FC1" w:rsidRDefault="00660C9A" w:rsidP="009A7559">
            <w:pPr>
              <w:pStyle w:val="NoSpacing"/>
              <w:rPr>
                <w:lang w:eastAsia="zh-CN"/>
              </w:rPr>
            </w:pPr>
            <w:proofErr w:type="spellStart"/>
            <w:proofErr w:type="gramStart"/>
            <w:r w:rsidRPr="00A80FC1">
              <w:rPr>
                <w:lang w:eastAsia="zh-CN"/>
              </w:rPr>
              <w:t>sd</w:t>
            </w:r>
            <w:proofErr w:type="spellEnd"/>
            <w:proofErr w:type="gramEnd"/>
          </w:p>
        </w:tc>
        <w:tc>
          <w:tcPr>
            <w:tcW w:w="1973" w:type="dxa"/>
            <w:noWrap/>
            <w:hideMark/>
          </w:tcPr>
          <w:p w14:paraId="6290736F" w14:textId="77777777" w:rsidR="00660C9A" w:rsidRPr="00A80FC1" w:rsidRDefault="00660C9A" w:rsidP="009A7559">
            <w:pPr>
              <w:pStyle w:val="NoSpacing"/>
              <w:rPr>
                <w:lang w:eastAsia="zh-CN"/>
              </w:rPr>
            </w:pPr>
            <w:r w:rsidRPr="00A80FC1">
              <w:rPr>
                <w:lang w:eastAsia="zh-CN"/>
              </w:rPr>
              <w:t>N</w:t>
            </w:r>
          </w:p>
        </w:tc>
        <w:tc>
          <w:tcPr>
            <w:tcW w:w="1973" w:type="dxa"/>
            <w:noWrap/>
            <w:hideMark/>
          </w:tcPr>
          <w:p w14:paraId="5AA961E2" w14:textId="77777777" w:rsidR="00660C9A" w:rsidRPr="00A80FC1" w:rsidRDefault="00660C9A" w:rsidP="009A7559">
            <w:pPr>
              <w:pStyle w:val="NoSpacing"/>
              <w:rPr>
                <w:lang w:eastAsia="zh-CN"/>
              </w:rPr>
            </w:pPr>
          </w:p>
        </w:tc>
      </w:tr>
      <w:tr w:rsidR="00660C9A" w:rsidRPr="00A80FC1" w14:paraId="08FD568D" w14:textId="77777777" w:rsidTr="009A7559">
        <w:trPr>
          <w:trHeight w:val="252"/>
        </w:trPr>
        <w:tc>
          <w:tcPr>
            <w:tcW w:w="1973" w:type="dxa"/>
            <w:noWrap/>
            <w:hideMark/>
          </w:tcPr>
          <w:p w14:paraId="066BE207" w14:textId="77777777" w:rsidR="00660C9A" w:rsidRPr="00A80FC1" w:rsidRDefault="00660C9A" w:rsidP="009A7559">
            <w:pPr>
              <w:pStyle w:val="NoSpacing"/>
              <w:rPr>
                <w:lang w:eastAsia="zh-CN"/>
              </w:rPr>
            </w:pPr>
            <w:r w:rsidRPr="00A80FC1">
              <w:rPr>
                <w:lang w:eastAsia="zh-CN"/>
              </w:rPr>
              <w:t>1</w:t>
            </w:r>
          </w:p>
        </w:tc>
        <w:tc>
          <w:tcPr>
            <w:tcW w:w="1973" w:type="dxa"/>
            <w:noWrap/>
            <w:hideMark/>
          </w:tcPr>
          <w:p w14:paraId="73CACE8D" w14:textId="77777777" w:rsidR="00660C9A" w:rsidRPr="00A80FC1" w:rsidRDefault="00660C9A" w:rsidP="009A7559">
            <w:pPr>
              <w:pStyle w:val="NoSpacing"/>
              <w:rPr>
                <w:lang w:eastAsia="zh-CN"/>
              </w:rPr>
            </w:pPr>
            <w:r w:rsidRPr="00A80FC1">
              <w:rPr>
                <w:lang w:eastAsia="zh-CN"/>
              </w:rPr>
              <w:t>0,0517274</w:t>
            </w:r>
          </w:p>
        </w:tc>
        <w:tc>
          <w:tcPr>
            <w:tcW w:w="1973" w:type="dxa"/>
            <w:noWrap/>
            <w:hideMark/>
          </w:tcPr>
          <w:p w14:paraId="4662F746" w14:textId="77777777" w:rsidR="00660C9A" w:rsidRPr="00A80FC1" w:rsidRDefault="00660C9A" w:rsidP="009A7559">
            <w:pPr>
              <w:pStyle w:val="NoSpacing"/>
              <w:rPr>
                <w:lang w:eastAsia="zh-CN"/>
              </w:rPr>
            </w:pPr>
            <w:r w:rsidRPr="00A80FC1">
              <w:rPr>
                <w:lang w:eastAsia="zh-CN"/>
              </w:rPr>
              <w:t>0,0292069</w:t>
            </w:r>
          </w:p>
        </w:tc>
        <w:tc>
          <w:tcPr>
            <w:tcW w:w="1973" w:type="dxa"/>
            <w:noWrap/>
            <w:hideMark/>
          </w:tcPr>
          <w:p w14:paraId="5DB5229A" w14:textId="77777777" w:rsidR="00660C9A" w:rsidRPr="00A80FC1" w:rsidRDefault="00660C9A" w:rsidP="009A7559">
            <w:pPr>
              <w:pStyle w:val="NoSpacing"/>
              <w:rPr>
                <w:lang w:eastAsia="zh-CN"/>
              </w:rPr>
            </w:pPr>
            <w:r w:rsidRPr="00A80FC1">
              <w:rPr>
                <w:lang w:eastAsia="zh-CN"/>
              </w:rPr>
              <w:t>303</w:t>
            </w:r>
          </w:p>
        </w:tc>
      </w:tr>
      <w:tr w:rsidR="00660C9A" w:rsidRPr="00A80FC1" w14:paraId="176B5671" w14:textId="77777777" w:rsidTr="009A7559">
        <w:trPr>
          <w:trHeight w:val="252"/>
        </w:trPr>
        <w:tc>
          <w:tcPr>
            <w:tcW w:w="1973" w:type="dxa"/>
            <w:noWrap/>
            <w:hideMark/>
          </w:tcPr>
          <w:p w14:paraId="79EE0236" w14:textId="77777777" w:rsidR="00660C9A" w:rsidRPr="00A80FC1" w:rsidRDefault="00660C9A" w:rsidP="009A7559">
            <w:pPr>
              <w:pStyle w:val="NoSpacing"/>
              <w:rPr>
                <w:lang w:eastAsia="zh-CN"/>
              </w:rPr>
            </w:pPr>
            <w:r w:rsidRPr="00A80FC1">
              <w:rPr>
                <w:lang w:eastAsia="zh-CN"/>
              </w:rPr>
              <w:t>2</w:t>
            </w:r>
          </w:p>
        </w:tc>
        <w:tc>
          <w:tcPr>
            <w:tcW w:w="1973" w:type="dxa"/>
            <w:noWrap/>
            <w:hideMark/>
          </w:tcPr>
          <w:p w14:paraId="3AD7CB27" w14:textId="77777777" w:rsidR="00660C9A" w:rsidRPr="00A80FC1" w:rsidRDefault="00660C9A" w:rsidP="009A7559">
            <w:pPr>
              <w:pStyle w:val="NoSpacing"/>
              <w:rPr>
                <w:lang w:eastAsia="zh-CN"/>
              </w:rPr>
            </w:pPr>
            <w:r w:rsidRPr="00A80FC1">
              <w:rPr>
                <w:lang w:eastAsia="zh-CN"/>
              </w:rPr>
              <w:t>0,004952</w:t>
            </w:r>
          </w:p>
        </w:tc>
        <w:tc>
          <w:tcPr>
            <w:tcW w:w="1973" w:type="dxa"/>
            <w:noWrap/>
            <w:hideMark/>
          </w:tcPr>
          <w:p w14:paraId="039962A0" w14:textId="77777777" w:rsidR="00660C9A" w:rsidRPr="00A80FC1" w:rsidRDefault="00660C9A" w:rsidP="009A7559">
            <w:pPr>
              <w:pStyle w:val="NoSpacing"/>
              <w:rPr>
                <w:lang w:eastAsia="zh-CN"/>
              </w:rPr>
            </w:pPr>
            <w:r w:rsidRPr="00A80FC1">
              <w:rPr>
                <w:lang w:eastAsia="zh-CN"/>
              </w:rPr>
              <w:t>0,0143121</w:t>
            </w:r>
          </w:p>
        </w:tc>
        <w:tc>
          <w:tcPr>
            <w:tcW w:w="1973" w:type="dxa"/>
            <w:noWrap/>
            <w:hideMark/>
          </w:tcPr>
          <w:p w14:paraId="2E69443B" w14:textId="77777777" w:rsidR="00660C9A" w:rsidRPr="00A80FC1" w:rsidRDefault="00660C9A" w:rsidP="009A7559">
            <w:pPr>
              <w:pStyle w:val="NoSpacing"/>
              <w:rPr>
                <w:lang w:eastAsia="zh-CN"/>
              </w:rPr>
            </w:pPr>
            <w:r w:rsidRPr="00A80FC1">
              <w:rPr>
                <w:lang w:eastAsia="zh-CN"/>
              </w:rPr>
              <w:t>253</w:t>
            </w:r>
          </w:p>
        </w:tc>
      </w:tr>
      <w:tr w:rsidR="00660C9A" w:rsidRPr="00A80FC1" w14:paraId="06A45F56" w14:textId="77777777" w:rsidTr="009A7559">
        <w:trPr>
          <w:trHeight w:val="252"/>
        </w:trPr>
        <w:tc>
          <w:tcPr>
            <w:tcW w:w="1973" w:type="dxa"/>
            <w:noWrap/>
            <w:hideMark/>
          </w:tcPr>
          <w:p w14:paraId="0BDFD9B6" w14:textId="77777777" w:rsidR="00660C9A" w:rsidRPr="00A80FC1" w:rsidRDefault="00660C9A" w:rsidP="009A7559">
            <w:pPr>
              <w:pStyle w:val="NoSpacing"/>
              <w:rPr>
                <w:lang w:eastAsia="zh-CN"/>
              </w:rPr>
            </w:pPr>
            <w:r w:rsidRPr="00A80FC1">
              <w:rPr>
                <w:lang w:eastAsia="zh-CN"/>
              </w:rPr>
              <w:t>3</w:t>
            </w:r>
          </w:p>
        </w:tc>
        <w:tc>
          <w:tcPr>
            <w:tcW w:w="1973" w:type="dxa"/>
            <w:noWrap/>
            <w:hideMark/>
          </w:tcPr>
          <w:p w14:paraId="25AFD87C" w14:textId="77777777" w:rsidR="00660C9A" w:rsidRPr="00A80FC1" w:rsidRDefault="00660C9A" w:rsidP="009A7559">
            <w:pPr>
              <w:pStyle w:val="NoSpacing"/>
              <w:rPr>
                <w:lang w:eastAsia="zh-CN"/>
              </w:rPr>
            </w:pPr>
            <w:r w:rsidRPr="00A80FC1">
              <w:rPr>
                <w:lang w:eastAsia="zh-CN"/>
              </w:rPr>
              <w:t>5,48e-09</w:t>
            </w:r>
          </w:p>
        </w:tc>
        <w:tc>
          <w:tcPr>
            <w:tcW w:w="1973" w:type="dxa"/>
            <w:noWrap/>
            <w:hideMark/>
          </w:tcPr>
          <w:p w14:paraId="6610DDD1" w14:textId="77777777" w:rsidR="00660C9A" w:rsidRPr="00A80FC1" w:rsidRDefault="00660C9A" w:rsidP="009A7559">
            <w:pPr>
              <w:pStyle w:val="NoSpacing"/>
              <w:rPr>
                <w:lang w:eastAsia="zh-CN"/>
              </w:rPr>
            </w:pPr>
            <w:r w:rsidRPr="00A80FC1">
              <w:rPr>
                <w:lang w:eastAsia="zh-CN"/>
              </w:rPr>
              <w:t>1,00e-08</w:t>
            </w:r>
          </w:p>
        </w:tc>
        <w:tc>
          <w:tcPr>
            <w:tcW w:w="1973" w:type="dxa"/>
            <w:noWrap/>
            <w:hideMark/>
          </w:tcPr>
          <w:p w14:paraId="301A93C9" w14:textId="77777777" w:rsidR="00660C9A" w:rsidRPr="00A80FC1" w:rsidRDefault="00660C9A" w:rsidP="009A7559">
            <w:pPr>
              <w:pStyle w:val="NoSpacing"/>
              <w:rPr>
                <w:lang w:eastAsia="zh-CN"/>
              </w:rPr>
            </w:pPr>
            <w:r w:rsidRPr="00A80FC1">
              <w:rPr>
                <w:lang w:eastAsia="zh-CN"/>
              </w:rPr>
              <w:t>100</w:t>
            </w:r>
          </w:p>
        </w:tc>
      </w:tr>
      <w:tr w:rsidR="00660C9A" w:rsidRPr="00A80FC1" w14:paraId="1F37431D" w14:textId="77777777" w:rsidTr="009A7559">
        <w:trPr>
          <w:trHeight w:val="252"/>
        </w:trPr>
        <w:tc>
          <w:tcPr>
            <w:tcW w:w="1973" w:type="dxa"/>
            <w:noWrap/>
            <w:hideMark/>
          </w:tcPr>
          <w:p w14:paraId="6AEA2D7F" w14:textId="77777777" w:rsidR="00660C9A" w:rsidRPr="00A80FC1" w:rsidRDefault="00660C9A" w:rsidP="009A7559">
            <w:pPr>
              <w:pStyle w:val="NoSpacing"/>
              <w:rPr>
                <w:lang w:eastAsia="zh-CN"/>
              </w:rPr>
            </w:pPr>
            <w:r w:rsidRPr="00A80FC1">
              <w:rPr>
                <w:lang w:eastAsia="zh-CN"/>
              </w:rPr>
              <w:t>4</w:t>
            </w:r>
          </w:p>
        </w:tc>
        <w:tc>
          <w:tcPr>
            <w:tcW w:w="1973" w:type="dxa"/>
            <w:noWrap/>
            <w:hideMark/>
          </w:tcPr>
          <w:p w14:paraId="34E05760" w14:textId="77777777" w:rsidR="00660C9A" w:rsidRPr="00A80FC1" w:rsidRDefault="00660C9A" w:rsidP="009A7559">
            <w:pPr>
              <w:pStyle w:val="NoSpacing"/>
              <w:rPr>
                <w:lang w:eastAsia="zh-CN"/>
              </w:rPr>
            </w:pPr>
            <w:r w:rsidRPr="00A80FC1">
              <w:rPr>
                <w:lang w:eastAsia="zh-CN"/>
              </w:rPr>
              <w:t>2,89e-08</w:t>
            </w:r>
          </w:p>
        </w:tc>
        <w:tc>
          <w:tcPr>
            <w:tcW w:w="1973" w:type="dxa"/>
            <w:noWrap/>
            <w:hideMark/>
          </w:tcPr>
          <w:p w14:paraId="1D84C9A1" w14:textId="77777777" w:rsidR="00660C9A" w:rsidRPr="00A80FC1" w:rsidRDefault="00660C9A" w:rsidP="009A7559">
            <w:pPr>
              <w:pStyle w:val="NoSpacing"/>
              <w:rPr>
                <w:lang w:eastAsia="zh-CN"/>
              </w:rPr>
            </w:pPr>
            <w:r w:rsidRPr="00A80FC1">
              <w:rPr>
                <w:lang w:eastAsia="zh-CN"/>
              </w:rPr>
              <w:t>3,43e-08</w:t>
            </w:r>
          </w:p>
        </w:tc>
        <w:tc>
          <w:tcPr>
            <w:tcW w:w="1973" w:type="dxa"/>
            <w:noWrap/>
            <w:hideMark/>
          </w:tcPr>
          <w:p w14:paraId="0A37F178" w14:textId="77777777" w:rsidR="00660C9A" w:rsidRPr="00A80FC1" w:rsidRDefault="00660C9A" w:rsidP="009A7559">
            <w:pPr>
              <w:pStyle w:val="NoSpacing"/>
              <w:rPr>
                <w:lang w:eastAsia="zh-CN"/>
              </w:rPr>
            </w:pPr>
            <w:r w:rsidRPr="00A80FC1">
              <w:rPr>
                <w:lang w:eastAsia="zh-CN"/>
              </w:rPr>
              <w:t>97</w:t>
            </w:r>
          </w:p>
        </w:tc>
      </w:tr>
      <w:tr w:rsidR="00660C9A" w:rsidRPr="00A80FC1" w14:paraId="4F645AE0" w14:textId="77777777" w:rsidTr="009A7559">
        <w:trPr>
          <w:trHeight w:val="252"/>
        </w:trPr>
        <w:tc>
          <w:tcPr>
            <w:tcW w:w="1973" w:type="dxa"/>
            <w:noWrap/>
            <w:hideMark/>
          </w:tcPr>
          <w:p w14:paraId="2616840E" w14:textId="77777777" w:rsidR="00660C9A" w:rsidRPr="00A80FC1" w:rsidRDefault="00660C9A" w:rsidP="009A7559">
            <w:pPr>
              <w:pStyle w:val="NoSpacing"/>
              <w:rPr>
                <w:lang w:eastAsia="zh-CN"/>
              </w:rPr>
            </w:pPr>
            <w:r w:rsidRPr="00A80FC1">
              <w:rPr>
                <w:lang w:eastAsia="zh-CN"/>
              </w:rPr>
              <w:t>Total</w:t>
            </w:r>
          </w:p>
        </w:tc>
        <w:tc>
          <w:tcPr>
            <w:tcW w:w="1973" w:type="dxa"/>
            <w:noWrap/>
            <w:hideMark/>
          </w:tcPr>
          <w:p w14:paraId="48D4E2BB" w14:textId="77777777" w:rsidR="00660C9A" w:rsidRPr="00A80FC1" w:rsidRDefault="00660C9A" w:rsidP="009A7559">
            <w:pPr>
              <w:pStyle w:val="NoSpacing"/>
              <w:rPr>
                <w:lang w:eastAsia="zh-CN"/>
              </w:rPr>
            </w:pPr>
            <w:r w:rsidRPr="00A80FC1">
              <w:rPr>
                <w:lang w:eastAsia="zh-CN"/>
              </w:rPr>
              <w:t>0,0224784</w:t>
            </w:r>
          </w:p>
        </w:tc>
        <w:tc>
          <w:tcPr>
            <w:tcW w:w="1973" w:type="dxa"/>
            <w:noWrap/>
            <w:hideMark/>
          </w:tcPr>
          <w:p w14:paraId="2A0AEB03" w14:textId="77777777" w:rsidR="00660C9A" w:rsidRPr="00A80FC1" w:rsidRDefault="00660C9A" w:rsidP="009A7559">
            <w:pPr>
              <w:pStyle w:val="NoSpacing"/>
              <w:rPr>
                <w:lang w:eastAsia="zh-CN"/>
              </w:rPr>
            </w:pPr>
            <w:r w:rsidRPr="00A80FC1">
              <w:rPr>
                <w:lang w:eastAsia="zh-CN"/>
              </w:rPr>
              <w:t>0,0314902</w:t>
            </w:r>
          </w:p>
        </w:tc>
        <w:tc>
          <w:tcPr>
            <w:tcW w:w="1973" w:type="dxa"/>
            <w:noWrap/>
            <w:hideMark/>
          </w:tcPr>
          <w:p w14:paraId="7FE6AC13" w14:textId="77777777" w:rsidR="00660C9A" w:rsidRPr="00A80FC1" w:rsidRDefault="00660C9A" w:rsidP="009A7559">
            <w:pPr>
              <w:pStyle w:val="NoSpacing"/>
              <w:rPr>
                <w:lang w:eastAsia="zh-CN"/>
              </w:rPr>
            </w:pPr>
            <w:r w:rsidRPr="00A80FC1">
              <w:rPr>
                <w:lang w:eastAsia="zh-CN"/>
              </w:rPr>
              <w:t>753</w:t>
            </w:r>
          </w:p>
        </w:tc>
      </w:tr>
    </w:tbl>
    <w:p w14:paraId="7E596C3E" w14:textId="0717D247" w:rsidR="00660C9A" w:rsidRPr="00E5191E" w:rsidRDefault="00E5191E" w:rsidP="00660C9A">
      <w:pPr>
        <w:pStyle w:val="font-claude-response-body"/>
        <w:jc w:val="both"/>
        <w:rPr>
          <w:lang w:val="en-US"/>
        </w:rPr>
      </w:pPr>
      <w:r w:rsidRPr="00E5191E">
        <w:rPr>
          <w:lang w:val="en-US"/>
        </w:rPr>
        <w:t>Table 8 provides an initial descriptive comparison of the degree of trade openness (measured by the (X+M)/GDP ratio) across different country groups. It shows that Group 1, comprising the Franc Zone countries, displays a substantially higher average openness ratio (approximately 0.052) than the other groups, notably Group 2 (0.005). The large standard deviation within Group 1, however, indicates some heterogeneity among zone members.</w:t>
      </w:r>
    </w:p>
    <w:p w14:paraId="2BB8A74A" w14:textId="1DEB1BCF" w:rsidR="00E5191E" w:rsidRPr="00603361" w:rsidRDefault="00E5191E" w:rsidP="00E5191E">
      <w:pPr>
        <w:pStyle w:val="Caption"/>
        <w:rPr>
          <w:rFonts w:ascii="Times New Roman" w:eastAsia="SimSun" w:hAnsi="Times New Roman" w:cs="Times New Roman"/>
          <w:i w:val="0"/>
          <w:color w:val="000000" w:themeColor="text1"/>
          <w:sz w:val="24"/>
          <w:szCs w:val="24"/>
          <w:lang w:eastAsia="zh-CN"/>
        </w:rPr>
      </w:pPr>
      <w:bookmarkStart w:id="12" w:name="_Toc215577687"/>
      <w:r w:rsidRPr="00603361">
        <w:rPr>
          <w:rFonts w:ascii="Times New Roman" w:hAnsi="Times New Roman" w:cs="Times New Roman"/>
          <w:b/>
          <w:i w:val="0"/>
          <w:color w:val="000000" w:themeColor="text1"/>
          <w:sz w:val="24"/>
          <w:szCs w:val="24"/>
        </w:rPr>
        <w:t xml:space="preserve">Table </w:t>
      </w:r>
      <w:r w:rsidRPr="00603361">
        <w:rPr>
          <w:rFonts w:ascii="Times New Roman" w:hAnsi="Times New Roman" w:cs="Times New Roman"/>
          <w:b/>
          <w:i w:val="0"/>
          <w:color w:val="000000" w:themeColor="text1"/>
          <w:sz w:val="24"/>
          <w:szCs w:val="24"/>
        </w:rPr>
        <w:fldChar w:fldCharType="begin"/>
      </w:r>
      <w:r w:rsidRPr="00603361">
        <w:rPr>
          <w:rFonts w:ascii="Times New Roman" w:hAnsi="Times New Roman" w:cs="Times New Roman"/>
          <w:b/>
          <w:i w:val="0"/>
          <w:color w:val="000000" w:themeColor="text1"/>
          <w:sz w:val="24"/>
          <w:szCs w:val="24"/>
        </w:rPr>
        <w:instrText xml:space="preserve"> SEQ Tableau \* ARABIC </w:instrText>
      </w:r>
      <w:r w:rsidRPr="00603361">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9</w:t>
      </w:r>
      <w:r w:rsidRPr="00603361">
        <w:rPr>
          <w:rFonts w:ascii="Times New Roman" w:hAnsi="Times New Roman" w:cs="Times New Roman"/>
          <w:b/>
          <w:i w:val="0"/>
          <w:color w:val="000000" w:themeColor="text1"/>
          <w:sz w:val="24"/>
          <w:szCs w:val="24"/>
        </w:rPr>
        <w:fldChar w:fldCharType="end"/>
      </w:r>
      <w:r w:rsidRPr="00603361">
        <w:rPr>
          <w:rFonts w:ascii="Times New Roman" w:eastAsia="SimSun" w:hAnsi="Times New Roman" w:cs="Times New Roman"/>
          <w:i w:val="0"/>
          <w:color w:val="000000" w:themeColor="text1"/>
          <w:sz w:val="24"/>
          <w:szCs w:val="24"/>
          <w:lang w:eastAsia="zh-CN"/>
        </w:rPr>
        <w:t xml:space="preserve">: </w:t>
      </w:r>
      <w:bookmarkEnd w:id="12"/>
      <w:proofErr w:type="spellStart"/>
      <w:r w:rsidR="006E78B3" w:rsidRPr="006E78B3">
        <w:rPr>
          <w:rFonts w:ascii="Times New Roman" w:eastAsia="SimSun" w:hAnsi="Times New Roman" w:cs="Times New Roman"/>
          <w:i w:val="0"/>
          <w:color w:val="000000" w:themeColor="text1"/>
          <w:sz w:val="24"/>
          <w:szCs w:val="24"/>
          <w:lang w:eastAsia="zh-CN"/>
        </w:rPr>
        <w:t>Difference</w:t>
      </w:r>
      <w:proofErr w:type="spellEnd"/>
      <w:r w:rsidR="006E78B3" w:rsidRPr="006E78B3">
        <w:rPr>
          <w:rFonts w:ascii="Times New Roman" w:eastAsia="SimSun" w:hAnsi="Times New Roman" w:cs="Times New Roman"/>
          <w:i w:val="0"/>
          <w:color w:val="000000" w:themeColor="text1"/>
          <w:sz w:val="24"/>
          <w:szCs w:val="24"/>
          <w:lang w:eastAsia="zh-CN"/>
        </w:rPr>
        <w:t xml:space="preserve"> of </w:t>
      </w:r>
      <w:proofErr w:type="spellStart"/>
      <w:r w:rsidR="006E78B3" w:rsidRPr="006E78B3">
        <w:rPr>
          <w:rFonts w:ascii="Times New Roman" w:eastAsia="SimSun" w:hAnsi="Times New Roman" w:cs="Times New Roman"/>
          <w:i w:val="0"/>
          <w:color w:val="000000" w:themeColor="text1"/>
          <w:sz w:val="24"/>
          <w:szCs w:val="24"/>
          <w:lang w:eastAsia="zh-CN"/>
        </w:rPr>
        <w:t>means</w:t>
      </w:r>
      <w:proofErr w:type="spellEnd"/>
      <w:r w:rsidR="006E78B3" w:rsidRPr="006E78B3">
        <w:rPr>
          <w:rFonts w:ascii="Times New Roman" w:eastAsia="SimSun" w:hAnsi="Times New Roman" w:cs="Times New Roman"/>
          <w:i w:val="0"/>
          <w:color w:val="000000" w:themeColor="text1"/>
          <w:sz w:val="24"/>
          <w:szCs w:val="24"/>
          <w:lang w:eastAsia="zh-CN"/>
        </w:rPr>
        <w:t xml:space="preserve"> test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632"/>
        <w:gridCol w:w="824"/>
        <w:gridCol w:w="1564"/>
        <w:gridCol w:w="1134"/>
        <w:gridCol w:w="1276"/>
      </w:tblGrid>
      <w:tr w:rsidR="00E5191E" w:rsidRPr="00A80FC1" w14:paraId="41115642" w14:textId="77777777" w:rsidTr="009A7559">
        <w:trPr>
          <w:trHeight w:val="256"/>
        </w:trPr>
        <w:tc>
          <w:tcPr>
            <w:tcW w:w="8217" w:type="dxa"/>
            <w:gridSpan w:val="6"/>
            <w:noWrap/>
            <w:hideMark/>
          </w:tcPr>
          <w:p w14:paraId="65F69DD1" w14:textId="77777777" w:rsidR="00E5191E" w:rsidRPr="00A80FC1" w:rsidRDefault="00E5191E" w:rsidP="009A7559">
            <w:pPr>
              <w:pStyle w:val="NoSpacing"/>
              <w:rPr>
                <w:lang w:eastAsia="zh-CN"/>
              </w:rPr>
            </w:pPr>
            <w:proofErr w:type="spellStart"/>
            <w:r w:rsidRPr="00A80FC1">
              <w:rPr>
                <w:lang w:eastAsia="zh-CN"/>
              </w:rPr>
              <w:t>Analysis</w:t>
            </w:r>
            <w:proofErr w:type="spellEnd"/>
            <w:r w:rsidRPr="00A80FC1">
              <w:rPr>
                <w:lang w:eastAsia="zh-CN"/>
              </w:rPr>
              <w:t xml:space="preserve"> of Variance</w:t>
            </w:r>
          </w:p>
        </w:tc>
      </w:tr>
      <w:tr w:rsidR="00E5191E" w:rsidRPr="00A80FC1" w14:paraId="328DC1E5" w14:textId="77777777" w:rsidTr="009A7559">
        <w:trPr>
          <w:trHeight w:val="256"/>
        </w:trPr>
        <w:tc>
          <w:tcPr>
            <w:tcW w:w="1787" w:type="dxa"/>
            <w:noWrap/>
            <w:hideMark/>
          </w:tcPr>
          <w:p w14:paraId="5126FB11" w14:textId="77777777" w:rsidR="00E5191E" w:rsidRPr="00A80FC1" w:rsidRDefault="00E5191E" w:rsidP="009A7559">
            <w:pPr>
              <w:pStyle w:val="NoSpacing"/>
              <w:rPr>
                <w:lang w:eastAsia="zh-CN"/>
              </w:rPr>
            </w:pPr>
            <w:r w:rsidRPr="00A80FC1">
              <w:rPr>
                <w:lang w:eastAsia="zh-CN"/>
              </w:rPr>
              <w:t>Source</w:t>
            </w:r>
          </w:p>
        </w:tc>
        <w:tc>
          <w:tcPr>
            <w:tcW w:w="1632" w:type="dxa"/>
            <w:noWrap/>
            <w:hideMark/>
          </w:tcPr>
          <w:p w14:paraId="5F7A93E4" w14:textId="77777777" w:rsidR="00E5191E" w:rsidRPr="00A80FC1" w:rsidRDefault="00E5191E" w:rsidP="009A7559">
            <w:pPr>
              <w:pStyle w:val="NoSpacing"/>
              <w:rPr>
                <w:lang w:eastAsia="zh-CN"/>
              </w:rPr>
            </w:pPr>
            <w:r w:rsidRPr="00A80FC1">
              <w:rPr>
                <w:lang w:eastAsia="zh-CN"/>
              </w:rPr>
              <w:t>SS</w:t>
            </w:r>
          </w:p>
        </w:tc>
        <w:tc>
          <w:tcPr>
            <w:tcW w:w="824" w:type="dxa"/>
            <w:noWrap/>
            <w:hideMark/>
          </w:tcPr>
          <w:p w14:paraId="7C886E10" w14:textId="77777777" w:rsidR="00E5191E" w:rsidRPr="00A80FC1" w:rsidRDefault="00E5191E" w:rsidP="009A7559">
            <w:pPr>
              <w:pStyle w:val="NoSpacing"/>
              <w:rPr>
                <w:lang w:eastAsia="zh-CN"/>
              </w:rPr>
            </w:pPr>
            <w:proofErr w:type="spellStart"/>
            <w:proofErr w:type="gramStart"/>
            <w:r w:rsidRPr="00A80FC1">
              <w:rPr>
                <w:lang w:eastAsia="zh-CN"/>
              </w:rPr>
              <w:t>df</w:t>
            </w:r>
            <w:proofErr w:type="spellEnd"/>
            <w:proofErr w:type="gramEnd"/>
            <w:r w:rsidRPr="00A80FC1">
              <w:rPr>
                <w:lang w:eastAsia="zh-CN"/>
              </w:rPr>
              <w:t xml:space="preserve">     </w:t>
            </w:r>
          </w:p>
        </w:tc>
        <w:tc>
          <w:tcPr>
            <w:tcW w:w="1564" w:type="dxa"/>
          </w:tcPr>
          <w:p w14:paraId="18F34CA8" w14:textId="77777777" w:rsidR="00E5191E" w:rsidRPr="00A80FC1" w:rsidRDefault="00E5191E" w:rsidP="009A7559">
            <w:pPr>
              <w:pStyle w:val="NoSpacing"/>
              <w:rPr>
                <w:lang w:eastAsia="zh-CN"/>
              </w:rPr>
            </w:pPr>
            <w:r w:rsidRPr="00A80FC1">
              <w:rPr>
                <w:lang w:eastAsia="zh-CN"/>
              </w:rPr>
              <w:t>MS</w:t>
            </w:r>
          </w:p>
        </w:tc>
        <w:tc>
          <w:tcPr>
            <w:tcW w:w="1134" w:type="dxa"/>
            <w:noWrap/>
            <w:hideMark/>
          </w:tcPr>
          <w:p w14:paraId="48D091C9" w14:textId="77777777" w:rsidR="00E5191E" w:rsidRPr="00A80FC1" w:rsidRDefault="00E5191E" w:rsidP="009A7559">
            <w:pPr>
              <w:pStyle w:val="NoSpacing"/>
              <w:rPr>
                <w:lang w:eastAsia="zh-CN"/>
              </w:rPr>
            </w:pPr>
            <w:r w:rsidRPr="00A80FC1">
              <w:rPr>
                <w:lang w:eastAsia="zh-CN"/>
              </w:rPr>
              <w:t>F</w:t>
            </w:r>
          </w:p>
        </w:tc>
        <w:tc>
          <w:tcPr>
            <w:tcW w:w="1276" w:type="dxa"/>
            <w:noWrap/>
            <w:hideMark/>
          </w:tcPr>
          <w:p w14:paraId="0475B42C" w14:textId="77777777" w:rsidR="00E5191E" w:rsidRPr="00A80FC1" w:rsidRDefault="00E5191E" w:rsidP="009A7559">
            <w:pPr>
              <w:pStyle w:val="NoSpacing"/>
              <w:rPr>
                <w:lang w:eastAsia="zh-CN"/>
              </w:rPr>
            </w:pPr>
            <w:r w:rsidRPr="00A80FC1">
              <w:rPr>
                <w:lang w:eastAsia="zh-CN"/>
              </w:rPr>
              <w:t>Prob &gt; F</w:t>
            </w:r>
          </w:p>
        </w:tc>
      </w:tr>
      <w:tr w:rsidR="00E5191E" w:rsidRPr="00A80FC1" w14:paraId="6F4C3549" w14:textId="77777777" w:rsidTr="009A7559">
        <w:trPr>
          <w:trHeight w:val="256"/>
        </w:trPr>
        <w:tc>
          <w:tcPr>
            <w:tcW w:w="1787" w:type="dxa"/>
            <w:noWrap/>
            <w:hideMark/>
          </w:tcPr>
          <w:p w14:paraId="035433BB" w14:textId="77777777" w:rsidR="00E5191E" w:rsidRPr="00A80FC1" w:rsidRDefault="00E5191E" w:rsidP="009A7559">
            <w:pPr>
              <w:pStyle w:val="NoSpacing"/>
              <w:rPr>
                <w:lang w:eastAsia="zh-CN"/>
              </w:rPr>
            </w:pPr>
            <w:proofErr w:type="spellStart"/>
            <w:r w:rsidRPr="00A80FC1">
              <w:rPr>
                <w:lang w:eastAsia="zh-CN"/>
              </w:rPr>
              <w:t>Between</w:t>
            </w:r>
            <w:proofErr w:type="spellEnd"/>
            <w:r w:rsidRPr="00A80FC1">
              <w:rPr>
                <w:lang w:eastAsia="zh-CN"/>
              </w:rPr>
              <w:t xml:space="preserve"> groups</w:t>
            </w:r>
          </w:p>
        </w:tc>
        <w:tc>
          <w:tcPr>
            <w:tcW w:w="1632" w:type="dxa"/>
            <w:noWrap/>
            <w:hideMark/>
          </w:tcPr>
          <w:p w14:paraId="50512FA0" w14:textId="77777777" w:rsidR="00E5191E" w:rsidRPr="00A80FC1" w:rsidRDefault="00E5191E" w:rsidP="009A7559">
            <w:pPr>
              <w:pStyle w:val="NoSpacing"/>
              <w:rPr>
                <w:lang w:eastAsia="zh-CN"/>
              </w:rPr>
            </w:pPr>
            <w:r w:rsidRPr="00A80FC1">
              <w:rPr>
                <w:lang w:eastAsia="zh-CN"/>
              </w:rPr>
              <w:t>0,436471601</w:t>
            </w:r>
          </w:p>
        </w:tc>
        <w:tc>
          <w:tcPr>
            <w:tcW w:w="824" w:type="dxa"/>
            <w:noWrap/>
            <w:hideMark/>
          </w:tcPr>
          <w:p w14:paraId="559CEAC9" w14:textId="77777777" w:rsidR="00E5191E" w:rsidRPr="00A80FC1" w:rsidRDefault="00E5191E" w:rsidP="009A7559">
            <w:pPr>
              <w:pStyle w:val="NoSpacing"/>
              <w:rPr>
                <w:lang w:eastAsia="zh-CN"/>
              </w:rPr>
            </w:pPr>
            <w:r w:rsidRPr="00A80FC1">
              <w:rPr>
                <w:lang w:eastAsia="zh-CN"/>
              </w:rPr>
              <w:t>3</w:t>
            </w:r>
          </w:p>
        </w:tc>
        <w:tc>
          <w:tcPr>
            <w:tcW w:w="1564" w:type="dxa"/>
          </w:tcPr>
          <w:p w14:paraId="7FE813CE" w14:textId="77777777" w:rsidR="00E5191E" w:rsidRPr="00A80FC1" w:rsidRDefault="00E5191E" w:rsidP="009A7559">
            <w:pPr>
              <w:pStyle w:val="NoSpacing"/>
              <w:rPr>
                <w:lang w:eastAsia="zh-CN"/>
              </w:rPr>
            </w:pPr>
            <w:r w:rsidRPr="00A80FC1">
              <w:rPr>
                <w:lang w:eastAsia="zh-CN"/>
              </w:rPr>
              <w:t>0,145490534</w:t>
            </w:r>
          </w:p>
        </w:tc>
        <w:tc>
          <w:tcPr>
            <w:tcW w:w="1134" w:type="dxa"/>
            <w:noWrap/>
            <w:hideMark/>
          </w:tcPr>
          <w:p w14:paraId="054CD088" w14:textId="77777777" w:rsidR="00E5191E" w:rsidRPr="00A80FC1" w:rsidRDefault="00E5191E" w:rsidP="009A7559">
            <w:pPr>
              <w:pStyle w:val="NoSpacing"/>
              <w:rPr>
                <w:lang w:eastAsia="zh-CN"/>
              </w:rPr>
            </w:pPr>
            <w:r w:rsidRPr="00A80FC1">
              <w:rPr>
                <w:lang w:eastAsia="zh-CN"/>
              </w:rPr>
              <w:t>352,39</w:t>
            </w:r>
          </w:p>
        </w:tc>
        <w:tc>
          <w:tcPr>
            <w:tcW w:w="1276" w:type="dxa"/>
            <w:noWrap/>
            <w:hideMark/>
          </w:tcPr>
          <w:p w14:paraId="6EE8AD45" w14:textId="77777777" w:rsidR="00E5191E" w:rsidRPr="00A80FC1" w:rsidRDefault="00E5191E" w:rsidP="009A7559">
            <w:pPr>
              <w:pStyle w:val="NoSpacing"/>
              <w:rPr>
                <w:lang w:eastAsia="zh-CN"/>
              </w:rPr>
            </w:pPr>
            <w:r w:rsidRPr="00A80FC1">
              <w:rPr>
                <w:lang w:eastAsia="zh-CN"/>
              </w:rPr>
              <w:t>0,0000</w:t>
            </w:r>
          </w:p>
        </w:tc>
      </w:tr>
      <w:tr w:rsidR="00E5191E" w:rsidRPr="00A80FC1" w14:paraId="113F7322" w14:textId="77777777" w:rsidTr="009A7559">
        <w:trPr>
          <w:trHeight w:val="256"/>
        </w:trPr>
        <w:tc>
          <w:tcPr>
            <w:tcW w:w="1787" w:type="dxa"/>
            <w:noWrap/>
            <w:hideMark/>
          </w:tcPr>
          <w:p w14:paraId="59A53039" w14:textId="77777777" w:rsidR="00E5191E" w:rsidRPr="00A80FC1" w:rsidRDefault="00E5191E" w:rsidP="009A7559">
            <w:pPr>
              <w:pStyle w:val="NoSpacing"/>
              <w:rPr>
                <w:lang w:eastAsia="zh-CN"/>
              </w:rPr>
            </w:pPr>
            <w:proofErr w:type="spellStart"/>
            <w:r w:rsidRPr="00A80FC1">
              <w:rPr>
                <w:lang w:eastAsia="zh-CN"/>
              </w:rPr>
              <w:t>Within</w:t>
            </w:r>
            <w:proofErr w:type="spellEnd"/>
            <w:r w:rsidRPr="00A80FC1">
              <w:rPr>
                <w:lang w:eastAsia="zh-CN"/>
              </w:rPr>
              <w:t xml:space="preserve"> groups</w:t>
            </w:r>
          </w:p>
        </w:tc>
        <w:tc>
          <w:tcPr>
            <w:tcW w:w="1632" w:type="dxa"/>
            <w:noWrap/>
            <w:hideMark/>
          </w:tcPr>
          <w:p w14:paraId="3137DA8B" w14:textId="77777777" w:rsidR="00E5191E" w:rsidRPr="00A80FC1" w:rsidRDefault="00E5191E" w:rsidP="009A7559">
            <w:pPr>
              <w:pStyle w:val="NoSpacing"/>
              <w:rPr>
                <w:lang w:eastAsia="zh-CN"/>
              </w:rPr>
            </w:pPr>
            <w:r w:rsidRPr="00A80FC1">
              <w:rPr>
                <w:lang w:eastAsia="zh-CN"/>
              </w:rPr>
              <w:t>0,309238196</w:t>
            </w:r>
          </w:p>
        </w:tc>
        <w:tc>
          <w:tcPr>
            <w:tcW w:w="824" w:type="dxa"/>
            <w:noWrap/>
            <w:hideMark/>
          </w:tcPr>
          <w:p w14:paraId="46C7C62F" w14:textId="77777777" w:rsidR="00E5191E" w:rsidRPr="00A80FC1" w:rsidRDefault="00E5191E" w:rsidP="009A7559">
            <w:pPr>
              <w:pStyle w:val="NoSpacing"/>
              <w:rPr>
                <w:lang w:eastAsia="zh-CN"/>
              </w:rPr>
            </w:pPr>
            <w:r w:rsidRPr="00A80FC1">
              <w:rPr>
                <w:lang w:eastAsia="zh-CN"/>
              </w:rPr>
              <w:t>749</w:t>
            </w:r>
          </w:p>
        </w:tc>
        <w:tc>
          <w:tcPr>
            <w:tcW w:w="1564" w:type="dxa"/>
          </w:tcPr>
          <w:p w14:paraId="790AE20C" w14:textId="77777777" w:rsidR="00E5191E" w:rsidRPr="00A80FC1" w:rsidRDefault="00E5191E" w:rsidP="009A7559">
            <w:pPr>
              <w:pStyle w:val="NoSpacing"/>
              <w:rPr>
                <w:lang w:eastAsia="zh-CN"/>
              </w:rPr>
            </w:pPr>
            <w:r w:rsidRPr="00A80FC1">
              <w:rPr>
                <w:lang w:eastAsia="zh-CN"/>
              </w:rPr>
              <w:t>0,000412868</w:t>
            </w:r>
          </w:p>
        </w:tc>
        <w:tc>
          <w:tcPr>
            <w:tcW w:w="1134" w:type="dxa"/>
          </w:tcPr>
          <w:p w14:paraId="318ED28F" w14:textId="77777777" w:rsidR="00E5191E" w:rsidRPr="00A80FC1" w:rsidRDefault="00E5191E" w:rsidP="009A7559">
            <w:pPr>
              <w:pStyle w:val="NoSpacing"/>
              <w:rPr>
                <w:lang w:eastAsia="zh-CN"/>
              </w:rPr>
            </w:pPr>
          </w:p>
        </w:tc>
        <w:tc>
          <w:tcPr>
            <w:tcW w:w="1276" w:type="dxa"/>
            <w:noWrap/>
            <w:hideMark/>
          </w:tcPr>
          <w:p w14:paraId="4F307684" w14:textId="77777777" w:rsidR="00E5191E" w:rsidRPr="00A80FC1" w:rsidRDefault="00E5191E" w:rsidP="009A7559">
            <w:pPr>
              <w:pStyle w:val="NoSpacing"/>
              <w:rPr>
                <w:lang w:eastAsia="zh-CN"/>
              </w:rPr>
            </w:pPr>
          </w:p>
        </w:tc>
      </w:tr>
      <w:tr w:rsidR="00E5191E" w:rsidRPr="00A80FC1" w14:paraId="1448F9D7" w14:textId="77777777" w:rsidTr="009A7559">
        <w:trPr>
          <w:trHeight w:val="256"/>
        </w:trPr>
        <w:tc>
          <w:tcPr>
            <w:tcW w:w="1787" w:type="dxa"/>
            <w:noWrap/>
            <w:hideMark/>
          </w:tcPr>
          <w:p w14:paraId="4A309646" w14:textId="77777777" w:rsidR="00E5191E" w:rsidRPr="00A80FC1" w:rsidRDefault="00E5191E" w:rsidP="009A7559">
            <w:pPr>
              <w:pStyle w:val="NoSpacing"/>
              <w:rPr>
                <w:lang w:eastAsia="zh-CN"/>
              </w:rPr>
            </w:pPr>
            <w:r w:rsidRPr="00A80FC1">
              <w:rPr>
                <w:lang w:eastAsia="zh-CN"/>
              </w:rPr>
              <w:t>Total</w:t>
            </w:r>
          </w:p>
        </w:tc>
        <w:tc>
          <w:tcPr>
            <w:tcW w:w="1632" w:type="dxa"/>
            <w:noWrap/>
            <w:hideMark/>
          </w:tcPr>
          <w:p w14:paraId="4501DABD" w14:textId="77777777" w:rsidR="00E5191E" w:rsidRPr="00A80FC1" w:rsidRDefault="00E5191E" w:rsidP="009A7559">
            <w:pPr>
              <w:pStyle w:val="NoSpacing"/>
              <w:rPr>
                <w:lang w:eastAsia="zh-CN"/>
              </w:rPr>
            </w:pPr>
            <w:r w:rsidRPr="00A80FC1">
              <w:rPr>
                <w:lang w:eastAsia="zh-CN"/>
              </w:rPr>
              <w:t>0,745709797</w:t>
            </w:r>
          </w:p>
        </w:tc>
        <w:tc>
          <w:tcPr>
            <w:tcW w:w="824" w:type="dxa"/>
            <w:noWrap/>
            <w:hideMark/>
          </w:tcPr>
          <w:p w14:paraId="7331604B" w14:textId="77777777" w:rsidR="00E5191E" w:rsidRPr="00A80FC1" w:rsidRDefault="00E5191E" w:rsidP="009A7559">
            <w:pPr>
              <w:pStyle w:val="NoSpacing"/>
              <w:rPr>
                <w:lang w:eastAsia="zh-CN"/>
              </w:rPr>
            </w:pPr>
            <w:r w:rsidRPr="00A80FC1">
              <w:rPr>
                <w:lang w:eastAsia="zh-CN"/>
              </w:rPr>
              <w:t>752</w:t>
            </w:r>
          </w:p>
        </w:tc>
        <w:tc>
          <w:tcPr>
            <w:tcW w:w="1564" w:type="dxa"/>
          </w:tcPr>
          <w:p w14:paraId="48482311" w14:textId="77777777" w:rsidR="00E5191E" w:rsidRPr="00A80FC1" w:rsidRDefault="00E5191E" w:rsidP="009A7559">
            <w:pPr>
              <w:pStyle w:val="NoSpacing"/>
              <w:rPr>
                <w:lang w:eastAsia="zh-CN"/>
              </w:rPr>
            </w:pPr>
            <w:r w:rsidRPr="00A80FC1">
              <w:rPr>
                <w:lang w:eastAsia="zh-CN"/>
              </w:rPr>
              <w:t>0,000991635</w:t>
            </w:r>
          </w:p>
        </w:tc>
        <w:tc>
          <w:tcPr>
            <w:tcW w:w="1134" w:type="dxa"/>
          </w:tcPr>
          <w:p w14:paraId="12762CE7" w14:textId="77777777" w:rsidR="00E5191E" w:rsidRPr="00A80FC1" w:rsidRDefault="00E5191E" w:rsidP="009A7559">
            <w:pPr>
              <w:pStyle w:val="NoSpacing"/>
              <w:rPr>
                <w:lang w:eastAsia="zh-CN"/>
              </w:rPr>
            </w:pPr>
          </w:p>
        </w:tc>
        <w:tc>
          <w:tcPr>
            <w:tcW w:w="1276" w:type="dxa"/>
            <w:noWrap/>
            <w:hideMark/>
          </w:tcPr>
          <w:p w14:paraId="5AA558B5" w14:textId="77777777" w:rsidR="00E5191E" w:rsidRPr="00A80FC1" w:rsidRDefault="00E5191E" w:rsidP="009A7559">
            <w:pPr>
              <w:pStyle w:val="NoSpacing"/>
              <w:rPr>
                <w:lang w:eastAsia="zh-CN"/>
              </w:rPr>
            </w:pPr>
          </w:p>
        </w:tc>
      </w:tr>
    </w:tbl>
    <w:p w14:paraId="0E6496E5" w14:textId="392E2802" w:rsidR="00660C9A" w:rsidRDefault="00E5191E" w:rsidP="00660C9A">
      <w:pPr>
        <w:pStyle w:val="font-claude-response-body"/>
        <w:jc w:val="both"/>
        <w:rPr>
          <w:lang w:val="en-US"/>
        </w:rPr>
      </w:pPr>
      <w:r w:rsidRPr="00E5191E">
        <w:rPr>
          <w:lang w:val="en-US"/>
        </w:rPr>
        <w:lastRenderedPageBreak/>
        <w:t>This difference in means is formally tested in Table 9 through an analysis of variance (ANOVA). The extremely high F-value (352.39) and a p-value of 0.0000 allow us to reject the null hypothesis that the group means are equal. This means that the average degree of openness of the Franc Zone group is statistically different from that of the other country groups.</w:t>
      </w:r>
    </w:p>
    <w:p w14:paraId="347C4125" w14:textId="2CC02AF2" w:rsidR="00E5191E" w:rsidRPr="00E5191E" w:rsidRDefault="00E5191E" w:rsidP="00E5191E">
      <w:pPr>
        <w:pStyle w:val="Caption"/>
        <w:rPr>
          <w:rFonts w:ascii="Times New Roman" w:eastAsia="SimSun" w:hAnsi="Times New Roman" w:cs="Times New Roman"/>
          <w:i w:val="0"/>
          <w:color w:val="000000" w:themeColor="text1"/>
          <w:sz w:val="24"/>
          <w:szCs w:val="24"/>
          <w:lang w:val="en-US" w:eastAsia="zh-CN"/>
        </w:rPr>
      </w:pPr>
      <w:bookmarkStart w:id="13" w:name="_Toc215577688"/>
      <w:r w:rsidRPr="00E5191E">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E5191E">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E5191E">
        <w:rPr>
          <w:rFonts w:ascii="Times New Roman" w:hAnsi="Times New Roman" w:cs="Times New Roman"/>
          <w:b/>
          <w:i w:val="0"/>
          <w:noProof/>
          <w:color w:val="000000" w:themeColor="text1"/>
          <w:sz w:val="24"/>
          <w:szCs w:val="24"/>
          <w:lang w:val="en-US"/>
        </w:rPr>
        <w:t>10</w:t>
      </w:r>
      <w:r w:rsidRPr="00603361">
        <w:rPr>
          <w:rFonts w:ascii="Times New Roman" w:hAnsi="Times New Roman" w:cs="Times New Roman"/>
          <w:b/>
          <w:i w:val="0"/>
          <w:color w:val="000000" w:themeColor="text1"/>
          <w:sz w:val="24"/>
          <w:szCs w:val="24"/>
        </w:rPr>
        <w:fldChar w:fldCharType="end"/>
      </w:r>
      <w:r w:rsidRPr="00E5191E">
        <w:rPr>
          <w:rFonts w:ascii="Times New Roman" w:eastAsia="SimSun" w:hAnsi="Times New Roman" w:cs="Times New Roman"/>
          <w:b/>
          <w:i w:val="0"/>
          <w:color w:val="000000" w:themeColor="text1"/>
          <w:sz w:val="24"/>
          <w:szCs w:val="24"/>
          <w:lang w:val="en-US" w:eastAsia="zh-CN"/>
        </w:rPr>
        <w:t>:</w:t>
      </w:r>
      <w:r w:rsidRPr="00E5191E">
        <w:rPr>
          <w:rFonts w:ascii="Times New Roman" w:eastAsia="SimSun" w:hAnsi="Times New Roman" w:cs="Times New Roman"/>
          <w:i w:val="0"/>
          <w:color w:val="000000" w:themeColor="text1"/>
          <w:sz w:val="24"/>
          <w:szCs w:val="24"/>
          <w:lang w:val="en-US" w:eastAsia="zh-CN"/>
        </w:rPr>
        <w:t xml:space="preserve"> </w:t>
      </w:r>
      <w:bookmarkEnd w:id="13"/>
      <w:r w:rsidRPr="00E5191E">
        <w:rPr>
          <w:rFonts w:ascii="Times New Roman" w:eastAsia="SimSun" w:hAnsi="Times New Roman" w:cs="Times New Roman"/>
          <w:i w:val="0"/>
          <w:color w:val="000000" w:themeColor="text1"/>
          <w:sz w:val="24"/>
          <w:szCs w:val="24"/>
          <w:lang w:val="en-US" w:eastAsia="zh-CN"/>
        </w:rPr>
        <w:t>Comparison of the degree of commercial openness by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1985"/>
        <w:gridCol w:w="1984"/>
      </w:tblGrid>
      <w:tr w:rsidR="00E5191E" w:rsidRPr="00A80FC1" w14:paraId="1F84CC2C" w14:textId="77777777" w:rsidTr="009A7559">
        <w:trPr>
          <w:trHeight w:val="278"/>
        </w:trPr>
        <w:tc>
          <w:tcPr>
            <w:tcW w:w="1413" w:type="dxa"/>
            <w:vMerge w:val="restart"/>
            <w:noWrap/>
            <w:hideMark/>
          </w:tcPr>
          <w:p w14:paraId="1DDBF911" w14:textId="77777777" w:rsidR="00E5191E" w:rsidRPr="00A80FC1" w:rsidRDefault="00E5191E" w:rsidP="009A7559">
            <w:pPr>
              <w:pStyle w:val="NoSpacing"/>
              <w:rPr>
                <w:lang w:eastAsia="zh-CN"/>
              </w:rPr>
            </w:pPr>
            <w:r w:rsidRPr="00A80FC1">
              <w:rPr>
                <w:lang w:eastAsia="zh-CN"/>
              </w:rPr>
              <w:t xml:space="preserve">Row </w:t>
            </w:r>
            <w:proofErr w:type="spellStart"/>
            <w:r w:rsidRPr="00A80FC1">
              <w:rPr>
                <w:lang w:eastAsia="zh-CN"/>
              </w:rPr>
              <w:t>Mean</w:t>
            </w:r>
            <w:proofErr w:type="spellEnd"/>
            <w:r w:rsidRPr="00A80FC1">
              <w:rPr>
                <w:lang w:eastAsia="zh-CN"/>
              </w:rPr>
              <w:t>-</w:t>
            </w:r>
          </w:p>
          <w:p w14:paraId="1AEEC5BD" w14:textId="77777777" w:rsidR="00E5191E" w:rsidRPr="00A80FC1" w:rsidRDefault="00E5191E" w:rsidP="009A7559">
            <w:pPr>
              <w:pStyle w:val="NoSpacing"/>
              <w:rPr>
                <w:lang w:eastAsia="zh-CN"/>
              </w:rPr>
            </w:pPr>
            <w:r w:rsidRPr="00A80FC1">
              <w:rPr>
                <w:lang w:eastAsia="zh-CN"/>
              </w:rPr>
              <w:t xml:space="preserve">Col </w:t>
            </w:r>
            <w:proofErr w:type="spellStart"/>
            <w:r w:rsidRPr="00A80FC1">
              <w:rPr>
                <w:lang w:eastAsia="zh-CN"/>
              </w:rPr>
              <w:t>Mean</w:t>
            </w:r>
            <w:proofErr w:type="spellEnd"/>
          </w:p>
        </w:tc>
        <w:tc>
          <w:tcPr>
            <w:tcW w:w="1559" w:type="dxa"/>
            <w:noWrap/>
            <w:hideMark/>
          </w:tcPr>
          <w:p w14:paraId="55249EDA" w14:textId="77777777" w:rsidR="00E5191E" w:rsidRPr="00A80FC1" w:rsidRDefault="00E5191E" w:rsidP="009A7559">
            <w:pPr>
              <w:pStyle w:val="NoSpacing"/>
              <w:rPr>
                <w:lang w:eastAsia="zh-CN"/>
              </w:rPr>
            </w:pPr>
          </w:p>
        </w:tc>
        <w:tc>
          <w:tcPr>
            <w:tcW w:w="1985" w:type="dxa"/>
            <w:noWrap/>
            <w:hideMark/>
          </w:tcPr>
          <w:p w14:paraId="78EEFE10" w14:textId="77777777" w:rsidR="00E5191E" w:rsidRPr="00A80FC1" w:rsidRDefault="00E5191E" w:rsidP="009A7559">
            <w:pPr>
              <w:pStyle w:val="NoSpacing"/>
              <w:rPr>
                <w:lang w:eastAsia="zh-CN"/>
              </w:rPr>
            </w:pPr>
          </w:p>
        </w:tc>
        <w:tc>
          <w:tcPr>
            <w:tcW w:w="1984" w:type="dxa"/>
            <w:noWrap/>
            <w:hideMark/>
          </w:tcPr>
          <w:p w14:paraId="0395A919" w14:textId="77777777" w:rsidR="00E5191E" w:rsidRPr="00A80FC1" w:rsidRDefault="00E5191E" w:rsidP="009A7559">
            <w:pPr>
              <w:pStyle w:val="NoSpacing"/>
              <w:rPr>
                <w:lang w:eastAsia="zh-CN"/>
              </w:rPr>
            </w:pPr>
          </w:p>
        </w:tc>
      </w:tr>
      <w:tr w:rsidR="00E5191E" w:rsidRPr="00A80FC1" w14:paraId="6F1ECE9C" w14:textId="77777777" w:rsidTr="009A7559">
        <w:trPr>
          <w:trHeight w:val="278"/>
        </w:trPr>
        <w:tc>
          <w:tcPr>
            <w:tcW w:w="1413" w:type="dxa"/>
            <w:vMerge/>
            <w:noWrap/>
            <w:hideMark/>
          </w:tcPr>
          <w:p w14:paraId="44996E47" w14:textId="77777777" w:rsidR="00E5191E" w:rsidRPr="00A80FC1" w:rsidRDefault="00E5191E" w:rsidP="009A7559">
            <w:pPr>
              <w:pStyle w:val="NoSpacing"/>
              <w:rPr>
                <w:lang w:eastAsia="zh-CN"/>
              </w:rPr>
            </w:pPr>
          </w:p>
        </w:tc>
        <w:tc>
          <w:tcPr>
            <w:tcW w:w="1559" w:type="dxa"/>
            <w:noWrap/>
            <w:hideMark/>
          </w:tcPr>
          <w:p w14:paraId="4D287FC5" w14:textId="77777777" w:rsidR="00E5191E" w:rsidRPr="00A80FC1" w:rsidRDefault="00E5191E" w:rsidP="009A7559">
            <w:pPr>
              <w:pStyle w:val="NoSpacing"/>
              <w:rPr>
                <w:lang w:eastAsia="zh-CN"/>
              </w:rPr>
            </w:pPr>
            <w:r w:rsidRPr="00A80FC1">
              <w:rPr>
                <w:lang w:eastAsia="zh-CN"/>
              </w:rPr>
              <w:t>1</w:t>
            </w:r>
          </w:p>
        </w:tc>
        <w:tc>
          <w:tcPr>
            <w:tcW w:w="1985" w:type="dxa"/>
            <w:noWrap/>
            <w:hideMark/>
          </w:tcPr>
          <w:p w14:paraId="25BA8A93" w14:textId="77777777" w:rsidR="00E5191E" w:rsidRPr="00A80FC1" w:rsidRDefault="00E5191E" w:rsidP="009A7559">
            <w:pPr>
              <w:pStyle w:val="NoSpacing"/>
              <w:rPr>
                <w:lang w:eastAsia="zh-CN"/>
              </w:rPr>
            </w:pPr>
            <w:r w:rsidRPr="00A80FC1">
              <w:rPr>
                <w:lang w:eastAsia="zh-CN"/>
              </w:rPr>
              <w:t xml:space="preserve">2          </w:t>
            </w:r>
          </w:p>
        </w:tc>
        <w:tc>
          <w:tcPr>
            <w:tcW w:w="1984" w:type="dxa"/>
            <w:noWrap/>
            <w:hideMark/>
          </w:tcPr>
          <w:p w14:paraId="0062F35C" w14:textId="77777777" w:rsidR="00E5191E" w:rsidRPr="00A80FC1" w:rsidRDefault="00E5191E" w:rsidP="009A7559">
            <w:pPr>
              <w:pStyle w:val="NoSpacing"/>
              <w:rPr>
                <w:lang w:eastAsia="zh-CN"/>
              </w:rPr>
            </w:pPr>
            <w:r w:rsidRPr="00A80FC1">
              <w:rPr>
                <w:lang w:eastAsia="zh-CN"/>
              </w:rPr>
              <w:t>3</w:t>
            </w:r>
          </w:p>
        </w:tc>
      </w:tr>
      <w:tr w:rsidR="00E5191E" w:rsidRPr="00A80FC1" w14:paraId="4EB00FB0" w14:textId="77777777" w:rsidTr="009A7559">
        <w:trPr>
          <w:trHeight w:val="278"/>
        </w:trPr>
        <w:tc>
          <w:tcPr>
            <w:tcW w:w="1413" w:type="dxa"/>
            <w:noWrap/>
            <w:hideMark/>
          </w:tcPr>
          <w:p w14:paraId="0BE92DBD" w14:textId="77777777" w:rsidR="00E5191E" w:rsidRPr="00A80FC1" w:rsidRDefault="00E5191E" w:rsidP="009A7559">
            <w:pPr>
              <w:pStyle w:val="NoSpacing"/>
              <w:rPr>
                <w:lang w:eastAsia="zh-CN"/>
              </w:rPr>
            </w:pPr>
            <w:r w:rsidRPr="00A80FC1">
              <w:rPr>
                <w:lang w:eastAsia="zh-CN"/>
              </w:rPr>
              <w:t>2</w:t>
            </w:r>
          </w:p>
        </w:tc>
        <w:tc>
          <w:tcPr>
            <w:tcW w:w="1559" w:type="dxa"/>
            <w:noWrap/>
            <w:hideMark/>
          </w:tcPr>
          <w:p w14:paraId="0B8C5F4A" w14:textId="77777777" w:rsidR="00E5191E" w:rsidRPr="00A80FC1" w:rsidRDefault="00E5191E" w:rsidP="009A7559">
            <w:pPr>
              <w:pStyle w:val="NoSpacing"/>
              <w:rPr>
                <w:lang w:eastAsia="zh-CN"/>
              </w:rPr>
            </w:pPr>
            <w:r w:rsidRPr="00A80FC1">
              <w:rPr>
                <w:lang w:eastAsia="zh-CN"/>
              </w:rPr>
              <w:t>-0,046775</w:t>
            </w:r>
          </w:p>
        </w:tc>
        <w:tc>
          <w:tcPr>
            <w:tcW w:w="1985" w:type="dxa"/>
            <w:noWrap/>
            <w:hideMark/>
          </w:tcPr>
          <w:p w14:paraId="23305321" w14:textId="77777777" w:rsidR="00E5191E" w:rsidRPr="00A80FC1" w:rsidRDefault="00E5191E" w:rsidP="009A7559">
            <w:pPr>
              <w:pStyle w:val="NoSpacing"/>
              <w:rPr>
                <w:lang w:eastAsia="zh-CN"/>
              </w:rPr>
            </w:pPr>
          </w:p>
        </w:tc>
        <w:tc>
          <w:tcPr>
            <w:tcW w:w="1984" w:type="dxa"/>
            <w:noWrap/>
            <w:hideMark/>
          </w:tcPr>
          <w:p w14:paraId="0FF1EA24" w14:textId="77777777" w:rsidR="00E5191E" w:rsidRPr="00A80FC1" w:rsidRDefault="00E5191E" w:rsidP="009A7559">
            <w:pPr>
              <w:pStyle w:val="NoSpacing"/>
              <w:rPr>
                <w:lang w:eastAsia="zh-CN"/>
              </w:rPr>
            </w:pPr>
          </w:p>
        </w:tc>
      </w:tr>
      <w:tr w:rsidR="00E5191E" w:rsidRPr="00A80FC1" w14:paraId="227CED09" w14:textId="77777777" w:rsidTr="009A7559">
        <w:trPr>
          <w:trHeight w:val="278"/>
        </w:trPr>
        <w:tc>
          <w:tcPr>
            <w:tcW w:w="1413" w:type="dxa"/>
            <w:noWrap/>
            <w:hideMark/>
          </w:tcPr>
          <w:p w14:paraId="5356BE02" w14:textId="77777777" w:rsidR="00E5191E" w:rsidRPr="00A80FC1" w:rsidRDefault="00E5191E" w:rsidP="009A7559">
            <w:pPr>
              <w:pStyle w:val="NoSpacing"/>
              <w:rPr>
                <w:lang w:eastAsia="zh-CN"/>
              </w:rPr>
            </w:pPr>
          </w:p>
        </w:tc>
        <w:tc>
          <w:tcPr>
            <w:tcW w:w="1559" w:type="dxa"/>
            <w:noWrap/>
            <w:hideMark/>
          </w:tcPr>
          <w:p w14:paraId="41C44238" w14:textId="77777777" w:rsidR="00E5191E" w:rsidRPr="00A80FC1" w:rsidRDefault="00E5191E" w:rsidP="009A7559">
            <w:pPr>
              <w:pStyle w:val="NoSpacing"/>
              <w:rPr>
                <w:lang w:eastAsia="zh-CN"/>
              </w:rPr>
            </w:pPr>
            <w:r w:rsidRPr="00A80FC1">
              <w:rPr>
                <w:lang w:eastAsia="zh-CN"/>
              </w:rPr>
              <w:t>0,000</w:t>
            </w:r>
          </w:p>
        </w:tc>
        <w:tc>
          <w:tcPr>
            <w:tcW w:w="1985" w:type="dxa"/>
            <w:noWrap/>
            <w:hideMark/>
          </w:tcPr>
          <w:p w14:paraId="212D42FA" w14:textId="77777777" w:rsidR="00E5191E" w:rsidRPr="00A80FC1" w:rsidRDefault="00E5191E" w:rsidP="009A7559">
            <w:pPr>
              <w:pStyle w:val="NoSpacing"/>
              <w:rPr>
                <w:lang w:eastAsia="zh-CN"/>
              </w:rPr>
            </w:pPr>
          </w:p>
        </w:tc>
        <w:tc>
          <w:tcPr>
            <w:tcW w:w="1984" w:type="dxa"/>
            <w:noWrap/>
            <w:hideMark/>
          </w:tcPr>
          <w:p w14:paraId="606F221F" w14:textId="77777777" w:rsidR="00E5191E" w:rsidRPr="00A80FC1" w:rsidRDefault="00E5191E" w:rsidP="009A7559">
            <w:pPr>
              <w:pStyle w:val="NoSpacing"/>
              <w:rPr>
                <w:lang w:eastAsia="zh-CN"/>
              </w:rPr>
            </w:pPr>
          </w:p>
        </w:tc>
      </w:tr>
      <w:tr w:rsidR="00E5191E" w:rsidRPr="00A80FC1" w14:paraId="5E4D8F30" w14:textId="77777777" w:rsidTr="009A7559">
        <w:trPr>
          <w:trHeight w:val="278"/>
        </w:trPr>
        <w:tc>
          <w:tcPr>
            <w:tcW w:w="1413" w:type="dxa"/>
            <w:noWrap/>
            <w:hideMark/>
          </w:tcPr>
          <w:p w14:paraId="2D9E29B8" w14:textId="77777777" w:rsidR="00E5191E" w:rsidRPr="00A80FC1" w:rsidRDefault="00E5191E" w:rsidP="009A7559">
            <w:pPr>
              <w:pStyle w:val="NoSpacing"/>
              <w:rPr>
                <w:lang w:eastAsia="zh-CN"/>
              </w:rPr>
            </w:pPr>
            <w:r w:rsidRPr="00A80FC1">
              <w:rPr>
                <w:lang w:eastAsia="zh-CN"/>
              </w:rPr>
              <w:t xml:space="preserve">         </w:t>
            </w:r>
          </w:p>
        </w:tc>
        <w:tc>
          <w:tcPr>
            <w:tcW w:w="1559" w:type="dxa"/>
            <w:noWrap/>
            <w:hideMark/>
          </w:tcPr>
          <w:p w14:paraId="27B33B35" w14:textId="77777777" w:rsidR="00E5191E" w:rsidRPr="00A80FC1" w:rsidRDefault="00E5191E" w:rsidP="009A7559">
            <w:pPr>
              <w:pStyle w:val="NoSpacing"/>
              <w:rPr>
                <w:lang w:eastAsia="zh-CN"/>
              </w:rPr>
            </w:pPr>
          </w:p>
        </w:tc>
        <w:tc>
          <w:tcPr>
            <w:tcW w:w="1985" w:type="dxa"/>
            <w:noWrap/>
            <w:hideMark/>
          </w:tcPr>
          <w:p w14:paraId="21F31F0C" w14:textId="77777777" w:rsidR="00E5191E" w:rsidRPr="00A80FC1" w:rsidRDefault="00E5191E" w:rsidP="009A7559">
            <w:pPr>
              <w:pStyle w:val="NoSpacing"/>
              <w:rPr>
                <w:lang w:eastAsia="zh-CN"/>
              </w:rPr>
            </w:pPr>
          </w:p>
        </w:tc>
        <w:tc>
          <w:tcPr>
            <w:tcW w:w="1984" w:type="dxa"/>
            <w:noWrap/>
            <w:hideMark/>
          </w:tcPr>
          <w:p w14:paraId="06FACB15" w14:textId="77777777" w:rsidR="00E5191E" w:rsidRPr="00A80FC1" w:rsidRDefault="00E5191E" w:rsidP="009A7559">
            <w:pPr>
              <w:pStyle w:val="NoSpacing"/>
              <w:rPr>
                <w:lang w:eastAsia="zh-CN"/>
              </w:rPr>
            </w:pPr>
          </w:p>
        </w:tc>
      </w:tr>
      <w:tr w:rsidR="00E5191E" w:rsidRPr="00A80FC1" w14:paraId="3CB68023" w14:textId="77777777" w:rsidTr="009A7559">
        <w:trPr>
          <w:trHeight w:val="278"/>
        </w:trPr>
        <w:tc>
          <w:tcPr>
            <w:tcW w:w="1413" w:type="dxa"/>
            <w:noWrap/>
            <w:hideMark/>
          </w:tcPr>
          <w:p w14:paraId="607B04DE" w14:textId="77777777" w:rsidR="00E5191E" w:rsidRPr="00A80FC1" w:rsidRDefault="00E5191E" w:rsidP="009A7559">
            <w:pPr>
              <w:pStyle w:val="NoSpacing"/>
              <w:rPr>
                <w:lang w:eastAsia="zh-CN"/>
              </w:rPr>
            </w:pPr>
            <w:r w:rsidRPr="00A80FC1">
              <w:rPr>
                <w:lang w:eastAsia="zh-CN"/>
              </w:rPr>
              <w:t>3</w:t>
            </w:r>
          </w:p>
        </w:tc>
        <w:tc>
          <w:tcPr>
            <w:tcW w:w="1559" w:type="dxa"/>
            <w:noWrap/>
            <w:hideMark/>
          </w:tcPr>
          <w:p w14:paraId="6A76B015" w14:textId="77777777" w:rsidR="00E5191E" w:rsidRPr="00A80FC1" w:rsidRDefault="00E5191E" w:rsidP="009A7559">
            <w:pPr>
              <w:pStyle w:val="NoSpacing"/>
              <w:rPr>
                <w:lang w:eastAsia="zh-CN"/>
              </w:rPr>
            </w:pPr>
            <w:r w:rsidRPr="00A80FC1">
              <w:rPr>
                <w:lang w:eastAsia="zh-CN"/>
              </w:rPr>
              <w:t>-0,051727</w:t>
            </w:r>
          </w:p>
        </w:tc>
        <w:tc>
          <w:tcPr>
            <w:tcW w:w="1985" w:type="dxa"/>
            <w:noWrap/>
            <w:hideMark/>
          </w:tcPr>
          <w:p w14:paraId="664E03FF" w14:textId="77777777" w:rsidR="00E5191E" w:rsidRPr="00A80FC1" w:rsidRDefault="00E5191E" w:rsidP="009A7559">
            <w:pPr>
              <w:pStyle w:val="NoSpacing"/>
              <w:rPr>
                <w:lang w:eastAsia="zh-CN"/>
              </w:rPr>
            </w:pPr>
            <w:r w:rsidRPr="00A80FC1">
              <w:rPr>
                <w:lang w:eastAsia="zh-CN"/>
              </w:rPr>
              <w:t>-0,004952</w:t>
            </w:r>
          </w:p>
        </w:tc>
        <w:tc>
          <w:tcPr>
            <w:tcW w:w="1984" w:type="dxa"/>
            <w:noWrap/>
            <w:hideMark/>
          </w:tcPr>
          <w:p w14:paraId="59FC3CD4" w14:textId="77777777" w:rsidR="00E5191E" w:rsidRPr="00A80FC1" w:rsidRDefault="00E5191E" w:rsidP="009A7559">
            <w:pPr>
              <w:pStyle w:val="NoSpacing"/>
              <w:rPr>
                <w:lang w:eastAsia="zh-CN"/>
              </w:rPr>
            </w:pPr>
          </w:p>
        </w:tc>
      </w:tr>
      <w:tr w:rsidR="00E5191E" w:rsidRPr="00A80FC1" w14:paraId="1601EF2F" w14:textId="77777777" w:rsidTr="009A7559">
        <w:trPr>
          <w:trHeight w:val="278"/>
        </w:trPr>
        <w:tc>
          <w:tcPr>
            <w:tcW w:w="1413" w:type="dxa"/>
            <w:noWrap/>
            <w:hideMark/>
          </w:tcPr>
          <w:p w14:paraId="405E8081" w14:textId="77777777" w:rsidR="00E5191E" w:rsidRPr="00A80FC1" w:rsidRDefault="00E5191E" w:rsidP="009A7559">
            <w:pPr>
              <w:pStyle w:val="NoSpacing"/>
              <w:rPr>
                <w:lang w:eastAsia="zh-CN"/>
              </w:rPr>
            </w:pPr>
          </w:p>
        </w:tc>
        <w:tc>
          <w:tcPr>
            <w:tcW w:w="1559" w:type="dxa"/>
            <w:noWrap/>
            <w:hideMark/>
          </w:tcPr>
          <w:p w14:paraId="04749AC6" w14:textId="77777777" w:rsidR="00E5191E" w:rsidRPr="00A80FC1" w:rsidRDefault="00E5191E" w:rsidP="009A7559">
            <w:pPr>
              <w:pStyle w:val="NoSpacing"/>
              <w:rPr>
                <w:lang w:eastAsia="zh-CN"/>
              </w:rPr>
            </w:pPr>
            <w:r w:rsidRPr="00A80FC1">
              <w:rPr>
                <w:lang w:eastAsia="zh-CN"/>
              </w:rPr>
              <w:t>0,000</w:t>
            </w:r>
          </w:p>
        </w:tc>
        <w:tc>
          <w:tcPr>
            <w:tcW w:w="1985" w:type="dxa"/>
            <w:noWrap/>
            <w:hideMark/>
          </w:tcPr>
          <w:p w14:paraId="08626378" w14:textId="77777777" w:rsidR="00E5191E" w:rsidRPr="00A80FC1" w:rsidRDefault="00E5191E" w:rsidP="009A7559">
            <w:pPr>
              <w:pStyle w:val="NoSpacing"/>
              <w:rPr>
                <w:lang w:eastAsia="zh-CN"/>
              </w:rPr>
            </w:pPr>
            <w:r w:rsidRPr="00A80FC1">
              <w:rPr>
                <w:lang w:eastAsia="zh-CN"/>
              </w:rPr>
              <w:t>0,236</w:t>
            </w:r>
          </w:p>
        </w:tc>
        <w:tc>
          <w:tcPr>
            <w:tcW w:w="1984" w:type="dxa"/>
            <w:noWrap/>
            <w:hideMark/>
          </w:tcPr>
          <w:p w14:paraId="418E9549" w14:textId="77777777" w:rsidR="00E5191E" w:rsidRPr="00A80FC1" w:rsidRDefault="00E5191E" w:rsidP="009A7559">
            <w:pPr>
              <w:pStyle w:val="NoSpacing"/>
              <w:rPr>
                <w:lang w:eastAsia="zh-CN"/>
              </w:rPr>
            </w:pPr>
          </w:p>
        </w:tc>
      </w:tr>
      <w:tr w:rsidR="00E5191E" w:rsidRPr="00A80FC1" w14:paraId="66E1BD67" w14:textId="77777777" w:rsidTr="009A7559">
        <w:trPr>
          <w:trHeight w:val="278"/>
        </w:trPr>
        <w:tc>
          <w:tcPr>
            <w:tcW w:w="1413" w:type="dxa"/>
            <w:noWrap/>
            <w:hideMark/>
          </w:tcPr>
          <w:p w14:paraId="6341937F" w14:textId="77777777" w:rsidR="00E5191E" w:rsidRPr="00A80FC1" w:rsidRDefault="00E5191E" w:rsidP="009A7559">
            <w:pPr>
              <w:pStyle w:val="NoSpacing"/>
              <w:rPr>
                <w:lang w:eastAsia="zh-CN"/>
              </w:rPr>
            </w:pPr>
            <w:r w:rsidRPr="00A80FC1">
              <w:rPr>
                <w:lang w:eastAsia="zh-CN"/>
              </w:rPr>
              <w:t xml:space="preserve">         </w:t>
            </w:r>
          </w:p>
        </w:tc>
        <w:tc>
          <w:tcPr>
            <w:tcW w:w="1559" w:type="dxa"/>
            <w:noWrap/>
            <w:hideMark/>
          </w:tcPr>
          <w:p w14:paraId="65C45C88" w14:textId="77777777" w:rsidR="00E5191E" w:rsidRPr="00A80FC1" w:rsidRDefault="00E5191E" w:rsidP="009A7559">
            <w:pPr>
              <w:pStyle w:val="NoSpacing"/>
              <w:rPr>
                <w:lang w:eastAsia="zh-CN"/>
              </w:rPr>
            </w:pPr>
          </w:p>
        </w:tc>
        <w:tc>
          <w:tcPr>
            <w:tcW w:w="1985" w:type="dxa"/>
            <w:noWrap/>
            <w:hideMark/>
          </w:tcPr>
          <w:p w14:paraId="391EAEBD" w14:textId="77777777" w:rsidR="00E5191E" w:rsidRPr="00A80FC1" w:rsidRDefault="00E5191E" w:rsidP="009A7559">
            <w:pPr>
              <w:pStyle w:val="NoSpacing"/>
              <w:rPr>
                <w:lang w:eastAsia="zh-CN"/>
              </w:rPr>
            </w:pPr>
          </w:p>
        </w:tc>
        <w:tc>
          <w:tcPr>
            <w:tcW w:w="1984" w:type="dxa"/>
            <w:noWrap/>
            <w:hideMark/>
          </w:tcPr>
          <w:p w14:paraId="692260A0" w14:textId="77777777" w:rsidR="00E5191E" w:rsidRPr="00A80FC1" w:rsidRDefault="00E5191E" w:rsidP="009A7559">
            <w:pPr>
              <w:pStyle w:val="NoSpacing"/>
              <w:rPr>
                <w:lang w:eastAsia="zh-CN"/>
              </w:rPr>
            </w:pPr>
          </w:p>
        </w:tc>
      </w:tr>
      <w:tr w:rsidR="00E5191E" w:rsidRPr="00A80FC1" w14:paraId="75F64CC6" w14:textId="77777777" w:rsidTr="009A7559">
        <w:trPr>
          <w:trHeight w:val="278"/>
        </w:trPr>
        <w:tc>
          <w:tcPr>
            <w:tcW w:w="1413" w:type="dxa"/>
            <w:noWrap/>
          </w:tcPr>
          <w:p w14:paraId="7D2C0C1B" w14:textId="77777777" w:rsidR="00E5191E" w:rsidRPr="00A80FC1" w:rsidRDefault="00E5191E" w:rsidP="009A7559">
            <w:pPr>
              <w:pStyle w:val="NoSpacing"/>
              <w:rPr>
                <w:lang w:eastAsia="zh-CN"/>
              </w:rPr>
            </w:pPr>
            <w:r w:rsidRPr="00A80FC1">
              <w:rPr>
                <w:lang w:eastAsia="zh-CN"/>
              </w:rPr>
              <w:t>4</w:t>
            </w:r>
          </w:p>
        </w:tc>
        <w:tc>
          <w:tcPr>
            <w:tcW w:w="1559" w:type="dxa"/>
            <w:noWrap/>
          </w:tcPr>
          <w:p w14:paraId="1DD95309" w14:textId="77777777" w:rsidR="00E5191E" w:rsidRPr="00A80FC1" w:rsidRDefault="00E5191E" w:rsidP="009A7559">
            <w:pPr>
              <w:pStyle w:val="NoSpacing"/>
              <w:rPr>
                <w:lang w:eastAsia="zh-CN"/>
              </w:rPr>
            </w:pPr>
            <w:r w:rsidRPr="00A80FC1">
              <w:rPr>
                <w:lang w:eastAsia="zh-CN"/>
              </w:rPr>
              <w:t>-0,051727</w:t>
            </w:r>
          </w:p>
        </w:tc>
        <w:tc>
          <w:tcPr>
            <w:tcW w:w="1985" w:type="dxa"/>
            <w:noWrap/>
          </w:tcPr>
          <w:p w14:paraId="3553310D" w14:textId="77777777" w:rsidR="00E5191E" w:rsidRPr="00A80FC1" w:rsidRDefault="00E5191E" w:rsidP="009A7559">
            <w:pPr>
              <w:pStyle w:val="NoSpacing"/>
              <w:rPr>
                <w:lang w:eastAsia="zh-CN"/>
              </w:rPr>
            </w:pPr>
            <w:r w:rsidRPr="00A80FC1">
              <w:rPr>
                <w:lang w:eastAsia="zh-CN"/>
              </w:rPr>
              <w:t xml:space="preserve">0,004952    </w:t>
            </w:r>
          </w:p>
        </w:tc>
        <w:tc>
          <w:tcPr>
            <w:tcW w:w="1984" w:type="dxa"/>
            <w:noWrap/>
          </w:tcPr>
          <w:p w14:paraId="538D7CB7" w14:textId="77777777" w:rsidR="00E5191E" w:rsidRPr="00A80FC1" w:rsidRDefault="00E5191E" w:rsidP="009A7559">
            <w:pPr>
              <w:pStyle w:val="NoSpacing"/>
              <w:rPr>
                <w:lang w:eastAsia="zh-CN"/>
              </w:rPr>
            </w:pPr>
            <w:r w:rsidRPr="00A80FC1">
              <w:rPr>
                <w:lang w:eastAsia="zh-CN"/>
              </w:rPr>
              <w:t>2,3e-08</w:t>
            </w:r>
          </w:p>
        </w:tc>
      </w:tr>
      <w:tr w:rsidR="00E5191E" w:rsidRPr="00A80FC1" w14:paraId="4F0CCB95" w14:textId="77777777" w:rsidTr="009A7559">
        <w:trPr>
          <w:trHeight w:val="278"/>
        </w:trPr>
        <w:tc>
          <w:tcPr>
            <w:tcW w:w="1413" w:type="dxa"/>
            <w:noWrap/>
          </w:tcPr>
          <w:p w14:paraId="04EC2F09" w14:textId="77777777" w:rsidR="00E5191E" w:rsidRPr="00A80FC1" w:rsidRDefault="00E5191E" w:rsidP="009A7559">
            <w:pPr>
              <w:pStyle w:val="NoSpacing"/>
              <w:rPr>
                <w:lang w:eastAsia="zh-CN"/>
              </w:rPr>
            </w:pPr>
          </w:p>
        </w:tc>
        <w:tc>
          <w:tcPr>
            <w:tcW w:w="1559" w:type="dxa"/>
            <w:noWrap/>
          </w:tcPr>
          <w:p w14:paraId="73D51D58" w14:textId="77777777" w:rsidR="00E5191E" w:rsidRPr="00A80FC1" w:rsidRDefault="00E5191E" w:rsidP="009A7559">
            <w:pPr>
              <w:pStyle w:val="NoSpacing"/>
              <w:rPr>
                <w:lang w:eastAsia="zh-CN"/>
              </w:rPr>
            </w:pPr>
            <w:r w:rsidRPr="00A80FC1">
              <w:rPr>
                <w:lang w:eastAsia="zh-CN"/>
              </w:rPr>
              <w:t>0,000</w:t>
            </w:r>
          </w:p>
        </w:tc>
        <w:tc>
          <w:tcPr>
            <w:tcW w:w="1985" w:type="dxa"/>
            <w:noWrap/>
          </w:tcPr>
          <w:p w14:paraId="51D3B832" w14:textId="77777777" w:rsidR="00E5191E" w:rsidRPr="00A80FC1" w:rsidRDefault="00E5191E" w:rsidP="009A7559">
            <w:pPr>
              <w:pStyle w:val="NoSpacing"/>
              <w:rPr>
                <w:lang w:eastAsia="zh-CN"/>
              </w:rPr>
            </w:pPr>
            <w:r w:rsidRPr="00A80FC1">
              <w:rPr>
                <w:lang w:eastAsia="zh-CN"/>
              </w:rPr>
              <w:t xml:space="preserve">0,245      </w:t>
            </w:r>
          </w:p>
        </w:tc>
        <w:tc>
          <w:tcPr>
            <w:tcW w:w="1984" w:type="dxa"/>
            <w:noWrap/>
          </w:tcPr>
          <w:p w14:paraId="424E407D" w14:textId="77777777" w:rsidR="00E5191E" w:rsidRPr="00A80FC1" w:rsidRDefault="00E5191E" w:rsidP="009A7559">
            <w:pPr>
              <w:pStyle w:val="NoSpacing"/>
              <w:rPr>
                <w:lang w:eastAsia="zh-CN"/>
              </w:rPr>
            </w:pPr>
            <w:r w:rsidRPr="00A80FC1">
              <w:rPr>
                <w:lang w:eastAsia="zh-CN"/>
              </w:rPr>
              <w:t>1,000</w:t>
            </w:r>
          </w:p>
        </w:tc>
      </w:tr>
    </w:tbl>
    <w:p w14:paraId="0E8A5708" w14:textId="33C70D9C" w:rsidR="00E5191E" w:rsidRPr="00914350" w:rsidRDefault="00E5191E" w:rsidP="00914350">
      <w:pPr>
        <w:pStyle w:val="font-claude-response-body"/>
        <w:jc w:val="both"/>
        <w:rPr>
          <w:lang w:val="en-US"/>
        </w:rPr>
      </w:pPr>
      <w:r w:rsidRPr="00E5191E">
        <w:rPr>
          <w:lang w:val="en-US"/>
        </w:rPr>
        <w:t>Table 10 refines this analysis by comparing means pairwise. The results are unequivocal: the difference between Group 1 (Franc Zone) and all other groups is statistically significant (p-value = 0.000). In contrast, the difference in openness between the other groups (for example, Group 2 and Group 3) is not significant. This isolates the Franc Zone as a distinct set, notably more open than the other economies included in the comparison.</w:t>
      </w:r>
    </w:p>
    <w:p w14:paraId="0750FC20" w14:textId="69C5D400" w:rsidR="00E5191E" w:rsidRPr="00932FBE" w:rsidRDefault="00E5191E" w:rsidP="006E78B3">
      <w:pPr>
        <w:pStyle w:val="Caption"/>
        <w:rPr>
          <w:rFonts w:ascii="Times New Roman" w:eastAsia="SimSun" w:hAnsi="Times New Roman" w:cs="Times New Roman"/>
          <w:sz w:val="24"/>
          <w:lang w:val="en-US" w:eastAsia="zh-CN"/>
        </w:rPr>
      </w:pPr>
      <w:bookmarkStart w:id="14" w:name="_Toc215577662"/>
      <w:r w:rsidRPr="00932FBE">
        <w:rPr>
          <w:rFonts w:ascii="Times New Roman" w:hAnsi="Times New Roman" w:cs="Times New Roman"/>
          <w:b/>
          <w:i w:val="0"/>
          <w:color w:val="000000" w:themeColor="text1"/>
          <w:sz w:val="24"/>
          <w:szCs w:val="24"/>
          <w:lang w:val="en-US"/>
        </w:rPr>
        <w:t xml:space="preserve">Figure </w:t>
      </w:r>
      <w:r w:rsidRPr="00603361">
        <w:rPr>
          <w:rFonts w:ascii="Times New Roman" w:hAnsi="Times New Roman" w:cs="Times New Roman"/>
          <w:b/>
          <w:i w:val="0"/>
          <w:color w:val="000000" w:themeColor="text1"/>
          <w:sz w:val="24"/>
          <w:szCs w:val="24"/>
        </w:rPr>
        <w:fldChar w:fldCharType="begin"/>
      </w:r>
      <w:r w:rsidRPr="00932FBE">
        <w:rPr>
          <w:rFonts w:ascii="Times New Roman" w:hAnsi="Times New Roman" w:cs="Times New Roman"/>
          <w:b/>
          <w:i w:val="0"/>
          <w:color w:val="000000" w:themeColor="text1"/>
          <w:sz w:val="24"/>
          <w:szCs w:val="24"/>
          <w:lang w:val="en-US"/>
        </w:rPr>
        <w:instrText xml:space="preserve"> SEQ Figure \* ARABIC </w:instrText>
      </w:r>
      <w:r w:rsidRPr="00603361">
        <w:rPr>
          <w:rFonts w:ascii="Times New Roman" w:hAnsi="Times New Roman" w:cs="Times New Roman"/>
          <w:b/>
          <w:i w:val="0"/>
          <w:color w:val="000000" w:themeColor="text1"/>
          <w:sz w:val="24"/>
          <w:szCs w:val="24"/>
        </w:rPr>
        <w:fldChar w:fldCharType="separate"/>
      </w:r>
      <w:r w:rsidRPr="00932FBE">
        <w:rPr>
          <w:rFonts w:ascii="Times New Roman" w:hAnsi="Times New Roman" w:cs="Times New Roman"/>
          <w:b/>
          <w:i w:val="0"/>
          <w:noProof/>
          <w:color w:val="000000" w:themeColor="text1"/>
          <w:sz w:val="24"/>
          <w:szCs w:val="24"/>
          <w:lang w:val="en-US"/>
        </w:rPr>
        <w:t>4</w:t>
      </w:r>
      <w:r w:rsidRPr="00603361">
        <w:rPr>
          <w:rFonts w:ascii="Times New Roman" w:hAnsi="Times New Roman" w:cs="Times New Roman"/>
          <w:b/>
          <w:i w:val="0"/>
          <w:color w:val="000000" w:themeColor="text1"/>
          <w:sz w:val="24"/>
          <w:szCs w:val="24"/>
        </w:rPr>
        <w:fldChar w:fldCharType="end"/>
      </w:r>
      <w:r w:rsidRPr="00932FBE">
        <w:rPr>
          <w:rFonts w:ascii="Times New Roman" w:eastAsia="SimSun" w:hAnsi="Times New Roman" w:cs="Times New Roman"/>
          <w:b/>
          <w:i w:val="0"/>
          <w:color w:val="000000" w:themeColor="text1"/>
          <w:sz w:val="24"/>
          <w:szCs w:val="24"/>
          <w:lang w:val="en-US" w:eastAsia="zh-CN"/>
        </w:rPr>
        <w:t>:</w:t>
      </w:r>
      <w:r w:rsidRPr="00932FBE">
        <w:rPr>
          <w:rFonts w:ascii="Times New Roman" w:eastAsia="SimSun" w:hAnsi="Times New Roman" w:cs="Times New Roman"/>
          <w:i w:val="0"/>
          <w:color w:val="000000" w:themeColor="text1"/>
          <w:sz w:val="24"/>
          <w:szCs w:val="24"/>
          <w:lang w:val="en-US" w:eastAsia="zh-CN"/>
        </w:rPr>
        <w:t xml:space="preserve"> </w:t>
      </w:r>
      <w:bookmarkEnd w:id="14"/>
      <w:r w:rsidR="006E78B3" w:rsidRPr="00932FBE">
        <w:rPr>
          <w:rFonts w:ascii="Times New Roman" w:eastAsia="SimSun" w:hAnsi="Times New Roman" w:cs="Times New Roman"/>
          <w:i w:val="0"/>
          <w:color w:val="000000" w:themeColor="text1"/>
          <w:sz w:val="24"/>
          <w:szCs w:val="24"/>
          <w:lang w:val="en-US" w:eastAsia="zh-CN"/>
        </w:rPr>
        <w:t>Temporal analysis of economic opening</w:t>
      </w:r>
      <w:r w:rsidRPr="00A80FC1">
        <w:rPr>
          <w:rFonts w:ascii="Times New Roman" w:eastAsia="SimSun" w:hAnsi="Times New Roman" w:cs="Times New Roman"/>
          <w:noProof/>
          <w:sz w:val="24"/>
          <w:lang w:eastAsia="fr-FR"/>
        </w:rPr>
        <w:drawing>
          <wp:inline distT="0" distB="0" distL="0" distR="0" wp14:anchorId="48E51E95" wp14:editId="18D3147F">
            <wp:extent cx="5111115" cy="3296093"/>
            <wp:effectExtent l="19050" t="19050" r="13335" b="190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38320" cy="3313637"/>
                    </a:xfrm>
                    <a:prstGeom prst="rect">
                      <a:avLst/>
                    </a:prstGeom>
                    <a:noFill/>
                    <a:ln>
                      <a:solidFill>
                        <a:schemeClr val="tx1"/>
                      </a:solidFill>
                    </a:ln>
                  </pic:spPr>
                </pic:pic>
              </a:graphicData>
            </a:graphic>
          </wp:inline>
        </w:drawing>
      </w:r>
    </w:p>
    <w:p w14:paraId="16C7446B" w14:textId="77777777" w:rsidR="00E5191E" w:rsidRPr="00E5191E" w:rsidRDefault="00E5191E" w:rsidP="00E5191E">
      <w:pPr>
        <w:pStyle w:val="font-claude-response-body"/>
        <w:jc w:val="both"/>
        <w:rPr>
          <w:lang w:val="en-US"/>
        </w:rPr>
      </w:pPr>
      <w:r w:rsidRPr="00E5191E">
        <w:rPr>
          <w:lang w:val="en-US"/>
        </w:rPr>
        <w:t>Figure 4 provides a visualization of the temporal evolution of economic openness for each country in the zone. It can be observed that while the level and volatility of the ratio differ from one country to another (confirming the heterogeneity seen in the standard deviation), the general trend for the majority of countries is upward or stabilizing at a high level over the 1990-2020 period. This figure illustrates the permanence of this structural feature.</w:t>
      </w:r>
    </w:p>
    <w:p w14:paraId="7598693A" w14:textId="77777777" w:rsidR="00E5191E" w:rsidRPr="00E5191E" w:rsidRDefault="00E5191E" w:rsidP="00E5191E">
      <w:pPr>
        <w:pStyle w:val="font-claude-response-body"/>
        <w:jc w:val="both"/>
        <w:rPr>
          <w:lang w:val="en-US"/>
        </w:rPr>
      </w:pPr>
      <w:r w:rsidRPr="00E5191E">
        <w:rPr>
          <w:lang w:val="en-US"/>
        </w:rPr>
        <w:lastRenderedPageBreak/>
        <w:t>Table 11 seeks to identify the determinants of this high level of openness through a fixed effects model. The results show that GDP level, net inflows of Foreign Direct Investment (FDI), government effectiveness, urbanization rate, and degree of industrialization are significant and positive factors. This suggests that openness is not random but is correlated with economic fundamentals and institutional quality. Moreover, the positive and significant coefficients of the annual variables from the mid-2000s onward indicate an upward temporal trend in openness, independent of other factors, which could reflect an ongoing process of integration into the global economy.</w:t>
      </w:r>
    </w:p>
    <w:p w14:paraId="69369BEE" w14:textId="196C97C0" w:rsidR="00E5191E" w:rsidRPr="00E5191E" w:rsidRDefault="00E5191E" w:rsidP="00E5191E">
      <w:pPr>
        <w:pStyle w:val="Caption"/>
        <w:rPr>
          <w:rFonts w:ascii="Times New Roman" w:eastAsia="SimSun" w:hAnsi="Times New Roman" w:cs="Times New Roman"/>
          <w:i w:val="0"/>
          <w:color w:val="000000" w:themeColor="text1"/>
          <w:sz w:val="24"/>
          <w:szCs w:val="24"/>
          <w:lang w:val="en-US" w:eastAsia="zh-CN"/>
        </w:rPr>
      </w:pPr>
      <w:bookmarkStart w:id="15" w:name="_Toc215577689"/>
      <w:r w:rsidRPr="00E5191E">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E5191E">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E5191E">
        <w:rPr>
          <w:rFonts w:ascii="Times New Roman" w:hAnsi="Times New Roman" w:cs="Times New Roman"/>
          <w:b/>
          <w:i w:val="0"/>
          <w:noProof/>
          <w:color w:val="000000" w:themeColor="text1"/>
          <w:sz w:val="24"/>
          <w:szCs w:val="24"/>
          <w:lang w:val="en-US"/>
        </w:rPr>
        <w:t>11</w:t>
      </w:r>
      <w:r w:rsidRPr="00603361">
        <w:rPr>
          <w:rFonts w:ascii="Times New Roman" w:hAnsi="Times New Roman" w:cs="Times New Roman"/>
          <w:b/>
          <w:i w:val="0"/>
          <w:color w:val="000000" w:themeColor="text1"/>
          <w:sz w:val="24"/>
          <w:szCs w:val="24"/>
        </w:rPr>
        <w:fldChar w:fldCharType="end"/>
      </w:r>
      <w:r w:rsidRPr="00E5191E">
        <w:rPr>
          <w:rFonts w:ascii="Times New Roman" w:eastAsia="SimSun" w:hAnsi="Times New Roman" w:cs="Times New Roman"/>
          <w:i w:val="0"/>
          <w:color w:val="000000" w:themeColor="text1"/>
          <w:sz w:val="24"/>
          <w:szCs w:val="24"/>
          <w:lang w:val="en-US" w:eastAsia="zh-CN"/>
        </w:rPr>
        <w:t xml:space="preserve">: </w:t>
      </w:r>
      <w:bookmarkEnd w:id="15"/>
      <w:r w:rsidRPr="00E5191E">
        <w:rPr>
          <w:rFonts w:ascii="Times New Roman" w:eastAsia="SimSun" w:hAnsi="Times New Roman" w:cs="Times New Roman"/>
          <w:i w:val="0"/>
          <w:color w:val="000000" w:themeColor="text1"/>
          <w:sz w:val="24"/>
          <w:szCs w:val="24"/>
          <w:lang w:val="en-US" w:eastAsia="zh-CN"/>
        </w:rPr>
        <w:t>Determinant of economic openness (fixed-effects model)</w:t>
      </w:r>
    </w:p>
    <w:tbl>
      <w:tblPr>
        <w:tblW w:w="0" w:type="auto"/>
        <w:jc w:val="center"/>
        <w:tblLayout w:type="fixed"/>
        <w:tblCellMar>
          <w:left w:w="75" w:type="dxa"/>
          <w:right w:w="75" w:type="dxa"/>
        </w:tblCellMar>
        <w:tblLook w:val="0000" w:firstRow="0" w:lastRow="0" w:firstColumn="0" w:lastColumn="0" w:noHBand="0" w:noVBand="0"/>
      </w:tblPr>
      <w:tblGrid>
        <w:gridCol w:w="3402"/>
        <w:gridCol w:w="3852"/>
      </w:tblGrid>
      <w:tr w:rsidR="00E5191E" w:rsidRPr="00E83B5D" w14:paraId="34ABBF4F" w14:textId="77777777" w:rsidTr="009A7559">
        <w:trPr>
          <w:jc w:val="center"/>
        </w:trPr>
        <w:tc>
          <w:tcPr>
            <w:tcW w:w="3402" w:type="dxa"/>
            <w:tcBorders>
              <w:top w:val="single" w:sz="6" w:space="0" w:color="auto"/>
              <w:left w:val="nil"/>
              <w:bottom w:val="nil"/>
              <w:right w:val="nil"/>
            </w:tcBorders>
          </w:tcPr>
          <w:p w14:paraId="6F08E521" w14:textId="77777777" w:rsidR="00E5191E" w:rsidRPr="00E5191E" w:rsidRDefault="00E5191E" w:rsidP="009A7559">
            <w:pPr>
              <w:pStyle w:val="NoSpacing"/>
              <w:rPr>
                <w:rFonts w:ascii="Times New Roman" w:hAnsi="Times New Roman" w:cs="Times New Roman"/>
                <w:szCs w:val="20"/>
                <w:lang w:val="en-US" w:eastAsia="zh-CN"/>
              </w:rPr>
            </w:pPr>
          </w:p>
        </w:tc>
        <w:tc>
          <w:tcPr>
            <w:tcW w:w="3852" w:type="dxa"/>
            <w:tcBorders>
              <w:top w:val="single" w:sz="6" w:space="0" w:color="auto"/>
              <w:left w:val="nil"/>
              <w:bottom w:val="nil"/>
              <w:right w:val="nil"/>
            </w:tcBorders>
          </w:tcPr>
          <w:p w14:paraId="434B23D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(1)</w:t>
            </w:r>
          </w:p>
        </w:tc>
      </w:tr>
      <w:tr w:rsidR="00E5191E" w:rsidRPr="00E83B5D" w14:paraId="1E1C5306" w14:textId="77777777" w:rsidTr="009A7559">
        <w:trPr>
          <w:jc w:val="center"/>
        </w:trPr>
        <w:tc>
          <w:tcPr>
            <w:tcW w:w="3402" w:type="dxa"/>
            <w:tcBorders>
              <w:top w:val="nil"/>
              <w:left w:val="nil"/>
              <w:bottom w:val="single" w:sz="6" w:space="0" w:color="auto"/>
              <w:right w:val="nil"/>
            </w:tcBorders>
          </w:tcPr>
          <w:p w14:paraId="3BD7145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VARIABLES</w:t>
            </w:r>
          </w:p>
        </w:tc>
        <w:tc>
          <w:tcPr>
            <w:tcW w:w="3852" w:type="dxa"/>
            <w:tcBorders>
              <w:top w:val="nil"/>
              <w:left w:val="nil"/>
              <w:bottom w:val="single" w:sz="6" w:space="0" w:color="auto"/>
              <w:right w:val="nil"/>
            </w:tcBorders>
          </w:tcPr>
          <w:p w14:paraId="4535056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 xml:space="preserve">Ouverture économique </w:t>
            </w:r>
          </w:p>
        </w:tc>
      </w:tr>
      <w:tr w:rsidR="00E5191E" w:rsidRPr="00E83B5D" w14:paraId="240343BC" w14:textId="77777777" w:rsidTr="009A7559">
        <w:trPr>
          <w:jc w:val="center"/>
        </w:trPr>
        <w:tc>
          <w:tcPr>
            <w:tcW w:w="3402" w:type="dxa"/>
            <w:tcBorders>
              <w:top w:val="nil"/>
              <w:left w:val="nil"/>
              <w:bottom w:val="nil"/>
              <w:right w:val="nil"/>
            </w:tcBorders>
          </w:tcPr>
          <w:p w14:paraId="3FA9DF87"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2F1096B" w14:textId="77777777" w:rsidR="00E5191E" w:rsidRPr="00E83B5D" w:rsidRDefault="00E5191E" w:rsidP="009A7559">
            <w:pPr>
              <w:pStyle w:val="NoSpacing"/>
              <w:rPr>
                <w:rFonts w:ascii="Times New Roman" w:hAnsi="Times New Roman" w:cs="Times New Roman"/>
                <w:szCs w:val="20"/>
                <w:lang w:eastAsia="zh-CN"/>
              </w:rPr>
            </w:pPr>
          </w:p>
        </w:tc>
      </w:tr>
      <w:tr w:rsidR="00E5191E" w:rsidRPr="00E83B5D" w14:paraId="0408C7E2" w14:textId="77777777" w:rsidTr="009A7559">
        <w:trPr>
          <w:jc w:val="center"/>
        </w:trPr>
        <w:tc>
          <w:tcPr>
            <w:tcW w:w="3402" w:type="dxa"/>
            <w:tcBorders>
              <w:top w:val="nil"/>
              <w:left w:val="nil"/>
              <w:bottom w:val="nil"/>
              <w:right w:val="nil"/>
            </w:tcBorders>
          </w:tcPr>
          <w:p w14:paraId="2C4A527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PIB_</w:t>
            </w:r>
          </w:p>
        </w:tc>
        <w:tc>
          <w:tcPr>
            <w:tcW w:w="3852" w:type="dxa"/>
            <w:tcBorders>
              <w:top w:val="nil"/>
              <w:left w:val="nil"/>
              <w:bottom w:val="nil"/>
              <w:right w:val="nil"/>
            </w:tcBorders>
          </w:tcPr>
          <w:p w14:paraId="3A4BABC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0,10*</w:t>
            </w:r>
          </w:p>
        </w:tc>
      </w:tr>
      <w:tr w:rsidR="00E5191E" w:rsidRPr="00E83B5D" w14:paraId="02AAC5B2" w14:textId="77777777" w:rsidTr="009A7559">
        <w:trPr>
          <w:jc w:val="center"/>
        </w:trPr>
        <w:tc>
          <w:tcPr>
            <w:tcW w:w="3402" w:type="dxa"/>
            <w:tcBorders>
              <w:top w:val="nil"/>
              <w:left w:val="nil"/>
              <w:bottom w:val="nil"/>
              <w:right w:val="nil"/>
            </w:tcBorders>
          </w:tcPr>
          <w:p w14:paraId="5FE8E87D"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052BF6E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(0,254)</w:t>
            </w:r>
          </w:p>
        </w:tc>
      </w:tr>
      <w:tr w:rsidR="00E5191E" w:rsidRPr="00E83B5D" w14:paraId="22087F39" w14:textId="77777777" w:rsidTr="009A7559">
        <w:trPr>
          <w:jc w:val="center"/>
        </w:trPr>
        <w:tc>
          <w:tcPr>
            <w:tcW w:w="3402" w:type="dxa"/>
            <w:tcBorders>
              <w:top w:val="nil"/>
              <w:left w:val="nil"/>
              <w:bottom w:val="nil"/>
              <w:right w:val="nil"/>
            </w:tcBorders>
          </w:tcPr>
          <w:p w14:paraId="6C6EFABA"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L.PIB_</w:t>
            </w:r>
          </w:p>
        </w:tc>
        <w:tc>
          <w:tcPr>
            <w:tcW w:w="3852" w:type="dxa"/>
            <w:tcBorders>
              <w:top w:val="nil"/>
              <w:left w:val="nil"/>
              <w:bottom w:val="nil"/>
              <w:right w:val="nil"/>
            </w:tcBorders>
          </w:tcPr>
          <w:p w14:paraId="7895B33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-0,012**</w:t>
            </w:r>
          </w:p>
        </w:tc>
      </w:tr>
      <w:tr w:rsidR="00E5191E" w:rsidRPr="00E83B5D" w14:paraId="5CD7FFB3" w14:textId="77777777" w:rsidTr="009A7559">
        <w:trPr>
          <w:jc w:val="center"/>
        </w:trPr>
        <w:tc>
          <w:tcPr>
            <w:tcW w:w="3402" w:type="dxa"/>
            <w:tcBorders>
              <w:top w:val="nil"/>
              <w:left w:val="nil"/>
              <w:bottom w:val="nil"/>
              <w:right w:val="nil"/>
            </w:tcBorders>
          </w:tcPr>
          <w:p w14:paraId="3B058380"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5D929E8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(0,218)</w:t>
            </w:r>
          </w:p>
        </w:tc>
      </w:tr>
      <w:tr w:rsidR="00E5191E" w:rsidRPr="00E83B5D" w14:paraId="789B24AA" w14:textId="77777777" w:rsidTr="009A7559">
        <w:trPr>
          <w:jc w:val="center"/>
        </w:trPr>
        <w:tc>
          <w:tcPr>
            <w:tcW w:w="3402" w:type="dxa"/>
            <w:tcBorders>
              <w:top w:val="nil"/>
              <w:left w:val="nil"/>
              <w:bottom w:val="nil"/>
              <w:right w:val="nil"/>
            </w:tcBorders>
          </w:tcPr>
          <w:p w14:paraId="65795662" w14:textId="77777777" w:rsidR="00E5191E" w:rsidRPr="00E83B5D" w:rsidRDefault="00E5191E" w:rsidP="009A7559">
            <w:pPr>
              <w:pStyle w:val="NoSpacing"/>
              <w:rPr>
                <w:rFonts w:ascii="Times New Roman" w:hAnsi="Times New Roman" w:cs="Times New Roman"/>
                <w:szCs w:val="20"/>
                <w:lang w:eastAsia="zh-CN"/>
              </w:rPr>
            </w:pPr>
            <w:proofErr w:type="spellStart"/>
            <w:r w:rsidRPr="00E83B5D">
              <w:rPr>
                <w:rFonts w:ascii="Times New Roman" w:hAnsi="Times New Roman" w:cs="Times New Roman"/>
                <w:szCs w:val="20"/>
                <w:lang w:eastAsia="zh-CN"/>
              </w:rPr>
              <w:t>IDE_net</w:t>
            </w:r>
            <w:proofErr w:type="spellEnd"/>
          </w:p>
        </w:tc>
        <w:tc>
          <w:tcPr>
            <w:tcW w:w="3852" w:type="dxa"/>
            <w:tcBorders>
              <w:top w:val="nil"/>
              <w:left w:val="nil"/>
              <w:bottom w:val="nil"/>
              <w:right w:val="nil"/>
            </w:tcBorders>
          </w:tcPr>
          <w:p w14:paraId="7AF3DE1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3,682e+07***</w:t>
            </w:r>
          </w:p>
        </w:tc>
      </w:tr>
      <w:tr w:rsidR="00E5191E" w:rsidRPr="00E83B5D" w14:paraId="26F98A56" w14:textId="77777777" w:rsidTr="009A7559">
        <w:trPr>
          <w:jc w:val="center"/>
        </w:trPr>
        <w:tc>
          <w:tcPr>
            <w:tcW w:w="3402" w:type="dxa"/>
            <w:tcBorders>
              <w:top w:val="nil"/>
              <w:left w:val="nil"/>
              <w:bottom w:val="nil"/>
              <w:right w:val="nil"/>
            </w:tcBorders>
          </w:tcPr>
          <w:p w14:paraId="72DA7C93"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2EA061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(5,188e+06)</w:t>
            </w:r>
          </w:p>
        </w:tc>
      </w:tr>
      <w:tr w:rsidR="00E5191E" w:rsidRPr="00E83B5D" w14:paraId="12668F07" w14:textId="77777777" w:rsidTr="009A7559">
        <w:trPr>
          <w:jc w:val="center"/>
        </w:trPr>
        <w:tc>
          <w:tcPr>
            <w:tcW w:w="3402" w:type="dxa"/>
            <w:tcBorders>
              <w:top w:val="nil"/>
              <w:left w:val="nil"/>
              <w:bottom w:val="nil"/>
              <w:right w:val="nil"/>
            </w:tcBorders>
          </w:tcPr>
          <w:p w14:paraId="4E3CCC2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Efficacité du gouvernement</w:t>
            </w:r>
          </w:p>
        </w:tc>
        <w:tc>
          <w:tcPr>
            <w:tcW w:w="3852" w:type="dxa"/>
            <w:tcBorders>
              <w:top w:val="nil"/>
              <w:left w:val="nil"/>
              <w:bottom w:val="nil"/>
              <w:right w:val="nil"/>
            </w:tcBorders>
          </w:tcPr>
          <w:p w14:paraId="0D6FBB0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2,855e+07***</w:t>
            </w:r>
          </w:p>
        </w:tc>
      </w:tr>
      <w:tr w:rsidR="00E5191E" w:rsidRPr="00E83B5D" w14:paraId="67BFC81D" w14:textId="77777777" w:rsidTr="009A7559">
        <w:trPr>
          <w:jc w:val="center"/>
        </w:trPr>
        <w:tc>
          <w:tcPr>
            <w:tcW w:w="3402" w:type="dxa"/>
            <w:tcBorders>
              <w:top w:val="nil"/>
              <w:left w:val="nil"/>
              <w:bottom w:val="nil"/>
              <w:right w:val="nil"/>
            </w:tcBorders>
          </w:tcPr>
          <w:p w14:paraId="0389BBB7"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55F3097C"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(8,259e+06)</w:t>
            </w:r>
          </w:p>
        </w:tc>
      </w:tr>
      <w:tr w:rsidR="00E5191E" w:rsidRPr="00E83B5D" w14:paraId="040AADC9" w14:textId="77777777" w:rsidTr="009A7559">
        <w:trPr>
          <w:jc w:val="center"/>
        </w:trPr>
        <w:tc>
          <w:tcPr>
            <w:tcW w:w="3402" w:type="dxa"/>
            <w:tcBorders>
              <w:top w:val="nil"/>
              <w:left w:val="nil"/>
              <w:bottom w:val="nil"/>
              <w:right w:val="nil"/>
            </w:tcBorders>
          </w:tcPr>
          <w:p w14:paraId="436CFA38" w14:textId="77777777" w:rsidR="00E5191E" w:rsidRPr="00E83B5D" w:rsidRDefault="00E5191E" w:rsidP="009A7559">
            <w:pPr>
              <w:pStyle w:val="NoSpacing"/>
              <w:rPr>
                <w:rFonts w:ascii="Times New Roman" w:hAnsi="Times New Roman" w:cs="Times New Roman"/>
                <w:szCs w:val="20"/>
                <w:lang w:eastAsia="zh-CN"/>
              </w:rPr>
            </w:pPr>
            <w:proofErr w:type="spellStart"/>
            <w:proofErr w:type="gramStart"/>
            <w:r w:rsidRPr="00E83B5D">
              <w:rPr>
                <w:rFonts w:ascii="Times New Roman" w:hAnsi="Times New Roman" w:cs="Times New Roman"/>
                <w:szCs w:val="20"/>
                <w:lang w:eastAsia="zh-CN"/>
              </w:rPr>
              <w:t>population</w:t>
            </w:r>
            <w:proofErr w:type="gramEnd"/>
            <w:r w:rsidRPr="00E83B5D">
              <w:rPr>
                <w:rFonts w:ascii="Times New Roman" w:hAnsi="Times New Roman" w:cs="Times New Roman"/>
                <w:szCs w:val="20"/>
                <w:lang w:eastAsia="zh-CN"/>
              </w:rPr>
              <w:t>_Urbaine</w:t>
            </w:r>
            <w:proofErr w:type="spellEnd"/>
          </w:p>
        </w:tc>
        <w:tc>
          <w:tcPr>
            <w:tcW w:w="3852" w:type="dxa"/>
            <w:tcBorders>
              <w:top w:val="nil"/>
              <w:left w:val="nil"/>
              <w:bottom w:val="nil"/>
              <w:right w:val="nil"/>
            </w:tcBorders>
          </w:tcPr>
          <w:p w14:paraId="46C80F9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0,000942**</w:t>
            </w:r>
          </w:p>
        </w:tc>
      </w:tr>
      <w:tr w:rsidR="00E5191E" w:rsidRPr="00E83B5D" w14:paraId="3885B31E" w14:textId="77777777" w:rsidTr="009A7559">
        <w:trPr>
          <w:jc w:val="center"/>
        </w:trPr>
        <w:tc>
          <w:tcPr>
            <w:tcW w:w="3402" w:type="dxa"/>
            <w:tcBorders>
              <w:top w:val="nil"/>
              <w:left w:val="nil"/>
              <w:bottom w:val="nil"/>
              <w:right w:val="nil"/>
            </w:tcBorders>
          </w:tcPr>
          <w:p w14:paraId="28B9A5A7"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514C2E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(0,000423)</w:t>
            </w:r>
          </w:p>
        </w:tc>
      </w:tr>
      <w:tr w:rsidR="00E5191E" w:rsidRPr="00E83B5D" w14:paraId="19A104EB" w14:textId="77777777" w:rsidTr="009A7559">
        <w:trPr>
          <w:jc w:val="center"/>
        </w:trPr>
        <w:tc>
          <w:tcPr>
            <w:tcW w:w="3402" w:type="dxa"/>
            <w:tcBorders>
              <w:top w:val="nil"/>
              <w:left w:val="nil"/>
              <w:bottom w:val="nil"/>
              <w:right w:val="nil"/>
            </w:tcBorders>
          </w:tcPr>
          <w:p w14:paraId="7C355D5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 xml:space="preserve">Entrepreneuriat </w:t>
            </w:r>
          </w:p>
        </w:tc>
        <w:tc>
          <w:tcPr>
            <w:tcW w:w="3852" w:type="dxa"/>
            <w:tcBorders>
              <w:top w:val="nil"/>
              <w:left w:val="nil"/>
              <w:bottom w:val="nil"/>
              <w:right w:val="nil"/>
            </w:tcBorders>
          </w:tcPr>
          <w:p w14:paraId="264AAB7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0,025**</w:t>
            </w:r>
          </w:p>
        </w:tc>
      </w:tr>
      <w:tr w:rsidR="00E5191E" w:rsidRPr="00E83B5D" w14:paraId="165AA661" w14:textId="77777777" w:rsidTr="009A7559">
        <w:trPr>
          <w:jc w:val="center"/>
        </w:trPr>
        <w:tc>
          <w:tcPr>
            <w:tcW w:w="3402" w:type="dxa"/>
            <w:tcBorders>
              <w:top w:val="nil"/>
              <w:left w:val="nil"/>
              <w:bottom w:val="nil"/>
              <w:right w:val="nil"/>
            </w:tcBorders>
          </w:tcPr>
          <w:p w14:paraId="51467B8B"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17FE6AFA"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(0,2514)</w:t>
            </w:r>
          </w:p>
        </w:tc>
      </w:tr>
      <w:tr w:rsidR="00E5191E" w:rsidRPr="00E83B5D" w14:paraId="2AA53911" w14:textId="77777777" w:rsidTr="009A7559">
        <w:trPr>
          <w:jc w:val="center"/>
        </w:trPr>
        <w:tc>
          <w:tcPr>
            <w:tcW w:w="3402" w:type="dxa"/>
            <w:tcBorders>
              <w:top w:val="nil"/>
              <w:left w:val="nil"/>
              <w:bottom w:val="nil"/>
              <w:right w:val="nil"/>
            </w:tcBorders>
          </w:tcPr>
          <w:p w14:paraId="2EAD9B8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 xml:space="preserve">Industrialisation </w:t>
            </w:r>
          </w:p>
        </w:tc>
        <w:tc>
          <w:tcPr>
            <w:tcW w:w="3852" w:type="dxa"/>
            <w:tcBorders>
              <w:top w:val="nil"/>
              <w:left w:val="nil"/>
              <w:bottom w:val="nil"/>
              <w:right w:val="nil"/>
            </w:tcBorders>
          </w:tcPr>
          <w:p w14:paraId="5533432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0,00106*</w:t>
            </w:r>
          </w:p>
        </w:tc>
      </w:tr>
      <w:tr w:rsidR="00E5191E" w:rsidRPr="00E83B5D" w14:paraId="1EC04F78" w14:textId="77777777" w:rsidTr="009A7559">
        <w:trPr>
          <w:jc w:val="center"/>
        </w:trPr>
        <w:tc>
          <w:tcPr>
            <w:tcW w:w="3402" w:type="dxa"/>
            <w:tcBorders>
              <w:top w:val="nil"/>
              <w:left w:val="nil"/>
              <w:bottom w:val="nil"/>
              <w:right w:val="nil"/>
            </w:tcBorders>
          </w:tcPr>
          <w:p w14:paraId="1F8B1699"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35EEA1C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(0,000934)</w:t>
            </w:r>
          </w:p>
        </w:tc>
      </w:tr>
      <w:tr w:rsidR="00E5191E" w:rsidRPr="00E83B5D" w14:paraId="6A217C3A" w14:textId="77777777" w:rsidTr="009A7559">
        <w:trPr>
          <w:jc w:val="center"/>
        </w:trPr>
        <w:tc>
          <w:tcPr>
            <w:tcW w:w="3402" w:type="dxa"/>
            <w:tcBorders>
              <w:top w:val="nil"/>
              <w:left w:val="nil"/>
              <w:bottom w:val="nil"/>
              <w:right w:val="nil"/>
            </w:tcBorders>
          </w:tcPr>
          <w:p w14:paraId="52B566B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 xml:space="preserve">Année 1992 </w:t>
            </w:r>
          </w:p>
        </w:tc>
        <w:tc>
          <w:tcPr>
            <w:tcW w:w="3852" w:type="dxa"/>
            <w:tcBorders>
              <w:top w:val="nil"/>
              <w:left w:val="nil"/>
              <w:bottom w:val="nil"/>
              <w:right w:val="nil"/>
            </w:tcBorders>
          </w:tcPr>
          <w:p w14:paraId="1432563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-0,000389</w:t>
            </w:r>
          </w:p>
        </w:tc>
      </w:tr>
      <w:tr w:rsidR="00E5191E" w:rsidRPr="00E83B5D" w14:paraId="664D2BDE" w14:textId="77777777" w:rsidTr="009A7559">
        <w:trPr>
          <w:jc w:val="center"/>
        </w:trPr>
        <w:tc>
          <w:tcPr>
            <w:tcW w:w="3402" w:type="dxa"/>
            <w:tcBorders>
              <w:top w:val="nil"/>
              <w:left w:val="nil"/>
              <w:bottom w:val="nil"/>
              <w:right w:val="nil"/>
            </w:tcBorders>
          </w:tcPr>
          <w:p w14:paraId="21A7A287"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3712C64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(0,00579)</w:t>
            </w:r>
          </w:p>
        </w:tc>
      </w:tr>
      <w:tr w:rsidR="00E5191E" w:rsidRPr="00E83B5D" w14:paraId="299E4936" w14:textId="77777777" w:rsidTr="009A7559">
        <w:trPr>
          <w:jc w:val="center"/>
        </w:trPr>
        <w:tc>
          <w:tcPr>
            <w:tcW w:w="3402" w:type="dxa"/>
            <w:tcBorders>
              <w:top w:val="nil"/>
              <w:left w:val="nil"/>
              <w:bottom w:val="nil"/>
              <w:right w:val="nil"/>
            </w:tcBorders>
          </w:tcPr>
          <w:p w14:paraId="3998C59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1993</w:t>
            </w:r>
          </w:p>
        </w:tc>
        <w:tc>
          <w:tcPr>
            <w:tcW w:w="3852" w:type="dxa"/>
            <w:tcBorders>
              <w:top w:val="nil"/>
              <w:left w:val="nil"/>
              <w:bottom w:val="nil"/>
              <w:right w:val="nil"/>
            </w:tcBorders>
          </w:tcPr>
          <w:p w14:paraId="34E0A81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-0,00346</w:t>
            </w:r>
          </w:p>
        </w:tc>
      </w:tr>
      <w:tr w:rsidR="00E5191E" w:rsidRPr="00E83B5D" w14:paraId="6E05679F" w14:textId="77777777" w:rsidTr="009A7559">
        <w:trPr>
          <w:jc w:val="center"/>
        </w:trPr>
        <w:tc>
          <w:tcPr>
            <w:tcW w:w="3402" w:type="dxa"/>
            <w:tcBorders>
              <w:top w:val="nil"/>
              <w:left w:val="nil"/>
              <w:bottom w:val="nil"/>
              <w:right w:val="nil"/>
            </w:tcBorders>
          </w:tcPr>
          <w:p w14:paraId="386B6CF1"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0C3F289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(0,00583)</w:t>
            </w:r>
          </w:p>
        </w:tc>
      </w:tr>
      <w:tr w:rsidR="00E5191E" w:rsidRPr="00E83B5D" w14:paraId="51A43A13" w14:textId="77777777" w:rsidTr="009A7559">
        <w:trPr>
          <w:jc w:val="center"/>
        </w:trPr>
        <w:tc>
          <w:tcPr>
            <w:tcW w:w="3402" w:type="dxa"/>
            <w:tcBorders>
              <w:top w:val="nil"/>
              <w:left w:val="nil"/>
              <w:bottom w:val="nil"/>
              <w:right w:val="nil"/>
            </w:tcBorders>
          </w:tcPr>
          <w:p w14:paraId="60652A2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1994</w:t>
            </w:r>
          </w:p>
        </w:tc>
        <w:tc>
          <w:tcPr>
            <w:tcW w:w="3852" w:type="dxa"/>
            <w:tcBorders>
              <w:top w:val="nil"/>
              <w:left w:val="nil"/>
              <w:bottom w:val="nil"/>
              <w:right w:val="nil"/>
            </w:tcBorders>
          </w:tcPr>
          <w:p w14:paraId="240E3F6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-0,00788</w:t>
            </w:r>
          </w:p>
        </w:tc>
      </w:tr>
      <w:tr w:rsidR="00E5191E" w:rsidRPr="00E83B5D" w14:paraId="5FCAD30D" w14:textId="77777777" w:rsidTr="009A7559">
        <w:trPr>
          <w:jc w:val="center"/>
        </w:trPr>
        <w:tc>
          <w:tcPr>
            <w:tcW w:w="3402" w:type="dxa"/>
            <w:tcBorders>
              <w:top w:val="nil"/>
              <w:left w:val="nil"/>
              <w:bottom w:val="nil"/>
              <w:right w:val="nil"/>
            </w:tcBorders>
          </w:tcPr>
          <w:p w14:paraId="2454BFF3"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625486F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(0,00583)</w:t>
            </w:r>
          </w:p>
        </w:tc>
      </w:tr>
      <w:tr w:rsidR="00E5191E" w:rsidRPr="00E83B5D" w14:paraId="1DE4E6E5" w14:textId="77777777" w:rsidTr="009A7559">
        <w:trPr>
          <w:jc w:val="center"/>
        </w:trPr>
        <w:tc>
          <w:tcPr>
            <w:tcW w:w="3402" w:type="dxa"/>
            <w:tcBorders>
              <w:top w:val="nil"/>
              <w:left w:val="nil"/>
              <w:bottom w:val="nil"/>
              <w:right w:val="nil"/>
            </w:tcBorders>
          </w:tcPr>
          <w:p w14:paraId="030F765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1995</w:t>
            </w:r>
          </w:p>
        </w:tc>
        <w:tc>
          <w:tcPr>
            <w:tcW w:w="3852" w:type="dxa"/>
            <w:tcBorders>
              <w:top w:val="nil"/>
              <w:left w:val="nil"/>
              <w:bottom w:val="nil"/>
              <w:right w:val="nil"/>
            </w:tcBorders>
          </w:tcPr>
          <w:p w14:paraId="033B8834"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-0,00561</w:t>
            </w:r>
          </w:p>
        </w:tc>
      </w:tr>
      <w:tr w:rsidR="00E5191E" w:rsidRPr="00E83B5D" w14:paraId="55BB68C5" w14:textId="77777777" w:rsidTr="009A7559">
        <w:trPr>
          <w:jc w:val="center"/>
        </w:trPr>
        <w:tc>
          <w:tcPr>
            <w:tcW w:w="3402" w:type="dxa"/>
            <w:tcBorders>
              <w:top w:val="nil"/>
              <w:left w:val="nil"/>
              <w:bottom w:val="nil"/>
              <w:right w:val="nil"/>
            </w:tcBorders>
          </w:tcPr>
          <w:p w14:paraId="717AABE9"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0A22023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(0,00636)</w:t>
            </w:r>
          </w:p>
        </w:tc>
      </w:tr>
      <w:tr w:rsidR="00E5191E" w:rsidRPr="00E83B5D" w14:paraId="76EB286C" w14:textId="77777777" w:rsidTr="009A7559">
        <w:trPr>
          <w:jc w:val="center"/>
        </w:trPr>
        <w:tc>
          <w:tcPr>
            <w:tcW w:w="3402" w:type="dxa"/>
            <w:tcBorders>
              <w:top w:val="nil"/>
              <w:left w:val="nil"/>
              <w:bottom w:val="nil"/>
              <w:right w:val="nil"/>
            </w:tcBorders>
          </w:tcPr>
          <w:p w14:paraId="11AF2C4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1996</w:t>
            </w:r>
          </w:p>
        </w:tc>
        <w:tc>
          <w:tcPr>
            <w:tcW w:w="3852" w:type="dxa"/>
            <w:tcBorders>
              <w:top w:val="nil"/>
              <w:left w:val="nil"/>
              <w:bottom w:val="nil"/>
              <w:right w:val="nil"/>
            </w:tcBorders>
          </w:tcPr>
          <w:p w14:paraId="08426A0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-0,00273</w:t>
            </w:r>
          </w:p>
        </w:tc>
      </w:tr>
      <w:tr w:rsidR="00E5191E" w:rsidRPr="00E83B5D" w14:paraId="701DAD13" w14:textId="77777777" w:rsidTr="009A7559">
        <w:trPr>
          <w:jc w:val="center"/>
        </w:trPr>
        <w:tc>
          <w:tcPr>
            <w:tcW w:w="3402" w:type="dxa"/>
            <w:tcBorders>
              <w:top w:val="nil"/>
              <w:left w:val="nil"/>
              <w:bottom w:val="nil"/>
              <w:right w:val="nil"/>
            </w:tcBorders>
          </w:tcPr>
          <w:p w14:paraId="367A9DD0"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190501A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(0,00614)</w:t>
            </w:r>
          </w:p>
        </w:tc>
      </w:tr>
      <w:tr w:rsidR="00E5191E" w:rsidRPr="00E83B5D" w14:paraId="57D45CEE" w14:textId="77777777" w:rsidTr="009A7559">
        <w:trPr>
          <w:jc w:val="center"/>
        </w:trPr>
        <w:tc>
          <w:tcPr>
            <w:tcW w:w="3402" w:type="dxa"/>
            <w:tcBorders>
              <w:top w:val="nil"/>
              <w:left w:val="nil"/>
              <w:bottom w:val="nil"/>
              <w:right w:val="nil"/>
            </w:tcBorders>
          </w:tcPr>
          <w:p w14:paraId="3D85955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1997</w:t>
            </w:r>
          </w:p>
        </w:tc>
        <w:tc>
          <w:tcPr>
            <w:tcW w:w="3852" w:type="dxa"/>
            <w:tcBorders>
              <w:top w:val="nil"/>
              <w:left w:val="nil"/>
              <w:bottom w:val="nil"/>
              <w:right w:val="nil"/>
            </w:tcBorders>
          </w:tcPr>
          <w:p w14:paraId="48BEB93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-0,00611</w:t>
            </w:r>
          </w:p>
        </w:tc>
      </w:tr>
      <w:tr w:rsidR="00E5191E" w:rsidRPr="00E83B5D" w14:paraId="5784274C" w14:textId="77777777" w:rsidTr="009A7559">
        <w:trPr>
          <w:jc w:val="center"/>
        </w:trPr>
        <w:tc>
          <w:tcPr>
            <w:tcW w:w="3402" w:type="dxa"/>
            <w:tcBorders>
              <w:top w:val="nil"/>
              <w:left w:val="nil"/>
              <w:bottom w:val="nil"/>
              <w:right w:val="nil"/>
            </w:tcBorders>
          </w:tcPr>
          <w:p w14:paraId="08FDEA29"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100CD64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(0,00617)</w:t>
            </w:r>
          </w:p>
        </w:tc>
      </w:tr>
      <w:tr w:rsidR="00E5191E" w:rsidRPr="00E83B5D" w14:paraId="5D8089F6" w14:textId="77777777" w:rsidTr="009A7559">
        <w:trPr>
          <w:jc w:val="center"/>
        </w:trPr>
        <w:tc>
          <w:tcPr>
            <w:tcW w:w="3402" w:type="dxa"/>
            <w:tcBorders>
              <w:top w:val="nil"/>
              <w:left w:val="nil"/>
              <w:bottom w:val="nil"/>
              <w:right w:val="nil"/>
            </w:tcBorders>
          </w:tcPr>
          <w:p w14:paraId="03E4647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1998</w:t>
            </w:r>
          </w:p>
        </w:tc>
        <w:tc>
          <w:tcPr>
            <w:tcW w:w="3852" w:type="dxa"/>
            <w:tcBorders>
              <w:top w:val="nil"/>
              <w:left w:val="nil"/>
              <w:bottom w:val="nil"/>
              <w:right w:val="nil"/>
            </w:tcBorders>
          </w:tcPr>
          <w:p w14:paraId="6BEF7C4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-0,00352</w:t>
            </w:r>
          </w:p>
        </w:tc>
      </w:tr>
      <w:tr w:rsidR="00E5191E" w:rsidRPr="00E83B5D" w14:paraId="6883416D" w14:textId="77777777" w:rsidTr="009A7559">
        <w:trPr>
          <w:jc w:val="center"/>
        </w:trPr>
        <w:tc>
          <w:tcPr>
            <w:tcW w:w="3402" w:type="dxa"/>
            <w:tcBorders>
              <w:top w:val="nil"/>
              <w:left w:val="nil"/>
              <w:bottom w:val="nil"/>
              <w:right w:val="nil"/>
            </w:tcBorders>
          </w:tcPr>
          <w:p w14:paraId="2739831A"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6467430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(0,00621)</w:t>
            </w:r>
          </w:p>
        </w:tc>
      </w:tr>
      <w:tr w:rsidR="00E5191E" w:rsidRPr="00E83B5D" w14:paraId="4A90E977" w14:textId="77777777" w:rsidTr="009A7559">
        <w:trPr>
          <w:jc w:val="center"/>
        </w:trPr>
        <w:tc>
          <w:tcPr>
            <w:tcW w:w="3402" w:type="dxa"/>
            <w:tcBorders>
              <w:top w:val="nil"/>
              <w:left w:val="nil"/>
              <w:bottom w:val="nil"/>
              <w:right w:val="nil"/>
            </w:tcBorders>
          </w:tcPr>
          <w:p w14:paraId="0E71E34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1999</w:t>
            </w:r>
          </w:p>
        </w:tc>
        <w:tc>
          <w:tcPr>
            <w:tcW w:w="3852" w:type="dxa"/>
            <w:tcBorders>
              <w:top w:val="nil"/>
              <w:left w:val="nil"/>
              <w:bottom w:val="nil"/>
              <w:right w:val="nil"/>
            </w:tcBorders>
          </w:tcPr>
          <w:p w14:paraId="42296EEA"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-0,00691</w:t>
            </w:r>
          </w:p>
        </w:tc>
      </w:tr>
      <w:tr w:rsidR="00E5191E" w:rsidRPr="00E83B5D" w14:paraId="74CE2F27" w14:textId="77777777" w:rsidTr="009A7559">
        <w:trPr>
          <w:jc w:val="center"/>
        </w:trPr>
        <w:tc>
          <w:tcPr>
            <w:tcW w:w="3402" w:type="dxa"/>
            <w:tcBorders>
              <w:top w:val="nil"/>
              <w:left w:val="nil"/>
              <w:bottom w:val="nil"/>
              <w:right w:val="nil"/>
            </w:tcBorders>
          </w:tcPr>
          <w:p w14:paraId="345947A2"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601DDDA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(0,00626)</w:t>
            </w:r>
          </w:p>
        </w:tc>
      </w:tr>
      <w:tr w:rsidR="00E5191E" w:rsidRPr="00E83B5D" w14:paraId="31BE5EF1" w14:textId="77777777" w:rsidTr="009A7559">
        <w:trPr>
          <w:jc w:val="center"/>
        </w:trPr>
        <w:tc>
          <w:tcPr>
            <w:tcW w:w="3402" w:type="dxa"/>
            <w:tcBorders>
              <w:top w:val="nil"/>
              <w:left w:val="nil"/>
              <w:bottom w:val="nil"/>
              <w:right w:val="nil"/>
            </w:tcBorders>
          </w:tcPr>
          <w:p w14:paraId="24F3EE4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2000</w:t>
            </w:r>
          </w:p>
        </w:tc>
        <w:tc>
          <w:tcPr>
            <w:tcW w:w="3852" w:type="dxa"/>
            <w:tcBorders>
              <w:top w:val="nil"/>
              <w:left w:val="nil"/>
              <w:bottom w:val="nil"/>
              <w:right w:val="nil"/>
            </w:tcBorders>
          </w:tcPr>
          <w:p w14:paraId="3D09884A"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-0,0119*</w:t>
            </w:r>
          </w:p>
        </w:tc>
      </w:tr>
      <w:tr w:rsidR="00E5191E" w:rsidRPr="00E83B5D" w14:paraId="626E800B" w14:textId="77777777" w:rsidTr="009A7559">
        <w:trPr>
          <w:jc w:val="center"/>
        </w:trPr>
        <w:tc>
          <w:tcPr>
            <w:tcW w:w="3402" w:type="dxa"/>
            <w:tcBorders>
              <w:top w:val="nil"/>
              <w:left w:val="nil"/>
              <w:bottom w:val="nil"/>
              <w:right w:val="nil"/>
            </w:tcBorders>
          </w:tcPr>
          <w:p w14:paraId="6F4D1824"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BA4200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(0,00626)</w:t>
            </w:r>
          </w:p>
        </w:tc>
      </w:tr>
      <w:tr w:rsidR="00E5191E" w:rsidRPr="00E83B5D" w14:paraId="099DB907" w14:textId="77777777" w:rsidTr="009A7559">
        <w:trPr>
          <w:jc w:val="center"/>
        </w:trPr>
        <w:tc>
          <w:tcPr>
            <w:tcW w:w="3402" w:type="dxa"/>
            <w:tcBorders>
              <w:top w:val="nil"/>
              <w:left w:val="nil"/>
              <w:bottom w:val="nil"/>
              <w:right w:val="nil"/>
            </w:tcBorders>
          </w:tcPr>
          <w:p w14:paraId="4433006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2001</w:t>
            </w:r>
          </w:p>
        </w:tc>
        <w:tc>
          <w:tcPr>
            <w:tcW w:w="3852" w:type="dxa"/>
            <w:tcBorders>
              <w:top w:val="nil"/>
              <w:left w:val="nil"/>
              <w:bottom w:val="nil"/>
              <w:right w:val="nil"/>
            </w:tcBorders>
          </w:tcPr>
          <w:p w14:paraId="73A4856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-0,00914</w:t>
            </w:r>
          </w:p>
        </w:tc>
      </w:tr>
      <w:tr w:rsidR="00E5191E" w:rsidRPr="00E83B5D" w14:paraId="5F607744" w14:textId="77777777" w:rsidTr="009A7559">
        <w:trPr>
          <w:jc w:val="center"/>
        </w:trPr>
        <w:tc>
          <w:tcPr>
            <w:tcW w:w="3402" w:type="dxa"/>
            <w:tcBorders>
              <w:top w:val="nil"/>
              <w:left w:val="nil"/>
              <w:bottom w:val="nil"/>
              <w:right w:val="nil"/>
            </w:tcBorders>
          </w:tcPr>
          <w:p w14:paraId="02CFEC7B"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DAFE13A"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(0,00632)</w:t>
            </w:r>
          </w:p>
        </w:tc>
      </w:tr>
      <w:tr w:rsidR="00E5191E" w:rsidRPr="00E83B5D" w14:paraId="7F1EA7BB" w14:textId="77777777" w:rsidTr="009A7559">
        <w:trPr>
          <w:jc w:val="center"/>
        </w:trPr>
        <w:tc>
          <w:tcPr>
            <w:tcW w:w="3402" w:type="dxa"/>
            <w:tcBorders>
              <w:top w:val="nil"/>
              <w:left w:val="nil"/>
              <w:bottom w:val="nil"/>
              <w:right w:val="nil"/>
            </w:tcBorders>
          </w:tcPr>
          <w:p w14:paraId="12CC4C9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2002</w:t>
            </w:r>
          </w:p>
        </w:tc>
        <w:tc>
          <w:tcPr>
            <w:tcW w:w="3852" w:type="dxa"/>
            <w:tcBorders>
              <w:top w:val="nil"/>
              <w:left w:val="nil"/>
              <w:bottom w:val="nil"/>
              <w:right w:val="nil"/>
            </w:tcBorders>
          </w:tcPr>
          <w:p w14:paraId="42A2EB0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-0,00936</w:t>
            </w:r>
          </w:p>
        </w:tc>
      </w:tr>
      <w:tr w:rsidR="00E5191E" w:rsidRPr="00E83B5D" w14:paraId="6C96BBA2" w14:textId="77777777" w:rsidTr="009A7559">
        <w:trPr>
          <w:jc w:val="center"/>
        </w:trPr>
        <w:tc>
          <w:tcPr>
            <w:tcW w:w="3402" w:type="dxa"/>
            <w:tcBorders>
              <w:top w:val="nil"/>
              <w:left w:val="nil"/>
              <w:bottom w:val="nil"/>
              <w:right w:val="nil"/>
            </w:tcBorders>
          </w:tcPr>
          <w:p w14:paraId="5615A260"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17031704"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(0,00638)</w:t>
            </w:r>
          </w:p>
        </w:tc>
      </w:tr>
      <w:tr w:rsidR="00E5191E" w:rsidRPr="00E83B5D" w14:paraId="1CE3B886" w14:textId="77777777" w:rsidTr="009A7559">
        <w:trPr>
          <w:jc w:val="center"/>
        </w:trPr>
        <w:tc>
          <w:tcPr>
            <w:tcW w:w="3402" w:type="dxa"/>
            <w:tcBorders>
              <w:top w:val="nil"/>
              <w:left w:val="nil"/>
              <w:bottom w:val="nil"/>
              <w:right w:val="nil"/>
            </w:tcBorders>
          </w:tcPr>
          <w:p w14:paraId="6DA9251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2003</w:t>
            </w:r>
          </w:p>
        </w:tc>
        <w:tc>
          <w:tcPr>
            <w:tcW w:w="3852" w:type="dxa"/>
            <w:tcBorders>
              <w:top w:val="nil"/>
              <w:left w:val="nil"/>
              <w:bottom w:val="nil"/>
              <w:right w:val="nil"/>
            </w:tcBorders>
          </w:tcPr>
          <w:p w14:paraId="0D01E61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-0,00558</w:t>
            </w:r>
          </w:p>
        </w:tc>
      </w:tr>
      <w:tr w:rsidR="00E5191E" w:rsidRPr="00E83B5D" w14:paraId="11DF5EAF" w14:textId="77777777" w:rsidTr="009A7559">
        <w:trPr>
          <w:jc w:val="center"/>
        </w:trPr>
        <w:tc>
          <w:tcPr>
            <w:tcW w:w="3402" w:type="dxa"/>
            <w:tcBorders>
              <w:top w:val="nil"/>
              <w:left w:val="nil"/>
              <w:bottom w:val="nil"/>
              <w:right w:val="nil"/>
            </w:tcBorders>
          </w:tcPr>
          <w:p w14:paraId="672AB5CF"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6C8DAAD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(0,00645)</w:t>
            </w:r>
          </w:p>
        </w:tc>
      </w:tr>
      <w:tr w:rsidR="00E5191E" w:rsidRPr="00E83B5D" w14:paraId="489DF5C7" w14:textId="77777777" w:rsidTr="009A7559">
        <w:trPr>
          <w:jc w:val="center"/>
        </w:trPr>
        <w:tc>
          <w:tcPr>
            <w:tcW w:w="3402" w:type="dxa"/>
            <w:tcBorders>
              <w:top w:val="nil"/>
              <w:left w:val="nil"/>
              <w:bottom w:val="nil"/>
              <w:right w:val="nil"/>
            </w:tcBorders>
          </w:tcPr>
          <w:p w14:paraId="4140272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2004</w:t>
            </w:r>
          </w:p>
        </w:tc>
        <w:tc>
          <w:tcPr>
            <w:tcW w:w="3852" w:type="dxa"/>
            <w:tcBorders>
              <w:top w:val="nil"/>
              <w:left w:val="nil"/>
              <w:bottom w:val="nil"/>
              <w:right w:val="nil"/>
            </w:tcBorders>
          </w:tcPr>
          <w:p w14:paraId="552A08BC"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-0,000836</w:t>
            </w:r>
          </w:p>
        </w:tc>
      </w:tr>
      <w:tr w:rsidR="00E5191E" w:rsidRPr="00E83B5D" w14:paraId="5E8F2F0A" w14:textId="77777777" w:rsidTr="009A7559">
        <w:trPr>
          <w:jc w:val="center"/>
        </w:trPr>
        <w:tc>
          <w:tcPr>
            <w:tcW w:w="3402" w:type="dxa"/>
            <w:tcBorders>
              <w:top w:val="nil"/>
              <w:left w:val="nil"/>
              <w:bottom w:val="nil"/>
              <w:right w:val="nil"/>
            </w:tcBorders>
          </w:tcPr>
          <w:p w14:paraId="6EEAB931"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3DCF8E34"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(0,00651)</w:t>
            </w:r>
          </w:p>
        </w:tc>
      </w:tr>
      <w:tr w:rsidR="00E5191E" w:rsidRPr="00E83B5D" w14:paraId="3E7B999F" w14:textId="77777777" w:rsidTr="009A7559">
        <w:trPr>
          <w:jc w:val="center"/>
        </w:trPr>
        <w:tc>
          <w:tcPr>
            <w:tcW w:w="3402" w:type="dxa"/>
            <w:tcBorders>
              <w:top w:val="nil"/>
              <w:left w:val="nil"/>
              <w:bottom w:val="nil"/>
              <w:right w:val="nil"/>
            </w:tcBorders>
          </w:tcPr>
          <w:p w14:paraId="360C7DC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lastRenderedPageBreak/>
              <w:t>Année 2005</w:t>
            </w:r>
          </w:p>
        </w:tc>
        <w:tc>
          <w:tcPr>
            <w:tcW w:w="3852" w:type="dxa"/>
            <w:tcBorders>
              <w:top w:val="nil"/>
              <w:left w:val="nil"/>
              <w:bottom w:val="nil"/>
              <w:right w:val="nil"/>
            </w:tcBorders>
          </w:tcPr>
          <w:p w14:paraId="184231C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0,00386</w:t>
            </w:r>
          </w:p>
        </w:tc>
      </w:tr>
      <w:tr w:rsidR="00E5191E" w:rsidRPr="00E83B5D" w14:paraId="4E099C69" w14:textId="77777777" w:rsidTr="009A7559">
        <w:trPr>
          <w:jc w:val="center"/>
        </w:trPr>
        <w:tc>
          <w:tcPr>
            <w:tcW w:w="3402" w:type="dxa"/>
            <w:tcBorders>
              <w:top w:val="nil"/>
              <w:left w:val="nil"/>
              <w:bottom w:val="nil"/>
              <w:right w:val="nil"/>
            </w:tcBorders>
          </w:tcPr>
          <w:p w14:paraId="26C140CE"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5EDFE2B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(0,00629)</w:t>
            </w:r>
          </w:p>
        </w:tc>
      </w:tr>
      <w:tr w:rsidR="00E5191E" w:rsidRPr="00E83B5D" w14:paraId="40456FD2" w14:textId="77777777" w:rsidTr="009A7559">
        <w:trPr>
          <w:jc w:val="center"/>
        </w:trPr>
        <w:tc>
          <w:tcPr>
            <w:tcW w:w="3402" w:type="dxa"/>
            <w:tcBorders>
              <w:top w:val="nil"/>
              <w:left w:val="nil"/>
              <w:bottom w:val="nil"/>
              <w:right w:val="nil"/>
            </w:tcBorders>
          </w:tcPr>
          <w:p w14:paraId="61C253B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2006</w:t>
            </w:r>
          </w:p>
        </w:tc>
        <w:tc>
          <w:tcPr>
            <w:tcW w:w="3852" w:type="dxa"/>
            <w:tcBorders>
              <w:top w:val="nil"/>
              <w:left w:val="nil"/>
              <w:bottom w:val="nil"/>
              <w:right w:val="nil"/>
            </w:tcBorders>
          </w:tcPr>
          <w:p w14:paraId="7713739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0,0113*</w:t>
            </w:r>
          </w:p>
        </w:tc>
      </w:tr>
      <w:tr w:rsidR="00E5191E" w:rsidRPr="00E83B5D" w14:paraId="3F28DFE9" w14:textId="77777777" w:rsidTr="009A7559">
        <w:trPr>
          <w:jc w:val="center"/>
        </w:trPr>
        <w:tc>
          <w:tcPr>
            <w:tcW w:w="3402" w:type="dxa"/>
            <w:tcBorders>
              <w:top w:val="nil"/>
              <w:left w:val="nil"/>
              <w:bottom w:val="nil"/>
              <w:right w:val="nil"/>
            </w:tcBorders>
          </w:tcPr>
          <w:p w14:paraId="42DFA5BA"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18E5B3A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(0,00662)</w:t>
            </w:r>
          </w:p>
        </w:tc>
      </w:tr>
      <w:tr w:rsidR="00E5191E" w:rsidRPr="00E83B5D" w14:paraId="644C27CE" w14:textId="77777777" w:rsidTr="009A7559">
        <w:trPr>
          <w:jc w:val="center"/>
        </w:trPr>
        <w:tc>
          <w:tcPr>
            <w:tcW w:w="3402" w:type="dxa"/>
            <w:tcBorders>
              <w:top w:val="nil"/>
              <w:left w:val="nil"/>
              <w:bottom w:val="nil"/>
              <w:right w:val="nil"/>
            </w:tcBorders>
          </w:tcPr>
          <w:p w14:paraId="1E22BED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2007</w:t>
            </w:r>
          </w:p>
        </w:tc>
        <w:tc>
          <w:tcPr>
            <w:tcW w:w="3852" w:type="dxa"/>
            <w:tcBorders>
              <w:top w:val="nil"/>
              <w:left w:val="nil"/>
              <w:bottom w:val="nil"/>
              <w:right w:val="nil"/>
            </w:tcBorders>
          </w:tcPr>
          <w:p w14:paraId="3601209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0,0231***</w:t>
            </w:r>
          </w:p>
        </w:tc>
      </w:tr>
      <w:tr w:rsidR="00E5191E" w:rsidRPr="00E83B5D" w14:paraId="5A65A48F" w14:textId="77777777" w:rsidTr="009A7559">
        <w:trPr>
          <w:jc w:val="center"/>
        </w:trPr>
        <w:tc>
          <w:tcPr>
            <w:tcW w:w="3402" w:type="dxa"/>
            <w:tcBorders>
              <w:top w:val="nil"/>
              <w:left w:val="nil"/>
              <w:bottom w:val="nil"/>
              <w:right w:val="nil"/>
            </w:tcBorders>
          </w:tcPr>
          <w:p w14:paraId="589FF9B4"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0C3B4F8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(0,00648)</w:t>
            </w:r>
          </w:p>
        </w:tc>
      </w:tr>
      <w:tr w:rsidR="00E5191E" w:rsidRPr="00E83B5D" w14:paraId="269B9EA9" w14:textId="77777777" w:rsidTr="009A7559">
        <w:trPr>
          <w:jc w:val="center"/>
        </w:trPr>
        <w:tc>
          <w:tcPr>
            <w:tcW w:w="3402" w:type="dxa"/>
            <w:tcBorders>
              <w:top w:val="nil"/>
              <w:left w:val="nil"/>
              <w:bottom w:val="nil"/>
              <w:right w:val="nil"/>
            </w:tcBorders>
          </w:tcPr>
          <w:p w14:paraId="0866F19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2008</w:t>
            </w:r>
          </w:p>
        </w:tc>
        <w:tc>
          <w:tcPr>
            <w:tcW w:w="3852" w:type="dxa"/>
            <w:tcBorders>
              <w:top w:val="nil"/>
              <w:left w:val="nil"/>
              <w:bottom w:val="nil"/>
              <w:right w:val="nil"/>
            </w:tcBorders>
          </w:tcPr>
          <w:p w14:paraId="704F206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0,0323***</w:t>
            </w:r>
          </w:p>
        </w:tc>
      </w:tr>
      <w:tr w:rsidR="00E5191E" w:rsidRPr="00E83B5D" w14:paraId="2787D4CA" w14:textId="77777777" w:rsidTr="009A7559">
        <w:trPr>
          <w:jc w:val="center"/>
        </w:trPr>
        <w:tc>
          <w:tcPr>
            <w:tcW w:w="3402" w:type="dxa"/>
            <w:tcBorders>
              <w:top w:val="nil"/>
              <w:left w:val="nil"/>
              <w:bottom w:val="nil"/>
              <w:right w:val="nil"/>
            </w:tcBorders>
          </w:tcPr>
          <w:p w14:paraId="3B22818D"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35D0D4F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(0,00656)</w:t>
            </w:r>
          </w:p>
        </w:tc>
      </w:tr>
      <w:tr w:rsidR="00E5191E" w:rsidRPr="00E83B5D" w14:paraId="1100A5A2" w14:textId="77777777" w:rsidTr="009A7559">
        <w:trPr>
          <w:jc w:val="center"/>
        </w:trPr>
        <w:tc>
          <w:tcPr>
            <w:tcW w:w="3402" w:type="dxa"/>
            <w:tcBorders>
              <w:top w:val="nil"/>
              <w:left w:val="nil"/>
              <w:bottom w:val="nil"/>
              <w:right w:val="nil"/>
            </w:tcBorders>
          </w:tcPr>
          <w:p w14:paraId="20FB0BEC"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2009</w:t>
            </w:r>
          </w:p>
        </w:tc>
        <w:tc>
          <w:tcPr>
            <w:tcW w:w="3852" w:type="dxa"/>
            <w:tcBorders>
              <w:top w:val="nil"/>
              <w:left w:val="nil"/>
              <w:bottom w:val="nil"/>
              <w:right w:val="nil"/>
            </w:tcBorders>
          </w:tcPr>
          <w:p w14:paraId="5A051B9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0,0276***</w:t>
            </w:r>
          </w:p>
        </w:tc>
      </w:tr>
      <w:tr w:rsidR="00E5191E" w:rsidRPr="00E83B5D" w14:paraId="493C24DF" w14:textId="77777777" w:rsidTr="009A7559">
        <w:trPr>
          <w:jc w:val="center"/>
        </w:trPr>
        <w:tc>
          <w:tcPr>
            <w:tcW w:w="3402" w:type="dxa"/>
            <w:tcBorders>
              <w:top w:val="nil"/>
              <w:left w:val="nil"/>
              <w:bottom w:val="nil"/>
              <w:right w:val="nil"/>
            </w:tcBorders>
          </w:tcPr>
          <w:p w14:paraId="60DF04A7"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66C25B7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(0,00664)</w:t>
            </w:r>
          </w:p>
        </w:tc>
      </w:tr>
      <w:tr w:rsidR="00E5191E" w:rsidRPr="00E83B5D" w14:paraId="1EA9D826" w14:textId="77777777" w:rsidTr="009A7559">
        <w:trPr>
          <w:jc w:val="center"/>
        </w:trPr>
        <w:tc>
          <w:tcPr>
            <w:tcW w:w="3402" w:type="dxa"/>
            <w:tcBorders>
              <w:top w:val="nil"/>
              <w:left w:val="nil"/>
              <w:bottom w:val="nil"/>
              <w:right w:val="nil"/>
            </w:tcBorders>
          </w:tcPr>
          <w:p w14:paraId="235F58C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2010</w:t>
            </w:r>
          </w:p>
        </w:tc>
        <w:tc>
          <w:tcPr>
            <w:tcW w:w="3852" w:type="dxa"/>
            <w:tcBorders>
              <w:top w:val="nil"/>
              <w:left w:val="nil"/>
              <w:bottom w:val="nil"/>
              <w:right w:val="nil"/>
            </w:tcBorders>
          </w:tcPr>
          <w:p w14:paraId="1BDD950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0,0302***</w:t>
            </w:r>
          </w:p>
        </w:tc>
      </w:tr>
      <w:tr w:rsidR="00E5191E" w:rsidRPr="00E83B5D" w14:paraId="17A70C12" w14:textId="77777777" w:rsidTr="009A7559">
        <w:trPr>
          <w:jc w:val="center"/>
        </w:trPr>
        <w:tc>
          <w:tcPr>
            <w:tcW w:w="3402" w:type="dxa"/>
            <w:tcBorders>
              <w:top w:val="nil"/>
              <w:left w:val="nil"/>
              <w:bottom w:val="nil"/>
              <w:right w:val="nil"/>
            </w:tcBorders>
          </w:tcPr>
          <w:p w14:paraId="74D5F7A7"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F8AB74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(0,00676)</w:t>
            </w:r>
          </w:p>
        </w:tc>
      </w:tr>
      <w:tr w:rsidR="00E5191E" w:rsidRPr="00E83B5D" w14:paraId="57FF5035" w14:textId="77777777" w:rsidTr="009A7559">
        <w:trPr>
          <w:jc w:val="center"/>
        </w:trPr>
        <w:tc>
          <w:tcPr>
            <w:tcW w:w="3402" w:type="dxa"/>
            <w:tcBorders>
              <w:top w:val="nil"/>
              <w:left w:val="nil"/>
              <w:bottom w:val="nil"/>
              <w:right w:val="nil"/>
            </w:tcBorders>
          </w:tcPr>
          <w:p w14:paraId="7E86D51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2011</w:t>
            </w:r>
          </w:p>
        </w:tc>
        <w:tc>
          <w:tcPr>
            <w:tcW w:w="3852" w:type="dxa"/>
            <w:tcBorders>
              <w:top w:val="nil"/>
              <w:left w:val="nil"/>
              <w:bottom w:val="nil"/>
              <w:right w:val="nil"/>
            </w:tcBorders>
          </w:tcPr>
          <w:p w14:paraId="15AAE42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0,0364***</w:t>
            </w:r>
          </w:p>
        </w:tc>
      </w:tr>
      <w:tr w:rsidR="00E5191E" w:rsidRPr="00E83B5D" w14:paraId="7A797820" w14:textId="77777777" w:rsidTr="009A7559">
        <w:trPr>
          <w:jc w:val="center"/>
        </w:trPr>
        <w:tc>
          <w:tcPr>
            <w:tcW w:w="3402" w:type="dxa"/>
            <w:tcBorders>
              <w:top w:val="nil"/>
              <w:left w:val="nil"/>
              <w:bottom w:val="nil"/>
              <w:right w:val="nil"/>
            </w:tcBorders>
          </w:tcPr>
          <w:p w14:paraId="78B4E940"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F6540F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(0,00691)</w:t>
            </w:r>
          </w:p>
        </w:tc>
      </w:tr>
      <w:tr w:rsidR="00E5191E" w:rsidRPr="00E83B5D" w14:paraId="66D1DF7C" w14:textId="77777777" w:rsidTr="009A7559">
        <w:trPr>
          <w:jc w:val="center"/>
        </w:trPr>
        <w:tc>
          <w:tcPr>
            <w:tcW w:w="3402" w:type="dxa"/>
            <w:tcBorders>
              <w:top w:val="nil"/>
              <w:left w:val="nil"/>
              <w:bottom w:val="nil"/>
              <w:right w:val="nil"/>
            </w:tcBorders>
          </w:tcPr>
          <w:p w14:paraId="21025944"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2012</w:t>
            </w:r>
          </w:p>
        </w:tc>
        <w:tc>
          <w:tcPr>
            <w:tcW w:w="3852" w:type="dxa"/>
            <w:tcBorders>
              <w:top w:val="nil"/>
              <w:left w:val="nil"/>
              <w:bottom w:val="nil"/>
              <w:right w:val="nil"/>
            </w:tcBorders>
          </w:tcPr>
          <w:p w14:paraId="7227401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0,0344***</w:t>
            </w:r>
          </w:p>
        </w:tc>
      </w:tr>
      <w:tr w:rsidR="00E5191E" w:rsidRPr="00E83B5D" w14:paraId="6575B8FB" w14:textId="77777777" w:rsidTr="009A7559">
        <w:trPr>
          <w:jc w:val="center"/>
        </w:trPr>
        <w:tc>
          <w:tcPr>
            <w:tcW w:w="3402" w:type="dxa"/>
            <w:tcBorders>
              <w:top w:val="nil"/>
              <w:left w:val="nil"/>
              <w:bottom w:val="nil"/>
              <w:right w:val="nil"/>
            </w:tcBorders>
          </w:tcPr>
          <w:p w14:paraId="1C777616"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2DF9DBE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(0,00697)</w:t>
            </w:r>
          </w:p>
        </w:tc>
      </w:tr>
      <w:tr w:rsidR="00E5191E" w:rsidRPr="00E83B5D" w14:paraId="513BBAFE" w14:textId="77777777" w:rsidTr="009A7559">
        <w:trPr>
          <w:jc w:val="center"/>
        </w:trPr>
        <w:tc>
          <w:tcPr>
            <w:tcW w:w="3402" w:type="dxa"/>
            <w:tcBorders>
              <w:top w:val="nil"/>
              <w:left w:val="nil"/>
              <w:bottom w:val="nil"/>
              <w:right w:val="nil"/>
            </w:tcBorders>
          </w:tcPr>
          <w:p w14:paraId="7046586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2013</w:t>
            </w:r>
          </w:p>
        </w:tc>
        <w:tc>
          <w:tcPr>
            <w:tcW w:w="3852" w:type="dxa"/>
            <w:tcBorders>
              <w:top w:val="nil"/>
              <w:left w:val="nil"/>
              <w:bottom w:val="nil"/>
              <w:right w:val="nil"/>
            </w:tcBorders>
          </w:tcPr>
          <w:p w14:paraId="55B9BAA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0,0400***</w:t>
            </w:r>
          </w:p>
        </w:tc>
      </w:tr>
      <w:tr w:rsidR="00E5191E" w:rsidRPr="00E83B5D" w14:paraId="09CA8125" w14:textId="77777777" w:rsidTr="009A7559">
        <w:trPr>
          <w:jc w:val="center"/>
        </w:trPr>
        <w:tc>
          <w:tcPr>
            <w:tcW w:w="3402" w:type="dxa"/>
            <w:tcBorders>
              <w:top w:val="nil"/>
              <w:left w:val="nil"/>
              <w:bottom w:val="nil"/>
              <w:right w:val="nil"/>
            </w:tcBorders>
          </w:tcPr>
          <w:p w14:paraId="7B817FEE"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3215CF9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(0,00710)</w:t>
            </w:r>
          </w:p>
        </w:tc>
      </w:tr>
      <w:tr w:rsidR="00E5191E" w:rsidRPr="00E83B5D" w14:paraId="73C2CC48" w14:textId="77777777" w:rsidTr="009A7559">
        <w:trPr>
          <w:jc w:val="center"/>
        </w:trPr>
        <w:tc>
          <w:tcPr>
            <w:tcW w:w="3402" w:type="dxa"/>
            <w:tcBorders>
              <w:top w:val="nil"/>
              <w:left w:val="nil"/>
              <w:bottom w:val="nil"/>
              <w:right w:val="nil"/>
            </w:tcBorders>
          </w:tcPr>
          <w:p w14:paraId="38C92A6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2014</w:t>
            </w:r>
          </w:p>
        </w:tc>
        <w:tc>
          <w:tcPr>
            <w:tcW w:w="3852" w:type="dxa"/>
            <w:tcBorders>
              <w:top w:val="nil"/>
              <w:left w:val="nil"/>
              <w:bottom w:val="nil"/>
              <w:right w:val="nil"/>
            </w:tcBorders>
          </w:tcPr>
          <w:p w14:paraId="186B9F1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0,0383***</w:t>
            </w:r>
          </w:p>
        </w:tc>
      </w:tr>
      <w:tr w:rsidR="00E5191E" w:rsidRPr="00E83B5D" w14:paraId="59E0B260" w14:textId="77777777" w:rsidTr="009A7559">
        <w:trPr>
          <w:jc w:val="center"/>
        </w:trPr>
        <w:tc>
          <w:tcPr>
            <w:tcW w:w="3402" w:type="dxa"/>
            <w:tcBorders>
              <w:top w:val="nil"/>
              <w:left w:val="nil"/>
              <w:bottom w:val="nil"/>
              <w:right w:val="nil"/>
            </w:tcBorders>
          </w:tcPr>
          <w:p w14:paraId="1323D654"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60E204D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(0,00729)</w:t>
            </w:r>
          </w:p>
        </w:tc>
      </w:tr>
      <w:tr w:rsidR="00E5191E" w:rsidRPr="00E83B5D" w14:paraId="6270B191" w14:textId="77777777" w:rsidTr="009A7559">
        <w:trPr>
          <w:jc w:val="center"/>
        </w:trPr>
        <w:tc>
          <w:tcPr>
            <w:tcW w:w="3402" w:type="dxa"/>
            <w:tcBorders>
              <w:top w:val="nil"/>
              <w:left w:val="nil"/>
              <w:bottom w:val="nil"/>
              <w:right w:val="nil"/>
            </w:tcBorders>
          </w:tcPr>
          <w:p w14:paraId="1C27F9E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2015</w:t>
            </w:r>
          </w:p>
        </w:tc>
        <w:tc>
          <w:tcPr>
            <w:tcW w:w="3852" w:type="dxa"/>
            <w:tcBorders>
              <w:top w:val="nil"/>
              <w:left w:val="nil"/>
              <w:bottom w:val="nil"/>
              <w:right w:val="nil"/>
            </w:tcBorders>
          </w:tcPr>
          <w:p w14:paraId="44AAAB0C"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0,0269***</w:t>
            </w:r>
          </w:p>
        </w:tc>
      </w:tr>
      <w:tr w:rsidR="00E5191E" w:rsidRPr="00E83B5D" w14:paraId="695FD878" w14:textId="77777777" w:rsidTr="009A7559">
        <w:trPr>
          <w:jc w:val="center"/>
        </w:trPr>
        <w:tc>
          <w:tcPr>
            <w:tcW w:w="3402" w:type="dxa"/>
            <w:tcBorders>
              <w:top w:val="nil"/>
              <w:left w:val="nil"/>
              <w:bottom w:val="nil"/>
              <w:right w:val="nil"/>
            </w:tcBorders>
          </w:tcPr>
          <w:p w14:paraId="1858E916"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25F2A99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(0,00742)</w:t>
            </w:r>
          </w:p>
        </w:tc>
      </w:tr>
      <w:tr w:rsidR="00E5191E" w:rsidRPr="00E83B5D" w14:paraId="095211C3" w14:textId="77777777" w:rsidTr="009A7559">
        <w:trPr>
          <w:jc w:val="center"/>
        </w:trPr>
        <w:tc>
          <w:tcPr>
            <w:tcW w:w="3402" w:type="dxa"/>
            <w:tcBorders>
              <w:top w:val="nil"/>
              <w:left w:val="nil"/>
              <w:bottom w:val="nil"/>
              <w:right w:val="nil"/>
            </w:tcBorders>
          </w:tcPr>
          <w:p w14:paraId="1D0067A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2016</w:t>
            </w:r>
          </w:p>
        </w:tc>
        <w:tc>
          <w:tcPr>
            <w:tcW w:w="3852" w:type="dxa"/>
            <w:tcBorders>
              <w:top w:val="nil"/>
              <w:left w:val="nil"/>
              <w:bottom w:val="nil"/>
              <w:right w:val="nil"/>
            </w:tcBorders>
          </w:tcPr>
          <w:p w14:paraId="33957FBC"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0,0280***</w:t>
            </w:r>
          </w:p>
        </w:tc>
      </w:tr>
      <w:tr w:rsidR="00E5191E" w:rsidRPr="00E83B5D" w14:paraId="3BC2A205" w14:textId="77777777" w:rsidTr="009A7559">
        <w:trPr>
          <w:jc w:val="center"/>
        </w:trPr>
        <w:tc>
          <w:tcPr>
            <w:tcW w:w="3402" w:type="dxa"/>
            <w:tcBorders>
              <w:top w:val="nil"/>
              <w:left w:val="nil"/>
              <w:bottom w:val="nil"/>
              <w:right w:val="nil"/>
            </w:tcBorders>
          </w:tcPr>
          <w:p w14:paraId="2C801DBD"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A01A27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(0,00762)</w:t>
            </w:r>
          </w:p>
        </w:tc>
      </w:tr>
      <w:tr w:rsidR="00E5191E" w:rsidRPr="00E83B5D" w14:paraId="182A4C7A" w14:textId="77777777" w:rsidTr="009A7559">
        <w:trPr>
          <w:jc w:val="center"/>
        </w:trPr>
        <w:tc>
          <w:tcPr>
            <w:tcW w:w="3402" w:type="dxa"/>
            <w:tcBorders>
              <w:top w:val="nil"/>
              <w:left w:val="nil"/>
              <w:bottom w:val="nil"/>
              <w:right w:val="nil"/>
            </w:tcBorders>
          </w:tcPr>
          <w:p w14:paraId="34CE7E2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2017</w:t>
            </w:r>
          </w:p>
        </w:tc>
        <w:tc>
          <w:tcPr>
            <w:tcW w:w="3852" w:type="dxa"/>
            <w:tcBorders>
              <w:top w:val="nil"/>
              <w:left w:val="nil"/>
              <w:bottom w:val="nil"/>
              <w:right w:val="nil"/>
            </w:tcBorders>
          </w:tcPr>
          <w:p w14:paraId="70CA339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0,0236***</w:t>
            </w:r>
          </w:p>
        </w:tc>
      </w:tr>
      <w:tr w:rsidR="00E5191E" w:rsidRPr="00E83B5D" w14:paraId="27CF6854" w14:textId="77777777" w:rsidTr="009A7559">
        <w:trPr>
          <w:jc w:val="center"/>
        </w:trPr>
        <w:tc>
          <w:tcPr>
            <w:tcW w:w="3402" w:type="dxa"/>
            <w:tcBorders>
              <w:top w:val="nil"/>
              <w:left w:val="nil"/>
              <w:bottom w:val="nil"/>
              <w:right w:val="nil"/>
            </w:tcBorders>
          </w:tcPr>
          <w:p w14:paraId="29C49A58"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661FA6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(0,00799)</w:t>
            </w:r>
          </w:p>
        </w:tc>
      </w:tr>
      <w:tr w:rsidR="00E5191E" w:rsidRPr="00E83B5D" w14:paraId="6C599992" w14:textId="77777777" w:rsidTr="009A7559">
        <w:trPr>
          <w:jc w:val="center"/>
        </w:trPr>
        <w:tc>
          <w:tcPr>
            <w:tcW w:w="3402" w:type="dxa"/>
            <w:tcBorders>
              <w:top w:val="nil"/>
              <w:left w:val="nil"/>
              <w:bottom w:val="nil"/>
              <w:right w:val="nil"/>
            </w:tcBorders>
          </w:tcPr>
          <w:p w14:paraId="5AE2398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2018</w:t>
            </w:r>
          </w:p>
        </w:tc>
        <w:tc>
          <w:tcPr>
            <w:tcW w:w="3852" w:type="dxa"/>
            <w:tcBorders>
              <w:top w:val="nil"/>
              <w:left w:val="nil"/>
              <w:bottom w:val="nil"/>
              <w:right w:val="nil"/>
            </w:tcBorders>
          </w:tcPr>
          <w:p w14:paraId="33C6CAAA"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0,0283***</w:t>
            </w:r>
          </w:p>
        </w:tc>
      </w:tr>
      <w:tr w:rsidR="00E5191E" w:rsidRPr="00E83B5D" w14:paraId="116B23C2" w14:textId="77777777" w:rsidTr="009A7559">
        <w:trPr>
          <w:jc w:val="center"/>
        </w:trPr>
        <w:tc>
          <w:tcPr>
            <w:tcW w:w="3402" w:type="dxa"/>
            <w:tcBorders>
              <w:top w:val="nil"/>
              <w:left w:val="nil"/>
              <w:bottom w:val="nil"/>
              <w:right w:val="nil"/>
            </w:tcBorders>
          </w:tcPr>
          <w:p w14:paraId="4465709F"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029E63E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(0,00819)</w:t>
            </w:r>
          </w:p>
        </w:tc>
      </w:tr>
      <w:tr w:rsidR="00E5191E" w:rsidRPr="00E83B5D" w14:paraId="1BC0D2B8" w14:textId="77777777" w:rsidTr="009A7559">
        <w:trPr>
          <w:jc w:val="center"/>
        </w:trPr>
        <w:tc>
          <w:tcPr>
            <w:tcW w:w="3402" w:type="dxa"/>
            <w:tcBorders>
              <w:top w:val="nil"/>
              <w:left w:val="nil"/>
              <w:bottom w:val="nil"/>
              <w:right w:val="nil"/>
            </w:tcBorders>
          </w:tcPr>
          <w:p w14:paraId="56477B9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2019</w:t>
            </w:r>
          </w:p>
        </w:tc>
        <w:tc>
          <w:tcPr>
            <w:tcW w:w="3852" w:type="dxa"/>
            <w:tcBorders>
              <w:top w:val="nil"/>
              <w:left w:val="nil"/>
              <w:bottom w:val="nil"/>
              <w:right w:val="nil"/>
            </w:tcBorders>
          </w:tcPr>
          <w:p w14:paraId="0F5DC7A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0,0251***</w:t>
            </w:r>
          </w:p>
        </w:tc>
      </w:tr>
      <w:tr w:rsidR="00E5191E" w:rsidRPr="00E83B5D" w14:paraId="7AD764DC" w14:textId="77777777" w:rsidTr="009A7559">
        <w:trPr>
          <w:jc w:val="center"/>
        </w:trPr>
        <w:tc>
          <w:tcPr>
            <w:tcW w:w="3402" w:type="dxa"/>
            <w:tcBorders>
              <w:top w:val="nil"/>
              <w:left w:val="nil"/>
              <w:bottom w:val="nil"/>
              <w:right w:val="nil"/>
            </w:tcBorders>
          </w:tcPr>
          <w:p w14:paraId="4F60A526"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9AC878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(0,00822)</w:t>
            </w:r>
          </w:p>
        </w:tc>
      </w:tr>
      <w:tr w:rsidR="00E5191E" w:rsidRPr="00E83B5D" w14:paraId="4C8C30A6" w14:textId="77777777" w:rsidTr="009A7559">
        <w:trPr>
          <w:jc w:val="center"/>
        </w:trPr>
        <w:tc>
          <w:tcPr>
            <w:tcW w:w="3402" w:type="dxa"/>
            <w:tcBorders>
              <w:top w:val="nil"/>
              <w:left w:val="nil"/>
              <w:bottom w:val="nil"/>
              <w:right w:val="nil"/>
            </w:tcBorders>
          </w:tcPr>
          <w:p w14:paraId="3445359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2020</w:t>
            </w:r>
          </w:p>
        </w:tc>
        <w:tc>
          <w:tcPr>
            <w:tcW w:w="3852" w:type="dxa"/>
            <w:tcBorders>
              <w:top w:val="nil"/>
              <w:left w:val="nil"/>
              <w:bottom w:val="nil"/>
              <w:right w:val="nil"/>
            </w:tcBorders>
          </w:tcPr>
          <w:p w14:paraId="5E25005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0,0221**</w:t>
            </w:r>
          </w:p>
        </w:tc>
      </w:tr>
      <w:tr w:rsidR="00E5191E" w:rsidRPr="00E83B5D" w14:paraId="702FF287" w14:textId="77777777" w:rsidTr="009A7559">
        <w:trPr>
          <w:jc w:val="center"/>
        </w:trPr>
        <w:tc>
          <w:tcPr>
            <w:tcW w:w="3402" w:type="dxa"/>
            <w:tcBorders>
              <w:top w:val="nil"/>
              <w:left w:val="nil"/>
              <w:bottom w:val="nil"/>
              <w:right w:val="nil"/>
            </w:tcBorders>
          </w:tcPr>
          <w:p w14:paraId="39333EF9"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E03BB2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(0,00855)</w:t>
            </w:r>
          </w:p>
        </w:tc>
      </w:tr>
      <w:tr w:rsidR="00E5191E" w:rsidRPr="00E83B5D" w14:paraId="7C291715" w14:textId="77777777" w:rsidTr="009A7559">
        <w:trPr>
          <w:jc w:val="center"/>
        </w:trPr>
        <w:tc>
          <w:tcPr>
            <w:tcW w:w="3402" w:type="dxa"/>
            <w:tcBorders>
              <w:top w:val="nil"/>
              <w:left w:val="nil"/>
              <w:bottom w:val="nil"/>
              <w:right w:val="nil"/>
            </w:tcBorders>
          </w:tcPr>
          <w:p w14:paraId="7A780EC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2021</w:t>
            </w:r>
          </w:p>
        </w:tc>
        <w:tc>
          <w:tcPr>
            <w:tcW w:w="3852" w:type="dxa"/>
            <w:tcBorders>
              <w:top w:val="nil"/>
              <w:left w:val="nil"/>
              <w:bottom w:val="nil"/>
              <w:right w:val="nil"/>
            </w:tcBorders>
          </w:tcPr>
          <w:p w14:paraId="6ADB5A6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0,0279***</w:t>
            </w:r>
          </w:p>
        </w:tc>
      </w:tr>
      <w:tr w:rsidR="00E5191E" w:rsidRPr="00E83B5D" w14:paraId="6A22BDBA" w14:textId="77777777" w:rsidTr="009A7559">
        <w:trPr>
          <w:jc w:val="center"/>
        </w:trPr>
        <w:tc>
          <w:tcPr>
            <w:tcW w:w="3402" w:type="dxa"/>
            <w:tcBorders>
              <w:top w:val="nil"/>
              <w:left w:val="nil"/>
              <w:bottom w:val="nil"/>
              <w:right w:val="nil"/>
            </w:tcBorders>
          </w:tcPr>
          <w:p w14:paraId="4F677AD6"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FE0477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(0,00897)</w:t>
            </w:r>
          </w:p>
        </w:tc>
      </w:tr>
      <w:tr w:rsidR="00E5191E" w:rsidRPr="00E83B5D" w14:paraId="6F3C950C" w14:textId="77777777" w:rsidTr="009A7559">
        <w:trPr>
          <w:jc w:val="center"/>
        </w:trPr>
        <w:tc>
          <w:tcPr>
            <w:tcW w:w="3402" w:type="dxa"/>
            <w:tcBorders>
              <w:top w:val="nil"/>
              <w:left w:val="nil"/>
              <w:bottom w:val="nil"/>
              <w:right w:val="nil"/>
            </w:tcBorders>
          </w:tcPr>
          <w:p w14:paraId="51D5816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2022</w:t>
            </w:r>
          </w:p>
        </w:tc>
        <w:tc>
          <w:tcPr>
            <w:tcW w:w="3852" w:type="dxa"/>
            <w:tcBorders>
              <w:top w:val="nil"/>
              <w:left w:val="nil"/>
              <w:bottom w:val="nil"/>
              <w:right w:val="nil"/>
            </w:tcBorders>
          </w:tcPr>
          <w:p w14:paraId="06D3324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0,0338***</w:t>
            </w:r>
          </w:p>
        </w:tc>
      </w:tr>
      <w:tr w:rsidR="00E5191E" w:rsidRPr="00E83B5D" w14:paraId="75F11F38" w14:textId="77777777" w:rsidTr="009A7559">
        <w:trPr>
          <w:jc w:val="center"/>
        </w:trPr>
        <w:tc>
          <w:tcPr>
            <w:tcW w:w="3402" w:type="dxa"/>
            <w:tcBorders>
              <w:top w:val="nil"/>
              <w:left w:val="nil"/>
              <w:bottom w:val="nil"/>
              <w:right w:val="nil"/>
            </w:tcBorders>
          </w:tcPr>
          <w:p w14:paraId="022EE39A"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5BDE305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(0,00951)</w:t>
            </w:r>
          </w:p>
        </w:tc>
      </w:tr>
      <w:tr w:rsidR="00E5191E" w:rsidRPr="00E83B5D" w14:paraId="0FB58BEF" w14:textId="77777777" w:rsidTr="009A7559">
        <w:trPr>
          <w:jc w:val="center"/>
        </w:trPr>
        <w:tc>
          <w:tcPr>
            <w:tcW w:w="3402" w:type="dxa"/>
            <w:tcBorders>
              <w:top w:val="nil"/>
              <w:left w:val="nil"/>
              <w:bottom w:val="nil"/>
              <w:right w:val="nil"/>
            </w:tcBorders>
          </w:tcPr>
          <w:p w14:paraId="3E479F3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2023</w:t>
            </w:r>
          </w:p>
        </w:tc>
        <w:tc>
          <w:tcPr>
            <w:tcW w:w="3852" w:type="dxa"/>
            <w:tcBorders>
              <w:top w:val="nil"/>
              <w:left w:val="nil"/>
              <w:bottom w:val="nil"/>
              <w:right w:val="nil"/>
            </w:tcBorders>
          </w:tcPr>
          <w:p w14:paraId="5CB465E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0,0309***</w:t>
            </w:r>
          </w:p>
        </w:tc>
      </w:tr>
      <w:tr w:rsidR="00E5191E" w:rsidRPr="00E83B5D" w14:paraId="2D8DDF00" w14:textId="77777777" w:rsidTr="009A7559">
        <w:trPr>
          <w:jc w:val="center"/>
        </w:trPr>
        <w:tc>
          <w:tcPr>
            <w:tcW w:w="3402" w:type="dxa"/>
            <w:tcBorders>
              <w:top w:val="nil"/>
              <w:left w:val="nil"/>
              <w:bottom w:val="nil"/>
              <w:right w:val="nil"/>
            </w:tcBorders>
          </w:tcPr>
          <w:p w14:paraId="42C61AD4"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5000A0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(0,00975)</w:t>
            </w:r>
          </w:p>
        </w:tc>
      </w:tr>
      <w:tr w:rsidR="00E5191E" w:rsidRPr="00E83B5D" w14:paraId="31DD9FEA" w14:textId="77777777" w:rsidTr="009A7559">
        <w:trPr>
          <w:jc w:val="center"/>
        </w:trPr>
        <w:tc>
          <w:tcPr>
            <w:tcW w:w="3402" w:type="dxa"/>
            <w:tcBorders>
              <w:top w:val="nil"/>
              <w:left w:val="nil"/>
              <w:bottom w:val="nil"/>
              <w:right w:val="nil"/>
            </w:tcBorders>
          </w:tcPr>
          <w:p w14:paraId="36B0D3C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Constant</w:t>
            </w:r>
          </w:p>
        </w:tc>
        <w:tc>
          <w:tcPr>
            <w:tcW w:w="3852" w:type="dxa"/>
            <w:tcBorders>
              <w:top w:val="nil"/>
              <w:left w:val="nil"/>
              <w:bottom w:val="nil"/>
              <w:right w:val="nil"/>
            </w:tcBorders>
          </w:tcPr>
          <w:p w14:paraId="38B9256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-0,00222</w:t>
            </w:r>
          </w:p>
        </w:tc>
      </w:tr>
      <w:tr w:rsidR="00E5191E" w:rsidRPr="00E83B5D" w14:paraId="5A12AC5E" w14:textId="77777777" w:rsidTr="009A7559">
        <w:trPr>
          <w:jc w:val="center"/>
        </w:trPr>
        <w:tc>
          <w:tcPr>
            <w:tcW w:w="3402" w:type="dxa"/>
            <w:tcBorders>
              <w:top w:val="nil"/>
              <w:left w:val="nil"/>
              <w:bottom w:val="nil"/>
              <w:right w:val="nil"/>
            </w:tcBorders>
          </w:tcPr>
          <w:p w14:paraId="1E4C9B44"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BED4F9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(0,0154)</w:t>
            </w:r>
          </w:p>
        </w:tc>
      </w:tr>
      <w:tr w:rsidR="00E5191E" w:rsidRPr="00E83B5D" w14:paraId="47B7DBFE" w14:textId="77777777" w:rsidTr="009A7559">
        <w:trPr>
          <w:jc w:val="center"/>
        </w:trPr>
        <w:tc>
          <w:tcPr>
            <w:tcW w:w="3402" w:type="dxa"/>
            <w:tcBorders>
              <w:top w:val="nil"/>
              <w:left w:val="nil"/>
              <w:bottom w:val="nil"/>
              <w:right w:val="nil"/>
            </w:tcBorders>
          </w:tcPr>
          <w:p w14:paraId="196B76A1"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AB2C838" w14:textId="77777777" w:rsidR="00E5191E" w:rsidRPr="00E83B5D" w:rsidRDefault="00E5191E" w:rsidP="009A7559">
            <w:pPr>
              <w:pStyle w:val="NoSpacing"/>
              <w:rPr>
                <w:rFonts w:ascii="Times New Roman" w:hAnsi="Times New Roman" w:cs="Times New Roman"/>
                <w:szCs w:val="20"/>
                <w:lang w:eastAsia="zh-CN"/>
              </w:rPr>
            </w:pPr>
          </w:p>
        </w:tc>
      </w:tr>
      <w:tr w:rsidR="00E5191E" w:rsidRPr="00E83B5D" w14:paraId="14CBD705" w14:textId="77777777" w:rsidTr="009A7559">
        <w:trPr>
          <w:jc w:val="center"/>
        </w:trPr>
        <w:tc>
          <w:tcPr>
            <w:tcW w:w="3402" w:type="dxa"/>
            <w:tcBorders>
              <w:top w:val="nil"/>
              <w:left w:val="nil"/>
              <w:bottom w:val="nil"/>
              <w:right w:val="nil"/>
            </w:tcBorders>
          </w:tcPr>
          <w:p w14:paraId="737F7C5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Observations</w:t>
            </w:r>
          </w:p>
        </w:tc>
        <w:tc>
          <w:tcPr>
            <w:tcW w:w="3852" w:type="dxa"/>
            <w:tcBorders>
              <w:top w:val="nil"/>
              <w:left w:val="nil"/>
              <w:bottom w:val="nil"/>
              <w:right w:val="nil"/>
            </w:tcBorders>
          </w:tcPr>
          <w:p w14:paraId="7CD1B9A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287</w:t>
            </w:r>
          </w:p>
        </w:tc>
      </w:tr>
      <w:tr w:rsidR="00E5191E" w:rsidRPr="00E83B5D" w14:paraId="30C657ED" w14:textId="77777777" w:rsidTr="009A7559">
        <w:trPr>
          <w:jc w:val="center"/>
        </w:trPr>
        <w:tc>
          <w:tcPr>
            <w:tcW w:w="3402" w:type="dxa"/>
            <w:tcBorders>
              <w:top w:val="nil"/>
              <w:left w:val="nil"/>
              <w:bottom w:val="nil"/>
              <w:right w:val="nil"/>
            </w:tcBorders>
          </w:tcPr>
          <w:p w14:paraId="6B0499D4" w14:textId="77777777" w:rsidR="00E5191E" w:rsidRPr="00E83B5D" w:rsidRDefault="00E5191E" w:rsidP="009A7559">
            <w:pPr>
              <w:pStyle w:val="NoSpacing"/>
              <w:rPr>
                <w:rFonts w:ascii="Times New Roman" w:hAnsi="Times New Roman" w:cs="Times New Roman"/>
                <w:szCs w:val="20"/>
                <w:lang w:eastAsia="zh-CN"/>
              </w:rPr>
            </w:pPr>
            <w:proofErr w:type="spellStart"/>
            <w:r w:rsidRPr="00E83B5D">
              <w:rPr>
                <w:rFonts w:ascii="Times New Roman" w:hAnsi="Times New Roman" w:cs="Times New Roman"/>
                <w:szCs w:val="20"/>
                <w:lang w:eastAsia="zh-CN"/>
              </w:rPr>
              <w:t>Number</w:t>
            </w:r>
            <w:proofErr w:type="spellEnd"/>
            <w:r w:rsidRPr="00E83B5D">
              <w:rPr>
                <w:rFonts w:ascii="Times New Roman" w:hAnsi="Times New Roman" w:cs="Times New Roman"/>
                <w:szCs w:val="20"/>
                <w:lang w:eastAsia="zh-CN"/>
              </w:rPr>
              <w:t xml:space="preserve"> of </w:t>
            </w:r>
            <w:proofErr w:type="spellStart"/>
            <w:r w:rsidRPr="00E83B5D">
              <w:rPr>
                <w:rFonts w:ascii="Times New Roman" w:hAnsi="Times New Roman" w:cs="Times New Roman"/>
                <w:szCs w:val="20"/>
                <w:lang w:eastAsia="zh-CN"/>
              </w:rPr>
              <w:t>Nom_pays</w:t>
            </w:r>
            <w:proofErr w:type="spellEnd"/>
          </w:p>
        </w:tc>
        <w:tc>
          <w:tcPr>
            <w:tcW w:w="3852" w:type="dxa"/>
            <w:tcBorders>
              <w:top w:val="nil"/>
              <w:left w:val="nil"/>
              <w:bottom w:val="nil"/>
              <w:right w:val="nil"/>
            </w:tcBorders>
          </w:tcPr>
          <w:p w14:paraId="2A8E510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12</w:t>
            </w:r>
          </w:p>
        </w:tc>
      </w:tr>
      <w:tr w:rsidR="00E5191E" w:rsidRPr="00E83B5D" w14:paraId="18910408" w14:textId="77777777" w:rsidTr="009A7559">
        <w:tblPrEx>
          <w:tblBorders>
            <w:bottom w:val="single" w:sz="6" w:space="0" w:color="auto"/>
          </w:tblBorders>
        </w:tblPrEx>
        <w:trPr>
          <w:jc w:val="center"/>
        </w:trPr>
        <w:tc>
          <w:tcPr>
            <w:tcW w:w="3402" w:type="dxa"/>
            <w:tcBorders>
              <w:top w:val="nil"/>
              <w:left w:val="nil"/>
              <w:bottom w:val="single" w:sz="6" w:space="0" w:color="auto"/>
              <w:right w:val="nil"/>
            </w:tcBorders>
          </w:tcPr>
          <w:p w14:paraId="4427DA4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R-</w:t>
            </w:r>
            <w:proofErr w:type="spellStart"/>
            <w:r w:rsidRPr="00E83B5D">
              <w:rPr>
                <w:rFonts w:ascii="Times New Roman" w:hAnsi="Times New Roman" w:cs="Times New Roman"/>
                <w:szCs w:val="20"/>
                <w:lang w:eastAsia="zh-CN"/>
              </w:rPr>
              <w:t>squared</w:t>
            </w:r>
            <w:proofErr w:type="spellEnd"/>
          </w:p>
        </w:tc>
        <w:tc>
          <w:tcPr>
            <w:tcW w:w="3852" w:type="dxa"/>
            <w:tcBorders>
              <w:top w:val="nil"/>
              <w:left w:val="nil"/>
              <w:bottom w:val="single" w:sz="6" w:space="0" w:color="auto"/>
              <w:right w:val="nil"/>
            </w:tcBorders>
          </w:tcPr>
          <w:p w14:paraId="47EE35C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0,764</w:t>
            </w:r>
          </w:p>
        </w:tc>
      </w:tr>
    </w:tbl>
    <w:p w14:paraId="0E54755C" w14:textId="77777777" w:rsidR="00E5191E" w:rsidRPr="00A80FC1" w:rsidRDefault="00E5191E" w:rsidP="00E5191E">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xml:space="preserve">Standard </w:t>
      </w:r>
      <w:proofErr w:type="spellStart"/>
      <w:r w:rsidRPr="00A80FC1">
        <w:rPr>
          <w:rFonts w:ascii="Times New Roman" w:eastAsia="SimSun" w:hAnsi="Times New Roman" w:cs="Times New Roman"/>
          <w:sz w:val="24"/>
          <w:lang w:eastAsia="zh-CN"/>
        </w:rPr>
        <w:t>errors</w:t>
      </w:r>
      <w:proofErr w:type="spellEnd"/>
      <w:r w:rsidRPr="00A80FC1">
        <w:rPr>
          <w:rFonts w:ascii="Times New Roman" w:eastAsia="SimSun" w:hAnsi="Times New Roman" w:cs="Times New Roman"/>
          <w:sz w:val="24"/>
          <w:lang w:eastAsia="zh-CN"/>
        </w:rPr>
        <w:t xml:space="preserve"> in </w:t>
      </w:r>
      <w:proofErr w:type="spellStart"/>
      <w:r w:rsidRPr="00A80FC1">
        <w:rPr>
          <w:rFonts w:ascii="Times New Roman" w:eastAsia="SimSun" w:hAnsi="Times New Roman" w:cs="Times New Roman"/>
          <w:sz w:val="24"/>
          <w:lang w:eastAsia="zh-CN"/>
        </w:rPr>
        <w:t>parentheses</w:t>
      </w:r>
      <w:proofErr w:type="spellEnd"/>
    </w:p>
    <w:p w14:paraId="592704B7" w14:textId="77777777" w:rsidR="00E5191E" w:rsidRPr="00A80FC1" w:rsidRDefault="00E5191E" w:rsidP="00E5191E">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p&lt;0.01, ** p&lt;0.05, * p&lt;0.1</w:t>
      </w:r>
    </w:p>
    <w:p w14:paraId="5FF389B0" w14:textId="29F39413" w:rsidR="00E5191E" w:rsidRDefault="00E5191E" w:rsidP="00660C9A">
      <w:pPr>
        <w:pStyle w:val="font-claude-response-body"/>
        <w:jc w:val="both"/>
        <w:rPr>
          <w:lang w:val="en-US"/>
        </w:rPr>
      </w:pPr>
      <w:r w:rsidRPr="00E5191E">
        <w:rPr>
          <w:lang w:val="en-US"/>
        </w:rPr>
        <w:t xml:space="preserve">The analysis converges to establish a clear finding: Franc Zone countries are, on average, highly open economies, far more so than the other country groups used as reference points. This openness is a persistent structural characteristic, which has even strengthened over time for certain members. According to McKinnon's logic, this characteristic makes the option of a single currency and stable anchor more attractive, as the gains in terms of price stability and reduced transaction costs related to exchange rate fluctuations are potentially significant. </w:t>
      </w:r>
      <w:r w:rsidRPr="00A56F0F">
        <w:rPr>
          <w:lang w:val="en-US"/>
        </w:rPr>
        <w:t xml:space="preserve">Thus, from the perspective of the openness criterion, the Franc Zone fulfills an important condition </w:t>
      </w:r>
      <w:r w:rsidRPr="00A56F0F">
        <w:rPr>
          <w:lang w:val="en-US"/>
        </w:rPr>
        <w:lastRenderedPageBreak/>
        <w:t>for being considered an optimum currency area. However, this potential strength must be qualified by two elements: the heterogeneity of openness levels within the zone itself and the fact that this criterion, while necessary, is not sufficient to conclude that the union is globally optimal, which also depends on other factors such as business cycle synchronization or factor mobility.</w:t>
      </w:r>
    </w:p>
    <w:p w14:paraId="28300F71" w14:textId="1252A05C" w:rsidR="00D3756C" w:rsidRPr="00D3756C" w:rsidRDefault="00D3756C" w:rsidP="00D3756C">
      <w:pPr>
        <w:pStyle w:val="font-claude-response-body"/>
        <w:jc w:val="both"/>
        <w:rPr>
          <w:lang w:val="en-US"/>
        </w:rPr>
      </w:pPr>
      <w:r w:rsidRPr="00D3756C">
        <w:rPr>
          <w:rStyle w:val="Strong"/>
          <w:lang w:val="en-US"/>
        </w:rPr>
        <w:t>2.1.</w:t>
      </w:r>
      <w:r w:rsidR="00D872C2">
        <w:rPr>
          <w:rStyle w:val="Strong"/>
          <w:lang w:val="en-US"/>
        </w:rPr>
        <w:t>3</w:t>
      </w:r>
      <w:r w:rsidRPr="00D3756C">
        <w:rPr>
          <w:rStyle w:val="Strong"/>
          <w:lang w:val="en-US"/>
        </w:rPr>
        <w:t>. Results on the Nature of Shocks and Synchronization: (Core of the Analysis)</w:t>
      </w:r>
    </w:p>
    <w:p w14:paraId="56CD29FB" w14:textId="77777777" w:rsidR="00D3756C" w:rsidRPr="00D3756C" w:rsidRDefault="00D3756C" w:rsidP="00D3756C">
      <w:pPr>
        <w:pStyle w:val="font-claude-response-body"/>
        <w:jc w:val="both"/>
        <w:rPr>
          <w:lang w:val="en-US"/>
        </w:rPr>
      </w:pPr>
      <w:r w:rsidRPr="00D3756C">
        <w:rPr>
          <w:lang w:val="en-US"/>
        </w:rPr>
        <w:t>The analysis of shock symmetry and business cycle synchronization constitutes the most fundamental criterion for assessing the viability of a monetary union. This criterion examines whether member economies are subject to macroeconomic disturbances of similar nature and comparable intensity, and whether their cyclical fluctuations evolve in a synchronized manner.</w:t>
      </w:r>
    </w:p>
    <w:p w14:paraId="5C01BD3F" w14:textId="77777777" w:rsidR="00D3756C" w:rsidRPr="00D3756C" w:rsidRDefault="00D3756C" w:rsidP="00D3756C">
      <w:pPr>
        <w:pStyle w:val="font-claude-response-body"/>
        <w:jc w:val="both"/>
        <w:rPr>
          <w:lang w:val="en-US"/>
        </w:rPr>
      </w:pPr>
      <w:r w:rsidRPr="00D3756C">
        <w:rPr>
          <w:lang w:val="en-US"/>
        </w:rPr>
        <w:t xml:space="preserve">Our investigation combines two complementary approaches to capture the full complexity of cyclical dynamics. First, the calculation of business cycle correlation coefficients between different member countries provides a direct measure of the degree of synchronization. The cycles were previously isolated using the </w:t>
      </w:r>
      <w:proofErr w:type="spellStart"/>
      <w:r w:rsidRPr="00D3756C">
        <w:rPr>
          <w:lang w:val="en-US"/>
        </w:rPr>
        <w:t>Hodrick</w:t>
      </w:r>
      <w:proofErr w:type="spellEnd"/>
      <w:r w:rsidRPr="00D3756C">
        <w:rPr>
          <w:lang w:val="en-US"/>
        </w:rPr>
        <w:t>-Prescott filter applied to real GDP series, in order to distinguish the cyclical component from the long-term trend.</w:t>
      </w:r>
    </w:p>
    <w:p w14:paraId="4B7FC898" w14:textId="269D4510" w:rsidR="00D3756C" w:rsidRPr="00D3756C" w:rsidRDefault="00D3756C" w:rsidP="00D3756C">
      <w:pPr>
        <w:pStyle w:val="font-claude-response-body"/>
        <w:jc w:val="both"/>
        <w:rPr>
          <w:lang w:val="en-US"/>
        </w:rPr>
      </w:pPr>
      <w:r w:rsidRPr="00D3756C">
        <w:rPr>
          <w:rStyle w:val="Strong"/>
          <w:lang w:val="en-US"/>
        </w:rPr>
        <w:t>2.1.</w:t>
      </w:r>
      <w:r w:rsidR="00D872C2">
        <w:rPr>
          <w:rStyle w:val="Strong"/>
          <w:lang w:val="en-US"/>
        </w:rPr>
        <w:t>3</w:t>
      </w:r>
      <w:r w:rsidRPr="00D3756C">
        <w:rPr>
          <w:rStyle w:val="Strong"/>
          <w:lang w:val="en-US"/>
        </w:rPr>
        <w:t>.1. Results on Cycle Correlation</w:t>
      </w:r>
    </w:p>
    <w:p w14:paraId="003F48B0" w14:textId="77777777" w:rsidR="00D3756C" w:rsidRPr="00D3756C" w:rsidRDefault="00D3756C" w:rsidP="00D3756C">
      <w:pPr>
        <w:pStyle w:val="font-claude-response-body"/>
        <w:jc w:val="both"/>
        <w:rPr>
          <w:lang w:val="en-US"/>
        </w:rPr>
      </w:pPr>
      <w:r w:rsidRPr="00D3756C">
        <w:rPr>
          <w:lang w:val="en-US"/>
        </w:rPr>
        <w:t>The correlation calculations reveal moderate synchronization, with coefficients generally positive and above 0.5. Synchronization appears stronger within each regional union (WAEMU and CEMAC) than between them, reflecting differentiated economic structures and trade partnerships. The highest correlations are observed among countries sharing similar economic specialization, such as the oil-producing countries of CEMAC.</w:t>
      </w:r>
    </w:p>
    <w:p w14:paraId="38E7E04D" w14:textId="66028FDF" w:rsidR="00D3756C" w:rsidRDefault="00D3756C" w:rsidP="00D3756C">
      <w:pPr>
        <w:pStyle w:val="font-claude-response-body"/>
        <w:jc w:val="both"/>
        <w:rPr>
          <w:lang w:val="en-US"/>
        </w:rPr>
      </w:pPr>
      <w:r w:rsidRPr="00D3756C">
        <w:rPr>
          <w:lang w:val="en-US"/>
        </w:rPr>
        <w:t>Table 12 presenting the correlation coefficients provides precise quantitative insight into the degree of business cycle synchronization among Franc Zone member countries. The results, while nuanced, confirm and refine the trends observed graphically. Within CEMAC, grouping oil-dependent economies, correlations are extremely strong, often exceeding 0.98. This apparent synchronization, however, must be interpreted with caution. It does not reflect deep structural economic integration, but rather a common dependence on an exogenous variable: the price of oil. The economies of Gabon, Congo, Cameroon, and Equatorial Guinea are subject to the same hydrocarbon reference cycle, which generates mechanical correlation of their economic performances. This is less an organic synchronization than a covariance induced by primary specialization.</w:t>
      </w:r>
    </w:p>
    <w:p w14:paraId="3F2FBA37" w14:textId="66F96D1B" w:rsidR="00C408C5" w:rsidRPr="00D872C2" w:rsidRDefault="00D3756C" w:rsidP="00D872C2">
      <w:pPr>
        <w:pStyle w:val="font-claude-response-body"/>
        <w:jc w:val="both"/>
        <w:rPr>
          <w:lang w:val="en-US"/>
        </w:rPr>
        <w:sectPr w:rsidR="00C408C5" w:rsidRPr="00D872C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sidRPr="00D3756C">
        <w:rPr>
          <w:lang w:val="en-US"/>
        </w:rPr>
        <w:t>Within WAEMU, correlations are also significant but present a more diversified structure, with coefficients generally ranging between 0.85 and 0.99. A form of sub-regional clustering is observed: coastal countries such as Côte d'Ivoire, Senegal, and Togo display more pronounced synchronization, probably due to more intense trade exchanges and relatively more diversified economic structures. Sahelian countries, such as Niger, Chad, and Mali, exhibit slightly weaker correlations with the coastal group, revealing the differentiated impact of agricultural and climatic shocks.</w:t>
      </w:r>
    </w:p>
    <w:p w14:paraId="2507AF11" w14:textId="6F8BBC31" w:rsidR="00C408C5" w:rsidRPr="00A96AFA" w:rsidRDefault="00C408C5" w:rsidP="00C408C5">
      <w:pPr>
        <w:pStyle w:val="Caption"/>
        <w:rPr>
          <w:rFonts w:ascii="Times New Roman" w:eastAsia="SimSun" w:hAnsi="Times New Roman" w:cs="Times New Roman"/>
          <w:i w:val="0"/>
          <w:color w:val="000000" w:themeColor="text1"/>
          <w:sz w:val="24"/>
          <w:szCs w:val="24"/>
          <w:lang w:val="en-US" w:eastAsia="zh-CN"/>
        </w:rPr>
      </w:pPr>
      <w:bookmarkStart w:id="16" w:name="_Toc215577690"/>
      <w:r w:rsidRPr="00A96AFA">
        <w:rPr>
          <w:rFonts w:ascii="Times New Roman" w:hAnsi="Times New Roman" w:cs="Times New Roman"/>
          <w:b/>
          <w:i w:val="0"/>
          <w:color w:val="000000" w:themeColor="text1"/>
          <w:sz w:val="24"/>
          <w:szCs w:val="24"/>
          <w:lang w:val="en-US"/>
        </w:rPr>
        <w:lastRenderedPageBreak/>
        <w:t xml:space="preserve">Table </w:t>
      </w:r>
      <w:r w:rsidRPr="002B7A6E">
        <w:rPr>
          <w:rFonts w:ascii="Times New Roman" w:hAnsi="Times New Roman" w:cs="Times New Roman"/>
          <w:b/>
          <w:i w:val="0"/>
          <w:color w:val="000000" w:themeColor="text1"/>
          <w:sz w:val="24"/>
          <w:szCs w:val="24"/>
        </w:rPr>
        <w:fldChar w:fldCharType="begin"/>
      </w:r>
      <w:r w:rsidRPr="00A96AFA">
        <w:rPr>
          <w:rFonts w:ascii="Times New Roman" w:hAnsi="Times New Roman" w:cs="Times New Roman"/>
          <w:b/>
          <w:i w:val="0"/>
          <w:color w:val="000000" w:themeColor="text1"/>
          <w:sz w:val="24"/>
          <w:szCs w:val="24"/>
          <w:lang w:val="en-US"/>
        </w:rPr>
        <w:instrText xml:space="preserve"> SEQ Tableau \* ARABIC </w:instrText>
      </w:r>
      <w:r w:rsidRPr="002B7A6E">
        <w:rPr>
          <w:rFonts w:ascii="Times New Roman" w:hAnsi="Times New Roman" w:cs="Times New Roman"/>
          <w:b/>
          <w:i w:val="0"/>
          <w:color w:val="000000" w:themeColor="text1"/>
          <w:sz w:val="24"/>
          <w:szCs w:val="24"/>
        </w:rPr>
        <w:fldChar w:fldCharType="separate"/>
      </w:r>
      <w:r w:rsidRPr="00A96AFA">
        <w:rPr>
          <w:rFonts w:ascii="Times New Roman" w:hAnsi="Times New Roman" w:cs="Times New Roman"/>
          <w:b/>
          <w:i w:val="0"/>
          <w:noProof/>
          <w:color w:val="000000" w:themeColor="text1"/>
          <w:sz w:val="24"/>
          <w:szCs w:val="24"/>
          <w:lang w:val="en-US"/>
        </w:rPr>
        <w:t>12</w:t>
      </w:r>
      <w:r w:rsidRPr="002B7A6E">
        <w:rPr>
          <w:rFonts w:ascii="Times New Roman" w:hAnsi="Times New Roman" w:cs="Times New Roman"/>
          <w:b/>
          <w:i w:val="0"/>
          <w:color w:val="000000" w:themeColor="text1"/>
          <w:sz w:val="24"/>
          <w:szCs w:val="24"/>
        </w:rPr>
        <w:fldChar w:fldCharType="end"/>
      </w:r>
      <w:r w:rsidRPr="00A96AFA">
        <w:rPr>
          <w:rFonts w:ascii="Times New Roman" w:eastAsia="SimSun" w:hAnsi="Times New Roman" w:cs="Times New Roman"/>
          <w:b/>
          <w:bCs/>
          <w:i w:val="0"/>
          <w:color w:val="000000" w:themeColor="text1"/>
          <w:sz w:val="24"/>
          <w:szCs w:val="24"/>
          <w:lang w:val="en-US" w:eastAsia="zh-CN"/>
        </w:rPr>
        <w:t>:</w:t>
      </w:r>
      <w:r w:rsidRPr="00A96AFA">
        <w:rPr>
          <w:rFonts w:ascii="Times New Roman" w:eastAsia="SimSun" w:hAnsi="Times New Roman" w:cs="Times New Roman"/>
          <w:i w:val="0"/>
          <w:color w:val="000000" w:themeColor="text1"/>
          <w:sz w:val="24"/>
          <w:szCs w:val="24"/>
          <w:lang w:val="en-US" w:eastAsia="zh-CN"/>
        </w:rPr>
        <w:t xml:space="preserve"> </w:t>
      </w:r>
      <w:bookmarkEnd w:id="16"/>
      <w:r w:rsidR="00A96AFA" w:rsidRPr="00A96AFA">
        <w:rPr>
          <w:rFonts w:ascii="Times New Roman" w:eastAsia="SimSun" w:hAnsi="Times New Roman" w:cs="Times New Roman"/>
          <w:i w:val="0"/>
          <w:color w:val="000000" w:themeColor="text1"/>
          <w:sz w:val="24"/>
          <w:szCs w:val="24"/>
          <w:lang w:val="en-US" w:eastAsia="zh-CN"/>
        </w:rPr>
        <w:t>Analysis of Cyclical Correlations within the Franc Zone</w:t>
      </w:r>
    </w:p>
    <w:tbl>
      <w:tblPr>
        <w:tblW w:w="14747" w:type="dxa"/>
        <w:jc w:val="center"/>
        <w:tblLayout w:type="fixed"/>
        <w:tblLook w:val="0000" w:firstRow="0" w:lastRow="0" w:firstColumn="0" w:lastColumn="0" w:noHBand="0" w:noVBand="0"/>
      </w:tblPr>
      <w:tblGrid>
        <w:gridCol w:w="2835"/>
        <w:gridCol w:w="1413"/>
        <w:gridCol w:w="893"/>
        <w:gridCol w:w="893"/>
        <w:gridCol w:w="893"/>
        <w:gridCol w:w="893"/>
        <w:gridCol w:w="893"/>
        <w:gridCol w:w="926"/>
        <w:gridCol w:w="893"/>
        <w:gridCol w:w="1073"/>
        <w:gridCol w:w="1063"/>
        <w:gridCol w:w="992"/>
        <w:gridCol w:w="1087"/>
      </w:tblGrid>
      <w:tr w:rsidR="00C408C5" w:rsidRPr="00E83B5D" w14:paraId="2135298D" w14:textId="77777777" w:rsidTr="009A7559">
        <w:trPr>
          <w:trHeight w:val="263"/>
          <w:jc w:val="center"/>
        </w:trPr>
        <w:tc>
          <w:tcPr>
            <w:tcW w:w="2835" w:type="dxa"/>
            <w:tcBorders>
              <w:top w:val="single" w:sz="4" w:space="0" w:color="auto"/>
              <w:left w:val="nil"/>
              <w:bottom w:val="single" w:sz="6" w:space="0" w:color="auto"/>
              <w:right w:val="nil"/>
            </w:tcBorders>
          </w:tcPr>
          <w:p w14:paraId="32D3E5E9" w14:textId="77777777" w:rsidR="00C408C5" w:rsidRPr="00E83B5D" w:rsidRDefault="00C408C5" w:rsidP="009A7559">
            <w:pPr>
              <w:pStyle w:val="NoSpacing"/>
              <w:rPr>
                <w:lang w:eastAsia="zh-CN"/>
              </w:rPr>
            </w:pPr>
            <w:r w:rsidRPr="00E83B5D">
              <w:rPr>
                <w:lang w:eastAsia="zh-CN"/>
              </w:rPr>
              <w:t>Variables</w:t>
            </w:r>
          </w:p>
        </w:tc>
        <w:tc>
          <w:tcPr>
            <w:tcW w:w="1413" w:type="dxa"/>
            <w:tcBorders>
              <w:top w:val="single" w:sz="4" w:space="0" w:color="auto"/>
              <w:left w:val="nil"/>
              <w:bottom w:val="single" w:sz="6" w:space="0" w:color="auto"/>
              <w:right w:val="nil"/>
            </w:tcBorders>
          </w:tcPr>
          <w:p w14:paraId="0627E11B" w14:textId="77777777" w:rsidR="00C408C5" w:rsidRPr="00E83B5D" w:rsidRDefault="00C408C5" w:rsidP="009A7559">
            <w:pPr>
              <w:pStyle w:val="NoSpacing"/>
              <w:rPr>
                <w:lang w:eastAsia="zh-CN"/>
              </w:rPr>
            </w:pPr>
            <w:r w:rsidRPr="00E83B5D">
              <w:rPr>
                <w:lang w:eastAsia="zh-CN"/>
              </w:rPr>
              <w:t>(1)</w:t>
            </w:r>
          </w:p>
        </w:tc>
        <w:tc>
          <w:tcPr>
            <w:tcW w:w="893" w:type="dxa"/>
            <w:tcBorders>
              <w:top w:val="single" w:sz="4" w:space="0" w:color="auto"/>
              <w:left w:val="nil"/>
              <w:bottom w:val="single" w:sz="6" w:space="0" w:color="auto"/>
              <w:right w:val="nil"/>
            </w:tcBorders>
          </w:tcPr>
          <w:p w14:paraId="42F38AE5" w14:textId="77777777" w:rsidR="00C408C5" w:rsidRPr="00E83B5D" w:rsidRDefault="00C408C5" w:rsidP="009A7559">
            <w:pPr>
              <w:pStyle w:val="NoSpacing"/>
              <w:rPr>
                <w:lang w:eastAsia="zh-CN"/>
              </w:rPr>
            </w:pPr>
            <w:r w:rsidRPr="00E83B5D">
              <w:rPr>
                <w:lang w:eastAsia="zh-CN"/>
              </w:rPr>
              <w:t>(2)</w:t>
            </w:r>
          </w:p>
        </w:tc>
        <w:tc>
          <w:tcPr>
            <w:tcW w:w="893" w:type="dxa"/>
            <w:tcBorders>
              <w:top w:val="single" w:sz="4" w:space="0" w:color="auto"/>
              <w:left w:val="nil"/>
              <w:bottom w:val="single" w:sz="6" w:space="0" w:color="auto"/>
              <w:right w:val="nil"/>
            </w:tcBorders>
          </w:tcPr>
          <w:p w14:paraId="142454FA" w14:textId="77777777" w:rsidR="00C408C5" w:rsidRPr="00E83B5D" w:rsidRDefault="00C408C5" w:rsidP="009A7559">
            <w:pPr>
              <w:pStyle w:val="NoSpacing"/>
              <w:rPr>
                <w:lang w:eastAsia="zh-CN"/>
              </w:rPr>
            </w:pPr>
            <w:r w:rsidRPr="00E83B5D">
              <w:rPr>
                <w:lang w:eastAsia="zh-CN"/>
              </w:rPr>
              <w:t>(3)</w:t>
            </w:r>
          </w:p>
        </w:tc>
        <w:tc>
          <w:tcPr>
            <w:tcW w:w="893" w:type="dxa"/>
            <w:tcBorders>
              <w:top w:val="single" w:sz="4" w:space="0" w:color="auto"/>
              <w:left w:val="nil"/>
              <w:bottom w:val="single" w:sz="6" w:space="0" w:color="auto"/>
              <w:right w:val="nil"/>
            </w:tcBorders>
          </w:tcPr>
          <w:p w14:paraId="50DCAFDE" w14:textId="77777777" w:rsidR="00C408C5" w:rsidRPr="00E83B5D" w:rsidRDefault="00C408C5" w:rsidP="009A7559">
            <w:pPr>
              <w:pStyle w:val="NoSpacing"/>
              <w:rPr>
                <w:lang w:eastAsia="zh-CN"/>
              </w:rPr>
            </w:pPr>
            <w:r w:rsidRPr="00E83B5D">
              <w:rPr>
                <w:lang w:eastAsia="zh-CN"/>
              </w:rPr>
              <w:t>(4)</w:t>
            </w:r>
          </w:p>
        </w:tc>
        <w:tc>
          <w:tcPr>
            <w:tcW w:w="893" w:type="dxa"/>
            <w:tcBorders>
              <w:top w:val="single" w:sz="4" w:space="0" w:color="auto"/>
              <w:left w:val="nil"/>
              <w:bottom w:val="single" w:sz="6" w:space="0" w:color="auto"/>
              <w:right w:val="nil"/>
            </w:tcBorders>
          </w:tcPr>
          <w:p w14:paraId="3D53C891" w14:textId="77777777" w:rsidR="00C408C5" w:rsidRPr="00E83B5D" w:rsidRDefault="00C408C5" w:rsidP="009A7559">
            <w:pPr>
              <w:pStyle w:val="NoSpacing"/>
              <w:rPr>
                <w:lang w:eastAsia="zh-CN"/>
              </w:rPr>
            </w:pPr>
            <w:r w:rsidRPr="00E83B5D">
              <w:rPr>
                <w:lang w:eastAsia="zh-CN"/>
              </w:rPr>
              <w:t>(5)</w:t>
            </w:r>
          </w:p>
        </w:tc>
        <w:tc>
          <w:tcPr>
            <w:tcW w:w="893" w:type="dxa"/>
            <w:tcBorders>
              <w:top w:val="single" w:sz="4" w:space="0" w:color="auto"/>
              <w:left w:val="nil"/>
              <w:bottom w:val="single" w:sz="6" w:space="0" w:color="auto"/>
              <w:right w:val="nil"/>
            </w:tcBorders>
          </w:tcPr>
          <w:p w14:paraId="52423240" w14:textId="77777777" w:rsidR="00C408C5" w:rsidRPr="00E83B5D" w:rsidRDefault="00C408C5" w:rsidP="009A7559">
            <w:pPr>
              <w:pStyle w:val="NoSpacing"/>
              <w:rPr>
                <w:lang w:eastAsia="zh-CN"/>
              </w:rPr>
            </w:pPr>
            <w:r w:rsidRPr="00E83B5D">
              <w:rPr>
                <w:lang w:eastAsia="zh-CN"/>
              </w:rPr>
              <w:t>(6)</w:t>
            </w:r>
          </w:p>
        </w:tc>
        <w:tc>
          <w:tcPr>
            <w:tcW w:w="926" w:type="dxa"/>
            <w:tcBorders>
              <w:top w:val="single" w:sz="4" w:space="0" w:color="auto"/>
              <w:left w:val="nil"/>
              <w:bottom w:val="single" w:sz="6" w:space="0" w:color="auto"/>
              <w:right w:val="nil"/>
            </w:tcBorders>
          </w:tcPr>
          <w:p w14:paraId="508E9758" w14:textId="77777777" w:rsidR="00C408C5" w:rsidRPr="00E83B5D" w:rsidRDefault="00C408C5" w:rsidP="009A7559">
            <w:pPr>
              <w:pStyle w:val="NoSpacing"/>
              <w:rPr>
                <w:lang w:eastAsia="zh-CN"/>
              </w:rPr>
            </w:pPr>
            <w:r w:rsidRPr="00E83B5D">
              <w:rPr>
                <w:lang w:eastAsia="zh-CN"/>
              </w:rPr>
              <w:t>(7)</w:t>
            </w:r>
          </w:p>
        </w:tc>
        <w:tc>
          <w:tcPr>
            <w:tcW w:w="893" w:type="dxa"/>
            <w:tcBorders>
              <w:top w:val="single" w:sz="4" w:space="0" w:color="auto"/>
              <w:left w:val="nil"/>
              <w:bottom w:val="single" w:sz="6" w:space="0" w:color="auto"/>
              <w:right w:val="nil"/>
            </w:tcBorders>
          </w:tcPr>
          <w:p w14:paraId="0950D97F" w14:textId="77777777" w:rsidR="00C408C5" w:rsidRPr="00E83B5D" w:rsidRDefault="00C408C5" w:rsidP="009A7559">
            <w:pPr>
              <w:pStyle w:val="NoSpacing"/>
              <w:rPr>
                <w:lang w:eastAsia="zh-CN"/>
              </w:rPr>
            </w:pPr>
            <w:r w:rsidRPr="00E83B5D">
              <w:rPr>
                <w:lang w:eastAsia="zh-CN"/>
              </w:rPr>
              <w:t>(8)</w:t>
            </w:r>
          </w:p>
        </w:tc>
        <w:tc>
          <w:tcPr>
            <w:tcW w:w="1073" w:type="dxa"/>
            <w:tcBorders>
              <w:top w:val="single" w:sz="4" w:space="0" w:color="auto"/>
              <w:left w:val="nil"/>
              <w:bottom w:val="single" w:sz="6" w:space="0" w:color="auto"/>
              <w:right w:val="nil"/>
            </w:tcBorders>
          </w:tcPr>
          <w:p w14:paraId="7DB49E65" w14:textId="77777777" w:rsidR="00C408C5" w:rsidRPr="00E83B5D" w:rsidRDefault="00C408C5" w:rsidP="009A7559">
            <w:pPr>
              <w:pStyle w:val="NoSpacing"/>
              <w:rPr>
                <w:lang w:eastAsia="zh-CN"/>
              </w:rPr>
            </w:pPr>
            <w:r w:rsidRPr="00E83B5D">
              <w:rPr>
                <w:lang w:eastAsia="zh-CN"/>
              </w:rPr>
              <w:t>(9)</w:t>
            </w:r>
          </w:p>
        </w:tc>
        <w:tc>
          <w:tcPr>
            <w:tcW w:w="1063" w:type="dxa"/>
            <w:tcBorders>
              <w:top w:val="single" w:sz="4" w:space="0" w:color="auto"/>
              <w:left w:val="nil"/>
              <w:bottom w:val="single" w:sz="6" w:space="0" w:color="auto"/>
              <w:right w:val="nil"/>
            </w:tcBorders>
          </w:tcPr>
          <w:p w14:paraId="152D90EA" w14:textId="77777777" w:rsidR="00C408C5" w:rsidRPr="00E83B5D" w:rsidRDefault="00C408C5" w:rsidP="009A7559">
            <w:pPr>
              <w:pStyle w:val="NoSpacing"/>
              <w:rPr>
                <w:lang w:eastAsia="zh-CN"/>
              </w:rPr>
            </w:pPr>
            <w:r w:rsidRPr="00E83B5D">
              <w:rPr>
                <w:lang w:eastAsia="zh-CN"/>
              </w:rPr>
              <w:t>(10)</w:t>
            </w:r>
          </w:p>
        </w:tc>
        <w:tc>
          <w:tcPr>
            <w:tcW w:w="992" w:type="dxa"/>
            <w:tcBorders>
              <w:top w:val="single" w:sz="4" w:space="0" w:color="auto"/>
              <w:left w:val="nil"/>
              <w:bottom w:val="single" w:sz="6" w:space="0" w:color="auto"/>
              <w:right w:val="nil"/>
            </w:tcBorders>
          </w:tcPr>
          <w:p w14:paraId="101D1D2E" w14:textId="77777777" w:rsidR="00C408C5" w:rsidRPr="00E83B5D" w:rsidRDefault="00C408C5" w:rsidP="009A7559">
            <w:pPr>
              <w:pStyle w:val="NoSpacing"/>
              <w:rPr>
                <w:lang w:eastAsia="zh-CN"/>
              </w:rPr>
            </w:pPr>
            <w:r w:rsidRPr="00E83B5D">
              <w:rPr>
                <w:lang w:eastAsia="zh-CN"/>
              </w:rPr>
              <w:t>(11)</w:t>
            </w:r>
          </w:p>
        </w:tc>
        <w:tc>
          <w:tcPr>
            <w:tcW w:w="1087" w:type="dxa"/>
            <w:tcBorders>
              <w:top w:val="single" w:sz="4" w:space="0" w:color="auto"/>
              <w:left w:val="nil"/>
              <w:bottom w:val="single" w:sz="6" w:space="0" w:color="auto"/>
              <w:right w:val="nil"/>
            </w:tcBorders>
          </w:tcPr>
          <w:p w14:paraId="47F51BB7" w14:textId="77777777" w:rsidR="00C408C5" w:rsidRPr="00E83B5D" w:rsidRDefault="00C408C5" w:rsidP="009A7559">
            <w:pPr>
              <w:pStyle w:val="NoSpacing"/>
              <w:rPr>
                <w:lang w:eastAsia="zh-CN"/>
              </w:rPr>
            </w:pPr>
            <w:r w:rsidRPr="00E83B5D">
              <w:rPr>
                <w:lang w:eastAsia="zh-CN"/>
              </w:rPr>
              <w:t>(12)</w:t>
            </w:r>
          </w:p>
        </w:tc>
      </w:tr>
      <w:tr w:rsidR="00C408C5" w:rsidRPr="00E83B5D" w14:paraId="41FC6698" w14:textId="77777777" w:rsidTr="009A7559">
        <w:trPr>
          <w:trHeight w:val="263"/>
          <w:jc w:val="center"/>
        </w:trPr>
        <w:tc>
          <w:tcPr>
            <w:tcW w:w="2835" w:type="dxa"/>
            <w:tcBorders>
              <w:top w:val="nil"/>
              <w:left w:val="nil"/>
              <w:bottom w:val="nil"/>
              <w:right w:val="nil"/>
            </w:tcBorders>
          </w:tcPr>
          <w:p w14:paraId="0F87D98C" w14:textId="77777777" w:rsidR="00C408C5" w:rsidRPr="00E83B5D" w:rsidRDefault="00C408C5" w:rsidP="009A7559">
            <w:pPr>
              <w:pStyle w:val="NoSpacing"/>
              <w:rPr>
                <w:lang w:eastAsia="zh-CN"/>
              </w:rPr>
            </w:pPr>
            <w:r w:rsidRPr="00E83B5D">
              <w:rPr>
                <w:lang w:eastAsia="zh-CN"/>
              </w:rPr>
              <w:t xml:space="preserve">(1) </w:t>
            </w:r>
            <w:proofErr w:type="spellStart"/>
            <w:r w:rsidRPr="00E83B5D">
              <w:rPr>
                <w:lang w:eastAsia="zh-CN"/>
              </w:rPr>
              <w:t>cycle_ln_Burkin</w:t>
            </w:r>
            <w:proofErr w:type="spellEnd"/>
            <w:r w:rsidRPr="00E83B5D">
              <w:rPr>
                <w:lang w:eastAsia="zh-CN"/>
              </w:rPr>
              <w:t xml:space="preserve"> </w:t>
            </w:r>
            <w:proofErr w:type="spellStart"/>
            <w:r w:rsidRPr="00E83B5D">
              <w:rPr>
                <w:lang w:eastAsia="zh-CN"/>
              </w:rPr>
              <w:t>fasso</w:t>
            </w:r>
            <w:proofErr w:type="spellEnd"/>
          </w:p>
        </w:tc>
        <w:tc>
          <w:tcPr>
            <w:tcW w:w="1413" w:type="dxa"/>
            <w:tcBorders>
              <w:top w:val="nil"/>
              <w:left w:val="nil"/>
              <w:bottom w:val="nil"/>
              <w:right w:val="nil"/>
            </w:tcBorders>
          </w:tcPr>
          <w:p w14:paraId="69B182BC"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59F14CF3"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1921DA46"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42BF7AA8"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46D166F5"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6A679C5E" w14:textId="77777777" w:rsidR="00C408C5" w:rsidRPr="00E83B5D" w:rsidRDefault="00C408C5" w:rsidP="009A7559">
            <w:pPr>
              <w:pStyle w:val="NoSpacing"/>
              <w:rPr>
                <w:lang w:eastAsia="zh-CN"/>
              </w:rPr>
            </w:pPr>
          </w:p>
        </w:tc>
        <w:tc>
          <w:tcPr>
            <w:tcW w:w="926" w:type="dxa"/>
            <w:tcBorders>
              <w:top w:val="nil"/>
              <w:left w:val="nil"/>
              <w:bottom w:val="nil"/>
              <w:right w:val="nil"/>
            </w:tcBorders>
          </w:tcPr>
          <w:p w14:paraId="23E6BA69"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658A1613"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7D7DBF20"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5C1A21DD"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71920335"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099205FD" w14:textId="77777777" w:rsidR="00C408C5" w:rsidRPr="00E83B5D" w:rsidRDefault="00C408C5" w:rsidP="009A7559">
            <w:pPr>
              <w:pStyle w:val="NoSpacing"/>
              <w:rPr>
                <w:lang w:eastAsia="zh-CN"/>
              </w:rPr>
            </w:pPr>
          </w:p>
        </w:tc>
      </w:tr>
      <w:tr w:rsidR="00C408C5" w:rsidRPr="00E83B5D" w14:paraId="3833151E" w14:textId="77777777" w:rsidTr="009A7559">
        <w:trPr>
          <w:trHeight w:val="139"/>
          <w:jc w:val="center"/>
        </w:trPr>
        <w:tc>
          <w:tcPr>
            <w:tcW w:w="2835" w:type="dxa"/>
            <w:tcBorders>
              <w:top w:val="nil"/>
              <w:left w:val="nil"/>
              <w:bottom w:val="nil"/>
              <w:right w:val="nil"/>
            </w:tcBorders>
          </w:tcPr>
          <w:p w14:paraId="0AF8AB17" w14:textId="77777777" w:rsidR="00C408C5" w:rsidRPr="00E83B5D" w:rsidRDefault="00C408C5" w:rsidP="009A7559">
            <w:pPr>
              <w:pStyle w:val="NoSpacing"/>
              <w:rPr>
                <w:lang w:eastAsia="zh-CN"/>
              </w:rPr>
            </w:pPr>
            <w:r w:rsidRPr="00E83B5D">
              <w:rPr>
                <w:lang w:eastAsia="zh-CN"/>
              </w:rPr>
              <w:t xml:space="preserve">(2) </w:t>
            </w:r>
            <w:proofErr w:type="spellStart"/>
            <w:r w:rsidRPr="00E83B5D">
              <w:rPr>
                <w:lang w:eastAsia="zh-CN"/>
              </w:rPr>
              <w:t>cycle_ln_Bénin</w:t>
            </w:r>
            <w:proofErr w:type="spellEnd"/>
          </w:p>
        </w:tc>
        <w:tc>
          <w:tcPr>
            <w:tcW w:w="1413" w:type="dxa"/>
            <w:tcBorders>
              <w:top w:val="nil"/>
              <w:left w:val="nil"/>
              <w:bottom w:val="nil"/>
              <w:right w:val="nil"/>
            </w:tcBorders>
          </w:tcPr>
          <w:p w14:paraId="00C84AFB" w14:textId="77777777" w:rsidR="00C408C5" w:rsidRPr="00E83B5D" w:rsidRDefault="00C408C5" w:rsidP="009A7559">
            <w:pPr>
              <w:pStyle w:val="NoSpacing"/>
              <w:rPr>
                <w:lang w:eastAsia="zh-CN"/>
              </w:rPr>
            </w:pPr>
            <w:r w:rsidRPr="00E83B5D">
              <w:rPr>
                <w:lang w:eastAsia="zh-CN"/>
              </w:rPr>
              <w:t>0,997*</w:t>
            </w:r>
          </w:p>
        </w:tc>
        <w:tc>
          <w:tcPr>
            <w:tcW w:w="893" w:type="dxa"/>
            <w:tcBorders>
              <w:top w:val="nil"/>
              <w:left w:val="nil"/>
              <w:bottom w:val="nil"/>
              <w:right w:val="nil"/>
            </w:tcBorders>
          </w:tcPr>
          <w:p w14:paraId="1EF12673"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245CC426"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15DDB7E4"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75E46BFF"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571006BD" w14:textId="77777777" w:rsidR="00C408C5" w:rsidRPr="00E83B5D" w:rsidRDefault="00C408C5" w:rsidP="009A7559">
            <w:pPr>
              <w:pStyle w:val="NoSpacing"/>
              <w:rPr>
                <w:lang w:eastAsia="zh-CN"/>
              </w:rPr>
            </w:pPr>
          </w:p>
        </w:tc>
        <w:tc>
          <w:tcPr>
            <w:tcW w:w="926" w:type="dxa"/>
            <w:tcBorders>
              <w:top w:val="nil"/>
              <w:left w:val="nil"/>
              <w:bottom w:val="nil"/>
              <w:right w:val="nil"/>
            </w:tcBorders>
          </w:tcPr>
          <w:p w14:paraId="1CDF74E0"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439384A6"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0D54B4E4"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05AC477A"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3D3ED316"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2E34BC93" w14:textId="77777777" w:rsidR="00C408C5" w:rsidRPr="00E83B5D" w:rsidRDefault="00C408C5" w:rsidP="009A7559">
            <w:pPr>
              <w:pStyle w:val="NoSpacing"/>
              <w:rPr>
                <w:lang w:eastAsia="zh-CN"/>
              </w:rPr>
            </w:pPr>
          </w:p>
        </w:tc>
      </w:tr>
      <w:tr w:rsidR="00C408C5" w:rsidRPr="00E83B5D" w14:paraId="68171788" w14:textId="77777777" w:rsidTr="009A7559">
        <w:trPr>
          <w:trHeight w:val="80"/>
          <w:jc w:val="center"/>
        </w:trPr>
        <w:tc>
          <w:tcPr>
            <w:tcW w:w="2835" w:type="dxa"/>
            <w:tcBorders>
              <w:top w:val="nil"/>
              <w:left w:val="nil"/>
              <w:bottom w:val="nil"/>
              <w:right w:val="nil"/>
            </w:tcBorders>
          </w:tcPr>
          <w:p w14:paraId="1ABDDED7" w14:textId="77777777" w:rsidR="00C408C5" w:rsidRPr="00E83B5D" w:rsidRDefault="00C408C5" w:rsidP="009A7559">
            <w:pPr>
              <w:pStyle w:val="NoSpacing"/>
              <w:rPr>
                <w:lang w:eastAsia="zh-CN"/>
              </w:rPr>
            </w:pPr>
            <w:r w:rsidRPr="00E83B5D">
              <w:rPr>
                <w:lang w:eastAsia="zh-CN"/>
              </w:rPr>
              <w:t xml:space="preserve">(3) </w:t>
            </w:r>
            <w:proofErr w:type="spellStart"/>
            <w:r w:rsidRPr="00E83B5D">
              <w:rPr>
                <w:lang w:eastAsia="zh-CN"/>
              </w:rPr>
              <w:t>cycle_ln_Cameroun</w:t>
            </w:r>
            <w:proofErr w:type="spellEnd"/>
          </w:p>
        </w:tc>
        <w:tc>
          <w:tcPr>
            <w:tcW w:w="1413" w:type="dxa"/>
            <w:tcBorders>
              <w:top w:val="nil"/>
              <w:left w:val="nil"/>
              <w:bottom w:val="nil"/>
              <w:right w:val="nil"/>
            </w:tcBorders>
          </w:tcPr>
          <w:p w14:paraId="011AA7C4" w14:textId="77777777" w:rsidR="00C408C5" w:rsidRPr="00E83B5D" w:rsidRDefault="00C408C5" w:rsidP="009A7559">
            <w:pPr>
              <w:pStyle w:val="NoSpacing"/>
              <w:rPr>
                <w:lang w:eastAsia="zh-CN"/>
              </w:rPr>
            </w:pPr>
            <w:r w:rsidRPr="00E83B5D">
              <w:rPr>
                <w:lang w:eastAsia="zh-CN"/>
              </w:rPr>
              <w:t>0,996*</w:t>
            </w:r>
          </w:p>
        </w:tc>
        <w:tc>
          <w:tcPr>
            <w:tcW w:w="893" w:type="dxa"/>
            <w:tcBorders>
              <w:top w:val="nil"/>
              <w:left w:val="nil"/>
              <w:bottom w:val="nil"/>
              <w:right w:val="nil"/>
            </w:tcBorders>
          </w:tcPr>
          <w:p w14:paraId="76A2AC84" w14:textId="77777777" w:rsidR="00C408C5" w:rsidRPr="00E83B5D" w:rsidRDefault="00C408C5" w:rsidP="009A7559">
            <w:pPr>
              <w:pStyle w:val="NoSpacing"/>
              <w:rPr>
                <w:lang w:eastAsia="zh-CN"/>
              </w:rPr>
            </w:pPr>
            <w:r w:rsidRPr="00E83B5D">
              <w:rPr>
                <w:lang w:eastAsia="zh-CN"/>
              </w:rPr>
              <w:t>0,994*</w:t>
            </w:r>
          </w:p>
        </w:tc>
        <w:tc>
          <w:tcPr>
            <w:tcW w:w="893" w:type="dxa"/>
            <w:tcBorders>
              <w:top w:val="nil"/>
              <w:left w:val="nil"/>
              <w:bottom w:val="nil"/>
              <w:right w:val="nil"/>
            </w:tcBorders>
          </w:tcPr>
          <w:p w14:paraId="59C14B80"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677A4324"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586EAD85"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2903A14F" w14:textId="77777777" w:rsidR="00C408C5" w:rsidRPr="00E83B5D" w:rsidRDefault="00C408C5" w:rsidP="009A7559">
            <w:pPr>
              <w:pStyle w:val="NoSpacing"/>
              <w:rPr>
                <w:lang w:eastAsia="zh-CN"/>
              </w:rPr>
            </w:pPr>
          </w:p>
        </w:tc>
        <w:tc>
          <w:tcPr>
            <w:tcW w:w="926" w:type="dxa"/>
            <w:tcBorders>
              <w:top w:val="nil"/>
              <w:left w:val="nil"/>
              <w:bottom w:val="nil"/>
              <w:right w:val="nil"/>
            </w:tcBorders>
          </w:tcPr>
          <w:p w14:paraId="0B500CF3"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190D7110"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33B741CA"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1863A718"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420E0CD9"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300FC576" w14:textId="77777777" w:rsidR="00C408C5" w:rsidRPr="00E83B5D" w:rsidRDefault="00C408C5" w:rsidP="009A7559">
            <w:pPr>
              <w:pStyle w:val="NoSpacing"/>
              <w:rPr>
                <w:lang w:eastAsia="zh-CN"/>
              </w:rPr>
            </w:pPr>
          </w:p>
        </w:tc>
      </w:tr>
      <w:tr w:rsidR="00C408C5" w:rsidRPr="00E83B5D" w14:paraId="61E0E2B6" w14:textId="77777777" w:rsidTr="009A7559">
        <w:trPr>
          <w:trHeight w:val="174"/>
          <w:jc w:val="center"/>
        </w:trPr>
        <w:tc>
          <w:tcPr>
            <w:tcW w:w="2835" w:type="dxa"/>
            <w:tcBorders>
              <w:top w:val="nil"/>
              <w:left w:val="nil"/>
              <w:bottom w:val="nil"/>
              <w:right w:val="nil"/>
            </w:tcBorders>
          </w:tcPr>
          <w:p w14:paraId="58EEAA2D" w14:textId="77777777" w:rsidR="00C408C5" w:rsidRPr="00E83B5D" w:rsidRDefault="00C408C5" w:rsidP="009A7559">
            <w:pPr>
              <w:pStyle w:val="NoSpacing"/>
              <w:rPr>
                <w:lang w:eastAsia="zh-CN"/>
              </w:rPr>
            </w:pPr>
            <w:r w:rsidRPr="00E83B5D">
              <w:rPr>
                <w:lang w:eastAsia="zh-CN"/>
              </w:rPr>
              <w:t xml:space="preserve">(4) </w:t>
            </w:r>
            <w:proofErr w:type="spellStart"/>
            <w:r w:rsidRPr="00E83B5D">
              <w:rPr>
                <w:lang w:eastAsia="zh-CN"/>
              </w:rPr>
              <w:t>cycle_ln_Côte</w:t>
            </w:r>
            <w:proofErr w:type="spellEnd"/>
            <w:r w:rsidRPr="00E83B5D">
              <w:rPr>
                <w:lang w:eastAsia="zh-CN"/>
              </w:rPr>
              <w:t xml:space="preserve"> d’ivoire</w:t>
            </w:r>
          </w:p>
        </w:tc>
        <w:tc>
          <w:tcPr>
            <w:tcW w:w="1413" w:type="dxa"/>
            <w:tcBorders>
              <w:top w:val="nil"/>
              <w:left w:val="nil"/>
              <w:bottom w:val="nil"/>
              <w:right w:val="nil"/>
            </w:tcBorders>
          </w:tcPr>
          <w:p w14:paraId="57035E28" w14:textId="77777777" w:rsidR="00C408C5" w:rsidRPr="00E83B5D" w:rsidRDefault="00C408C5" w:rsidP="009A7559">
            <w:pPr>
              <w:pStyle w:val="NoSpacing"/>
              <w:rPr>
                <w:lang w:eastAsia="zh-CN"/>
              </w:rPr>
            </w:pPr>
            <w:r w:rsidRPr="00E83B5D">
              <w:rPr>
                <w:lang w:eastAsia="zh-CN"/>
              </w:rPr>
              <w:t>0,953*</w:t>
            </w:r>
          </w:p>
        </w:tc>
        <w:tc>
          <w:tcPr>
            <w:tcW w:w="893" w:type="dxa"/>
            <w:tcBorders>
              <w:top w:val="nil"/>
              <w:left w:val="nil"/>
              <w:bottom w:val="nil"/>
              <w:right w:val="nil"/>
            </w:tcBorders>
          </w:tcPr>
          <w:p w14:paraId="37400E42" w14:textId="77777777" w:rsidR="00C408C5" w:rsidRPr="00E83B5D" w:rsidRDefault="00C408C5" w:rsidP="009A7559">
            <w:pPr>
              <w:pStyle w:val="NoSpacing"/>
              <w:rPr>
                <w:lang w:eastAsia="zh-CN"/>
              </w:rPr>
            </w:pPr>
            <w:r w:rsidRPr="00E83B5D">
              <w:rPr>
                <w:lang w:eastAsia="zh-CN"/>
              </w:rPr>
              <w:t>0,970*</w:t>
            </w:r>
          </w:p>
        </w:tc>
        <w:tc>
          <w:tcPr>
            <w:tcW w:w="893" w:type="dxa"/>
            <w:tcBorders>
              <w:top w:val="nil"/>
              <w:left w:val="nil"/>
              <w:bottom w:val="nil"/>
              <w:right w:val="nil"/>
            </w:tcBorders>
          </w:tcPr>
          <w:p w14:paraId="2F6FB8C5" w14:textId="77777777" w:rsidR="00C408C5" w:rsidRPr="00E83B5D" w:rsidRDefault="00C408C5" w:rsidP="009A7559">
            <w:pPr>
              <w:pStyle w:val="NoSpacing"/>
              <w:rPr>
                <w:lang w:eastAsia="zh-CN"/>
              </w:rPr>
            </w:pPr>
            <w:r w:rsidRPr="00E83B5D">
              <w:rPr>
                <w:lang w:eastAsia="zh-CN"/>
              </w:rPr>
              <w:t>0,963*</w:t>
            </w:r>
          </w:p>
        </w:tc>
        <w:tc>
          <w:tcPr>
            <w:tcW w:w="893" w:type="dxa"/>
            <w:tcBorders>
              <w:top w:val="nil"/>
              <w:left w:val="nil"/>
              <w:bottom w:val="nil"/>
              <w:right w:val="nil"/>
            </w:tcBorders>
          </w:tcPr>
          <w:p w14:paraId="6C101948"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40A6D671"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5B7D8D7B" w14:textId="77777777" w:rsidR="00C408C5" w:rsidRPr="00E83B5D" w:rsidRDefault="00C408C5" w:rsidP="009A7559">
            <w:pPr>
              <w:pStyle w:val="NoSpacing"/>
              <w:rPr>
                <w:lang w:eastAsia="zh-CN"/>
              </w:rPr>
            </w:pPr>
          </w:p>
        </w:tc>
        <w:tc>
          <w:tcPr>
            <w:tcW w:w="926" w:type="dxa"/>
            <w:tcBorders>
              <w:top w:val="nil"/>
              <w:left w:val="nil"/>
              <w:bottom w:val="nil"/>
              <w:right w:val="nil"/>
            </w:tcBorders>
          </w:tcPr>
          <w:p w14:paraId="7AA99F1E"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584A3044"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312A8FF9"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48E2132E"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2406AFBE"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2F90D24F" w14:textId="77777777" w:rsidR="00C408C5" w:rsidRPr="00E83B5D" w:rsidRDefault="00C408C5" w:rsidP="009A7559">
            <w:pPr>
              <w:pStyle w:val="NoSpacing"/>
              <w:rPr>
                <w:lang w:eastAsia="zh-CN"/>
              </w:rPr>
            </w:pPr>
          </w:p>
        </w:tc>
      </w:tr>
      <w:tr w:rsidR="00C408C5" w:rsidRPr="00E83B5D" w14:paraId="3F3D0000" w14:textId="77777777" w:rsidTr="009A7559">
        <w:trPr>
          <w:trHeight w:val="178"/>
          <w:jc w:val="center"/>
        </w:trPr>
        <w:tc>
          <w:tcPr>
            <w:tcW w:w="2835" w:type="dxa"/>
            <w:tcBorders>
              <w:top w:val="nil"/>
              <w:left w:val="nil"/>
              <w:bottom w:val="nil"/>
              <w:right w:val="nil"/>
            </w:tcBorders>
          </w:tcPr>
          <w:p w14:paraId="0B663AEF" w14:textId="77777777" w:rsidR="00C408C5" w:rsidRPr="00E83B5D" w:rsidRDefault="00C408C5" w:rsidP="009A7559">
            <w:pPr>
              <w:pStyle w:val="NoSpacing"/>
              <w:rPr>
                <w:lang w:eastAsia="zh-CN"/>
              </w:rPr>
            </w:pPr>
            <w:r w:rsidRPr="00E83B5D">
              <w:rPr>
                <w:lang w:eastAsia="zh-CN"/>
              </w:rPr>
              <w:t xml:space="preserve">(5) </w:t>
            </w:r>
            <w:proofErr w:type="spellStart"/>
            <w:r w:rsidRPr="00E83B5D">
              <w:rPr>
                <w:lang w:eastAsia="zh-CN"/>
              </w:rPr>
              <w:t>cycle_ln_Gabon</w:t>
            </w:r>
            <w:proofErr w:type="spellEnd"/>
          </w:p>
        </w:tc>
        <w:tc>
          <w:tcPr>
            <w:tcW w:w="1413" w:type="dxa"/>
            <w:tcBorders>
              <w:top w:val="nil"/>
              <w:left w:val="nil"/>
              <w:bottom w:val="nil"/>
              <w:right w:val="nil"/>
            </w:tcBorders>
          </w:tcPr>
          <w:p w14:paraId="6BEF9BFE" w14:textId="77777777" w:rsidR="00C408C5" w:rsidRPr="00E83B5D" w:rsidRDefault="00C408C5" w:rsidP="009A7559">
            <w:pPr>
              <w:pStyle w:val="NoSpacing"/>
              <w:rPr>
                <w:lang w:eastAsia="zh-CN"/>
              </w:rPr>
            </w:pPr>
            <w:r w:rsidRPr="00E83B5D">
              <w:rPr>
                <w:lang w:eastAsia="zh-CN"/>
              </w:rPr>
              <w:t>0,977*</w:t>
            </w:r>
          </w:p>
        </w:tc>
        <w:tc>
          <w:tcPr>
            <w:tcW w:w="893" w:type="dxa"/>
            <w:tcBorders>
              <w:top w:val="nil"/>
              <w:left w:val="nil"/>
              <w:bottom w:val="nil"/>
              <w:right w:val="nil"/>
            </w:tcBorders>
          </w:tcPr>
          <w:p w14:paraId="62404FD0" w14:textId="77777777" w:rsidR="00C408C5" w:rsidRPr="00E83B5D" w:rsidRDefault="00C408C5" w:rsidP="009A7559">
            <w:pPr>
              <w:pStyle w:val="NoSpacing"/>
              <w:rPr>
                <w:lang w:eastAsia="zh-CN"/>
              </w:rPr>
            </w:pPr>
            <w:r w:rsidRPr="00E83B5D">
              <w:rPr>
                <w:lang w:eastAsia="zh-CN"/>
              </w:rPr>
              <w:t>0,984*</w:t>
            </w:r>
          </w:p>
        </w:tc>
        <w:tc>
          <w:tcPr>
            <w:tcW w:w="893" w:type="dxa"/>
            <w:tcBorders>
              <w:top w:val="nil"/>
              <w:left w:val="nil"/>
              <w:bottom w:val="nil"/>
              <w:right w:val="nil"/>
            </w:tcBorders>
          </w:tcPr>
          <w:p w14:paraId="5842D82C" w14:textId="77777777" w:rsidR="00C408C5" w:rsidRPr="00E83B5D" w:rsidRDefault="00C408C5" w:rsidP="009A7559">
            <w:pPr>
              <w:pStyle w:val="NoSpacing"/>
              <w:rPr>
                <w:lang w:eastAsia="zh-CN"/>
              </w:rPr>
            </w:pPr>
            <w:r w:rsidRPr="00E83B5D">
              <w:rPr>
                <w:lang w:eastAsia="zh-CN"/>
              </w:rPr>
              <w:t>0,983*</w:t>
            </w:r>
          </w:p>
        </w:tc>
        <w:tc>
          <w:tcPr>
            <w:tcW w:w="893" w:type="dxa"/>
            <w:tcBorders>
              <w:top w:val="nil"/>
              <w:left w:val="nil"/>
              <w:bottom w:val="nil"/>
              <w:right w:val="nil"/>
            </w:tcBorders>
          </w:tcPr>
          <w:p w14:paraId="176BE242" w14:textId="77777777" w:rsidR="00C408C5" w:rsidRPr="00E83B5D" w:rsidRDefault="00C408C5" w:rsidP="009A7559">
            <w:pPr>
              <w:pStyle w:val="NoSpacing"/>
              <w:rPr>
                <w:lang w:eastAsia="zh-CN"/>
              </w:rPr>
            </w:pPr>
            <w:r w:rsidRPr="00E83B5D">
              <w:rPr>
                <w:lang w:eastAsia="zh-CN"/>
              </w:rPr>
              <w:t>0,990*</w:t>
            </w:r>
          </w:p>
        </w:tc>
        <w:tc>
          <w:tcPr>
            <w:tcW w:w="893" w:type="dxa"/>
            <w:tcBorders>
              <w:top w:val="nil"/>
              <w:left w:val="nil"/>
              <w:bottom w:val="nil"/>
              <w:right w:val="nil"/>
            </w:tcBorders>
          </w:tcPr>
          <w:p w14:paraId="20D3C263"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76D52395" w14:textId="77777777" w:rsidR="00C408C5" w:rsidRPr="00E83B5D" w:rsidRDefault="00C408C5" w:rsidP="009A7559">
            <w:pPr>
              <w:pStyle w:val="NoSpacing"/>
              <w:rPr>
                <w:lang w:eastAsia="zh-CN"/>
              </w:rPr>
            </w:pPr>
          </w:p>
        </w:tc>
        <w:tc>
          <w:tcPr>
            <w:tcW w:w="926" w:type="dxa"/>
            <w:tcBorders>
              <w:top w:val="nil"/>
              <w:left w:val="nil"/>
              <w:bottom w:val="nil"/>
              <w:right w:val="nil"/>
            </w:tcBorders>
          </w:tcPr>
          <w:p w14:paraId="69C3003D"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78ED20C3"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3C0EDBAA"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210DE84B"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2D954F6D"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5414DBB1" w14:textId="77777777" w:rsidR="00C408C5" w:rsidRPr="00E83B5D" w:rsidRDefault="00C408C5" w:rsidP="009A7559">
            <w:pPr>
              <w:pStyle w:val="NoSpacing"/>
              <w:rPr>
                <w:lang w:eastAsia="zh-CN"/>
              </w:rPr>
            </w:pPr>
          </w:p>
        </w:tc>
      </w:tr>
      <w:tr w:rsidR="00C408C5" w:rsidRPr="00E83B5D" w14:paraId="2D01E4D3" w14:textId="77777777" w:rsidTr="009A7559">
        <w:trPr>
          <w:trHeight w:val="80"/>
          <w:jc w:val="center"/>
        </w:trPr>
        <w:tc>
          <w:tcPr>
            <w:tcW w:w="2835" w:type="dxa"/>
            <w:tcBorders>
              <w:top w:val="nil"/>
              <w:left w:val="nil"/>
              <w:bottom w:val="nil"/>
              <w:right w:val="nil"/>
            </w:tcBorders>
          </w:tcPr>
          <w:p w14:paraId="2235CCA7" w14:textId="77777777" w:rsidR="00C408C5" w:rsidRPr="00E83B5D" w:rsidRDefault="00C408C5" w:rsidP="009A7559">
            <w:pPr>
              <w:pStyle w:val="NoSpacing"/>
              <w:rPr>
                <w:lang w:eastAsia="zh-CN"/>
              </w:rPr>
            </w:pPr>
            <w:r w:rsidRPr="00E83B5D">
              <w:rPr>
                <w:lang w:eastAsia="zh-CN"/>
              </w:rPr>
              <w:t xml:space="preserve">(6) </w:t>
            </w:r>
            <w:proofErr w:type="spellStart"/>
            <w:r w:rsidRPr="00E83B5D">
              <w:rPr>
                <w:lang w:eastAsia="zh-CN"/>
              </w:rPr>
              <w:t>cycle_ln_Guinée</w:t>
            </w:r>
            <w:proofErr w:type="spellEnd"/>
            <w:r w:rsidRPr="00E83B5D">
              <w:rPr>
                <w:lang w:eastAsia="zh-CN"/>
              </w:rPr>
              <w:t xml:space="preserve"> </w:t>
            </w:r>
            <w:proofErr w:type="spellStart"/>
            <w:r w:rsidRPr="00E83B5D">
              <w:rPr>
                <w:lang w:eastAsia="zh-CN"/>
              </w:rPr>
              <w:t>Equat</w:t>
            </w:r>
            <w:proofErr w:type="spellEnd"/>
          </w:p>
        </w:tc>
        <w:tc>
          <w:tcPr>
            <w:tcW w:w="1413" w:type="dxa"/>
            <w:tcBorders>
              <w:top w:val="nil"/>
              <w:left w:val="nil"/>
              <w:bottom w:val="nil"/>
              <w:right w:val="nil"/>
            </w:tcBorders>
          </w:tcPr>
          <w:p w14:paraId="04F8F58B" w14:textId="77777777" w:rsidR="00C408C5" w:rsidRPr="00E83B5D" w:rsidRDefault="00C408C5" w:rsidP="009A7559">
            <w:pPr>
              <w:pStyle w:val="NoSpacing"/>
              <w:rPr>
                <w:lang w:eastAsia="zh-CN"/>
              </w:rPr>
            </w:pPr>
            <w:r w:rsidRPr="00E83B5D">
              <w:rPr>
                <w:lang w:eastAsia="zh-CN"/>
              </w:rPr>
              <w:t>0,855*</w:t>
            </w:r>
          </w:p>
        </w:tc>
        <w:tc>
          <w:tcPr>
            <w:tcW w:w="893" w:type="dxa"/>
            <w:tcBorders>
              <w:top w:val="nil"/>
              <w:left w:val="nil"/>
              <w:bottom w:val="nil"/>
              <w:right w:val="nil"/>
            </w:tcBorders>
          </w:tcPr>
          <w:p w14:paraId="5DF084ED" w14:textId="77777777" w:rsidR="00C408C5" w:rsidRPr="00E83B5D" w:rsidRDefault="00C408C5" w:rsidP="009A7559">
            <w:pPr>
              <w:pStyle w:val="NoSpacing"/>
              <w:rPr>
                <w:lang w:eastAsia="zh-CN"/>
              </w:rPr>
            </w:pPr>
            <w:r w:rsidRPr="00E83B5D">
              <w:rPr>
                <w:lang w:eastAsia="zh-CN"/>
              </w:rPr>
              <w:t>0,829*</w:t>
            </w:r>
          </w:p>
        </w:tc>
        <w:tc>
          <w:tcPr>
            <w:tcW w:w="893" w:type="dxa"/>
            <w:tcBorders>
              <w:top w:val="nil"/>
              <w:left w:val="nil"/>
              <w:bottom w:val="nil"/>
              <w:right w:val="nil"/>
            </w:tcBorders>
          </w:tcPr>
          <w:p w14:paraId="6F28511C" w14:textId="77777777" w:rsidR="00C408C5" w:rsidRPr="00E83B5D" w:rsidRDefault="00C408C5" w:rsidP="009A7559">
            <w:pPr>
              <w:pStyle w:val="NoSpacing"/>
              <w:rPr>
                <w:lang w:eastAsia="zh-CN"/>
              </w:rPr>
            </w:pPr>
            <w:r w:rsidRPr="00E83B5D">
              <w:rPr>
                <w:lang w:eastAsia="zh-CN"/>
              </w:rPr>
              <w:t>0,811*</w:t>
            </w:r>
          </w:p>
        </w:tc>
        <w:tc>
          <w:tcPr>
            <w:tcW w:w="893" w:type="dxa"/>
            <w:tcBorders>
              <w:top w:val="nil"/>
              <w:left w:val="nil"/>
              <w:bottom w:val="nil"/>
              <w:right w:val="nil"/>
            </w:tcBorders>
          </w:tcPr>
          <w:p w14:paraId="78BC9747" w14:textId="77777777" w:rsidR="00C408C5" w:rsidRPr="00E83B5D" w:rsidRDefault="00C408C5" w:rsidP="009A7559">
            <w:pPr>
              <w:pStyle w:val="NoSpacing"/>
              <w:rPr>
                <w:lang w:eastAsia="zh-CN"/>
              </w:rPr>
            </w:pPr>
            <w:r w:rsidRPr="00E83B5D">
              <w:rPr>
                <w:lang w:eastAsia="zh-CN"/>
              </w:rPr>
              <w:t>0,674*</w:t>
            </w:r>
          </w:p>
        </w:tc>
        <w:tc>
          <w:tcPr>
            <w:tcW w:w="893" w:type="dxa"/>
            <w:tcBorders>
              <w:top w:val="nil"/>
              <w:left w:val="nil"/>
              <w:bottom w:val="nil"/>
              <w:right w:val="nil"/>
            </w:tcBorders>
          </w:tcPr>
          <w:p w14:paraId="76048596" w14:textId="77777777" w:rsidR="00C408C5" w:rsidRPr="00E83B5D" w:rsidRDefault="00C408C5" w:rsidP="009A7559">
            <w:pPr>
              <w:pStyle w:val="NoSpacing"/>
              <w:rPr>
                <w:lang w:eastAsia="zh-CN"/>
              </w:rPr>
            </w:pPr>
            <w:r w:rsidRPr="00E83B5D">
              <w:rPr>
                <w:lang w:eastAsia="zh-CN"/>
              </w:rPr>
              <w:t>0,737*</w:t>
            </w:r>
          </w:p>
        </w:tc>
        <w:tc>
          <w:tcPr>
            <w:tcW w:w="893" w:type="dxa"/>
            <w:tcBorders>
              <w:top w:val="nil"/>
              <w:left w:val="nil"/>
              <w:bottom w:val="nil"/>
              <w:right w:val="nil"/>
            </w:tcBorders>
          </w:tcPr>
          <w:p w14:paraId="2685C301" w14:textId="77777777" w:rsidR="00C408C5" w:rsidRPr="00E83B5D" w:rsidRDefault="00C408C5" w:rsidP="009A7559">
            <w:pPr>
              <w:pStyle w:val="NoSpacing"/>
              <w:rPr>
                <w:lang w:eastAsia="zh-CN"/>
              </w:rPr>
            </w:pPr>
            <w:r w:rsidRPr="00E83B5D">
              <w:rPr>
                <w:lang w:eastAsia="zh-CN"/>
              </w:rPr>
              <w:t>1,000</w:t>
            </w:r>
          </w:p>
        </w:tc>
        <w:tc>
          <w:tcPr>
            <w:tcW w:w="926" w:type="dxa"/>
            <w:tcBorders>
              <w:top w:val="nil"/>
              <w:left w:val="nil"/>
              <w:bottom w:val="nil"/>
              <w:right w:val="nil"/>
            </w:tcBorders>
          </w:tcPr>
          <w:p w14:paraId="7496CC69"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582CCA2F"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49555899"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6A34B228"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02A39ACD"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59765E06" w14:textId="77777777" w:rsidR="00C408C5" w:rsidRPr="00E83B5D" w:rsidRDefault="00C408C5" w:rsidP="009A7559">
            <w:pPr>
              <w:pStyle w:val="NoSpacing"/>
              <w:rPr>
                <w:lang w:eastAsia="zh-CN"/>
              </w:rPr>
            </w:pPr>
          </w:p>
        </w:tc>
      </w:tr>
      <w:tr w:rsidR="00C408C5" w:rsidRPr="00E83B5D" w14:paraId="64788024" w14:textId="77777777" w:rsidTr="009A7559">
        <w:trPr>
          <w:trHeight w:val="80"/>
          <w:jc w:val="center"/>
        </w:trPr>
        <w:tc>
          <w:tcPr>
            <w:tcW w:w="2835" w:type="dxa"/>
            <w:tcBorders>
              <w:top w:val="nil"/>
              <w:left w:val="nil"/>
              <w:bottom w:val="nil"/>
              <w:right w:val="nil"/>
            </w:tcBorders>
          </w:tcPr>
          <w:p w14:paraId="3CB43890" w14:textId="77777777" w:rsidR="00C408C5" w:rsidRPr="00E83B5D" w:rsidRDefault="00C408C5" w:rsidP="009A7559">
            <w:pPr>
              <w:pStyle w:val="NoSpacing"/>
              <w:rPr>
                <w:lang w:eastAsia="zh-CN"/>
              </w:rPr>
            </w:pPr>
            <w:r w:rsidRPr="00E83B5D">
              <w:rPr>
                <w:lang w:eastAsia="zh-CN"/>
              </w:rPr>
              <w:t xml:space="preserve">(7) </w:t>
            </w:r>
            <w:proofErr w:type="spellStart"/>
            <w:r w:rsidRPr="00E83B5D">
              <w:rPr>
                <w:lang w:eastAsia="zh-CN"/>
              </w:rPr>
              <w:t>cycle_ln_Mali</w:t>
            </w:r>
            <w:proofErr w:type="spellEnd"/>
          </w:p>
        </w:tc>
        <w:tc>
          <w:tcPr>
            <w:tcW w:w="1413" w:type="dxa"/>
            <w:tcBorders>
              <w:top w:val="nil"/>
              <w:left w:val="nil"/>
              <w:bottom w:val="nil"/>
              <w:right w:val="nil"/>
            </w:tcBorders>
          </w:tcPr>
          <w:p w14:paraId="68EAB1D8"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0EB59AE4" w14:textId="77777777" w:rsidR="00C408C5" w:rsidRPr="00E83B5D" w:rsidRDefault="00C408C5" w:rsidP="009A7559">
            <w:pPr>
              <w:pStyle w:val="NoSpacing"/>
              <w:rPr>
                <w:lang w:eastAsia="zh-CN"/>
              </w:rPr>
            </w:pPr>
            <w:r w:rsidRPr="00E83B5D">
              <w:rPr>
                <w:lang w:eastAsia="zh-CN"/>
              </w:rPr>
              <w:t>0,994*</w:t>
            </w:r>
          </w:p>
        </w:tc>
        <w:tc>
          <w:tcPr>
            <w:tcW w:w="893" w:type="dxa"/>
            <w:tcBorders>
              <w:top w:val="nil"/>
              <w:left w:val="nil"/>
              <w:bottom w:val="nil"/>
              <w:right w:val="nil"/>
            </w:tcBorders>
          </w:tcPr>
          <w:p w14:paraId="6803D420" w14:textId="77777777" w:rsidR="00C408C5" w:rsidRPr="00E83B5D" w:rsidRDefault="00C408C5" w:rsidP="009A7559">
            <w:pPr>
              <w:pStyle w:val="NoSpacing"/>
              <w:rPr>
                <w:lang w:eastAsia="zh-CN"/>
              </w:rPr>
            </w:pPr>
            <w:r w:rsidRPr="00E83B5D">
              <w:rPr>
                <w:lang w:eastAsia="zh-CN"/>
              </w:rPr>
              <w:t>0,995*</w:t>
            </w:r>
          </w:p>
        </w:tc>
        <w:tc>
          <w:tcPr>
            <w:tcW w:w="893" w:type="dxa"/>
            <w:tcBorders>
              <w:top w:val="nil"/>
              <w:left w:val="nil"/>
              <w:bottom w:val="nil"/>
              <w:right w:val="nil"/>
            </w:tcBorders>
          </w:tcPr>
          <w:p w14:paraId="75EDAB69" w14:textId="77777777" w:rsidR="00C408C5" w:rsidRPr="00E83B5D" w:rsidRDefault="00C408C5" w:rsidP="009A7559">
            <w:pPr>
              <w:pStyle w:val="NoSpacing"/>
              <w:rPr>
                <w:lang w:eastAsia="zh-CN"/>
              </w:rPr>
            </w:pPr>
            <w:r w:rsidRPr="00E83B5D">
              <w:rPr>
                <w:lang w:eastAsia="zh-CN"/>
              </w:rPr>
              <w:t>0,944*</w:t>
            </w:r>
          </w:p>
        </w:tc>
        <w:tc>
          <w:tcPr>
            <w:tcW w:w="893" w:type="dxa"/>
            <w:tcBorders>
              <w:top w:val="nil"/>
              <w:left w:val="nil"/>
              <w:bottom w:val="nil"/>
              <w:right w:val="nil"/>
            </w:tcBorders>
          </w:tcPr>
          <w:p w14:paraId="39D5C88A" w14:textId="77777777" w:rsidR="00C408C5" w:rsidRPr="00E83B5D" w:rsidRDefault="00C408C5" w:rsidP="009A7559">
            <w:pPr>
              <w:pStyle w:val="NoSpacing"/>
              <w:rPr>
                <w:lang w:eastAsia="zh-CN"/>
              </w:rPr>
            </w:pPr>
            <w:r w:rsidRPr="00E83B5D">
              <w:rPr>
                <w:lang w:eastAsia="zh-CN"/>
              </w:rPr>
              <w:t>0,971*</w:t>
            </w:r>
          </w:p>
        </w:tc>
        <w:tc>
          <w:tcPr>
            <w:tcW w:w="893" w:type="dxa"/>
            <w:tcBorders>
              <w:top w:val="nil"/>
              <w:left w:val="nil"/>
              <w:bottom w:val="nil"/>
              <w:right w:val="nil"/>
            </w:tcBorders>
          </w:tcPr>
          <w:p w14:paraId="597B3777" w14:textId="77777777" w:rsidR="00C408C5" w:rsidRPr="00E83B5D" w:rsidRDefault="00C408C5" w:rsidP="009A7559">
            <w:pPr>
              <w:pStyle w:val="NoSpacing"/>
              <w:rPr>
                <w:lang w:eastAsia="zh-CN"/>
              </w:rPr>
            </w:pPr>
            <w:r w:rsidRPr="00E83B5D">
              <w:rPr>
                <w:lang w:eastAsia="zh-CN"/>
              </w:rPr>
              <w:t>0,865*</w:t>
            </w:r>
          </w:p>
        </w:tc>
        <w:tc>
          <w:tcPr>
            <w:tcW w:w="926" w:type="dxa"/>
            <w:tcBorders>
              <w:top w:val="nil"/>
              <w:left w:val="nil"/>
              <w:bottom w:val="nil"/>
              <w:right w:val="nil"/>
            </w:tcBorders>
          </w:tcPr>
          <w:p w14:paraId="670BA832"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45406972"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531A07BD"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28A7C8E2"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47D25D2B"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6C4D1701" w14:textId="77777777" w:rsidR="00C408C5" w:rsidRPr="00E83B5D" w:rsidRDefault="00C408C5" w:rsidP="009A7559">
            <w:pPr>
              <w:pStyle w:val="NoSpacing"/>
              <w:rPr>
                <w:lang w:eastAsia="zh-CN"/>
              </w:rPr>
            </w:pPr>
          </w:p>
        </w:tc>
      </w:tr>
      <w:tr w:rsidR="00C408C5" w:rsidRPr="00E83B5D" w14:paraId="349A4EF8" w14:textId="77777777" w:rsidTr="009A7559">
        <w:trPr>
          <w:trHeight w:val="80"/>
          <w:jc w:val="center"/>
        </w:trPr>
        <w:tc>
          <w:tcPr>
            <w:tcW w:w="2835" w:type="dxa"/>
            <w:tcBorders>
              <w:top w:val="nil"/>
              <w:left w:val="nil"/>
              <w:bottom w:val="nil"/>
              <w:right w:val="nil"/>
            </w:tcBorders>
          </w:tcPr>
          <w:p w14:paraId="7DD8CBCD" w14:textId="77777777" w:rsidR="00C408C5" w:rsidRPr="00E83B5D" w:rsidRDefault="00C408C5" w:rsidP="009A7559">
            <w:pPr>
              <w:pStyle w:val="NoSpacing"/>
              <w:rPr>
                <w:lang w:eastAsia="zh-CN"/>
              </w:rPr>
            </w:pPr>
            <w:r w:rsidRPr="00E83B5D">
              <w:rPr>
                <w:lang w:eastAsia="zh-CN"/>
              </w:rPr>
              <w:t xml:space="preserve">(8) </w:t>
            </w:r>
            <w:proofErr w:type="spellStart"/>
            <w:r w:rsidRPr="00E83B5D">
              <w:rPr>
                <w:lang w:eastAsia="zh-CN"/>
              </w:rPr>
              <w:t>cycle_ln_Niger</w:t>
            </w:r>
            <w:proofErr w:type="spellEnd"/>
          </w:p>
        </w:tc>
        <w:tc>
          <w:tcPr>
            <w:tcW w:w="1413" w:type="dxa"/>
            <w:tcBorders>
              <w:top w:val="nil"/>
              <w:left w:val="nil"/>
              <w:bottom w:val="nil"/>
              <w:right w:val="nil"/>
            </w:tcBorders>
          </w:tcPr>
          <w:p w14:paraId="010F78CE" w14:textId="77777777" w:rsidR="00C408C5" w:rsidRPr="00E83B5D" w:rsidRDefault="00C408C5" w:rsidP="009A7559">
            <w:pPr>
              <w:pStyle w:val="NoSpacing"/>
              <w:rPr>
                <w:lang w:eastAsia="zh-CN"/>
              </w:rPr>
            </w:pPr>
            <w:r w:rsidRPr="00E83B5D">
              <w:rPr>
                <w:lang w:eastAsia="zh-CN"/>
              </w:rPr>
              <w:t>0,985*</w:t>
            </w:r>
          </w:p>
        </w:tc>
        <w:tc>
          <w:tcPr>
            <w:tcW w:w="893" w:type="dxa"/>
            <w:tcBorders>
              <w:top w:val="nil"/>
              <w:left w:val="nil"/>
              <w:bottom w:val="nil"/>
              <w:right w:val="nil"/>
            </w:tcBorders>
          </w:tcPr>
          <w:p w14:paraId="499A17BB" w14:textId="77777777" w:rsidR="00C408C5" w:rsidRPr="00E83B5D" w:rsidRDefault="00C408C5" w:rsidP="009A7559">
            <w:pPr>
              <w:pStyle w:val="NoSpacing"/>
              <w:rPr>
                <w:lang w:eastAsia="zh-CN"/>
              </w:rPr>
            </w:pPr>
            <w:r w:rsidRPr="00E83B5D">
              <w:rPr>
                <w:lang w:eastAsia="zh-CN"/>
              </w:rPr>
              <w:t>0,989*</w:t>
            </w:r>
          </w:p>
        </w:tc>
        <w:tc>
          <w:tcPr>
            <w:tcW w:w="893" w:type="dxa"/>
            <w:tcBorders>
              <w:top w:val="nil"/>
              <w:left w:val="nil"/>
              <w:bottom w:val="nil"/>
              <w:right w:val="nil"/>
            </w:tcBorders>
          </w:tcPr>
          <w:p w14:paraId="378D30CF" w14:textId="77777777" w:rsidR="00C408C5" w:rsidRPr="00E83B5D" w:rsidRDefault="00C408C5" w:rsidP="009A7559">
            <w:pPr>
              <w:pStyle w:val="NoSpacing"/>
              <w:rPr>
                <w:lang w:eastAsia="zh-CN"/>
              </w:rPr>
            </w:pPr>
            <w:r w:rsidRPr="00E83B5D">
              <w:rPr>
                <w:lang w:eastAsia="zh-CN"/>
              </w:rPr>
              <w:t>0,994*</w:t>
            </w:r>
          </w:p>
        </w:tc>
        <w:tc>
          <w:tcPr>
            <w:tcW w:w="893" w:type="dxa"/>
            <w:tcBorders>
              <w:top w:val="nil"/>
              <w:left w:val="nil"/>
              <w:bottom w:val="nil"/>
              <w:right w:val="nil"/>
            </w:tcBorders>
          </w:tcPr>
          <w:p w14:paraId="3E964C44" w14:textId="77777777" w:rsidR="00C408C5" w:rsidRPr="00E83B5D" w:rsidRDefault="00C408C5" w:rsidP="009A7559">
            <w:pPr>
              <w:pStyle w:val="NoSpacing"/>
              <w:rPr>
                <w:lang w:eastAsia="zh-CN"/>
              </w:rPr>
            </w:pPr>
            <w:r w:rsidRPr="00E83B5D">
              <w:rPr>
                <w:lang w:eastAsia="zh-CN"/>
              </w:rPr>
              <w:t>0,985*</w:t>
            </w:r>
          </w:p>
        </w:tc>
        <w:tc>
          <w:tcPr>
            <w:tcW w:w="893" w:type="dxa"/>
            <w:tcBorders>
              <w:top w:val="nil"/>
              <w:left w:val="nil"/>
              <w:bottom w:val="nil"/>
              <w:right w:val="nil"/>
            </w:tcBorders>
          </w:tcPr>
          <w:p w14:paraId="26F8A917" w14:textId="77777777" w:rsidR="00C408C5" w:rsidRPr="00E83B5D" w:rsidRDefault="00C408C5" w:rsidP="009A7559">
            <w:pPr>
              <w:pStyle w:val="NoSpacing"/>
              <w:rPr>
                <w:lang w:eastAsia="zh-CN"/>
              </w:rPr>
            </w:pPr>
            <w:r w:rsidRPr="00E83B5D">
              <w:rPr>
                <w:lang w:eastAsia="zh-CN"/>
              </w:rPr>
              <w:t>0,994*</w:t>
            </w:r>
          </w:p>
        </w:tc>
        <w:tc>
          <w:tcPr>
            <w:tcW w:w="893" w:type="dxa"/>
            <w:tcBorders>
              <w:top w:val="nil"/>
              <w:left w:val="nil"/>
              <w:bottom w:val="nil"/>
              <w:right w:val="nil"/>
            </w:tcBorders>
          </w:tcPr>
          <w:p w14:paraId="2C7BAFC6" w14:textId="77777777" w:rsidR="00C408C5" w:rsidRPr="00E83B5D" w:rsidRDefault="00C408C5" w:rsidP="009A7559">
            <w:pPr>
              <w:pStyle w:val="NoSpacing"/>
              <w:rPr>
                <w:lang w:eastAsia="zh-CN"/>
              </w:rPr>
            </w:pPr>
            <w:r w:rsidRPr="00E83B5D">
              <w:rPr>
                <w:lang w:eastAsia="zh-CN"/>
              </w:rPr>
              <w:t>0,751*</w:t>
            </w:r>
          </w:p>
        </w:tc>
        <w:tc>
          <w:tcPr>
            <w:tcW w:w="926" w:type="dxa"/>
            <w:tcBorders>
              <w:top w:val="nil"/>
              <w:left w:val="nil"/>
              <w:bottom w:val="nil"/>
              <w:right w:val="nil"/>
            </w:tcBorders>
          </w:tcPr>
          <w:p w14:paraId="2012FF4C" w14:textId="77777777" w:rsidR="00C408C5" w:rsidRPr="00E83B5D" w:rsidRDefault="00C408C5" w:rsidP="009A7559">
            <w:pPr>
              <w:pStyle w:val="NoSpacing"/>
              <w:rPr>
                <w:lang w:eastAsia="zh-CN"/>
              </w:rPr>
            </w:pPr>
            <w:r w:rsidRPr="00E83B5D">
              <w:rPr>
                <w:lang w:eastAsia="zh-CN"/>
              </w:rPr>
              <w:t>0,981*</w:t>
            </w:r>
          </w:p>
        </w:tc>
        <w:tc>
          <w:tcPr>
            <w:tcW w:w="893" w:type="dxa"/>
            <w:tcBorders>
              <w:top w:val="nil"/>
              <w:left w:val="nil"/>
              <w:bottom w:val="nil"/>
              <w:right w:val="nil"/>
            </w:tcBorders>
          </w:tcPr>
          <w:p w14:paraId="13D8BB36" w14:textId="77777777" w:rsidR="00C408C5" w:rsidRPr="00E83B5D" w:rsidRDefault="00C408C5" w:rsidP="009A7559">
            <w:pPr>
              <w:pStyle w:val="NoSpacing"/>
              <w:rPr>
                <w:lang w:eastAsia="zh-CN"/>
              </w:rPr>
            </w:pPr>
            <w:r w:rsidRPr="00E83B5D">
              <w:rPr>
                <w:lang w:eastAsia="zh-CN"/>
              </w:rPr>
              <w:t>1,000</w:t>
            </w:r>
          </w:p>
        </w:tc>
        <w:tc>
          <w:tcPr>
            <w:tcW w:w="1073" w:type="dxa"/>
            <w:tcBorders>
              <w:top w:val="nil"/>
              <w:left w:val="nil"/>
              <w:bottom w:val="nil"/>
              <w:right w:val="nil"/>
            </w:tcBorders>
          </w:tcPr>
          <w:p w14:paraId="7C92CDB9"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26EB1A82"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2464C113"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484FB332" w14:textId="77777777" w:rsidR="00C408C5" w:rsidRPr="00E83B5D" w:rsidRDefault="00C408C5" w:rsidP="009A7559">
            <w:pPr>
              <w:pStyle w:val="NoSpacing"/>
              <w:rPr>
                <w:lang w:eastAsia="zh-CN"/>
              </w:rPr>
            </w:pPr>
          </w:p>
        </w:tc>
      </w:tr>
      <w:tr w:rsidR="00C408C5" w:rsidRPr="00E83B5D" w14:paraId="46C95B2F" w14:textId="77777777" w:rsidTr="009A7559">
        <w:trPr>
          <w:trHeight w:val="236"/>
          <w:jc w:val="center"/>
        </w:trPr>
        <w:tc>
          <w:tcPr>
            <w:tcW w:w="2835" w:type="dxa"/>
            <w:tcBorders>
              <w:top w:val="nil"/>
              <w:left w:val="nil"/>
              <w:bottom w:val="nil"/>
              <w:right w:val="nil"/>
            </w:tcBorders>
          </w:tcPr>
          <w:p w14:paraId="1ED456B7" w14:textId="77777777" w:rsidR="00C408C5" w:rsidRPr="00E83B5D" w:rsidRDefault="00C408C5" w:rsidP="009A7559">
            <w:pPr>
              <w:pStyle w:val="NoSpacing"/>
              <w:rPr>
                <w:lang w:eastAsia="zh-CN"/>
              </w:rPr>
            </w:pPr>
            <w:r w:rsidRPr="00E83B5D">
              <w:rPr>
                <w:lang w:eastAsia="zh-CN"/>
              </w:rPr>
              <w:t xml:space="preserve">(9) </w:t>
            </w:r>
            <w:proofErr w:type="spellStart"/>
            <w:r w:rsidRPr="00E83B5D">
              <w:rPr>
                <w:lang w:eastAsia="zh-CN"/>
              </w:rPr>
              <w:t>cycle_ln_RCA</w:t>
            </w:r>
            <w:proofErr w:type="spellEnd"/>
          </w:p>
        </w:tc>
        <w:tc>
          <w:tcPr>
            <w:tcW w:w="1413" w:type="dxa"/>
            <w:tcBorders>
              <w:top w:val="nil"/>
              <w:left w:val="nil"/>
              <w:bottom w:val="nil"/>
              <w:right w:val="nil"/>
            </w:tcBorders>
          </w:tcPr>
          <w:p w14:paraId="530F5D0E" w14:textId="77777777" w:rsidR="00C408C5" w:rsidRPr="00E83B5D" w:rsidRDefault="00C408C5" w:rsidP="009A7559">
            <w:pPr>
              <w:pStyle w:val="NoSpacing"/>
              <w:rPr>
                <w:lang w:eastAsia="zh-CN"/>
              </w:rPr>
            </w:pPr>
            <w:r w:rsidRPr="00E83B5D">
              <w:rPr>
                <w:lang w:eastAsia="zh-CN"/>
              </w:rPr>
              <w:t>0,881*</w:t>
            </w:r>
          </w:p>
        </w:tc>
        <w:tc>
          <w:tcPr>
            <w:tcW w:w="893" w:type="dxa"/>
            <w:tcBorders>
              <w:top w:val="nil"/>
              <w:left w:val="nil"/>
              <w:bottom w:val="nil"/>
              <w:right w:val="nil"/>
            </w:tcBorders>
          </w:tcPr>
          <w:p w14:paraId="0F71D33B" w14:textId="77777777" w:rsidR="00C408C5" w:rsidRPr="00E83B5D" w:rsidRDefault="00C408C5" w:rsidP="009A7559">
            <w:pPr>
              <w:pStyle w:val="NoSpacing"/>
              <w:rPr>
                <w:lang w:eastAsia="zh-CN"/>
              </w:rPr>
            </w:pPr>
            <w:r w:rsidRPr="00E83B5D">
              <w:rPr>
                <w:lang w:eastAsia="zh-CN"/>
              </w:rPr>
              <w:t>0,862*</w:t>
            </w:r>
          </w:p>
        </w:tc>
        <w:tc>
          <w:tcPr>
            <w:tcW w:w="893" w:type="dxa"/>
            <w:tcBorders>
              <w:top w:val="nil"/>
              <w:left w:val="nil"/>
              <w:bottom w:val="nil"/>
              <w:right w:val="nil"/>
            </w:tcBorders>
          </w:tcPr>
          <w:p w14:paraId="1CC13C8D" w14:textId="77777777" w:rsidR="00C408C5" w:rsidRPr="00E83B5D" w:rsidRDefault="00C408C5" w:rsidP="009A7559">
            <w:pPr>
              <w:pStyle w:val="NoSpacing"/>
              <w:rPr>
                <w:lang w:eastAsia="zh-CN"/>
              </w:rPr>
            </w:pPr>
            <w:r w:rsidRPr="00E83B5D">
              <w:rPr>
                <w:lang w:eastAsia="zh-CN"/>
              </w:rPr>
              <w:t>0,848*</w:t>
            </w:r>
          </w:p>
        </w:tc>
        <w:tc>
          <w:tcPr>
            <w:tcW w:w="893" w:type="dxa"/>
            <w:tcBorders>
              <w:top w:val="nil"/>
              <w:left w:val="nil"/>
              <w:bottom w:val="nil"/>
              <w:right w:val="nil"/>
            </w:tcBorders>
          </w:tcPr>
          <w:p w14:paraId="3C3CB6F4" w14:textId="77777777" w:rsidR="00C408C5" w:rsidRPr="00E83B5D" w:rsidRDefault="00C408C5" w:rsidP="009A7559">
            <w:pPr>
              <w:pStyle w:val="NoSpacing"/>
              <w:rPr>
                <w:lang w:eastAsia="zh-CN"/>
              </w:rPr>
            </w:pPr>
            <w:r w:rsidRPr="00E83B5D">
              <w:rPr>
                <w:lang w:eastAsia="zh-CN"/>
              </w:rPr>
              <w:t>0,715*</w:t>
            </w:r>
          </w:p>
        </w:tc>
        <w:tc>
          <w:tcPr>
            <w:tcW w:w="893" w:type="dxa"/>
            <w:tcBorders>
              <w:top w:val="nil"/>
              <w:left w:val="nil"/>
              <w:bottom w:val="nil"/>
              <w:right w:val="nil"/>
            </w:tcBorders>
          </w:tcPr>
          <w:p w14:paraId="00437E4B" w14:textId="77777777" w:rsidR="00C408C5" w:rsidRPr="00E83B5D" w:rsidRDefault="00C408C5" w:rsidP="009A7559">
            <w:pPr>
              <w:pStyle w:val="NoSpacing"/>
              <w:rPr>
                <w:lang w:eastAsia="zh-CN"/>
              </w:rPr>
            </w:pPr>
            <w:r w:rsidRPr="00E83B5D">
              <w:rPr>
                <w:lang w:eastAsia="zh-CN"/>
              </w:rPr>
              <w:t>0,765*</w:t>
            </w:r>
          </w:p>
        </w:tc>
        <w:tc>
          <w:tcPr>
            <w:tcW w:w="893" w:type="dxa"/>
            <w:tcBorders>
              <w:top w:val="nil"/>
              <w:left w:val="nil"/>
              <w:bottom w:val="nil"/>
              <w:right w:val="nil"/>
            </w:tcBorders>
          </w:tcPr>
          <w:p w14:paraId="3850B9F2" w14:textId="77777777" w:rsidR="00C408C5" w:rsidRPr="00E83B5D" w:rsidRDefault="00C408C5" w:rsidP="009A7559">
            <w:pPr>
              <w:pStyle w:val="NoSpacing"/>
              <w:rPr>
                <w:lang w:eastAsia="zh-CN"/>
              </w:rPr>
            </w:pPr>
            <w:r w:rsidRPr="00E83B5D">
              <w:rPr>
                <w:lang w:eastAsia="zh-CN"/>
              </w:rPr>
              <w:t>0,979*</w:t>
            </w:r>
          </w:p>
        </w:tc>
        <w:tc>
          <w:tcPr>
            <w:tcW w:w="926" w:type="dxa"/>
            <w:tcBorders>
              <w:top w:val="nil"/>
              <w:left w:val="nil"/>
              <w:bottom w:val="nil"/>
              <w:right w:val="nil"/>
            </w:tcBorders>
          </w:tcPr>
          <w:p w14:paraId="0BFA4353" w14:textId="77777777" w:rsidR="00C408C5" w:rsidRPr="00E83B5D" w:rsidRDefault="00C408C5" w:rsidP="009A7559">
            <w:pPr>
              <w:pStyle w:val="NoSpacing"/>
              <w:rPr>
                <w:lang w:eastAsia="zh-CN"/>
              </w:rPr>
            </w:pPr>
            <w:r w:rsidRPr="00E83B5D">
              <w:rPr>
                <w:lang w:eastAsia="zh-CN"/>
              </w:rPr>
              <w:t>0,892*</w:t>
            </w:r>
          </w:p>
        </w:tc>
        <w:tc>
          <w:tcPr>
            <w:tcW w:w="893" w:type="dxa"/>
            <w:tcBorders>
              <w:top w:val="nil"/>
              <w:left w:val="nil"/>
              <w:bottom w:val="nil"/>
              <w:right w:val="nil"/>
            </w:tcBorders>
          </w:tcPr>
          <w:p w14:paraId="1AF570D1" w14:textId="77777777" w:rsidR="00C408C5" w:rsidRPr="00E83B5D" w:rsidRDefault="00C408C5" w:rsidP="009A7559">
            <w:pPr>
              <w:pStyle w:val="NoSpacing"/>
              <w:rPr>
                <w:lang w:eastAsia="zh-CN"/>
              </w:rPr>
            </w:pPr>
            <w:r w:rsidRPr="00E83B5D">
              <w:rPr>
                <w:lang w:eastAsia="zh-CN"/>
              </w:rPr>
              <w:t>0,794*</w:t>
            </w:r>
          </w:p>
        </w:tc>
        <w:tc>
          <w:tcPr>
            <w:tcW w:w="1073" w:type="dxa"/>
            <w:tcBorders>
              <w:top w:val="nil"/>
              <w:left w:val="nil"/>
              <w:bottom w:val="nil"/>
              <w:right w:val="nil"/>
            </w:tcBorders>
          </w:tcPr>
          <w:p w14:paraId="54F5B51A" w14:textId="77777777" w:rsidR="00C408C5" w:rsidRPr="00E83B5D" w:rsidRDefault="00C408C5" w:rsidP="009A7559">
            <w:pPr>
              <w:pStyle w:val="NoSpacing"/>
              <w:rPr>
                <w:lang w:eastAsia="zh-CN"/>
              </w:rPr>
            </w:pPr>
            <w:r w:rsidRPr="00E83B5D">
              <w:rPr>
                <w:lang w:eastAsia="zh-CN"/>
              </w:rPr>
              <w:t>1,000</w:t>
            </w:r>
          </w:p>
        </w:tc>
        <w:tc>
          <w:tcPr>
            <w:tcW w:w="1063" w:type="dxa"/>
            <w:tcBorders>
              <w:top w:val="nil"/>
              <w:left w:val="nil"/>
              <w:bottom w:val="nil"/>
              <w:right w:val="nil"/>
            </w:tcBorders>
          </w:tcPr>
          <w:p w14:paraId="7131829B"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136C5E2F"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3F65FDE0" w14:textId="77777777" w:rsidR="00C408C5" w:rsidRPr="00E83B5D" w:rsidRDefault="00C408C5" w:rsidP="009A7559">
            <w:pPr>
              <w:pStyle w:val="NoSpacing"/>
              <w:rPr>
                <w:lang w:eastAsia="zh-CN"/>
              </w:rPr>
            </w:pPr>
          </w:p>
        </w:tc>
      </w:tr>
      <w:tr w:rsidR="00C408C5" w:rsidRPr="00E83B5D" w14:paraId="0ED821EF" w14:textId="77777777" w:rsidTr="009A7559">
        <w:trPr>
          <w:trHeight w:val="113"/>
          <w:jc w:val="center"/>
        </w:trPr>
        <w:tc>
          <w:tcPr>
            <w:tcW w:w="2835" w:type="dxa"/>
            <w:tcBorders>
              <w:top w:val="nil"/>
              <w:left w:val="nil"/>
              <w:bottom w:val="nil"/>
              <w:right w:val="nil"/>
            </w:tcBorders>
          </w:tcPr>
          <w:p w14:paraId="35BBE7A0" w14:textId="77777777" w:rsidR="00C408C5" w:rsidRPr="00E83B5D" w:rsidRDefault="00C408C5" w:rsidP="009A7559">
            <w:pPr>
              <w:pStyle w:val="NoSpacing"/>
              <w:rPr>
                <w:lang w:eastAsia="zh-CN"/>
              </w:rPr>
            </w:pPr>
            <w:r w:rsidRPr="00E83B5D">
              <w:rPr>
                <w:lang w:eastAsia="zh-CN"/>
              </w:rPr>
              <w:t xml:space="preserve">(10) </w:t>
            </w:r>
            <w:proofErr w:type="spellStart"/>
            <w:r w:rsidRPr="00E83B5D">
              <w:rPr>
                <w:lang w:eastAsia="zh-CN"/>
              </w:rPr>
              <w:t>cycle_ln_Sénégal</w:t>
            </w:r>
            <w:proofErr w:type="spellEnd"/>
          </w:p>
        </w:tc>
        <w:tc>
          <w:tcPr>
            <w:tcW w:w="1413" w:type="dxa"/>
            <w:tcBorders>
              <w:top w:val="nil"/>
              <w:left w:val="nil"/>
              <w:bottom w:val="nil"/>
              <w:right w:val="nil"/>
            </w:tcBorders>
          </w:tcPr>
          <w:p w14:paraId="04B1BEE5" w14:textId="77777777" w:rsidR="00C408C5" w:rsidRPr="00E83B5D" w:rsidRDefault="00C408C5" w:rsidP="009A7559">
            <w:pPr>
              <w:pStyle w:val="NoSpacing"/>
              <w:rPr>
                <w:lang w:eastAsia="zh-CN"/>
              </w:rPr>
            </w:pPr>
            <w:r w:rsidRPr="00E83B5D">
              <w:rPr>
                <w:lang w:eastAsia="zh-CN"/>
              </w:rPr>
              <w:t>0,994*</w:t>
            </w:r>
          </w:p>
        </w:tc>
        <w:tc>
          <w:tcPr>
            <w:tcW w:w="893" w:type="dxa"/>
            <w:tcBorders>
              <w:top w:val="nil"/>
              <w:left w:val="nil"/>
              <w:bottom w:val="nil"/>
              <w:right w:val="nil"/>
            </w:tcBorders>
          </w:tcPr>
          <w:p w14:paraId="31F4FB88" w14:textId="77777777" w:rsidR="00C408C5" w:rsidRPr="00E83B5D" w:rsidRDefault="00C408C5" w:rsidP="009A7559">
            <w:pPr>
              <w:pStyle w:val="NoSpacing"/>
              <w:rPr>
                <w:lang w:eastAsia="zh-CN"/>
              </w:rPr>
            </w:pPr>
            <w:r w:rsidRPr="00E83B5D">
              <w:rPr>
                <w:lang w:eastAsia="zh-CN"/>
              </w:rPr>
              <w:t>0,998*</w:t>
            </w:r>
          </w:p>
        </w:tc>
        <w:tc>
          <w:tcPr>
            <w:tcW w:w="893" w:type="dxa"/>
            <w:tcBorders>
              <w:top w:val="nil"/>
              <w:left w:val="nil"/>
              <w:bottom w:val="nil"/>
              <w:right w:val="nil"/>
            </w:tcBorders>
          </w:tcPr>
          <w:p w14:paraId="1E626DEB" w14:textId="77777777" w:rsidR="00C408C5" w:rsidRPr="00E83B5D" w:rsidRDefault="00C408C5" w:rsidP="009A7559">
            <w:pPr>
              <w:pStyle w:val="NoSpacing"/>
              <w:rPr>
                <w:lang w:eastAsia="zh-CN"/>
              </w:rPr>
            </w:pPr>
            <w:r w:rsidRPr="00E83B5D">
              <w:rPr>
                <w:lang w:eastAsia="zh-CN"/>
              </w:rPr>
              <w:t>0,996*</w:t>
            </w:r>
          </w:p>
        </w:tc>
        <w:tc>
          <w:tcPr>
            <w:tcW w:w="893" w:type="dxa"/>
            <w:tcBorders>
              <w:top w:val="nil"/>
              <w:left w:val="nil"/>
              <w:bottom w:val="nil"/>
              <w:right w:val="nil"/>
            </w:tcBorders>
          </w:tcPr>
          <w:p w14:paraId="411F9E39" w14:textId="77777777" w:rsidR="00C408C5" w:rsidRPr="00E83B5D" w:rsidRDefault="00C408C5" w:rsidP="009A7559">
            <w:pPr>
              <w:pStyle w:val="NoSpacing"/>
              <w:rPr>
                <w:lang w:eastAsia="zh-CN"/>
              </w:rPr>
            </w:pPr>
            <w:r w:rsidRPr="00E83B5D">
              <w:rPr>
                <w:lang w:eastAsia="zh-CN"/>
              </w:rPr>
              <w:t>0,979*</w:t>
            </w:r>
          </w:p>
        </w:tc>
        <w:tc>
          <w:tcPr>
            <w:tcW w:w="893" w:type="dxa"/>
            <w:tcBorders>
              <w:top w:val="nil"/>
              <w:left w:val="nil"/>
              <w:bottom w:val="nil"/>
              <w:right w:val="nil"/>
            </w:tcBorders>
          </w:tcPr>
          <w:p w14:paraId="7505BFFA" w14:textId="77777777" w:rsidR="00C408C5" w:rsidRPr="00E83B5D" w:rsidRDefault="00C408C5" w:rsidP="009A7559">
            <w:pPr>
              <w:pStyle w:val="NoSpacing"/>
              <w:rPr>
                <w:lang w:eastAsia="zh-CN"/>
              </w:rPr>
            </w:pPr>
            <w:r w:rsidRPr="00E83B5D">
              <w:rPr>
                <w:lang w:eastAsia="zh-CN"/>
              </w:rPr>
              <w:t>0,990*</w:t>
            </w:r>
          </w:p>
        </w:tc>
        <w:tc>
          <w:tcPr>
            <w:tcW w:w="893" w:type="dxa"/>
            <w:tcBorders>
              <w:top w:val="nil"/>
              <w:left w:val="nil"/>
              <w:bottom w:val="nil"/>
              <w:right w:val="nil"/>
            </w:tcBorders>
          </w:tcPr>
          <w:p w14:paraId="78A2E0C3" w14:textId="77777777" w:rsidR="00C408C5" w:rsidRPr="00E83B5D" w:rsidRDefault="00C408C5" w:rsidP="009A7559">
            <w:pPr>
              <w:pStyle w:val="NoSpacing"/>
              <w:rPr>
                <w:lang w:eastAsia="zh-CN"/>
              </w:rPr>
            </w:pPr>
            <w:r w:rsidRPr="00E83B5D">
              <w:rPr>
                <w:lang w:eastAsia="zh-CN"/>
              </w:rPr>
              <w:t>0,799*</w:t>
            </w:r>
          </w:p>
        </w:tc>
        <w:tc>
          <w:tcPr>
            <w:tcW w:w="926" w:type="dxa"/>
            <w:tcBorders>
              <w:top w:val="nil"/>
              <w:left w:val="nil"/>
              <w:bottom w:val="nil"/>
              <w:right w:val="nil"/>
            </w:tcBorders>
          </w:tcPr>
          <w:p w14:paraId="1B959E4A" w14:textId="77777777" w:rsidR="00C408C5" w:rsidRPr="00E83B5D" w:rsidRDefault="00C408C5" w:rsidP="009A7559">
            <w:pPr>
              <w:pStyle w:val="NoSpacing"/>
              <w:rPr>
                <w:lang w:eastAsia="zh-CN"/>
              </w:rPr>
            </w:pPr>
            <w:r w:rsidRPr="00E83B5D">
              <w:rPr>
                <w:lang w:eastAsia="zh-CN"/>
              </w:rPr>
              <w:t>0,991*</w:t>
            </w:r>
          </w:p>
        </w:tc>
        <w:tc>
          <w:tcPr>
            <w:tcW w:w="893" w:type="dxa"/>
            <w:tcBorders>
              <w:top w:val="nil"/>
              <w:left w:val="nil"/>
              <w:bottom w:val="nil"/>
              <w:right w:val="nil"/>
            </w:tcBorders>
          </w:tcPr>
          <w:p w14:paraId="55E643B0" w14:textId="77777777" w:rsidR="00C408C5" w:rsidRPr="00E83B5D" w:rsidRDefault="00C408C5" w:rsidP="009A7559">
            <w:pPr>
              <w:pStyle w:val="NoSpacing"/>
              <w:rPr>
                <w:lang w:eastAsia="zh-CN"/>
              </w:rPr>
            </w:pPr>
            <w:r w:rsidRPr="00E83B5D">
              <w:rPr>
                <w:lang w:eastAsia="zh-CN"/>
              </w:rPr>
              <w:t>0,995*</w:t>
            </w:r>
          </w:p>
        </w:tc>
        <w:tc>
          <w:tcPr>
            <w:tcW w:w="1073" w:type="dxa"/>
            <w:tcBorders>
              <w:top w:val="nil"/>
              <w:left w:val="nil"/>
              <w:bottom w:val="nil"/>
              <w:right w:val="nil"/>
            </w:tcBorders>
          </w:tcPr>
          <w:p w14:paraId="7DBFA9B9" w14:textId="77777777" w:rsidR="00C408C5" w:rsidRPr="00E83B5D" w:rsidRDefault="00C408C5" w:rsidP="009A7559">
            <w:pPr>
              <w:pStyle w:val="NoSpacing"/>
              <w:rPr>
                <w:lang w:eastAsia="zh-CN"/>
              </w:rPr>
            </w:pPr>
            <w:r w:rsidRPr="00E83B5D">
              <w:rPr>
                <w:lang w:eastAsia="zh-CN"/>
              </w:rPr>
              <w:t>0,836*</w:t>
            </w:r>
          </w:p>
        </w:tc>
        <w:tc>
          <w:tcPr>
            <w:tcW w:w="1063" w:type="dxa"/>
            <w:tcBorders>
              <w:top w:val="nil"/>
              <w:left w:val="nil"/>
              <w:bottom w:val="nil"/>
              <w:right w:val="nil"/>
            </w:tcBorders>
          </w:tcPr>
          <w:p w14:paraId="3CDF28E6" w14:textId="77777777" w:rsidR="00C408C5" w:rsidRPr="00E83B5D" w:rsidRDefault="00C408C5" w:rsidP="009A7559">
            <w:pPr>
              <w:pStyle w:val="NoSpacing"/>
              <w:rPr>
                <w:lang w:eastAsia="zh-CN"/>
              </w:rPr>
            </w:pPr>
            <w:r w:rsidRPr="00E83B5D">
              <w:rPr>
                <w:lang w:eastAsia="zh-CN"/>
              </w:rPr>
              <w:t>1,000</w:t>
            </w:r>
          </w:p>
        </w:tc>
        <w:tc>
          <w:tcPr>
            <w:tcW w:w="992" w:type="dxa"/>
            <w:tcBorders>
              <w:top w:val="nil"/>
              <w:left w:val="nil"/>
              <w:bottom w:val="nil"/>
              <w:right w:val="nil"/>
            </w:tcBorders>
          </w:tcPr>
          <w:p w14:paraId="5830E1C9"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6652BAE0" w14:textId="77777777" w:rsidR="00C408C5" w:rsidRPr="00E83B5D" w:rsidRDefault="00C408C5" w:rsidP="009A7559">
            <w:pPr>
              <w:pStyle w:val="NoSpacing"/>
              <w:rPr>
                <w:lang w:eastAsia="zh-CN"/>
              </w:rPr>
            </w:pPr>
          </w:p>
        </w:tc>
      </w:tr>
      <w:tr w:rsidR="00C408C5" w:rsidRPr="00E83B5D" w14:paraId="393F9273" w14:textId="77777777" w:rsidTr="009A7559">
        <w:trPr>
          <w:trHeight w:val="116"/>
          <w:jc w:val="center"/>
        </w:trPr>
        <w:tc>
          <w:tcPr>
            <w:tcW w:w="2835" w:type="dxa"/>
            <w:tcBorders>
              <w:top w:val="nil"/>
              <w:left w:val="nil"/>
              <w:right w:val="nil"/>
            </w:tcBorders>
          </w:tcPr>
          <w:p w14:paraId="149A7949" w14:textId="77777777" w:rsidR="00C408C5" w:rsidRPr="00E83B5D" w:rsidRDefault="00C408C5" w:rsidP="009A7559">
            <w:pPr>
              <w:pStyle w:val="NoSpacing"/>
              <w:rPr>
                <w:lang w:eastAsia="zh-CN"/>
              </w:rPr>
            </w:pPr>
            <w:r w:rsidRPr="00E83B5D">
              <w:rPr>
                <w:lang w:eastAsia="zh-CN"/>
              </w:rPr>
              <w:t xml:space="preserve">(11) </w:t>
            </w:r>
            <w:proofErr w:type="spellStart"/>
            <w:r w:rsidRPr="00E83B5D">
              <w:rPr>
                <w:lang w:eastAsia="zh-CN"/>
              </w:rPr>
              <w:t>cycle_ln_Tchad</w:t>
            </w:r>
            <w:proofErr w:type="spellEnd"/>
          </w:p>
        </w:tc>
        <w:tc>
          <w:tcPr>
            <w:tcW w:w="1413" w:type="dxa"/>
            <w:tcBorders>
              <w:top w:val="nil"/>
              <w:left w:val="nil"/>
              <w:right w:val="nil"/>
            </w:tcBorders>
          </w:tcPr>
          <w:p w14:paraId="052BA67C" w14:textId="77777777" w:rsidR="00C408C5" w:rsidRPr="00E83B5D" w:rsidRDefault="00C408C5" w:rsidP="009A7559">
            <w:pPr>
              <w:pStyle w:val="NoSpacing"/>
              <w:rPr>
                <w:lang w:eastAsia="zh-CN"/>
              </w:rPr>
            </w:pPr>
            <w:r w:rsidRPr="00E83B5D">
              <w:rPr>
                <w:lang w:eastAsia="zh-CN"/>
              </w:rPr>
              <w:t>0,989*</w:t>
            </w:r>
          </w:p>
        </w:tc>
        <w:tc>
          <w:tcPr>
            <w:tcW w:w="893" w:type="dxa"/>
            <w:tcBorders>
              <w:top w:val="nil"/>
              <w:left w:val="nil"/>
              <w:right w:val="nil"/>
            </w:tcBorders>
          </w:tcPr>
          <w:p w14:paraId="769EA907" w14:textId="77777777" w:rsidR="00C408C5" w:rsidRPr="00E83B5D" w:rsidRDefault="00C408C5" w:rsidP="009A7559">
            <w:pPr>
              <w:pStyle w:val="NoSpacing"/>
              <w:rPr>
                <w:lang w:eastAsia="zh-CN"/>
              </w:rPr>
            </w:pPr>
            <w:r w:rsidRPr="00E83B5D">
              <w:rPr>
                <w:lang w:eastAsia="zh-CN"/>
              </w:rPr>
              <w:t>0,976*</w:t>
            </w:r>
          </w:p>
        </w:tc>
        <w:tc>
          <w:tcPr>
            <w:tcW w:w="893" w:type="dxa"/>
            <w:tcBorders>
              <w:top w:val="nil"/>
              <w:left w:val="nil"/>
              <w:right w:val="nil"/>
            </w:tcBorders>
          </w:tcPr>
          <w:p w14:paraId="3FC76469" w14:textId="77777777" w:rsidR="00C408C5" w:rsidRPr="00E83B5D" w:rsidRDefault="00C408C5" w:rsidP="009A7559">
            <w:pPr>
              <w:pStyle w:val="NoSpacing"/>
              <w:rPr>
                <w:lang w:eastAsia="zh-CN"/>
              </w:rPr>
            </w:pPr>
            <w:r w:rsidRPr="00E83B5D">
              <w:rPr>
                <w:lang w:eastAsia="zh-CN"/>
              </w:rPr>
              <w:t>0,985*</w:t>
            </w:r>
          </w:p>
        </w:tc>
        <w:tc>
          <w:tcPr>
            <w:tcW w:w="893" w:type="dxa"/>
            <w:tcBorders>
              <w:top w:val="nil"/>
              <w:left w:val="nil"/>
              <w:right w:val="nil"/>
            </w:tcBorders>
          </w:tcPr>
          <w:p w14:paraId="5F63D527" w14:textId="77777777" w:rsidR="00C408C5" w:rsidRPr="00E83B5D" w:rsidRDefault="00C408C5" w:rsidP="009A7559">
            <w:pPr>
              <w:pStyle w:val="NoSpacing"/>
              <w:rPr>
                <w:lang w:eastAsia="zh-CN"/>
              </w:rPr>
            </w:pPr>
            <w:r w:rsidRPr="00E83B5D">
              <w:rPr>
                <w:lang w:eastAsia="zh-CN"/>
              </w:rPr>
              <w:t>0,905*</w:t>
            </w:r>
          </w:p>
        </w:tc>
        <w:tc>
          <w:tcPr>
            <w:tcW w:w="893" w:type="dxa"/>
            <w:tcBorders>
              <w:top w:val="nil"/>
              <w:left w:val="nil"/>
              <w:right w:val="nil"/>
            </w:tcBorders>
          </w:tcPr>
          <w:p w14:paraId="13F51E2D" w14:textId="77777777" w:rsidR="00C408C5" w:rsidRPr="00E83B5D" w:rsidRDefault="00C408C5" w:rsidP="009A7559">
            <w:pPr>
              <w:pStyle w:val="NoSpacing"/>
              <w:rPr>
                <w:lang w:eastAsia="zh-CN"/>
              </w:rPr>
            </w:pPr>
            <w:r w:rsidRPr="00E83B5D">
              <w:rPr>
                <w:lang w:eastAsia="zh-CN"/>
              </w:rPr>
              <w:t>0,943*</w:t>
            </w:r>
          </w:p>
        </w:tc>
        <w:tc>
          <w:tcPr>
            <w:tcW w:w="893" w:type="dxa"/>
            <w:tcBorders>
              <w:top w:val="nil"/>
              <w:left w:val="nil"/>
              <w:right w:val="nil"/>
            </w:tcBorders>
          </w:tcPr>
          <w:p w14:paraId="3D935221" w14:textId="77777777" w:rsidR="00C408C5" w:rsidRPr="00E83B5D" w:rsidRDefault="00C408C5" w:rsidP="009A7559">
            <w:pPr>
              <w:pStyle w:val="NoSpacing"/>
              <w:rPr>
                <w:lang w:eastAsia="zh-CN"/>
              </w:rPr>
            </w:pPr>
            <w:r w:rsidRPr="00E83B5D">
              <w:rPr>
                <w:lang w:eastAsia="zh-CN"/>
              </w:rPr>
              <w:t>0,885*</w:t>
            </w:r>
          </w:p>
        </w:tc>
        <w:tc>
          <w:tcPr>
            <w:tcW w:w="926" w:type="dxa"/>
            <w:tcBorders>
              <w:top w:val="nil"/>
              <w:left w:val="nil"/>
              <w:right w:val="nil"/>
            </w:tcBorders>
          </w:tcPr>
          <w:p w14:paraId="57C29527" w14:textId="77777777" w:rsidR="00C408C5" w:rsidRPr="00E83B5D" w:rsidRDefault="00C408C5" w:rsidP="009A7559">
            <w:pPr>
              <w:pStyle w:val="NoSpacing"/>
              <w:rPr>
                <w:lang w:eastAsia="zh-CN"/>
              </w:rPr>
            </w:pPr>
            <w:r w:rsidRPr="00E83B5D">
              <w:rPr>
                <w:lang w:eastAsia="zh-CN"/>
              </w:rPr>
              <w:t>0,993*</w:t>
            </w:r>
          </w:p>
        </w:tc>
        <w:tc>
          <w:tcPr>
            <w:tcW w:w="893" w:type="dxa"/>
            <w:tcBorders>
              <w:top w:val="nil"/>
              <w:left w:val="nil"/>
              <w:right w:val="nil"/>
            </w:tcBorders>
          </w:tcPr>
          <w:p w14:paraId="5EE0D8DA" w14:textId="77777777" w:rsidR="00C408C5" w:rsidRPr="00E83B5D" w:rsidRDefault="00C408C5" w:rsidP="009A7559">
            <w:pPr>
              <w:pStyle w:val="NoSpacing"/>
              <w:rPr>
                <w:lang w:eastAsia="zh-CN"/>
              </w:rPr>
            </w:pPr>
            <w:r w:rsidRPr="00E83B5D">
              <w:rPr>
                <w:lang w:eastAsia="zh-CN"/>
              </w:rPr>
              <w:t>0,961*</w:t>
            </w:r>
          </w:p>
        </w:tc>
        <w:tc>
          <w:tcPr>
            <w:tcW w:w="1073" w:type="dxa"/>
            <w:tcBorders>
              <w:top w:val="nil"/>
              <w:left w:val="nil"/>
              <w:right w:val="nil"/>
            </w:tcBorders>
          </w:tcPr>
          <w:p w14:paraId="72EBFB4F" w14:textId="77777777" w:rsidR="00C408C5" w:rsidRPr="00E83B5D" w:rsidRDefault="00C408C5" w:rsidP="009A7559">
            <w:pPr>
              <w:pStyle w:val="NoSpacing"/>
              <w:rPr>
                <w:lang w:eastAsia="zh-CN"/>
              </w:rPr>
            </w:pPr>
            <w:r w:rsidRPr="00E83B5D">
              <w:rPr>
                <w:lang w:eastAsia="zh-CN"/>
              </w:rPr>
              <w:t>0,915*</w:t>
            </w:r>
          </w:p>
        </w:tc>
        <w:tc>
          <w:tcPr>
            <w:tcW w:w="1063" w:type="dxa"/>
            <w:tcBorders>
              <w:top w:val="nil"/>
              <w:left w:val="nil"/>
              <w:right w:val="nil"/>
            </w:tcBorders>
          </w:tcPr>
          <w:p w14:paraId="6214F6EA" w14:textId="77777777" w:rsidR="00C408C5" w:rsidRPr="00E83B5D" w:rsidRDefault="00C408C5" w:rsidP="009A7559">
            <w:pPr>
              <w:pStyle w:val="NoSpacing"/>
              <w:rPr>
                <w:lang w:eastAsia="zh-CN"/>
              </w:rPr>
            </w:pPr>
            <w:r w:rsidRPr="00E83B5D">
              <w:rPr>
                <w:lang w:eastAsia="zh-CN"/>
              </w:rPr>
              <w:t>0,971*</w:t>
            </w:r>
          </w:p>
        </w:tc>
        <w:tc>
          <w:tcPr>
            <w:tcW w:w="992" w:type="dxa"/>
            <w:tcBorders>
              <w:top w:val="nil"/>
              <w:left w:val="nil"/>
              <w:right w:val="nil"/>
            </w:tcBorders>
          </w:tcPr>
          <w:p w14:paraId="59515A87" w14:textId="77777777" w:rsidR="00C408C5" w:rsidRPr="00E83B5D" w:rsidRDefault="00C408C5" w:rsidP="009A7559">
            <w:pPr>
              <w:pStyle w:val="NoSpacing"/>
              <w:rPr>
                <w:lang w:eastAsia="zh-CN"/>
              </w:rPr>
            </w:pPr>
            <w:r w:rsidRPr="00E83B5D">
              <w:rPr>
                <w:lang w:eastAsia="zh-CN"/>
              </w:rPr>
              <w:t>1,000</w:t>
            </w:r>
          </w:p>
        </w:tc>
        <w:tc>
          <w:tcPr>
            <w:tcW w:w="1087" w:type="dxa"/>
            <w:tcBorders>
              <w:top w:val="nil"/>
              <w:left w:val="nil"/>
              <w:right w:val="nil"/>
            </w:tcBorders>
          </w:tcPr>
          <w:p w14:paraId="210ADFFC" w14:textId="77777777" w:rsidR="00C408C5" w:rsidRPr="00E83B5D" w:rsidRDefault="00C408C5" w:rsidP="009A7559">
            <w:pPr>
              <w:pStyle w:val="NoSpacing"/>
              <w:rPr>
                <w:lang w:eastAsia="zh-CN"/>
              </w:rPr>
            </w:pPr>
          </w:p>
        </w:tc>
      </w:tr>
      <w:tr w:rsidR="00C408C5" w:rsidRPr="00E83B5D" w14:paraId="7FE04872" w14:textId="77777777" w:rsidTr="009A7559">
        <w:trPr>
          <w:trHeight w:val="134"/>
          <w:jc w:val="center"/>
        </w:trPr>
        <w:tc>
          <w:tcPr>
            <w:tcW w:w="2835" w:type="dxa"/>
            <w:tcBorders>
              <w:top w:val="nil"/>
              <w:left w:val="nil"/>
              <w:bottom w:val="single" w:sz="4" w:space="0" w:color="auto"/>
              <w:right w:val="nil"/>
            </w:tcBorders>
          </w:tcPr>
          <w:p w14:paraId="56E21FB1" w14:textId="77777777" w:rsidR="00C408C5" w:rsidRPr="00E83B5D" w:rsidRDefault="00C408C5" w:rsidP="009A7559">
            <w:pPr>
              <w:pStyle w:val="NoSpacing"/>
              <w:rPr>
                <w:lang w:eastAsia="zh-CN"/>
              </w:rPr>
            </w:pPr>
            <w:r w:rsidRPr="00E83B5D">
              <w:rPr>
                <w:lang w:eastAsia="zh-CN"/>
              </w:rPr>
              <w:t xml:space="preserve">(12) </w:t>
            </w:r>
            <w:proofErr w:type="spellStart"/>
            <w:r w:rsidRPr="00E83B5D">
              <w:rPr>
                <w:lang w:eastAsia="zh-CN"/>
              </w:rPr>
              <w:t>cycle_ln_Togo</w:t>
            </w:r>
            <w:proofErr w:type="spellEnd"/>
          </w:p>
        </w:tc>
        <w:tc>
          <w:tcPr>
            <w:tcW w:w="1413" w:type="dxa"/>
            <w:tcBorders>
              <w:top w:val="nil"/>
              <w:left w:val="nil"/>
              <w:bottom w:val="single" w:sz="4" w:space="0" w:color="auto"/>
              <w:right w:val="nil"/>
            </w:tcBorders>
          </w:tcPr>
          <w:p w14:paraId="3BE6A1F1" w14:textId="77777777" w:rsidR="00C408C5" w:rsidRPr="00E83B5D" w:rsidRDefault="00C408C5" w:rsidP="009A7559">
            <w:pPr>
              <w:pStyle w:val="NoSpacing"/>
              <w:rPr>
                <w:lang w:eastAsia="zh-CN"/>
              </w:rPr>
            </w:pPr>
            <w:r w:rsidRPr="00E83B5D">
              <w:rPr>
                <w:lang w:eastAsia="zh-CN"/>
              </w:rPr>
              <w:t>0,983*</w:t>
            </w:r>
          </w:p>
        </w:tc>
        <w:tc>
          <w:tcPr>
            <w:tcW w:w="893" w:type="dxa"/>
            <w:tcBorders>
              <w:top w:val="nil"/>
              <w:left w:val="nil"/>
              <w:bottom w:val="single" w:sz="4" w:space="0" w:color="auto"/>
              <w:right w:val="nil"/>
            </w:tcBorders>
          </w:tcPr>
          <w:p w14:paraId="19DF6FD2" w14:textId="77777777" w:rsidR="00C408C5" w:rsidRPr="00E83B5D" w:rsidRDefault="00C408C5" w:rsidP="009A7559">
            <w:pPr>
              <w:pStyle w:val="NoSpacing"/>
              <w:rPr>
                <w:lang w:eastAsia="zh-CN"/>
              </w:rPr>
            </w:pPr>
            <w:r w:rsidRPr="00E83B5D">
              <w:rPr>
                <w:lang w:eastAsia="zh-CN"/>
              </w:rPr>
              <w:t>0,992*</w:t>
            </w:r>
          </w:p>
        </w:tc>
        <w:tc>
          <w:tcPr>
            <w:tcW w:w="893" w:type="dxa"/>
            <w:tcBorders>
              <w:top w:val="nil"/>
              <w:left w:val="nil"/>
              <w:bottom w:val="single" w:sz="4" w:space="0" w:color="auto"/>
              <w:right w:val="nil"/>
            </w:tcBorders>
          </w:tcPr>
          <w:p w14:paraId="2BD199E4" w14:textId="77777777" w:rsidR="00C408C5" w:rsidRPr="00E83B5D" w:rsidRDefault="00C408C5" w:rsidP="009A7559">
            <w:pPr>
              <w:pStyle w:val="NoSpacing"/>
              <w:rPr>
                <w:lang w:eastAsia="zh-CN"/>
              </w:rPr>
            </w:pPr>
            <w:r w:rsidRPr="00E83B5D">
              <w:rPr>
                <w:lang w:eastAsia="zh-CN"/>
              </w:rPr>
              <w:t>0,988*</w:t>
            </w:r>
          </w:p>
        </w:tc>
        <w:tc>
          <w:tcPr>
            <w:tcW w:w="893" w:type="dxa"/>
            <w:tcBorders>
              <w:top w:val="nil"/>
              <w:left w:val="nil"/>
              <w:bottom w:val="single" w:sz="4" w:space="0" w:color="auto"/>
              <w:right w:val="nil"/>
            </w:tcBorders>
          </w:tcPr>
          <w:p w14:paraId="23098810" w14:textId="77777777" w:rsidR="00C408C5" w:rsidRPr="00E83B5D" w:rsidRDefault="00C408C5" w:rsidP="009A7559">
            <w:pPr>
              <w:pStyle w:val="NoSpacing"/>
              <w:rPr>
                <w:lang w:eastAsia="zh-CN"/>
              </w:rPr>
            </w:pPr>
            <w:r w:rsidRPr="00E83B5D">
              <w:rPr>
                <w:lang w:eastAsia="zh-CN"/>
              </w:rPr>
              <w:t>0,992*</w:t>
            </w:r>
          </w:p>
        </w:tc>
        <w:tc>
          <w:tcPr>
            <w:tcW w:w="893" w:type="dxa"/>
            <w:tcBorders>
              <w:top w:val="nil"/>
              <w:left w:val="nil"/>
              <w:bottom w:val="single" w:sz="4" w:space="0" w:color="auto"/>
              <w:right w:val="nil"/>
            </w:tcBorders>
          </w:tcPr>
          <w:p w14:paraId="3FB5852F" w14:textId="77777777" w:rsidR="00C408C5" w:rsidRPr="00E83B5D" w:rsidRDefault="00C408C5" w:rsidP="009A7559">
            <w:pPr>
              <w:pStyle w:val="NoSpacing"/>
              <w:rPr>
                <w:lang w:eastAsia="zh-CN"/>
              </w:rPr>
            </w:pPr>
            <w:r w:rsidRPr="00E83B5D">
              <w:rPr>
                <w:lang w:eastAsia="zh-CN"/>
              </w:rPr>
              <w:t>0,996*</w:t>
            </w:r>
          </w:p>
        </w:tc>
        <w:tc>
          <w:tcPr>
            <w:tcW w:w="893" w:type="dxa"/>
            <w:tcBorders>
              <w:top w:val="nil"/>
              <w:left w:val="nil"/>
              <w:bottom w:val="single" w:sz="4" w:space="0" w:color="auto"/>
              <w:right w:val="nil"/>
            </w:tcBorders>
          </w:tcPr>
          <w:p w14:paraId="31C33ED5" w14:textId="77777777" w:rsidR="00C408C5" w:rsidRPr="00E83B5D" w:rsidRDefault="00C408C5" w:rsidP="009A7559">
            <w:pPr>
              <w:pStyle w:val="NoSpacing"/>
              <w:rPr>
                <w:lang w:eastAsia="zh-CN"/>
              </w:rPr>
            </w:pPr>
            <w:r w:rsidRPr="00E83B5D">
              <w:rPr>
                <w:lang w:eastAsia="zh-CN"/>
              </w:rPr>
              <w:t>0,757*</w:t>
            </w:r>
          </w:p>
        </w:tc>
        <w:tc>
          <w:tcPr>
            <w:tcW w:w="926" w:type="dxa"/>
            <w:tcBorders>
              <w:top w:val="nil"/>
              <w:left w:val="nil"/>
              <w:bottom w:val="single" w:sz="4" w:space="0" w:color="auto"/>
              <w:right w:val="nil"/>
            </w:tcBorders>
          </w:tcPr>
          <w:p w14:paraId="2A4E344B" w14:textId="77777777" w:rsidR="00C408C5" w:rsidRPr="00E83B5D" w:rsidRDefault="00C408C5" w:rsidP="009A7559">
            <w:pPr>
              <w:pStyle w:val="NoSpacing"/>
              <w:rPr>
                <w:lang w:eastAsia="zh-CN"/>
              </w:rPr>
            </w:pPr>
            <w:r w:rsidRPr="00E83B5D">
              <w:rPr>
                <w:lang w:eastAsia="zh-CN"/>
              </w:rPr>
              <w:t>0,978*</w:t>
            </w:r>
          </w:p>
        </w:tc>
        <w:tc>
          <w:tcPr>
            <w:tcW w:w="893" w:type="dxa"/>
            <w:tcBorders>
              <w:top w:val="nil"/>
              <w:left w:val="nil"/>
              <w:bottom w:val="single" w:sz="4" w:space="0" w:color="auto"/>
              <w:right w:val="nil"/>
            </w:tcBorders>
          </w:tcPr>
          <w:p w14:paraId="1538DC98" w14:textId="77777777" w:rsidR="00C408C5" w:rsidRPr="00E83B5D" w:rsidRDefault="00C408C5" w:rsidP="009A7559">
            <w:pPr>
              <w:pStyle w:val="NoSpacing"/>
              <w:rPr>
                <w:lang w:eastAsia="zh-CN"/>
              </w:rPr>
            </w:pPr>
            <w:r w:rsidRPr="00E83B5D">
              <w:rPr>
                <w:lang w:eastAsia="zh-CN"/>
              </w:rPr>
              <w:t>0,996*</w:t>
            </w:r>
          </w:p>
        </w:tc>
        <w:tc>
          <w:tcPr>
            <w:tcW w:w="1073" w:type="dxa"/>
            <w:tcBorders>
              <w:top w:val="nil"/>
              <w:left w:val="nil"/>
              <w:bottom w:val="single" w:sz="4" w:space="0" w:color="auto"/>
              <w:right w:val="nil"/>
            </w:tcBorders>
          </w:tcPr>
          <w:p w14:paraId="4173614D" w14:textId="77777777" w:rsidR="00C408C5" w:rsidRPr="00E83B5D" w:rsidRDefault="00C408C5" w:rsidP="009A7559">
            <w:pPr>
              <w:pStyle w:val="NoSpacing"/>
              <w:rPr>
                <w:lang w:eastAsia="zh-CN"/>
              </w:rPr>
            </w:pPr>
            <w:r w:rsidRPr="00E83B5D">
              <w:rPr>
                <w:lang w:eastAsia="zh-CN"/>
              </w:rPr>
              <w:t>0,794*</w:t>
            </w:r>
          </w:p>
        </w:tc>
        <w:tc>
          <w:tcPr>
            <w:tcW w:w="1063" w:type="dxa"/>
            <w:tcBorders>
              <w:top w:val="nil"/>
              <w:left w:val="nil"/>
              <w:bottom w:val="single" w:sz="4" w:space="0" w:color="auto"/>
              <w:right w:val="nil"/>
            </w:tcBorders>
          </w:tcPr>
          <w:p w14:paraId="026895A7" w14:textId="77777777" w:rsidR="00C408C5" w:rsidRPr="00E83B5D" w:rsidRDefault="00C408C5" w:rsidP="009A7559">
            <w:pPr>
              <w:pStyle w:val="NoSpacing"/>
              <w:rPr>
                <w:lang w:eastAsia="zh-CN"/>
              </w:rPr>
            </w:pPr>
            <w:r w:rsidRPr="00E83B5D">
              <w:rPr>
                <w:lang w:eastAsia="zh-CN"/>
              </w:rPr>
              <w:t>0,997*</w:t>
            </w:r>
          </w:p>
        </w:tc>
        <w:tc>
          <w:tcPr>
            <w:tcW w:w="992" w:type="dxa"/>
            <w:tcBorders>
              <w:top w:val="nil"/>
              <w:left w:val="nil"/>
              <w:bottom w:val="single" w:sz="4" w:space="0" w:color="auto"/>
              <w:right w:val="nil"/>
            </w:tcBorders>
          </w:tcPr>
          <w:p w14:paraId="0141D082" w14:textId="77777777" w:rsidR="00C408C5" w:rsidRPr="00E83B5D" w:rsidRDefault="00C408C5" w:rsidP="009A7559">
            <w:pPr>
              <w:pStyle w:val="NoSpacing"/>
              <w:rPr>
                <w:lang w:eastAsia="zh-CN"/>
              </w:rPr>
            </w:pPr>
            <w:r w:rsidRPr="00E83B5D">
              <w:rPr>
                <w:lang w:eastAsia="zh-CN"/>
              </w:rPr>
              <w:t>0,950*</w:t>
            </w:r>
          </w:p>
        </w:tc>
        <w:tc>
          <w:tcPr>
            <w:tcW w:w="1087" w:type="dxa"/>
            <w:tcBorders>
              <w:top w:val="nil"/>
              <w:left w:val="nil"/>
              <w:bottom w:val="single" w:sz="4" w:space="0" w:color="auto"/>
              <w:right w:val="nil"/>
            </w:tcBorders>
          </w:tcPr>
          <w:p w14:paraId="54E8BE7B" w14:textId="77777777" w:rsidR="00C408C5" w:rsidRPr="00E83B5D" w:rsidRDefault="00C408C5" w:rsidP="009A7559">
            <w:pPr>
              <w:pStyle w:val="NoSpacing"/>
              <w:rPr>
                <w:lang w:eastAsia="zh-CN"/>
              </w:rPr>
            </w:pPr>
            <w:r w:rsidRPr="00E83B5D">
              <w:rPr>
                <w:lang w:eastAsia="zh-CN"/>
              </w:rPr>
              <w:t>1,000</w:t>
            </w:r>
          </w:p>
        </w:tc>
      </w:tr>
    </w:tbl>
    <w:p w14:paraId="1E00E449" w14:textId="3EC06A8B" w:rsidR="00C408C5" w:rsidRPr="00C408C5" w:rsidRDefault="00C408C5" w:rsidP="00C408C5">
      <w:pPr>
        <w:pStyle w:val="NoSpacing"/>
        <w:rPr>
          <w:i/>
          <w:iCs/>
          <w:lang w:val="en-US" w:eastAsia="zh-CN"/>
        </w:rPr>
        <w:sectPr w:rsidR="00C408C5" w:rsidRPr="00C408C5" w:rsidSect="009A7559">
          <w:pgSz w:w="16838" w:h="11906" w:orient="landscape"/>
          <w:pgMar w:top="1417" w:right="1417" w:bottom="1417" w:left="1417" w:header="708" w:footer="708" w:gutter="0"/>
          <w:cols w:space="708"/>
          <w:docGrid w:linePitch="360"/>
        </w:sectPr>
      </w:pPr>
      <w:r>
        <w:rPr>
          <w:i/>
          <w:iCs/>
          <w:lang w:val="en-US" w:eastAsia="zh-CN"/>
        </w:rPr>
        <w:tab/>
      </w:r>
      <w:r w:rsidRPr="00E83B5D">
        <w:rPr>
          <w:i/>
          <w:iCs/>
          <w:lang w:val="en-US" w:eastAsia="zh-CN"/>
        </w:rPr>
        <w:t>*** p&lt;0,01, ** p&lt;0,05, * p&lt;0,1</w:t>
      </w:r>
    </w:p>
    <w:p w14:paraId="09377B63" w14:textId="77777777" w:rsidR="00A96AFA" w:rsidRPr="00A96AFA" w:rsidRDefault="00A96AFA" w:rsidP="00A96AFA">
      <w:pPr>
        <w:pStyle w:val="font-claude-response-body"/>
        <w:jc w:val="both"/>
        <w:rPr>
          <w:lang w:val="en-US"/>
        </w:rPr>
      </w:pPr>
      <w:r w:rsidRPr="00A96AFA">
        <w:rPr>
          <w:lang w:val="en-US"/>
        </w:rPr>
        <w:lastRenderedPageBreak/>
        <w:t xml:space="preserve">Thus, while some synchronization exists within subsets of the Franc Zone, it is either the product of common vulnerability to commodity prices or limited to restricted geo-economic groups. It does not characterize the zone as a whole in its relationship with its monetary center. This absence of cyclical symmetry with the center and the predominance of idiosyncratic shocks constitute solid empirical evidence against the </w:t>
      </w:r>
      <w:proofErr w:type="spellStart"/>
      <w:r w:rsidRPr="00A96AFA">
        <w:rPr>
          <w:lang w:val="en-US"/>
        </w:rPr>
        <w:t>ex ante</w:t>
      </w:r>
      <w:proofErr w:type="spellEnd"/>
      <w:r w:rsidRPr="00A96AFA">
        <w:rPr>
          <w:lang w:val="en-US"/>
        </w:rPr>
        <w:t xml:space="preserve"> status of an optimum currency area for the Franc Zone. The union rests more on a bet on future convergence than on an observable economic reality.</w:t>
      </w:r>
    </w:p>
    <w:p w14:paraId="30854A33" w14:textId="09F177E8" w:rsidR="00A96AFA" w:rsidRPr="00A96AFA" w:rsidRDefault="00A96AFA" w:rsidP="00A96AFA">
      <w:pPr>
        <w:pStyle w:val="font-claude-response-body"/>
        <w:jc w:val="both"/>
        <w:rPr>
          <w:lang w:val="en-US"/>
        </w:rPr>
      </w:pPr>
      <w:r w:rsidRPr="00A96AFA">
        <w:rPr>
          <w:rStyle w:val="Strong"/>
          <w:lang w:val="en-US"/>
        </w:rPr>
        <w:t>2.1.</w:t>
      </w:r>
      <w:r w:rsidR="00D872C2">
        <w:rPr>
          <w:rStyle w:val="Strong"/>
          <w:lang w:val="en-US"/>
        </w:rPr>
        <w:t>3</w:t>
      </w:r>
      <w:r w:rsidRPr="00A96AFA">
        <w:rPr>
          <w:rStyle w:val="Strong"/>
          <w:lang w:val="en-US"/>
        </w:rPr>
        <w:t>.2. Analysis of Cycle Synchronization</w:t>
      </w:r>
    </w:p>
    <w:p w14:paraId="047C5A14" w14:textId="77777777" w:rsidR="00A96AFA" w:rsidRPr="00A96AFA" w:rsidRDefault="00A96AFA" w:rsidP="00A96AFA">
      <w:pPr>
        <w:pStyle w:val="font-claude-response-body"/>
        <w:jc w:val="both"/>
        <w:rPr>
          <w:lang w:val="en-US"/>
        </w:rPr>
      </w:pPr>
      <w:r w:rsidRPr="00A96AFA">
        <w:rPr>
          <w:lang w:val="en-US"/>
        </w:rPr>
        <w:t>The visualization of the gross domestic product (GDP) trajectories of Franc Zone member states over the 1990-2020 period (Figure 5) immediately reveals pronounced heterogeneity in their economic performances. Far from forming a homogeneous and coherent whole, these economies present structurally divergent growth profiles, challenging the hypothesis of natural synchronization of their business cycles.</w:t>
      </w:r>
    </w:p>
    <w:p w14:paraId="319852AF" w14:textId="31D1B789" w:rsidR="00A96AFA" w:rsidRPr="00A96AFA" w:rsidRDefault="00A96AFA" w:rsidP="00A96AFA">
      <w:pPr>
        <w:pStyle w:val="font-claude-response-body"/>
        <w:jc w:val="both"/>
        <w:rPr>
          <w:lang w:val="en-US"/>
        </w:rPr>
      </w:pPr>
      <w:r w:rsidRPr="00A96AFA">
        <w:rPr>
          <w:lang w:val="en-US"/>
        </w:rPr>
        <w:t>The growth curves clearly distinguish several country groups. Oil-dependent economies</w:t>
      </w:r>
      <w:r>
        <w:rPr>
          <w:lang w:val="en-US"/>
        </w:rPr>
        <w:t xml:space="preserve"> </w:t>
      </w:r>
      <w:r w:rsidRPr="00A96AFA">
        <w:rPr>
          <w:lang w:val="en-US"/>
        </w:rPr>
        <w:t>Gabon, Congo, Cameroon</w:t>
      </w:r>
      <w:r>
        <w:rPr>
          <w:lang w:val="en-US"/>
        </w:rPr>
        <w:t xml:space="preserve"> </w:t>
      </w:r>
      <w:r w:rsidRPr="00A96AFA">
        <w:rPr>
          <w:lang w:val="en-US"/>
        </w:rPr>
        <w:t>is characterized by higher GDP per capita levels but heightened volatility, directly correlated with fluctuations in global hydrocarbon prices. The oil shocks of 2008-2009 and 2014-2016 are particularly visible there, manifesting in sharp contractionary or expansionary movements not observed elsewhere.</w:t>
      </w:r>
    </w:p>
    <w:p w14:paraId="7376AE31" w14:textId="568DD81B" w:rsidR="00A96AFA" w:rsidRPr="00A96AFA" w:rsidRDefault="00A96AFA" w:rsidP="00A96AFA">
      <w:pPr>
        <w:pStyle w:val="font-claude-response-body"/>
        <w:jc w:val="both"/>
        <w:rPr>
          <w:lang w:val="en-US"/>
        </w:rPr>
      </w:pPr>
      <w:r w:rsidRPr="00A96AFA">
        <w:rPr>
          <w:lang w:val="en-US"/>
        </w:rPr>
        <w:t>Conversely, Sahelian and agricultural countries</w:t>
      </w:r>
      <w:r>
        <w:rPr>
          <w:lang w:val="en-US"/>
        </w:rPr>
        <w:t xml:space="preserve"> </w:t>
      </w:r>
      <w:r w:rsidRPr="00A96AFA">
        <w:rPr>
          <w:lang w:val="en-US"/>
        </w:rPr>
        <w:t>Niger, Chad, Central African Republic, Mali</w:t>
      </w:r>
      <w:r>
        <w:rPr>
          <w:lang w:val="en-US"/>
        </w:rPr>
        <w:t xml:space="preserve"> </w:t>
      </w:r>
      <w:r w:rsidRPr="00A96AFA">
        <w:rPr>
          <w:lang w:val="en-US"/>
        </w:rPr>
        <w:t>displays lower and more erratic growth trajectories, often dependent on climatic hazards and socio-political tensions. Their curves struggle to take off despite some modest occasional improvements.</w:t>
      </w:r>
    </w:p>
    <w:p w14:paraId="529114B3" w14:textId="54A5B204" w:rsidR="00D872C2" w:rsidRDefault="00A96AFA" w:rsidP="00D872C2">
      <w:pPr>
        <w:pStyle w:val="font-claude-response-body"/>
        <w:jc w:val="both"/>
        <w:rPr>
          <w:lang w:val="en-US"/>
        </w:rPr>
      </w:pPr>
      <w:r w:rsidRPr="00A96AFA">
        <w:rPr>
          <w:lang w:val="en-US"/>
        </w:rPr>
        <w:t>Between these two extremes, countries such as Côte d'Ivoire, Senegal, and Benin appear to progress at a more regular pace, although their own dynamics remain distinct and poorly coordinated with those of their partners.</w:t>
      </w:r>
    </w:p>
    <w:p w14:paraId="73AB1FFD" w14:textId="77777777" w:rsidR="00D872C2" w:rsidRDefault="00D872C2">
      <w:pPr>
        <w:rPr>
          <w:rFonts w:ascii="Times New Roman" w:eastAsia="Times New Roman" w:hAnsi="Times New Roman" w:cs="Times New Roman"/>
          <w:sz w:val="24"/>
          <w:szCs w:val="24"/>
          <w:lang w:val="en-US" w:eastAsia="fr-FR"/>
        </w:rPr>
      </w:pPr>
      <w:r>
        <w:rPr>
          <w:lang w:val="en-US"/>
        </w:rPr>
        <w:br w:type="page"/>
      </w:r>
    </w:p>
    <w:p w14:paraId="700A427D" w14:textId="77777777" w:rsidR="00C408C5" w:rsidRDefault="00C408C5" w:rsidP="00D872C2">
      <w:pPr>
        <w:pStyle w:val="font-claude-response-body"/>
        <w:jc w:val="both"/>
        <w:rPr>
          <w:lang w:val="en-US"/>
        </w:rPr>
      </w:pPr>
    </w:p>
    <w:p w14:paraId="21C21B86" w14:textId="7E22C896" w:rsidR="00A96AFA" w:rsidRPr="00A96AFA" w:rsidRDefault="00A96AFA" w:rsidP="00A96AFA">
      <w:pPr>
        <w:pStyle w:val="Caption"/>
        <w:rPr>
          <w:rFonts w:ascii="Times New Roman" w:eastAsia="SimSun" w:hAnsi="Times New Roman" w:cs="Times New Roman"/>
          <w:b/>
          <w:i w:val="0"/>
          <w:sz w:val="24"/>
          <w:szCs w:val="24"/>
          <w:lang w:val="en-US" w:eastAsia="zh-CN"/>
        </w:rPr>
      </w:pPr>
      <w:bookmarkStart w:id="17" w:name="_Toc215577663"/>
      <w:r w:rsidRPr="00A96AFA">
        <w:rPr>
          <w:rFonts w:ascii="Times New Roman" w:hAnsi="Times New Roman" w:cs="Times New Roman"/>
          <w:b/>
          <w:i w:val="0"/>
          <w:sz w:val="24"/>
          <w:szCs w:val="24"/>
          <w:lang w:val="en-US"/>
        </w:rPr>
        <w:t xml:space="preserve">Figure </w:t>
      </w:r>
      <w:r w:rsidRPr="002B7A6E">
        <w:rPr>
          <w:rFonts w:ascii="Times New Roman" w:hAnsi="Times New Roman" w:cs="Times New Roman"/>
          <w:b/>
          <w:i w:val="0"/>
          <w:sz w:val="24"/>
          <w:szCs w:val="24"/>
        </w:rPr>
        <w:fldChar w:fldCharType="begin"/>
      </w:r>
      <w:r w:rsidRPr="00A96AFA">
        <w:rPr>
          <w:rFonts w:ascii="Times New Roman" w:hAnsi="Times New Roman" w:cs="Times New Roman"/>
          <w:b/>
          <w:i w:val="0"/>
          <w:sz w:val="24"/>
          <w:szCs w:val="24"/>
          <w:lang w:val="en-US"/>
        </w:rPr>
        <w:instrText xml:space="preserve"> SEQ Figure \* ARABIC </w:instrText>
      </w:r>
      <w:r w:rsidRPr="002B7A6E">
        <w:rPr>
          <w:rFonts w:ascii="Times New Roman" w:hAnsi="Times New Roman" w:cs="Times New Roman"/>
          <w:b/>
          <w:i w:val="0"/>
          <w:sz w:val="24"/>
          <w:szCs w:val="24"/>
        </w:rPr>
        <w:fldChar w:fldCharType="separate"/>
      </w:r>
      <w:r w:rsidRPr="00A96AFA">
        <w:rPr>
          <w:rFonts w:ascii="Times New Roman" w:hAnsi="Times New Roman" w:cs="Times New Roman"/>
          <w:b/>
          <w:i w:val="0"/>
          <w:noProof/>
          <w:sz w:val="24"/>
          <w:szCs w:val="24"/>
          <w:lang w:val="en-US"/>
        </w:rPr>
        <w:t>5</w:t>
      </w:r>
      <w:r w:rsidRPr="002B7A6E">
        <w:rPr>
          <w:rFonts w:ascii="Times New Roman" w:hAnsi="Times New Roman" w:cs="Times New Roman"/>
          <w:b/>
          <w:i w:val="0"/>
          <w:sz w:val="24"/>
          <w:szCs w:val="24"/>
        </w:rPr>
        <w:fldChar w:fldCharType="end"/>
      </w:r>
      <w:r w:rsidRPr="00A96AFA">
        <w:rPr>
          <w:rFonts w:ascii="Times New Roman" w:eastAsia="SimSun" w:hAnsi="Times New Roman" w:cs="Times New Roman"/>
          <w:b/>
          <w:i w:val="0"/>
          <w:sz w:val="24"/>
          <w:szCs w:val="24"/>
          <w:lang w:val="en-US" w:eastAsia="zh-CN"/>
        </w:rPr>
        <w:t xml:space="preserve">: </w:t>
      </w:r>
      <w:bookmarkEnd w:id="17"/>
      <w:r w:rsidRPr="00A96AFA">
        <w:rPr>
          <w:rFonts w:ascii="Times New Roman" w:eastAsia="SimSun" w:hAnsi="Times New Roman" w:cs="Times New Roman"/>
          <w:i w:val="0"/>
          <w:color w:val="auto"/>
          <w:sz w:val="24"/>
          <w:szCs w:val="24"/>
          <w:lang w:val="en-US" w:eastAsia="zh-CN"/>
        </w:rPr>
        <w:t>Analysis of the Synchronization of Economic Cycles in the Franc Zone</w:t>
      </w:r>
    </w:p>
    <w:p w14:paraId="48BF6E7D" w14:textId="2EA6A000" w:rsidR="00A96AFA" w:rsidRDefault="00A96AFA" w:rsidP="00A96AFA">
      <w:pPr>
        <w:pStyle w:val="font-claude-response-body"/>
        <w:jc w:val="both"/>
        <w:rPr>
          <w:lang w:val="en-US"/>
        </w:rPr>
      </w:pPr>
      <w:r w:rsidRPr="00A80FC1">
        <w:rPr>
          <w:rFonts w:eastAsia="SimSun"/>
          <w:noProof/>
        </w:rPr>
        <w:drawing>
          <wp:inline distT="0" distB="0" distL="0" distR="0" wp14:anchorId="4954DBF1" wp14:editId="57869261">
            <wp:extent cx="5786120" cy="4486939"/>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06998" cy="4503129"/>
                    </a:xfrm>
                    <a:prstGeom prst="rect">
                      <a:avLst/>
                    </a:prstGeom>
                    <a:noFill/>
                    <a:ln>
                      <a:noFill/>
                    </a:ln>
                  </pic:spPr>
                </pic:pic>
              </a:graphicData>
            </a:graphic>
          </wp:inline>
        </w:drawing>
      </w:r>
    </w:p>
    <w:p w14:paraId="4542F2EC" w14:textId="78570C8A" w:rsidR="00A96AFA" w:rsidRPr="00A96AFA" w:rsidRDefault="00A96AFA" w:rsidP="00A96AFA">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A96AFA">
        <w:rPr>
          <w:rFonts w:ascii="Times New Roman" w:eastAsia="Times New Roman" w:hAnsi="Times New Roman" w:cs="Times New Roman"/>
          <w:sz w:val="24"/>
          <w:szCs w:val="24"/>
          <w:lang w:val="en-US" w:eastAsia="fr-FR"/>
        </w:rPr>
        <w:t>Consequently, the question of monetary optimality arises acutely. A monetary union presupposes that states share common cycles or possess effective adjustment mechanisms in the face of differentiated shocks. However, the persistent divergence of economic trajectories observed here suggests that shocks are largely idiosyncratic and that stabilization tools</w:t>
      </w:r>
      <w:r>
        <w:rPr>
          <w:rFonts w:ascii="Times New Roman" w:eastAsia="Times New Roman" w:hAnsi="Times New Roman" w:cs="Times New Roman"/>
          <w:sz w:val="24"/>
          <w:szCs w:val="24"/>
          <w:lang w:val="en-US" w:eastAsia="fr-FR"/>
        </w:rPr>
        <w:t xml:space="preserve"> </w:t>
      </w:r>
      <w:r w:rsidRPr="00A96AFA">
        <w:rPr>
          <w:rFonts w:ascii="Times New Roman" w:eastAsia="Times New Roman" w:hAnsi="Times New Roman" w:cs="Times New Roman"/>
          <w:sz w:val="24"/>
          <w:szCs w:val="24"/>
          <w:lang w:val="en-US" w:eastAsia="fr-FR"/>
        </w:rPr>
        <w:t>single monetary policy, imperfect factor mobility</w:t>
      </w:r>
      <w:r>
        <w:rPr>
          <w:rFonts w:ascii="Times New Roman" w:eastAsia="Times New Roman" w:hAnsi="Times New Roman" w:cs="Times New Roman"/>
          <w:sz w:val="24"/>
          <w:szCs w:val="24"/>
          <w:lang w:val="en-US" w:eastAsia="fr-FR"/>
        </w:rPr>
        <w:t xml:space="preserve"> </w:t>
      </w:r>
      <w:r w:rsidRPr="00A96AFA">
        <w:rPr>
          <w:rFonts w:ascii="Times New Roman" w:eastAsia="Times New Roman" w:hAnsi="Times New Roman" w:cs="Times New Roman"/>
          <w:sz w:val="24"/>
          <w:szCs w:val="24"/>
          <w:lang w:val="en-US" w:eastAsia="fr-FR"/>
        </w:rPr>
        <w:t>are insufficient to respond to them optimally.</w:t>
      </w:r>
    </w:p>
    <w:p w14:paraId="7F4D1E9B" w14:textId="77777777" w:rsidR="00A96AFA" w:rsidRPr="00A96AFA" w:rsidRDefault="00A96AFA" w:rsidP="00A96AFA">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A96AFA">
        <w:rPr>
          <w:rFonts w:ascii="Times New Roman" w:eastAsia="Times New Roman" w:hAnsi="Times New Roman" w:cs="Times New Roman"/>
          <w:sz w:val="24"/>
          <w:szCs w:val="24"/>
          <w:lang w:val="en-US" w:eastAsia="fr-FR"/>
        </w:rPr>
        <w:t>This preliminary graphical observation invites deeper analysis through quantitative measures of cyclical correlation and shock decomposition, in order to statistically substantiate what appears here only implicitly: the structural gap between the economic reality of the Franc Zone and the theoretical conditions of an optimum monetary union.</w:t>
      </w:r>
    </w:p>
    <w:p w14:paraId="10A54857" w14:textId="77777777" w:rsidR="00A96AFA" w:rsidRPr="00914350" w:rsidRDefault="00A96AFA" w:rsidP="00A96AFA">
      <w:pPr>
        <w:spacing w:before="100" w:beforeAutospacing="1" w:after="100" w:afterAutospacing="1" w:line="240" w:lineRule="auto"/>
        <w:rPr>
          <w:rFonts w:ascii="Times New Roman" w:eastAsia="Times New Roman" w:hAnsi="Times New Roman" w:cs="Times New Roman"/>
          <w:sz w:val="24"/>
          <w:szCs w:val="24"/>
          <w:lang w:val="en-US" w:eastAsia="fr-FR"/>
        </w:rPr>
      </w:pPr>
    </w:p>
    <w:p w14:paraId="38F59788" w14:textId="66608D2B" w:rsidR="00A96AFA" w:rsidRPr="00A96AFA" w:rsidRDefault="00A96AFA" w:rsidP="00A96AFA">
      <w:pPr>
        <w:spacing w:before="100" w:beforeAutospacing="1" w:after="100" w:afterAutospacing="1" w:line="240" w:lineRule="auto"/>
        <w:rPr>
          <w:rFonts w:ascii="Times New Roman" w:eastAsia="Times New Roman" w:hAnsi="Times New Roman" w:cs="Times New Roman"/>
          <w:sz w:val="24"/>
          <w:szCs w:val="24"/>
          <w:lang w:val="en-US" w:eastAsia="fr-FR"/>
        </w:rPr>
      </w:pPr>
      <w:r w:rsidRPr="00A96AFA">
        <w:rPr>
          <w:rFonts w:ascii="Times New Roman" w:eastAsia="Times New Roman" w:hAnsi="Times New Roman" w:cs="Times New Roman"/>
          <w:b/>
          <w:bCs/>
          <w:sz w:val="24"/>
          <w:szCs w:val="24"/>
          <w:lang w:val="en-US" w:eastAsia="fr-FR"/>
        </w:rPr>
        <w:t>2.1.</w:t>
      </w:r>
      <w:r w:rsidR="00D872C2">
        <w:rPr>
          <w:rFonts w:ascii="Times New Roman" w:eastAsia="Times New Roman" w:hAnsi="Times New Roman" w:cs="Times New Roman"/>
          <w:b/>
          <w:bCs/>
          <w:sz w:val="24"/>
          <w:szCs w:val="24"/>
          <w:lang w:val="en-US" w:eastAsia="fr-FR"/>
        </w:rPr>
        <w:t>3</w:t>
      </w:r>
      <w:r w:rsidRPr="00A96AFA">
        <w:rPr>
          <w:rFonts w:ascii="Times New Roman" w:eastAsia="Times New Roman" w:hAnsi="Times New Roman" w:cs="Times New Roman"/>
          <w:b/>
          <w:bCs/>
          <w:sz w:val="24"/>
          <w:szCs w:val="24"/>
          <w:lang w:val="en-US" w:eastAsia="fr-FR"/>
        </w:rPr>
        <w:t>.3. Analysis of the Nature of Shocks</w:t>
      </w:r>
    </w:p>
    <w:p w14:paraId="40C31725" w14:textId="77777777" w:rsidR="00A96AFA" w:rsidRDefault="00A96AFA" w:rsidP="00A96AFA">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A96AFA">
        <w:rPr>
          <w:rFonts w:ascii="Times New Roman" w:eastAsia="Times New Roman" w:hAnsi="Times New Roman" w:cs="Times New Roman"/>
          <w:sz w:val="24"/>
          <w:szCs w:val="24"/>
          <w:lang w:val="en-US" w:eastAsia="fr-FR"/>
        </w:rPr>
        <w:t>VAR analysis reveals the predominance of asymmetric shocks specifically affecting certain countries or sub-regions. Terms-of-trade shocks, linked to commodity price fluctuations, constitute the main source of asymmetry, affecting oil, mineral, and agricultural product exporters differently.</w:t>
      </w:r>
    </w:p>
    <w:p w14:paraId="68CA277B" w14:textId="790D4A7A" w:rsidR="00F556E5" w:rsidRPr="002B7A6E" w:rsidRDefault="00F556E5" w:rsidP="00F556E5">
      <w:pPr>
        <w:pStyle w:val="Caption"/>
        <w:rPr>
          <w:rFonts w:ascii="Times New Roman" w:eastAsia="SimSun" w:hAnsi="Times New Roman" w:cs="Times New Roman"/>
          <w:b/>
          <w:i w:val="0"/>
          <w:color w:val="auto"/>
          <w:sz w:val="24"/>
          <w:szCs w:val="24"/>
          <w:lang w:eastAsia="zh-CN"/>
        </w:rPr>
      </w:pPr>
      <w:bookmarkStart w:id="18" w:name="_Toc215577664"/>
      <w:r w:rsidRPr="002B7A6E">
        <w:rPr>
          <w:rFonts w:ascii="Times New Roman" w:hAnsi="Times New Roman" w:cs="Times New Roman"/>
          <w:b/>
          <w:i w:val="0"/>
          <w:color w:val="auto"/>
          <w:sz w:val="24"/>
          <w:szCs w:val="24"/>
        </w:rPr>
        <w:lastRenderedPageBreak/>
        <w:t xml:space="preserve">Figure </w:t>
      </w:r>
      <w:r w:rsidRPr="002B7A6E">
        <w:rPr>
          <w:rFonts w:ascii="Times New Roman" w:hAnsi="Times New Roman" w:cs="Times New Roman"/>
          <w:b/>
          <w:i w:val="0"/>
          <w:color w:val="auto"/>
          <w:sz w:val="24"/>
          <w:szCs w:val="24"/>
        </w:rPr>
        <w:fldChar w:fldCharType="begin"/>
      </w:r>
      <w:r w:rsidRPr="002B7A6E">
        <w:rPr>
          <w:rFonts w:ascii="Times New Roman" w:hAnsi="Times New Roman" w:cs="Times New Roman"/>
          <w:b/>
          <w:i w:val="0"/>
          <w:color w:val="auto"/>
          <w:sz w:val="24"/>
          <w:szCs w:val="24"/>
        </w:rPr>
        <w:instrText xml:space="preserve"> SEQ Figure \* ARABIC </w:instrText>
      </w:r>
      <w:r w:rsidRPr="002B7A6E">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6</w:t>
      </w:r>
      <w:r w:rsidRPr="002B7A6E">
        <w:rPr>
          <w:rFonts w:ascii="Times New Roman" w:hAnsi="Times New Roman" w:cs="Times New Roman"/>
          <w:b/>
          <w:i w:val="0"/>
          <w:color w:val="auto"/>
          <w:sz w:val="24"/>
          <w:szCs w:val="24"/>
        </w:rPr>
        <w:fldChar w:fldCharType="end"/>
      </w:r>
      <w:r w:rsidRPr="002B7A6E">
        <w:rPr>
          <w:rFonts w:ascii="Times New Roman" w:eastAsia="SimSun" w:hAnsi="Times New Roman" w:cs="Times New Roman"/>
          <w:i w:val="0"/>
          <w:color w:val="auto"/>
          <w:sz w:val="24"/>
          <w:szCs w:val="24"/>
          <w:lang w:eastAsia="zh-CN"/>
        </w:rPr>
        <w:t xml:space="preserve">: </w:t>
      </w:r>
      <w:bookmarkEnd w:id="18"/>
      <w:r w:rsidRPr="00F556E5">
        <w:rPr>
          <w:rFonts w:ascii="Times New Roman" w:eastAsia="SimSun" w:hAnsi="Times New Roman" w:cs="Times New Roman"/>
          <w:i w:val="0"/>
          <w:color w:val="auto"/>
          <w:sz w:val="24"/>
          <w:szCs w:val="24"/>
          <w:lang w:eastAsia="zh-CN"/>
        </w:rPr>
        <w:t xml:space="preserve">impulse </w:t>
      </w:r>
      <w:proofErr w:type="spellStart"/>
      <w:r w:rsidRPr="00F556E5">
        <w:rPr>
          <w:rFonts w:ascii="Times New Roman" w:eastAsia="SimSun" w:hAnsi="Times New Roman" w:cs="Times New Roman"/>
          <w:i w:val="0"/>
          <w:color w:val="auto"/>
          <w:sz w:val="24"/>
          <w:szCs w:val="24"/>
          <w:lang w:eastAsia="zh-CN"/>
        </w:rPr>
        <w:t>response</w:t>
      </w:r>
      <w:proofErr w:type="spellEnd"/>
      <w:r w:rsidRPr="00F556E5">
        <w:rPr>
          <w:rFonts w:ascii="Times New Roman" w:eastAsia="SimSun" w:hAnsi="Times New Roman" w:cs="Times New Roman"/>
          <w:i w:val="0"/>
          <w:color w:val="auto"/>
          <w:sz w:val="24"/>
          <w:szCs w:val="24"/>
          <w:lang w:eastAsia="zh-CN"/>
        </w:rPr>
        <w:t xml:space="preserve"> </w:t>
      </w:r>
      <w:proofErr w:type="spellStart"/>
      <w:r w:rsidRPr="00F556E5">
        <w:rPr>
          <w:rFonts w:ascii="Times New Roman" w:eastAsia="SimSun" w:hAnsi="Times New Roman" w:cs="Times New Roman"/>
          <w:i w:val="0"/>
          <w:color w:val="auto"/>
          <w:sz w:val="24"/>
          <w:szCs w:val="24"/>
          <w:lang w:eastAsia="zh-CN"/>
        </w:rPr>
        <w:t>functions</w:t>
      </w:r>
      <w:proofErr w:type="spellEnd"/>
    </w:p>
    <w:p w14:paraId="2E5995B1" w14:textId="77777777" w:rsidR="00F556E5" w:rsidRPr="00A80FC1" w:rsidRDefault="00F556E5" w:rsidP="00F556E5">
      <w:pPr>
        <w:spacing w:line="240" w:lineRule="auto"/>
        <w:jc w:val="both"/>
        <w:rPr>
          <w:rFonts w:ascii="Times New Roman" w:eastAsia="SimSun" w:hAnsi="Times New Roman" w:cs="Times New Roman"/>
          <w:sz w:val="24"/>
          <w:lang w:eastAsia="zh-CN"/>
        </w:rPr>
      </w:pPr>
      <w:r w:rsidRPr="00A80FC1">
        <w:rPr>
          <w:rFonts w:ascii="Times New Roman" w:eastAsia="SimSun" w:hAnsi="Times New Roman" w:cs="Times New Roman"/>
          <w:noProof/>
          <w:sz w:val="24"/>
          <w:lang w:eastAsia="fr-FR"/>
        </w:rPr>
        <w:drawing>
          <wp:inline distT="0" distB="0" distL="0" distR="0" wp14:anchorId="3DD07261" wp14:editId="00C0CD3B">
            <wp:extent cx="5592445" cy="413606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6462" cy="4139036"/>
                    </a:xfrm>
                    <a:prstGeom prst="rect">
                      <a:avLst/>
                    </a:prstGeom>
                    <a:noFill/>
                    <a:ln>
                      <a:noFill/>
                    </a:ln>
                  </pic:spPr>
                </pic:pic>
              </a:graphicData>
            </a:graphic>
          </wp:inline>
        </w:drawing>
      </w:r>
    </w:p>
    <w:p w14:paraId="24BC35B2" w14:textId="77777777" w:rsidR="00F556E5" w:rsidRPr="00F556E5" w:rsidRDefault="00F556E5" w:rsidP="00F556E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556E5">
        <w:rPr>
          <w:rFonts w:ascii="Times New Roman" w:eastAsia="Times New Roman" w:hAnsi="Times New Roman" w:cs="Times New Roman"/>
          <w:sz w:val="24"/>
          <w:szCs w:val="24"/>
          <w:lang w:val="en-US" w:eastAsia="fr-FR"/>
        </w:rPr>
        <w:t>The impulse response functions (Figure 6) show that these shocks have persistent and divergent effects on member economies, creating tensions that cannot be absorbed by the monetary union's automatic adjustment mechanisms. Low factor mobility and price rigidity amplify the persistence of these divergences.</w:t>
      </w:r>
    </w:p>
    <w:p w14:paraId="6364AA47" w14:textId="77777777" w:rsidR="00F556E5" w:rsidRPr="00F556E5" w:rsidRDefault="00F556E5" w:rsidP="00F556E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556E5">
        <w:rPr>
          <w:rFonts w:ascii="Times New Roman" w:eastAsia="Times New Roman" w:hAnsi="Times New Roman" w:cs="Times New Roman"/>
          <w:sz w:val="24"/>
          <w:szCs w:val="24"/>
          <w:lang w:val="en-US" w:eastAsia="fr-FR"/>
        </w:rPr>
        <w:t>The prevalence of asymmetric shocks and imperfect cycle synchronization fundamentally challenge the optimality of the Franc Zone. A single monetary policy cannot be optimal for countries subject to different shocks requiring potentially opposing monetary responses.</w:t>
      </w:r>
    </w:p>
    <w:p w14:paraId="27E563F9" w14:textId="77777777" w:rsidR="00F556E5" w:rsidRPr="00F556E5" w:rsidRDefault="00F556E5" w:rsidP="00F556E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556E5">
        <w:rPr>
          <w:rFonts w:ascii="Times New Roman" w:eastAsia="Times New Roman" w:hAnsi="Times New Roman" w:cs="Times New Roman"/>
          <w:sz w:val="24"/>
          <w:szCs w:val="24"/>
          <w:lang w:val="en-US" w:eastAsia="fr-FR"/>
        </w:rPr>
        <w:t>This situation creates a permanent policy dilemma: either monetary policy favors certain countries at the expense of others, or it adopts a suboptimal middle position for all. The absence of sufficient compensatory fiscal mechanisms exacerbates this problem by leaving countries most affected by negative shocks without adequate adjustment instruments.</w:t>
      </w:r>
    </w:p>
    <w:p w14:paraId="26391CCD" w14:textId="77777777" w:rsidR="00F556E5" w:rsidRPr="00F556E5" w:rsidRDefault="00F556E5" w:rsidP="00F556E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556E5">
        <w:rPr>
          <w:rFonts w:ascii="Times New Roman" w:eastAsia="Times New Roman" w:hAnsi="Times New Roman" w:cs="Times New Roman"/>
          <w:sz w:val="24"/>
          <w:szCs w:val="24"/>
          <w:lang w:val="en-US" w:eastAsia="fr-FR"/>
        </w:rPr>
        <w:t>The mixed validation of this central criterion thus underscores the principal challenge of the Franc Zone: reconciling a single monetary architecture with the economic reality of countries with differentiated productive structures and divergent shock exposures.</w:t>
      </w:r>
    </w:p>
    <w:p w14:paraId="2CC6013E" w14:textId="77777777" w:rsidR="009749D2" w:rsidRPr="009749D2" w:rsidRDefault="009749D2" w:rsidP="009749D2">
      <w:pPr>
        <w:pStyle w:val="font-claude-response-body"/>
        <w:jc w:val="both"/>
        <w:rPr>
          <w:lang w:val="en-US"/>
        </w:rPr>
      </w:pPr>
      <w:r w:rsidRPr="009749D2">
        <w:rPr>
          <w:rStyle w:val="Strong"/>
          <w:lang w:val="en-US"/>
        </w:rPr>
        <w:t>Asymmetry of Transmissions</w:t>
      </w:r>
    </w:p>
    <w:p w14:paraId="432A6317" w14:textId="77777777" w:rsidR="009749D2" w:rsidRPr="009749D2" w:rsidRDefault="009749D2" w:rsidP="009749D2">
      <w:pPr>
        <w:pStyle w:val="font-claude-response-body"/>
        <w:jc w:val="both"/>
        <w:rPr>
          <w:lang w:val="en-US"/>
        </w:rPr>
      </w:pPr>
      <w:r w:rsidRPr="009749D2">
        <w:rPr>
          <w:lang w:val="en-US"/>
        </w:rPr>
        <w:t>The impulse responses reveal notable asymmetry in shock transmission. The most diversified economies, such as Cameroon, exert a more pronounced influence on their partners. More specialized economies show heightened sensitivity to external shocks. The intensity of contagion varies according to country pairs.</w:t>
      </w:r>
    </w:p>
    <w:p w14:paraId="4C2852B4" w14:textId="77777777" w:rsidR="009749D2" w:rsidRPr="009749D2" w:rsidRDefault="009749D2" w:rsidP="009749D2">
      <w:pPr>
        <w:pStyle w:val="font-claude-response-body"/>
        <w:jc w:val="both"/>
        <w:rPr>
          <w:lang w:val="en-US"/>
        </w:rPr>
      </w:pPr>
      <w:r w:rsidRPr="009749D2">
        <w:rPr>
          <w:lang w:val="en-US"/>
        </w:rPr>
        <w:lastRenderedPageBreak/>
        <w:t>Regarding the hierarchy of interdependencies, certain economies emerge as poles of fluctuation diffusion. Their domestic shocks significantly affect several partners. The magnitude and duration of transmitted effects vary according to destinations. Conversely, other economies appear rather as receivers of regional fluctuations. Their responses to external shocks are more substantial. Their adjustment is often more prolonged.</w:t>
      </w:r>
    </w:p>
    <w:p w14:paraId="4FA1D890" w14:textId="25F24B1F" w:rsidR="009749D2" w:rsidRDefault="009749D2" w:rsidP="009749D2">
      <w:pPr>
        <w:pStyle w:val="font-claude-response-body"/>
        <w:jc w:val="both"/>
        <w:rPr>
          <w:lang w:val="en-US"/>
        </w:rPr>
      </w:pPr>
      <w:r w:rsidRPr="009749D2">
        <w:rPr>
          <w:lang w:val="en-US"/>
        </w:rPr>
        <w:t>In summary, the analysis of impulse response functions unveils a complex regional economic architecture where interdependencies and national specificities coexist, thereby delineating the contours of an economic space under construction but still marked by differentiated dynamics</w:t>
      </w:r>
      <w:r>
        <w:rPr>
          <w:lang w:val="en-US"/>
        </w:rPr>
        <w:t xml:space="preserve"> </w:t>
      </w:r>
      <w:r w:rsidRPr="009749D2">
        <w:rPr>
          <w:lang w:val="en-US"/>
        </w:rPr>
        <w:t>namely, the absence of synchronization.</w:t>
      </w:r>
    </w:p>
    <w:p w14:paraId="3B484951" w14:textId="77777777" w:rsidR="009749D2" w:rsidRPr="009749D2" w:rsidRDefault="009749D2" w:rsidP="009749D2">
      <w:pPr>
        <w:pStyle w:val="font-claude-response-body"/>
        <w:jc w:val="both"/>
        <w:rPr>
          <w:lang w:val="en-US"/>
        </w:rPr>
      </w:pPr>
      <w:r w:rsidRPr="009749D2">
        <w:rPr>
          <w:rStyle w:val="Strong"/>
          <w:lang w:val="en-US"/>
        </w:rPr>
        <w:t>2.2. Discussion and Integration of Results</w:t>
      </w:r>
    </w:p>
    <w:p w14:paraId="5F317DB1" w14:textId="77777777" w:rsidR="009749D2" w:rsidRPr="009749D2" w:rsidRDefault="009749D2" w:rsidP="009749D2">
      <w:pPr>
        <w:pStyle w:val="font-claude-response-body"/>
        <w:jc w:val="both"/>
        <w:rPr>
          <w:lang w:val="en-US"/>
        </w:rPr>
      </w:pPr>
      <w:r w:rsidRPr="009749D2">
        <w:rPr>
          <w:rStyle w:val="Strong"/>
          <w:lang w:val="en-US"/>
        </w:rPr>
        <w:t>2.2.1. Summary of Strengths and Weaknesses</w:t>
      </w:r>
    </w:p>
    <w:p w14:paraId="3B412CF6" w14:textId="5B38AED0" w:rsidR="00A96AFA" w:rsidRDefault="009749D2" w:rsidP="009749D2">
      <w:pPr>
        <w:pStyle w:val="font-claude-response-body"/>
        <w:jc w:val="both"/>
        <w:rPr>
          <w:lang w:val="en-US"/>
        </w:rPr>
      </w:pPr>
      <w:r w:rsidRPr="009749D2">
        <w:rPr>
          <w:lang w:val="en-US"/>
        </w:rPr>
        <w:t>The empirical analysis conducted in this study reveals a mixed assessment of the Franc Zone with regard to the classical criteria of optimum currency areas (OCAs). On the strengths side, we observe pronounced economic openness of member states, partially confirming McKinnon's (1963) criterion. Indeed, trade openness ratios are significantly higher than those of other groups of non-member African countries, which theoretically legitimizes the use of a stable monetary anchor to reduce transaction costs and imported inflation. Moreover, the monetary and financial stability inherited from the euro peg and managed by the sub-regional central banks (BCEAO and BEAC) constitutes an undeniable asset, particularly in terms of international credibility and inflation control, as evidenced by the stationarity results of inflation series. Finally, formal legal and institutional integration provides a conducive framework for economic policy coordination, even though this remains improvable.</w:t>
      </w:r>
    </w:p>
    <w:p w14:paraId="6F861962" w14:textId="77777777" w:rsidR="009749D2" w:rsidRPr="009749D2" w:rsidRDefault="009749D2" w:rsidP="009749D2">
      <w:pPr>
        <w:pStyle w:val="font-claude-response-body"/>
        <w:jc w:val="both"/>
        <w:rPr>
          <w:lang w:val="en-US"/>
        </w:rPr>
      </w:pPr>
      <w:r w:rsidRPr="009749D2">
        <w:rPr>
          <w:rStyle w:val="Strong"/>
          <w:lang w:val="en-US"/>
        </w:rPr>
        <w:t>Conclusion and Recommendations</w:t>
      </w:r>
    </w:p>
    <w:p w14:paraId="0688A989" w14:textId="77777777" w:rsidR="009749D2" w:rsidRPr="009749D2" w:rsidRDefault="009749D2" w:rsidP="009749D2">
      <w:pPr>
        <w:pStyle w:val="font-claude-response-body"/>
        <w:jc w:val="both"/>
        <w:rPr>
          <w:lang w:val="en-US"/>
        </w:rPr>
      </w:pPr>
      <w:r w:rsidRPr="009749D2">
        <w:rPr>
          <w:lang w:val="en-US"/>
        </w:rPr>
        <w:t>This paper has presented an in-depth empirical analysis of the optimality of the Franc Zone in light of the classical criteria of optimum currency areas. The results obtained allow us to draw a nuanced assessment, both instructive and bearing important policy implications.</w:t>
      </w:r>
    </w:p>
    <w:p w14:paraId="43DC93A8" w14:textId="77777777" w:rsidR="009749D2" w:rsidRPr="009749D2" w:rsidRDefault="009749D2" w:rsidP="009749D2">
      <w:pPr>
        <w:pStyle w:val="font-claude-response-body"/>
        <w:jc w:val="both"/>
        <w:rPr>
          <w:lang w:val="en-US"/>
        </w:rPr>
      </w:pPr>
      <w:r w:rsidRPr="009749D2">
        <w:rPr>
          <w:lang w:val="en-US"/>
        </w:rPr>
        <w:t>Overall, the evaluation reveals that the Franc Zone does not constitute a complete optimum currency area. While it partially satisfies certain criteria, such as the degree of economic openness (McKinnon), it exhibits major structural weaknesses with regard to other fundamental conditions, notably shock symmetry, business cycle synchronization, and factor mobility.</w:t>
      </w:r>
    </w:p>
    <w:p w14:paraId="0019784A" w14:textId="5C9914B3" w:rsidR="009749D2" w:rsidRPr="009749D2" w:rsidRDefault="009749D2" w:rsidP="009749D2">
      <w:pPr>
        <w:pStyle w:val="font-claude-response-body"/>
        <w:jc w:val="both"/>
        <w:rPr>
          <w:lang w:val="en-US"/>
        </w:rPr>
      </w:pPr>
      <w:r w:rsidRPr="009749D2">
        <w:rPr>
          <w:lang w:val="en-US"/>
        </w:rPr>
        <w:t>The prevalence of asymmetric shocks, particularly linked to commodity price fluctuations, and weak cycle synchronization among member countries and with other non-member countries, challenge the relevance of a single monetary policy. A policy designed for the entire zone risks being unsuitable, even counterproductive, for certain countries at certain times, widening divergences instead of resolving them. Moreover, the absence of effective automatic adjustment mechanisms</w:t>
      </w:r>
      <w:r>
        <w:rPr>
          <w:lang w:val="en-US"/>
        </w:rPr>
        <w:t xml:space="preserve"> </w:t>
      </w:r>
      <w:r w:rsidRPr="009749D2">
        <w:rPr>
          <w:lang w:val="en-US"/>
        </w:rPr>
        <w:t>very limited labor mobility and capital mobility guided by rent-seeking rather than stabilization logics</w:t>
      </w:r>
      <w:r>
        <w:rPr>
          <w:lang w:val="en-US"/>
        </w:rPr>
        <w:t xml:space="preserve"> </w:t>
      </w:r>
      <w:r w:rsidRPr="009749D2">
        <w:rPr>
          <w:lang w:val="en-US"/>
        </w:rPr>
        <w:t>deprives the union of its natural shock absorbers in the face of these asymmetric shocks. Finally, the low economic diversification of members, legacy of primary specialization, perpetuates their vulnerability and hinders convergence dynamics.</w:t>
      </w:r>
    </w:p>
    <w:p w14:paraId="1CB3ECAF" w14:textId="6012E37D" w:rsidR="009749D2" w:rsidRDefault="009749D2" w:rsidP="009749D2">
      <w:pPr>
        <w:pStyle w:val="font-claude-response-body"/>
        <w:jc w:val="both"/>
        <w:rPr>
          <w:lang w:val="en-US"/>
        </w:rPr>
      </w:pPr>
      <w:r w:rsidRPr="009749D2">
        <w:rPr>
          <w:lang w:val="en-US"/>
        </w:rPr>
        <w:t xml:space="preserve">However, it would be reductive to conclude outright failure. The Franc Zone provides undeniable macroeconomic stability: low inflation and monetary credibility, which remain </w:t>
      </w:r>
      <w:r w:rsidRPr="009749D2">
        <w:rPr>
          <w:lang w:val="en-US"/>
        </w:rPr>
        <w:lastRenderedPageBreak/>
        <w:t>precious assets for often fragile economies. The challenge is therefore not so much to question the existence of the union as to bridge the gap between a sophisticated monetary architecture and underlying economies that remain poorly integrated and synchronized.</w:t>
      </w:r>
    </w:p>
    <w:p w14:paraId="4F4D2F26" w14:textId="2BDEA915" w:rsidR="00071923" w:rsidRPr="00071923" w:rsidRDefault="00071923" w:rsidP="00071923">
      <w:pPr>
        <w:pStyle w:val="font-claude-response-body"/>
        <w:jc w:val="both"/>
        <w:rPr>
          <w:lang w:val="en-US"/>
        </w:rPr>
      </w:pPr>
      <w:r w:rsidRPr="00071923">
        <w:rPr>
          <w:lang w:val="en-US"/>
        </w:rPr>
        <w:t>This conclusion calls for reflection that goes beyond the static framework of traditional criteria. It invites consideration of the theory of endogeneity of optimum currency areas (Frankel and Rose, 1998), according to which the union itself may, in the long term, generate the conditions for its own optimality by fostering trade, convergence, and synchronization. The results of this study</w:t>
      </w:r>
      <w:r>
        <w:rPr>
          <w:lang w:val="en-US"/>
        </w:rPr>
        <w:t xml:space="preserve"> </w:t>
      </w:r>
      <w:r w:rsidRPr="00071923">
        <w:rPr>
          <w:lang w:val="en-US"/>
        </w:rPr>
        <w:t>showing still-limited integration</w:t>
      </w:r>
      <w:r>
        <w:rPr>
          <w:lang w:val="en-US"/>
        </w:rPr>
        <w:t xml:space="preserve"> </w:t>
      </w:r>
      <w:r w:rsidRPr="00071923">
        <w:rPr>
          <w:lang w:val="en-US"/>
        </w:rPr>
        <w:t>suggest that this process is far from automatic. It requires strong political will and ambitious structural policies aimed at deepening regional integration, diversifying economies, developing infrastructure, and establishing genuine fiscal solidarity mechanisms.</w:t>
      </w:r>
    </w:p>
    <w:p w14:paraId="47C14CA7" w14:textId="281528A5" w:rsidR="00071923" w:rsidRPr="009A7559" w:rsidRDefault="002E2C07" w:rsidP="00071923">
      <w:pPr>
        <w:spacing w:line="240" w:lineRule="auto"/>
        <w:rPr>
          <w:rFonts w:ascii="Times New Roman" w:hAnsi="Times New Roman" w:cs="Times New Roman"/>
          <w:b/>
          <w:sz w:val="24"/>
          <w:lang w:val="pt-BR"/>
        </w:rPr>
      </w:pPr>
      <w:r w:rsidRPr="009A7559">
        <w:rPr>
          <w:rFonts w:ascii="Times New Roman" w:hAnsi="Times New Roman" w:cs="Times New Roman"/>
          <w:b/>
          <w:sz w:val="24"/>
          <w:lang w:val="pt-BR"/>
        </w:rPr>
        <w:t>References</w:t>
      </w:r>
    </w:p>
    <w:p w14:paraId="3C2CD29D" w14:textId="3A57B3F7" w:rsidR="009A7559" w:rsidRDefault="009A7559" w:rsidP="00071923">
      <w:pPr>
        <w:spacing w:line="240" w:lineRule="auto"/>
        <w:jc w:val="both"/>
        <w:rPr>
          <w:rFonts w:ascii="Times New Roman" w:hAnsi="Times New Roman" w:cs="Times New Roman"/>
          <w:color w:val="222222"/>
          <w:sz w:val="24"/>
          <w:szCs w:val="24"/>
          <w:shd w:val="clear" w:color="auto" w:fill="FFFFFF"/>
          <w:lang w:val="en-IN"/>
        </w:rPr>
      </w:pPr>
      <w:proofErr w:type="spellStart"/>
      <w:r w:rsidRPr="009A7559">
        <w:rPr>
          <w:rFonts w:ascii="Times New Roman" w:hAnsi="Times New Roman" w:cs="Times New Roman"/>
          <w:color w:val="222222"/>
          <w:sz w:val="24"/>
          <w:szCs w:val="24"/>
          <w:shd w:val="clear" w:color="auto" w:fill="FFFFFF"/>
          <w:lang w:val="en-IN"/>
        </w:rPr>
        <w:t>Amini</w:t>
      </w:r>
      <w:proofErr w:type="spellEnd"/>
      <w:r w:rsidRPr="009A7559">
        <w:rPr>
          <w:rFonts w:ascii="Times New Roman" w:hAnsi="Times New Roman" w:cs="Times New Roman"/>
          <w:color w:val="222222"/>
          <w:sz w:val="24"/>
          <w:szCs w:val="24"/>
          <w:shd w:val="clear" w:color="auto" w:fill="FFFFFF"/>
          <w:lang w:val="en-IN"/>
        </w:rPr>
        <w:t xml:space="preserve">, S., Delgado, M. S., Henderson, D. J., &amp; </w:t>
      </w:r>
      <w:proofErr w:type="spellStart"/>
      <w:r w:rsidRPr="009A7559">
        <w:rPr>
          <w:rFonts w:ascii="Times New Roman" w:hAnsi="Times New Roman" w:cs="Times New Roman"/>
          <w:color w:val="222222"/>
          <w:sz w:val="24"/>
          <w:szCs w:val="24"/>
          <w:shd w:val="clear" w:color="auto" w:fill="FFFFFF"/>
          <w:lang w:val="en-IN"/>
        </w:rPr>
        <w:t>Parmeter</w:t>
      </w:r>
      <w:proofErr w:type="spellEnd"/>
      <w:r w:rsidRPr="009A7559">
        <w:rPr>
          <w:rFonts w:ascii="Times New Roman" w:hAnsi="Times New Roman" w:cs="Times New Roman"/>
          <w:color w:val="222222"/>
          <w:sz w:val="24"/>
          <w:szCs w:val="24"/>
          <w:shd w:val="clear" w:color="auto" w:fill="FFFFFF"/>
          <w:lang w:val="en-IN"/>
        </w:rPr>
        <w:t xml:space="preserve">, C. F. (2012). Fixed vs Random: The Hausman Test Four Decades Later. In B. H. </w:t>
      </w:r>
      <w:proofErr w:type="spellStart"/>
      <w:r w:rsidRPr="009A7559">
        <w:rPr>
          <w:rFonts w:ascii="Times New Roman" w:hAnsi="Times New Roman" w:cs="Times New Roman"/>
          <w:color w:val="222222"/>
          <w:sz w:val="24"/>
          <w:szCs w:val="24"/>
          <w:shd w:val="clear" w:color="auto" w:fill="FFFFFF"/>
          <w:lang w:val="en-IN"/>
        </w:rPr>
        <w:t>Baltagi</w:t>
      </w:r>
      <w:proofErr w:type="spellEnd"/>
      <w:r w:rsidRPr="009A7559">
        <w:rPr>
          <w:rFonts w:ascii="Times New Roman" w:hAnsi="Times New Roman" w:cs="Times New Roman"/>
          <w:color w:val="222222"/>
          <w:sz w:val="24"/>
          <w:szCs w:val="24"/>
          <w:shd w:val="clear" w:color="auto" w:fill="FFFFFF"/>
          <w:lang w:val="en-IN"/>
        </w:rPr>
        <w:t xml:space="preserve">, R. C. Hill, W. K. Newey, &amp; H. L. White (Eds.), Essays in </w:t>
      </w:r>
      <w:proofErr w:type="spellStart"/>
      <w:r w:rsidRPr="009A7559">
        <w:rPr>
          <w:rFonts w:ascii="Times New Roman" w:hAnsi="Times New Roman" w:cs="Times New Roman"/>
          <w:color w:val="222222"/>
          <w:sz w:val="24"/>
          <w:szCs w:val="24"/>
          <w:shd w:val="clear" w:color="auto" w:fill="FFFFFF"/>
          <w:lang w:val="en-IN"/>
        </w:rPr>
        <w:t>Honor</w:t>
      </w:r>
      <w:proofErr w:type="spellEnd"/>
      <w:r w:rsidRPr="009A7559">
        <w:rPr>
          <w:rFonts w:ascii="Times New Roman" w:hAnsi="Times New Roman" w:cs="Times New Roman"/>
          <w:color w:val="222222"/>
          <w:sz w:val="24"/>
          <w:szCs w:val="24"/>
          <w:shd w:val="clear" w:color="auto" w:fill="FFFFFF"/>
          <w:lang w:val="en-IN"/>
        </w:rPr>
        <w:t xml:space="preserve"> of Jerry Hausman (pp. 479-513). Emerald Group Publishing Limited. </w:t>
      </w:r>
      <w:hyperlink r:id="rId19" w:history="1">
        <w:r w:rsidRPr="00554C17">
          <w:rPr>
            <w:rStyle w:val="Hyperlink"/>
            <w:rFonts w:ascii="Times New Roman" w:hAnsi="Times New Roman" w:cs="Times New Roman"/>
            <w:sz w:val="24"/>
            <w:szCs w:val="24"/>
            <w:shd w:val="clear" w:color="auto" w:fill="FFFFFF"/>
            <w:lang w:val="en-IN"/>
          </w:rPr>
          <w:t>https://doi.org/10.1108/S0731-9053(2012)0000029021</w:t>
        </w:r>
      </w:hyperlink>
    </w:p>
    <w:p w14:paraId="273D1D55" w14:textId="77F1EB4A"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Ayad, T., &amp; </w:t>
      </w:r>
      <w:proofErr w:type="spellStart"/>
      <w:r w:rsidRPr="009A7559">
        <w:rPr>
          <w:rFonts w:ascii="Times New Roman" w:hAnsi="Times New Roman" w:cs="Times New Roman"/>
          <w:color w:val="222222"/>
          <w:sz w:val="24"/>
          <w:szCs w:val="24"/>
          <w:shd w:val="clear" w:color="auto" w:fill="FFFFFF"/>
          <w:lang w:val="en-US"/>
        </w:rPr>
        <w:t>Hasanein</w:t>
      </w:r>
      <w:proofErr w:type="spellEnd"/>
      <w:r w:rsidRPr="009A7559">
        <w:rPr>
          <w:rFonts w:ascii="Times New Roman" w:hAnsi="Times New Roman" w:cs="Times New Roman"/>
          <w:color w:val="222222"/>
          <w:sz w:val="24"/>
          <w:szCs w:val="24"/>
          <w:shd w:val="clear" w:color="auto" w:fill="FFFFFF"/>
          <w:lang w:val="en-US"/>
        </w:rPr>
        <w:t xml:space="preserve">, A. M. (2024). How does Spiritual Leadership Drive Employee Performance in the Hospitality Sector? Unraveling the Role of Affective Commitment. Geo Journal of Tourism and </w:t>
      </w:r>
      <w:proofErr w:type="spellStart"/>
      <w:r w:rsidRPr="009A7559">
        <w:rPr>
          <w:rFonts w:ascii="Times New Roman" w:hAnsi="Times New Roman" w:cs="Times New Roman"/>
          <w:color w:val="222222"/>
          <w:sz w:val="24"/>
          <w:szCs w:val="24"/>
          <w:shd w:val="clear" w:color="auto" w:fill="FFFFFF"/>
          <w:lang w:val="en-US"/>
        </w:rPr>
        <w:t>Geosites</w:t>
      </w:r>
      <w:proofErr w:type="spellEnd"/>
      <w:r w:rsidRPr="009A7559">
        <w:rPr>
          <w:rFonts w:ascii="Times New Roman" w:hAnsi="Times New Roman" w:cs="Times New Roman"/>
          <w:color w:val="222222"/>
          <w:sz w:val="24"/>
          <w:szCs w:val="24"/>
          <w:shd w:val="clear" w:color="auto" w:fill="FFFFFF"/>
          <w:lang w:val="en-US"/>
        </w:rPr>
        <w:t xml:space="preserve">, 53(2), 697-705. </w:t>
      </w:r>
      <w:hyperlink r:id="rId20" w:history="1">
        <w:r w:rsidRPr="00554C17">
          <w:rPr>
            <w:rStyle w:val="Hyperlink"/>
            <w:rFonts w:ascii="Times New Roman" w:hAnsi="Times New Roman" w:cs="Times New Roman"/>
            <w:sz w:val="24"/>
            <w:szCs w:val="24"/>
            <w:shd w:val="clear" w:color="auto" w:fill="FFFFFF"/>
            <w:lang w:val="en-US"/>
          </w:rPr>
          <w:t>https://doi.org/10.30892/gtg.53233-1245</w:t>
        </w:r>
      </w:hyperlink>
    </w:p>
    <w:p w14:paraId="556384B1" w14:textId="2D2B8FBD"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proofErr w:type="spellStart"/>
      <w:r w:rsidRPr="009A7559">
        <w:rPr>
          <w:rFonts w:ascii="Times New Roman" w:hAnsi="Times New Roman" w:cs="Times New Roman"/>
          <w:color w:val="222222"/>
          <w:sz w:val="24"/>
          <w:szCs w:val="24"/>
          <w:shd w:val="clear" w:color="auto" w:fill="FFFFFF"/>
          <w:lang w:val="en-US"/>
        </w:rPr>
        <w:t>Bayoumi</w:t>
      </w:r>
      <w:proofErr w:type="spellEnd"/>
      <w:r w:rsidRPr="009A7559">
        <w:rPr>
          <w:rFonts w:ascii="Times New Roman" w:hAnsi="Times New Roman" w:cs="Times New Roman"/>
          <w:color w:val="222222"/>
          <w:sz w:val="24"/>
          <w:szCs w:val="24"/>
          <w:shd w:val="clear" w:color="auto" w:fill="FFFFFF"/>
          <w:lang w:val="en-US"/>
        </w:rPr>
        <w:t xml:space="preserve">, T., &amp; </w:t>
      </w:r>
      <w:proofErr w:type="spellStart"/>
      <w:r w:rsidRPr="009A7559">
        <w:rPr>
          <w:rFonts w:ascii="Times New Roman" w:hAnsi="Times New Roman" w:cs="Times New Roman"/>
          <w:color w:val="222222"/>
          <w:sz w:val="24"/>
          <w:szCs w:val="24"/>
          <w:shd w:val="clear" w:color="auto" w:fill="FFFFFF"/>
          <w:lang w:val="en-US"/>
        </w:rPr>
        <w:t>Eichengreen</w:t>
      </w:r>
      <w:proofErr w:type="spellEnd"/>
      <w:r w:rsidRPr="009A7559">
        <w:rPr>
          <w:rFonts w:ascii="Times New Roman" w:hAnsi="Times New Roman" w:cs="Times New Roman"/>
          <w:color w:val="222222"/>
          <w:sz w:val="24"/>
          <w:szCs w:val="24"/>
          <w:shd w:val="clear" w:color="auto" w:fill="FFFFFF"/>
          <w:lang w:val="en-US"/>
        </w:rPr>
        <w:t xml:space="preserve">, B. (1994). Monetary and exchange rate arrangements for NAFTA. Journal of Development Economics, 43(1), 125-165. </w:t>
      </w:r>
      <w:hyperlink r:id="rId21" w:history="1">
        <w:r w:rsidRPr="00554C17">
          <w:rPr>
            <w:rStyle w:val="Hyperlink"/>
            <w:rFonts w:ascii="Times New Roman" w:hAnsi="Times New Roman" w:cs="Times New Roman"/>
            <w:sz w:val="24"/>
            <w:szCs w:val="24"/>
            <w:shd w:val="clear" w:color="auto" w:fill="FFFFFF"/>
            <w:lang w:val="en-US"/>
          </w:rPr>
          <w:t>https://doi.org/10.1016/0304-3878(94)90026-4</w:t>
        </w:r>
      </w:hyperlink>
    </w:p>
    <w:p w14:paraId="71C04914" w14:textId="6F30F8F6" w:rsidR="009A7559" w:rsidRPr="009A7559" w:rsidRDefault="009A7559" w:rsidP="00071923">
      <w:pPr>
        <w:spacing w:line="240" w:lineRule="auto"/>
        <w:jc w:val="both"/>
        <w:rPr>
          <w:rFonts w:ascii="Times New Roman" w:hAnsi="Times New Roman" w:cs="Times New Roman"/>
          <w:color w:val="222222"/>
          <w:sz w:val="24"/>
          <w:szCs w:val="24"/>
          <w:shd w:val="clear" w:color="auto" w:fill="FFFFFF"/>
        </w:rPr>
      </w:pPr>
      <w:proofErr w:type="spellStart"/>
      <w:r w:rsidRPr="009A7559">
        <w:rPr>
          <w:rFonts w:ascii="Times New Roman" w:hAnsi="Times New Roman" w:cs="Times New Roman"/>
          <w:color w:val="222222"/>
          <w:sz w:val="24"/>
          <w:szCs w:val="24"/>
          <w:shd w:val="clear" w:color="auto" w:fill="FFFFFF"/>
          <w:lang w:val="en-US"/>
        </w:rPr>
        <w:t>Breitung</w:t>
      </w:r>
      <w:proofErr w:type="spellEnd"/>
      <w:r w:rsidRPr="009A7559">
        <w:rPr>
          <w:rFonts w:ascii="Times New Roman" w:hAnsi="Times New Roman" w:cs="Times New Roman"/>
          <w:color w:val="222222"/>
          <w:sz w:val="24"/>
          <w:szCs w:val="24"/>
          <w:shd w:val="clear" w:color="auto" w:fill="FFFFFF"/>
          <w:lang w:val="en-US"/>
        </w:rPr>
        <w:t xml:space="preserve">, J., &amp; </w:t>
      </w:r>
      <w:proofErr w:type="spellStart"/>
      <w:r w:rsidRPr="009A7559">
        <w:rPr>
          <w:rFonts w:ascii="Times New Roman" w:hAnsi="Times New Roman" w:cs="Times New Roman"/>
          <w:color w:val="222222"/>
          <w:sz w:val="24"/>
          <w:szCs w:val="24"/>
          <w:shd w:val="clear" w:color="auto" w:fill="FFFFFF"/>
          <w:lang w:val="en-US"/>
        </w:rPr>
        <w:t>Franses</w:t>
      </w:r>
      <w:proofErr w:type="spellEnd"/>
      <w:r w:rsidRPr="009A7559">
        <w:rPr>
          <w:rFonts w:ascii="Times New Roman" w:hAnsi="Times New Roman" w:cs="Times New Roman"/>
          <w:color w:val="222222"/>
          <w:sz w:val="24"/>
          <w:szCs w:val="24"/>
          <w:shd w:val="clear" w:color="auto" w:fill="FFFFFF"/>
          <w:lang w:val="en-US"/>
        </w:rPr>
        <w:t>, P. H. (1998). On Phillips–</w:t>
      </w:r>
      <w:proofErr w:type="spellStart"/>
      <w:r w:rsidRPr="009A7559">
        <w:rPr>
          <w:rFonts w:ascii="Times New Roman" w:hAnsi="Times New Roman" w:cs="Times New Roman"/>
          <w:color w:val="222222"/>
          <w:sz w:val="24"/>
          <w:szCs w:val="24"/>
          <w:shd w:val="clear" w:color="auto" w:fill="FFFFFF"/>
          <w:lang w:val="en-US"/>
        </w:rPr>
        <w:t>Perron</w:t>
      </w:r>
      <w:proofErr w:type="spellEnd"/>
      <w:r w:rsidRPr="009A7559">
        <w:rPr>
          <w:rFonts w:ascii="Times New Roman" w:hAnsi="Times New Roman" w:cs="Times New Roman"/>
          <w:color w:val="222222"/>
          <w:sz w:val="24"/>
          <w:szCs w:val="24"/>
          <w:shd w:val="clear" w:color="auto" w:fill="FFFFFF"/>
          <w:lang w:val="en-US"/>
        </w:rPr>
        <w:t xml:space="preserve">-type tests for seasonal unit roots. Econometric Theory, 14(2), 200-221. </w:t>
      </w:r>
      <w:hyperlink r:id="rId22" w:history="1">
        <w:r w:rsidRPr="009A7559">
          <w:rPr>
            <w:rStyle w:val="Hyperlink"/>
            <w:rFonts w:ascii="Times New Roman" w:hAnsi="Times New Roman" w:cs="Times New Roman"/>
            <w:sz w:val="24"/>
            <w:szCs w:val="24"/>
            <w:shd w:val="clear" w:color="auto" w:fill="FFFFFF"/>
          </w:rPr>
          <w:t>https://doi.org/10.1017/S0266466698142032</w:t>
        </w:r>
      </w:hyperlink>
    </w:p>
    <w:p w14:paraId="19B1F903" w14:textId="2CFEB78C" w:rsidR="009A7559" w:rsidRDefault="009A7559" w:rsidP="00071923">
      <w:pPr>
        <w:spacing w:line="240" w:lineRule="auto"/>
        <w:jc w:val="both"/>
        <w:rPr>
          <w:rFonts w:ascii="Times New Roman" w:hAnsi="Times New Roman" w:cs="Times New Roman"/>
          <w:color w:val="222222"/>
          <w:sz w:val="24"/>
          <w:szCs w:val="24"/>
          <w:shd w:val="clear" w:color="auto" w:fill="FFFFFF"/>
          <w:lang w:val="en-IN"/>
        </w:rPr>
      </w:pPr>
      <w:r w:rsidRPr="009A7559">
        <w:rPr>
          <w:rFonts w:ascii="Times New Roman" w:hAnsi="Times New Roman" w:cs="Times New Roman"/>
          <w:color w:val="222222"/>
          <w:sz w:val="24"/>
          <w:szCs w:val="24"/>
          <w:shd w:val="clear" w:color="auto" w:fill="FFFFFF"/>
        </w:rPr>
        <w:t xml:space="preserve">Cole, M. A., Elliott, R. J. R., &amp; Zhang, L. (2017). </w:t>
      </w:r>
      <w:r w:rsidRPr="009A7559">
        <w:rPr>
          <w:rFonts w:ascii="Times New Roman" w:hAnsi="Times New Roman" w:cs="Times New Roman"/>
          <w:color w:val="222222"/>
          <w:sz w:val="24"/>
          <w:szCs w:val="24"/>
          <w:shd w:val="clear" w:color="auto" w:fill="FFFFFF"/>
          <w:lang w:val="en-IN"/>
        </w:rPr>
        <w:t xml:space="preserve">Foreign direct investment and the environment: A review of the literature. Annual Review of Environment and Resources, 42, 465-487. </w:t>
      </w:r>
      <w:hyperlink r:id="rId23" w:history="1">
        <w:r w:rsidRPr="00554C17">
          <w:rPr>
            <w:rStyle w:val="Hyperlink"/>
            <w:rFonts w:ascii="Times New Roman" w:hAnsi="Times New Roman" w:cs="Times New Roman"/>
            <w:sz w:val="24"/>
            <w:szCs w:val="24"/>
            <w:shd w:val="clear" w:color="auto" w:fill="FFFFFF"/>
            <w:lang w:val="en-IN"/>
          </w:rPr>
          <w:t>https://doi.org/10.1146/annurev-environ-102016-060916</w:t>
        </w:r>
      </w:hyperlink>
    </w:p>
    <w:p w14:paraId="72124C4F" w14:textId="6640AD5D" w:rsidR="009A7559" w:rsidRPr="009A7559" w:rsidRDefault="009A7559" w:rsidP="00071923">
      <w:pPr>
        <w:spacing w:line="240" w:lineRule="auto"/>
        <w:jc w:val="both"/>
        <w:rPr>
          <w:rFonts w:ascii="Times New Roman" w:hAnsi="Times New Roman" w:cs="Times New Roman"/>
          <w:color w:val="222222"/>
          <w:sz w:val="24"/>
          <w:szCs w:val="24"/>
          <w:shd w:val="clear" w:color="auto" w:fill="FFFFFF"/>
          <w:lang w:val="pt-BR"/>
        </w:rPr>
      </w:pPr>
      <w:r w:rsidRPr="009A7559">
        <w:rPr>
          <w:rFonts w:ascii="Times New Roman" w:hAnsi="Times New Roman" w:cs="Times New Roman"/>
          <w:color w:val="222222"/>
          <w:sz w:val="24"/>
          <w:szCs w:val="24"/>
          <w:shd w:val="clear" w:color="auto" w:fill="FFFFFF"/>
          <w:lang w:val="en-US"/>
        </w:rPr>
        <w:t xml:space="preserve">Coulibaly, I., &amp; </w:t>
      </w:r>
      <w:proofErr w:type="spellStart"/>
      <w:r w:rsidRPr="009A7559">
        <w:rPr>
          <w:rFonts w:ascii="Times New Roman" w:hAnsi="Times New Roman" w:cs="Times New Roman"/>
          <w:color w:val="222222"/>
          <w:sz w:val="24"/>
          <w:szCs w:val="24"/>
          <w:shd w:val="clear" w:color="auto" w:fill="FFFFFF"/>
          <w:lang w:val="en-US"/>
        </w:rPr>
        <w:t>Gnimassoun</w:t>
      </w:r>
      <w:proofErr w:type="spellEnd"/>
      <w:r w:rsidRPr="009A7559">
        <w:rPr>
          <w:rFonts w:ascii="Times New Roman" w:hAnsi="Times New Roman" w:cs="Times New Roman"/>
          <w:color w:val="222222"/>
          <w:sz w:val="24"/>
          <w:szCs w:val="24"/>
          <w:shd w:val="clear" w:color="auto" w:fill="FFFFFF"/>
          <w:lang w:val="en-US"/>
        </w:rPr>
        <w:t xml:space="preserve">, B. (2013). Current account sustainability in Sub-Saharan Africa: Does the exchange rate regime matter? </w:t>
      </w:r>
      <w:hyperlink r:id="rId24" w:history="1">
        <w:r w:rsidRPr="009A7559">
          <w:rPr>
            <w:rStyle w:val="Hyperlink"/>
            <w:rFonts w:ascii="Times New Roman" w:hAnsi="Times New Roman" w:cs="Times New Roman"/>
            <w:sz w:val="24"/>
            <w:szCs w:val="24"/>
            <w:shd w:val="clear" w:color="auto" w:fill="FFFFFF"/>
            <w:lang w:val="pt-BR"/>
          </w:rPr>
          <w:t>https://ideas.repec.org/p/nan/wpaper/2013-42.html</w:t>
        </w:r>
      </w:hyperlink>
    </w:p>
    <w:p w14:paraId="232C90BB" w14:textId="055D621B" w:rsidR="009A7559" w:rsidRPr="009A7559" w:rsidRDefault="009A7559" w:rsidP="00071923">
      <w:pPr>
        <w:spacing w:line="240" w:lineRule="auto"/>
        <w:jc w:val="both"/>
        <w:rPr>
          <w:rFonts w:ascii="Times New Roman" w:hAnsi="Times New Roman" w:cs="Times New Roman"/>
          <w:color w:val="222222"/>
          <w:sz w:val="24"/>
          <w:szCs w:val="24"/>
          <w:shd w:val="clear" w:color="auto" w:fill="FFFFFF"/>
          <w:lang w:val="en-IN"/>
        </w:rPr>
      </w:pPr>
      <w:r w:rsidRPr="009A7559">
        <w:rPr>
          <w:rFonts w:ascii="Times New Roman" w:hAnsi="Times New Roman" w:cs="Times New Roman"/>
          <w:color w:val="222222"/>
          <w:sz w:val="24"/>
          <w:szCs w:val="24"/>
          <w:shd w:val="clear" w:color="auto" w:fill="FFFFFF"/>
          <w:lang w:val="en-IN"/>
        </w:rPr>
        <w:t xml:space="preserve">Coulibaly, I., &amp; </w:t>
      </w:r>
      <w:proofErr w:type="spellStart"/>
      <w:r w:rsidRPr="009A7559">
        <w:rPr>
          <w:rFonts w:ascii="Times New Roman" w:hAnsi="Times New Roman" w:cs="Times New Roman"/>
          <w:color w:val="222222"/>
          <w:sz w:val="24"/>
          <w:szCs w:val="24"/>
          <w:shd w:val="clear" w:color="auto" w:fill="FFFFFF"/>
          <w:lang w:val="en-IN"/>
        </w:rPr>
        <w:t>Gnimassoun</w:t>
      </w:r>
      <w:proofErr w:type="spellEnd"/>
      <w:r w:rsidRPr="009A7559">
        <w:rPr>
          <w:rFonts w:ascii="Times New Roman" w:hAnsi="Times New Roman" w:cs="Times New Roman"/>
          <w:color w:val="222222"/>
          <w:sz w:val="24"/>
          <w:szCs w:val="24"/>
          <w:shd w:val="clear" w:color="auto" w:fill="FFFFFF"/>
          <w:lang w:val="en-IN"/>
        </w:rPr>
        <w:t xml:space="preserve">, B. (2013). Optimality of a monetary union: New evidence from exchange rate misalignments in West Africa. </w:t>
      </w:r>
      <w:r w:rsidRPr="009A7559">
        <w:rPr>
          <w:rFonts w:ascii="Times New Roman" w:hAnsi="Times New Roman" w:cs="Times New Roman"/>
          <w:color w:val="222222"/>
          <w:sz w:val="24"/>
          <w:szCs w:val="24"/>
          <w:shd w:val="clear" w:color="auto" w:fill="FFFFFF"/>
          <w:lang w:val="pt-BR"/>
        </w:rPr>
        <w:t xml:space="preserve">Economic Modelling, 32, 463-482. </w:t>
      </w:r>
      <w:r>
        <w:rPr>
          <w:rFonts w:ascii="Times New Roman" w:hAnsi="Times New Roman" w:cs="Times New Roman"/>
          <w:color w:val="222222"/>
          <w:sz w:val="24"/>
          <w:szCs w:val="24"/>
          <w:shd w:val="clear" w:color="auto" w:fill="FFFFFF"/>
          <w:lang w:val="pt-BR"/>
        </w:rPr>
        <w:fldChar w:fldCharType="begin"/>
      </w:r>
      <w:r>
        <w:rPr>
          <w:rFonts w:ascii="Times New Roman" w:hAnsi="Times New Roman" w:cs="Times New Roman"/>
          <w:color w:val="222222"/>
          <w:sz w:val="24"/>
          <w:szCs w:val="24"/>
          <w:shd w:val="clear" w:color="auto" w:fill="FFFFFF"/>
          <w:lang w:val="pt-BR"/>
        </w:rPr>
        <w:instrText xml:space="preserve"> HYPERLINK "</w:instrText>
      </w:r>
      <w:r w:rsidRPr="009A7559">
        <w:rPr>
          <w:rFonts w:ascii="Times New Roman" w:hAnsi="Times New Roman" w:cs="Times New Roman"/>
          <w:color w:val="222222"/>
          <w:sz w:val="24"/>
          <w:szCs w:val="24"/>
          <w:shd w:val="clear" w:color="auto" w:fill="FFFFFF"/>
          <w:lang w:val="pt-BR"/>
        </w:rPr>
        <w:instrText>https://doi.org/10.1016/j.econmod.2013.02.038</w:instrText>
      </w:r>
      <w:r>
        <w:rPr>
          <w:rFonts w:ascii="Times New Roman" w:hAnsi="Times New Roman" w:cs="Times New Roman"/>
          <w:color w:val="222222"/>
          <w:sz w:val="24"/>
          <w:szCs w:val="24"/>
          <w:shd w:val="clear" w:color="auto" w:fill="FFFFFF"/>
          <w:lang w:val="pt-BR"/>
        </w:rPr>
        <w:instrText xml:space="preserve">" </w:instrText>
      </w:r>
      <w:r>
        <w:rPr>
          <w:rFonts w:ascii="Times New Roman" w:hAnsi="Times New Roman" w:cs="Times New Roman"/>
          <w:color w:val="222222"/>
          <w:sz w:val="24"/>
          <w:szCs w:val="24"/>
          <w:shd w:val="clear" w:color="auto" w:fill="FFFFFF"/>
          <w:lang w:val="pt-BR"/>
        </w:rPr>
        <w:fldChar w:fldCharType="separate"/>
      </w:r>
      <w:r w:rsidRPr="009A7559">
        <w:rPr>
          <w:rStyle w:val="Hyperlink"/>
          <w:rFonts w:ascii="Times New Roman" w:hAnsi="Times New Roman" w:cs="Times New Roman"/>
          <w:sz w:val="24"/>
          <w:szCs w:val="24"/>
          <w:shd w:val="clear" w:color="auto" w:fill="FFFFFF"/>
          <w:lang w:val="en-IN"/>
        </w:rPr>
        <w:t>https://doi.org/10.1016/j.econmod.2013.02.038</w:t>
      </w:r>
      <w:r>
        <w:rPr>
          <w:rFonts w:ascii="Times New Roman" w:hAnsi="Times New Roman" w:cs="Times New Roman"/>
          <w:color w:val="222222"/>
          <w:sz w:val="24"/>
          <w:szCs w:val="24"/>
          <w:shd w:val="clear" w:color="auto" w:fill="FFFFFF"/>
          <w:lang w:val="pt-BR"/>
        </w:rPr>
        <w:fldChar w:fldCharType="end"/>
      </w:r>
    </w:p>
    <w:p w14:paraId="578E4981" w14:textId="0C4A8091"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Du, Z. (2011). The relationship between prediction accuracy and correlation coefficient. Solar Physics, 270(1), 407-416. </w:t>
      </w:r>
      <w:hyperlink r:id="rId25" w:history="1">
        <w:r w:rsidRPr="00554C17">
          <w:rPr>
            <w:rStyle w:val="Hyperlink"/>
            <w:rFonts w:ascii="Times New Roman" w:hAnsi="Times New Roman" w:cs="Times New Roman"/>
            <w:sz w:val="24"/>
            <w:szCs w:val="24"/>
            <w:shd w:val="clear" w:color="auto" w:fill="FFFFFF"/>
            <w:lang w:val="en-US"/>
          </w:rPr>
          <w:t>https://doi.org/10.1007/s11207-011-9720-y</w:t>
        </w:r>
      </w:hyperlink>
    </w:p>
    <w:p w14:paraId="3C7CD3BC" w14:textId="1E407F25"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Frankel, J. A. (1999). No single currency regime is right for all countries or at all times. NBER Working Paper No. 7338. </w:t>
      </w:r>
      <w:hyperlink r:id="rId26" w:history="1">
        <w:r w:rsidRPr="00554C17">
          <w:rPr>
            <w:rStyle w:val="Hyperlink"/>
            <w:rFonts w:ascii="Times New Roman" w:hAnsi="Times New Roman" w:cs="Times New Roman"/>
            <w:sz w:val="24"/>
            <w:szCs w:val="24"/>
            <w:shd w:val="clear" w:color="auto" w:fill="FFFFFF"/>
            <w:lang w:val="en-US"/>
          </w:rPr>
          <w:t>https://doi.org/10.3386/w7338</w:t>
        </w:r>
      </w:hyperlink>
    </w:p>
    <w:p w14:paraId="1092E938" w14:textId="68FC0305"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Frankel, J. A., &amp; Rose, A. K. (1998). The endogeneity of the optimum currency area criteria. The Economic Journal, 108(449), 1009-1025. </w:t>
      </w:r>
      <w:hyperlink r:id="rId27" w:history="1">
        <w:r w:rsidRPr="00554C17">
          <w:rPr>
            <w:rStyle w:val="Hyperlink"/>
            <w:rFonts w:ascii="Times New Roman" w:hAnsi="Times New Roman" w:cs="Times New Roman"/>
            <w:sz w:val="24"/>
            <w:szCs w:val="24"/>
            <w:shd w:val="clear" w:color="auto" w:fill="FFFFFF"/>
            <w:lang w:val="en-US"/>
          </w:rPr>
          <w:t>https://doi.org/10.1111/1468-0297.00327</w:t>
        </w:r>
      </w:hyperlink>
    </w:p>
    <w:p w14:paraId="792BA237" w14:textId="7B97AF93"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Hill, T. D., Davis, A. P., </w:t>
      </w:r>
      <w:proofErr w:type="spellStart"/>
      <w:r w:rsidRPr="009A7559">
        <w:rPr>
          <w:rFonts w:ascii="Times New Roman" w:hAnsi="Times New Roman" w:cs="Times New Roman"/>
          <w:color w:val="222222"/>
          <w:sz w:val="24"/>
          <w:szCs w:val="24"/>
          <w:shd w:val="clear" w:color="auto" w:fill="FFFFFF"/>
          <w:lang w:val="en-US"/>
        </w:rPr>
        <w:t>Roos</w:t>
      </w:r>
      <w:proofErr w:type="spellEnd"/>
      <w:r w:rsidRPr="009A7559">
        <w:rPr>
          <w:rFonts w:ascii="Times New Roman" w:hAnsi="Times New Roman" w:cs="Times New Roman"/>
          <w:color w:val="222222"/>
          <w:sz w:val="24"/>
          <w:szCs w:val="24"/>
          <w:shd w:val="clear" w:color="auto" w:fill="FFFFFF"/>
          <w:lang w:val="en-US"/>
        </w:rPr>
        <w:t xml:space="preserve">, J. M., &amp; French, M. T. (2020). Limitations of fixed-effects models for panel data. Sociological Perspectives, 63(3), 357-369. </w:t>
      </w:r>
      <w:hyperlink r:id="rId28" w:history="1">
        <w:r w:rsidRPr="00554C17">
          <w:rPr>
            <w:rStyle w:val="Hyperlink"/>
            <w:rFonts w:ascii="Times New Roman" w:hAnsi="Times New Roman" w:cs="Times New Roman"/>
            <w:sz w:val="24"/>
            <w:szCs w:val="24"/>
            <w:shd w:val="clear" w:color="auto" w:fill="FFFFFF"/>
            <w:lang w:val="en-US"/>
          </w:rPr>
          <w:t>https://doi.org/10.1177/0731121419863785</w:t>
        </w:r>
      </w:hyperlink>
    </w:p>
    <w:p w14:paraId="3411DAB6" w14:textId="5A96F4A5"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proofErr w:type="spellStart"/>
      <w:r w:rsidRPr="009A7559">
        <w:rPr>
          <w:rFonts w:ascii="Times New Roman" w:hAnsi="Times New Roman" w:cs="Times New Roman"/>
          <w:color w:val="222222"/>
          <w:sz w:val="24"/>
          <w:szCs w:val="24"/>
          <w:shd w:val="clear" w:color="auto" w:fill="FFFFFF"/>
          <w:lang w:val="en-US"/>
        </w:rPr>
        <w:lastRenderedPageBreak/>
        <w:t>Hjalmarsson</w:t>
      </w:r>
      <w:proofErr w:type="spellEnd"/>
      <w:r w:rsidRPr="009A7559">
        <w:rPr>
          <w:rFonts w:ascii="Times New Roman" w:hAnsi="Times New Roman" w:cs="Times New Roman"/>
          <w:color w:val="222222"/>
          <w:sz w:val="24"/>
          <w:szCs w:val="24"/>
          <w:shd w:val="clear" w:color="auto" w:fill="FFFFFF"/>
          <w:lang w:val="en-US"/>
        </w:rPr>
        <w:t xml:space="preserve">, E., &amp; </w:t>
      </w:r>
      <w:proofErr w:type="spellStart"/>
      <w:r w:rsidRPr="009A7559">
        <w:rPr>
          <w:rFonts w:ascii="Times New Roman" w:hAnsi="Times New Roman" w:cs="Times New Roman"/>
          <w:color w:val="222222"/>
          <w:sz w:val="24"/>
          <w:szCs w:val="24"/>
          <w:shd w:val="clear" w:color="auto" w:fill="FFFFFF"/>
          <w:lang w:val="en-US"/>
        </w:rPr>
        <w:t>Österholm</w:t>
      </w:r>
      <w:proofErr w:type="spellEnd"/>
      <w:r w:rsidRPr="009A7559">
        <w:rPr>
          <w:rFonts w:ascii="Times New Roman" w:hAnsi="Times New Roman" w:cs="Times New Roman"/>
          <w:color w:val="222222"/>
          <w:sz w:val="24"/>
          <w:szCs w:val="24"/>
          <w:shd w:val="clear" w:color="auto" w:fill="FFFFFF"/>
          <w:lang w:val="en-US"/>
        </w:rPr>
        <w:t xml:space="preserve">, P. (2010). Testing for cointegration using the Johansen methodology when variables are near-integrated: size distortions and partial remedies. Empirical Economics, 39(1), 51-76. </w:t>
      </w:r>
      <w:hyperlink r:id="rId29" w:history="1">
        <w:r w:rsidRPr="00554C17">
          <w:rPr>
            <w:rStyle w:val="Hyperlink"/>
            <w:rFonts w:ascii="Times New Roman" w:hAnsi="Times New Roman" w:cs="Times New Roman"/>
            <w:sz w:val="24"/>
            <w:szCs w:val="24"/>
            <w:shd w:val="clear" w:color="auto" w:fill="FFFFFF"/>
            <w:lang w:val="en-US"/>
          </w:rPr>
          <w:t>https://doi.org/10.1007/s00181-009-0294-6</w:t>
        </w:r>
      </w:hyperlink>
    </w:p>
    <w:p w14:paraId="60BBE040" w14:textId="626822B6"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Kaiser, R., &amp; </w:t>
      </w:r>
      <w:proofErr w:type="spellStart"/>
      <w:r w:rsidRPr="009A7559">
        <w:rPr>
          <w:rFonts w:ascii="Times New Roman" w:hAnsi="Times New Roman" w:cs="Times New Roman"/>
          <w:color w:val="222222"/>
          <w:sz w:val="24"/>
          <w:szCs w:val="24"/>
          <w:shd w:val="clear" w:color="auto" w:fill="FFFFFF"/>
          <w:lang w:val="en-US"/>
        </w:rPr>
        <w:t>Maravall</w:t>
      </w:r>
      <w:proofErr w:type="spellEnd"/>
      <w:r w:rsidRPr="009A7559">
        <w:rPr>
          <w:rFonts w:ascii="Times New Roman" w:hAnsi="Times New Roman" w:cs="Times New Roman"/>
          <w:color w:val="222222"/>
          <w:sz w:val="24"/>
          <w:szCs w:val="24"/>
          <w:shd w:val="clear" w:color="auto" w:fill="FFFFFF"/>
          <w:lang w:val="en-US"/>
        </w:rPr>
        <w:t xml:space="preserve">, A. (1999). Estimation of the business cycle: A modified </w:t>
      </w:r>
      <w:proofErr w:type="spellStart"/>
      <w:r w:rsidRPr="009A7559">
        <w:rPr>
          <w:rFonts w:ascii="Times New Roman" w:hAnsi="Times New Roman" w:cs="Times New Roman"/>
          <w:color w:val="222222"/>
          <w:sz w:val="24"/>
          <w:szCs w:val="24"/>
          <w:shd w:val="clear" w:color="auto" w:fill="FFFFFF"/>
          <w:lang w:val="en-US"/>
        </w:rPr>
        <w:t>Hodrick</w:t>
      </w:r>
      <w:proofErr w:type="spellEnd"/>
      <w:r w:rsidRPr="009A7559">
        <w:rPr>
          <w:rFonts w:ascii="Times New Roman" w:hAnsi="Times New Roman" w:cs="Times New Roman"/>
          <w:color w:val="222222"/>
          <w:sz w:val="24"/>
          <w:szCs w:val="24"/>
          <w:shd w:val="clear" w:color="auto" w:fill="FFFFFF"/>
          <w:lang w:val="en-US"/>
        </w:rPr>
        <w:t xml:space="preserve">-Prescott filter. Spanish Economic Review, 1(2), 175-206. </w:t>
      </w:r>
      <w:hyperlink r:id="rId30" w:history="1">
        <w:r w:rsidRPr="00554C17">
          <w:rPr>
            <w:rStyle w:val="Hyperlink"/>
            <w:rFonts w:ascii="Times New Roman" w:hAnsi="Times New Roman" w:cs="Times New Roman"/>
            <w:sz w:val="24"/>
            <w:szCs w:val="24"/>
            <w:shd w:val="clear" w:color="auto" w:fill="FFFFFF"/>
            <w:lang w:val="en-US"/>
          </w:rPr>
          <w:t>https://doi.org/10.1007/s101080050008</w:t>
        </w:r>
      </w:hyperlink>
    </w:p>
    <w:p w14:paraId="7C13A90A" w14:textId="011C343B"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Keating, J. W. (2013). What do we learn from Blanchard and Quah decompositions of output if aggregate demand may not be long-run </w:t>
      </w:r>
      <w:proofErr w:type="gramStart"/>
      <w:r w:rsidRPr="009A7559">
        <w:rPr>
          <w:rFonts w:ascii="Times New Roman" w:hAnsi="Times New Roman" w:cs="Times New Roman"/>
          <w:color w:val="222222"/>
          <w:sz w:val="24"/>
          <w:szCs w:val="24"/>
          <w:shd w:val="clear" w:color="auto" w:fill="FFFFFF"/>
          <w:lang w:val="en-US"/>
        </w:rPr>
        <w:t>neutral?.</w:t>
      </w:r>
      <w:proofErr w:type="gramEnd"/>
      <w:r w:rsidRPr="009A7559">
        <w:rPr>
          <w:rFonts w:ascii="Times New Roman" w:hAnsi="Times New Roman" w:cs="Times New Roman"/>
          <w:color w:val="222222"/>
          <w:sz w:val="24"/>
          <w:szCs w:val="24"/>
          <w:shd w:val="clear" w:color="auto" w:fill="FFFFFF"/>
          <w:lang w:val="en-US"/>
        </w:rPr>
        <w:t xml:space="preserve"> Journal of Macroeconomics, 38, 203-217. </w:t>
      </w:r>
      <w:hyperlink r:id="rId31" w:history="1">
        <w:r w:rsidRPr="00554C17">
          <w:rPr>
            <w:rStyle w:val="Hyperlink"/>
            <w:rFonts w:ascii="Times New Roman" w:hAnsi="Times New Roman" w:cs="Times New Roman"/>
            <w:sz w:val="24"/>
            <w:szCs w:val="24"/>
            <w:shd w:val="clear" w:color="auto" w:fill="FFFFFF"/>
            <w:lang w:val="en-US"/>
          </w:rPr>
          <w:t>https://doi.org/10.1016/j.jmacro.2013.07.007</w:t>
        </w:r>
      </w:hyperlink>
    </w:p>
    <w:p w14:paraId="49A254AD" w14:textId="36547089"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proofErr w:type="spellStart"/>
      <w:r w:rsidRPr="009A7559">
        <w:rPr>
          <w:rFonts w:ascii="Times New Roman" w:hAnsi="Times New Roman" w:cs="Times New Roman"/>
          <w:color w:val="222222"/>
          <w:sz w:val="24"/>
          <w:szCs w:val="24"/>
          <w:shd w:val="clear" w:color="auto" w:fill="FFFFFF"/>
          <w:lang w:val="en-US"/>
        </w:rPr>
        <w:t>Kenen</w:t>
      </w:r>
      <w:proofErr w:type="spellEnd"/>
      <w:r w:rsidRPr="009A7559">
        <w:rPr>
          <w:rFonts w:ascii="Times New Roman" w:hAnsi="Times New Roman" w:cs="Times New Roman"/>
          <w:color w:val="222222"/>
          <w:sz w:val="24"/>
          <w:szCs w:val="24"/>
          <w:shd w:val="clear" w:color="auto" w:fill="FFFFFF"/>
          <w:lang w:val="en-US"/>
        </w:rPr>
        <w:t xml:space="preserve">, P. B. (1969). The international position of the dollar in a changing world. International Organization, 23(3), 705-718. </w:t>
      </w:r>
      <w:hyperlink r:id="rId32" w:history="1">
        <w:r w:rsidRPr="00554C17">
          <w:rPr>
            <w:rStyle w:val="Hyperlink"/>
            <w:rFonts w:ascii="Times New Roman" w:hAnsi="Times New Roman" w:cs="Times New Roman"/>
            <w:sz w:val="24"/>
            <w:szCs w:val="24"/>
            <w:shd w:val="clear" w:color="auto" w:fill="FFFFFF"/>
            <w:lang w:val="en-US"/>
          </w:rPr>
          <w:t>https://doi.org/10.1017/S002081830001403X</w:t>
        </w:r>
      </w:hyperlink>
    </w:p>
    <w:p w14:paraId="44377261" w14:textId="501BF57B"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proofErr w:type="spellStart"/>
      <w:r w:rsidRPr="009A7559">
        <w:rPr>
          <w:rFonts w:ascii="Times New Roman" w:hAnsi="Times New Roman" w:cs="Times New Roman"/>
          <w:color w:val="222222"/>
          <w:sz w:val="24"/>
          <w:szCs w:val="24"/>
          <w:shd w:val="clear" w:color="auto" w:fill="FFFFFF"/>
          <w:lang w:val="en-US"/>
        </w:rPr>
        <w:t>Kenen</w:t>
      </w:r>
      <w:proofErr w:type="spellEnd"/>
      <w:r w:rsidRPr="009A7559">
        <w:rPr>
          <w:rFonts w:ascii="Times New Roman" w:hAnsi="Times New Roman" w:cs="Times New Roman"/>
          <w:color w:val="222222"/>
          <w:sz w:val="24"/>
          <w:szCs w:val="24"/>
          <w:shd w:val="clear" w:color="auto" w:fill="FFFFFF"/>
          <w:lang w:val="en-US"/>
        </w:rPr>
        <w:t xml:space="preserve">, P. B. (1985). Macroeconomic theory and policy: How the closed economy was opened. In R. W. Jones &amp; P. B. </w:t>
      </w:r>
      <w:proofErr w:type="spellStart"/>
      <w:r w:rsidRPr="009A7559">
        <w:rPr>
          <w:rFonts w:ascii="Times New Roman" w:hAnsi="Times New Roman" w:cs="Times New Roman"/>
          <w:color w:val="222222"/>
          <w:sz w:val="24"/>
          <w:szCs w:val="24"/>
          <w:shd w:val="clear" w:color="auto" w:fill="FFFFFF"/>
          <w:lang w:val="en-US"/>
        </w:rPr>
        <w:t>Kenen</w:t>
      </w:r>
      <w:proofErr w:type="spellEnd"/>
      <w:r w:rsidRPr="009A7559">
        <w:rPr>
          <w:rFonts w:ascii="Times New Roman" w:hAnsi="Times New Roman" w:cs="Times New Roman"/>
          <w:color w:val="222222"/>
          <w:sz w:val="24"/>
          <w:szCs w:val="24"/>
          <w:shd w:val="clear" w:color="auto" w:fill="FFFFFF"/>
          <w:lang w:val="en-US"/>
        </w:rPr>
        <w:t xml:space="preserve"> (Eds.), Handbook of international economics (Vol. 2, pp. 625-677). Elsevier. </w:t>
      </w:r>
      <w:hyperlink r:id="rId33" w:history="1">
        <w:r w:rsidRPr="00554C17">
          <w:rPr>
            <w:rStyle w:val="Hyperlink"/>
            <w:rFonts w:ascii="Times New Roman" w:hAnsi="Times New Roman" w:cs="Times New Roman"/>
            <w:sz w:val="24"/>
            <w:szCs w:val="24"/>
            <w:shd w:val="clear" w:color="auto" w:fill="FFFFFF"/>
            <w:lang w:val="en-US"/>
          </w:rPr>
          <w:t>https://doi.org/10.1016/S1573-4404(85)80009-X</w:t>
        </w:r>
      </w:hyperlink>
    </w:p>
    <w:p w14:paraId="00DE5E1E" w14:textId="4F427962" w:rsidR="00071923" w:rsidRPr="00572A5C" w:rsidRDefault="00071923" w:rsidP="00071923">
      <w:pPr>
        <w:spacing w:line="240" w:lineRule="auto"/>
        <w:jc w:val="both"/>
        <w:rPr>
          <w:rFonts w:ascii="Times New Roman" w:hAnsi="Times New Roman" w:cs="Times New Roman"/>
          <w:color w:val="222222"/>
          <w:sz w:val="24"/>
          <w:szCs w:val="24"/>
          <w:shd w:val="clear" w:color="auto" w:fill="FFFFFF"/>
          <w:lang w:val="en-US"/>
        </w:rPr>
      </w:pPr>
      <w:proofErr w:type="spellStart"/>
      <w:r w:rsidRPr="00572A5C">
        <w:rPr>
          <w:rFonts w:ascii="Times New Roman" w:hAnsi="Times New Roman" w:cs="Times New Roman"/>
          <w:color w:val="222222"/>
          <w:sz w:val="24"/>
          <w:szCs w:val="24"/>
          <w:shd w:val="clear" w:color="auto" w:fill="FFFFFF"/>
          <w:lang w:val="en-US"/>
        </w:rPr>
        <w:t>Kenen</w:t>
      </w:r>
      <w:proofErr w:type="spellEnd"/>
      <w:r w:rsidRPr="00572A5C">
        <w:rPr>
          <w:rFonts w:ascii="Times New Roman" w:hAnsi="Times New Roman" w:cs="Times New Roman"/>
          <w:color w:val="222222"/>
          <w:sz w:val="24"/>
          <w:szCs w:val="24"/>
          <w:shd w:val="clear" w:color="auto" w:fill="FFFFFF"/>
          <w:lang w:val="en-US"/>
        </w:rPr>
        <w:t>, Peter B. "Common currencies versus currency areas." </w:t>
      </w:r>
      <w:r w:rsidRPr="00572A5C">
        <w:rPr>
          <w:rFonts w:ascii="Times New Roman" w:hAnsi="Times New Roman" w:cs="Times New Roman"/>
          <w:i/>
          <w:iCs/>
          <w:color w:val="222222"/>
          <w:sz w:val="24"/>
          <w:szCs w:val="24"/>
          <w:shd w:val="clear" w:color="auto" w:fill="FFFFFF"/>
          <w:lang w:val="en-US"/>
        </w:rPr>
        <w:t>American Economic Review</w:t>
      </w:r>
      <w:r w:rsidRPr="00572A5C">
        <w:rPr>
          <w:rFonts w:ascii="Times New Roman" w:hAnsi="Times New Roman" w:cs="Times New Roman"/>
          <w:color w:val="222222"/>
          <w:sz w:val="24"/>
          <w:szCs w:val="24"/>
          <w:shd w:val="clear" w:color="auto" w:fill="FFFFFF"/>
          <w:lang w:val="en-US"/>
        </w:rPr>
        <w:t> 87.2 (1997).</w:t>
      </w:r>
    </w:p>
    <w:p w14:paraId="3999C4D5" w14:textId="7002D91B"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pt-BR"/>
        </w:rPr>
        <w:t xml:space="preserve">Matsumoto, A., Merlone, U., &amp; Szidarovszky, F. (2012). </w:t>
      </w:r>
      <w:r w:rsidRPr="009A7559">
        <w:rPr>
          <w:rFonts w:ascii="Times New Roman" w:hAnsi="Times New Roman" w:cs="Times New Roman"/>
          <w:color w:val="222222"/>
          <w:sz w:val="24"/>
          <w:szCs w:val="24"/>
          <w:shd w:val="clear" w:color="auto" w:fill="FFFFFF"/>
          <w:lang w:val="en-US"/>
        </w:rPr>
        <w:t xml:space="preserve">Some notes on applying the Herfindahl–Hirschman Index. Applied Economics Letters, 19(2), 181-184. </w:t>
      </w:r>
      <w:hyperlink r:id="rId34" w:history="1">
        <w:r w:rsidRPr="00554C17">
          <w:rPr>
            <w:rStyle w:val="Hyperlink"/>
            <w:rFonts w:ascii="Times New Roman" w:hAnsi="Times New Roman" w:cs="Times New Roman"/>
            <w:sz w:val="24"/>
            <w:szCs w:val="24"/>
            <w:shd w:val="clear" w:color="auto" w:fill="FFFFFF"/>
            <w:lang w:val="en-US"/>
          </w:rPr>
          <w:t>https://doi.org/10.1080/13504851.2011.570705</w:t>
        </w:r>
      </w:hyperlink>
    </w:p>
    <w:p w14:paraId="354D3D14" w14:textId="1B3654D6"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McKinnon, R. (2002). Optimum currency areas and the European experience. Economics of Transition, 10(2), 343-364. </w:t>
      </w:r>
      <w:hyperlink r:id="rId35" w:history="1">
        <w:r w:rsidRPr="00554C17">
          <w:rPr>
            <w:rStyle w:val="Hyperlink"/>
            <w:rFonts w:ascii="Times New Roman" w:hAnsi="Times New Roman" w:cs="Times New Roman"/>
            <w:sz w:val="24"/>
            <w:szCs w:val="24"/>
            <w:shd w:val="clear" w:color="auto" w:fill="FFFFFF"/>
            <w:lang w:val="en-US"/>
          </w:rPr>
          <w:t>https://doi.org/10.1111/1468-0351.00115</w:t>
        </w:r>
      </w:hyperlink>
    </w:p>
    <w:p w14:paraId="5BF64DA2" w14:textId="18D7D55F" w:rsidR="009A7559" w:rsidRPr="009A7559" w:rsidRDefault="009A7559" w:rsidP="00071923">
      <w:pPr>
        <w:spacing w:line="240" w:lineRule="auto"/>
        <w:jc w:val="both"/>
        <w:rPr>
          <w:rFonts w:ascii="Times New Roman" w:hAnsi="Times New Roman" w:cs="Times New Roman"/>
          <w:color w:val="222222"/>
          <w:sz w:val="24"/>
          <w:szCs w:val="24"/>
          <w:shd w:val="clear" w:color="auto" w:fill="FFFFFF"/>
          <w:lang w:val="en-IN"/>
        </w:rPr>
      </w:pPr>
      <w:r w:rsidRPr="009A7559">
        <w:rPr>
          <w:rFonts w:ascii="Times New Roman" w:hAnsi="Times New Roman" w:cs="Times New Roman"/>
          <w:color w:val="222222"/>
          <w:sz w:val="24"/>
          <w:szCs w:val="24"/>
          <w:shd w:val="clear" w:color="auto" w:fill="FFFFFF"/>
          <w:lang w:val="en-US"/>
        </w:rPr>
        <w:t xml:space="preserve">Mundell, R. (1961). Flexible exchange rates and employment policy. </w:t>
      </w:r>
      <w:r w:rsidRPr="009A7559">
        <w:rPr>
          <w:rFonts w:ascii="Times New Roman" w:hAnsi="Times New Roman" w:cs="Times New Roman"/>
          <w:color w:val="222222"/>
          <w:sz w:val="24"/>
          <w:szCs w:val="24"/>
          <w:shd w:val="clear" w:color="auto" w:fill="FFFFFF"/>
        </w:rPr>
        <w:t xml:space="preserve">Canadian Journal of </w:t>
      </w:r>
      <w:proofErr w:type="spellStart"/>
      <w:r w:rsidRPr="009A7559">
        <w:rPr>
          <w:rFonts w:ascii="Times New Roman" w:hAnsi="Times New Roman" w:cs="Times New Roman"/>
          <w:color w:val="222222"/>
          <w:sz w:val="24"/>
          <w:szCs w:val="24"/>
          <w:shd w:val="clear" w:color="auto" w:fill="FFFFFF"/>
        </w:rPr>
        <w:t>Economics</w:t>
      </w:r>
      <w:proofErr w:type="spellEnd"/>
      <w:r w:rsidRPr="009A7559">
        <w:rPr>
          <w:rFonts w:ascii="Times New Roman" w:hAnsi="Times New Roman" w:cs="Times New Roman"/>
          <w:color w:val="222222"/>
          <w:sz w:val="24"/>
          <w:szCs w:val="24"/>
          <w:shd w:val="clear" w:color="auto" w:fill="FFFFFF"/>
        </w:rPr>
        <w:t xml:space="preserve"> and </w:t>
      </w:r>
      <w:proofErr w:type="spellStart"/>
      <w:r w:rsidRPr="009A7559">
        <w:rPr>
          <w:rFonts w:ascii="Times New Roman" w:hAnsi="Times New Roman" w:cs="Times New Roman"/>
          <w:color w:val="222222"/>
          <w:sz w:val="24"/>
          <w:szCs w:val="24"/>
          <w:shd w:val="clear" w:color="auto" w:fill="FFFFFF"/>
        </w:rPr>
        <w:t>Political</w:t>
      </w:r>
      <w:proofErr w:type="spellEnd"/>
      <w:r w:rsidRPr="009A7559">
        <w:rPr>
          <w:rFonts w:ascii="Times New Roman" w:hAnsi="Times New Roman" w:cs="Times New Roman"/>
          <w:color w:val="222222"/>
          <w:sz w:val="24"/>
          <w:szCs w:val="24"/>
          <w:shd w:val="clear" w:color="auto" w:fill="FFFFFF"/>
        </w:rPr>
        <w:t xml:space="preserve"> Science/Revue canadienne de </w:t>
      </w:r>
      <w:proofErr w:type="spellStart"/>
      <w:r w:rsidRPr="009A7559">
        <w:rPr>
          <w:rFonts w:ascii="Times New Roman" w:hAnsi="Times New Roman" w:cs="Times New Roman"/>
          <w:color w:val="222222"/>
          <w:sz w:val="24"/>
          <w:szCs w:val="24"/>
          <w:shd w:val="clear" w:color="auto" w:fill="FFFFFF"/>
        </w:rPr>
        <w:t>economiques</w:t>
      </w:r>
      <w:proofErr w:type="spellEnd"/>
      <w:r w:rsidRPr="009A7559">
        <w:rPr>
          <w:rFonts w:ascii="Times New Roman" w:hAnsi="Times New Roman" w:cs="Times New Roman"/>
          <w:color w:val="222222"/>
          <w:sz w:val="24"/>
          <w:szCs w:val="24"/>
          <w:shd w:val="clear" w:color="auto" w:fill="FFFFFF"/>
        </w:rPr>
        <w:t xml:space="preserve"> et science politique, 27(4), 509-517. </w:t>
      </w:r>
      <w:hyperlink r:id="rId36" w:history="1">
        <w:r w:rsidRPr="009A7559">
          <w:rPr>
            <w:rStyle w:val="Hyperlink"/>
            <w:rFonts w:ascii="Times New Roman" w:hAnsi="Times New Roman" w:cs="Times New Roman"/>
            <w:sz w:val="24"/>
            <w:szCs w:val="24"/>
            <w:shd w:val="clear" w:color="auto" w:fill="FFFFFF"/>
            <w:lang w:val="en-IN"/>
          </w:rPr>
          <w:t>https://doi.org/10.2307/139437</w:t>
        </w:r>
      </w:hyperlink>
    </w:p>
    <w:p w14:paraId="1C14FEF4" w14:textId="6AD9D972" w:rsidR="009A7559" w:rsidRDefault="009A7559" w:rsidP="00071923">
      <w:pPr>
        <w:spacing w:line="240" w:lineRule="auto"/>
        <w:jc w:val="both"/>
        <w:rPr>
          <w:rFonts w:ascii="Times New Roman" w:hAnsi="Times New Roman" w:cs="Times New Roman"/>
          <w:bCs/>
          <w:sz w:val="24"/>
          <w:szCs w:val="24"/>
          <w:lang w:val="en-IN"/>
        </w:rPr>
      </w:pPr>
      <w:r w:rsidRPr="009A7559">
        <w:rPr>
          <w:rFonts w:ascii="Times New Roman" w:hAnsi="Times New Roman" w:cs="Times New Roman"/>
          <w:b/>
          <w:bCs/>
          <w:sz w:val="24"/>
          <w:szCs w:val="24"/>
          <w:lang w:val="en-IN"/>
        </w:rPr>
        <w:t xml:space="preserve">Mundell, R. A. (1961). A theory of optimum currency areas. The American Economic Review, 51(4), 657-665. </w:t>
      </w:r>
      <w:hyperlink r:id="rId37" w:history="1">
        <w:r w:rsidRPr="00554C17">
          <w:rPr>
            <w:rStyle w:val="Hyperlink"/>
            <w:rFonts w:ascii="Times New Roman" w:hAnsi="Times New Roman" w:cs="Times New Roman"/>
            <w:b/>
            <w:bCs/>
            <w:sz w:val="24"/>
            <w:szCs w:val="24"/>
            <w:lang w:val="en-IN"/>
          </w:rPr>
          <w:t>https://www.jstor.org/stable/</w:t>
        </w:r>
        <w:r w:rsidRPr="00554C17">
          <w:rPr>
            <w:rStyle w:val="Hyperlink"/>
            <w:rFonts w:ascii="Times New Roman" w:hAnsi="Times New Roman" w:cs="Times New Roman"/>
            <w:bCs/>
            <w:sz w:val="24"/>
            <w:szCs w:val="24"/>
            <w:lang w:val="en-IN"/>
          </w:rPr>
          <w:t>1812792</w:t>
        </w:r>
      </w:hyperlink>
    </w:p>
    <w:p w14:paraId="46525756" w14:textId="052CA079" w:rsidR="00071923" w:rsidRPr="005F451E" w:rsidRDefault="00071923"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Mundell</w:t>
      </w:r>
      <w:r w:rsidRPr="00572A5C">
        <w:rPr>
          <w:rFonts w:ascii="Times New Roman" w:hAnsi="Times New Roman" w:cs="Times New Roman"/>
          <w:color w:val="222222"/>
          <w:sz w:val="24"/>
          <w:szCs w:val="24"/>
          <w:shd w:val="clear" w:color="auto" w:fill="FFFFFF"/>
          <w:lang w:val="en-US"/>
        </w:rPr>
        <w:t>, Robert Alexander. "The pure theory of international trade." </w:t>
      </w:r>
      <w:r w:rsidRPr="005F451E">
        <w:rPr>
          <w:rFonts w:ascii="Times New Roman" w:hAnsi="Times New Roman" w:cs="Times New Roman"/>
          <w:i/>
          <w:iCs/>
          <w:color w:val="222222"/>
          <w:sz w:val="24"/>
          <w:szCs w:val="24"/>
          <w:shd w:val="clear" w:color="auto" w:fill="FFFFFF"/>
          <w:lang w:val="en-US"/>
        </w:rPr>
        <w:t>The American Economic Review</w:t>
      </w:r>
      <w:r w:rsidRPr="005F451E">
        <w:rPr>
          <w:rFonts w:ascii="Times New Roman" w:hAnsi="Times New Roman" w:cs="Times New Roman"/>
          <w:color w:val="222222"/>
          <w:sz w:val="24"/>
          <w:szCs w:val="24"/>
          <w:shd w:val="clear" w:color="auto" w:fill="FFFFFF"/>
          <w:lang w:val="en-US"/>
        </w:rPr>
        <w:t> 50.1 (1960): 67-110.</w:t>
      </w:r>
    </w:p>
    <w:p w14:paraId="68553D84" w14:textId="18C6979F"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Mushtaq, R. (2011). Augmented Dickey Fuller Test. Econometrics: Mathematical Methods &amp; Programming </w:t>
      </w:r>
      <w:proofErr w:type="spellStart"/>
      <w:r w:rsidRPr="009A7559">
        <w:rPr>
          <w:rFonts w:ascii="Times New Roman" w:hAnsi="Times New Roman" w:cs="Times New Roman"/>
          <w:color w:val="222222"/>
          <w:sz w:val="24"/>
          <w:szCs w:val="24"/>
          <w:shd w:val="clear" w:color="auto" w:fill="FFFFFF"/>
          <w:lang w:val="en-US"/>
        </w:rPr>
        <w:t>eJournal</w:t>
      </w:r>
      <w:proofErr w:type="spellEnd"/>
      <w:r w:rsidRPr="009A7559">
        <w:rPr>
          <w:rFonts w:ascii="Times New Roman" w:hAnsi="Times New Roman" w:cs="Times New Roman"/>
          <w:color w:val="222222"/>
          <w:sz w:val="24"/>
          <w:szCs w:val="24"/>
          <w:shd w:val="clear" w:color="auto" w:fill="FFFFFF"/>
          <w:lang w:val="en-US"/>
        </w:rPr>
        <w:t xml:space="preserve">. </w:t>
      </w:r>
      <w:hyperlink r:id="rId38" w:history="1">
        <w:r w:rsidRPr="00554C17">
          <w:rPr>
            <w:rStyle w:val="Hyperlink"/>
            <w:rFonts w:ascii="Times New Roman" w:hAnsi="Times New Roman" w:cs="Times New Roman"/>
            <w:sz w:val="24"/>
            <w:szCs w:val="24"/>
            <w:shd w:val="clear" w:color="auto" w:fill="FFFFFF"/>
            <w:lang w:val="en-US"/>
          </w:rPr>
          <w:t>https://doi.org/10.2139/SSRN.1911068</w:t>
        </w:r>
      </w:hyperlink>
    </w:p>
    <w:p w14:paraId="3BC2FDCA" w14:textId="04552F14"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proofErr w:type="spellStart"/>
      <w:r w:rsidRPr="009A7559">
        <w:rPr>
          <w:rFonts w:ascii="Times New Roman" w:hAnsi="Times New Roman" w:cs="Times New Roman"/>
          <w:color w:val="222222"/>
          <w:sz w:val="24"/>
          <w:szCs w:val="24"/>
          <w:shd w:val="clear" w:color="auto" w:fill="FFFFFF"/>
          <w:lang w:val="en-US"/>
        </w:rPr>
        <w:t>Ravn</w:t>
      </w:r>
      <w:proofErr w:type="spellEnd"/>
      <w:r w:rsidRPr="009A7559">
        <w:rPr>
          <w:rFonts w:ascii="Times New Roman" w:hAnsi="Times New Roman" w:cs="Times New Roman"/>
          <w:color w:val="222222"/>
          <w:sz w:val="24"/>
          <w:szCs w:val="24"/>
          <w:shd w:val="clear" w:color="auto" w:fill="FFFFFF"/>
          <w:lang w:val="en-US"/>
        </w:rPr>
        <w:t xml:space="preserve">, M. O., &amp; Uhlig, H. (2002). On adjusting the </w:t>
      </w:r>
      <w:proofErr w:type="spellStart"/>
      <w:r w:rsidRPr="009A7559">
        <w:rPr>
          <w:rFonts w:ascii="Times New Roman" w:hAnsi="Times New Roman" w:cs="Times New Roman"/>
          <w:color w:val="222222"/>
          <w:sz w:val="24"/>
          <w:szCs w:val="24"/>
          <w:shd w:val="clear" w:color="auto" w:fill="FFFFFF"/>
          <w:lang w:val="en-US"/>
        </w:rPr>
        <w:t>Hodrick</w:t>
      </w:r>
      <w:proofErr w:type="spellEnd"/>
      <w:r w:rsidRPr="009A7559">
        <w:rPr>
          <w:rFonts w:ascii="Times New Roman" w:hAnsi="Times New Roman" w:cs="Times New Roman"/>
          <w:color w:val="222222"/>
          <w:sz w:val="24"/>
          <w:szCs w:val="24"/>
          <w:shd w:val="clear" w:color="auto" w:fill="FFFFFF"/>
          <w:lang w:val="en-US"/>
        </w:rPr>
        <w:t xml:space="preserve">-Prescott filter for the frequency of observations. The Review of Economics and Statistics, 84(2), 371-376. </w:t>
      </w:r>
      <w:hyperlink r:id="rId39" w:history="1">
        <w:r w:rsidRPr="00554C17">
          <w:rPr>
            <w:rStyle w:val="Hyperlink"/>
            <w:rFonts w:ascii="Times New Roman" w:hAnsi="Times New Roman" w:cs="Times New Roman"/>
            <w:sz w:val="24"/>
            <w:szCs w:val="24"/>
            <w:shd w:val="clear" w:color="auto" w:fill="FFFFFF"/>
            <w:lang w:val="en-US"/>
          </w:rPr>
          <w:t>https://doi.org/10.1162/003465302317411604</w:t>
        </w:r>
      </w:hyperlink>
    </w:p>
    <w:p w14:paraId="36179345" w14:textId="2DCBB2F1"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Williamson, O. E. (2009). Friedman (1953) and the theory of the firm. In U. </w:t>
      </w:r>
      <w:proofErr w:type="spellStart"/>
      <w:r w:rsidRPr="009A7559">
        <w:rPr>
          <w:rFonts w:ascii="Times New Roman" w:hAnsi="Times New Roman" w:cs="Times New Roman"/>
          <w:color w:val="222222"/>
          <w:sz w:val="24"/>
          <w:szCs w:val="24"/>
          <w:shd w:val="clear" w:color="auto" w:fill="FFFFFF"/>
          <w:lang w:val="en-US"/>
        </w:rPr>
        <w:t>Mäki</w:t>
      </w:r>
      <w:proofErr w:type="spellEnd"/>
      <w:r w:rsidRPr="009A7559">
        <w:rPr>
          <w:rFonts w:ascii="Times New Roman" w:hAnsi="Times New Roman" w:cs="Times New Roman"/>
          <w:color w:val="222222"/>
          <w:sz w:val="24"/>
          <w:szCs w:val="24"/>
          <w:shd w:val="clear" w:color="auto" w:fill="FFFFFF"/>
          <w:lang w:val="en-US"/>
        </w:rPr>
        <w:t xml:space="preserve"> (Ed.), The methodology of positive economics: Reflections on the Milton Friedman legacy (pp. 241-256). Cambridge University Press. </w:t>
      </w:r>
      <w:hyperlink r:id="rId40" w:history="1">
        <w:r w:rsidRPr="00554C17">
          <w:rPr>
            <w:rStyle w:val="Hyperlink"/>
            <w:rFonts w:ascii="Times New Roman" w:hAnsi="Times New Roman" w:cs="Times New Roman"/>
            <w:sz w:val="24"/>
            <w:szCs w:val="24"/>
            <w:shd w:val="clear" w:color="auto" w:fill="FFFFFF"/>
            <w:lang w:val="en-US"/>
          </w:rPr>
          <w:t>https://doi.org/10.1017/CBO9780511581427.011</w:t>
        </w:r>
      </w:hyperlink>
    </w:p>
    <w:p w14:paraId="014ADF20" w14:textId="4FDD81B9" w:rsidR="00071923" w:rsidRPr="009749D2" w:rsidRDefault="009A7559" w:rsidP="009749D2">
      <w:pPr>
        <w:pStyle w:val="font-claude-response-body"/>
        <w:jc w:val="both"/>
        <w:rPr>
          <w:lang w:val="en-US"/>
        </w:rPr>
      </w:pPr>
      <w:proofErr w:type="spellStart"/>
      <w:r w:rsidRPr="009A7559">
        <w:rPr>
          <w:rFonts w:eastAsiaTheme="minorHAnsi"/>
          <w:color w:val="222222"/>
          <w:shd w:val="clear" w:color="auto" w:fill="FFFFFF"/>
          <w:lang w:val="en-US" w:eastAsia="en-US"/>
        </w:rPr>
        <w:t>Xafa</w:t>
      </w:r>
      <w:proofErr w:type="spellEnd"/>
      <w:r w:rsidRPr="009A7559">
        <w:rPr>
          <w:rFonts w:eastAsiaTheme="minorHAnsi"/>
          <w:color w:val="222222"/>
          <w:shd w:val="clear" w:color="auto" w:fill="FFFFFF"/>
          <w:lang w:val="en-US" w:eastAsia="en-US"/>
        </w:rPr>
        <w:t xml:space="preserve">, M. (2021). Robert Mundell, 1932–2021. *World Economics*, *22*(2), 182-190. </w:t>
      </w:r>
      <w:hyperlink r:id="rId41" w:history="1">
        <w:r w:rsidR="00B26CD4" w:rsidRPr="00554C17">
          <w:rPr>
            <w:rStyle w:val="Hyperlink"/>
            <w:rFonts w:eastAsiaTheme="minorHAnsi"/>
            <w:shd w:val="clear" w:color="auto" w:fill="FFFFFF"/>
            <w:lang w:val="en-US" w:eastAsia="en-US"/>
          </w:rPr>
          <w:t>https://www.worldeconomics.com/Journal/Papers/Article.details?ID=836</w:t>
        </w:r>
      </w:hyperlink>
      <w:r w:rsidR="00B26CD4">
        <w:rPr>
          <w:rFonts w:eastAsiaTheme="minorHAnsi"/>
          <w:color w:val="222222"/>
          <w:shd w:val="clear" w:color="auto" w:fill="FFFFFF"/>
          <w:lang w:val="en-US" w:eastAsia="en-US"/>
        </w:rPr>
        <w:t xml:space="preserve"> </w:t>
      </w:r>
    </w:p>
    <w:sectPr w:rsidR="00071923" w:rsidRPr="009749D2" w:rsidSect="00C408C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BCF10" w14:textId="77777777" w:rsidR="009F737A" w:rsidRDefault="009F737A" w:rsidP="00904900">
      <w:pPr>
        <w:spacing w:after="0" w:line="240" w:lineRule="auto"/>
      </w:pPr>
      <w:r>
        <w:separator/>
      </w:r>
    </w:p>
  </w:endnote>
  <w:endnote w:type="continuationSeparator" w:id="0">
    <w:p w14:paraId="2B31B569" w14:textId="77777777" w:rsidR="009F737A" w:rsidRDefault="009F737A" w:rsidP="0090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852DC" w14:textId="77777777" w:rsidR="00904900" w:rsidRDefault="00904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766E" w14:textId="77777777" w:rsidR="00904900" w:rsidRDefault="00904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329E" w14:textId="77777777" w:rsidR="00904900" w:rsidRDefault="00904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4577E" w14:textId="77777777" w:rsidR="009F737A" w:rsidRDefault="009F737A" w:rsidP="00904900">
      <w:pPr>
        <w:spacing w:after="0" w:line="240" w:lineRule="auto"/>
      </w:pPr>
      <w:r>
        <w:separator/>
      </w:r>
    </w:p>
  </w:footnote>
  <w:footnote w:type="continuationSeparator" w:id="0">
    <w:p w14:paraId="5B1C7176" w14:textId="77777777" w:rsidR="009F737A" w:rsidRDefault="009F737A" w:rsidP="00904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FEA7E" w14:textId="2A94FF33" w:rsidR="00904900" w:rsidRDefault="00904900">
    <w:pPr>
      <w:pStyle w:val="Header"/>
    </w:pPr>
    <w:r>
      <w:rPr>
        <w:noProof/>
      </w:rPr>
      <w:pict w14:anchorId="39E53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8246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4629" w14:textId="4B0B67CC" w:rsidR="00904900" w:rsidRDefault="00904900">
    <w:pPr>
      <w:pStyle w:val="Header"/>
    </w:pPr>
    <w:r>
      <w:rPr>
        <w:noProof/>
      </w:rPr>
      <w:pict w14:anchorId="29E82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8247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DB1F" w14:textId="53E7A587" w:rsidR="00904900" w:rsidRDefault="00904900">
    <w:pPr>
      <w:pStyle w:val="Header"/>
    </w:pPr>
    <w:r>
      <w:rPr>
        <w:noProof/>
      </w:rPr>
      <w:pict w14:anchorId="60D48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8246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A7D01"/>
    <w:multiLevelType w:val="multilevel"/>
    <w:tmpl w:val="C19E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AA"/>
    <w:rsid w:val="00071923"/>
    <w:rsid w:val="0029561B"/>
    <w:rsid w:val="002E2C07"/>
    <w:rsid w:val="002E7DD4"/>
    <w:rsid w:val="00383683"/>
    <w:rsid w:val="003B0147"/>
    <w:rsid w:val="003B611E"/>
    <w:rsid w:val="003C2DE9"/>
    <w:rsid w:val="0056172E"/>
    <w:rsid w:val="00660C9A"/>
    <w:rsid w:val="006E78B3"/>
    <w:rsid w:val="0075039F"/>
    <w:rsid w:val="007A46D8"/>
    <w:rsid w:val="007A65AA"/>
    <w:rsid w:val="007F0DEE"/>
    <w:rsid w:val="00852A0B"/>
    <w:rsid w:val="00904900"/>
    <w:rsid w:val="00914350"/>
    <w:rsid w:val="00932FBE"/>
    <w:rsid w:val="009749D2"/>
    <w:rsid w:val="009A7559"/>
    <w:rsid w:val="009F737A"/>
    <w:rsid w:val="00A56F0F"/>
    <w:rsid w:val="00A96AFA"/>
    <w:rsid w:val="00AA55B7"/>
    <w:rsid w:val="00AB5090"/>
    <w:rsid w:val="00B26CD4"/>
    <w:rsid w:val="00B42AAD"/>
    <w:rsid w:val="00C408C5"/>
    <w:rsid w:val="00D3756C"/>
    <w:rsid w:val="00D872C2"/>
    <w:rsid w:val="00E5191E"/>
    <w:rsid w:val="00E84571"/>
    <w:rsid w:val="00F35C2E"/>
    <w:rsid w:val="00F463DE"/>
    <w:rsid w:val="00F5123B"/>
    <w:rsid w:val="00F556E5"/>
    <w:rsid w:val="00F80947"/>
    <w:rsid w:val="00FA26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5C547D"/>
  <w15:chartTrackingRefBased/>
  <w15:docId w15:val="{66C99D2E-E3FA-487C-9657-150B05E0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96A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0147"/>
    <w:pPr>
      <w:spacing w:after="0" w:line="240" w:lineRule="auto"/>
    </w:pPr>
  </w:style>
  <w:style w:type="paragraph" w:styleId="Caption">
    <w:name w:val="caption"/>
    <w:basedOn w:val="Normal"/>
    <w:next w:val="Normal"/>
    <w:uiPriority w:val="35"/>
    <w:unhideWhenUsed/>
    <w:qFormat/>
    <w:rsid w:val="003B0147"/>
    <w:pPr>
      <w:spacing w:after="200" w:line="240" w:lineRule="auto"/>
    </w:pPr>
    <w:rPr>
      <w:i/>
      <w:iCs/>
      <w:color w:val="44546A" w:themeColor="text2"/>
      <w:sz w:val="18"/>
      <w:szCs w:val="18"/>
    </w:rPr>
  </w:style>
  <w:style w:type="paragraph" w:customStyle="1" w:styleId="font-claude-response-body">
    <w:name w:val="font-claude-response-body"/>
    <w:basedOn w:val="Normal"/>
    <w:rsid w:val="00F463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F463DE"/>
    <w:rPr>
      <w:b/>
      <w:bCs/>
    </w:rPr>
  </w:style>
  <w:style w:type="paragraph" w:customStyle="1" w:styleId="whitespace-normal">
    <w:name w:val="whitespace-normal"/>
    <w:basedOn w:val="Normal"/>
    <w:rsid w:val="00D375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uiPriority w:val="9"/>
    <w:semiHidden/>
    <w:rsid w:val="00A96AF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4571"/>
    <w:rPr>
      <w:color w:val="0563C1" w:themeColor="hyperlink"/>
      <w:u w:val="single"/>
    </w:rPr>
  </w:style>
  <w:style w:type="character" w:styleId="UnresolvedMention">
    <w:name w:val="Unresolved Mention"/>
    <w:basedOn w:val="DefaultParagraphFont"/>
    <w:uiPriority w:val="99"/>
    <w:semiHidden/>
    <w:unhideWhenUsed/>
    <w:rsid w:val="00E84571"/>
    <w:rPr>
      <w:color w:val="605E5C"/>
      <w:shd w:val="clear" w:color="auto" w:fill="E1DFDD"/>
    </w:rPr>
  </w:style>
  <w:style w:type="paragraph" w:styleId="ListParagraph">
    <w:name w:val="List Paragraph"/>
    <w:basedOn w:val="Normal"/>
    <w:uiPriority w:val="34"/>
    <w:qFormat/>
    <w:rsid w:val="009A7559"/>
    <w:pPr>
      <w:ind w:left="720"/>
      <w:contextualSpacing/>
    </w:pPr>
  </w:style>
  <w:style w:type="paragraph" w:styleId="Header">
    <w:name w:val="header"/>
    <w:basedOn w:val="Normal"/>
    <w:link w:val="HeaderChar"/>
    <w:uiPriority w:val="99"/>
    <w:unhideWhenUsed/>
    <w:rsid w:val="00904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900"/>
  </w:style>
  <w:style w:type="paragraph" w:styleId="Footer">
    <w:name w:val="footer"/>
    <w:basedOn w:val="Normal"/>
    <w:link w:val="FooterChar"/>
    <w:uiPriority w:val="99"/>
    <w:unhideWhenUsed/>
    <w:rsid w:val="00904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21276">
      <w:bodyDiv w:val="1"/>
      <w:marLeft w:val="0"/>
      <w:marRight w:val="0"/>
      <w:marTop w:val="0"/>
      <w:marBottom w:val="0"/>
      <w:divBdr>
        <w:top w:val="none" w:sz="0" w:space="0" w:color="auto"/>
        <w:left w:val="none" w:sz="0" w:space="0" w:color="auto"/>
        <w:bottom w:val="none" w:sz="0" w:space="0" w:color="auto"/>
        <w:right w:val="none" w:sz="0" w:space="0" w:color="auto"/>
      </w:divBdr>
    </w:div>
    <w:div w:id="384332784">
      <w:bodyDiv w:val="1"/>
      <w:marLeft w:val="0"/>
      <w:marRight w:val="0"/>
      <w:marTop w:val="0"/>
      <w:marBottom w:val="0"/>
      <w:divBdr>
        <w:top w:val="none" w:sz="0" w:space="0" w:color="auto"/>
        <w:left w:val="none" w:sz="0" w:space="0" w:color="auto"/>
        <w:bottom w:val="none" w:sz="0" w:space="0" w:color="auto"/>
        <w:right w:val="none" w:sz="0" w:space="0" w:color="auto"/>
      </w:divBdr>
    </w:div>
    <w:div w:id="479732734">
      <w:bodyDiv w:val="1"/>
      <w:marLeft w:val="0"/>
      <w:marRight w:val="0"/>
      <w:marTop w:val="0"/>
      <w:marBottom w:val="0"/>
      <w:divBdr>
        <w:top w:val="none" w:sz="0" w:space="0" w:color="auto"/>
        <w:left w:val="none" w:sz="0" w:space="0" w:color="auto"/>
        <w:bottom w:val="none" w:sz="0" w:space="0" w:color="auto"/>
        <w:right w:val="none" w:sz="0" w:space="0" w:color="auto"/>
      </w:divBdr>
    </w:div>
    <w:div w:id="520317392">
      <w:bodyDiv w:val="1"/>
      <w:marLeft w:val="0"/>
      <w:marRight w:val="0"/>
      <w:marTop w:val="0"/>
      <w:marBottom w:val="0"/>
      <w:divBdr>
        <w:top w:val="none" w:sz="0" w:space="0" w:color="auto"/>
        <w:left w:val="none" w:sz="0" w:space="0" w:color="auto"/>
        <w:bottom w:val="none" w:sz="0" w:space="0" w:color="auto"/>
        <w:right w:val="none" w:sz="0" w:space="0" w:color="auto"/>
      </w:divBdr>
    </w:div>
    <w:div w:id="634023917">
      <w:bodyDiv w:val="1"/>
      <w:marLeft w:val="0"/>
      <w:marRight w:val="0"/>
      <w:marTop w:val="0"/>
      <w:marBottom w:val="0"/>
      <w:divBdr>
        <w:top w:val="none" w:sz="0" w:space="0" w:color="auto"/>
        <w:left w:val="none" w:sz="0" w:space="0" w:color="auto"/>
        <w:bottom w:val="none" w:sz="0" w:space="0" w:color="auto"/>
        <w:right w:val="none" w:sz="0" w:space="0" w:color="auto"/>
      </w:divBdr>
    </w:div>
    <w:div w:id="669410296">
      <w:bodyDiv w:val="1"/>
      <w:marLeft w:val="0"/>
      <w:marRight w:val="0"/>
      <w:marTop w:val="0"/>
      <w:marBottom w:val="0"/>
      <w:divBdr>
        <w:top w:val="none" w:sz="0" w:space="0" w:color="auto"/>
        <w:left w:val="none" w:sz="0" w:space="0" w:color="auto"/>
        <w:bottom w:val="none" w:sz="0" w:space="0" w:color="auto"/>
        <w:right w:val="none" w:sz="0" w:space="0" w:color="auto"/>
      </w:divBdr>
    </w:div>
    <w:div w:id="705301515">
      <w:bodyDiv w:val="1"/>
      <w:marLeft w:val="0"/>
      <w:marRight w:val="0"/>
      <w:marTop w:val="0"/>
      <w:marBottom w:val="0"/>
      <w:divBdr>
        <w:top w:val="none" w:sz="0" w:space="0" w:color="auto"/>
        <w:left w:val="none" w:sz="0" w:space="0" w:color="auto"/>
        <w:bottom w:val="none" w:sz="0" w:space="0" w:color="auto"/>
        <w:right w:val="none" w:sz="0" w:space="0" w:color="auto"/>
      </w:divBdr>
    </w:div>
    <w:div w:id="889390293">
      <w:bodyDiv w:val="1"/>
      <w:marLeft w:val="0"/>
      <w:marRight w:val="0"/>
      <w:marTop w:val="0"/>
      <w:marBottom w:val="0"/>
      <w:divBdr>
        <w:top w:val="none" w:sz="0" w:space="0" w:color="auto"/>
        <w:left w:val="none" w:sz="0" w:space="0" w:color="auto"/>
        <w:bottom w:val="none" w:sz="0" w:space="0" w:color="auto"/>
        <w:right w:val="none" w:sz="0" w:space="0" w:color="auto"/>
      </w:divBdr>
    </w:div>
    <w:div w:id="914822937">
      <w:bodyDiv w:val="1"/>
      <w:marLeft w:val="0"/>
      <w:marRight w:val="0"/>
      <w:marTop w:val="0"/>
      <w:marBottom w:val="0"/>
      <w:divBdr>
        <w:top w:val="none" w:sz="0" w:space="0" w:color="auto"/>
        <w:left w:val="none" w:sz="0" w:space="0" w:color="auto"/>
        <w:bottom w:val="none" w:sz="0" w:space="0" w:color="auto"/>
        <w:right w:val="none" w:sz="0" w:space="0" w:color="auto"/>
      </w:divBdr>
    </w:div>
    <w:div w:id="1010839649">
      <w:bodyDiv w:val="1"/>
      <w:marLeft w:val="0"/>
      <w:marRight w:val="0"/>
      <w:marTop w:val="0"/>
      <w:marBottom w:val="0"/>
      <w:divBdr>
        <w:top w:val="none" w:sz="0" w:space="0" w:color="auto"/>
        <w:left w:val="none" w:sz="0" w:space="0" w:color="auto"/>
        <w:bottom w:val="none" w:sz="0" w:space="0" w:color="auto"/>
        <w:right w:val="none" w:sz="0" w:space="0" w:color="auto"/>
      </w:divBdr>
    </w:div>
    <w:div w:id="1053623783">
      <w:bodyDiv w:val="1"/>
      <w:marLeft w:val="0"/>
      <w:marRight w:val="0"/>
      <w:marTop w:val="0"/>
      <w:marBottom w:val="0"/>
      <w:divBdr>
        <w:top w:val="none" w:sz="0" w:space="0" w:color="auto"/>
        <w:left w:val="none" w:sz="0" w:space="0" w:color="auto"/>
        <w:bottom w:val="none" w:sz="0" w:space="0" w:color="auto"/>
        <w:right w:val="none" w:sz="0" w:space="0" w:color="auto"/>
      </w:divBdr>
    </w:div>
    <w:div w:id="1105611979">
      <w:bodyDiv w:val="1"/>
      <w:marLeft w:val="0"/>
      <w:marRight w:val="0"/>
      <w:marTop w:val="0"/>
      <w:marBottom w:val="0"/>
      <w:divBdr>
        <w:top w:val="none" w:sz="0" w:space="0" w:color="auto"/>
        <w:left w:val="none" w:sz="0" w:space="0" w:color="auto"/>
        <w:bottom w:val="none" w:sz="0" w:space="0" w:color="auto"/>
        <w:right w:val="none" w:sz="0" w:space="0" w:color="auto"/>
      </w:divBdr>
    </w:div>
    <w:div w:id="1137185281">
      <w:bodyDiv w:val="1"/>
      <w:marLeft w:val="0"/>
      <w:marRight w:val="0"/>
      <w:marTop w:val="0"/>
      <w:marBottom w:val="0"/>
      <w:divBdr>
        <w:top w:val="none" w:sz="0" w:space="0" w:color="auto"/>
        <w:left w:val="none" w:sz="0" w:space="0" w:color="auto"/>
        <w:bottom w:val="none" w:sz="0" w:space="0" w:color="auto"/>
        <w:right w:val="none" w:sz="0" w:space="0" w:color="auto"/>
      </w:divBdr>
    </w:div>
    <w:div w:id="1144590395">
      <w:bodyDiv w:val="1"/>
      <w:marLeft w:val="0"/>
      <w:marRight w:val="0"/>
      <w:marTop w:val="0"/>
      <w:marBottom w:val="0"/>
      <w:divBdr>
        <w:top w:val="none" w:sz="0" w:space="0" w:color="auto"/>
        <w:left w:val="none" w:sz="0" w:space="0" w:color="auto"/>
        <w:bottom w:val="none" w:sz="0" w:space="0" w:color="auto"/>
        <w:right w:val="none" w:sz="0" w:space="0" w:color="auto"/>
      </w:divBdr>
    </w:div>
    <w:div w:id="1190920945">
      <w:bodyDiv w:val="1"/>
      <w:marLeft w:val="0"/>
      <w:marRight w:val="0"/>
      <w:marTop w:val="0"/>
      <w:marBottom w:val="0"/>
      <w:divBdr>
        <w:top w:val="none" w:sz="0" w:space="0" w:color="auto"/>
        <w:left w:val="none" w:sz="0" w:space="0" w:color="auto"/>
        <w:bottom w:val="none" w:sz="0" w:space="0" w:color="auto"/>
        <w:right w:val="none" w:sz="0" w:space="0" w:color="auto"/>
      </w:divBdr>
    </w:div>
    <w:div w:id="1260604935">
      <w:bodyDiv w:val="1"/>
      <w:marLeft w:val="0"/>
      <w:marRight w:val="0"/>
      <w:marTop w:val="0"/>
      <w:marBottom w:val="0"/>
      <w:divBdr>
        <w:top w:val="none" w:sz="0" w:space="0" w:color="auto"/>
        <w:left w:val="none" w:sz="0" w:space="0" w:color="auto"/>
        <w:bottom w:val="none" w:sz="0" w:space="0" w:color="auto"/>
        <w:right w:val="none" w:sz="0" w:space="0" w:color="auto"/>
      </w:divBdr>
    </w:div>
    <w:div w:id="1642802671">
      <w:bodyDiv w:val="1"/>
      <w:marLeft w:val="0"/>
      <w:marRight w:val="0"/>
      <w:marTop w:val="0"/>
      <w:marBottom w:val="0"/>
      <w:divBdr>
        <w:top w:val="none" w:sz="0" w:space="0" w:color="auto"/>
        <w:left w:val="none" w:sz="0" w:space="0" w:color="auto"/>
        <w:bottom w:val="none" w:sz="0" w:space="0" w:color="auto"/>
        <w:right w:val="none" w:sz="0" w:space="0" w:color="auto"/>
      </w:divBdr>
    </w:div>
    <w:div w:id="1685982102">
      <w:bodyDiv w:val="1"/>
      <w:marLeft w:val="0"/>
      <w:marRight w:val="0"/>
      <w:marTop w:val="0"/>
      <w:marBottom w:val="0"/>
      <w:divBdr>
        <w:top w:val="none" w:sz="0" w:space="0" w:color="auto"/>
        <w:left w:val="none" w:sz="0" w:space="0" w:color="auto"/>
        <w:bottom w:val="none" w:sz="0" w:space="0" w:color="auto"/>
        <w:right w:val="none" w:sz="0" w:space="0" w:color="auto"/>
      </w:divBdr>
    </w:div>
    <w:div w:id="1782265205">
      <w:bodyDiv w:val="1"/>
      <w:marLeft w:val="0"/>
      <w:marRight w:val="0"/>
      <w:marTop w:val="0"/>
      <w:marBottom w:val="0"/>
      <w:divBdr>
        <w:top w:val="none" w:sz="0" w:space="0" w:color="auto"/>
        <w:left w:val="none" w:sz="0" w:space="0" w:color="auto"/>
        <w:bottom w:val="none" w:sz="0" w:space="0" w:color="auto"/>
        <w:right w:val="none" w:sz="0" w:space="0" w:color="auto"/>
      </w:divBdr>
    </w:div>
    <w:div w:id="1957128718">
      <w:bodyDiv w:val="1"/>
      <w:marLeft w:val="0"/>
      <w:marRight w:val="0"/>
      <w:marTop w:val="0"/>
      <w:marBottom w:val="0"/>
      <w:divBdr>
        <w:top w:val="none" w:sz="0" w:space="0" w:color="auto"/>
        <w:left w:val="none" w:sz="0" w:space="0" w:color="auto"/>
        <w:bottom w:val="none" w:sz="0" w:space="0" w:color="auto"/>
        <w:right w:val="none" w:sz="0" w:space="0" w:color="auto"/>
      </w:divBdr>
    </w:div>
    <w:div w:id="1976449103">
      <w:bodyDiv w:val="1"/>
      <w:marLeft w:val="0"/>
      <w:marRight w:val="0"/>
      <w:marTop w:val="0"/>
      <w:marBottom w:val="0"/>
      <w:divBdr>
        <w:top w:val="none" w:sz="0" w:space="0" w:color="auto"/>
        <w:left w:val="none" w:sz="0" w:space="0" w:color="auto"/>
        <w:bottom w:val="none" w:sz="0" w:space="0" w:color="auto"/>
        <w:right w:val="none" w:sz="0" w:space="0" w:color="auto"/>
      </w:divBdr>
    </w:div>
    <w:div w:id="1996251504">
      <w:bodyDiv w:val="1"/>
      <w:marLeft w:val="0"/>
      <w:marRight w:val="0"/>
      <w:marTop w:val="0"/>
      <w:marBottom w:val="0"/>
      <w:divBdr>
        <w:top w:val="none" w:sz="0" w:space="0" w:color="auto"/>
        <w:left w:val="none" w:sz="0" w:space="0" w:color="auto"/>
        <w:bottom w:val="none" w:sz="0" w:space="0" w:color="auto"/>
        <w:right w:val="none" w:sz="0" w:space="0" w:color="auto"/>
      </w:divBdr>
    </w:div>
    <w:div w:id="2020112801">
      <w:bodyDiv w:val="1"/>
      <w:marLeft w:val="0"/>
      <w:marRight w:val="0"/>
      <w:marTop w:val="0"/>
      <w:marBottom w:val="0"/>
      <w:divBdr>
        <w:top w:val="none" w:sz="0" w:space="0" w:color="auto"/>
        <w:left w:val="none" w:sz="0" w:space="0" w:color="auto"/>
        <w:bottom w:val="none" w:sz="0" w:space="0" w:color="auto"/>
        <w:right w:val="none" w:sz="0" w:space="0" w:color="auto"/>
      </w:divBdr>
    </w:div>
    <w:div w:id="2056855718">
      <w:bodyDiv w:val="1"/>
      <w:marLeft w:val="0"/>
      <w:marRight w:val="0"/>
      <w:marTop w:val="0"/>
      <w:marBottom w:val="0"/>
      <w:divBdr>
        <w:top w:val="none" w:sz="0" w:space="0" w:color="auto"/>
        <w:left w:val="none" w:sz="0" w:space="0" w:color="auto"/>
        <w:bottom w:val="none" w:sz="0" w:space="0" w:color="auto"/>
        <w:right w:val="none" w:sz="0" w:space="0" w:color="auto"/>
      </w:divBdr>
    </w:div>
    <w:div w:id="20646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hyperlink" Target="https://doi.org/10.3386/w7338" TargetMode="External"/><Relationship Id="rId39" Type="http://schemas.openxmlformats.org/officeDocument/2006/relationships/hyperlink" Target="https://doi.org/10.1162/003465302317411604" TargetMode="External"/><Relationship Id="rId21" Type="http://schemas.openxmlformats.org/officeDocument/2006/relationships/hyperlink" Target="https://doi.org/10.1016/0304-3878(94)90026-4" TargetMode="External"/><Relationship Id="rId34" Type="http://schemas.openxmlformats.org/officeDocument/2006/relationships/hyperlink" Target="https://doi.org/10.1080/13504851.2011.570705" TargetMode="External"/><Relationship Id="rId42"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0892/gtg.53233-1245" TargetMode="External"/><Relationship Id="rId29" Type="http://schemas.openxmlformats.org/officeDocument/2006/relationships/hyperlink" Target="https://doi.org/10.1007/s00181-009-0294-6" TargetMode="External"/><Relationship Id="rId41" Type="http://schemas.openxmlformats.org/officeDocument/2006/relationships/hyperlink" Target="https://www.worldeconomics.com/Journal/Papers/Article.details?ID=8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ideas.repec.org/p/nan/wpaper/2013-42.html" TargetMode="External"/><Relationship Id="rId32" Type="http://schemas.openxmlformats.org/officeDocument/2006/relationships/hyperlink" Target="https://doi.org/10.1017/S002081830001403X" TargetMode="External"/><Relationship Id="rId37" Type="http://schemas.openxmlformats.org/officeDocument/2006/relationships/hyperlink" Target="https://www.jstor.org/stable/1812792" TargetMode="External"/><Relationship Id="rId40" Type="http://schemas.openxmlformats.org/officeDocument/2006/relationships/hyperlink" Target="https://doi.org/10.1017/CBO9780511581427.011"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146/annurev-environ-102016-060916" TargetMode="External"/><Relationship Id="rId28" Type="http://schemas.openxmlformats.org/officeDocument/2006/relationships/hyperlink" Target="https://doi.org/10.1177/0731121419863785" TargetMode="External"/><Relationship Id="rId36" Type="http://schemas.openxmlformats.org/officeDocument/2006/relationships/hyperlink" Target="https://doi.org/10.2307/139437" TargetMode="External"/><Relationship Id="rId10" Type="http://schemas.openxmlformats.org/officeDocument/2006/relationships/image" Target="media/image4.emf"/><Relationship Id="rId19" Type="http://schemas.openxmlformats.org/officeDocument/2006/relationships/hyperlink" Target="https://doi.org/10.1108/S0731-9053(2012)0000029021" TargetMode="External"/><Relationship Id="rId31" Type="http://schemas.openxmlformats.org/officeDocument/2006/relationships/hyperlink" Target="https://doi.org/10.1016/j.jmacro.2013.07.007"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 Id="rId22" Type="http://schemas.openxmlformats.org/officeDocument/2006/relationships/hyperlink" Target="https://doi.org/10.1017/S0266466698142032" TargetMode="External"/><Relationship Id="rId27" Type="http://schemas.openxmlformats.org/officeDocument/2006/relationships/hyperlink" Target="https://doi.org/10.1111/1468-0297.00327" TargetMode="External"/><Relationship Id="rId30" Type="http://schemas.openxmlformats.org/officeDocument/2006/relationships/hyperlink" Target="https://doi.org/10.1007/s101080050008" TargetMode="External"/><Relationship Id="rId35" Type="http://schemas.openxmlformats.org/officeDocument/2006/relationships/hyperlink" Target="https://doi.org/10.1111/1468-0351.00115" TargetMode="External"/><Relationship Id="rId43" Type="http://schemas.openxmlformats.org/officeDocument/2006/relationships/theme" Target="theme/theme1.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hyperlink" Target="https://doi.org/10.1007/s11207-011-9720-y" TargetMode="External"/><Relationship Id="rId33" Type="http://schemas.openxmlformats.org/officeDocument/2006/relationships/hyperlink" Target="https://doi.org/10.1016/S1573-4404(85)80009-X" TargetMode="External"/><Relationship Id="rId38" Type="http://schemas.openxmlformats.org/officeDocument/2006/relationships/hyperlink" Target="https://doi.org/10.2139/SSRN.191106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24</Pages>
  <Words>8545</Words>
  <Characters>48711</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ahmednessa4@gmail.com</dc:creator>
  <cp:keywords/>
  <dc:description/>
  <cp:lastModifiedBy>SDI 1084</cp:lastModifiedBy>
  <cp:revision>6</cp:revision>
  <dcterms:created xsi:type="dcterms:W3CDTF">2025-12-20T23:48:00Z</dcterms:created>
  <dcterms:modified xsi:type="dcterms:W3CDTF">2025-12-22T12:14:00Z</dcterms:modified>
</cp:coreProperties>
</file>