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63CFB" w14:textId="3E0248B1" w:rsidR="006B097C" w:rsidRPr="00361FFF" w:rsidRDefault="00361FFF" w:rsidP="009A7E20">
      <w:pPr>
        <w:jc w:val="center"/>
        <w:rPr>
          <w:rFonts w:ascii="Times New Roman" w:hAnsi="Times New Roman" w:cs="Times New Roman"/>
          <w:b/>
          <w:bCs/>
          <w:sz w:val="28"/>
          <w:szCs w:val="28"/>
        </w:rPr>
      </w:pPr>
      <w:r w:rsidRPr="00361FFF">
        <w:rPr>
          <w:rFonts w:ascii="Times New Roman" w:hAnsi="Times New Roman" w:cs="Times New Roman"/>
          <w:b/>
          <w:bCs/>
          <w:sz w:val="28"/>
          <w:szCs w:val="28"/>
        </w:rPr>
        <w:t>ANALYSIS OF THE VILLAGE FOOD SECURITY PROGRAM STRATEGY IN REALISING A FOOD SELF-SUFFICIENT AREA IN BATUMBULAN BARU VILLAGE, BABUSSALAM SUB-DISTRICT</w:t>
      </w:r>
    </w:p>
    <w:p w14:paraId="4D82AE6F" w14:textId="0AEE68AE" w:rsidR="00361FFF" w:rsidRDefault="00361FFF" w:rsidP="00361FFF">
      <w:pPr>
        <w:jc w:val="both"/>
        <w:rPr>
          <w:rFonts w:ascii="Times New Roman" w:hAnsi="Times New Roman" w:cs="Times New Roman"/>
          <w:b/>
          <w:bCs/>
        </w:rPr>
      </w:pPr>
    </w:p>
    <w:p w14:paraId="77328697" w14:textId="77777777" w:rsidR="004B4570" w:rsidRDefault="004B4570" w:rsidP="00361FFF">
      <w:pPr>
        <w:jc w:val="both"/>
        <w:rPr>
          <w:rFonts w:ascii="Times New Roman" w:hAnsi="Times New Roman" w:cs="Times New Roman"/>
          <w:b/>
          <w:bCs/>
        </w:rPr>
      </w:pPr>
      <w:bookmarkStart w:id="0" w:name="_GoBack"/>
      <w:bookmarkEnd w:id="0"/>
    </w:p>
    <w:p w14:paraId="0BE0E6E1" w14:textId="77777777" w:rsidR="00361FFF" w:rsidRDefault="00361FFF" w:rsidP="00361FFF">
      <w:pPr>
        <w:jc w:val="center"/>
        <w:rPr>
          <w:rFonts w:ascii="Times New Roman" w:hAnsi="Times New Roman" w:cs="Times New Roman"/>
          <w:b/>
          <w:bCs/>
        </w:rPr>
      </w:pPr>
      <w:r w:rsidRPr="00361FFF">
        <w:rPr>
          <w:rFonts w:ascii="Times New Roman" w:hAnsi="Times New Roman" w:cs="Times New Roman"/>
          <w:b/>
          <w:bCs/>
        </w:rPr>
        <w:t>Abstract</w:t>
      </w:r>
    </w:p>
    <w:p w14:paraId="3A9F882C" w14:textId="4E05FA43"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Village food security is a critical component of sustainable and self-reliant development, particularly in rural areas. This study aims to </w:t>
      </w:r>
      <w:proofErr w:type="spellStart"/>
      <w:r w:rsidRPr="00361FFF">
        <w:rPr>
          <w:rFonts w:ascii="Times New Roman" w:hAnsi="Times New Roman" w:cs="Times New Roman"/>
        </w:rPr>
        <w:t>analyse</w:t>
      </w:r>
      <w:proofErr w:type="spellEnd"/>
      <w:r w:rsidRPr="00361FFF">
        <w:rPr>
          <w:rFonts w:ascii="Times New Roman" w:hAnsi="Times New Roman" w:cs="Times New Roman"/>
        </w:rPr>
        <w:t xml:space="preserve"> the food security strategy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by applying a combined approach of Structural Equation Modeling (SEM) and the Analytic Hierarchy Process (AHP). Using data collected from 60 respondents who are active farmers, the study identifies key determinants of village food security, including agricultural infrastructure, farmers’ institutional capacity, and the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of Village Funds.</w:t>
      </w:r>
      <w:r>
        <w:rPr>
          <w:rFonts w:ascii="Times New Roman" w:hAnsi="Times New Roman" w:cs="Times New Roman"/>
        </w:rPr>
        <w:t xml:space="preserve"> </w:t>
      </w:r>
      <w:r w:rsidRPr="00361FFF">
        <w:rPr>
          <w:rFonts w:ascii="Times New Roman" w:hAnsi="Times New Roman" w:cs="Times New Roman"/>
        </w:rPr>
        <w:t xml:space="preserve">The findings indicate that agricultural infrastructure—especially irrigation systems—has a significant effect on village food security. In addition, farmers’ institutions, including cooperatives and farmer groups, play an important role in supporting the distribution of agricultural outputs and improving the competitiveness of local food products. The AHP results identify strengthening irrigation infrastructure, farmer training, and cooperative </w:t>
      </w:r>
      <w:proofErr w:type="spellStart"/>
      <w:r w:rsidRPr="00361FFF">
        <w:rPr>
          <w:rFonts w:ascii="Times New Roman" w:hAnsi="Times New Roman" w:cs="Times New Roman"/>
        </w:rPr>
        <w:t>revitalisation</w:t>
      </w:r>
      <w:proofErr w:type="spellEnd"/>
      <w:r w:rsidRPr="00361FFF">
        <w:rPr>
          <w:rFonts w:ascii="Times New Roman" w:hAnsi="Times New Roman" w:cs="Times New Roman"/>
        </w:rPr>
        <w:t xml:space="preserve"> as the leading policy priorities for achieving food self-sufficiency. More targeted and evidence-based use of Village Funds can further reinforce farmers’ capacity and enhance post-harvest efficiency as well as food distribution performance.</w:t>
      </w:r>
      <w:r>
        <w:rPr>
          <w:rFonts w:ascii="Times New Roman" w:hAnsi="Times New Roman" w:cs="Times New Roman"/>
        </w:rPr>
        <w:t xml:space="preserve"> </w:t>
      </w:r>
      <w:r w:rsidRPr="00361FFF">
        <w:rPr>
          <w:rFonts w:ascii="Times New Roman" w:hAnsi="Times New Roman" w:cs="Times New Roman"/>
        </w:rPr>
        <w:t xml:space="preserve">This study recommends that the village government </w:t>
      </w:r>
      <w:proofErr w:type="spellStart"/>
      <w:r w:rsidRPr="00361FFF">
        <w:rPr>
          <w:rFonts w:ascii="Times New Roman" w:hAnsi="Times New Roman" w:cs="Times New Roman"/>
        </w:rPr>
        <w:t>prioritise</w:t>
      </w:r>
      <w:proofErr w:type="spellEnd"/>
      <w:r w:rsidRPr="00361FFF">
        <w:rPr>
          <w:rFonts w:ascii="Times New Roman" w:hAnsi="Times New Roman" w:cs="Times New Roman"/>
        </w:rPr>
        <w:t xml:space="preserve"> Village Fund allocations for the agricultural sector, with emphasis on infrastructure and institutional development. Moreover, training </w:t>
      </w:r>
      <w:proofErr w:type="spellStart"/>
      <w:r w:rsidRPr="00361FFF">
        <w:rPr>
          <w:rFonts w:ascii="Times New Roman" w:hAnsi="Times New Roman" w:cs="Times New Roman"/>
        </w:rPr>
        <w:t>programmes</w:t>
      </w:r>
      <w:proofErr w:type="spellEnd"/>
      <w:r w:rsidRPr="00361FFF">
        <w:rPr>
          <w:rFonts w:ascii="Times New Roman" w:hAnsi="Times New Roman" w:cs="Times New Roman"/>
        </w:rPr>
        <w:t xml:space="preserve"> based on Good Agricultural Practices (GAP) are essential to improve the quality of agricultural outputs. These findings are expected to serve as a reference for food security policies in other villages facing similar challenges.</w:t>
      </w:r>
    </w:p>
    <w:p w14:paraId="1537D7F4"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b/>
          <w:bCs/>
        </w:rPr>
        <w:t xml:space="preserve">Keywords: </w:t>
      </w:r>
      <w:r w:rsidRPr="00361FFF">
        <w:rPr>
          <w:rFonts w:ascii="Times New Roman" w:hAnsi="Times New Roman" w:cs="Times New Roman"/>
        </w:rPr>
        <w:t>Village Food Security, Food Self-Sufficiency, Village Funds, Agricultural Infrastructure, Farmers’ Institutions, SEM, AHP, Southeast Aceh.</w:t>
      </w:r>
    </w:p>
    <w:p w14:paraId="707884E1" w14:textId="77777777" w:rsidR="00361FFF" w:rsidRPr="00361FFF" w:rsidRDefault="00361FFF" w:rsidP="00361FFF">
      <w:pPr>
        <w:jc w:val="both"/>
        <w:rPr>
          <w:rFonts w:ascii="Times New Roman" w:hAnsi="Times New Roman" w:cs="Times New Roman"/>
          <w:b/>
          <w:bCs/>
          <w:sz w:val="28"/>
          <w:szCs w:val="28"/>
        </w:rPr>
      </w:pPr>
      <w:r w:rsidRPr="00361FFF">
        <w:rPr>
          <w:rFonts w:ascii="Times New Roman" w:hAnsi="Times New Roman" w:cs="Times New Roman"/>
          <w:b/>
          <w:bCs/>
          <w:sz w:val="28"/>
          <w:szCs w:val="28"/>
        </w:rPr>
        <w:t>I. Introduction</w:t>
      </w:r>
    </w:p>
    <w:p w14:paraId="1A64688F" w14:textId="2F9F8E9C"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Food security is a strategic issue that shapes the sustainability of development, particularly at the local level. In the Indonesian context, food security carries major importance because rural areas remain the primary base of food production. At the village level, food security depends not only on food availability but also on accessibility and the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of nutritious food.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located in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has strong agrarian potential; however, the use of Village Funds to strengthen the local food system has not been optimal (</w:t>
      </w:r>
      <w:proofErr w:type="spellStart"/>
      <w:r w:rsidR="00441EE3">
        <w:rPr>
          <w:rFonts w:ascii="Times New Roman" w:hAnsi="Times New Roman" w:cs="Times New Roman"/>
        </w:rPr>
        <w:t>Wijatmoko</w:t>
      </w:r>
      <w:proofErr w:type="spellEnd"/>
      <w:r w:rsidRPr="00361FFF">
        <w:rPr>
          <w:rFonts w:ascii="Times New Roman" w:hAnsi="Times New Roman" w:cs="Times New Roman"/>
        </w:rPr>
        <w:t>, 2023).</w:t>
      </w:r>
    </w:p>
    <w:p w14:paraId="190C0347" w14:textId="5DFE2A59" w:rsidR="00361FFF" w:rsidRPr="00361FFF" w:rsidRDefault="00361FFF" w:rsidP="00361FFF">
      <w:pPr>
        <w:jc w:val="both"/>
        <w:rPr>
          <w:rFonts w:ascii="Times New Roman" w:hAnsi="Times New Roman" w:cs="Times New Roman"/>
        </w:rPr>
      </w:pPr>
      <w:r w:rsidRPr="00361FFF">
        <w:rPr>
          <w:rFonts w:ascii="Times New Roman" w:hAnsi="Times New Roman" w:cs="Times New Roman"/>
        </w:rPr>
        <w:lastRenderedPageBreak/>
        <w:t>Improving village food security requires a comprehensive development strategy that does not focus solely on production, but also addresses distribution and food consumption. To achieve food self-sufficiency at the village level, integrated and evidence-based policies are needed. Therefore, this study combines Structural Equation Modeling (SEM) and the Analytic Hierarchy Process (AHP) to provide deeper insight into the relationships among factors influencing village food security (</w:t>
      </w:r>
      <w:r w:rsidR="00441EE3">
        <w:rPr>
          <w:rFonts w:ascii="Times New Roman" w:hAnsi="Times New Roman" w:cs="Times New Roman"/>
        </w:rPr>
        <w:t>Chen</w:t>
      </w:r>
      <w:r w:rsidRPr="00361FFF">
        <w:rPr>
          <w:rFonts w:ascii="Times New Roman" w:hAnsi="Times New Roman" w:cs="Times New Roman"/>
        </w:rPr>
        <w:t>, 202</w:t>
      </w:r>
      <w:r w:rsidR="00441EE3">
        <w:rPr>
          <w:rFonts w:ascii="Times New Roman" w:hAnsi="Times New Roman" w:cs="Times New Roman"/>
        </w:rPr>
        <w:t>2</w:t>
      </w:r>
      <w:r w:rsidRPr="00361FFF">
        <w:rPr>
          <w:rFonts w:ascii="Times New Roman" w:hAnsi="Times New Roman" w:cs="Times New Roman"/>
        </w:rPr>
        <w:t>).</w:t>
      </w:r>
    </w:p>
    <w:p w14:paraId="7CE67FA6" w14:textId="27CD9BC0" w:rsidR="00361FFF" w:rsidRPr="00361FFF" w:rsidRDefault="00361FFF" w:rsidP="00361FFF">
      <w:pPr>
        <w:jc w:val="both"/>
        <w:rPr>
          <w:rFonts w:ascii="Times New Roman" w:hAnsi="Times New Roman" w:cs="Times New Roman"/>
        </w:rPr>
      </w:pPr>
      <w:r w:rsidRPr="00361FFF">
        <w:rPr>
          <w:rFonts w:ascii="Times New Roman" w:hAnsi="Times New Roman" w:cs="Times New Roman"/>
        </w:rPr>
        <w:t>Formulating an effective food security strategy requires a data-driven approach capable of capturing the dynamics among key variables</w:t>
      </w:r>
      <w:r w:rsidR="00441EE3">
        <w:rPr>
          <w:rFonts w:ascii="Times New Roman" w:hAnsi="Times New Roman" w:cs="Times New Roman"/>
        </w:rPr>
        <w:t xml:space="preserve"> (</w:t>
      </w:r>
      <w:proofErr w:type="spellStart"/>
      <w:r w:rsidR="00441EE3">
        <w:rPr>
          <w:rFonts w:ascii="Times New Roman" w:hAnsi="Times New Roman" w:cs="Times New Roman"/>
        </w:rPr>
        <w:t>vanany</w:t>
      </w:r>
      <w:proofErr w:type="spellEnd"/>
      <w:r w:rsidR="00441EE3">
        <w:rPr>
          <w:rFonts w:ascii="Times New Roman" w:hAnsi="Times New Roman" w:cs="Times New Roman"/>
        </w:rPr>
        <w:t>, 2021)</w:t>
      </w:r>
      <w:r w:rsidRPr="00361FFF">
        <w:rPr>
          <w:rFonts w:ascii="Times New Roman" w:hAnsi="Times New Roman" w:cs="Times New Roman"/>
        </w:rPr>
        <w:t xml:space="preserve">.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the central problem is the suboptimal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of Village Funds to support food security development. This is driven by an implementation gap between planning and execution, where development policies have not sufficiently targeted basic needs such as irrigation infrastructure, farmers’ institutions, and market distribution systems. Consequently, a more systematic analysis is required to formulate development priorities grounded in Village Fund planning.</w:t>
      </w:r>
    </w:p>
    <w:p w14:paraId="31BC00BC" w14:textId="683A6E59" w:rsidR="00361FFF" w:rsidRPr="00361FFF" w:rsidRDefault="00361FFF" w:rsidP="00361FFF">
      <w:pPr>
        <w:jc w:val="both"/>
        <w:rPr>
          <w:rFonts w:ascii="Times New Roman" w:hAnsi="Times New Roman" w:cs="Times New Roman"/>
        </w:rPr>
      </w:pPr>
      <w:r w:rsidRPr="00361FFF">
        <w:rPr>
          <w:rFonts w:ascii="Times New Roman" w:hAnsi="Times New Roman" w:cs="Times New Roman"/>
        </w:rPr>
        <w:t>Beyond infrastructure, farmers’ institutions constitute an important component influencing village food security</w:t>
      </w:r>
      <w:r w:rsidR="00441EE3">
        <w:rPr>
          <w:rFonts w:ascii="Times New Roman" w:hAnsi="Times New Roman" w:cs="Times New Roman"/>
        </w:rPr>
        <w:t xml:space="preserve"> (</w:t>
      </w:r>
      <w:proofErr w:type="spellStart"/>
      <w:r w:rsidR="00441EE3">
        <w:rPr>
          <w:rFonts w:ascii="Times New Roman" w:hAnsi="Times New Roman" w:cs="Times New Roman"/>
        </w:rPr>
        <w:t>Nontu</w:t>
      </w:r>
      <w:proofErr w:type="spellEnd"/>
      <w:r w:rsidR="00441EE3">
        <w:rPr>
          <w:rFonts w:ascii="Times New Roman" w:hAnsi="Times New Roman" w:cs="Times New Roman"/>
        </w:rPr>
        <w:t>, 2024)</w:t>
      </w:r>
      <w:r w:rsidRPr="00361FFF">
        <w:rPr>
          <w:rFonts w:ascii="Times New Roman" w:hAnsi="Times New Roman" w:cs="Times New Roman"/>
        </w:rPr>
        <w:t xml:space="preserve">. Weak institutions can worsen the distribution of agricultural outputs and reduce the competitiveness of food products. </w:t>
      </w:r>
      <w:r w:rsidR="002F6B90">
        <w:rPr>
          <w:rFonts w:ascii="Times New Roman" w:hAnsi="Times New Roman" w:cs="Times New Roman"/>
        </w:rPr>
        <w:t>(</w:t>
      </w:r>
      <w:proofErr w:type="spellStart"/>
      <w:r w:rsidR="00441EE3">
        <w:rPr>
          <w:rFonts w:ascii="Times New Roman" w:hAnsi="Times New Roman" w:cs="Times New Roman"/>
        </w:rPr>
        <w:t>Anggraeni</w:t>
      </w:r>
      <w:proofErr w:type="spellEnd"/>
      <w:r w:rsidR="002F6B90">
        <w:rPr>
          <w:rFonts w:ascii="Times New Roman" w:hAnsi="Times New Roman" w:cs="Times New Roman"/>
        </w:rPr>
        <w:t>, 2022)</w:t>
      </w:r>
      <w:r w:rsidRPr="00361FFF">
        <w:rPr>
          <w:rFonts w:ascii="Times New Roman" w:hAnsi="Times New Roman" w:cs="Times New Roman"/>
        </w:rPr>
        <w:t xml:space="preserve"> show that strengthening farmers’ institutions through active cooperatives and farmer groups can improve coordination within the food distribution system. This institutional strengthening becomes a key priority within the food security strategy of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w:t>
      </w:r>
    </w:p>
    <w:p w14:paraId="147508D6" w14:textId="025EBC46"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Adequate infrastructure—such as reliable irrigation networks and efficient post-harvest facilities—is a prerequisite for sustainable food availability. Although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has substantial agrarian potential, it faces major constraints in agricultural infrastructure, especially in water management for irrigation. Given the importance of irrigation to support food production, strengthening irrigation infrastructure is an urgent strategic priority (</w:t>
      </w:r>
      <w:proofErr w:type="spellStart"/>
      <w:r w:rsidR="002F6B90">
        <w:rPr>
          <w:rFonts w:ascii="Times New Roman" w:hAnsi="Times New Roman" w:cs="Times New Roman"/>
        </w:rPr>
        <w:t>Tirtalistyani</w:t>
      </w:r>
      <w:proofErr w:type="spellEnd"/>
      <w:r w:rsidRPr="00361FFF">
        <w:rPr>
          <w:rFonts w:ascii="Times New Roman" w:hAnsi="Times New Roman" w:cs="Times New Roman"/>
        </w:rPr>
        <w:t>, 202</w:t>
      </w:r>
      <w:r w:rsidR="002F6B90">
        <w:rPr>
          <w:rFonts w:ascii="Times New Roman" w:hAnsi="Times New Roman" w:cs="Times New Roman"/>
        </w:rPr>
        <w:t>2</w:t>
      </w:r>
      <w:r w:rsidRPr="00361FFF">
        <w:rPr>
          <w:rFonts w:ascii="Times New Roman" w:hAnsi="Times New Roman" w:cs="Times New Roman"/>
        </w:rPr>
        <w:t>).</w:t>
      </w:r>
    </w:p>
    <w:p w14:paraId="68E0B9BB" w14:textId="6A7347B9" w:rsidR="00361FFF" w:rsidRPr="00361FFF" w:rsidRDefault="00361FFF" w:rsidP="00361FFF">
      <w:pPr>
        <w:jc w:val="both"/>
        <w:rPr>
          <w:rFonts w:ascii="Times New Roman" w:hAnsi="Times New Roman" w:cs="Times New Roman"/>
        </w:rPr>
      </w:pPr>
      <w:r w:rsidRPr="00361FFF">
        <w:rPr>
          <w:rFonts w:ascii="Times New Roman" w:hAnsi="Times New Roman" w:cs="Times New Roman"/>
        </w:rPr>
        <w:t>In addition, strengthening farmers’ capacity through training and agricultural education based on Good Agricultural Practices (GAP) is essential</w:t>
      </w:r>
      <w:r w:rsidR="002F6B90">
        <w:rPr>
          <w:rFonts w:ascii="Times New Roman" w:hAnsi="Times New Roman" w:cs="Times New Roman"/>
        </w:rPr>
        <w:t xml:space="preserve"> (Mohd, 2023)</w:t>
      </w:r>
      <w:r w:rsidRPr="00361FFF">
        <w:rPr>
          <w:rFonts w:ascii="Times New Roman" w:hAnsi="Times New Roman" w:cs="Times New Roman"/>
        </w:rPr>
        <w:t>. Such capacity building aims to improve efficiency and productivity, while also enhancing farmers’ ability to manage agricultural outputs. GAP-based training can improve product quality, which in turn strengthens food security at the village level.</w:t>
      </w:r>
    </w:p>
    <w:p w14:paraId="1042196C" w14:textId="287A957A"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Village Funds, as a key financing source available to villages, also play a crucial role in improving food security. However, in practice,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for food security is often less effective due to the absence of planning based on robust data and measurable strategic analysis. In this study, SEM is used to map relationships among Village Funds, infrastructure, institutions, and village food security in order to generate more targeted recommendations for effective village resource allocation (</w:t>
      </w:r>
      <w:proofErr w:type="spellStart"/>
      <w:r w:rsidR="002F6B90">
        <w:rPr>
          <w:rFonts w:ascii="Times New Roman" w:hAnsi="Times New Roman" w:cs="Times New Roman"/>
        </w:rPr>
        <w:t>Permatasari</w:t>
      </w:r>
      <w:proofErr w:type="spellEnd"/>
      <w:r w:rsidRPr="00361FFF">
        <w:rPr>
          <w:rFonts w:ascii="Times New Roman" w:hAnsi="Times New Roman" w:cs="Times New Roman"/>
        </w:rPr>
        <w:t>, 202</w:t>
      </w:r>
      <w:r w:rsidR="002F6B90">
        <w:rPr>
          <w:rFonts w:ascii="Times New Roman" w:hAnsi="Times New Roman" w:cs="Times New Roman"/>
        </w:rPr>
        <w:t>1</w:t>
      </w:r>
      <w:r w:rsidRPr="00361FFF">
        <w:rPr>
          <w:rFonts w:ascii="Times New Roman" w:hAnsi="Times New Roman" w:cs="Times New Roman"/>
        </w:rPr>
        <w:t>).</w:t>
      </w:r>
    </w:p>
    <w:p w14:paraId="52D5F995" w14:textId="6C6E044C"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Meanwhile, AHP is used to establish a priority scale for development interventions based on inputs from local stakeholders. Through AHP, the proposed development policies can be aligned with real </w:t>
      </w:r>
      <w:r w:rsidRPr="00361FFF">
        <w:rPr>
          <w:rFonts w:ascii="Times New Roman" w:hAnsi="Times New Roman" w:cs="Times New Roman"/>
        </w:rPr>
        <w:lastRenderedPageBreak/>
        <w:t xml:space="preserve">needs in the field, ensuring that Village Fund allocations generate maximum impact on food security outcomes. According to </w:t>
      </w:r>
      <w:r w:rsidR="002F6B90">
        <w:rPr>
          <w:rFonts w:ascii="Times New Roman" w:hAnsi="Times New Roman" w:cs="Times New Roman"/>
        </w:rPr>
        <w:t xml:space="preserve">Widodo </w:t>
      </w:r>
      <w:r w:rsidRPr="00361FFF">
        <w:rPr>
          <w:rFonts w:ascii="Times New Roman" w:hAnsi="Times New Roman" w:cs="Times New Roman"/>
        </w:rPr>
        <w:t>(202</w:t>
      </w:r>
      <w:r w:rsidR="002F6B90">
        <w:rPr>
          <w:rFonts w:ascii="Times New Roman" w:hAnsi="Times New Roman" w:cs="Times New Roman"/>
        </w:rPr>
        <w:t>1</w:t>
      </w:r>
      <w:r w:rsidRPr="00361FFF">
        <w:rPr>
          <w:rFonts w:ascii="Times New Roman" w:hAnsi="Times New Roman" w:cs="Times New Roman"/>
        </w:rPr>
        <w:t>), participatory approaches of this kind can improve policy implementation because they directly involve communities in decision-making.</w:t>
      </w:r>
    </w:p>
    <w:p w14:paraId="75D4AF8E" w14:textId="390EBFE6"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A commodity-based regional development strategy is a relevant model for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As an agrarian village,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has leading commodities in horticulture that can be leveraged to strengthen local food security. </w:t>
      </w:r>
      <w:r w:rsidR="002F6B90">
        <w:rPr>
          <w:rFonts w:ascii="Times New Roman" w:hAnsi="Times New Roman" w:cs="Times New Roman"/>
        </w:rPr>
        <w:t>C</w:t>
      </w:r>
      <w:r w:rsidRPr="00361FFF">
        <w:rPr>
          <w:rFonts w:ascii="Times New Roman" w:hAnsi="Times New Roman" w:cs="Times New Roman"/>
        </w:rPr>
        <w:t>ommodity-based area development, supported by appropriate policy instruments, can improve productivity and competitiveness of village food commodities. Accordingly, horticulture is positioned as a key focus in the village’s food security development agenda.</w:t>
      </w:r>
    </w:p>
    <w:p w14:paraId="7B5FC009" w14:textId="05E4A6C3"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In this context, it is important to </w:t>
      </w:r>
      <w:proofErr w:type="spellStart"/>
      <w:r w:rsidRPr="00361FFF">
        <w:rPr>
          <w:rFonts w:ascii="Times New Roman" w:hAnsi="Times New Roman" w:cs="Times New Roman"/>
        </w:rPr>
        <w:t>recognise</w:t>
      </w:r>
      <w:proofErr w:type="spellEnd"/>
      <w:r w:rsidRPr="00361FFF">
        <w:rPr>
          <w:rFonts w:ascii="Times New Roman" w:hAnsi="Times New Roman" w:cs="Times New Roman"/>
        </w:rPr>
        <w:t xml:space="preserve"> that village food security does not depend solely on production, but also on distribution systems and market access. Despite strong horticultural potential,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continues to experience marketing difficulties. The lack of a permanent village market and an active cooperative constrains distribution, weakens farmers’ bargaining power, and ultimately affects households’ purchasing capacity for local food products. Therefore, the development of a permanent village market becomes a priority within the village food security strategy.</w:t>
      </w:r>
    </w:p>
    <w:p w14:paraId="23571760"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Finally, this study aims to provide a clearer account of how factors such as infrastructure, institutional capacity, and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interact to support village food security. By integrating SEM and AHP, the study not only offers an in-depth analysis of inter-variable relationships but also formulates implementable strategic priorities to </w:t>
      </w:r>
      <w:proofErr w:type="spellStart"/>
      <w:r w:rsidRPr="00361FFF">
        <w:rPr>
          <w:rFonts w:ascii="Times New Roman" w:hAnsi="Times New Roman" w:cs="Times New Roman"/>
        </w:rPr>
        <w:t>realise</w:t>
      </w:r>
      <w:proofErr w:type="spellEnd"/>
      <w:r w:rsidRPr="00361FFF">
        <w:rPr>
          <w:rFonts w:ascii="Times New Roman" w:hAnsi="Times New Roman" w:cs="Times New Roman"/>
        </w:rPr>
        <w:t xml:space="preserve"> an inclusive and sustainable food self-sufficient area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With strengthened institutions, improved infrastructure, and enhanced community participation, the strategy is expected to serve as a model for food security development in other Indonesian villages with similar characteristics (Helmi et al., 2021).</w:t>
      </w:r>
    </w:p>
    <w:p w14:paraId="1FA5A22E" w14:textId="357C212C" w:rsidR="00361FFF" w:rsidRDefault="00361FFF" w:rsidP="00361FFF">
      <w:pPr>
        <w:jc w:val="both"/>
        <w:rPr>
          <w:rFonts w:ascii="Times New Roman" w:hAnsi="Times New Roman" w:cs="Times New Roman"/>
          <w:b/>
          <w:bCs/>
        </w:rPr>
      </w:pPr>
      <w:r>
        <w:rPr>
          <w:rFonts w:ascii="Times New Roman" w:hAnsi="Times New Roman" w:cs="Times New Roman"/>
          <w:b/>
          <w:bCs/>
        </w:rPr>
        <w:t xml:space="preserve">II. </w:t>
      </w:r>
      <w:r w:rsidRPr="00361FFF">
        <w:rPr>
          <w:rFonts w:ascii="Times New Roman" w:hAnsi="Times New Roman" w:cs="Times New Roman"/>
          <w:b/>
          <w:bCs/>
        </w:rPr>
        <w:t>Research Methods</w:t>
      </w:r>
    </w:p>
    <w:p w14:paraId="5F288C53" w14:textId="304B74E3"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employs a quantitative approach with descriptive and explanatory research types. The quantitative approach is selected because the primary objective is to objectively measure relationships among variables influencing village food security, including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the quality of agricultural infrastructure, farmers’ institutional capacity, and horticultural food production. The descriptive component is used to portray the current factual conditions of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with regard to its food security system, while the explanatory component is intended to test causal relationships among variables using Structural Equation Modeling (SEM).</w:t>
      </w:r>
    </w:p>
    <w:p w14:paraId="11D3347F" w14:textId="762F274A"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.1 Research Approach and Type</w:t>
      </w:r>
    </w:p>
    <w:p w14:paraId="319C2CD0" w14:textId="6E91ACA6"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adopts two analytical methods—Structural Equation Modeling (SEM) and the Analytic Hierarchy Process (AHP)—applied in combination to provide a comprehensive understanding of village food security. SEM is chosen due to its capability to model causal relationships between </w:t>
      </w:r>
      <w:r w:rsidRPr="00361FFF">
        <w:rPr>
          <w:rFonts w:ascii="Times New Roman" w:hAnsi="Times New Roman" w:cs="Times New Roman"/>
        </w:rPr>
        <w:lastRenderedPageBreak/>
        <w:t xml:space="preserve">latent variables and their indicators. SEM also enables testing of direct and indirect effects among key factors, such as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agricultural infrastructure, and institutional capacity, in relation to village food security.</w:t>
      </w:r>
    </w:p>
    <w:p w14:paraId="4F6FE72D"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AHP is used to construct policy or development strategy priorities for food security based on inputs from various local stakeholders. This approach is particularly suitable for village-based research because it incorporates community participation in decision-making by comparing and weighting criteria and sub-criteria perceived as important by stakeholders.</w:t>
      </w:r>
    </w:p>
    <w:p w14:paraId="4400C11E" w14:textId="3A97F154"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.2 Research Location</w:t>
      </w:r>
    </w:p>
    <w:p w14:paraId="13048B5B" w14:textId="6BFD84F2"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research was conducted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The site was selected because it exhibits strong agrarian characteristics and possesses leading commodities such as horticulture. Nevertheless, the village faces challenges in natural resource management, food distribution, and the suboptimal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of Village Funds. The location is also empirically relevant for examining village-level food self-sufficiency strategies and for applying a commodity-based area development approach.</w:t>
      </w:r>
    </w:p>
    <w:p w14:paraId="3A9B7F26" w14:textId="359C0FF7"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.3 Population and Sample</w:t>
      </w:r>
    </w:p>
    <w:p w14:paraId="3062EC04" w14:textId="7A69A965"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The population of this study comprises all horticultural farmers who are members of active farmer groups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The village has four active farmer groups with a total membership of 113. The study sample was determined using stratified random sampling, dividing the population into two principal strata: (1) farmers’ domicile locations across different hamlets, and (2) farmers’ activity status within farmer groups. This technique ensures representation across the village area and </w:t>
      </w:r>
      <w:proofErr w:type="spellStart"/>
      <w:r w:rsidRPr="00361FFF">
        <w:rPr>
          <w:rFonts w:ascii="Times New Roman" w:hAnsi="Times New Roman" w:cs="Times New Roman"/>
        </w:rPr>
        <w:t>minimises</w:t>
      </w:r>
      <w:proofErr w:type="spellEnd"/>
      <w:r w:rsidRPr="00361FFF">
        <w:rPr>
          <w:rFonts w:ascii="Times New Roman" w:hAnsi="Times New Roman" w:cs="Times New Roman"/>
        </w:rPr>
        <w:t xml:space="preserve"> geographic and social bias in sample selection.</w:t>
      </w:r>
    </w:p>
    <w:p w14:paraId="5E0513A4"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The sample size in this study is 60 respondents, calculated using Slovin’s formula with a 10% margin of error (e = 0.10). This sample size is used to support statistical estimation in SEM and to strengthen the reliability of findings within the model’s constraints. The selected respondents represent farmers active in the last two planting seasons, thereby reflecting actual on-the-ground conditions.</w:t>
      </w:r>
    </w:p>
    <w:p w14:paraId="57988914" w14:textId="6371F9A8"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.4 Types and Sources of Data</w:t>
      </w:r>
    </w:p>
    <w:p w14:paraId="03CF71A5" w14:textId="11CF9EA2" w:rsidR="00361FFF" w:rsidRPr="00361FFF" w:rsidRDefault="00361FFF" w:rsidP="00361FFF">
      <w:pPr>
        <w:jc w:val="both"/>
        <w:rPr>
          <w:rFonts w:ascii="Times New Roman" w:hAnsi="Times New Roman" w:cs="Times New Roman"/>
        </w:rPr>
      </w:pPr>
      <w:r w:rsidRPr="00361FFF">
        <w:rPr>
          <w:rFonts w:ascii="Times New Roman" w:hAnsi="Times New Roman" w:cs="Times New Roman"/>
        </w:rPr>
        <w:t>The data used in this study consist of primary and secondary data that complement each other in building a comprehensive understanding of village food security based on leading commodities.</w:t>
      </w:r>
    </w:p>
    <w:p w14:paraId="48476C1B" w14:textId="77777777" w:rsidR="00361FFF" w:rsidRPr="00361FFF" w:rsidRDefault="00361FFF" w:rsidP="00361FFF">
      <w:pPr>
        <w:numPr>
          <w:ilvl w:val="0"/>
          <w:numId w:val="1"/>
        </w:numPr>
        <w:jc w:val="both"/>
        <w:rPr>
          <w:rFonts w:ascii="Times New Roman" w:hAnsi="Times New Roman" w:cs="Times New Roman"/>
        </w:rPr>
      </w:pPr>
      <w:r w:rsidRPr="00361FFF">
        <w:rPr>
          <w:rFonts w:ascii="Times New Roman" w:hAnsi="Times New Roman" w:cs="Times New Roman"/>
        </w:rPr>
        <w:t>Primary Data: Primary data were collected directly from the field through three main techniques:</w:t>
      </w:r>
      <w:r w:rsidRPr="00361FFF">
        <w:rPr>
          <w:rFonts w:ascii="Times New Roman" w:hAnsi="Times New Roman" w:cs="Times New Roman"/>
        </w:rPr>
        <w:br/>
        <w:t xml:space="preserve">o Questionnaire Distribution: Questionnaires were administered to respondents to measure their perceptions of quantitative variables, including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the quality of agricultural infrastructure, farmers’ institutional capacity, and food security conditions.</w:t>
      </w:r>
      <w:r w:rsidRPr="00361FFF">
        <w:rPr>
          <w:rFonts w:ascii="Times New Roman" w:hAnsi="Times New Roman" w:cs="Times New Roman"/>
        </w:rPr>
        <w:br/>
        <w:t xml:space="preserve">o In-Depth Interviews: Interviews were conducted with key informants such as the village </w:t>
      </w:r>
      <w:r w:rsidRPr="00361FFF">
        <w:rPr>
          <w:rFonts w:ascii="Times New Roman" w:hAnsi="Times New Roman" w:cs="Times New Roman"/>
        </w:rPr>
        <w:lastRenderedPageBreak/>
        <w:t>head, farmer group leaders, agricultural extension officers, and community leaders to obtain deeper insights into food security conditions and Village Fund use.</w:t>
      </w:r>
      <w:r w:rsidRPr="00361FFF">
        <w:rPr>
          <w:rFonts w:ascii="Times New Roman" w:hAnsi="Times New Roman" w:cs="Times New Roman"/>
        </w:rPr>
        <w:br/>
        <w:t>o Focus Group Discussion (FGD): FGDs were conducted to formulate development priority criteria through AHP. These discussions involved farmers, village officials, and agricultural extension officers who actively participate in village planning processes.</w:t>
      </w:r>
    </w:p>
    <w:p w14:paraId="770B253E" w14:textId="77777777" w:rsidR="00361FFF" w:rsidRPr="00361FFF" w:rsidRDefault="00361FFF" w:rsidP="00361FFF">
      <w:pPr>
        <w:numPr>
          <w:ilvl w:val="0"/>
          <w:numId w:val="1"/>
        </w:numPr>
        <w:jc w:val="both"/>
        <w:rPr>
          <w:rFonts w:ascii="Times New Roman" w:hAnsi="Times New Roman" w:cs="Times New Roman"/>
        </w:rPr>
      </w:pPr>
      <w:r w:rsidRPr="00361FFF">
        <w:rPr>
          <w:rFonts w:ascii="Times New Roman" w:hAnsi="Times New Roman" w:cs="Times New Roman"/>
        </w:rPr>
        <w:t>Secondary Data: Secondary data were used to support the description of regional conditions and enrich the analysis. Secondary data were obtained from:</w:t>
      </w:r>
      <w:r w:rsidRPr="00361FFF">
        <w:rPr>
          <w:rFonts w:ascii="Times New Roman" w:hAnsi="Times New Roman" w:cs="Times New Roman"/>
        </w:rPr>
        <w:br/>
        <w:t xml:space="preserve">o Statistics Indonesia (BPS) of Southeast Aceh Regency, providing demographic and leading commodity data for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w:t>
      </w:r>
      <w:r w:rsidRPr="00361FFF">
        <w:rPr>
          <w:rFonts w:ascii="Times New Roman" w:hAnsi="Times New Roman" w:cs="Times New Roman"/>
        </w:rPr>
        <w:br/>
        <w:t xml:space="preserve">o Official Village Documents: Documents such as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reports, </w:t>
      </w:r>
      <w:proofErr w:type="spellStart"/>
      <w:r w:rsidRPr="00361FFF">
        <w:rPr>
          <w:rFonts w:ascii="Times New Roman" w:hAnsi="Times New Roman" w:cs="Times New Roman"/>
        </w:rPr>
        <w:t>APBDes</w:t>
      </w:r>
      <w:proofErr w:type="spellEnd"/>
      <w:r w:rsidRPr="00361FFF">
        <w:rPr>
          <w:rFonts w:ascii="Times New Roman" w:hAnsi="Times New Roman" w:cs="Times New Roman"/>
        </w:rPr>
        <w:t xml:space="preserve"> financial reports, and the Village Medium-Term Development Plan (</w:t>
      </w:r>
      <w:proofErr w:type="spellStart"/>
      <w:r w:rsidRPr="00361FFF">
        <w:rPr>
          <w:rFonts w:ascii="Times New Roman" w:hAnsi="Times New Roman" w:cs="Times New Roman"/>
        </w:rPr>
        <w:t>RPJMDes</w:t>
      </w:r>
      <w:proofErr w:type="spellEnd"/>
      <w:r w:rsidRPr="00361FFF">
        <w:rPr>
          <w:rFonts w:ascii="Times New Roman" w:hAnsi="Times New Roman" w:cs="Times New Roman"/>
        </w:rPr>
        <w:t>).</w:t>
      </w:r>
      <w:r w:rsidRPr="00361FFF">
        <w:rPr>
          <w:rFonts w:ascii="Times New Roman" w:hAnsi="Times New Roman" w:cs="Times New Roman"/>
        </w:rPr>
        <w:br/>
        <w:t>o Scientific Literature: Relevant national and international journal articles and previous research related to food security, rural development, and the application of SEM and AHP in regional and village development contexts.</w:t>
      </w:r>
    </w:p>
    <w:p w14:paraId="1AA3844F" w14:textId="1FE5CCA6"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.5 Data Collection Techniques</w:t>
      </w:r>
    </w:p>
    <w:p w14:paraId="01A0A8C6" w14:textId="0E179B8D" w:rsidR="00361FFF" w:rsidRPr="00361FFF" w:rsidRDefault="00361FFF" w:rsidP="00361FFF">
      <w:pPr>
        <w:jc w:val="both"/>
        <w:rPr>
          <w:rFonts w:ascii="Times New Roman" w:hAnsi="Times New Roman" w:cs="Times New Roman"/>
        </w:rPr>
      </w:pPr>
      <w:r w:rsidRPr="00361FFF">
        <w:rPr>
          <w:rFonts w:ascii="Times New Roman" w:hAnsi="Times New Roman" w:cs="Times New Roman"/>
        </w:rPr>
        <w:t>Data collection followed a structured approach comprising surveys, in-depth interviews, and focus group discussions (FGDs). The survey questionnaire focused on collecting quantitative information regarding farmers’ perceptions of factors influencing food security, such as the quality of agricultural infrastructure and institutional capacity. In-depth interviews and FGDs provided richer qualitative context regarding feasible food security strategies based on local conditions.</w:t>
      </w:r>
    </w:p>
    <w:p w14:paraId="1ED2FC59" w14:textId="73DD0F9E"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.6 Data Analysis Techniques</w:t>
      </w:r>
    </w:p>
    <w:p w14:paraId="0B77611D" w14:textId="1F27A9F7" w:rsidR="00361FFF" w:rsidRPr="00361FFF" w:rsidRDefault="00361FFF" w:rsidP="00361FFF">
      <w:pPr>
        <w:jc w:val="both"/>
        <w:rPr>
          <w:rFonts w:ascii="Times New Roman" w:hAnsi="Times New Roman" w:cs="Times New Roman"/>
        </w:rPr>
      </w:pPr>
      <w:r w:rsidRPr="00361FFF">
        <w:rPr>
          <w:rFonts w:ascii="Times New Roman" w:hAnsi="Times New Roman" w:cs="Times New Roman"/>
        </w:rPr>
        <w:t>Data analysis was conducted using two main approaches:</w:t>
      </w:r>
    </w:p>
    <w:p w14:paraId="7DD55D50" w14:textId="77777777" w:rsidR="00361FFF" w:rsidRPr="00361FFF" w:rsidRDefault="00361FFF" w:rsidP="00361FFF">
      <w:pPr>
        <w:numPr>
          <w:ilvl w:val="0"/>
          <w:numId w:val="2"/>
        </w:numPr>
        <w:jc w:val="both"/>
        <w:rPr>
          <w:rFonts w:ascii="Times New Roman" w:hAnsi="Times New Roman" w:cs="Times New Roman"/>
        </w:rPr>
      </w:pPr>
      <w:r w:rsidRPr="00361FFF">
        <w:rPr>
          <w:rFonts w:ascii="Times New Roman" w:hAnsi="Times New Roman" w:cs="Times New Roman"/>
        </w:rPr>
        <w:t>Structural Equation Modeling (SEM): SEM was used to test direct and indirect relationships among latent variables such as Village Funds, agricultural infrastructure, institutional capacity, and village food security. SEM helps map causal relationships among interacting variables within the village food security development system.</w:t>
      </w:r>
    </w:p>
    <w:p w14:paraId="7D69D236" w14:textId="77777777" w:rsidR="00361FFF" w:rsidRPr="00361FFF" w:rsidRDefault="00361FFF" w:rsidP="00361FFF">
      <w:pPr>
        <w:numPr>
          <w:ilvl w:val="0"/>
          <w:numId w:val="2"/>
        </w:numPr>
        <w:jc w:val="both"/>
        <w:rPr>
          <w:rFonts w:ascii="Times New Roman" w:hAnsi="Times New Roman" w:cs="Times New Roman"/>
        </w:rPr>
      </w:pPr>
      <w:r w:rsidRPr="00361FFF">
        <w:rPr>
          <w:rFonts w:ascii="Times New Roman" w:hAnsi="Times New Roman" w:cs="Times New Roman"/>
        </w:rPr>
        <w:t>Analytic Hierarchy Process (AHP): AHP was used to determine priority scales for food security development strategies based on inputs from local stakeholders. This process involves pairwise comparisons among relevant criteria and sub-criteria, producing priority weights that can be applied in development planning.</w:t>
      </w:r>
    </w:p>
    <w:p w14:paraId="35F143FE" w14:textId="447E2013"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.7 Validity and Reliability of Data</w:t>
      </w:r>
    </w:p>
    <w:p w14:paraId="5FB26BDC" w14:textId="03CA2731" w:rsidR="00361FFF" w:rsidRPr="00361FFF" w:rsidRDefault="00361FFF" w:rsidP="00361FFF">
      <w:pPr>
        <w:jc w:val="both"/>
        <w:rPr>
          <w:rFonts w:ascii="Times New Roman" w:hAnsi="Times New Roman" w:cs="Times New Roman"/>
        </w:rPr>
      </w:pPr>
      <w:r w:rsidRPr="00361FFF">
        <w:rPr>
          <w:rFonts w:ascii="Times New Roman" w:hAnsi="Times New Roman" w:cs="Times New Roman"/>
        </w:rPr>
        <w:t>Validity and reliability were maintained using instruments that have been tested in similar studies. Validity testing employed construct validity to ensure that the questionnaire measures the intended constructs. Reliability testing used Cronbach’s Alpha to assess internal consistency. In addition, the SEM model was evaluated using model fit assessment procedures to ensure that the model adequately represents the observed data structure and supports hypothesis testing.</w:t>
      </w:r>
    </w:p>
    <w:p w14:paraId="5FA2FFB8" w14:textId="77777777" w:rsidR="00361FFF" w:rsidRDefault="00361FFF" w:rsidP="00361FFF">
      <w:pPr>
        <w:jc w:val="both"/>
        <w:rPr>
          <w:rFonts w:ascii="Times New Roman" w:hAnsi="Times New Roman" w:cs="Times New Roman"/>
        </w:rPr>
      </w:pPr>
      <w:r>
        <w:rPr>
          <w:rFonts w:ascii="Times New Roman" w:hAnsi="Times New Roman" w:cs="Times New Roman"/>
          <w:b/>
          <w:bCs/>
        </w:rPr>
        <w:lastRenderedPageBreak/>
        <w:t xml:space="preserve">III. </w:t>
      </w:r>
      <w:r w:rsidRPr="00361FFF">
        <w:rPr>
          <w:rFonts w:ascii="Times New Roman" w:hAnsi="Times New Roman" w:cs="Times New Roman"/>
          <w:b/>
          <w:bCs/>
        </w:rPr>
        <w:t>Results and Discussion</w:t>
      </w:r>
    </w:p>
    <w:p w14:paraId="18D70987" w14:textId="77777777" w:rsidR="00361FFF" w:rsidRPr="00361FFF" w:rsidRDefault="00361FFF" w:rsidP="00361FFF">
      <w:pPr>
        <w:jc w:val="both"/>
        <w:rPr>
          <w:rFonts w:ascii="Times New Roman" w:hAnsi="Times New Roman" w:cs="Times New Roman"/>
          <w:b/>
          <w:bCs/>
        </w:rPr>
      </w:pPr>
      <w:r w:rsidRPr="00361FFF">
        <w:rPr>
          <w:rFonts w:ascii="Times New Roman" w:hAnsi="Times New Roman" w:cs="Times New Roman"/>
          <w:b/>
          <w:bCs/>
        </w:rPr>
        <w:t>3.1 General Profile of Respondents</w:t>
      </w:r>
    </w:p>
    <w:p w14:paraId="5AE0B5B4" w14:textId="0C95322C"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involved 60 respondents who are active farmers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Respondents are members of farmer groups engaged in horticultural production such as curly </w:t>
      </w:r>
      <w:proofErr w:type="spellStart"/>
      <w:r w:rsidRPr="00361FFF">
        <w:rPr>
          <w:rFonts w:ascii="Times New Roman" w:hAnsi="Times New Roman" w:cs="Times New Roman"/>
        </w:rPr>
        <w:t>chilli</w:t>
      </w:r>
      <w:proofErr w:type="spellEnd"/>
      <w:r w:rsidRPr="00361FFF">
        <w:rPr>
          <w:rFonts w:ascii="Times New Roman" w:hAnsi="Times New Roman" w:cs="Times New Roman"/>
        </w:rPr>
        <w:t>, Chinese cabbage (</w:t>
      </w:r>
      <w:proofErr w:type="spellStart"/>
      <w:r w:rsidRPr="00361FFF">
        <w:rPr>
          <w:rFonts w:ascii="Times New Roman" w:hAnsi="Times New Roman" w:cs="Times New Roman"/>
        </w:rPr>
        <w:t>petsai</w:t>
      </w:r>
      <w:proofErr w:type="spellEnd"/>
      <w:r w:rsidRPr="00361FFF">
        <w:rPr>
          <w:rFonts w:ascii="Times New Roman" w:hAnsi="Times New Roman" w:cs="Times New Roman"/>
        </w:rPr>
        <w:t>), and eggplant. Demographically, most respondents are aged 36–50 years (45%), and the highest proportion has a senior high school education (50%). The majority has more than five years of farming experience (65%), indicating adequate familiarity with local farming systems and village food security conditions.</w:t>
      </w:r>
    </w:p>
    <w:p w14:paraId="79A7B1F9"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Table 4.1 presents respondent characteristics by age, gender, and education. The data suggest that the village has a balanced </w:t>
      </w:r>
      <w:proofErr w:type="spellStart"/>
      <w:r w:rsidRPr="00361FFF">
        <w:rPr>
          <w:rFonts w:ascii="Times New Roman" w:hAnsi="Times New Roman" w:cs="Times New Roman"/>
        </w:rPr>
        <w:t>labour</w:t>
      </w:r>
      <w:proofErr w:type="spellEnd"/>
      <w:r w:rsidRPr="00361FFF">
        <w:rPr>
          <w:rFonts w:ascii="Times New Roman" w:hAnsi="Times New Roman" w:cs="Times New Roman"/>
        </w:rPr>
        <w:t xml:space="preserve"> composition in terms of gender and farming experience. These demographic conditions constitute important social capital for community-based food security development.</w:t>
      </w:r>
    </w:p>
    <w:p w14:paraId="316399C4" w14:textId="6332772B" w:rsidR="00361FFF" w:rsidRPr="00361FFF" w:rsidRDefault="00361FFF" w:rsidP="00441EE3">
      <w:pPr>
        <w:jc w:val="center"/>
        <w:rPr>
          <w:rFonts w:ascii="Times New Roman" w:hAnsi="Times New Roman" w:cs="Times New Roman"/>
        </w:rPr>
      </w:pPr>
      <w:r w:rsidRPr="00361FFF">
        <w:rPr>
          <w:rFonts w:ascii="Times New Roman" w:hAnsi="Times New Roman" w:cs="Times New Roman"/>
        </w:rPr>
        <w:t>Table 1 Respondent Characteristics</w:t>
      </w:r>
    </w:p>
    <w:tbl>
      <w:tblPr>
        <w:tblStyle w:val="TableGrid"/>
        <w:tblW w:w="0" w:type="auto"/>
        <w:tblLook w:val="04A0" w:firstRow="1" w:lastRow="0" w:firstColumn="1" w:lastColumn="0" w:noHBand="0" w:noVBand="1"/>
      </w:tblPr>
      <w:tblGrid>
        <w:gridCol w:w="3050"/>
        <w:gridCol w:w="3542"/>
        <w:gridCol w:w="1805"/>
      </w:tblGrid>
      <w:tr w:rsidR="00361FFF" w:rsidRPr="00361FFF" w14:paraId="135795B0" w14:textId="77777777" w:rsidTr="00441EE3">
        <w:tc>
          <w:tcPr>
            <w:tcW w:w="0" w:type="auto"/>
            <w:hideMark/>
          </w:tcPr>
          <w:p w14:paraId="550EB4DE"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Respondent Characteristics</w:t>
            </w:r>
          </w:p>
        </w:tc>
        <w:tc>
          <w:tcPr>
            <w:tcW w:w="0" w:type="auto"/>
            <w:hideMark/>
          </w:tcPr>
          <w:p w14:paraId="303D791F"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Number of Respondents (n = 60)</w:t>
            </w:r>
          </w:p>
        </w:tc>
        <w:tc>
          <w:tcPr>
            <w:tcW w:w="0" w:type="auto"/>
            <w:hideMark/>
          </w:tcPr>
          <w:p w14:paraId="415C773F"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Percentage (%)</w:t>
            </w:r>
          </w:p>
        </w:tc>
      </w:tr>
      <w:tr w:rsidR="00361FFF" w:rsidRPr="00361FFF" w14:paraId="29A98326" w14:textId="77777777" w:rsidTr="00441EE3">
        <w:tc>
          <w:tcPr>
            <w:tcW w:w="0" w:type="auto"/>
            <w:hideMark/>
          </w:tcPr>
          <w:p w14:paraId="221646B3"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Age</w:t>
            </w:r>
          </w:p>
        </w:tc>
        <w:tc>
          <w:tcPr>
            <w:tcW w:w="0" w:type="auto"/>
            <w:hideMark/>
          </w:tcPr>
          <w:p w14:paraId="4BA2F8A0"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628E36C"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39E00157" w14:textId="77777777" w:rsidTr="00441EE3">
        <w:tc>
          <w:tcPr>
            <w:tcW w:w="0" w:type="auto"/>
            <w:hideMark/>
          </w:tcPr>
          <w:p w14:paraId="67190545"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&lt; 20 years</w:t>
            </w:r>
          </w:p>
        </w:tc>
        <w:tc>
          <w:tcPr>
            <w:tcW w:w="0" w:type="auto"/>
            <w:hideMark/>
          </w:tcPr>
          <w:p w14:paraId="45EC184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5</w:t>
            </w:r>
          </w:p>
        </w:tc>
        <w:tc>
          <w:tcPr>
            <w:tcW w:w="0" w:type="auto"/>
            <w:hideMark/>
          </w:tcPr>
          <w:p w14:paraId="0D6D6C4A"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8.33</w:t>
            </w:r>
          </w:p>
        </w:tc>
      </w:tr>
      <w:tr w:rsidR="00361FFF" w:rsidRPr="00361FFF" w14:paraId="60302615" w14:textId="77777777" w:rsidTr="00441EE3">
        <w:tc>
          <w:tcPr>
            <w:tcW w:w="0" w:type="auto"/>
            <w:hideMark/>
          </w:tcPr>
          <w:p w14:paraId="61A031C2"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21–35 years</w:t>
            </w:r>
          </w:p>
        </w:tc>
        <w:tc>
          <w:tcPr>
            <w:tcW w:w="0" w:type="auto"/>
            <w:hideMark/>
          </w:tcPr>
          <w:p w14:paraId="59A1C06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12</w:t>
            </w:r>
          </w:p>
        </w:tc>
        <w:tc>
          <w:tcPr>
            <w:tcW w:w="0" w:type="auto"/>
            <w:hideMark/>
          </w:tcPr>
          <w:p w14:paraId="2D603DD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20.00</w:t>
            </w:r>
          </w:p>
        </w:tc>
      </w:tr>
      <w:tr w:rsidR="00361FFF" w:rsidRPr="00361FFF" w14:paraId="52F83FD4" w14:textId="77777777" w:rsidTr="00441EE3">
        <w:tc>
          <w:tcPr>
            <w:tcW w:w="0" w:type="auto"/>
            <w:hideMark/>
          </w:tcPr>
          <w:p w14:paraId="3231E572"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36–50 years</w:t>
            </w:r>
          </w:p>
        </w:tc>
        <w:tc>
          <w:tcPr>
            <w:tcW w:w="0" w:type="auto"/>
            <w:hideMark/>
          </w:tcPr>
          <w:p w14:paraId="3F3C1CE2"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27</w:t>
            </w:r>
          </w:p>
        </w:tc>
        <w:tc>
          <w:tcPr>
            <w:tcW w:w="0" w:type="auto"/>
            <w:hideMark/>
          </w:tcPr>
          <w:p w14:paraId="002CD51C"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45.00</w:t>
            </w:r>
          </w:p>
        </w:tc>
      </w:tr>
      <w:tr w:rsidR="00361FFF" w:rsidRPr="00361FFF" w14:paraId="52D5A2A6" w14:textId="77777777" w:rsidTr="00441EE3">
        <w:tc>
          <w:tcPr>
            <w:tcW w:w="0" w:type="auto"/>
            <w:hideMark/>
          </w:tcPr>
          <w:p w14:paraId="18B58BC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&gt; 50 years</w:t>
            </w:r>
          </w:p>
        </w:tc>
        <w:tc>
          <w:tcPr>
            <w:tcW w:w="0" w:type="auto"/>
            <w:hideMark/>
          </w:tcPr>
          <w:p w14:paraId="07BEFD8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16</w:t>
            </w:r>
          </w:p>
        </w:tc>
        <w:tc>
          <w:tcPr>
            <w:tcW w:w="0" w:type="auto"/>
            <w:hideMark/>
          </w:tcPr>
          <w:p w14:paraId="4511B18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26.67</w:t>
            </w:r>
          </w:p>
        </w:tc>
      </w:tr>
      <w:tr w:rsidR="00361FFF" w:rsidRPr="00361FFF" w14:paraId="680BB0E0" w14:textId="77777777" w:rsidTr="00441EE3">
        <w:tc>
          <w:tcPr>
            <w:tcW w:w="0" w:type="auto"/>
            <w:hideMark/>
          </w:tcPr>
          <w:p w14:paraId="68CDA321"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Gender</w:t>
            </w:r>
          </w:p>
        </w:tc>
        <w:tc>
          <w:tcPr>
            <w:tcW w:w="0" w:type="auto"/>
            <w:hideMark/>
          </w:tcPr>
          <w:p w14:paraId="33F80740"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D3AE90F"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0743D811" w14:textId="77777777" w:rsidTr="00441EE3">
        <w:tc>
          <w:tcPr>
            <w:tcW w:w="0" w:type="auto"/>
            <w:hideMark/>
          </w:tcPr>
          <w:p w14:paraId="238D65B5"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Male</w:t>
            </w:r>
          </w:p>
        </w:tc>
        <w:tc>
          <w:tcPr>
            <w:tcW w:w="0" w:type="auto"/>
            <w:hideMark/>
          </w:tcPr>
          <w:p w14:paraId="02838C8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30</w:t>
            </w:r>
          </w:p>
        </w:tc>
        <w:tc>
          <w:tcPr>
            <w:tcW w:w="0" w:type="auto"/>
            <w:hideMark/>
          </w:tcPr>
          <w:p w14:paraId="0BB3AEC1"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50.00</w:t>
            </w:r>
          </w:p>
        </w:tc>
      </w:tr>
      <w:tr w:rsidR="00361FFF" w:rsidRPr="00361FFF" w14:paraId="7EDC335B" w14:textId="77777777" w:rsidTr="00441EE3">
        <w:tc>
          <w:tcPr>
            <w:tcW w:w="0" w:type="auto"/>
            <w:hideMark/>
          </w:tcPr>
          <w:p w14:paraId="50C4C641"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Female</w:t>
            </w:r>
          </w:p>
        </w:tc>
        <w:tc>
          <w:tcPr>
            <w:tcW w:w="0" w:type="auto"/>
            <w:hideMark/>
          </w:tcPr>
          <w:p w14:paraId="27F67E24"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30</w:t>
            </w:r>
          </w:p>
        </w:tc>
        <w:tc>
          <w:tcPr>
            <w:tcW w:w="0" w:type="auto"/>
            <w:hideMark/>
          </w:tcPr>
          <w:p w14:paraId="3651E573"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50.00</w:t>
            </w:r>
          </w:p>
        </w:tc>
      </w:tr>
      <w:tr w:rsidR="00361FFF" w:rsidRPr="00361FFF" w14:paraId="0C21BBC1" w14:textId="77777777" w:rsidTr="00441EE3">
        <w:tc>
          <w:tcPr>
            <w:tcW w:w="0" w:type="auto"/>
            <w:hideMark/>
          </w:tcPr>
          <w:p w14:paraId="60AB2E4E"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Education Level</w:t>
            </w:r>
          </w:p>
        </w:tc>
        <w:tc>
          <w:tcPr>
            <w:tcW w:w="0" w:type="auto"/>
            <w:hideMark/>
          </w:tcPr>
          <w:p w14:paraId="221C571B"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34466872"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46E88BE7" w14:textId="77777777" w:rsidTr="00441EE3">
        <w:tc>
          <w:tcPr>
            <w:tcW w:w="0" w:type="auto"/>
            <w:hideMark/>
          </w:tcPr>
          <w:p w14:paraId="052C8288"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Primary/Junior High School</w:t>
            </w:r>
          </w:p>
        </w:tc>
        <w:tc>
          <w:tcPr>
            <w:tcW w:w="0" w:type="auto"/>
            <w:hideMark/>
          </w:tcPr>
          <w:p w14:paraId="17983D5A"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6</w:t>
            </w:r>
          </w:p>
        </w:tc>
        <w:tc>
          <w:tcPr>
            <w:tcW w:w="0" w:type="auto"/>
            <w:hideMark/>
          </w:tcPr>
          <w:p w14:paraId="46766409"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10.00</w:t>
            </w:r>
          </w:p>
        </w:tc>
      </w:tr>
      <w:tr w:rsidR="00361FFF" w:rsidRPr="00361FFF" w14:paraId="4C3CB82C" w14:textId="77777777" w:rsidTr="00441EE3">
        <w:tc>
          <w:tcPr>
            <w:tcW w:w="0" w:type="auto"/>
            <w:hideMark/>
          </w:tcPr>
          <w:p w14:paraId="624C0691"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Senior High School</w:t>
            </w:r>
          </w:p>
        </w:tc>
        <w:tc>
          <w:tcPr>
            <w:tcW w:w="0" w:type="auto"/>
            <w:hideMark/>
          </w:tcPr>
          <w:p w14:paraId="19A4C6D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30</w:t>
            </w:r>
          </w:p>
        </w:tc>
        <w:tc>
          <w:tcPr>
            <w:tcW w:w="0" w:type="auto"/>
            <w:hideMark/>
          </w:tcPr>
          <w:p w14:paraId="616DCC1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50.00</w:t>
            </w:r>
          </w:p>
        </w:tc>
      </w:tr>
      <w:tr w:rsidR="00361FFF" w:rsidRPr="00361FFF" w14:paraId="2C3CD019" w14:textId="77777777" w:rsidTr="00441EE3">
        <w:tc>
          <w:tcPr>
            <w:tcW w:w="0" w:type="auto"/>
            <w:hideMark/>
          </w:tcPr>
          <w:p w14:paraId="507253F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Diploma</w:t>
            </w:r>
          </w:p>
        </w:tc>
        <w:tc>
          <w:tcPr>
            <w:tcW w:w="0" w:type="auto"/>
            <w:hideMark/>
          </w:tcPr>
          <w:p w14:paraId="4D0B03D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12</w:t>
            </w:r>
          </w:p>
        </w:tc>
        <w:tc>
          <w:tcPr>
            <w:tcW w:w="0" w:type="auto"/>
            <w:hideMark/>
          </w:tcPr>
          <w:p w14:paraId="3AA021C8"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20.00</w:t>
            </w:r>
          </w:p>
        </w:tc>
      </w:tr>
      <w:tr w:rsidR="00361FFF" w:rsidRPr="00361FFF" w14:paraId="01DC8956" w14:textId="77777777" w:rsidTr="00441EE3">
        <w:tc>
          <w:tcPr>
            <w:tcW w:w="0" w:type="auto"/>
            <w:hideMark/>
          </w:tcPr>
          <w:p w14:paraId="34080BC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Bachelor’s (S1) and above</w:t>
            </w:r>
          </w:p>
        </w:tc>
        <w:tc>
          <w:tcPr>
            <w:tcW w:w="0" w:type="auto"/>
            <w:hideMark/>
          </w:tcPr>
          <w:p w14:paraId="33B889B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12</w:t>
            </w:r>
          </w:p>
        </w:tc>
        <w:tc>
          <w:tcPr>
            <w:tcW w:w="0" w:type="auto"/>
            <w:hideMark/>
          </w:tcPr>
          <w:p w14:paraId="498802B4"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20.00</w:t>
            </w:r>
          </w:p>
        </w:tc>
      </w:tr>
    </w:tbl>
    <w:p w14:paraId="1756DF2F" w14:textId="55F979C5"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3.1</w:t>
      </w:r>
      <w:r w:rsidR="00361FFF" w:rsidRPr="00361FFF">
        <w:rPr>
          <w:rFonts w:ascii="Times New Roman" w:hAnsi="Times New Roman" w:cs="Times New Roman"/>
          <w:b/>
          <w:bCs/>
        </w:rPr>
        <w:t xml:space="preserve"> Validity and Reliability Testing in SEM-PLS</w:t>
      </w:r>
    </w:p>
    <w:p w14:paraId="048D68D6" w14:textId="5EC14CC3" w:rsidR="00361FFF" w:rsidRPr="00361FFF" w:rsidRDefault="00361FFF" w:rsidP="00361FFF">
      <w:pPr>
        <w:jc w:val="both"/>
        <w:rPr>
          <w:rFonts w:ascii="Times New Roman" w:hAnsi="Times New Roman" w:cs="Times New Roman"/>
        </w:rPr>
      </w:pPr>
      <w:r w:rsidRPr="00361FFF">
        <w:rPr>
          <w:rFonts w:ascii="Times New Roman" w:hAnsi="Times New Roman" w:cs="Times New Roman"/>
        </w:rPr>
        <w:lastRenderedPageBreak/>
        <w:t>Before further analysis, validity and reliability testing were conducted to ensure the quality of the measurement model in SEM-PLS. The validity results show that the indicators demonstrate good construct validity, with outer loading values above 0.60 across constructs, indicating that each indicator reliably measures its intended latent variable. Reliability testing using Cronbach’s Alpha also indicates consistent results, with values above 0.70 for all variables, confirming acceptable internal consistency. Composite reliability values further support measurement reliability, indicating stable construct measurement within the model.</w:t>
      </w:r>
    </w:p>
    <w:p w14:paraId="3FFB7CE3" w14:textId="087A69B0" w:rsidR="00361FFF" w:rsidRPr="00361FFF" w:rsidRDefault="00361FFF" w:rsidP="00441EE3">
      <w:pPr>
        <w:jc w:val="center"/>
        <w:rPr>
          <w:rFonts w:ascii="Times New Roman" w:hAnsi="Times New Roman" w:cs="Times New Roman"/>
        </w:rPr>
      </w:pPr>
      <w:r w:rsidRPr="00361FFF">
        <w:rPr>
          <w:rFonts w:ascii="Times New Roman" w:hAnsi="Times New Roman" w:cs="Times New Roman"/>
        </w:rPr>
        <w:t>Table</w:t>
      </w:r>
      <w:r w:rsidR="00441EE3">
        <w:rPr>
          <w:rFonts w:ascii="Times New Roman" w:hAnsi="Times New Roman" w:cs="Times New Roman"/>
        </w:rPr>
        <w:t xml:space="preserve"> </w:t>
      </w:r>
      <w:r w:rsidRPr="00361FFF">
        <w:rPr>
          <w:rFonts w:ascii="Times New Roman" w:hAnsi="Times New Roman" w:cs="Times New Roman"/>
        </w:rPr>
        <w:t>2 Validity and Reliability Testing in SEM-PLS</w:t>
      </w:r>
    </w:p>
    <w:tbl>
      <w:tblPr>
        <w:tblStyle w:val="TableGrid"/>
        <w:tblW w:w="0" w:type="auto"/>
        <w:tblLook w:val="04A0" w:firstRow="1" w:lastRow="0" w:firstColumn="1" w:lastColumn="0" w:noHBand="0" w:noVBand="1"/>
      </w:tblPr>
      <w:tblGrid>
        <w:gridCol w:w="2066"/>
        <w:gridCol w:w="2409"/>
        <w:gridCol w:w="1366"/>
        <w:gridCol w:w="1701"/>
        <w:gridCol w:w="1808"/>
      </w:tblGrid>
      <w:tr w:rsidR="00361FFF" w:rsidRPr="00361FFF" w14:paraId="03A6EB33" w14:textId="77777777" w:rsidTr="00441EE3">
        <w:tc>
          <w:tcPr>
            <w:tcW w:w="0" w:type="auto"/>
            <w:hideMark/>
          </w:tcPr>
          <w:p w14:paraId="2DF2E234"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Variable</w:t>
            </w:r>
          </w:p>
        </w:tc>
        <w:tc>
          <w:tcPr>
            <w:tcW w:w="0" w:type="auto"/>
            <w:hideMark/>
          </w:tcPr>
          <w:p w14:paraId="59DCB5F6"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Indicator</w:t>
            </w:r>
          </w:p>
        </w:tc>
        <w:tc>
          <w:tcPr>
            <w:tcW w:w="0" w:type="auto"/>
            <w:hideMark/>
          </w:tcPr>
          <w:p w14:paraId="033D8CBE"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Outer Loading</w:t>
            </w:r>
          </w:p>
        </w:tc>
        <w:tc>
          <w:tcPr>
            <w:tcW w:w="0" w:type="auto"/>
            <w:hideMark/>
          </w:tcPr>
          <w:p w14:paraId="6B4CF77D"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Cronbach’s Alpha</w:t>
            </w:r>
          </w:p>
        </w:tc>
        <w:tc>
          <w:tcPr>
            <w:tcW w:w="0" w:type="auto"/>
            <w:hideMark/>
          </w:tcPr>
          <w:p w14:paraId="02BF6589"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Composite Reliability</w:t>
            </w:r>
          </w:p>
        </w:tc>
      </w:tr>
      <w:tr w:rsidR="00361FFF" w:rsidRPr="00361FFF" w14:paraId="7D7D5584" w14:textId="77777777" w:rsidTr="00441EE3">
        <w:tc>
          <w:tcPr>
            <w:tcW w:w="0" w:type="auto"/>
            <w:hideMark/>
          </w:tcPr>
          <w:p w14:paraId="3599C05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Agricultural Infrastructure</w:t>
            </w:r>
          </w:p>
        </w:tc>
        <w:tc>
          <w:tcPr>
            <w:tcW w:w="0" w:type="auto"/>
            <w:hideMark/>
          </w:tcPr>
          <w:p w14:paraId="6675D9DC"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Irrigation Quality</w:t>
            </w:r>
          </w:p>
        </w:tc>
        <w:tc>
          <w:tcPr>
            <w:tcW w:w="0" w:type="auto"/>
            <w:hideMark/>
          </w:tcPr>
          <w:p w14:paraId="5233CA4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0.84</w:t>
            </w:r>
          </w:p>
        </w:tc>
        <w:tc>
          <w:tcPr>
            <w:tcW w:w="0" w:type="auto"/>
            <w:hideMark/>
          </w:tcPr>
          <w:p w14:paraId="27E3DB3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0.78</w:t>
            </w:r>
          </w:p>
        </w:tc>
        <w:tc>
          <w:tcPr>
            <w:tcW w:w="0" w:type="auto"/>
            <w:hideMark/>
          </w:tcPr>
          <w:p w14:paraId="6B5D832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0.89</w:t>
            </w:r>
          </w:p>
        </w:tc>
      </w:tr>
      <w:tr w:rsidR="00361FFF" w:rsidRPr="00361FFF" w14:paraId="2064604A" w14:textId="77777777" w:rsidTr="00441EE3">
        <w:tc>
          <w:tcPr>
            <w:tcW w:w="0" w:type="auto"/>
            <w:hideMark/>
          </w:tcPr>
          <w:p w14:paraId="4C46ADF3"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E8C2D0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Farm Road Access</w:t>
            </w:r>
          </w:p>
        </w:tc>
        <w:tc>
          <w:tcPr>
            <w:tcW w:w="0" w:type="auto"/>
            <w:hideMark/>
          </w:tcPr>
          <w:p w14:paraId="72A73E2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0.81</w:t>
            </w:r>
          </w:p>
        </w:tc>
        <w:tc>
          <w:tcPr>
            <w:tcW w:w="0" w:type="auto"/>
            <w:hideMark/>
          </w:tcPr>
          <w:p w14:paraId="15084041"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895A83F"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1124185F" w14:textId="77777777" w:rsidTr="00441EE3">
        <w:tc>
          <w:tcPr>
            <w:tcW w:w="0" w:type="auto"/>
            <w:hideMark/>
          </w:tcPr>
          <w:p w14:paraId="45CEC3D6"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283BB12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Post-Harvest Facilities</w:t>
            </w:r>
          </w:p>
        </w:tc>
        <w:tc>
          <w:tcPr>
            <w:tcW w:w="0" w:type="auto"/>
            <w:hideMark/>
          </w:tcPr>
          <w:p w14:paraId="1506DDF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0.79</w:t>
            </w:r>
          </w:p>
        </w:tc>
        <w:tc>
          <w:tcPr>
            <w:tcW w:w="0" w:type="auto"/>
            <w:hideMark/>
          </w:tcPr>
          <w:p w14:paraId="437CF456"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2BB67144"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62DED047" w14:textId="77777777" w:rsidTr="00441EE3">
        <w:tc>
          <w:tcPr>
            <w:tcW w:w="0" w:type="auto"/>
            <w:hideMark/>
          </w:tcPr>
          <w:p w14:paraId="30C79FB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Institutional Capacity</w:t>
            </w:r>
          </w:p>
        </w:tc>
        <w:tc>
          <w:tcPr>
            <w:tcW w:w="0" w:type="auto"/>
            <w:hideMark/>
          </w:tcPr>
          <w:p w14:paraId="754834CE"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Active Farmer Groups</w:t>
            </w:r>
          </w:p>
        </w:tc>
        <w:tc>
          <w:tcPr>
            <w:tcW w:w="0" w:type="auto"/>
            <w:hideMark/>
          </w:tcPr>
          <w:p w14:paraId="6E1EBB8B"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0.85</w:t>
            </w:r>
          </w:p>
        </w:tc>
        <w:tc>
          <w:tcPr>
            <w:tcW w:w="0" w:type="auto"/>
            <w:hideMark/>
          </w:tcPr>
          <w:p w14:paraId="2C0DB55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0.82</w:t>
            </w:r>
          </w:p>
        </w:tc>
        <w:tc>
          <w:tcPr>
            <w:tcW w:w="0" w:type="auto"/>
            <w:hideMark/>
          </w:tcPr>
          <w:p w14:paraId="24F1949B"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0.91</w:t>
            </w:r>
          </w:p>
        </w:tc>
      </w:tr>
      <w:tr w:rsidR="00361FFF" w:rsidRPr="00361FFF" w14:paraId="7B75F38D" w14:textId="77777777" w:rsidTr="00441EE3">
        <w:tc>
          <w:tcPr>
            <w:tcW w:w="0" w:type="auto"/>
            <w:hideMark/>
          </w:tcPr>
          <w:p w14:paraId="18E9290F"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3D8E231"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Cooperative Sustainability</w:t>
            </w:r>
          </w:p>
        </w:tc>
        <w:tc>
          <w:tcPr>
            <w:tcW w:w="0" w:type="auto"/>
            <w:hideMark/>
          </w:tcPr>
          <w:p w14:paraId="726A3F0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0.80</w:t>
            </w:r>
          </w:p>
        </w:tc>
        <w:tc>
          <w:tcPr>
            <w:tcW w:w="0" w:type="auto"/>
            <w:hideMark/>
          </w:tcPr>
          <w:p w14:paraId="7101B9F9"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6A488728"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41844C91" w14:textId="77777777" w:rsidTr="00441EE3">
        <w:tc>
          <w:tcPr>
            <w:tcW w:w="0" w:type="auto"/>
            <w:hideMark/>
          </w:tcPr>
          <w:p w14:paraId="770D693F"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588B8DF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Support from Village Government</w:t>
            </w:r>
          </w:p>
        </w:tc>
        <w:tc>
          <w:tcPr>
            <w:tcW w:w="0" w:type="auto"/>
            <w:hideMark/>
          </w:tcPr>
          <w:p w14:paraId="7CD35011"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0.77</w:t>
            </w:r>
          </w:p>
        </w:tc>
        <w:tc>
          <w:tcPr>
            <w:tcW w:w="0" w:type="auto"/>
            <w:hideMark/>
          </w:tcPr>
          <w:p w14:paraId="51B3939C"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132B630"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6B6838A1" w14:textId="77777777" w:rsidTr="00441EE3">
        <w:tc>
          <w:tcPr>
            <w:tcW w:w="0" w:type="auto"/>
            <w:hideMark/>
          </w:tcPr>
          <w:p w14:paraId="0B7A3DB5"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 xml:space="preserve">Village Fund </w:t>
            </w:r>
            <w:proofErr w:type="spellStart"/>
            <w:r w:rsidRPr="00361FFF">
              <w:rPr>
                <w:rFonts w:ascii="Times New Roman" w:hAnsi="Times New Roman" w:cs="Times New Roman"/>
              </w:rPr>
              <w:t>Utilisation</w:t>
            </w:r>
            <w:proofErr w:type="spellEnd"/>
          </w:p>
        </w:tc>
        <w:tc>
          <w:tcPr>
            <w:tcW w:w="0" w:type="auto"/>
            <w:hideMark/>
          </w:tcPr>
          <w:p w14:paraId="6B9DF2DC"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Allocation for Agriculture</w:t>
            </w:r>
          </w:p>
        </w:tc>
        <w:tc>
          <w:tcPr>
            <w:tcW w:w="0" w:type="auto"/>
            <w:hideMark/>
          </w:tcPr>
          <w:p w14:paraId="257AE54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0.88</w:t>
            </w:r>
          </w:p>
        </w:tc>
        <w:tc>
          <w:tcPr>
            <w:tcW w:w="0" w:type="auto"/>
            <w:hideMark/>
          </w:tcPr>
          <w:p w14:paraId="76BA71F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0.84</w:t>
            </w:r>
          </w:p>
        </w:tc>
        <w:tc>
          <w:tcPr>
            <w:tcW w:w="0" w:type="auto"/>
            <w:hideMark/>
          </w:tcPr>
          <w:p w14:paraId="69B1F74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0.92</w:t>
            </w:r>
          </w:p>
        </w:tc>
      </w:tr>
      <w:tr w:rsidR="00361FFF" w:rsidRPr="00361FFF" w14:paraId="686FDECD" w14:textId="77777777" w:rsidTr="00441EE3">
        <w:tc>
          <w:tcPr>
            <w:tcW w:w="0" w:type="auto"/>
            <w:hideMark/>
          </w:tcPr>
          <w:p w14:paraId="18517087"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07569E39"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Effectiveness of Use</w:t>
            </w:r>
          </w:p>
        </w:tc>
        <w:tc>
          <w:tcPr>
            <w:tcW w:w="0" w:type="auto"/>
            <w:hideMark/>
          </w:tcPr>
          <w:p w14:paraId="2100A682"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0.82</w:t>
            </w:r>
          </w:p>
        </w:tc>
        <w:tc>
          <w:tcPr>
            <w:tcW w:w="0" w:type="auto"/>
            <w:hideMark/>
          </w:tcPr>
          <w:p w14:paraId="31008CBD"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D23FB62"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753378E1" w14:textId="77777777" w:rsidTr="00441EE3">
        <w:tc>
          <w:tcPr>
            <w:tcW w:w="0" w:type="auto"/>
            <w:hideMark/>
          </w:tcPr>
          <w:p w14:paraId="26C35696"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2EDD727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Village Financial Management</w:t>
            </w:r>
          </w:p>
        </w:tc>
        <w:tc>
          <w:tcPr>
            <w:tcW w:w="0" w:type="auto"/>
            <w:hideMark/>
          </w:tcPr>
          <w:p w14:paraId="007DEF85"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0.83</w:t>
            </w:r>
          </w:p>
        </w:tc>
        <w:tc>
          <w:tcPr>
            <w:tcW w:w="0" w:type="auto"/>
            <w:hideMark/>
          </w:tcPr>
          <w:p w14:paraId="7A5A6714"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9315915"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4D3BAD4E" w14:textId="77777777" w:rsidTr="00441EE3">
        <w:tc>
          <w:tcPr>
            <w:tcW w:w="0" w:type="auto"/>
            <w:hideMark/>
          </w:tcPr>
          <w:p w14:paraId="52B1527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Village Food Security</w:t>
            </w:r>
          </w:p>
        </w:tc>
        <w:tc>
          <w:tcPr>
            <w:tcW w:w="0" w:type="auto"/>
            <w:hideMark/>
          </w:tcPr>
          <w:p w14:paraId="77B65DE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Food Availability</w:t>
            </w:r>
          </w:p>
        </w:tc>
        <w:tc>
          <w:tcPr>
            <w:tcW w:w="0" w:type="auto"/>
            <w:hideMark/>
          </w:tcPr>
          <w:p w14:paraId="2A3D2E4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0.90</w:t>
            </w:r>
          </w:p>
        </w:tc>
        <w:tc>
          <w:tcPr>
            <w:tcW w:w="0" w:type="auto"/>
            <w:hideMark/>
          </w:tcPr>
          <w:p w14:paraId="08242418"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0.85</w:t>
            </w:r>
          </w:p>
        </w:tc>
        <w:tc>
          <w:tcPr>
            <w:tcW w:w="0" w:type="auto"/>
            <w:hideMark/>
          </w:tcPr>
          <w:p w14:paraId="6D897433"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0.93</w:t>
            </w:r>
          </w:p>
        </w:tc>
      </w:tr>
      <w:tr w:rsidR="00361FFF" w:rsidRPr="00361FFF" w14:paraId="67A9DC9F" w14:textId="77777777" w:rsidTr="00441EE3">
        <w:tc>
          <w:tcPr>
            <w:tcW w:w="0" w:type="auto"/>
            <w:hideMark/>
          </w:tcPr>
          <w:p w14:paraId="05746F04"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5ED3B29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Food Accessibility</w:t>
            </w:r>
          </w:p>
        </w:tc>
        <w:tc>
          <w:tcPr>
            <w:tcW w:w="0" w:type="auto"/>
            <w:hideMark/>
          </w:tcPr>
          <w:p w14:paraId="7A76FEE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0.87</w:t>
            </w:r>
          </w:p>
        </w:tc>
        <w:tc>
          <w:tcPr>
            <w:tcW w:w="0" w:type="auto"/>
            <w:hideMark/>
          </w:tcPr>
          <w:p w14:paraId="421ED384"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33A54DE3"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709FB9D4" w14:textId="77777777" w:rsidTr="00441EE3">
        <w:tc>
          <w:tcPr>
            <w:tcW w:w="0" w:type="auto"/>
            <w:hideMark/>
          </w:tcPr>
          <w:p w14:paraId="7A81B3D3"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5CDC8D5A"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 xml:space="preserve">Food </w:t>
            </w:r>
            <w:proofErr w:type="spellStart"/>
            <w:r w:rsidRPr="00361FFF">
              <w:rPr>
                <w:rFonts w:ascii="Times New Roman" w:hAnsi="Times New Roman" w:cs="Times New Roman"/>
              </w:rPr>
              <w:t>Utilisation</w:t>
            </w:r>
            <w:proofErr w:type="spellEnd"/>
          </w:p>
        </w:tc>
        <w:tc>
          <w:tcPr>
            <w:tcW w:w="0" w:type="auto"/>
            <w:hideMark/>
          </w:tcPr>
          <w:p w14:paraId="14279E8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0.86</w:t>
            </w:r>
          </w:p>
        </w:tc>
        <w:tc>
          <w:tcPr>
            <w:tcW w:w="0" w:type="auto"/>
            <w:hideMark/>
          </w:tcPr>
          <w:p w14:paraId="4EF93293"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9161E93" w14:textId="77777777" w:rsidR="00361FFF" w:rsidRPr="00361FFF" w:rsidRDefault="00361FFF" w:rsidP="00361FFF">
            <w:pPr>
              <w:spacing w:after="160" w:line="278" w:lineRule="auto"/>
              <w:jc w:val="both"/>
              <w:rPr>
                <w:rFonts w:ascii="Times New Roman" w:hAnsi="Times New Roman" w:cs="Times New Roman"/>
              </w:rPr>
            </w:pPr>
          </w:p>
        </w:tc>
      </w:tr>
    </w:tbl>
    <w:p w14:paraId="1C589A88" w14:textId="77777777" w:rsidR="00441EE3" w:rsidRDefault="00441EE3" w:rsidP="00361FFF">
      <w:pPr>
        <w:jc w:val="both"/>
        <w:rPr>
          <w:rFonts w:ascii="Times New Roman" w:hAnsi="Times New Roman" w:cs="Times New Roman"/>
        </w:rPr>
      </w:pPr>
    </w:p>
    <w:p w14:paraId="71344059" w14:textId="77777777"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3.2</w:t>
      </w:r>
      <w:r w:rsidR="00361FFF" w:rsidRPr="00361FFF">
        <w:rPr>
          <w:rFonts w:ascii="Times New Roman" w:hAnsi="Times New Roman" w:cs="Times New Roman"/>
          <w:b/>
          <w:bCs/>
        </w:rPr>
        <w:t xml:space="preserve"> Hypothesis Results and SEM-PLS Model Testing</w:t>
      </w:r>
    </w:p>
    <w:p w14:paraId="3AA8DE58" w14:textId="51B96ECD" w:rsidR="00361FFF" w:rsidRDefault="00361FFF" w:rsidP="00361FFF">
      <w:pPr>
        <w:jc w:val="both"/>
        <w:rPr>
          <w:rFonts w:ascii="Times New Roman" w:hAnsi="Times New Roman" w:cs="Times New Roman"/>
        </w:rPr>
      </w:pPr>
      <w:r w:rsidRPr="00361FFF">
        <w:rPr>
          <w:rFonts w:ascii="Times New Roman" w:hAnsi="Times New Roman" w:cs="Times New Roman"/>
        </w:rPr>
        <w:lastRenderedPageBreak/>
        <w:t xml:space="preserve">This study tests three main hypotheses related to the effects of agricultural infrastructure, farmers’ institutional capacity, and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on village food security. Based on SEM-PLS analysis, the following findings are obtained:</w:t>
      </w:r>
    </w:p>
    <w:p w14:paraId="0537ABF4" w14:textId="43CC5614" w:rsidR="00441EE3" w:rsidRPr="00361FFF" w:rsidRDefault="00441EE3" w:rsidP="00361FFF">
      <w:pPr>
        <w:jc w:val="both"/>
        <w:rPr>
          <w:rFonts w:ascii="Times New Roman" w:hAnsi="Times New Roman" w:cs="Times New Roman"/>
        </w:rPr>
      </w:pPr>
      <w:r>
        <w:rPr>
          <w:noProof/>
        </w:rPr>
        <w:drawing>
          <wp:inline distT="0" distB="0" distL="0" distR="0" wp14:anchorId="110F1E13" wp14:editId="0C018C75">
            <wp:extent cx="4925695" cy="2228849"/>
            <wp:effectExtent l="0" t="0" r="0" b="635"/>
            <wp:docPr id="905334660" name="Picture 1" descr="A diagram of a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34660" name="Picture 1" descr="A diagram of a network"/>
                    <pic:cNvPicPr>
                      <a:picLocks noChangeAspect="1" noChangeArrowheads="1"/>
                    </pic:cNvPicPr>
                  </pic:nvPicPr>
                  <pic:blipFill rotWithShape="1">
                    <a:blip r:embed="rId7">
                      <a:extLst>
                        <a:ext uri="{28A0092B-C50C-407E-A947-70E740481C1C}">
                          <a14:useLocalDpi xmlns:a14="http://schemas.microsoft.com/office/drawing/2010/main" val="0"/>
                        </a:ext>
                      </a:extLst>
                    </a:blip>
                    <a:srcRect t="2500"/>
                    <a:stretch>
                      <a:fillRect/>
                    </a:stretch>
                  </pic:blipFill>
                  <pic:spPr bwMode="auto">
                    <a:xfrm>
                      <a:off x="0" y="0"/>
                      <a:ext cx="4935436" cy="2233257"/>
                    </a:xfrm>
                    <a:prstGeom prst="rect">
                      <a:avLst/>
                    </a:prstGeom>
                    <a:noFill/>
                    <a:ln>
                      <a:noFill/>
                    </a:ln>
                    <a:extLst>
                      <a:ext uri="{53640926-AAD7-44D8-BBD7-CCE9431645EC}">
                        <a14:shadowObscured xmlns:a14="http://schemas.microsoft.com/office/drawing/2010/main"/>
                      </a:ext>
                    </a:extLst>
                  </pic:spPr>
                </pic:pic>
              </a:graphicData>
            </a:graphic>
          </wp:inline>
        </w:drawing>
      </w:r>
    </w:p>
    <w:p w14:paraId="7B66B832" w14:textId="77777777" w:rsidR="00361FFF" w:rsidRPr="00361FFF" w:rsidRDefault="00361FFF" w:rsidP="00441EE3">
      <w:pPr>
        <w:jc w:val="center"/>
        <w:rPr>
          <w:rFonts w:ascii="Times New Roman" w:hAnsi="Times New Roman" w:cs="Times New Roman"/>
          <w:b/>
          <w:bCs/>
        </w:rPr>
      </w:pPr>
      <w:r w:rsidRPr="00361FFF">
        <w:rPr>
          <w:rFonts w:ascii="Times New Roman" w:hAnsi="Times New Roman" w:cs="Times New Roman"/>
          <w:b/>
          <w:bCs/>
        </w:rPr>
        <w:t xml:space="preserve">Figure 1. </w:t>
      </w:r>
      <w:proofErr w:type="spellStart"/>
      <w:r w:rsidRPr="00361FFF">
        <w:rPr>
          <w:rFonts w:ascii="Times New Roman" w:hAnsi="Times New Roman" w:cs="Times New Roman"/>
          <w:b/>
          <w:bCs/>
        </w:rPr>
        <w:t>SmartPLS</w:t>
      </w:r>
      <w:proofErr w:type="spellEnd"/>
      <w:r w:rsidRPr="00361FFF">
        <w:rPr>
          <w:rFonts w:ascii="Times New Roman" w:hAnsi="Times New Roman" w:cs="Times New Roman"/>
          <w:b/>
          <w:bCs/>
        </w:rPr>
        <w:t xml:space="preserve"> Outer Model</w:t>
      </w:r>
    </w:p>
    <w:p w14:paraId="497EE568" w14:textId="1680E121"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 xml:space="preserve">3.3 </w:t>
      </w:r>
      <w:r w:rsidR="00361FFF" w:rsidRPr="00361FFF">
        <w:rPr>
          <w:rFonts w:ascii="Times New Roman" w:hAnsi="Times New Roman" w:cs="Times New Roman"/>
          <w:b/>
          <w:bCs/>
        </w:rPr>
        <w:t>SEM-PLS Hypothesis Testing Results</w:t>
      </w:r>
    </w:p>
    <w:p w14:paraId="2EB55B63" w14:textId="24339B2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Hypothesis 1 states that agricultural infrastructure and farmers’ institutional capacity have a positive and significant effect on village food security. The path test results indicate that the relationship between agricultural infrastructure → food security is significant (p-value &lt; 0.05) with a strong effect. These findings confirm that agricultural infrastructure—especially irrigation—is a key factor in maintaining sustainable food production, </w:t>
      </w:r>
      <w:proofErr w:type="spellStart"/>
      <w:r w:rsidRPr="00361FFF">
        <w:rPr>
          <w:rFonts w:ascii="Times New Roman" w:hAnsi="Times New Roman" w:cs="Times New Roman"/>
        </w:rPr>
        <w:t>stabilising</w:t>
      </w:r>
      <w:proofErr w:type="spellEnd"/>
      <w:r w:rsidRPr="00361FFF">
        <w:rPr>
          <w:rFonts w:ascii="Times New Roman" w:hAnsi="Times New Roman" w:cs="Times New Roman"/>
        </w:rPr>
        <w:t xml:space="preserve"> supply, and reducing the risk of crop failure. Substantively, this positions irrigation strengthening as a strategic priority for improving food security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consistent with Zuliani and Safwandi (2022).</w:t>
      </w:r>
    </w:p>
    <w:p w14:paraId="7E7FBD4D"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Hypothesis 2 states that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has an indirect effect on food security through mediation by food production, distribution, and consumption. The analysis indicates a coherent indirect effect (≈ 0.265), suggesting that Village Funds act as an effective catalyst for improving food security when directed toward technical prerequisites and critical nodes in the food system chain, such as irrigation reinforcement, post-harvest efficiency, and distribution flow. In other words, Village Funds do not automatically improve food security unless supported by data-driven </w:t>
      </w:r>
      <w:proofErr w:type="spellStart"/>
      <w:r w:rsidRPr="00361FFF">
        <w:rPr>
          <w:rFonts w:ascii="Times New Roman" w:hAnsi="Times New Roman" w:cs="Times New Roman"/>
        </w:rPr>
        <w:t>programme</w:t>
      </w:r>
      <w:proofErr w:type="spellEnd"/>
      <w:r w:rsidRPr="00361FFF">
        <w:rPr>
          <w:rFonts w:ascii="Times New Roman" w:hAnsi="Times New Roman" w:cs="Times New Roman"/>
        </w:rPr>
        <w:t xml:space="preserve"> design focused on food-system bottlenecks. Thus, the impact of Village Funds is conditional, depending on planning quality, needs assessment, and the accuracy of spending priorities.</w:t>
      </w:r>
    </w:p>
    <w:p w14:paraId="5F7FDAB2" w14:textId="77777777" w:rsidR="00441EE3" w:rsidRDefault="00361FFF" w:rsidP="00361FFF">
      <w:pPr>
        <w:jc w:val="both"/>
        <w:rPr>
          <w:rFonts w:ascii="Times New Roman" w:hAnsi="Times New Roman" w:cs="Times New Roman"/>
        </w:rPr>
      </w:pPr>
      <w:r w:rsidRPr="00361FFF">
        <w:rPr>
          <w:rFonts w:ascii="Times New Roman" w:hAnsi="Times New Roman" w:cs="Times New Roman"/>
        </w:rPr>
        <w:t>Alignment of SEM-PLS with AHP Policy Priorities</w:t>
      </w:r>
    </w:p>
    <w:p w14:paraId="058E3919" w14:textId="46F5B7E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Hypothesis 3 asserts that, based on AHP, the key policy priorities for food security development are strengthening agricultural infrastructure, improving farmers’ capacity, and providing post-harvest facilities. The AHP results rank irrigation strengthening as the first priority, followed by farmer training/capacity building, and then the development of post-harvest facilities. Importantly, </w:t>
      </w:r>
      <w:r w:rsidRPr="00361FFF">
        <w:rPr>
          <w:rFonts w:ascii="Times New Roman" w:hAnsi="Times New Roman" w:cs="Times New Roman"/>
        </w:rPr>
        <w:lastRenderedPageBreak/>
        <w:t xml:space="preserve">this order is consistent with SEM-PLS findings: infrastructure and institutional capacity significantly influence food security (H1), and Village Funds strengthen food security when </w:t>
      </w:r>
      <w:proofErr w:type="spellStart"/>
      <w:r w:rsidRPr="00361FFF">
        <w:rPr>
          <w:rFonts w:ascii="Times New Roman" w:hAnsi="Times New Roman" w:cs="Times New Roman"/>
        </w:rPr>
        <w:t>channelled</w:t>
      </w:r>
      <w:proofErr w:type="spellEnd"/>
      <w:r w:rsidRPr="00361FFF">
        <w:rPr>
          <w:rFonts w:ascii="Times New Roman" w:hAnsi="Times New Roman" w:cs="Times New Roman"/>
        </w:rPr>
        <w:t xml:space="preserve"> through the production–distribution–consumption chain (H2). Therefore, AHP functions as a decision-support tool for evidence-based policy </w:t>
      </w:r>
      <w:proofErr w:type="spellStart"/>
      <w:r w:rsidRPr="00361FFF">
        <w:rPr>
          <w:rFonts w:ascii="Times New Roman" w:hAnsi="Times New Roman" w:cs="Times New Roman"/>
        </w:rPr>
        <w:t>prioritisation</w:t>
      </w:r>
      <w:proofErr w:type="spellEnd"/>
      <w:r w:rsidRPr="00361FFF">
        <w:rPr>
          <w:rFonts w:ascii="Times New Roman" w:hAnsi="Times New Roman" w:cs="Times New Roman"/>
        </w:rPr>
        <w:t xml:space="preserve"> grounded in SEM-PLS empirical results, ensuring that recommendations are not merely normative but supported by quantitative modelling outputs.</w:t>
      </w:r>
    </w:p>
    <w:p w14:paraId="3C312CF4" w14:textId="77777777" w:rsidR="00361FFF" w:rsidRPr="00361FFF" w:rsidRDefault="00361FFF" w:rsidP="00361FFF">
      <w:pPr>
        <w:jc w:val="both"/>
        <w:rPr>
          <w:rFonts w:ascii="Times New Roman" w:hAnsi="Times New Roman" w:cs="Times New Roman"/>
        </w:rPr>
      </w:pPr>
      <w:proofErr w:type="spellStart"/>
      <w:r w:rsidRPr="00361FFF">
        <w:rPr>
          <w:rFonts w:ascii="Times New Roman" w:hAnsi="Times New Roman" w:cs="Times New Roman"/>
        </w:rPr>
        <w:t>Integratively</w:t>
      </w:r>
      <w:proofErr w:type="spellEnd"/>
      <w:r w:rsidRPr="00361FFF">
        <w:rPr>
          <w:rFonts w:ascii="Times New Roman" w:hAnsi="Times New Roman" w:cs="Times New Roman"/>
        </w:rPr>
        <w:t>, the measurement model demonstrates acceptable validity and reliability (outer loadings and reliability indicators meet commonly used thresholds), while the structural model suggests that village food security is most responsive to interventions targeting technical infrastructure and institutional capacity, with Village Funds serving as an effective instrument when designed to strengthen the food-system chain. This provides a strong basis for sequencing food security development strategies: (1) irrigation and supporting infrastructure, (2) strengthening institutional capacity and farmers’ competencies, and (3) post-harvest facilities and distribution efficiency, as a coherent package of priority policies.</w:t>
      </w:r>
    </w:p>
    <w:p w14:paraId="31055809" w14:textId="4875A12C"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3</w:t>
      </w:r>
      <w:r w:rsidR="00361FFF" w:rsidRPr="00361FFF">
        <w:rPr>
          <w:rFonts w:ascii="Times New Roman" w:hAnsi="Times New Roman" w:cs="Times New Roman"/>
          <w:b/>
          <w:bCs/>
        </w:rPr>
        <w:t xml:space="preserve">.4 Discussion </w:t>
      </w:r>
    </w:p>
    <w:p w14:paraId="4596614F" w14:textId="350F1C80"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A central finding of this study is the implementation gap between established development plans and field realities, particularly regarding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and strengthening farmers’ institutions. As reflected in SEM-PLS results, the positive effect of agricultural infrastructure on food security indicates that improving irrigation infrastructure is a critical first step. Without reliable irrigation systems, agricultural output becomes constrained, directly disrupting food availability at the village level (Iwan Tona et al., 2023).</w:t>
      </w:r>
    </w:p>
    <w:p w14:paraId="351FF748"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In addition, farmers’ institutions play a highly important role. Weak farmer groups and cooperatives hinder distribution and reduce product competitiveness. </w:t>
      </w:r>
      <w:proofErr w:type="spellStart"/>
      <w:r w:rsidRPr="00361FFF">
        <w:rPr>
          <w:rFonts w:ascii="Times New Roman" w:hAnsi="Times New Roman" w:cs="Times New Roman"/>
        </w:rPr>
        <w:t>Faes</w:t>
      </w:r>
      <w:proofErr w:type="spellEnd"/>
      <w:r w:rsidRPr="00361FFF">
        <w:rPr>
          <w:rFonts w:ascii="Times New Roman" w:hAnsi="Times New Roman" w:cs="Times New Roman"/>
        </w:rPr>
        <w:t xml:space="preserve"> and </w:t>
      </w:r>
      <w:proofErr w:type="spellStart"/>
      <w:r w:rsidRPr="00361FFF">
        <w:rPr>
          <w:rFonts w:ascii="Times New Roman" w:hAnsi="Times New Roman" w:cs="Times New Roman"/>
        </w:rPr>
        <w:t>Zuhriyah</w:t>
      </w:r>
      <w:proofErr w:type="spellEnd"/>
      <w:r w:rsidRPr="00361FFF">
        <w:rPr>
          <w:rFonts w:ascii="Times New Roman" w:hAnsi="Times New Roman" w:cs="Times New Roman"/>
        </w:rPr>
        <w:t xml:space="preserve"> (2023) show that strengthening farmers’ institutions through active cooperatives can improve efficiency in distribution and agricultural output management. Therefore, </w:t>
      </w:r>
      <w:proofErr w:type="spellStart"/>
      <w:r w:rsidRPr="00361FFF">
        <w:rPr>
          <w:rFonts w:ascii="Times New Roman" w:hAnsi="Times New Roman" w:cs="Times New Roman"/>
        </w:rPr>
        <w:t>revitalising</w:t>
      </w:r>
      <w:proofErr w:type="spellEnd"/>
      <w:r w:rsidRPr="00361FFF">
        <w:rPr>
          <w:rFonts w:ascii="Times New Roman" w:hAnsi="Times New Roman" w:cs="Times New Roman"/>
        </w:rPr>
        <w:t xml:space="preserve"> cooperatives and farmer groups should be a major focus of village food security development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w:t>
      </w:r>
    </w:p>
    <w:p w14:paraId="265E47FF"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Improving farmers’ capacity through GAP-based training is also crucial. Such training not only increases agricultural productivity but also strengthens farmers’ knowledge in processing techniques and efficient resource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In this study, GAP training is positioned as a strategic priority, aligning with Agastya and </w:t>
      </w:r>
      <w:proofErr w:type="spellStart"/>
      <w:r w:rsidRPr="00361FFF">
        <w:rPr>
          <w:rFonts w:ascii="Times New Roman" w:hAnsi="Times New Roman" w:cs="Times New Roman"/>
        </w:rPr>
        <w:t>Ariyani</w:t>
      </w:r>
      <w:proofErr w:type="spellEnd"/>
      <w:r w:rsidRPr="00361FFF">
        <w:rPr>
          <w:rFonts w:ascii="Times New Roman" w:hAnsi="Times New Roman" w:cs="Times New Roman"/>
        </w:rPr>
        <w:t xml:space="preserve"> (2023), who </w:t>
      </w:r>
      <w:proofErr w:type="spellStart"/>
      <w:r w:rsidRPr="00361FFF">
        <w:rPr>
          <w:rFonts w:ascii="Times New Roman" w:hAnsi="Times New Roman" w:cs="Times New Roman"/>
        </w:rPr>
        <w:t>emphasise</w:t>
      </w:r>
      <w:proofErr w:type="spellEnd"/>
      <w:r w:rsidRPr="00361FFF">
        <w:rPr>
          <w:rFonts w:ascii="Times New Roman" w:hAnsi="Times New Roman" w:cs="Times New Roman"/>
        </w:rPr>
        <w:t xml:space="preserve"> capacity strengthening to improve agricultural outcomes and village food security.</w:t>
      </w:r>
    </w:p>
    <w:p w14:paraId="09FCB604" w14:textId="77777777" w:rsidR="00361FFF" w:rsidRDefault="00361FFF" w:rsidP="00361FFF">
      <w:pPr>
        <w:jc w:val="both"/>
        <w:rPr>
          <w:rFonts w:ascii="Times New Roman" w:hAnsi="Times New Roman" w:cs="Times New Roman"/>
        </w:rPr>
      </w:pPr>
      <w:r w:rsidRPr="00361FFF">
        <w:rPr>
          <w:rFonts w:ascii="Times New Roman" w:hAnsi="Times New Roman" w:cs="Times New Roman"/>
        </w:rPr>
        <w:t xml:space="preserve">The proposed strategy is not limited to production, but also addresses distribution and food consumption aspects. Although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has strong horticultural production potential, market access and distribution remain major challenges. The absence of a permanent village market and an active cooperative limits farmers’ bargaining position and lengthens the supply chain, contributing to reduced purchasing power for local food products. Therefore, </w:t>
      </w:r>
      <w:r w:rsidRPr="00361FFF">
        <w:rPr>
          <w:rFonts w:ascii="Times New Roman" w:hAnsi="Times New Roman" w:cs="Times New Roman"/>
        </w:rPr>
        <w:lastRenderedPageBreak/>
        <w:t>developing a permanent village market and strengthening village-level institutional capacity are essential components of the food security strategy.</w:t>
      </w:r>
    </w:p>
    <w:p w14:paraId="12593DF4" w14:textId="27F11298" w:rsidR="00441EE3" w:rsidRPr="00441EE3" w:rsidRDefault="00441EE3" w:rsidP="00441EE3">
      <w:pPr>
        <w:jc w:val="both"/>
        <w:rPr>
          <w:rFonts w:ascii="Times New Roman" w:hAnsi="Times New Roman" w:cs="Times New Roman"/>
          <w:b/>
          <w:bCs/>
        </w:rPr>
      </w:pPr>
      <w:r w:rsidRPr="00441EE3">
        <w:rPr>
          <w:rFonts w:ascii="Times New Roman" w:hAnsi="Times New Roman" w:cs="Times New Roman"/>
          <w:b/>
          <w:bCs/>
        </w:rPr>
        <w:t>3</w:t>
      </w:r>
      <w:r w:rsidRPr="00361FFF">
        <w:rPr>
          <w:rFonts w:ascii="Times New Roman" w:hAnsi="Times New Roman" w:cs="Times New Roman"/>
          <w:b/>
          <w:bCs/>
        </w:rPr>
        <w:t>.5 Policy Implications</w:t>
      </w:r>
    </w:p>
    <w:p w14:paraId="04AA78A9" w14:textId="77777777" w:rsidR="00441EE3" w:rsidRPr="00361FFF" w:rsidRDefault="00441EE3" w:rsidP="00441EE3">
      <w:pPr>
        <w:jc w:val="both"/>
        <w:rPr>
          <w:rFonts w:ascii="Times New Roman" w:hAnsi="Times New Roman" w:cs="Times New Roman"/>
        </w:rPr>
      </w:pPr>
      <w:r w:rsidRPr="00361FFF">
        <w:rPr>
          <w:rFonts w:ascii="Times New Roman" w:hAnsi="Times New Roman" w:cs="Times New Roman"/>
        </w:rPr>
        <w:t xml:space="preserve">Based on the findings, several policy implications should be considered by the village government and other stakeholders. First, the village government should </w:t>
      </w:r>
      <w:proofErr w:type="spellStart"/>
      <w:r w:rsidRPr="00361FFF">
        <w:rPr>
          <w:rFonts w:ascii="Times New Roman" w:hAnsi="Times New Roman" w:cs="Times New Roman"/>
        </w:rPr>
        <w:t>prioritise</w:t>
      </w:r>
      <w:proofErr w:type="spellEnd"/>
      <w:r w:rsidRPr="00361FFF">
        <w:rPr>
          <w:rFonts w:ascii="Times New Roman" w:hAnsi="Times New Roman" w:cs="Times New Roman"/>
        </w:rPr>
        <w:t xml:space="preserve"> Village Fund allocations for the agricultural sector, with primary emphasis on strengthening irrigation infrastructure and providing post-harvest facilities. Second, to support </w:t>
      </w:r>
      <w:proofErr w:type="spellStart"/>
      <w:r w:rsidRPr="00361FFF">
        <w:rPr>
          <w:rFonts w:ascii="Times New Roman" w:hAnsi="Times New Roman" w:cs="Times New Roman"/>
        </w:rPr>
        <w:t>programme</w:t>
      </w:r>
      <w:proofErr w:type="spellEnd"/>
      <w:r w:rsidRPr="00361FFF">
        <w:rPr>
          <w:rFonts w:ascii="Times New Roman" w:hAnsi="Times New Roman" w:cs="Times New Roman"/>
        </w:rPr>
        <w:t xml:space="preserve"> sustainability, cooperatives and farmer groups should be </w:t>
      </w:r>
      <w:proofErr w:type="spellStart"/>
      <w:r w:rsidRPr="00361FFF">
        <w:rPr>
          <w:rFonts w:ascii="Times New Roman" w:hAnsi="Times New Roman" w:cs="Times New Roman"/>
        </w:rPr>
        <w:t>revitalised</w:t>
      </w:r>
      <w:proofErr w:type="spellEnd"/>
      <w:r w:rsidRPr="00361FFF">
        <w:rPr>
          <w:rFonts w:ascii="Times New Roman" w:hAnsi="Times New Roman" w:cs="Times New Roman"/>
        </w:rPr>
        <w:t xml:space="preserve"> to function as efficient and effective distribution agents. Third, GAP training should be delivered in a structured and continuous manner to strengthen farmers’ capabilities in managing agricultural outputs more professionally.</w:t>
      </w:r>
    </w:p>
    <w:p w14:paraId="4F3A804F" w14:textId="77777777" w:rsidR="00441EE3" w:rsidRPr="00361FFF" w:rsidRDefault="00441EE3" w:rsidP="00361FFF">
      <w:pPr>
        <w:jc w:val="both"/>
        <w:rPr>
          <w:rFonts w:ascii="Times New Roman" w:hAnsi="Times New Roman" w:cs="Times New Roman"/>
        </w:rPr>
      </w:pPr>
    </w:p>
    <w:p w14:paraId="3620889A" w14:textId="5E343B4C" w:rsidR="00441EE3" w:rsidRPr="00441EE3" w:rsidRDefault="00441EE3" w:rsidP="00361FFF">
      <w:pPr>
        <w:jc w:val="both"/>
        <w:rPr>
          <w:rFonts w:ascii="Times New Roman" w:hAnsi="Times New Roman" w:cs="Times New Roman"/>
          <w:b/>
          <w:bCs/>
          <w:sz w:val="28"/>
          <w:szCs w:val="28"/>
        </w:rPr>
      </w:pPr>
      <w:r w:rsidRPr="00441EE3">
        <w:rPr>
          <w:rFonts w:ascii="Times New Roman" w:hAnsi="Times New Roman" w:cs="Times New Roman"/>
          <w:b/>
          <w:bCs/>
          <w:sz w:val="28"/>
          <w:szCs w:val="28"/>
        </w:rPr>
        <w:t xml:space="preserve">4. </w:t>
      </w:r>
      <w:r w:rsidR="00361FFF" w:rsidRPr="00361FFF">
        <w:rPr>
          <w:rFonts w:ascii="Times New Roman" w:hAnsi="Times New Roman" w:cs="Times New Roman"/>
          <w:b/>
          <w:bCs/>
          <w:sz w:val="28"/>
          <w:szCs w:val="28"/>
        </w:rPr>
        <w:t>Conclusion</w:t>
      </w:r>
      <w:r>
        <w:rPr>
          <w:rFonts w:ascii="Times New Roman" w:hAnsi="Times New Roman" w:cs="Times New Roman"/>
          <w:b/>
          <w:bCs/>
          <w:sz w:val="28"/>
          <w:szCs w:val="28"/>
        </w:rPr>
        <w:t xml:space="preserve"> and recommendations</w:t>
      </w:r>
    </w:p>
    <w:p w14:paraId="31C2F3BA" w14:textId="77777777" w:rsidR="00441EE3" w:rsidRDefault="00441EE3" w:rsidP="00361FFF">
      <w:pPr>
        <w:jc w:val="both"/>
        <w:rPr>
          <w:rFonts w:ascii="Times New Roman" w:hAnsi="Times New Roman" w:cs="Times New Roman"/>
          <w:b/>
          <w:bCs/>
        </w:rPr>
      </w:pPr>
      <w:r>
        <w:rPr>
          <w:rFonts w:ascii="Times New Roman" w:hAnsi="Times New Roman" w:cs="Times New Roman"/>
          <w:b/>
          <w:bCs/>
        </w:rPr>
        <w:t>4.1 Conclusion</w:t>
      </w:r>
    </w:p>
    <w:p w14:paraId="1BE52055" w14:textId="1E90BD82"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successfully analyses the food security strategy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by applying Structural Equation Modeling (SEM) and the Analytic Hierarchy Process (AHP). The results indicate that village food security is strongly influenced by agricultural infrastructure, farmers’ institutional capacity, and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In particular, irrigation infrastructure and institutional strengthening significantly affect food availability and the overall stability of the village food system. Moreover, Village Funds can serve as an enabling instrument to strengthen the local food system when directed to appropriate priorities, such as agricultural infrastructure development and post-harvest facilities.</w:t>
      </w:r>
    </w:p>
    <w:p w14:paraId="40162F9A"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Through AHP analysis, the most important priorities for achieving food self-sufficiency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are strengthening irrigation systems, farmer training, and </w:t>
      </w:r>
      <w:proofErr w:type="spellStart"/>
      <w:r w:rsidRPr="00361FFF">
        <w:rPr>
          <w:rFonts w:ascii="Times New Roman" w:hAnsi="Times New Roman" w:cs="Times New Roman"/>
        </w:rPr>
        <w:t>revitalising</w:t>
      </w:r>
      <w:proofErr w:type="spellEnd"/>
      <w:r w:rsidRPr="00361FFF">
        <w:rPr>
          <w:rFonts w:ascii="Times New Roman" w:hAnsi="Times New Roman" w:cs="Times New Roman"/>
        </w:rPr>
        <w:t xml:space="preserve"> cooperatives and farmer groups. More targeted use of Village Funds to build farmers’ capacity and improve food distribution efficiency will further enhance village food security. Institutional factors—especially cooperatives and farmer groups—also play a key role in improving local food product competitiveness and accelerating market access for farmers.</w:t>
      </w:r>
    </w:p>
    <w:p w14:paraId="2E2CEECE"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Overall, this study provides a strategic guide for village governments and stakeholders to formulate evidence-based food security policies supported by robust analysis. By </w:t>
      </w:r>
      <w:proofErr w:type="spellStart"/>
      <w:r w:rsidRPr="00361FFF">
        <w:rPr>
          <w:rFonts w:ascii="Times New Roman" w:hAnsi="Times New Roman" w:cs="Times New Roman"/>
        </w:rPr>
        <w:t>prioritising</w:t>
      </w:r>
      <w:proofErr w:type="spellEnd"/>
      <w:r w:rsidRPr="00361FFF">
        <w:rPr>
          <w:rFonts w:ascii="Times New Roman" w:hAnsi="Times New Roman" w:cs="Times New Roman"/>
        </w:rPr>
        <w:t xml:space="preserve"> Village Fund allocations toward infrastructure, institutional capacity, and agricultural technology,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can move toward a sustainable and inclusive food self-sufficient area, and the approach can be adapted by other villages with similar characteristics.</w:t>
      </w:r>
    </w:p>
    <w:p w14:paraId="5B5195B5" w14:textId="77777777" w:rsidR="00441EE3" w:rsidRDefault="00441EE3" w:rsidP="00361FFF">
      <w:pPr>
        <w:jc w:val="both"/>
        <w:rPr>
          <w:rFonts w:ascii="Times New Roman" w:hAnsi="Times New Roman" w:cs="Times New Roman"/>
        </w:rPr>
      </w:pPr>
    </w:p>
    <w:p w14:paraId="034EACA2" w14:textId="77777777" w:rsidR="00441EE3" w:rsidRDefault="00441EE3" w:rsidP="00361FFF">
      <w:pPr>
        <w:jc w:val="both"/>
        <w:rPr>
          <w:rFonts w:ascii="Times New Roman" w:hAnsi="Times New Roman" w:cs="Times New Roman"/>
        </w:rPr>
      </w:pPr>
    </w:p>
    <w:p w14:paraId="64257D56" w14:textId="63E92C20"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 xml:space="preserve">4.2 </w:t>
      </w:r>
      <w:r w:rsidR="00361FFF" w:rsidRPr="00361FFF">
        <w:rPr>
          <w:rFonts w:ascii="Times New Roman" w:hAnsi="Times New Roman" w:cs="Times New Roman"/>
          <w:b/>
          <w:bCs/>
        </w:rPr>
        <w:t>Recommendations</w:t>
      </w:r>
    </w:p>
    <w:p w14:paraId="0CD20FBC" w14:textId="7B5417E4" w:rsidR="00361FFF" w:rsidRPr="00361FFF" w:rsidRDefault="00361FFF" w:rsidP="00361FFF">
      <w:pPr>
        <w:jc w:val="both"/>
        <w:rPr>
          <w:rFonts w:ascii="Times New Roman" w:hAnsi="Times New Roman" w:cs="Times New Roman"/>
        </w:rPr>
      </w:pPr>
      <w:r w:rsidRPr="00361FFF">
        <w:rPr>
          <w:rFonts w:ascii="Times New Roman" w:hAnsi="Times New Roman" w:cs="Times New Roman"/>
        </w:rPr>
        <w:lastRenderedPageBreak/>
        <w:t xml:space="preserve">Based on the findings, it is recommended that the village government place stronger emphasis on allocating Village Funds to agricultural infrastructure development, particularly irrigation system strengthening and post-harvest facility provision. The village government should adopt data-driven and measurable planning to ensure that every budget allocation yields maximum impact on food security outcomes. GAP-based training for farmers should also be </w:t>
      </w:r>
      <w:proofErr w:type="spellStart"/>
      <w:r w:rsidRPr="00361FFF">
        <w:rPr>
          <w:rFonts w:ascii="Times New Roman" w:hAnsi="Times New Roman" w:cs="Times New Roman"/>
        </w:rPr>
        <w:t>prioritised</w:t>
      </w:r>
      <w:proofErr w:type="spellEnd"/>
      <w:r w:rsidRPr="00361FFF">
        <w:rPr>
          <w:rFonts w:ascii="Times New Roman" w:hAnsi="Times New Roman" w:cs="Times New Roman"/>
        </w:rPr>
        <w:t xml:space="preserve"> to improve productivity and output quality, thereby strengthening long-term village food security.</w:t>
      </w:r>
    </w:p>
    <w:p w14:paraId="71B249EE"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Second, </w:t>
      </w:r>
      <w:proofErr w:type="spellStart"/>
      <w:r w:rsidRPr="00361FFF">
        <w:rPr>
          <w:rFonts w:ascii="Times New Roman" w:hAnsi="Times New Roman" w:cs="Times New Roman"/>
        </w:rPr>
        <w:t>revitalising</w:t>
      </w:r>
      <w:proofErr w:type="spellEnd"/>
      <w:r w:rsidRPr="00361FFF">
        <w:rPr>
          <w:rFonts w:ascii="Times New Roman" w:hAnsi="Times New Roman" w:cs="Times New Roman"/>
        </w:rPr>
        <w:t xml:space="preserve"> farmers’ institutions is essential, including establishing stronger cooperatives and reinforcing the role of farmer groups in distribution and marketing. Without an efficient distribution system, village food production potential cannot be optimally </w:t>
      </w:r>
      <w:proofErr w:type="spellStart"/>
      <w:r w:rsidRPr="00361FFF">
        <w:rPr>
          <w:rFonts w:ascii="Times New Roman" w:hAnsi="Times New Roman" w:cs="Times New Roman"/>
        </w:rPr>
        <w:t>realised</w:t>
      </w:r>
      <w:proofErr w:type="spellEnd"/>
      <w:r w:rsidRPr="00361FFF">
        <w:rPr>
          <w:rFonts w:ascii="Times New Roman" w:hAnsi="Times New Roman" w:cs="Times New Roman"/>
        </w:rPr>
        <w:t>. Therefore, strengthening farmer institutions will improve the competitiveness of village food products and accelerate distribution, which ultimately enhances food accessibility for village households.</w:t>
      </w:r>
    </w:p>
    <w:p w14:paraId="5FCB16DC"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Finally, participatory approaches in food security development planning should be strengthened by involving all village stakeholders, including farmers, farmer groups, and community leaders. This approach ensures that policies better match real field needs and are more readily accepted by the community. Therefore, a continuous monitoring and evaluation system is needed to ensure that implemented policies deliver optimal and sustainable improvements in village food security.</w:t>
      </w:r>
    </w:p>
    <w:p w14:paraId="2EE83701" w14:textId="77777777" w:rsidR="00441EE3" w:rsidRDefault="00361FFF" w:rsidP="00441EE3">
      <w:pPr>
        <w:tabs>
          <w:tab w:val="left" w:pos="567"/>
        </w:tabs>
        <w:ind w:left="567" w:hanging="567"/>
        <w:jc w:val="both"/>
        <w:rPr>
          <w:rFonts w:ascii="Times New Roman" w:hAnsi="Times New Roman" w:cs="Times New Roman"/>
          <w:b/>
          <w:bCs/>
          <w:sz w:val="32"/>
          <w:szCs w:val="32"/>
        </w:rPr>
      </w:pPr>
      <w:r w:rsidRPr="00361FFF">
        <w:rPr>
          <w:rFonts w:ascii="Times New Roman" w:hAnsi="Times New Roman" w:cs="Times New Roman"/>
          <w:b/>
          <w:bCs/>
          <w:sz w:val="32"/>
          <w:szCs w:val="32"/>
        </w:rPr>
        <w:t>References</w:t>
      </w:r>
    </w:p>
    <w:p w14:paraId="520FAA9A" w14:textId="0D4C751F" w:rsidR="00441EE3" w:rsidRPr="00FE5DEC" w:rsidRDefault="00D221A4" w:rsidP="00FE5DEC">
      <w:pPr>
        <w:tabs>
          <w:tab w:val="left" w:pos="567"/>
        </w:tabs>
        <w:jc w:val="both"/>
        <w:rPr>
          <w:rFonts w:ascii="Times New Roman" w:hAnsi="Times New Roman" w:cs="Times New Roman"/>
          <w:lang w:val="fi-FI"/>
        </w:rPr>
      </w:pPr>
      <w:proofErr w:type="spellStart"/>
      <w:r w:rsidRPr="00FE5DEC">
        <w:rPr>
          <w:rFonts w:ascii="Times New Roman" w:hAnsi="Times New Roman" w:cs="Times New Roman"/>
        </w:rPr>
        <w:t>Wijatmoko</w:t>
      </w:r>
      <w:proofErr w:type="spellEnd"/>
      <w:r w:rsidRPr="00FE5DEC">
        <w:rPr>
          <w:rFonts w:ascii="Times New Roman" w:hAnsi="Times New Roman" w:cs="Times New Roman"/>
        </w:rPr>
        <w:t xml:space="preserve">, E., </w:t>
      </w:r>
      <w:proofErr w:type="spellStart"/>
      <w:r w:rsidRPr="00FE5DEC">
        <w:rPr>
          <w:rFonts w:ascii="Times New Roman" w:hAnsi="Times New Roman" w:cs="Times New Roman"/>
        </w:rPr>
        <w:t>Armawi</w:t>
      </w:r>
      <w:proofErr w:type="spellEnd"/>
      <w:r w:rsidRPr="00FE5DEC">
        <w:rPr>
          <w:rFonts w:ascii="Times New Roman" w:hAnsi="Times New Roman" w:cs="Times New Roman"/>
        </w:rPr>
        <w:t xml:space="preserve">, A., &amp; </w:t>
      </w:r>
      <w:proofErr w:type="spellStart"/>
      <w:r w:rsidRPr="00FE5DEC">
        <w:rPr>
          <w:rFonts w:ascii="Times New Roman" w:hAnsi="Times New Roman" w:cs="Times New Roman"/>
        </w:rPr>
        <w:t>Fathani</w:t>
      </w:r>
      <w:proofErr w:type="spellEnd"/>
      <w:r w:rsidRPr="00FE5DEC">
        <w:rPr>
          <w:rFonts w:ascii="Times New Roman" w:hAnsi="Times New Roman" w:cs="Times New Roman"/>
        </w:rPr>
        <w:t xml:space="preserve">, T. F. (2023). Uncovering the Challenges of Sustainable Development in North Aceh: A Policy Analysis of Special Transfer Funds. Sustainability, 15(11), 8585. </w:t>
      </w:r>
      <w:hyperlink r:id="rId8" w:history="1">
        <w:r w:rsidRPr="00FE5DEC">
          <w:rPr>
            <w:rStyle w:val="Hyperlink"/>
            <w:rFonts w:ascii="Times New Roman" w:hAnsi="Times New Roman" w:cs="Times New Roman"/>
          </w:rPr>
          <w:t>https://doi.org/10.3390/su15118585</w:t>
        </w:r>
      </w:hyperlink>
      <w:r w:rsidRPr="00FE5DEC">
        <w:rPr>
          <w:rFonts w:ascii="Times New Roman" w:hAnsi="Times New Roman" w:cs="Times New Roman"/>
        </w:rPr>
        <w:t xml:space="preserve"> </w:t>
      </w:r>
    </w:p>
    <w:p w14:paraId="13D6712C" w14:textId="6EA154B8" w:rsidR="00441EE3" w:rsidRPr="00FE5DEC" w:rsidRDefault="00260ACC" w:rsidP="00FE5DEC">
      <w:pPr>
        <w:tabs>
          <w:tab w:val="left" w:pos="567"/>
        </w:tabs>
        <w:jc w:val="both"/>
        <w:rPr>
          <w:rFonts w:ascii="Times New Roman" w:hAnsi="Times New Roman" w:cs="Times New Roman"/>
          <w:lang w:val="fi-FI"/>
        </w:rPr>
      </w:pPr>
      <w:r w:rsidRPr="00FE5DEC">
        <w:rPr>
          <w:rFonts w:ascii="Times New Roman" w:hAnsi="Times New Roman" w:cs="Times New Roman"/>
        </w:rPr>
        <w:t xml:space="preserve">Chen, Y.-C., Lee, C.-S., </w:t>
      </w:r>
      <w:proofErr w:type="spellStart"/>
      <w:r w:rsidRPr="00FE5DEC">
        <w:rPr>
          <w:rFonts w:ascii="Times New Roman" w:hAnsi="Times New Roman" w:cs="Times New Roman"/>
        </w:rPr>
        <w:t>Tsui</w:t>
      </w:r>
      <w:proofErr w:type="spellEnd"/>
      <w:r w:rsidRPr="00FE5DEC">
        <w:rPr>
          <w:rFonts w:ascii="Times New Roman" w:hAnsi="Times New Roman" w:cs="Times New Roman"/>
        </w:rPr>
        <w:t xml:space="preserve">, P.-L., &amp; Chiang, M.-C. (2022). The Application of the Analytic Hierarchy Process Approach to the Inheritance of Local Delicious Food Culture and Development of Sustainable Innovations. Agronomy, 12(3), 660. </w:t>
      </w:r>
      <w:hyperlink r:id="rId9" w:history="1">
        <w:r w:rsidRPr="00FE5DEC">
          <w:rPr>
            <w:rStyle w:val="Hyperlink"/>
            <w:rFonts w:ascii="Times New Roman" w:hAnsi="Times New Roman" w:cs="Times New Roman"/>
          </w:rPr>
          <w:t>https://doi.org/10.3390/agronomy12030660</w:t>
        </w:r>
      </w:hyperlink>
      <w:r w:rsidRPr="00FE5DEC">
        <w:rPr>
          <w:rFonts w:ascii="Times New Roman" w:hAnsi="Times New Roman" w:cs="Times New Roman"/>
        </w:rPr>
        <w:t xml:space="preserve"> </w:t>
      </w:r>
    </w:p>
    <w:p w14:paraId="70C4A31D" w14:textId="6284C2A6" w:rsidR="00441EE3" w:rsidRPr="00FE5DEC" w:rsidRDefault="009D704F" w:rsidP="00FE5DEC">
      <w:pPr>
        <w:tabs>
          <w:tab w:val="left" w:pos="567"/>
        </w:tabs>
        <w:jc w:val="both"/>
        <w:rPr>
          <w:rFonts w:ascii="Times New Roman" w:hAnsi="Times New Roman" w:cs="Times New Roman"/>
        </w:rPr>
      </w:pPr>
      <w:r w:rsidRPr="00FE5DEC">
        <w:rPr>
          <w:rFonts w:ascii="Times New Roman" w:hAnsi="Times New Roman" w:cs="Times New Roman"/>
          <w:lang w:val="fi-FI"/>
        </w:rPr>
        <w:t xml:space="preserve">Vanany, I., Hajar, G., Utami, N. M. C., &amp; Jaelani, L. M. (2021). Modelling food security for staple protein in Indonesia using system dynamics approach. Cogent Engineering, 8(1). </w:t>
      </w:r>
      <w:r w:rsidRPr="00FE5DEC">
        <w:rPr>
          <w:rFonts w:ascii="Times New Roman" w:hAnsi="Times New Roman" w:cs="Times New Roman"/>
          <w:lang w:val="fi-FI"/>
        </w:rPr>
        <w:fldChar w:fldCharType="begin"/>
      </w:r>
      <w:r w:rsidRPr="00FE5DEC">
        <w:rPr>
          <w:rFonts w:ascii="Times New Roman" w:hAnsi="Times New Roman" w:cs="Times New Roman"/>
          <w:lang w:val="fi-FI"/>
        </w:rPr>
        <w:instrText xml:space="preserve"> HYPERLINK "https://doi.org/10.1080/23311916.2021.2003945" </w:instrText>
      </w:r>
      <w:r w:rsidRPr="00FE5DEC">
        <w:rPr>
          <w:rFonts w:ascii="Times New Roman" w:hAnsi="Times New Roman" w:cs="Times New Roman"/>
          <w:lang w:val="fi-FI"/>
        </w:rPr>
        <w:fldChar w:fldCharType="separate"/>
      </w:r>
      <w:r w:rsidRPr="00FE5DEC">
        <w:rPr>
          <w:rStyle w:val="Hyperlink"/>
          <w:rFonts w:ascii="Times New Roman" w:hAnsi="Times New Roman" w:cs="Times New Roman"/>
          <w:lang w:val="fi-FI"/>
        </w:rPr>
        <w:t>https://doi.org/10.1080/23311916.2021.2003945</w:t>
      </w:r>
      <w:r w:rsidRPr="00FE5DEC">
        <w:rPr>
          <w:rFonts w:ascii="Times New Roman" w:hAnsi="Times New Roman" w:cs="Times New Roman"/>
          <w:lang w:val="fi-FI"/>
        </w:rPr>
        <w:fldChar w:fldCharType="end"/>
      </w:r>
      <w:r w:rsidRPr="00FE5DEC">
        <w:rPr>
          <w:rFonts w:ascii="Times New Roman" w:hAnsi="Times New Roman" w:cs="Times New Roman"/>
          <w:lang w:val="fi-FI"/>
        </w:rPr>
        <w:t xml:space="preserve"> </w:t>
      </w:r>
    </w:p>
    <w:p w14:paraId="79CE5A83" w14:textId="2E6AFA00" w:rsidR="00441EE3" w:rsidRPr="00FE5DEC" w:rsidRDefault="00393165" w:rsidP="00FE5DEC">
      <w:pPr>
        <w:tabs>
          <w:tab w:val="left" w:pos="567"/>
        </w:tabs>
        <w:jc w:val="both"/>
        <w:rPr>
          <w:rFonts w:ascii="Times New Roman" w:hAnsi="Times New Roman" w:cs="Times New Roman"/>
        </w:rPr>
      </w:pPr>
      <w:proofErr w:type="spellStart"/>
      <w:r w:rsidRPr="00FE5DEC">
        <w:rPr>
          <w:rFonts w:ascii="Times New Roman" w:hAnsi="Times New Roman" w:cs="Times New Roman"/>
        </w:rPr>
        <w:t>Nontu</w:t>
      </w:r>
      <w:proofErr w:type="spellEnd"/>
      <w:r w:rsidRPr="00FE5DEC">
        <w:rPr>
          <w:rFonts w:ascii="Times New Roman" w:hAnsi="Times New Roman" w:cs="Times New Roman"/>
        </w:rPr>
        <w:t xml:space="preserve">, Y., </w:t>
      </w:r>
      <w:proofErr w:type="spellStart"/>
      <w:r w:rsidRPr="00FE5DEC">
        <w:rPr>
          <w:rFonts w:ascii="Times New Roman" w:hAnsi="Times New Roman" w:cs="Times New Roman"/>
        </w:rPr>
        <w:t>Mdoda</w:t>
      </w:r>
      <w:proofErr w:type="spellEnd"/>
      <w:r w:rsidRPr="00FE5DEC">
        <w:rPr>
          <w:rFonts w:ascii="Times New Roman" w:hAnsi="Times New Roman" w:cs="Times New Roman"/>
        </w:rPr>
        <w:t xml:space="preserve">, L., </w:t>
      </w:r>
      <w:proofErr w:type="spellStart"/>
      <w:r w:rsidRPr="00FE5DEC">
        <w:rPr>
          <w:rFonts w:ascii="Times New Roman" w:hAnsi="Times New Roman" w:cs="Times New Roman"/>
        </w:rPr>
        <w:t>Dumisa</w:t>
      </w:r>
      <w:proofErr w:type="spellEnd"/>
      <w:r w:rsidRPr="00FE5DEC">
        <w:rPr>
          <w:rFonts w:ascii="Times New Roman" w:hAnsi="Times New Roman" w:cs="Times New Roman"/>
        </w:rPr>
        <w:t xml:space="preserve">, B. M., Mujuru, N. M., </w:t>
      </w:r>
      <w:proofErr w:type="spellStart"/>
      <w:r w:rsidRPr="00FE5DEC">
        <w:rPr>
          <w:rFonts w:ascii="Times New Roman" w:hAnsi="Times New Roman" w:cs="Times New Roman"/>
        </w:rPr>
        <w:t>Ndwandwe</w:t>
      </w:r>
      <w:proofErr w:type="spellEnd"/>
      <w:r w:rsidRPr="00FE5DEC">
        <w:rPr>
          <w:rFonts w:ascii="Times New Roman" w:hAnsi="Times New Roman" w:cs="Times New Roman"/>
        </w:rPr>
        <w:t xml:space="preserve">, N., </w:t>
      </w:r>
      <w:proofErr w:type="spellStart"/>
      <w:r w:rsidRPr="00FE5DEC">
        <w:rPr>
          <w:rFonts w:ascii="Times New Roman" w:hAnsi="Times New Roman" w:cs="Times New Roman"/>
        </w:rPr>
        <w:t>Gidi</w:t>
      </w:r>
      <w:proofErr w:type="spellEnd"/>
      <w:r w:rsidRPr="00FE5DEC">
        <w:rPr>
          <w:rFonts w:ascii="Times New Roman" w:hAnsi="Times New Roman" w:cs="Times New Roman"/>
        </w:rPr>
        <w:t xml:space="preserve">, L. S., &amp; </w:t>
      </w:r>
      <w:proofErr w:type="spellStart"/>
      <w:r w:rsidRPr="00FE5DEC">
        <w:rPr>
          <w:rFonts w:ascii="Times New Roman" w:hAnsi="Times New Roman" w:cs="Times New Roman"/>
        </w:rPr>
        <w:t>Xaba</w:t>
      </w:r>
      <w:proofErr w:type="spellEnd"/>
      <w:r w:rsidRPr="00FE5DEC">
        <w:rPr>
          <w:rFonts w:ascii="Times New Roman" w:hAnsi="Times New Roman" w:cs="Times New Roman"/>
        </w:rPr>
        <w:t xml:space="preserve">, M. (2024). Empowering Rural Food Security in the Eastern Cape Province: Exploring the Role and Determinants of Family Food Gardens. Sustainability, 16(16), 6780. </w:t>
      </w:r>
      <w:hyperlink r:id="rId10" w:history="1">
        <w:r w:rsidRPr="00FE5DEC">
          <w:rPr>
            <w:rStyle w:val="Hyperlink"/>
            <w:rFonts w:ascii="Times New Roman" w:hAnsi="Times New Roman" w:cs="Times New Roman"/>
          </w:rPr>
          <w:t>https://doi.org/10.3390/su16166780</w:t>
        </w:r>
      </w:hyperlink>
      <w:r w:rsidRPr="00FE5DEC">
        <w:rPr>
          <w:rFonts w:ascii="Times New Roman" w:hAnsi="Times New Roman" w:cs="Times New Roman"/>
        </w:rPr>
        <w:t xml:space="preserve"> </w:t>
      </w:r>
    </w:p>
    <w:p w14:paraId="65371057" w14:textId="62C24A03" w:rsidR="002F6B90" w:rsidRPr="00FE5DEC" w:rsidRDefault="009A606C" w:rsidP="00FE5DEC">
      <w:pPr>
        <w:tabs>
          <w:tab w:val="left" w:pos="567"/>
        </w:tabs>
        <w:jc w:val="both"/>
        <w:rPr>
          <w:rFonts w:ascii="Times New Roman" w:hAnsi="Times New Roman" w:cs="Times New Roman"/>
        </w:rPr>
      </w:pPr>
      <w:r w:rsidRPr="00FE5DEC">
        <w:rPr>
          <w:rFonts w:ascii="Times New Roman" w:hAnsi="Times New Roman" w:cs="Times New Roman"/>
          <w:lang w:val="fi-FI"/>
        </w:rPr>
        <w:t xml:space="preserve">Anggraeni, E. W., Handayati, Y., &amp; Novani, S. (2022). Improving Local Food Systems through the Coordination of Agriculture Supply Chain Actors. Sustainability, 14(6), 3281 </w:t>
      </w:r>
      <w:r w:rsidRPr="00FE5DEC">
        <w:rPr>
          <w:rFonts w:ascii="Times New Roman" w:hAnsi="Times New Roman" w:cs="Times New Roman"/>
          <w:lang w:val="fi-FI"/>
        </w:rPr>
        <w:fldChar w:fldCharType="begin"/>
      </w:r>
      <w:r w:rsidRPr="00FE5DEC">
        <w:rPr>
          <w:rFonts w:ascii="Times New Roman" w:hAnsi="Times New Roman" w:cs="Times New Roman"/>
          <w:lang w:val="fi-FI"/>
        </w:rPr>
        <w:instrText xml:space="preserve"> HYPERLINK "https://doi.org/10.3390/su14063281" </w:instrText>
      </w:r>
      <w:r w:rsidRPr="00FE5DEC">
        <w:rPr>
          <w:rFonts w:ascii="Times New Roman" w:hAnsi="Times New Roman" w:cs="Times New Roman"/>
          <w:lang w:val="fi-FI"/>
        </w:rPr>
        <w:fldChar w:fldCharType="separate"/>
      </w:r>
      <w:r w:rsidRPr="00FE5DEC">
        <w:rPr>
          <w:rStyle w:val="Hyperlink"/>
          <w:rFonts w:ascii="Times New Roman" w:hAnsi="Times New Roman" w:cs="Times New Roman"/>
          <w:lang w:val="fi-FI"/>
        </w:rPr>
        <w:t>https://doi.org/10.3390/su14063281</w:t>
      </w:r>
      <w:r w:rsidRPr="00FE5DEC">
        <w:rPr>
          <w:rFonts w:ascii="Times New Roman" w:hAnsi="Times New Roman" w:cs="Times New Roman"/>
          <w:lang w:val="fi-FI"/>
        </w:rPr>
        <w:fldChar w:fldCharType="end"/>
      </w:r>
      <w:r w:rsidRPr="00FE5DEC">
        <w:rPr>
          <w:rFonts w:ascii="Times New Roman" w:hAnsi="Times New Roman" w:cs="Times New Roman"/>
          <w:lang w:val="fi-FI"/>
        </w:rPr>
        <w:t xml:space="preserve"> </w:t>
      </w:r>
    </w:p>
    <w:p w14:paraId="7A9D6AF0" w14:textId="127FE411" w:rsidR="002F6B90" w:rsidRPr="00FE5DEC" w:rsidRDefault="001556E9" w:rsidP="00FE5DEC">
      <w:pPr>
        <w:tabs>
          <w:tab w:val="left" w:pos="567"/>
        </w:tabs>
        <w:jc w:val="both"/>
        <w:rPr>
          <w:rFonts w:ascii="Times New Roman" w:hAnsi="Times New Roman" w:cs="Times New Roman"/>
        </w:rPr>
      </w:pPr>
      <w:proofErr w:type="spellStart"/>
      <w:r w:rsidRPr="00FE5DEC">
        <w:rPr>
          <w:rFonts w:ascii="Times New Roman" w:hAnsi="Times New Roman" w:cs="Times New Roman"/>
        </w:rPr>
        <w:t>Tirtalistyani</w:t>
      </w:r>
      <w:proofErr w:type="spellEnd"/>
      <w:r w:rsidRPr="00FE5DEC">
        <w:rPr>
          <w:rFonts w:ascii="Times New Roman" w:hAnsi="Times New Roman" w:cs="Times New Roman"/>
        </w:rPr>
        <w:t xml:space="preserve">, R., </w:t>
      </w:r>
      <w:proofErr w:type="spellStart"/>
      <w:r w:rsidRPr="00FE5DEC">
        <w:rPr>
          <w:rFonts w:ascii="Times New Roman" w:hAnsi="Times New Roman" w:cs="Times New Roman"/>
        </w:rPr>
        <w:t>Murtiningrum</w:t>
      </w:r>
      <w:proofErr w:type="spellEnd"/>
      <w:r w:rsidRPr="00FE5DEC">
        <w:rPr>
          <w:rFonts w:ascii="Times New Roman" w:hAnsi="Times New Roman" w:cs="Times New Roman"/>
        </w:rPr>
        <w:t xml:space="preserve">, M., &amp; Kanwar, R. S. (2022). Indonesia Rice Irrigation System: Time for Innovation. Sustainability, 14(19), 12477. </w:t>
      </w:r>
      <w:hyperlink r:id="rId11" w:history="1">
        <w:r w:rsidRPr="00FE5DEC">
          <w:rPr>
            <w:rStyle w:val="Hyperlink"/>
            <w:rFonts w:ascii="Times New Roman" w:hAnsi="Times New Roman" w:cs="Times New Roman"/>
          </w:rPr>
          <w:t>https://doi.org/10.3390/su141912477</w:t>
        </w:r>
      </w:hyperlink>
      <w:r w:rsidRPr="00FE5DEC">
        <w:rPr>
          <w:rFonts w:ascii="Times New Roman" w:hAnsi="Times New Roman" w:cs="Times New Roman"/>
        </w:rPr>
        <w:t xml:space="preserve"> </w:t>
      </w:r>
    </w:p>
    <w:p w14:paraId="0A37BDE7" w14:textId="36F4E87F" w:rsidR="002F6B90" w:rsidRPr="00FE5DEC" w:rsidRDefault="00FB1711" w:rsidP="00FE5DEC">
      <w:pPr>
        <w:tabs>
          <w:tab w:val="left" w:pos="567"/>
        </w:tabs>
        <w:jc w:val="both"/>
        <w:rPr>
          <w:rFonts w:ascii="Times New Roman" w:hAnsi="Times New Roman" w:cs="Times New Roman"/>
          <w:lang w:val="fi-FI"/>
        </w:rPr>
      </w:pPr>
      <w:proofErr w:type="spellStart"/>
      <w:r w:rsidRPr="00FE5DEC">
        <w:rPr>
          <w:rFonts w:ascii="Times New Roman" w:hAnsi="Times New Roman" w:cs="Times New Roman"/>
        </w:rPr>
        <w:lastRenderedPageBreak/>
        <w:t>Mohd</w:t>
      </w:r>
      <w:proofErr w:type="spellEnd"/>
      <w:r w:rsidRPr="00FE5DEC">
        <w:rPr>
          <w:rFonts w:ascii="Times New Roman" w:hAnsi="Times New Roman" w:cs="Times New Roman"/>
        </w:rPr>
        <w:t xml:space="preserve"> </w:t>
      </w:r>
      <w:proofErr w:type="spellStart"/>
      <w:r w:rsidRPr="00FE5DEC">
        <w:rPr>
          <w:rFonts w:ascii="Times New Roman" w:hAnsi="Times New Roman" w:cs="Times New Roman"/>
        </w:rPr>
        <w:t>Suib</w:t>
      </w:r>
      <w:proofErr w:type="spellEnd"/>
      <w:r w:rsidRPr="00FE5DEC">
        <w:rPr>
          <w:rFonts w:ascii="Times New Roman" w:hAnsi="Times New Roman" w:cs="Times New Roman"/>
        </w:rPr>
        <w:t xml:space="preserve">, N. A. b., Salleh, N. H. M., </w:t>
      </w:r>
      <w:proofErr w:type="spellStart"/>
      <w:r w:rsidRPr="00FE5DEC">
        <w:rPr>
          <w:rFonts w:ascii="Times New Roman" w:hAnsi="Times New Roman" w:cs="Times New Roman"/>
        </w:rPr>
        <w:t>Shukor</w:t>
      </w:r>
      <w:proofErr w:type="spellEnd"/>
      <w:r w:rsidRPr="00FE5DEC">
        <w:rPr>
          <w:rFonts w:ascii="Times New Roman" w:hAnsi="Times New Roman" w:cs="Times New Roman"/>
        </w:rPr>
        <w:t xml:space="preserve">, M. S., </w:t>
      </w:r>
      <w:proofErr w:type="spellStart"/>
      <w:r w:rsidRPr="00FE5DEC">
        <w:rPr>
          <w:rFonts w:ascii="Times New Roman" w:hAnsi="Times New Roman" w:cs="Times New Roman"/>
        </w:rPr>
        <w:t>Chamhuri</w:t>
      </w:r>
      <w:proofErr w:type="spellEnd"/>
      <w:r w:rsidRPr="00FE5DEC">
        <w:rPr>
          <w:rFonts w:ascii="Times New Roman" w:hAnsi="Times New Roman" w:cs="Times New Roman"/>
        </w:rPr>
        <w:t xml:space="preserve">, N., </w:t>
      </w:r>
      <w:proofErr w:type="spellStart"/>
      <w:r w:rsidRPr="00FE5DEC">
        <w:rPr>
          <w:rFonts w:ascii="Times New Roman" w:hAnsi="Times New Roman" w:cs="Times New Roman"/>
        </w:rPr>
        <w:t>Shahimi</w:t>
      </w:r>
      <w:proofErr w:type="spellEnd"/>
      <w:r w:rsidRPr="00FE5DEC">
        <w:rPr>
          <w:rFonts w:ascii="Times New Roman" w:hAnsi="Times New Roman" w:cs="Times New Roman"/>
        </w:rPr>
        <w:t xml:space="preserve">, S., Salleh, K. M., &amp; Hashim, K. (2023). The Influence of Good Agricultural Practice (GAP) on the Productivity and Well-Being of Malaysian Sustainable Palm Oil (MSPO)-Certified Independent Smallholders in Malaysia. Agriculture, 13(5), 990. </w:t>
      </w:r>
      <w:hyperlink r:id="rId12" w:history="1">
        <w:r w:rsidRPr="00FE5DEC">
          <w:rPr>
            <w:rStyle w:val="Hyperlink"/>
            <w:rFonts w:ascii="Times New Roman" w:hAnsi="Times New Roman" w:cs="Times New Roman"/>
          </w:rPr>
          <w:t>https://doi.org/10.3390/agriculture13050990</w:t>
        </w:r>
      </w:hyperlink>
      <w:r w:rsidRPr="00FE5DEC">
        <w:rPr>
          <w:rFonts w:ascii="Times New Roman" w:hAnsi="Times New Roman" w:cs="Times New Roman"/>
        </w:rPr>
        <w:t xml:space="preserve"> </w:t>
      </w:r>
    </w:p>
    <w:p w14:paraId="6DD89B1F" w14:textId="05E2788B" w:rsidR="002F6B90" w:rsidRPr="00FE5DEC" w:rsidRDefault="0098760F" w:rsidP="00FE5DEC">
      <w:pPr>
        <w:tabs>
          <w:tab w:val="left" w:pos="567"/>
        </w:tabs>
        <w:jc w:val="both"/>
        <w:rPr>
          <w:rFonts w:ascii="Times New Roman" w:hAnsi="Times New Roman" w:cs="Times New Roman"/>
        </w:rPr>
      </w:pPr>
      <w:r w:rsidRPr="00FE5DEC">
        <w:rPr>
          <w:rFonts w:ascii="Times New Roman" w:hAnsi="Times New Roman" w:cs="Times New Roman"/>
          <w:lang w:val="fi-FI"/>
        </w:rPr>
        <w:t xml:space="preserve">Permatasari, P., Ilman, A. S., Tilt, C. A., Lestari, D., Islam, S., Tenrini, R. H., Rahman, A. B., Samosir, A. P., &amp; Wardhana, I. W. (2021). The Village Fund Program in Indonesia: Measuring the Effectiveness and Alignment to Sustainable Development Goals. Sustainability, 13(21), 12294. </w:t>
      </w:r>
      <w:hyperlink r:id="rId13" w:history="1">
        <w:r w:rsidRPr="00FE5DEC">
          <w:rPr>
            <w:rStyle w:val="Hyperlink"/>
            <w:rFonts w:ascii="Times New Roman" w:hAnsi="Times New Roman" w:cs="Times New Roman"/>
            <w:lang w:val="fi-FI"/>
          </w:rPr>
          <w:t>https://doi.org/10.3390/su132112294</w:t>
        </w:r>
      </w:hyperlink>
      <w:r w:rsidRPr="00FE5DEC">
        <w:rPr>
          <w:rFonts w:ascii="Times New Roman" w:hAnsi="Times New Roman" w:cs="Times New Roman"/>
          <w:lang w:val="fi-FI"/>
        </w:rPr>
        <w:t xml:space="preserve"> </w:t>
      </w:r>
    </w:p>
    <w:p w14:paraId="29D517AE" w14:textId="70474455" w:rsidR="002F6B90" w:rsidRPr="00FE5DEC" w:rsidRDefault="004A70B4" w:rsidP="00FE5DEC">
      <w:pPr>
        <w:tabs>
          <w:tab w:val="left" w:pos="567"/>
        </w:tabs>
        <w:jc w:val="both"/>
        <w:rPr>
          <w:rFonts w:ascii="Times New Roman" w:hAnsi="Times New Roman" w:cs="Times New Roman"/>
        </w:rPr>
      </w:pPr>
      <w:r w:rsidRPr="00FE5DEC">
        <w:rPr>
          <w:rFonts w:ascii="Times New Roman" w:hAnsi="Times New Roman" w:cs="Times New Roman"/>
        </w:rPr>
        <w:t xml:space="preserve">Widodo, A., AM, V. P., &amp; Malik, A. A. (2025). PARTICIPATORY APPROACH IN TO EMPOWER COMMUNITY DEVELOPMENT. JURNAL ILMIAH PENYULUHAN DAN PENGEMBANGAN MASYARAKAT, 5(3), 305–315. </w:t>
      </w:r>
      <w:hyperlink r:id="rId14" w:history="1">
        <w:r w:rsidRPr="00FE5DEC">
          <w:rPr>
            <w:rStyle w:val="Hyperlink"/>
            <w:rFonts w:ascii="Times New Roman" w:hAnsi="Times New Roman" w:cs="Times New Roman"/>
          </w:rPr>
          <w:t>https://doi.org/10.56189/jippm.v5i3.41</w:t>
        </w:r>
      </w:hyperlink>
      <w:r w:rsidRPr="00FE5DEC">
        <w:rPr>
          <w:rFonts w:ascii="Times New Roman" w:hAnsi="Times New Roman" w:cs="Times New Roman"/>
        </w:rPr>
        <w:t xml:space="preserve"> </w:t>
      </w:r>
    </w:p>
    <w:p w14:paraId="6833E140" w14:textId="77777777" w:rsidR="002F6B90" w:rsidRDefault="002F6B90" w:rsidP="00441EE3">
      <w:pPr>
        <w:tabs>
          <w:tab w:val="left" w:pos="567"/>
        </w:tabs>
        <w:ind w:left="567" w:hanging="567"/>
        <w:jc w:val="both"/>
        <w:rPr>
          <w:rFonts w:ascii="Times New Roman" w:hAnsi="Times New Roman" w:cs="Times New Roman"/>
        </w:rPr>
      </w:pPr>
    </w:p>
    <w:p w14:paraId="150EEB0C" w14:textId="77777777" w:rsidR="002F6B90" w:rsidRDefault="002F6B90" w:rsidP="00441EE3">
      <w:pPr>
        <w:tabs>
          <w:tab w:val="left" w:pos="567"/>
        </w:tabs>
        <w:ind w:left="567" w:hanging="567"/>
        <w:jc w:val="both"/>
        <w:rPr>
          <w:rFonts w:ascii="Times New Roman" w:hAnsi="Times New Roman" w:cs="Times New Roman"/>
        </w:rPr>
      </w:pPr>
    </w:p>
    <w:p w14:paraId="79A87095" w14:textId="77777777" w:rsidR="002F6B90" w:rsidRDefault="002F6B90" w:rsidP="00441EE3">
      <w:pPr>
        <w:tabs>
          <w:tab w:val="left" w:pos="567"/>
        </w:tabs>
        <w:ind w:left="567" w:hanging="567"/>
        <w:jc w:val="both"/>
        <w:rPr>
          <w:rFonts w:ascii="Times New Roman" w:hAnsi="Times New Roman" w:cs="Times New Roman"/>
        </w:rPr>
      </w:pPr>
    </w:p>
    <w:p w14:paraId="21B3AC88" w14:textId="77777777" w:rsidR="002F6B90" w:rsidRDefault="002F6B90" w:rsidP="00441EE3">
      <w:pPr>
        <w:tabs>
          <w:tab w:val="left" w:pos="567"/>
        </w:tabs>
        <w:ind w:left="567" w:hanging="567"/>
        <w:jc w:val="both"/>
        <w:rPr>
          <w:rFonts w:ascii="Times New Roman" w:hAnsi="Times New Roman" w:cs="Times New Roman"/>
        </w:rPr>
      </w:pPr>
    </w:p>
    <w:p w14:paraId="69F744BE" w14:textId="77777777" w:rsidR="00441EE3" w:rsidRDefault="00441EE3" w:rsidP="00441EE3">
      <w:pPr>
        <w:tabs>
          <w:tab w:val="left" w:pos="567"/>
        </w:tabs>
        <w:ind w:left="567" w:hanging="567"/>
        <w:jc w:val="both"/>
        <w:rPr>
          <w:rFonts w:ascii="Times New Roman" w:hAnsi="Times New Roman" w:cs="Times New Roman"/>
          <w:lang w:val="fi-FI"/>
        </w:rPr>
      </w:pPr>
    </w:p>
    <w:p w14:paraId="010BF6C2" w14:textId="77777777" w:rsidR="00361FFF" w:rsidRPr="00361FFF" w:rsidRDefault="00361FFF" w:rsidP="00441EE3">
      <w:pPr>
        <w:tabs>
          <w:tab w:val="left" w:pos="567"/>
        </w:tabs>
        <w:ind w:left="567" w:hanging="567"/>
        <w:jc w:val="both"/>
        <w:rPr>
          <w:rFonts w:ascii="Times New Roman" w:hAnsi="Times New Roman" w:cs="Times New Roman"/>
        </w:rPr>
      </w:pPr>
    </w:p>
    <w:sectPr w:rsidR="00361FFF" w:rsidRPr="00361FF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59011" w14:textId="77777777" w:rsidR="00EF6253" w:rsidRDefault="00EF6253" w:rsidP="004B4570">
      <w:pPr>
        <w:spacing w:after="0" w:line="240" w:lineRule="auto"/>
      </w:pPr>
      <w:r>
        <w:separator/>
      </w:r>
    </w:p>
  </w:endnote>
  <w:endnote w:type="continuationSeparator" w:id="0">
    <w:p w14:paraId="32FD5F93" w14:textId="77777777" w:rsidR="00EF6253" w:rsidRDefault="00EF6253" w:rsidP="004B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3366" w14:textId="77777777" w:rsidR="004B4570" w:rsidRDefault="004B4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7FA4" w14:textId="77777777" w:rsidR="004B4570" w:rsidRDefault="004B4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B1E9" w14:textId="77777777" w:rsidR="004B4570" w:rsidRDefault="004B4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EB991" w14:textId="77777777" w:rsidR="00EF6253" w:rsidRDefault="00EF6253" w:rsidP="004B4570">
      <w:pPr>
        <w:spacing w:after="0" w:line="240" w:lineRule="auto"/>
      </w:pPr>
      <w:r>
        <w:separator/>
      </w:r>
    </w:p>
  </w:footnote>
  <w:footnote w:type="continuationSeparator" w:id="0">
    <w:p w14:paraId="3DE4B14E" w14:textId="77777777" w:rsidR="00EF6253" w:rsidRDefault="00EF6253" w:rsidP="004B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9FEA" w14:textId="78A94640" w:rsidR="004B4570" w:rsidRDefault="004B4570">
    <w:pPr>
      <w:pStyle w:val="Header"/>
    </w:pPr>
    <w:r>
      <w:rPr>
        <w:noProof/>
      </w:rPr>
      <w:pict w14:anchorId="258EF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3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EBE8F" w14:textId="4216C99E" w:rsidR="004B4570" w:rsidRDefault="004B4570">
    <w:pPr>
      <w:pStyle w:val="Header"/>
    </w:pPr>
    <w:r>
      <w:rPr>
        <w:noProof/>
      </w:rPr>
      <w:pict w14:anchorId="18D51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3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E422" w14:textId="69AA0D90" w:rsidR="004B4570" w:rsidRDefault="004B4570">
    <w:pPr>
      <w:pStyle w:val="Header"/>
    </w:pPr>
    <w:r>
      <w:rPr>
        <w:noProof/>
      </w:rPr>
      <w:pict w14:anchorId="2CFFB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3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0638"/>
    <w:multiLevelType w:val="multilevel"/>
    <w:tmpl w:val="63D8A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C60C73"/>
    <w:multiLevelType w:val="hybridMultilevel"/>
    <w:tmpl w:val="872E6D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E67DEF"/>
    <w:multiLevelType w:val="multilevel"/>
    <w:tmpl w:val="20C8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FF"/>
    <w:rsid w:val="0003017B"/>
    <w:rsid w:val="0008592D"/>
    <w:rsid w:val="001505E1"/>
    <w:rsid w:val="001556E9"/>
    <w:rsid w:val="00203B96"/>
    <w:rsid w:val="00260ACC"/>
    <w:rsid w:val="00273C19"/>
    <w:rsid w:val="002B7746"/>
    <w:rsid w:val="002F6B90"/>
    <w:rsid w:val="00361FFF"/>
    <w:rsid w:val="00393165"/>
    <w:rsid w:val="003E24B2"/>
    <w:rsid w:val="00441EE3"/>
    <w:rsid w:val="004A70B4"/>
    <w:rsid w:val="004B4570"/>
    <w:rsid w:val="005E52B1"/>
    <w:rsid w:val="006365FF"/>
    <w:rsid w:val="006B097C"/>
    <w:rsid w:val="006F21C2"/>
    <w:rsid w:val="0072589B"/>
    <w:rsid w:val="0077538C"/>
    <w:rsid w:val="008A5C0C"/>
    <w:rsid w:val="0098760F"/>
    <w:rsid w:val="009A606C"/>
    <w:rsid w:val="009A7E20"/>
    <w:rsid w:val="009D704F"/>
    <w:rsid w:val="00BF5DA6"/>
    <w:rsid w:val="00D221A4"/>
    <w:rsid w:val="00D33DC4"/>
    <w:rsid w:val="00DD0BB3"/>
    <w:rsid w:val="00EF2061"/>
    <w:rsid w:val="00EF6253"/>
    <w:rsid w:val="00FB1711"/>
    <w:rsid w:val="00FE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29E98"/>
  <w15:chartTrackingRefBased/>
  <w15:docId w15:val="{2CE2B11D-91BD-409B-88F8-09A3F363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FFF"/>
    <w:rPr>
      <w:rFonts w:eastAsiaTheme="majorEastAsia" w:cstheme="majorBidi"/>
      <w:color w:val="272727" w:themeColor="text1" w:themeTint="D8"/>
    </w:rPr>
  </w:style>
  <w:style w:type="paragraph" w:styleId="Title">
    <w:name w:val="Title"/>
    <w:basedOn w:val="Normal"/>
    <w:next w:val="Normal"/>
    <w:link w:val="TitleChar"/>
    <w:uiPriority w:val="10"/>
    <w:qFormat/>
    <w:rsid w:val="00361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FFF"/>
    <w:pPr>
      <w:spacing w:before="160"/>
      <w:jc w:val="center"/>
    </w:pPr>
    <w:rPr>
      <w:i/>
      <w:iCs/>
      <w:color w:val="404040" w:themeColor="text1" w:themeTint="BF"/>
    </w:rPr>
  </w:style>
  <w:style w:type="character" w:customStyle="1" w:styleId="QuoteChar">
    <w:name w:val="Quote Char"/>
    <w:basedOn w:val="DefaultParagraphFont"/>
    <w:link w:val="Quote"/>
    <w:uiPriority w:val="29"/>
    <w:rsid w:val="00361FFF"/>
    <w:rPr>
      <w:i/>
      <w:iCs/>
      <w:color w:val="404040" w:themeColor="text1" w:themeTint="BF"/>
    </w:rPr>
  </w:style>
  <w:style w:type="paragraph" w:styleId="ListParagraph">
    <w:name w:val="List Paragraph"/>
    <w:basedOn w:val="Normal"/>
    <w:uiPriority w:val="34"/>
    <w:qFormat/>
    <w:rsid w:val="00361FFF"/>
    <w:pPr>
      <w:ind w:left="720"/>
      <w:contextualSpacing/>
    </w:pPr>
  </w:style>
  <w:style w:type="character" w:styleId="IntenseEmphasis">
    <w:name w:val="Intense Emphasis"/>
    <w:basedOn w:val="DefaultParagraphFont"/>
    <w:uiPriority w:val="21"/>
    <w:qFormat/>
    <w:rsid w:val="00361FFF"/>
    <w:rPr>
      <w:i/>
      <w:iCs/>
      <w:color w:val="0F4761" w:themeColor="accent1" w:themeShade="BF"/>
    </w:rPr>
  </w:style>
  <w:style w:type="paragraph" w:styleId="IntenseQuote">
    <w:name w:val="Intense Quote"/>
    <w:basedOn w:val="Normal"/>
    <w:next w:val="Normal"/>
    <w:link w:val="IntenseQuoteChar"/>
    <w:uiPriority w:val="30"/>
    <w:qFormat/>
    <w:rsid w:val="00361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FFF"/>
    <w:rPr>
      <w:i/>
      <w:iCs/>
      <w:color w:val="0F4761" w:themeColor="accent1" w:themeShade="BF"/>
    </w:rPr>
  </w:style>
  <w:style w:type="character" w:styleId="IntenseReference">
    <w:name w:val="Intense Reference"/>
    <w:basedOn w:val="DefaultParagraphFont"/>
    <w:uiPriority w:val="32"/>
    <w:qFormat/>
    <w:rsid w:val="00361FFF"/>
    <w:rPr>
      <w:b/>
      <w:bCs/>
      <w:smallCaps/>
      <w:color w:val="0F4761" w:themeColor="accent1" w:themeShade="BF"/>
      <w:spacing w:val="5"/>
    </w:rPr>
  </w:style>
  <w:style w:type="table" w:styleId="TableGrid">
    <w:name w:val="Table Grid"/>
    <w:basedOn w:val="TableNormal"/>
    <w:uiPriority w:val="39"/>
    <w:rsid w:val="00441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1EE3"/>
    <w:rPr>
      <w:color w:val="467886" w:themeColor="hyperlink"/>
      <w:u w:val="single"/>
    </w:rPr>
  </w:style>
  <w:style w:type="character" w:styleId="UnresolvedMention">
    <w:name w:val="Unresolved Mention"/>
    <w:basedOn w:val="DefaultParagraphFont"/>
    <w:uiPriority w:val="99"/>
    <w:semiHidden/>
    <w:unhideWhenUsed/>
    <w:rsid w:val="00441EE3"/>
    <w:rPr>
      <w:color w:val="605E5C"/>
      <w:shd w:val="clear" w:color="auto" w:fill="E1DFDD"/>
    </w:rPr>
  </w:style>
  <w:style w:type="paragraph" w:styleId="Header">
    <w:name w:val="header"/>
    <w:basedOn w:val="Normal"/>
    <w:link w:val="HeaderChar"/>
    <w:uiPriority w:val="99"/>
    <w:unhideWhenUsed/>
    <w:rsid w:val="004B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570"/>
  </w:style>
  <w:style w:type="paragraph" w:styleId="Footer">
    <w:name w:val="footer"/>
    <w:basedOn w:val="Normal"/>
    <w:link w:val="FooterChar"/>
    <w:uiPriority w:val="99"/>
    <w:unhideWhenUsed/>
    <w:rsid w:val="004B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5118585" TargetMode="External"/><Relationship Id="rId13" Type="http://schemas.openxmlformats.org/officeDocument/2006/relationships/hyperlink" Target="https://doi.org/10.3390/su13211229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3390/agriculture130509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4191247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390/su1616678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agronomy12030660" TargetMode="External"/><Relationship Id="rId14" Type="http://schemas.openxmlformats.org/officeDocument/2006/relationships/hyperlink" Target="https://doi.org/10.56189/jippm.v5i3.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593</TotalTime>
  <Pages>12</Pages>
  <Words>4454</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1084</cp:lastModifiedBy>
  <cp:revision>24</cp:revision>
  <dcterms:created xsi:type="dcterms:W3CDTF">2025-12-17T07:21:00Z</dcterms:created>
  <dcterms:modified xsi:type="dcterms:W3CDTF">2025-12-18T09:15:00Z</dcterms:modified>
</cp:coreProperties>
</file>