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9B9E1" w14:textId="62EB3E9D" w:rsidR="00754C9A" w:rsidRDefault="00A6648E" w:rsidP="00441B6F">
      <w:pPr>
        <w:pStyle w:val="Title"/>
        <w:spacing w:after="0"/>
        <w:jc w:val="both"/>
        <w:rPr>
          <w:rFonts w:ascii="Arial" w:hAnsi="Arial" w:cs="Arial"/>
        </w:rPr>
      </w:pPr>
      <w:r w:rsidRPr="00A6648E">
        <w:rPr>
          <w:rFonts w:ascii="Arial" w:hAnsi="Arial" w:cs="Arial"/>
        </w:rPr>
        <w:t>Original Research Article</w:t>
      </w:r>
    </w:p>
    <w:p w14:paraId="71F0D41B" w14:textId="77777777" w:rsidR="00A6648E" w:rsidRDefault="00A6648E" w:rsidP="00441B6F">
      <w:pPr>
        <w:pStyle w:val="Title"/>
        <w:spacing w:after="0"/>
        <w:jc w:val="both"/>
        <w:rPr>
          <w:rFonts w:ascii="Arial" w:hAnsi="Arial" w:cs="Arial"/>
        </w:rPr>
      </w:pPr>
    </w:p>
    <w:p w14:paraId="410CAA08" w14:textId="29E2D00F" w:rsidR="00163BC4" w:rsidRPr="00163BC4" w:rsidRDefault="00734116" w:rsidP="00441B6F">
      <w:pPr>
        <w:pStyle w:val="Author"/>
        <w:spacing w:line="240" w:lineRule="auto"/>
        <w:rPr>
          <w:rFonts w:ascii="Arial" w:hAnsi="Arial" w:cs="Arial"/>
          <w:bCs/>
          <w:iCs/>
          <w:kern w:val="28"/>
          <w:sz w:val="36"/>
        </w:rPr>
      </w:pPr>
      <w:r>
        <w:rPr>
          <w:rFonts w:ascii="Arial" w:hAnsi="Arial" w:cs="Arial"/>
          <w:bCs/>
          <w:iCs/>
          <w:kern w:val="28"/>
          <w:sz w:val="36"/>
        </w:rPr>
        <w:t xml:space="preserve">Revealing </w:t>
      </w:r>
      <w:r w:rsidR="004B03D6">
        <w:rPr>
          <w:rFonts w:ascii="Arial" w:hAnsi="Arial" w:cs="Arial"/>
          <w:bCs/>
          <w:iCs/>
          <w:kern w:val="28"/>
          <w:sz w:val="36"/>
        </w:rPr>
        <w:t>Tourist</w:t>
      </w:r>
      <w:r w:rsidR="00F2622D">
        <w:rPr>
          <w:rFonts w:ascii="Arial" w:hAnsi="Arial" w:cs="Arial"/>
          <w:bCs/>
          <w:iCs/>
          <w:kern w:val="28"/>
          <w:sz w:val="36"/>
        </w:rPr>
        <w:t>s’</w:t>
      </w:r>
      <w:r w:rsidR="004B03D6">
        <w:rPr>
          <w:rFonts w:ascii="Arial" w:hAnsi="Arial" w:cs="Arial"/>
          <w:bCs/>
          <w:iCs/>
          <w:kern w:val="28"/>
          <w:sz w:val="36"/>
        </w:rPr>
        <w:t xml:space="preserve"> </w:t>
      </w:r>
      <w:r w:rsidR="00777E77">
        <w:rPr>
          <w:rFonts w:ascii="Arial" w:hAnsi="Arial" w:cs="Arial"/>
          <w:bCs/>
          <w:iCs/>
          <w:kern w:val="28"/>
          <w:sz w:val="36"/>
        </w:rPr>
        <w:t>Character</w:t>
      </w:r>
      <w:r w:rsidR="00275014">
        <w:rPr>
          <w:rFonts w:ascii="Arial" w:hAnsi="Arial" w:cs="Arial"/>
          <w:bCs/>
          <w:iCs/>
          <w:kern w:val="28"/>
          <w:sz w:val="36"/>
        </w:rPr>
        <w:t>i</w:t>
      </w:r>
      <w:r w:rsidR="00777E77">
        <w:rPr>
          <w:rFonts w:ascii="Arial" w:hAnsi="Arial" w:cs="Arial"/>
          <w:bCs/>
          <w:iCs/>
          <w:kern w:val="28"/>
          <w:sz w:val="36"/>
        </w:rPr>
        <w:t>stic</w:t>
      </w:r>
      <w:r w:rsidR="00C042EB">
        <w:rPr>
          <w:rFonts w:ascii="Arial" w:hAnsi="Arial" w:cs="Arial"/>
          <w:bCs/>
          <w:iCs/>
          <w:kern w:val="28"/>
          <w:sz w:val="36"/>
        </w:rPr>
        <w:t>s</w:t>
      </w:r>
      <w:r w:rsidR="004B03D6">
        <w:rPr>
          <w:rFonts w:ascii="Arial" w:hAnsi="Arial" w:cs="Arial"/>
          <w:bCs/>
          <w:iCs/>
          <w:kern w:val="28"/>
          <w:sz w:val="36"/>
        </w:rPr>
        <w:t xml:space="preserve"> </w:t>
      </w:r>
      <w:r w:rsidR="00EA1F46">
        <w:rPr>
          <w:rFonts w:ascii="Arial" w:hAnsi="Arial" w:cs="Arial"/>
          <w:bCs/>
          <w:iCs/>
          <w:kern w:val="28"/>
          <w:sz w:val="36"/>
        </w:rPr>
        <w:t>and</w:t>
      </w:r>
      <w:r w:rsidR="00C84C90">
        <w:rPr>
          <w:rFonts w:ascii="Arial" w:hAnsi="Arial" w:cs="Arial"/>
          <w:bCs/>
          <w:iCs/>
          <w:kern w:val="28"/>
          <w:sz w:val="36"/>
        </w:rPr>
        <w:t xml:space="preserve"> </w:t>
      </w:r>
      <w:r w:rsidR="00777E77">
        <w:rPr>
          <w:rFonts w:ascii="Arial" w:hAnsi="Arial" w:cs="Arial"/>
          <w:bCs/>
          <w:iCs/>
          <w:kern w:val="28"/>
          <w:sz w:val="36"/>
        </w:rPr>
        <w:t>Motivation</w:t>
      </w:r>
      <w:r w:rsidR="00265595">
        <w:rPr>
          <w:rFonts w:ascii="Arial" w:hAnsi="Arial" w:cs="Arial"/>
          <w:bCs/>
          <w:iCs/>
          <w:kern w:val="28"/>
          <w:sz w:val="36"/>
        </w:rPr>
        <w:t xml:space="preserve"> </w:t>
      </w:r>
      <w:r w:rsidR="00A802A6">
        <w:rPr>
          <w:rFonts w:ascii="Arial" w:hAnsi="Arial" w:cs="Arial"/>
          <w:bCs/>
          <w:iCs/>
          <w:kern w:val="28"/>
          <w:sz w:val="36"/>
        </w:rPr>
        <w:t xml:space="preserve">Factors </w:t>
      </w:r>
      <w:r w:rsidR="00163BDA">
        <w:rPr>
          <w:rFonts w:ascii="Arial" w:hAnsi="Arial" w:cs="Arial"/>
          <w:bCs/>
          <w:iCs/>
          <w:kern w:val="28"/>
          <w:sz w:val="36"/>
        </w:rPr>
        <w:t>at</w:t>
      </w:r>
      <w:r w:rsidR="0094729B">
        <w:rPr>
          <w:rFonts w:ascii="Arial" w:hAnsi="Arial" w:cs="Arial"/>
          <w:bCs/>
          <w:iCs/>
          <w:kern w:val="28"/>
          <w:sz w:val="36"/>
        </w:rPr>
        <w:t xml:space="preserve"> </w:t>
      </w:r>
      <w:r w:rsidR="004B03D6">
        <w:rPr>
          <w:rFonts w:ascii="Arial" w:hAnsi="Arial" w:cs="Arial"/>
          <w:bCs/>
          <w:iCs/>
          <w:kern w:val="28"/>
          <w:sz w:val="36"/>
        </w:rPr>
        <w:t>Tama</w:t>
      </w:r>
      <w:r w:rsidR="007F3460">
        <w:rPr>
          <w:rFonts w:ascii="Arial" w:hAnsi="Arial" w:cs="Arial"/>
          <w:bCs/>
          <w:iCs/>
          <w:kern w:val="28"/>
          <w:sz w:val="36"/>
        </w:rPr>
        <w:t>n Mini Indonesia Indah</w:t>
      </w:r>
      <w:r w:rsidR="0094729B">
        <w:rPr>
          <w:rFonts w:ascii="Arial" w:hAnsi="Arial" w:cs="Arial"/>
          <w:bCs/>
          <w:iCs/>
          <w:kern w:val="28"/>
          <w:sz w:val="36"/>
        </w:rPr>
        <w:t xml:space="preserve"> as a Cultural Destination</w:t>
      </w:r>
      <w:r w:rsidR="004B03D6">
        <w:rPr>
          <w:rFonts w:ascii="Arial" w:hAnsi="Arial" w:cs="Arial"/>
          <w:bCs/>
          <w:iCs/>
          <w:kern w:val="28"/>
          <w:sz w:val="36"/>
        </w:rPr>
        <w:t xml:space="preserve"> </w:t>
      </w:r>
    </w:p>
    <w:p w14:paraId="1DE3BEB7" w14:textId="77777777" w:rsidR="00A258C3" w:rsidRPr="00790ADA" w:rsidRDefault="00A258C3" w:rsidP="00441B6F">
      <w:pPr>
        <w:pStyle w:val="Author"/>
        <w:spacing w:line="240" w:lineRule="auto"/>
        <w:jc w:val="both"/>
        <w:rPr>
          <w:rFonts w:ascii="Arial" w:hAnsi="Arial" w:cs="Arial"/>
          <w:sz w:val="36"/>
        </w:rPr>
      </w:pPr>
    </w:p>
    <w:p w14:paraId="546CB1ED" w14:textId="77777777" w:rsidR="00790ADA" w:rsidRDefault="00790ADA" w:rsidP="00441B6F">
      <w:pPr>
        <w:pStyle w:val="Affiliation"/>
        <w:spacing w:after="0" w:line="240" w:lineRule="auto"/>
        <w:jc w:val="both"/>
        <w:rPr>
          <w:rFonts w:ascii="Arial" w:hAnsi="Arial" w:cs="Arial"/>
        </w:rPr>
      </w:pPr>
    </w:p>
    <w:p w14:paraId="68F2A7B6" w14:textId="77777777" w:rsidR="002C57D2" w:rsidRPr="00FB3A86" w:rsidRDefault="002C57D2" w:rsidP="00441B6F">
      <w:pPr>
        <w:pStyle w:val="Affiliation"/>
        <w:spacing w:after="0" w:line="240" w:lineRule="auto"/>
        <w:jc w:val="both"/>
        <w:rPr>
          <w:rFonts w:ascii="Arial" w:hAnsi="Arial" w:cs="Arial"/>
        </w:rPr>
      </w:pPr>
    </w:p>
    <w:p w14:paraId="4018F06C" w14:textId="77777777" w:rsidR="00B01FCD" w:rsidRPr="00FB3A86" w:rsidRDefault="00F31CDF" w:rsidP="00441B6F">
      <w:pPr>
        <w:pStyle w:val="Copyright"/>
        <w:spacing w:after="0" w:line="240" w:lineRule="auto"/>
        <w:jc w:val="both"/>
        <w:rPr>
          <w:rFonts w:ascii="Arial" w:hAnsi="Arial" w:cs="Arial"/>
        </w:rPr>
        <w:sectPr w:rsidR="00B01FCD" w:rsidRPr="00FB3A86" w:rsidSect="007D03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359626">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7CC2A0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7499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93ADE7" w14:textId="77777777" w:rsidTr="001E44FE">
        <w:tc>
          <w:tcPr>
            <w:tcW w:w="9576" w:type="dxa"/>
            <w:shd w:val="clear" w:color="auto" w:fill="F2F2F2"/>
          </w:tcPr>
          <w:p w14:paraId="2A343FC5" w14:textId="77777777" w:rsidR="00BA1B01" w:rsidRPr="00BA1B01" w:rsidRDefault="00BA1B01" w:rsidP="0056666F">
            <w:pPr>
              <w:pStyle w:val="Body"/>
              <w:spacing w:after="0"/>
              <w:rPr>
                <w:rFonts w:ascii="Arial" w:eastAsia="Calibri" w:hAnsi="Arial" w:cs="Arial"/>
                <w:szCs w:val="22"/>
              </w:rPr>
            </w:pPr>
            <w:r w:rsidRPr="00BA1B01">
              <w:rPr>
                <w:rFonts w:ascii="Arial" w:eastAsia="Calibri" w:hAnsi="Arial" w:cs="Arial"/>
                <w:b/>
                <w:szCs w:val="22"/>
              </w:rPr>
              <w:t xml:space="preserve">Aims: </w:t>
            </w:r>
            <w:r w:rsidR="00D76F03" w:rsidRPr="00D76F03">
              <w:t>This study aims to identify and analyze the characteristics and motivations of tourists visiting Taman Mini Indonesia Indah (TMII), focusing on demographic, geographic, psychographic, and travel pattern dimensions, as well as the dominant motivational factors influencing their visit.</w:t>
            </w:r>
          </w:p>
          <w:p w14:paraId="317F3837" w14:textId="77777777" w:rsidR="00BA1B01" w:rsidRPr="00BA1B01" w:rsidRDefault="00BA1B01" w:rsidP="005666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C721C" w:rsidRPr="00CC721C">
              <w:t>A quantitative descriptive research design was used to examine visitor profiles and motivational patterns.</w:t>
            </w:r>
          </w:p>
          <w:p w14:paraId="789C730A" w14:textId="77777777" w:rsidR="00265A40" w:rsidRDefault="00BA1B01" w:rsidP="0056666F">
            <w:pPr>
              <w:pStyle w:val="Body"/>
              <w:spacing w:after="0"/>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65A40" w:rsidRPr="00265A40">
              <w:t>The study was conducted at Taman Mini Indonesia Indah (TMII), Jakarta, Indonesia, with data collected during the designated survey period among on-site visitors.</w:t>
            </w:r>
          </w:p>
          <w:p w14:paraId="24F63767" w14:textId="77777777" w:rsidR="00C123EC" w:rsidRDefault="00BA1B01" w:rsidP="005666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8355D" w:rsidRPr="00C8355D">
              <w:t>Data were collected through structured questionnaires distributed to 100 respondents who met the criteria of being at least 17 years old and having spent a minimum of two hours at TMII. A 5-point Likert scale was used to measure motivational attributes. The sampling technique applied was stratified random sampling. Data were analyzed using descriptive statistics, including frequency distribution and mean scoring.</w:t>
            </w:r>
          </w:p>
          <w:p w14:paraId="14B82C22" w14:textId="77777777" w:rsidR="00BA1B01" w:rsidRPr="00BA1B01" w:rsidRDefault="00BA1B01" w:rsidP="005666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1351" w:rsidRPr="00671351">
              <w:t>The findings show that the majority of visitors are young adults aged 20–30, predominantly students and private employees, primarily from Jakarta, West Java, and Banten. Most visitors use private vehicles, visit on weekends or holidays, and stay for one to two hours. Motivational results indicate that hedonic enjoyment, memory-making, relaxation, novelty-seeking, and information-seeking are the strongest drivers influencing visits, while social expansion is the least influential. The motivational pattern reflects a combination of push factors (internal needs for enjoyment, relaxation, novelty) and pull factors (TMII’s cultural attractions).</w:t>
            </w:r>
          </w:p>
          <w:p w14:paraId="7881D34A" w14:textId="77777777" w:rsidR="00505F06" w:rsidRPr="003C5B8C" w:rsidRDefault="00BA1B01" w:rsidP="0056666F">
            <w:pPr>
              <w:jc w:val="both"/>
              <w:rPr>
                <w:rFonts w:ascii="Times New Roman" w:hAnsi="Times New Roman"/>
                <w:sz w:val="24"/>
                <w:szCs w:val="24"/>
              </w:rPr>
            </w:pPr>
            <w:r w:rsidRPr="00BA1B01">
              <w:rPr>
                <w:rFonts w:ascii="Arial" w:eastAsia="Calibri" w:hAnsi="Arial" w:cs="Arial"/>
                <w:b/>
                <w:bCs/>
                <w:szCs w:val="22"/>
              </w:rPr>
              <w:t>Conclusion:</w:t>
            </w:r>
            <w:r w:rsidR="005E0A03">
              <w:rPr>
                <w:rFonts w:ascii="Arial" w:eastAsia="Calibri" w:hAnsi="Arial" w:cs="Arial"/>
                <w:szCs w:val="22"/>
              </w:rPr>
              <w:t xml:space="preserve"> </w:t>
            </w:r>
            <w:r w:rsidR="00FC4204" w:rsidRPr="00FC4204">
              <w:rPr>
                <w:rFonts w:ascii="Arial" w:eastAsia="Calibri" w:hAnsi="Arial" w:cs="Arial"/>
                <w:szCs w:val="22"/>
              </w:rPr>
              <w:t>TMII attracts predominantly young and regional visitors motivated by emotional enjoyment and cultural curiosity. Although TMII remains a strong cultural attraction, improvements are needed in accessibility, visitor engagement, and immersive experiences to increase length of stay and overall satisfaction. Enhancing cultural interpretation, digital engagement, and experiential programs may strengthen TMII’s competitiveness as a cultural tourism destination.</w:t>
            </w:r>
          </w:p>
        </w:tc>
      </w:tr>
    </w:tbl>
    <w:p w14:paraId="67833FAC" w14:textId="77777777" w:rsidR="00636EB2" w:rsidRDefault="00636EB2" w:rsidP="00441B6F">
      <w:pPr>
        <w:pStyle w:val="Body"/>
        <w:spacing w:after="0"/>
        <w:rPr>
          <w:rFonts w:ascii="Arial" w:hAnsi="Arial" w:cs="Arial"/>
          <w:i/>
        </w:rPr>
      </w:pPr>
    </w:p>
    <w:p w14:paraId="312E91A3" w14:textId="77777777" w:rsidR="00A24E7E" w:rsidRDefault="00A24E7E" w:rsidP="00441B6F">
      <w:pPr>
        <w:pStyle w:val="Body"/>
        <w:spacing w:after="0"/>
        <w:rPr>
          <w:rFonts w:ascii="Arial" w:hAnsi="Arial" w:cs="Arial"/>
          <w:i/>
        </w:rPr>
      </w:pPr>
      <w:r>
        <w:rPr>
          <w:rFonts w:ascii="Arial" w:hAnsi="Arial" w:cs="Arial"/>
          <w:i/>
        </w:rPr>
        <w:t xml:space="preserve">Keywords: </w:t>
      </w:r>
      <w:r w:rsidR="002177B7">
        <w:rPr>
          <w:rFonts w:ascii="Arial" w:hAnsi="Arial" w:cs="Arial"/>
          <w:i/>
        </w:rPr>
        <w:t>Tourist Motivation</w:t>
      </w:r>
      <w:r w:rsidR="00E40AE6">
        <w:rPr>
          <w:rFonts w:ascii="Arial" w:hAnsi="Arial" w:cs="Arial"/>
          <w:i/>
        </w:rPr>
        <w:t>;</w:t>
      </w:r>
      <w:r w:rsidR="002177B7">
        <w:rPr>
          <w:rFonts w:ascii="Arial" w:hAnsi="Arial" w:cs="Arial"/>
          <w:i/>
        </w:rPr>
        <w:t xml:space="preserve"> Tourist Characteristic</w:t>
      </w:r>
      <w:r w:rsidR="00E40AE6">
        <w:rPr>
          <w:rFonts w:ascii="Arial" w:hAnsi="Arial" w:cs="Arial"/>
          <w:i/>
        </w:rPr>
        <w:t>;</w:t>
      </w:r>
      <w:r w:rsidR="002177B7">
        <w:rPr>
          <w:rFonts w:ascii="Arial" w:hAnsi="Arial" w:cs="Arial"/>
          <w:i/>
        </w:rPr>
        <w:t xml:space="preserve"> Touris</w:t>
      </w:r>
      <w:r w:rsidR="005423BC">
        <w:rPr>
          <w:rFonts w:ascii="Arial" w:hAnsi="Arial" w:cs="Arial"/>
          <w:i/>
        </w:rPr>
        <w:t>ts</w:t>
      </w:r>
      <w:r w:rsidR="002177B7">
        <w:rPr>
          <w:rFonts w:ascii="Arial" w:hAnsi="Arial" w:cs="Arial"/>
          <w:i/>
        </w:rPr>
        <w:t xml:space="preserve"> Behavior</w:t>
      </w:r>
      <w:r w:rsidR="00D37F96">
        <w:rPr>
          <w:rFonts w:ascii="Arial" w:hAnsi="Arial" w:cs="Arial"/>
          <w:i/>
        </w:rPr>
        <w:t xml:space="preserve">; </w:t>
      </w:r>
      <w:r w:rsidR="00161C60">
        <w:rPr>
          <w:rFonts w:ascii="Arial" w:hAnsi="Arial" w:cs="Arial"/>
          <w:i/>
        </w:rPr>
        <w:t xml:space="preserve">cultural tourism </w:t>
      </w:r>
      <w:r w:rsidR="00D37F96">
        <w:rPr>
          <w:rFonts w:ascii="Arial" w:hAnsi="Arial" w:cs="Arial"/>
          <w:i/>
        </w:rPr>
        <w:t>destination</w:t>
      </w:r>
    </w:p>
    <w:p w14:paraId="6295E01F" w14:textId="77777777" w:rsidR="0024282C" w:rsidRDefault="0024282C" w:rsidP="00441B6F">
      <w:pPr>
        <w:pStyle w:val="Body"/>
        <w:spacing w:after="0"/>
        <w:rPr>
          <w:rFonts w:ascii="Arial" w:hAnsi="Arial" w:cs="Arial"/>
          <w:i/>
          <w:sz w:val="18"/>
        </w:rPr>
      </w:pPr>
    </w:p>
    <w:p w14:paraId="2AC3F129" w14:textId="77777777" w:rsidR="00505F06" w:rsidRDefault="00505F06" w:rsidP="00441B6F">
      <w:pPr>
        <w:pStyle w:val="Body"/>
        <w:spacing w:after="0"/>
        <w:rPr>
          <w:rFonts w:ascii="Arial" w:hAnsi="Arial" w:cs="Arial"/>
          <w:i/>
        </w:rPr>
      </w:pPr>
    </w:p>
    <w:p w14:paraId="3A077AF3" w14:textId="77777777" w:rsidR="003F77F2" w:rsidRDefault="003F77F2" w:rsidP="00441B6F">
      <w:pPr>
        <w:pStyle w:val="Body"/>
        <w:spacing w:after="0"/>
        <w:rPr>
          <w:rFonts w:ascii="Arial" w:hAnsi="Arial" w:cs="Arial"/>
          <w:i/>
        </w:rPr>
      </w:pPr>
    </w:p>
    <w:p w14:paraId="4C0499F0" w14:textId="77777777" w:rsidR="003F77F2" w:rsidRDefault="003F77F2" w:rsidP="00441B6F">
      <w:pPr>
        <w:pStyle w:val="Body"/>
        <w:spacing w:after="0"/>
        <w:rPr>
          <w:rFonts w:ascii="Arial" w:hAnsi="Arial" w:cs="Arial"/>
          <w:i/>
        </w:rPr>
      </w:pPr>
    </w:p>
    <w:p w14:paraId="679267F9" w14:textId="77777777" w:rsidR="003F77F2" w:rsidRPr="00A24E7E" w:rsidRDefault="003F77F2" w:rsidP="00441B6F">
      <w:pPr>
        <w:pStyle w:val="Body"/>
        <w:spacing w:after="0"/>
        <w:rPr>
          <w:rFonts w:ascii="Arial" w:hAnsi="Arial" w:cs="Arial"/>
          <w:i/>
        </w:rPr>
      </w:pPr>
    </w:p>
    <w:p w14:paraId="76ABA8D9"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2459AD">
        <w:rPr>
          <w:rFonts w:ascii="Arial" w:hAnsi="Arial" w:cs="Arial"/>
        </w:rPr>
        <w:t xml:space="preserve"> </w:t>
      </w:r>
    </w:p>
    <w:p w14:paraId="32799487" w14:textId="77777777" w:rsidR="00CF77BF" w:rsidRDefault="00CF77BF" w:rsidP="00971451">
      <w:pPr>
        <w:jc w:val="both"/>
        <w:rPr>
          <w:rFonts w:ascii="Arial" w:hAnsi="Arial" w:cs="Arial"/>
        </w:rPr>
      </w:pPr>
    </w:p>
    <w:p w14:paraId="7D43D715" w14:textId="77777777" w:rsidR="00CF77BF" w:rsidRDefault="00CF77BF" w:rsidP="00CF77BF">
      <w:pPr>
        <w:jc w:val="both"/>
        <w:rPr>
          <w:rFonts w:ascii="Arial" w:hAnsi="Arial" w:cs="Arial"/>
        </w:rPr>
      </w:pPr>
      <w:r w:rsidRPr="00CF77BF">
        <w:rPr>
          <w:rFonts w:ascii="Arial" w:hAnsi="Arial" w:cs="Arial"/>
        </w:rPr>
        <w:t xml:space="preserve">Indonesia’s tourism sector recorded its highest revenue in 2019, with projections of up to 20 million visitors for 2020 before the pandemic </w:t>
      </w:r>
      <w:r w:rsidR="00412417">
        <w:rPr>
          <w:rFonts w:ascii="Arial" w:hAnsi="Arial" w:cs="Arial"/>
        </w:rPr>
        <w:fldChar w:fldCharType="begin" w:fldLock="1"/>
      </w:r>
      <w:r w:rsidR="00412417">
        <w:rPr>
          <w:rFonts w:ascii="Arial" w:hAnsi="Arial" w:cs="Arial"/>
        </w:rPr>
        <w:instrText>ADDIN CSL_CITATION {"citationItems":[{"id":"ITEM-1","itemData":{"DOI":"10.1080/14664208.2021.1965739","ISSN":"1466-4208","author":[{"dropping-particle":"","family":"Yusra","given":"Kamaludin","non-dropping-particle":"","parse-names":false,"suffix":""},{"dropping-particle":"","family":"Lestari","given":"Yuni Budi","non-dropping-particle":"","parse-names":false,"suffix":""},{"dropping-particle":"","family":"Hamid","given":"M Obaidul","non-dropping-particle":"","parse-names":false,"suffix":""}],"container-title":"Current Issues in Language Planning","id":"ITEM-1","issue":"3","issued":{"date-parts":[["2022","5","27"]]},"note":"doi: 10.1080/14664208.2021.1965739","page":"233-253","publisher":"Routledge","title":"Teacher agency and the implementation of CEFR-like policies for English for tourism and hospitality: insights from local vocational high schools in Indonesia","type":"article-journal","volume":"23"},"uris":["http://www.mendeley.com/documents/?uuid=6f708134-e269-428a-b387-f3d587f8ea77"]}],"mendeley":{"formattedCitation":"(Yusra et al., 2022)","plainTextFormattedCitation":"(Yusra et al., 2022)","previouslyFormattedCitation":"(Yusra et al., 2022)"},"properties":{"noteIndex":0},"schema":"https://github.com/citation-style-language/schema/raw/master/csl-citation.json"}</w:instrText>
      </w:r>
      <w:r w:rsidR="00412417">
        <w:rPr>
          <w:rFonts w:ascii="Arial" w:hAnsi="Arial" w:cs="Arial"/>
        </w:rPr>
        <w:fldChar w:fldCharType="separate"/>
      </w:r>
      <w:r w:rsidR="00412417" w:rsidRPr="00233A94">
        <w:rPr>
          <w:rFonts w:ascii="Arial" w:hAnsi="Arial" w:cs="Arial"/>
          <w:noProof/>
        </w:rPr>
        <w:t>(Yusra et al., 2022)</w:t>
      </w:r>
      <w:r w:rsidR="00412417">
        <w:rPr>
          <w:rFonts w:ascii="Arial" w:hAnsi="Arial" w:cs="Arial"/>
        </w:rPr>
        <w:fldChar w:fldCharType="end"/>
      </w:r>
      <w:r w:rsidR="00412417">
        <w:rPr>
          <w:rFonts w:ascii="Arial" w:hAnsi="Arial" w:cs="Arial"/>
        </w:rPr>
        <w:t>.</w:t>
      </w:r>
      <w:r w:rsidR="00412417" w:rsidRPr="006D715D">
        <w:rPr>
          <w:rFonts w:ascii="Arial" w:hAnsi="Arial" w:cs="Arial"/>
        </w:rPr>
        <w:t xml:space="preserve"> </w:t>
      </w:r>
      <w:r w:rsidRPr="00CF77BF">
        <w:rPr>
          <w:rFonts w:ascii="Arial" w:hAnsi="Arial" w:cs="Arial"/>
        </w:rPr>
        <w:t xml:space="preserve">This rapid growth highlights an urgent need for professionalization and standardized service quality, particularly as Indonesia leverages digital technologies to promote its cultural and natural attractions and enhance its global standing </w:t>
      </w:r>
      <w:r w:rsidR="00F77377">
        <w:rPr>
          <w:rFonts w:ascii="Arial" w:hAnsi="Arial" w:cs="Arial"/>
        </w:rPr>
        <w:fldChar w:fldCharType="begin" w:fldLock="1"/>
      </w:r>
      <w:r w:rsidR="00F77377">
        <w:rPr>
          <w:rFonts w:ascii="Arial" w:hAnsi="Arial" w:cs="Arial"/>
        </w:rPr>
        <w:instrText>ADDIN CSL_CITATION {"citationItems":[{"id":"ITEM-1","itemData":{"author":[{"dropping-particle":"","family":"Susilo","given":"Daniel","non-dropping-particle":"","parse-names":false,"suffix":""},{"dropping-particle":"","family":"Chen","given":"Lu Hui","non-dropping-particle":"","parse-names":false,"suffix":""}],"id":"ITEM-1","issue":"May","issued":{"date-parts":[["2023"]]},"page":"415-424","title":"Model of Persuasive Communication for Russian Tourists on Handle of Digital Nomad","type":"article-journal","volume":"10"},"uris":["http://www.mendeley.com/documents/?uuid=a0757e28-a45b-4d21-bfba-40d794c4d5c4"]}],"mendeley":{"formattedCitation":"(Susilo &amp; Chen, 2023)","plainTextFormattedCitation":"(Susilo &amp; Chen, 2023)","previouslyFormattedCitation":"(Susilo &amp; Chen, 2023)"},"properties":{"noteIndex":0},"schema":"https://github.com/citation-style-language/schema/raw/master/csl-citation.json"}</w:instrText>
      </w:r>
      <w:r w:rsidR="00F77377">
        <w:rPr>
          <w:rFonts w:ascii="Arial" w:hAnsi="Arial" w:cs="Arial"/>
        </w:rPr>
        <w:fldChar w:fldCharType="separate"/>
      </w:r>
      <w:r w:rsidR="00F77377" w:rsidRPr="008C3C8D">
        <w:rPr>
          <w:rFonts w:ascii="Arial" w:hAnsi="Arial" w:cs="Arial"/>
          <w:noProof/>
        </w:rPr>
        <w:t>(Susilo &amp; Chen, 2023)</w:t>
      </w:r>
      <w:r w:rsidR="00F77377">
        <w:rPr>
          <w:rFonts w:ascii="Arial" w:hAnsi="Arial" w:cs="Arial"/>
        </w:rPr>
        <w:fldChar w:fldCharType="end"/>
      </w:r>
      <w:r w:rsidR="00F77377">
        <w:rPr>
          <w:rFonts w:ascii="Arial" w:hAnsi="Arial" w:cs="Arial"/>
        </w:rPr>
        <w:t xml:space="preserve">. </w:t>
      </w:r>
      <w:r w:rsidRPr="00CF77BF">
        <w:rPr>
          <w:rFonts w:ascii="Arial" w:hAnsi="Arial" w:cs="Arial"/>
        </w:rPr>
        <w:t>With the increasing number of domestic and international travelers, continuous innovation is essential, particularly in developing sustainable, high-quality, and culturally immersive exp</w:t>
      </w:r>
      <w:r w:rsidR="00412417">
        <w:rPr>
          <w:rFonts w:ascii="Arial" w:hAnsi="Arial" w:cs="Arial"/>
        </w:rPr>
        <w:t xml:space="preserve">eriences </w:t>
      </w:r>
      <w:r w:rsidR="007333E3">
        <w:rPr>
          <w:rFonts w:ascii="Arial" w:hAnsi="Arial" w:cs="Arial"/>
        </w:rPr>
        <w:fldChar w:fldCharType="begin" w:fldLock="1"/>
      </w:r>
      <w:r w:rsidR="007333E3">
        <w:rPr>
          <w:rFonts w:ascii="Arial" w:hAnsi="Arial" w:cs="Arial"/>
        </w:rPr>
        <w:instrText>ADDIN CSL_CITATION {"citationItems":[{"id":"ITEM-1","itemData":{"DOI":"10.5267/dsl.2024.6.001","author":[{"dropping-particle":"","family":"Tosida","given":"Eneng Tita","non-dropping-particle":"","parse-names":false,"suffix":""},{"dropping-particle":"","family":"Jayawinangun","given":"Roni","non-dropping-particle":"","parse-names":false,"suffix":""},{"dropping-particle":"","family":"Pratiwi","given":"Anisa Putri","non-dropping-particle":"","parse-names":false,"suffix":""},{"dropping-particle":"","family":"Sambas","given":"Aceng","non-dropping-particle":"","parse-names":false,"suffix":""},{"dropping-particle":"","family":"Saputra","given":"Jumadil","non-dropping-particle":"","parse-names":false,"suffix":""}],"id":"ITEM-1","issue":"November 2023","issued":{"date-parts":[["2024"]]},"page":"1027-1042","title":"Investigating the spatial basis clustering of smart tourism potential using fuzzy c-means","type":"article-journal","volume":"13"},"uris":["http://www.mendeley.com/documents/?uuid=a5f3427b-49b5-49cd-8d31-baee524bab8c"]}],"mendeley":{"formattedCitation":"(Tosida et al., 2024)","plainTextFormattedCitation":"(Tosida et al., 2024)","previouslyFormattedCitation":"(Tosida et al., 2024)"},"properties":{"noteIndex":0},"schema":"https://github.com/citation-style-language/schema/raw/master/csl-citation.json"}</w:instrText>
      </w:r>
      <w:r w:rsidR="007333E3">
        <w:rPr>
          <w:rFonts w:ascii="Arial" w:hAnsi="Arial" w:cs="Arial"/>
        </w:rPr>
        <w:fldChar w:fldCharType="separate"/>
      </w:r>
      <w:r w:rsidR="007333E3" w:rsidRPr="00216C23">
        <w:rPr>
          <w:rFonts w:ascii="Arial" w:hAnsi="Arial" w:cs="Arial"/>
          <w:noProof/>
        </w:rPr>
        <w:t>(Tosida et al., 2024)</w:t>
      </w:r>
      <w:r w:rsidR="007333E3">
        <w:rPr>
          <w:rFonts w:ascii="Arial" w:hAnsi="Arial" w:cs="Arial"/>
        </w:rPr>
        <w:fldChar w:fldCharType="end"/>
      </w:r>
      <w:r w:rsidR="007333E3">
        <w:rPr>
          <w:rFonts w:ascii="Arial" w:hAnsi="Arial" w:cs="Arial"/>
        </w:rPr>
        <w:t>.</w:t>
      </w:r>
    </w:p>
    <w:p w14:paraId="2E9F2AE1" w14:textId="77777777" w:rsidR="00412417" w:rsidRPr="00CF77BF" w:rsidRDefault="00412417" w:rsidP="00CF77BF">
      <w:pPr>
        <w:jc w:val="both"/>
        <w:rPr>
          <w:rFonts w:ascii="Arial" w:hAnsi="Arial" w:cs="Arial"/>
        </w:rPr>
      </w:pPr>
    </w:p>
    <w:p w14:paraId="2B3CC318" w14:textId="77777777" w:rsidR="00CF77BF" w:rsidRPr="00CF77BF" w:rsidRDefault="00CF77BF" w:rsidP="00CF77BF">
      <w:pPr>
        <w:jc w:val="both"/>
        <w:rPr>
          <w:rFonts w:ascii="Arial" w:hAnsi="Arial" w:cs="Arial"/>
        </w:rPr>
      </w:pPr>
      <w:r w:rsidRPr="00CF77BF">
        <w:rPr>
          <w:rFonts w:ascii="Arial" w:hAnsi="Arial" w:cs="Arial"/>
        </w:rPr>
        <w:t xml:space="preserve">Taman Mini Indonesia Indah (TMII), established in 1975, is Indonesia’s premier cultural theme park, encapsulating the nation’s cultural diversity in one site </w:t>
      </w:r>
      <w:r w:rsidR="00A33471">
        <w:rPr>
          <w:rFonts w:ascii="Arial" w:hAnsi="Arial" w:cs="Arial"/>
        </w:rPr>
        <w:fldChar w:fldCharType="begin" w:fldLock="1"/>
      </w:r>
      <w:r w:rsidR="00A33471">
        <w:rPr>
          <w:rFonts w:ascii="Arial" w:hAnsi="Arial" w:cs="Arial"/>
        </w:rPr>
        <w:instrText>ADDIN CSL_CITATION {"citationItems":[{"id":"ITEM-1","itemData":{"DOI":"10.21512/humaniora.v9i2.4597","abstract":"&amp;lt;p&amp;gt;This research aimed to look further at Taman Mini Indonesia Indahâ€™s (TMII) role in education and toÂ enrich its visitors through exhibition design inside their main attraction, the traditional houses. It used theÂ qualitative methods through observation of three randomly selected pavilions and data analysis used SWOT analysis and goal grid diagram. The research shows that there are no engagements between objects and visitors,Â the exhibitions are still lack of planning, visually unattractive and unavailability of information or written textsÂ for most of its collection, which can be concluded that TMII is still far from achieving their educational goal. TheÂ result of this research is preliminary design for display cases that can be used in pavilions and corresponds designÂ standards.&amp;lt;/p&amp;gt;","author":[{"dropping-particle":"","family":"Wulandari","given":"Anak Agung Ayu","non-dropping-particle":"","parse-names":false,"suffix":""},{"dropping-particle":"","family":"Ruki","given":"Ulli Aulia","non-dropping-particle":"","parse-names":false,"suffix":""}],"container-title":"Humaniora","id":"ITEM-1","issue":"2 SE  - Articles","issued":{"date-parts":[["2018","7","31"]]},"page":"199-209","title":"Education and Exhibition Display Design in Taman Mini Indonesia Indah","type":"article-journal","volume":"9"},"uris":["http://www.mendeley.com/documents/?uuid=9e1b7a53-10b8-40a4-89da-db7758841687"]}],"mendeley":{"formattedCitation":"(Wulandari &amp; Ruki, 2018)","manualFormatting":"(Wulandari &amp; Ruki, 2018","plainTextFormattedCitation":"(Wulandari &amp; Ruki, 2018)","previouslyFormattedCitation":"(Wulandari &amp; Ruki, 2018)"},"properties":{"noteIndex":0},"schema":"https://github.com/citation-style-language/schema/raw/master/csl-citation.json"}</w:instrText>
      </w:r>
      <w:r w:rsidR="00A33471">
        <w:rPr>
          <w:rFonts w:ascii="Arial" w:hAnsi="Arial" w:cs="Arial"/>
        </w:rPr>
        <w:fldChar w:fldCharType="separate"/>
      </w:r>
      <w:r w:rsidR="00A33471" w:rsidRPr="00F85EB5">
        <w:rPr>
          <w:rFonts w:ascii="Arial" w:hAnsi="Arial" w:cs="Arial"/>
          <w:noProof/>
        </w:rPr>
        <w:t>(Wulandari &amp; Ruki, 2018</w:t>
      </w:r>
      <w:r w:rsidR="00A33471">
        <w:rPr>
          <w:rFonts w:ascii="Arial" w:hAnsi="Arial" w:cs="Arial"/>
        </w:rPr>
        <w:fldChar w:fldCharType="end"/>
      </w:r>
      <w:r w:rsidR="00A33471">
        <w:rPr>
          <w:rFonts w:ascii="Arial" w:hAnsi="Arial" w:cs="Arial"/>
        </w:rPr>
        <w:t xml:space="preserve">; </w:t>
      </w:r>
      <w:r w:rsidR="00A33471">
        <w:rPr>
          <w:rFonts w:ascii="Arial" w:hAnsi="Arial" w:cs="Arial"/>
        </w:rPr>
        <w:fldChar w:fldCharType="begin" w:fldLock="1"/>
      </w:r>
      <w:r w:rsidR="00A33471">
        <w:rPr>
          <w:rFonts w:ascii="Arial" w:hAnsi="Arial" w:cs="Arial"/>
        </w:rPr>
        <w:instrText>ADDIN CSL_CITATION {"citationItems":[{"id":"ITEM-1","itemData":{"abstract":"Indonesia is a big country consisting of various tribes and has different cultures from one to another. From this came the idea to create a tourist site with a cultural background. Taman Mini Indonesia Indah is a tourist attraction established since 1975, an attraction with the theme of Indonesian culture. Taman Mini Indonesia Indah is still a tourist destination that has been chosen by many families. Likewise, schools that still do a lot of tourist visits for study tours Visitors to Taman Mini Indonesia Indah are still the second most in Jakarta. With the development of tourism, the concept of tourism for all it becomes an absolute necessity. Because throughout the world there is also a very significant increase in the number of tourists, and ten percent have special needs including elderly people, tourists with small children, pregnant women, tourists with permanent and temporary disabilities. Therefore, the purpose of this study is to find out to what extent Taman Mini Indonesia Indah has implemented accessibility in tourism in accordance with standards set by the UNWTO. The method used is descriptive qualitative, where data is obtained through field research, documentation, checklists and literature studies. The results of the study are found that vertical movements still need to be improved because visitors using a wheelchair cannot enjoy all the regional platforms. And the suggestion from the research is to continue to improve the facilities so that everyone can access them by adding braille letters to the brochure and adding audio announcements to every tourist attraction.          ","author":[{"dropping-particle":"","family":"Lestari","given":"Nurul Sukma","non-dropping-particle":"","parse-names":false,"suffix":""},{"dropping-particle":"","family":"Wiastuti","given":"Rachel Dyah","non-dropping-particle":"","parse-names":false,"suffix":""},{"dropping-particle":"","family":"Triana","given":"Ika","non-dropping-particle":"","parse-names":false,"suffix":""}],"container-title":"Jurnal IPTA (Industri Perjalanan Wisata); Vol 7 No 2 (2019): Jurnal IPTA (December 2019)DO  - 10.24843/IPTA.2019.v07.i02.p01 ","id":"ITEM-1","issued":{"date-parts":[["2019","12","30"]]},"title":"IMPLEMENTASI ACCESSIBLE TOURISM DI TMII JAKARTA","type":"article-journal"},"uris":["http://www.mendeley.com/documents/?uuid=16379025-1783-48f6-b1bd-ec56fb3bb4c4"]}],"mendeley":{"formattedCitation":"(Lestari et al., 2019)","manualFormatting":"Lestari et al., 2019)","plainTextFormattedCitation":"(Lestari et al., 2019)","previouslyFormattedCitation":"(Lestari et al., 2019)"},"properties":{"noteIndex":0},"schema":"https://github.com/citation-style-language/schema/raw/master/csl-citation.json"}</w:instrText>
      </w:r>
      <w:r w:rsidR="00A33471">
        <w:rPr>
          <w:rFonts w:ascii="Arial" w:hAnsi="Arial" w:cs="Arial"/>
        </w:rPr>
        <w:fldChar w:fldCharType="separate"/>
      </w:r>
      <w:r w:rsidR="00A33471" w:rsidRPr="003560CF">
        <w:rPr>
          <w:rFonts w:ascii="Arial" w:hAnsi="Arial" w:cs="Arial"/>
          <w:noProof/>
        </w:rPr>
        <w:t>Lestari et al., 2019)</w:t>
      </w:r>
      <w:r w:rsidR="00A33471">
        <w:rPr>
          <w:rFonts w:ascii="Arial" w:hAnsi="Arial" w:cs="Arial"/>
        </w:rPr>
        <w:fldChar w:fldCharType="end"/>
      </w:r>
      <w:r w:rsidRPr="00CF77BF">
        <w:rPr>
          <w:rFonts w:ascii="Arial" w:hAnsi="Arial" w:cs="Arial"/>
        </w:rPr>
        <w:t xml:space="preserve">. Conceptualized by Tien Suharto, TMII serves as a cultural microcosm, showcasing traditional houses, regional pavilions, and exhibitions featuring attire, dances, and customs </w:t>
      </w:r>
      <w:r w:rsidR="00555E1B">
        <w:rPr>
          <w:rFonts w:ascii="Arial" w:hAnsi="Arial" w:cs="Arial"/>
        </w:rPr>
        <w:fldChar w:fldCharType="begin" w:fldLock="1"/>
      </w:r>
      <w:r w:rsidR="00555E1B">
        <w:rPr>
          <w:rFonts w:ascii="Arial" w:hAnsi="Arial" w:cs="Arial"/>
        </w:rPr>
        <w:instrText>ADDIN CSL_CITATION {"citationItems":[{"id":"ITEM-1","itemData":{"DOI":"10.9790/5736-1005010119","ISBN":"5736100501011","author":[{"dropping-particle":"","family":"Ricardianto","given":"Ir Prasadja","non-dropping-particle":"","parse-names":false,"suffix":""},{"dropping-particle":"","family":"Djajaputra","given":"Gunawan","non-dropping-particle":"","parse-names":false,"suffix":""},{"dropping-particle":"","family":"Martono","given":"Prof","non-dropping-particle":"","parse-names":false,"suffix":""},{"dropping-particle":"","family":"Introduction","given":"I","non-dropping-particle":"","parse-names":false,"suffix":""}],"id":"ITEM-1","issue":"5","issued":{"date-parts":[["2017"]]},"page":"1-19","title":"Air Transport and Tourism in Indonesia","type":"article-journal","volume":"10"},"uris":["http://www.mendeley.com/documents/?uuid=895a2d01-9bf0-4475-877b-c9416c05f5e9"]}],"mendeley":{"formattedCitation":"(Ricardianto et al., 2017)","plainTextFormattedCitation":"(Ricardianto et al., 2017)","previouslyFormattedCitation":"(Ricardianto et al., 2017)"},"properties":{"noteIndex":0},"schema":"https://github.com/citation-style-language/schema/raw/master/csl-citation.json"}</w:instrText>
      </w:r>
      <w:r w:rsidR="00555E1B">
        <w:rPr>
          <w:rFonts w:ascii="Arial" w:hAnsi="Arial" w:cs="Arial"/>
        </w:rPr>
        <w:fldChar w:fldCharType="separate"/>
      </w:r>
      <w:r w:rsidR="00555E1B" w:rsidRPr="00DE473E">
        <w:rPr>
          <w:rFonts w:ascii="Arial" w:hAnsi="Arial" w:cs="Arial"/>
          <w:noProof/>
        </w:rPr>
        <w:t>(Ricardianto et al., 2017)</w:t>
      </w:r>
      <w:r w:rsidR="00555E1B">
        <w:rPr>
          <w:rFonts w:ascii="Arial" w:hAnsi="Arial" w:cs="Arial"/>
        </w:rPr>
        <w:fldChar w:fldCharType="end"/>
      </w:r>
      <w:r w:rsidR="00555E1B">
        <w:rPr>
          <w:rFonts w:ascii="Arial" w:hAnsi="Arial" w:cs="Arial"/>
        </w:rPr>
        <w:t xml:space="preserve">. </w:t>
      </w:r>
      <w:r w:rsidRPr="00CF77BF">
        <w:rPr>
          <w:rFonts w:ascii="Arial" w:hAnsi="Arial" w:cs="Arial"/>
        </w:rPr>
        <w:t xml:space="preserve">Its persistent popularity among local and foreign visitors underscores its vital role in highlighting Indonesia’s cultural richness </w:t>
      </w:r>
      <w:r w:rsidR="0090199C">
        <w:rPr>
          <w:rFonts w:ascii="Arial" w:hAnsi="Arial" w:cs="Arial"/>
        </w:rPr>
        <w:fldChar w:fldCharType="begin" w:fldLock="1"/>
      </w:r>
      <w:r w:rsidR="0090199C">
        <w:rPr>
          <w:rFonts w:ascii="Arial" w:hAnsi="Arial" w:cs="Arial"/>
        </w:rPr>
        <w:instrText>ADDIN CSL_CITATION {"citationItems":[{"id":"ITEM-1","itemData":{"DOI":"10.24843/IPTA.2013.v01.i01.p03","abstract":"The title of this final report is “ Analysis Of service Quality In jakarta pavilion Taman Mini Indonesia Indah”. The background of this research is the decrease of service provide to tourist . Tourist destination should be able to give good service to the tourist. by giving good service, will creating satisfaction for tourist enjoying attraction and culture in the Jakarta pavilion Taman Mini Indonesia Indah The target of this research is to know about perception of tourist to the service quality of staff or guide in the pavilion Jakarta . Kinds of that are used are qualitative and quantitative, data source are primary data and secondary data, data collection by observation, deep interview, questionnaire and literary study. Technic of data analysis that is used descriptive qualitative and likert scale analysis. The result of the study is perception of tourist to the service quality of staff and guide in the Jakarta pavilion is netral which means is not good or not bad with average of all is 3,45 from 50 respondents. The suggestion that can be given to the management of pavilion Jakarta the effort to the quality of service to improve the staff and guides quality in Jakarta pavilion.          ","author":[{"dropping-particle":"","family":"Sebastian","given":"Ryan","non-dropping-particle":"","parse-names":false,"suffix":""},{"dropping-particle":"","family":"Kusuma Negara","given":"I Made","non-dropping-particle":"","parse-names":false,"suffix":""},{"dropping-particle":"","family":"Sudana","given":"I Putu","non-dropping-particle":"","parse-names":false,"suffix":""}],"container-title":"Jurnal IPTA (Industri Perjalanan Wisata); Vol 1 No 1 (2013): Jurnal IPTA (December 2013)","id":"ITEM-1","issued":{"date-parts":[["2013"]]},"title":"ANALISIS KUALITAS PELAYANAN PADA ANJUNGAN DKI JAKARTA TAMAN MINI INDONESIA INDAH","type":"article-journal"},"uris":["http://www.mendeley.com/documents/?uuid=2a3f5af8-fa0d-4cbe-be65-934084f68973"]}],"mendeley":{"formattedCitation":"(Sebastian et al., 2013)","plainTextFormattedCitation":"(Sebastian et al., 2013)","previouslyFormattedCitation":"(Sebastian et al., 2013)"},"properties":{"noteIndex":0},"schema":"https://github.com/citation-style-language/schema/raw/master/csl-citation.json"}</w:instrText>
      </w:r>
      <w:r w:rsidR="0090199C">
        <w:rPr>
          <w:rFonts w:ascii="Arial" w:hAnsi="Arial" w:cs="Arial"/>
        </w:rPr>
        <w:fldChar w:fldCharType="separate"/>
      </w:r>
      <w:r w:rsidR="0090199C" w:rsidRPr="00BC1AF9">
        <w:rPr>
          <w:rFonts w:ascii="Arial" w:hAnsi="Arial" w:cs="Arial"/>
          <w:noProof/>
        </w:rPr>
        <w:t>(Sebastian et al., 2013)</w:t>
      </w:r>
      <w:r w:rsidR="0090199C">
        <w:rPr>
          <w:rFonts w:ascii="Arial" w:hAnsi="Arial" w:cs="Arial"/>
        </w:rPr>
        <w:fldChar w:fldCharType="end"/>
      </w:r>
      <w:r w:rsidR="0090199C">
        <w:rPr>
          <w:rFonts w:ascii="Arial" w:hAnsi="Arial" w:cs="Arial"/>
        </w:rPr>
        <w:t xml:space="preserve">. </w:t>
      </w:r>
      <w:r w:rsidRPr="00CF77BF">
        <w:rPr>
          <w:rFonts w:ascii="Arial" w:hAnsi="Arial" w:cs="Arial"/>
        </w:rPr>
        <w:t>TMII is a leading family attraction and a dynamic platform for marketing cultural products through d</w:t>
      </w:r>
      <w:r w:rsidR="00931903">
        <w:rPr>
          <w:rFonts w:ascii="Arial" w:hAnsi="Arial" w:cs="Arial"/>
        </w:rPr>
        <w:t xml:space="preserve">igital storytelling strategies </w:t>
      </w:r>
      <w:r w:rsidR="00931903">
        <w:rPr>
          <w:rFonts w:ascii="Arial" w:hAnsi="Arial" w:cs="Arial"/>
        </w:rPr>
        <w:fldChar w:fldCharType="begin" w:fldLock="1"/>
      </w:r>
      <w:r w:rsidR="00931903">
        <w:rPr>
          <w:rFonts w:ascii="Arial" w:hAnsi="Arial" w:cs="Arial"/>
        </w:rPr>
        <w:instrText>ADDIN CSL_CITATION {"citationItems":[{"id":"ITEM-1","itemData":{"DOI":"10.2991/978-94-6463-234-7_89","ISBN":"2352-5428","author":[{"dropping-particle":"","family":"Darmawan","given":"Haryadi","non-dropping-particle":"","parse-names":false,"suffix":""}],"id":"ITEM-1","issued":{"date-parts":[["2023"]]},"page":"862-869","publisher":"Atlantis Press","title":"Market Analysis on Man-Made Tourist Attractionin Indonesia BT  - Proceedings of the 7th Global Conference on Business, Management, and Entrepreneurship (GCBME 2022)","type":"paper-conference"},"uris":["http://www.mendeley.com/documents/?uuid=b02bd046-4f2e-4410-90ca-da612fa7522f"]}],"mendeley":{"formattedCitation":"(Darmawan, 2023)","manualFormatting":"(Darmawan, 2023","plainTextFormattedCitation":"(Darmawan, 2023)","previouslyFormattedCitation":"(Darmawan, 2023)"},"properties":{"noteIndex":0},"schema":"https://github.com/citation-style-language/schema/raw/master/csl-citation.json"}</w:instrText>
      </w:r>
      <w:r w:rsidR="00931903">
        <w:rPr>
          <w:rFonts w:ascii="Arial" w:hAnsi="Arial" w:cs="Arial"/>
        </w:rPr>
        <w:fldChar w:fldCharType="separate"/>
      </w:r>
      <w:r w:rsidR="00931903" w:rsidRPr="00335AC9">
        <w:rPr>
          <w:rFonts w:ascii="Arial" w:hAnsi="Arial" w:cs="Arial"/>
          <w:noProof/>
        </w:rPr>
        <w:t>(Darmawan, 2023</w:t>
      </w:r>
      <w:r w:rsidR="00931903">
        <w:rPr>
          <w:rFonts w:ascii="Arial" w:hAnsi="Arial" w:cs="Arial"/>
        </w:rPr>
        <w:fldChar w:fldCharType="end"/>
      </w:r>
      <w:r w:rsidR="00931903">
        <w:rPr>
          <w:rFonts w:ascii="Arial" w:hAnsi="Arial" w:cs="Arial"/>
        </w:rPr>
        <w:t xml:space="preserve">; </w:t>
      </w:r>
      <w:r w:rsidR="00931903">
        <w:rPr>
          <w:rFonts w:ascii="Arial" w:hAnsi="Arial" w:cs="Arial"/>
        </w:rPr>
        <w:fldChar w:fldCharType="begin" w:fldLock="1"/>
      </w:r>
      <w:r w:rsidR="00931903">
        <w:rPr>
          <w:rFonts w:ascii="Arial" w:hAnsi="Arial" w:cs="Arial"/>
        </w:rPr>
        <w:instrText>ADDIN CSL_CITATION {"citationItems":[{"id":"ITEM-1","itemData":{"abstract":"This study aims to examine the effect of brand storytelling on value perceptions and its impact on Visit Intention on tourism destinations in Jakarta (Survey on YouTube Channel of Taman Mini Indonesia Indah). The survey was conducted on 100 subscribers of the YouTube Channel of TMII Official. With purposive sampling technique and Path analysis technique to analyze this study, the results show that 1) Brand storytelling has a significant effect of 0.680 or 68,0% on value perceptions; 2) Value perceptions significantly influence 0,477 or 47,7% to visit intention; 3) Brand storytelling directly affects significantly 0,438 or 43,8%, to Visit intention, while its influence indirectly equal to 0,324 or 32,4% through value perceptions, with total influence 0,762 or 76,2%. The findings in this study indicate that Brand storytelling is one of the effective strategies in forming value perceptions so that it can influence visit intention. ","author":[{"dropping-particle":"","family":"Lily Anita","given":"Tiurida","non-dropping-particle":"","parse-names":false,"suffix":""},{"dropping-particle":"","family":"Sukma Lestari","given":"Nurul","non-dropping-particle":"","parse-names":false,"suffix":""}],"container-title":"Jurnal IPTA (Industri Perjalanan Wisata); Vol 8 No 2 (2020): Jurnal IPTA (December 2020)DO  - 10.24843/IPTA.2020.v08.i02.p13 ","id":"ITEM-1","issued":{"date-parts":[["2020","12","30"]]},"title":"KONSEP BRAND STORYTELLING, VALUE PERCEPTIONS DAN VISIT INTENTION PADA KAWASAN TUJUAN WISATA DI JAKARTA","type":"article-journal"},"uris":["http://www.mendeley.com/documents/?uuid=16010d32-d905-475e-8ac0-4ec30c88c96d"]}],"mendeley":{"formattedCitation":"(Lily Anita &amp; Sukma Lestari, 2020)","manualFormatting":"Lily Anita &amp; Sukma Lestari, 2020)","plainTextFormattedCitation":"(Lily Anita &amp; Sukma Lestari, 2020)","previouslyFormattedCitation":"(Lily Anita &amp; Sukma Lestari, 2020)"},"properties":{"noteIndex":0},"schema":"https://github.com/citation-style-language/schema/raw/master/csl-citation.json"}</w:instrText>
      </w:r>
      <w:r w:rsidR="00931903">
        <w:rPr>
          <w:rFonts w:ascii="Arial" w:hAnsi="Arial" w:cs="Arial"/>
        </w:rPr>
        <w:fldChar w:fldCharType="separate"/>
      </w:r>
      <w:r w:rsidR="00931903" w:rsidRPr="00AA0500">
        <w:rPr>
          <w:rFonts w:ascii="Arial" w:hAnsi="Arial" w:cs="Arial"/>
          <w:noProof/>
        </w:rPr>
        <w:t>Lily Anita &amp; Sukma Lestari, 2020)</w:t>
      </w:r>
      <w:r w:rsidR="00931903">
        <w:rPr>
          <w:rFonts w:ascii="Arial" w:hAnsi="Arial" w:cs="Arial"/>
        </w:rPr>
        <w:fldChar w:fldCharType="end"/>
      </w:r>
      <w:r w:rsidR="00B57582">
        <w:rPr>
          <w:rFonts w:ascii="Arial" w:hAnsi="Arial" w:cs="Arial"/>
        </w:rPr>
        <w:t xml:space="preserve">, </w:t>
      </w:r>
      <w:r w:rsidRPr="00CF77BF">
        <w:rPr>
          <w:rFonts w:ascii="Arial" w:hAnsi="Arial" w:cs="Arial"/>
        </w:rPr>
        <w:t>that extend promotional reach and deepen visitors’ cultural engagement. This approach reflects global tourism trends that emphasize the increasing importance of digital m</w:t>
      </w:r>
      <w:r w:rsidR="00412417">
        <w:rPr>
          <w:rFonts w:ascii="Arial" w:hAnsi="Arial" w:cs="Arial"/>
        </w:rPr>
        <w:t xml:space="preserve">arketing </w:t>
      </w:r>
      <w:r w:rsidR="00657331">
        <w:rPr>
          <w:rFonts w:ascii="Arial" w:hAnsi="Arial" w:cs="Arial"/>
        </w:rPr>
        <w:fldChar w:fldCharType="begin" w:fldLock="1"/>
      </w:r>
      <w:r w:rsidR="00657331">
        <w:rPr>
          <w:rFonts w:ascii="Arial" w:hAnsi="Arial" w:cs="Arial"/>
        </w:rPr>
        <w:instrText>ADDIN CSL_CITATION {"citationItems":[{"id":"ITEM-1","itemData":{"author":[{"dropping-particle":"","family":"Baysha","given":"Muh. Husein","non-dropping-particle":"","parse-names":false,"suffix":""},{"dropping-particle":"","family":"Astuti","given":"Endah Resnandari Puji","non-dropping-particle":"","parse-names":false,"suffix":""},{"dropping-particle":"","family":"Fahmi","given":"Agus Nur","non-dropping-particle":"","parse-names":false,"suffix":""},{"dropping-particle":"","family":"Mashur","given":"Mashur","non-dropping-particle":"","parse-names":false,"suffix":""}],"container-title":"COMMUNITY : Jurnal Pengabdian Kepada Masyarakat","id":"ITEM-1","issued":{"date-parts":[["2024"]]},"title":"PERAN PEMASARAN DIGITAL DALAM MEMPROMOSIKAN PARIWISATA TANDUNG ANDUNG DESA LENDANG ARA","type":"article-journal"},"uris":["http://www.mendeley.com/documents/?uuid=d9e3fbad-0ce3-4419-97c7-5c70bdf3d795"]}],"mendeley":{"formattedCitation":"(Baysha et al., 2024)","plainTextFormattedCitation":"(Baysha et al., 2024)","previouslyFormattedCitation":"(Baysha et al., 2024)"},"properties":{"noteIndex":0},"schema":"https://github.com/citation-style-language/schema/raw/master/csl-citation.json"}</w:instrText>
      </w:r>
      <w:r w:rsidR="00657331">
        <w:rPr>
          <w:rFonts w:ascii="Arial" w:hAnsi="Arial" w:cs="Arial"/>
        </w:rPr>
        <w:fldChar w:fldCharType="separate"/>
      </w:r>
      <w:r w:rsidR="00657331" w:rsidRPr="009E3CE7">
        <w:rPr>
          <w:rFonts w:ascii="Arial" w:hAnsi="Arial" w:cs="Arial"/>
          <w:noProof/>
        </w:rPr>
        <w:t>(Baysha et al., 2024)</w:t>
      </w:r>
      <w:r w:rsidR="00657331">
        <w:rPr>
          <w:rFonts w:ascii="Arial" w:hAnsi="Arial" w:cs="Arial"/>
        </w:rPr>
        <w:fldChar w:fldCharType="end"/>
      </w:r>
      <w:r w:rsidR="00657331">
        <w:rPr>
          <w:rFonts w:ascii="Arial" w:hAnsi="Arial" w:cs="Arial"/>
        </w:rPr>
        <w:t>.</w:t>
      </w:r>
    </w:p>
    <w:p w14:paraId="551542E3" w14:textId="77777777" w:rsidR="00CF77BF" w:rsidRPr="00CF77BF" w:rsidRDefault="00CF77BF" w:rsidP="00CF77BF">
      <w:pPr>
        <w:jc w:val="both"/>
        <w:rPr>
          <w:rFonts w:ascii="Arial" w:hAnsi="Arial" w:cs="Arial"/>
        </w:rPr>
      </w:pPr>
    </w:p>
    <w:p w14:paraId="2BB3F022" w14:textId="77777777" w:rsidR="00462021" w:rsidRDefault="00CF77BF" w:rsidP="003A60FC">
      <w:pPr>
        <w:jc w:val="both"/>
        <w:rPr>
          <w:rFonts w:ascii="Arial" w:hAnsi="Arial" w:cs="Arial"/>
        </w:rPr>
      </w:pPr>
      <w:r w:rsidRPr="00CF77BF">
        <w:rPr>
          <w:rFonts w:ascii="Arial" w:hAnsi="Arial" w:cs="Arial"/>
        </w:rPr>
        <w:t xml:space="preserve">TMII occupies approximately 150 hectares. It functions as both a cultural repository and a recreational space. The park offers a diverse range of attractions, including natural landscapes and constructed facilities, as well as various performances and interactive activities </w:t>
      </w:r>
      <w:r w:rsidR="000F3EFF">
        <w:rPr>
          <w:rFonts w:ascii="Arial" w:hAnsi="Arial" w:cs="Arial"/>
        </w:rPr>
        <w:fldChar w:fldCharType="begin" w:fldLock="1"/>
      </w:r>
      <w:r w:rsidR="000F3EFF">
        <w:rPr>
          <w:rFonts w:ascii="Arial" w:hAnsi="Arial" w:cs="Arial"/>
        </w:rPr>
        <w:instrText>ADDIN CSL_CITATION {"citationItems":[{"id":"ITEM-1","itemData":{"DOI":"https://doi.org/10.32528/sw.v3i2.3849","author":[{"dropping-particle":"","family":"Iswidyamarsha","given":"Cicilia","non-dropping-particle":"","parse-names":false,"suffix":""},{"dropping-particle":"","family":"Dewantara","given":"Yudhiet Fajar","non-dropping-particle":"","parse-names":false,"suffix":""}],"container-title":"Sadar Wisata: Jurnal Pariwisata","id":"ITEM-1","issued":{"date-parts":[["2020"]]},"title":"PENGARUH FASILITAS WISATA DAN PROMOSI TERHADAP MINAT BERKUNJUNG DI DUNIA AIR TAWAR DAN DUNIA SERANGGA TMII","type":"article-journal"},"uris":["http://www.mendeley.com/documents/?uuid=ff4d3a7e-c13b-477f-86e0-190f798d61a0"]}],"mendeley":{"formattedCitation":"(Iswidyamarsha &amp; Dewantara, 2020)","plainTextFormattedCitation":"(Iswidyamarsha &amp; Dewantara, 2020)","previouslyFormattedCitation":"(Iswidyamarsha &amp; Dewantara, 2020)"},"properties":{"noteIndex":0},"schema":"https://github.com/citation-style-language/schema/raw/master/csl-citation.json"}</w:instrText>
      </w:r>
      <w:r w:rsidR="000F3EFF">
        <w:rPr>
          <w:rFonts w:ascii="Arial" w:hAnsi="Arial" w:cs="Arial"/>
        </w:rPr>
        <w:fldChar w:fldCharType="separate"/>
      </w:r>
      <w:r w:rsidR="000F3EFF" w:rsidRPr="00B47D9C">
        <w:rPr>
          <w:rFonts w:ascii="Arial" w:hAnsi="Arial" w:cs="Arial"/>
          <w:noProof/>
        </w:rPr>
        <w:t>(Iswidyamarsha &amp; Dewantara, 2020)</w:t>
      </w:r>
      <w:r w:rsidR="000F3EFF">
        <w:rPr>
          <w:rFonts w:ascii="Arial" w:hAnsi="Arial" w:cs="Arial"/>
        </w:rPr>
        <w:fldChar w:fldCharType="end"/>
      </w:r>
      <w:r w:rsidR="000F3EFF">
        <w:rPr>
          <w:rFonts w:ascii="Arial" w:hAnsi="Arial" w:cs="Arial"/>
        </w:rPr>
        <w:t>.</w:t>
      </w:r>
      <w:r w:rsidRPr="00CF77BF">
        <w:rPr>
          <w:rFonts w:ascii="Arial" w:hAnsi="Arial" w:cs="Arial"/>
        </w:rPr>
        <w:t xml:space="preserve"> This combination of recreation and education transforms cultural assets into living, participatory experiences, not static exhibitions </w:t>
      </w:r>
      <w:r w:rsidR="00926FEE">
        <w:rPr>
          <w:rFonts w:ascii="Arial" w:hAnsi="Arial" w:cs="Arial"/>
        </w:rPr>
        <w:fldChar w:fldCharType="begin" w:fldLock="1"/>
      </w:r>
      <w:r w:rsidR="00926FEE">
        <w:rPr>
          <w:rFonts w:ascii="Arial" w:hAnsi="Arial" w:cs="Arial"/>
        </w:rPr>
        <w:instrText>ADDIN CSL_CITATION {"citationItems":[{"id":"ITEM-1","itemData":{"DOI":"https://doi.org/10.51878/community.v5i2.7160","author":[{"dropping-particle":"","family":"Mandarani","given":"Vidya","non-dropping-particle":"","parse-names":false,"suffix":""},{"dropping-particle":"","family":"Susilo","given":"Joko","non-dropping-particle":"","parse-names":false,"suffix":""},{"dropping-particle":"","family":"Akbar","given":"Aligato Aji","non-dropping-particle":"","parse-names":false,"suffix":""},{"dropping-particle":"","family":"Prapanca","given":"Detak","non-dropping-particle":"","parse-names":false,"suffix":""},{"dropping-particle":"","family":"Sari","given":"Raras Hafiidha","non-dropping-particle":"","parse-names":false,"suffix":""}],"container-title":"COMMUNITY : Jurnal Pengabdian Kepada Masyarakat","id":"ITEM-1","issued":{"date-parts":[["2025"]]},"title":"“SEHARI MENJADI SENIMAN” SEBAGAI IMPLEMENTASI WISATA EDUKASI SENI BUDAYA SIDOARJO","type":"article-journal"},"uris":["http://www.mendeley.com/documents/?uuid=c16a39e1-9155-4576-9ef2-acdd57c5da48"]}],"mendeley":{"formattedCitation":"(Mandarani et al., 2025)","plainTextFormattedCitation":"(Mandarani et al., 2025)","previouslyFormattedCitation":"(Mandarani et al., 2025)"},"properties":{"noteIndex":0},"schema":"https://github.com/citation-style-language/schema/raw/master/csl-citation.json"}</w:instrText>
      </w:r>
      <w:r w:rsidR="00926FEE">
        <w:rPr>
          <w:rFonts w:ascii="Arial" w:hAnsi="Arial" w:cs="Arial"/>
        </w:rPr>
        <w:fldChar w:fldCharType="separate"/>
      </w:r>
      <w:r w:rsidR="00926FEE" w:rsidRPr="00AF3D9F">
        <w:rPr>
          <w:rFonts w:ascii="Arial" w:hAnsi="Arial" w:cs="Arial"/>
          <w:noProof/>
        </w:rPr>
        <w:t>(Mandarani et al., 2025)</w:t>
      </w:r>
      <w:r w:rsidR="00926FEE">
        <w:rPr>
          <w:rFonts w:ascii="Arial" w:hAnsi="Arial" w:cs="Arial"/>
        </w:rPr>
        <w:fldChar w:fldCharType="end"/>
      </w:r>
      <w:r w:rsidR="00926FEE">
        <w:rPr>
          <w:rFonts w:ascii="Arial" w:hAnsi="Arial" w:cs="Arial"/>
        </w:rPr>
        <w:t xml:space="preserve">. </w:t>
      </w:r>
      <w:r w:rsidRPr="00CF77BF">
        <w:rPr>
          <w:rFonts w:ascii="Arial" w:hAnsi="Arial" w:cs="Arial"/>
        </w:rPr>
        <w:t xml:space="preserve">Despite its long-standing operation, questions remain about TMII’s adherence to the UNWTO's standards for accessible tourism. This highlights an important area for improvement to accommodate a broader range of visitors </w:t>
      </w:r>
      <w:r w:rsidR="003E62DA">
        <w:rPr>
          <w:rFonts w:ascii="Arial" w:hAnsi="Arial" w:cs="Arial"/>
        </w:rPr>
        <w:fldChar w:fldCharType="begin" w:fldLock="1"/>
      </w:r>
      <w:r w:rsidR="003E62DA">
        <w:rPr>
          <w:rFonts w:ascii="Arial" w:hAnsi="Arial" w:cs="Arial"/>
        </w:rPr>
        <w:instrText>ADDIN CSL_CITATION {"citationItems":[{"id":"ITEM-1","itemData":{"abstract":"Indonesia is a big country consisting of various tribes and has different cultures from one to another. From this came the idea to create a tourist site with a cultural background. Taman Mini Indonesia Indah is a tourist attraction established since 1975, an attraction with the theme of Indonesian culture. Taman Mini Indonesia Indah is still a tourist destination that has been chosen by many families. Likewise, schools that still do a lot of tourist visits for study tours Visitors to Taman Mini Indonesia Indah are still the second most in Jakarta. With the development of tourism, the concept of tourism for all it becomes an absolute necessity. Because throughout the world there is also a very significant increase in the number of tourists, and ten percent have special needs including elderly people, tourists with small children, pregnant women, tourists with permanent and temporary disabilities. Therefore, the purpose of this study is to find out to what extent Taman Mini Indonesia Indah has implemented accessibility in tourism in accordance with standards set by the UNWTO. The method used is descriptive qualitative, where data is obtained through field research, documentation, checklists and literature studies. The results of the study are found that vertical movements still need to be improved because visitors using a wheelchair cannot enjoy all the regional platforms. And the suggestion from the research is to continue to improve the facilities so that everyone can access them by adding braille letters to the brochure and adding audio announcements to every tourist attraction.          ","author":[{"dropping-particle":"","family":"Lestari","given":"Nurul Sukma","non-dropping-particle":"","parse-names":false,"suffix":""},{"dropping-particle":"","family":"Wiastuti","given":"Rachel Dyah","non-dropping-particle":"","parse-names":false,"suffix":""},{"dropping-particle":"","family":"Triana","given":"Ika","non-dropping-particle":"","parse-names":false,"suffix":""}],"container-title":"Jurnal IPTA (Industri Perjalanan Wisata); Vol 7 No 2 (2019): Jurnal IPTA (December 2019)DO  - 10.24843/IPTA.2019.v07.i02.p01 ","id":"ITEM-1","issued":{"date-parts":[["2019","12","30"]]},"title":"IMPLEMENTASI ACCESSIBLE TOURISM DI TMII JAKARTA","type":"article-journal"},"uris":["http://www.mendeley.com/documents/?uuid=16379025-1783-48f6-b1bd-ec56fb3bb4c4"]}],"mendeley":{"formattedCitation":"(Lestari et al., 2019)","plainTextFormattedCitation":"(Lestari et al., 2019)","previouslyFormattedCitation":"(Lestari et al., 2019)"},"properties":{"noteIndex":0},"schema":"https://github.com/citation-style-language/schema/raw/master/csl-citation.json"}</w:instrText>
      </w:r>
      <w:r w:rsidR="003E62DA">
        <w:rPr>
          <w:rFonts w:ascii="Arial" w:hAnsi="Arial" w:cs="Arial"/>
        </w:rPr>
        <w:fldChar w:fldCharType="separate"/>
      </w:r>
      <w:r w:rsidR="003E62DA" w:rsidRPr="0013627A">
        <w:rPr>
          <w:rFonts w:ascii="Arial" w:hAnsi="Arial" w:cs="Arial"/>
          <w:noProof/>
        </w:rPr>
        <w:t>(Lestari et al., 2019)</w:t>
      </w:r>
      <w:r w:rsidR="003E62DA">
        <w:rPr>
          <w:rFonts w:ascii="Arial" w:hAnsi="Arial" w:cs="Arial"/>
        </w:rPr>
        <w:fldChar w:fldCharType="end"/>
      </w:r>
      <w:r w:rsidR="003E62DA">
        <w:rPr>
          <w:rFonts w:ascii="Arial" w:hAnsi="Arial" w:cs="Arial"/>
        </w:rPr>
        <w:t>.</w:t>
      </w:r>
    </w:p>
    <w:p w14:paraId="311010E2" w14:textId="77777777" w:rsidR="00462021" w:rsidRDefault="00462021" w:rsidP="00441B6F">
      <w:pPr>
        <w:pStyle w:val="AbstHead"/>
        <w:spacing w:after="0"/>
        <w:jc w:val="both"/>
        <w:rPr>
          <w:rFonts w:ascii="Arial" w:hAnsi="Arial" w:cs="Arial"/>
        </w:rPr>
      </w:pPr>
    </w:p>
    <w:p w14:paraId="50648159" w14:textId="77777777" w:rsidR="00E10B46" w:rsidRPr="00E10B46" w:rsidRDefault="00E10B46" w:rsidP="00E10B46">
      <w:pPr>
        <w:jc w:val="both"/>
        <w:rPr>
          <w:rFonts w:ascii="Arial" w:hAnsi="Arial" w:cs="Arial"/>
        </w:rPr>
      </w:pPr>
      <w:r w:rsidRPr="00E10B46">
        <w:rPr>
          <w:rFonts w:ascii="Arial" w:hAnsi="Arial" w:cs="Arial"/>
        </w:rPr>
        <w:t>Tourist behavior encompasses the decisions and actions of individuals during their travel experiences, ranging from destination selec</w:t>
      </w:r>
      <w:r>
        <w:rPr>
          <w:rFonts w:ascii="Arial" w:hAnsi="Arial" w:cs="Arial"/>
        </w:rPr>
        <w:t xml:space="preserve">tion to post-visit reflections </w:t>
      </w:r>
      <w:r w:rsidRPr="005F329F">
        <w:rPr>
          <w:rFonts w:ascii="Arial" w:hAnsi="Arial" w:cs="Arial"/>
          <w:noProof/>
        </w:rPr>
        <w:t>(Rani et al., 2019</w:t>
      </w:r>
      <w:r>
        <w:rPr>
          <w:rFonts w:ascii="Arial" w:hAnsi="Arial" w:cs="Arial"/>
          <w:noProof/>
        </w:rPr>
        <w:t>.</w:t>
      </w:r>
      <w:r w:rsidRPr="00E10B46">
        <w:rPr>
          <w:rFonts w:ascii="Arial" w:hAnsi="Arial" w:cs="Arial"/>
        </w:rPr>
        <w:t xml:space="preserve"> This field of study frequently examines how various motivations, perceptions, and demographic characteristics influence travel choices and on-site engagement </w:t>
      </w:r>
      <w:r w:rsidR="00436A05">
        <w:rPr>
          <w:rFonts w:ascii="Arial" w:hAnsi="Arial" w:cs="Arial"/>
        </w:rPr>
        <w:fldChar w:fldCharType="begin" w:fldLock="1"/>
      </w:r>
      <w:r w:rsidR="00436A05">
        <w:rPr>
          <w:rFonts w:ascii="Arial" w:hAnsi="Arial" w:cs="Arial"/>
        </w:rPr>
        <w:instrText>ADDIN CSL_CITATION {"citationItems":[{"id":"ITEM-1","itemData":{"abstract":"Market driven is one of the aspect of tourism development strategy approaches. The purpose of this research is intended to formulate development strategies for Gajah Mada Denpasar Heritage Area as an urban heritage tourism destination based on the level of visitors’ satisfaction. This research is based on descriptive quantitative method. The data used in this study are qualitative and quantitative data that obtained through literature study, observation, interviews and questionnaires to 100 respondents who had experienced on visiting Gajah Mada Heritage Area before the Covid-19 pandemic in Indonesia. Data were analyzed using Importance Performance Analysis (IPA) and supported by descriptive analysis methods. The results showed that the development strategy needs to be emphasized on intensify the bad performance of the tourism destination elements in quadrant I and maintain the good performance of the tourism destination elements which are the part of quadrant II, based on the Cartesian quadrant’s result. ","author":[{"dropping-particle":"","family":"Tamaratika","given":"Fenilia","non-dropping-particle":"","parse-names":false,"suffix":""},{"dropping-particle":"","family":"Wiranatha","given":"Agung Suryawan","non-dropping-particle":"","parse-names":false,"suffix":""},{"dropping-particle":"","family":"Suryawardani","given":"I Gusti Ayu Oka","non-dropping-particle":"","parse-names":false,"suffix":""}],"container-title":"E-Journal of Tourism; Volume 8 Number 2 (September 2021)DO  - 10.24922/eot.v8i2.78276 ","id":"ITEM-1","issued":{"date-parts":[["2021","9","30"]]},"title":"The Urban Heritage Tourism Development Strategies in Gajah Mada Denpasar Heritage Area Based on The Visitors’ Satisfaction","type":"article-journal"},"uris":["http://www.mendeley.com/documents/?uuid=9c114123-358a-47be-bb4b-af0ac06c608e"]}],"mendeley":{"formattedCitation":"(Tamaratika et al., 2021)","plainTextFormattedCitation":"(Tamaratika et al., 2021)","previouslyFormattedCitation":"(Tamaratika et al., 2021)"},"properties":{"noteIndex":0},"schema":"https://github.com/citation-style-language/schema/raw/master/csl-citation.json"}</w:instrText>
      </w:r>
      <w:r w:rsidR="00436A05">
        <w:rPr>
          <w:rFonts w:ascii="Arial" w:hAnsi="Arial" w:cs="Arial"/>
        </w:rPr>
        <w:fldChar w:fldCharType="separate"/>
      </w:r>
      <w:r w:rsidR="00436A05" w:rsidRPr="000A7A81">
        <w:rPr>
          <w:rFonts w:ascii="Arial" w:hAnsi="Arial" w:cs="Arial"/>
          <w:noProof/>
        </w:rPr>
        <w:t>(Tamaratika et al., 2021)</w:t>
      </w:r>
      <w:r w:rsidR="00436A05">
        <w:rPr>
          <w:rFonts w:ascii="Arial" w:hAnsi="Arial" w:cs="Arial"/>
        </w:rPr>
        <w:fldChar w:fldCharType="end"/>
      </w:r>
      <w:r w:rsidR="00436A05">
        <w:rPr>
          <w:rFonts w:ascii="Arial" w:hAnsi="Arial" w:cs="Arial"/>
        </w:rPr>
        <w:t>.</w:t>
      </w:r>
      <w:r w:rsidRPr="00E10B46">
        <w:rPr>
          <w:rFonts w:ascii="Arial" w:hAnsi="Arial" w:cs="Arial"/>
        </w:rPr>
        <w:t xml:space="preserve"> A comprehensive understanding of tourist behavior is essential for developing effective tourism strategies, particularly in destinations that blend cultural heritage with recreational opportunities </w:t>
      </w:r>
      <w:r w:rsidR="0075650A">
        <w:rPr>
          <w:rFonts w:ascii="Arial" w:hAnsi="Arial" w:cs="Arial"/>
        </w:rPr>
        <w:fldChar w:fldCharType="begin" w:fldLock="1"/>
      </w:r>
      <w:r w:rsidR="0075650A">
        <w:rPr>
          <w:rFonts w:ascii="Arial" w:hAnsi="Arial" w:cs="Arial"/>
        </w:rPr>
        <w:instrText>ADDIN CSL_CITATION {"citationItems":[{"id":"ITEM-1","itemData":{"DOI":"https://doi.org/10.18280/ijsdp.200431","author":[{"dropping-particle":"","family":"Su","given":"Xin","non-dropping-particle":"","parse-names":false,"suffix":""},{"dropping-particle":"","family":"Rahman","given":"Suraiyati","non-dropping-particle":"","parse-names":false,"suffix":""}],"container-title":"International Journal of Sustainable Development and Planning","id":"ITEM-1","issued":{"date-parts":[["2025"]]},"title":"The Effect of Push and Pull Motivations, Perceived Authenticity, and Satisfaction on Loyalty in Cultural Heritage Tourism: The Case of Hongcun Village in China","type":"article-journal"},"uris":["http://www.mendeley.com/documents/?uuid=7910f7bc-67ab-4b48-a49e-08d7533ed9d8"]}],"mendeley":{"formattedCitation":"(Su &amp; Rahman, 2025)","plainTextFormattedCitation":"(Su &amp; Rahman, 2025)","previouslyFormattedCitation":"(Su &amp; Rahman, 2025)"},"properties":{"noteIndex":0},"schema":"https://github.com/citation-style-language/schema/raw/master/csl-citation.json"}</w:instrText>
      </w:r>
      <w:r w:rsidR="0075650A">
        <w:rPr>
          <w:rFonts w:ascii="Arial" w:hAnsi="Arial" w:cs="Arial"/>
        </w:rPr>
        <w:fldChar w:fldCharType="separate"/>
      </w:r>
      <w:r w:rsidR="0075650A" w:rsidRPr="002D48C6">
        <w:rPr>
          <w:rFonts w:ascii="Arial" w:hAnsi="Arial" w:cs="Arial"/>
          <w:noProof/>
        </w:rPr>
        <w:t>(Su &amp; Rahman, 2025)</w:t>
      </w:r>
      <w:r w:rsidR="0075650A">
        <w:rPr>
          <w:rFonts w:ascii="Arial" w:hAnsi="Arial" w:cs="Arial"/>
        </w:rPr>
        <w:fldChar w:fldCharType="end"/>
      </w:r>
      <w:r w:rsidR="0075650A">
        <w:rPr>
          <w:rFonts w:ascii="Arial" w:hAnsi="Arial" w:cs="Arial"/>
        </w:rPr>
        <w:t xml:space="preserve">. </w:t>
      </w:r>
      <w:r w:rsidRPr="00E10B46">
        <w:rPr>
          <w:rFonts w:ascii="Arial" w:hAnsi="Arial" w:cs="Arial"/>
        </w:rPr>
        <w:t xml:space="preserve">Recent scholarship emphasizes that factors such as customer satisfaction, loyalty, and price perception are crucial for a destination's success, necessitating a deeper understanding of customer engagement strategies to accurately predict visitor </w:t>
      </w:r>
      <w:r>
        <w:rPr>
          <w:rFonts w:ascii="Arial" w:hAnsi="Arial" w:cs="Arial"/>
        </w:rPr>
        <w:t xml:space="preserve">behavior </w:t>
      </w:r>
      <w:r w:rsidR="001F4AC2">
        <w:rPr>
          <w:rFonts w:ascii="Arial" w:hAnsi="Arial" w:cs="Arial"/>
        </w:rPr>
        <w:fldChar w:fldCharType="begin" w:fldLock="1"/>
      </w:r>
      <w:r w:rsidR="001F4AC2">
        <w:rPr>
          <w:rFonts w:ascii="Arial" w:hAnsi="Arial" w:cs="Arial"/>
        </w:rPr>
        <w:instrText>ADDIN CSL_CITATION {"citationItems":[{"id":"ITEM-1","itemData":{"DOI":"10.1108/JSM-01-2019-0024","ISSN":"0887-6045","author":[{"dropping-particle":"","family":"Bergel","given":"Maxi","non-dropping-particle":"","parse-names":false,"suffix":""},{"dropping-particle":"","family":"Frank","given":"Phillip","non-dropping-particle":"","parse-names":false,"suffix":""},{"dropping-particle":"","family":"Brock","given":"Christian","non-dropping-particle":"","parse-names":false,"suffix":""}],"container-title":"Journal of Services Marketing","id":"ITEM-1","issue":"7","issued":{"date-parts":[["2019","11","25"]]},"page":"890-903","title":"The role of customer engagement facets on the formation of attitude, loyalty and price perception","type":"article-journal","volume":"33"},"uris":["http://www.mendeley.com/documents/?uuid=5d709d0f-ccd6-4fd0-bb88-4d324ad34d3a"]}],"mendeley":{"formattedCitation":"(Bergel et al., 2019)","plainTextFormattedCitation":"(Bergel et al., 2019)","previouslyFormattedCitation":"(Bergel et al., 2019)"},"properties":{"noteIndex":0},"schema":"https://github.com/citation-style-language/schema/raw/master/csl-citation.json"}</w:instrText>
      </w:r>
      <w:r w:rsidR="001F4AC2">
        <w:rPr>
          <w:rFonts w:ascii="Arial" w:hAnsi="Arial" w:cs="Arial"/>
        </w:rPr>
        <w:fldChar w:fldCharType="separate"/>
      </w:r>
      <w:r w:rsidR="001F4AC2" w:rsidRPr="003802AC">
        <w:rPr>
          <w:rFonts w:ascii="Arial" w:hAnsi="Arial" w:cs="Arial"/>
          <w:noProof/>
        </w:rPr>
        <w:t>(Bergel et al., 2019)</w:t>
      </w:r>
      <w:r w:rsidR="001F4AC2">
        <w:rPr>
          <w:rFonts w:ascii="Arial" w:hAnsi="Arial" w:cs="Arial"/>
        </w:rPr>
        <w:fldChar w:fldCharType="end"/>
      </w:r>
      <w:r w:rsidR="001F4AC2">
        <w:rPr>
          <w:rFonts w:ascii="Arial" w:hAnsi="Arial" w:cs="Arial"/>
        </w:rPr>
        <w:t>.</w:t>
      </w:r>
    </w:p>
    <w:p w14:paraId="3AC3059B" w14:textId="77777777" w:rsidR="00E10B46" w:rsidRPr="00E10B46" w:rsidRDefault="00E10B46" w:rsidP="00E10B46">
      <w:pPr>
        <w:jc w:val="both"/>
        <w:rPr>
          <w:rFonts w:ascii="Arial" w:hAnsi="Arial" w:cs="Arial"/>
        </w:rPr>
      </w:pPr>
    </w:p>
    <w:p w14:paraId="66BACFB7" w14:textId="77777777" w:rsidR="00E10B46" w:rsidRPr="00E10B46" w:rsidRDefault="00E10B46" w:rsidP="00E10B46">
      <w:pPr>
        <w:jc w:val="both"/>
        <w:rPr>
          <w:rFonts w:ascii="Arial" w:hAnsi="Arial" w:cs="Arial"/>
        </w:rPr>
      </w:pPr>
      <w:r w:rsidRPr="00E10B46">
        <w:rPr>
          <w:rFonts w:ascii="Arial" w:hAnsi="Arial" w:cs="Arial"/>
        </w:rPr>
        <w:t xml:space="preserve">Tourist motivation is key to understanding why people travel. The push–pull theory explains that people are influenced by both inner needs (push factors) and attractive features of a destination (pull factors) </w:t>
      </w:r>
      <w:r w:rsidR="007A1213">
        <w:rPr>
          <w:rFonts w:ascii="Arial" w:hAnsi="Arial" w:cs="Arial"/>
        </w:rPr>
        <w:fldChar w:fldCharType="begin" w:fldLock="1"/>
      </w:r>
      <w:r w:rsidR="007A1213">
        <w:rPr>
          <w:rFonts w:ascii="Arial" w:hAnsi="Arial" w:cs="Arial"/>
        </w:rPr>
        <w:instrText>ADDIN CSL_CITATION {"citationItems":[{"id":"ITEM-1","itemData":{"DOI":"https://doi.org/10.1016/0160-7383(81)90082-7","ISSN":"0160-7383","abstract":"Dann, Graham M. S., Tourist Motivation: An Appraisal. Annals of Tourism Research 1981, VIII(2):187–219. Tourist motivation has been treated in a number of ways by researchers. This essay surveys the recent literature and highlights seven different, though sometimes interdependent, uses of the expression. The paper also examines various allied terms, often employed as synonyms for tourist motivation, pointing out areas of similarity and difference. Explanation for lack of consensus over definition is attributed to multidisciplinary of treatment and plurality of theoretical perspective within a given discipline. In order to overcome some of the above difficulties, a description of the phenomenon is offered. Finally a methodological problem is investigated which deals with the unwillingness or inability of tourists to disclose their motivation to researchers. Résumé Dann, Graham M.S., “La Motivation touristique: Une Evaluation.” Annals of Tourism Research 1981, VIII(2):187–219. Les chercheurs ont traité le thème de la “motivation touristique” de bien des façons. Cet essai met à l'étude la littérature récente et souligne sept usages différents, mais quelquefois interdependents, de cette expression. L'article examine aussi les divers termes analogues, souvent utilisés comme synonymes pour la motivation touristique, en indicant les similarités et les differénces. Le manque d'accord quant à la définition est attribué au traitement multidisciplinaire et à la pluralité théorique en ce qui concerne une discipline spécifique. Pour surmonter les difficultés qui se présentent, comme mentionné ci-dessus, on fait une description détaillée du phénomène. Finalement on examine un problème méthodologique concernant la répugnance ou l'impuissance des touristes pour révéler leur motivation aux chercheurs.","author":[{"dropping-particle":"","family":"Dann","given":"Graham M S","non-dropping-particle":"","parse-names":false,"suffix":""}],"container-title":"Annals of Tourism Research","id":"ITEM-1","issue":"2","issued":{"date-parts":[["1981"]]},"page":"187-219","title":"Tourist motivation an appraisal","type":"article-journal","volume":"8"},"uris":["http://www.mendeley.com/documents/?uuid=43211782-2169-422d-aa13-0b24599a34d7"]}],"mendeley":{"formattedCitation":"(Dann, 1981)","manualFormatting":"(Dann, 1981","plainTextFormattedCitation":"(Dann, 1981)","previouslyFormattedCitation":"(Dann, 1981)"},"properties":{"noteIndex":0},"schema":"https://github.com/citation-style-language/schema/raw/master/csl-citation.json"}</w:instrText>
      </w:r>
      <w:r w:rsidR="007A1213">
        <w:rPr>
          <w:rFonts w:ascii="Arial" w:hAnsi="Arial" w:cs="Arial"/>
        </w:rPr>
        <w:fldChar w:fldCharType="separate"/>
      </w:r>
      <w:r w:rsidR="007A1213" w:rsidRPr="00416E13">
        <w:rPr>
          <w:rFonts w:ascii="Arial" w:hAnsi="Arial" w:cs="Arial"/>
          <w:noProof/>
        </w:rPr>
        <w:t>(Dann, 1981</w:t>
      </w:r>
      <w:r w:rsidR="007A1213">
        <w:rPr>
          <w:rFonts w:ascii="Arial" w:hAnsi="Arial" w:cs="Arial"/>
        </w:rPr>
        <w:fldChar w:fldCharType="end"/>
      </w:r>
      <w:r w:rsidR="007A1213">
        <w:rPr>
          <w:rFonts w:ascii="Arial" w:hAnsi="Arial" w:cs="Arial"/>
        </w:rPr>
        <w:t xml:space="preserve">; </w:t>
      </w:r>
      <w:r w:rsidR="007A1213">
        <w:rPr>
          <w:rFonts w:ascii="Arial" w:hAnsi="Arial" w:cs="Arial"/>
        </w:rPr>
        <w:fldChar w:fldCharType="begin" w:fldLock="1"/>
      </w:r>
      <w:r w:rsidR="007A1213">
        <w:rPr>
          <w:rFonts w:ascii="Arial" w:hAnsi="Arial" w:cs="Arial"/>
        </w:rPr>
        <w:instrText>ADDIN CSL_CITATION {"citationItems":[{"id":"ITEM-1","itemData":{"DOI":"https://doi.org/10.1016/0160-7383(79)90004-5","ISSN":"0160-7383","abstract":"Crompton, John L., “Motivations for Pleasure Vacations,” Annals of Tourism Research, October/December 1979, VI(4):408–424. The study is concerned with identifying those motives of pleasure vacationers which influence the selection of a destination. It also seeks to develop a conceptual framework capable of encompassing such motives. Empirically nine motives were identified. Seven were classified as socio-psychological, namely: escape from a perceived mundane environment, exploration and evaluation of self, relaxation, prestige, regression, enhancement of kinship relationships, and facilitation of social interaction. The two remaining motives, novelty and education, formed the alternate cultural category. The latter were noted to be at least partially aroused by the particular qualities that a destination offered. By contrast socio-psychological motives were found to be unrelated to destination attributes. Here the emphasis shifted from the destination itself to its function as a medium through which socio-pschological needs could be satisfied. The research data suggest that the tourist industry may usefully pay greater attention to socio-psychological motives in developing product and promotion strategies. Résumé Crompton, John L., “Motivations for Pleasure Vacations,” Annals of Tourism Research, October/December 1979, VI(4):408–424. The study is concerned with identifying those motives of pleasure vacationers which influence the selection of a destination. It also seeks to develop a conceptual framework capable of encompassing such motives. Empirically nine motives were identified. Seven were classified as socio-psychological, namely: escape from a perceived mundane environment, exploration and evaluation of self, relaxation, prestige, regression, enhancement of kinship relationships, and facilitation of social interaction. The two remaining motives, novelty and education, formed the alternate cultural category. The latter were noted to be at least partially aroused by the particular qualities that a destination offered. By contrast socio-psychological motives were found to be unrelated to destination attributes. Here the emphasis shifted from the destination itself to its function as a medium through which socio-pschological needs could be satisfied. The research data suggest that the tourist industry may usefully pay greater attention to socio-psychological motives in developing product and promotion strategies.","author":[{"dropping-particle":"","family":"Crompton","given":"John L","non-dropping-particle":"","parse-names":false,"suffix":""}],"container-title":"Annals of Tourism Research","id":"ITEM-1","issue":"4","issued":{"date-parts":[["1979"]]},"page":"408-424","title":"Motivations for pleasure vacation","type":"article-journal","volume":"6"},"uris":["http://www.mendeley.com/documents/?uuid=00b4be6b-791b-43f8-ac78-d4cc6e4bfbd8"]}],"mendeley":{"formattedCitation":"(Crompton, 1979)","manualFormatting":"Crompton, 1979)","plainTextFormattedCitation":"(Crompton, 1979)","previouslyFormattedCitation":"(Crompton, 1979)"},"properties":{"noteIndex":0},"schema":"https://github.com/citation-style-language/schema/raw/master/csl-citation.json"}</w:instrText>
      </w:r>
      <w:r w:rsidR="007A1213">
        <w:rPr>
          <w:rFonts w:ascii="Arial" w:hAnsi="Arial" w:cs="Arial"/>
        </w:rPr>
        <w:fldChar w:fldCharType="separate"/>
      </w:r>
      <w:r w:rsidR="007A1213" w:rsidRPr="00416E13">
        <w:rPr>
          <w:rFonts w:ascii="Arial" w:hAnsi="Arial" w:cs="Arial"/>
          <w:noProof/>
        </w:rPr>
        <w:t>Crompton, 1979)</w:t>
      </w:r>
      <w:r w:rsidR="007A1213">
        <w:rPr>
          <w:rFonts w:ascii="Arial" w:hAnsi="Arial" w:cs="Arial"/>
        </w:rPr>
        <w:fldChar w:fldCharType="end"/>
      </w:r>
      <w:r w:rsidR="007A1213">
        <w:rPr>
          <w:rFonts w:ascii="Arial" w:hAnsi="Arial" w:cs="Arial"/>
        </w:rPr>
        <w:t xml:space="preserve">. </w:t>
      </w:r>
      <w:r w:rsidRPr="00E10B46">
        <w:rPr>
          <w:rFonts w:ascii="Arial" w:hAnsi="Arial" w:cs="Arial"/>
        </w:rPr>
        <w:t xml:space="preserve">For cultural tourism, motivations such as learning, experiencing new cultures, curiosity, and seeking genuine experiences are often the most important </w:t>
      </w:r>
      <w:r w:rsidR="00CF36BD">
        <w:rPr>
          <w:rFonts w:ascii="Arial" w:hAnsi="Arial" w:cs="Arial"/>
        </w:rPr>
        <w:fldChar w:fldCharType="begin" w:fldLock="1"/>
      </w:r>
      <w:r w:rsidR="00CF36BD">
        <w:rPr>
          <w:rFonts w:ascii="Arial" w:hAnsi="Arial" w:cs="Arial"/>
        </w:rPr>
        <w:instrText>ADDIN CSL_CITATION {"citationItems":[{"id":"ITEM-1","itemData":{"ISBN":"9780789011060","author":[{"dropping-particle":"","family":"McKercher","given":"B","non-dropping-particle":"","parse-names":false,"suffix":""},{"dropping-particle":"","family":"Cros","given":"H","non-dropping-particle":"Du","parse-names":false,"suffix":""}],"id":"ITEM-1","issued":{"date-parts":[["2002"]]},"publisher":"Haworth Hospitality Press","title":"Cultural Tourism: The Partnership Between Tourism and Cultural Heritage Management","type":"book"},"uris":["http://www.mendeley.com/documents/?uuid=e32f1e65-ad8f-4af9-a157-64a6f427023f"]}],"mendeley":{"formattedCitation":"(McKercher &amp; Du Cros, 2002)","plainTextFormattedCitation":"(McKercher &amp; Du Cros, 2002)","previouslyFormattedCitation":"(McKercher &amp; Du Cros, 2002)"},"properties":{"noteIndex":0},"schema":"https://github.com/citation-style-language/schema/raw/master/csl-citation.json"}</w:instrText>
      </w:r>
      <w:r w:rsidR="00CF36BD">
        <w:rPr>
          <w:rFonts w:ascii="Arial" w:hAnsi="Arial" w:cs="Arial"/>
        </w:rPr>
        <w:fldChar w:fldCharType="separate"/>
      </w:r>
      <w:r w:rsidR="00CF36BD" w:rsidRPr="00E4079F">
        <w:rPr>
          <w:rFonts w:ascii="Arial" w:hAnsi="Arial" w:cs="Arial"/>
          <w:noProof/>
        </w:rPr>
        <w:t>(McKercher &amp; Du Cros, 2002)</w:t>
      </w:r>
      <w:r w:rsidR="00CF36BD">
        <w:rPr>
          <w:rFonts w:ascii="Arial" w:hAnsi="Arial" w:cs="Arial"/>
        </w:rPr>
        <w:fldChar w:fldCharType="end"/>
      </w:r>
      <w:r w:rsidR="00CF36BD">
        <w:rPr>
          <w:rFonts w:ascii="Arial" w:hAnsi="Arial" w:cs="Arial"/>
        </w:rPr>
        <w:t xml:space="preserve">. </w:t>
      </w:r>
      <w:r w:rsidRPr="00E10B46">
        <w:rPr>
          <w:rFonts w:ascii="Arial" w:hAnsi="Arial" w:cs="Arial"/>
        </w:rPr>
        <w:t>These motivations depend on various personal and lifestyle factors, highlighting the importance of understanding who the visitors are to comprehend how groups connect wi</w:t>
      </w:r>
      <w:r>
        <w:rPr>
          <w:rFonts w:ascii="Arial" w:hAnsi="Arial" w:cs="Arial"/>
        </w:rPr>
        <w:t xml:space="preserve">th cultural sites </w:t>
      </w:r>
      <w:r w:rsidR="00E31D2E">
        <w:rPr>
          <w:rFonts w:ascii="Arial" w:hAnsi="Arial" w:cs="Arial"/>
        </w:rPr>
        <w:fldChar w:fldCharType="begin" w:fldLock="1"/>
      </w:r>
      <w:r w:rsidR="00E31D2E">
        <w:rPr>
          <w:rFonts w:ascii="Arial" w:hAnsi="Arial" w:cs="Arial"/>
        </w:rPr>
        <w:instrText>ADDIN CSL_CITATION {"citationItems":[{"id":"ITEM-1","itemData":{"DOI":"https://doi.org/10.1016/S0010-8804(01)81020-X","ISSN":"0010-8804","abstract":"Travel is more popular than ever, so why should destination managers worry? Because their location's attractiveness may be spinning away even as they watch.","author":[{"dropping-particle":"","family":"Plog","given":"Stanley","non-dropping-particle":"","parse-names":false,"suffix":""}],"container-title":"The Cornell Hotel and Restaurant Administration Quarterly","id":"ITEM-1","issue":"3","issued":{"date-parts":[["2001"]]},"page":"13-24","title":"Why destination areas rise and fall in popularity: an update of a Cornell Quarterly classic","type":"article-journal","volume":"42"},"uris":["http://www.mendeley.com/documents/?uuid=9dcc9b8d-247d-4e3a-8d1c-55b632284da4"]}],"mendeley":{"formattedCitation":"(Plog, 2001)","plainTextFormattedCitation":"(Plog, 2001)","previouslyFormattedCitation":"(Plog, 2001)"},"properties":{"noteIndex":0},"schema":"https://github.com/citation-style-language/schema/raw/master/csl-citation.json"}</w:instrText>
      </w:r>
      <w:r w:rsidR="00E31D2E">
        <w:rPr>
          <w:rFonts w:ascii="Arial" w:hAnsi="Arial" w:cs="Arial"/>
        </w:rPr>
        <w:fldChar w:fldCharType="separate"/>
      </w:r>
      <w:r w:rsidR="00E31D2E" w:rsidRPr="0043324E">
        <w:rPr>
          <w:rFonts w:ascii="Arial" w:hAnsi="Arial" w:cs="Arial"/>
          <w:noProof/>
        </w:rPr>
        <w:t>(Plog, 2001)</w:t>
      </w:r>
      <w:r w:rsidR="00E31D2E">
        <w:rPr>
          <w:rFonts w:ascii="Arial" w:hAnsi="Arial" w:cs="Arial"/>
        </w:rPr>
        <w:fldChar w:fldCharType="end"/>
      </w:r>
      <w:r w:rsidR="00E31D2E">
        <w:rPr>
          <w:rFonts w:ascii="Arial" w:hAnsi="Arial" w:cs="Arial"/>
        </w:rPr>
        <w:t>.</w:t>
      </w:r>
    </w:p>
    <w:p w14:paraId="27BF9977" w14:textId="77777777" w:rsidR="00E10B46" w:rsidRPr="00E10B46" w:rsidRDefault="00E10B46" w:rsidP="00E10B46">
      <w:pPr>
        <w:jc w:val="both"/>
        <w:rPr>
          <w:rFonts w:ascii="Arial" w:hAnsi="Arial" w:cs="Arial"/>
        </w:rPr>
      </w:pPr>
    </w:p>
    <w:p w14:paraId="7C6F38FA" w14:textId="77777777" w:rsidR="00E10B46" w:rsidRDefault="00E10B46" w:rsidP="00E10B46">
      <w:pPr>
        <w:jc w:val="both"/>
        <w:rPr>
          <w:rFonts w:ascii="Arial" w:hAnsi="Arial" w:cs="Arial"/>
        </w:rPr>
      </w:pPr>
      <w:r w:rsidRPr="00E10B46">
        <w:rPr>
          <w:rFonts w:ascii="Arial" w:hAnsi="Arial" w:cs="Arial"/>
        </w:rPr>
        <w:t xml:space="preserve">Previous studies on cultural theme parks highlight that visitor satisfaction and destination choice are significantly influenced by four key factors: educational value, entertainment, </w:t>
      </w:r>
      <w:r w:rsidRPr="00E10B46">
        <w:rPr>
          <w:rFonts w:ascii="Arial" w:hAnsi="Arial" w:cs="Arial"/>
        </w:rPr>
        <w:lastRenderedPageBreak/>
        <w:t xml:space="preserve">cultural representation, and facility quality </w:t>
      </w:r>
      <w:r w:rsidR="001F4767">
        <w:rPr>
          <w:rFonts w:ascii="Arial" w:hAnsi="Arial" w:cs="Arial"/>
        </w:rPr>
        <w:fldChar w:fldCharType="begin" w:fldLock="1"/>
      </w:r>
      <w:r w:rsidR="00AE0200">
        <w:rPr>
          <w:rFonts w:ascii="Arial" w:hAnsi="Arial" w:cs="Arial"/>
        </w:rPr>
        <w:instrText>ADDIN CSL_CITATION {"citationItems":[{"id":"ITEM-1","itemData":{"DOI":"10.2307/jj.26931955","ISBN":"9781845414771","abstract":"Trails and routes have been indispensable to travel and tourism over the centuries, helping to form the basis of mobility patterns of the past and the present. This book is the first to comprehensively examine these tourism trails from a tourism and recreation perspective. This cutting-edge volume is global in scope and discusses a wide range of natural, cultural and developed linear resources for tourism and recreation. The book is suitable for both researchers and students who are interested in cultural heritage-based tourism, recreation and leisure studies, landscape and change, human mobility, geography, environmental management, and broader interests in destination planning, development and management.","author":[{"dropping-particle":"","family":"Timothy","given":"Dallen J","non-dropping-particle":"","parse-names":false,"suffix":""},{"dropping-particle":"","family":"Boyd","given":"Stephen W","non-dropping-particle":"","parse-names":false,"suffix":""}],"id":"ITEM-1","issued":{"date-parts":[["2015","11","20"]]},"publisher":"Multilingual Matters &amp; Channel View Publications","title":"Tourism and Trails: Cultural, Ecological and Management Issues","type":"book"},"uris":["http://www.mendeley.com/documents/?uuid=44b31eed-9e1f-4b01-b050-c892b07a3e2f"]}],"mendeley":{"formattedCitation":"(Timothy &amp; Boyd, 2015)","plainTextFormattedCitation":"(Timothy &amp; Boyd, 2015)","previouslyFormattedCitation":"(Timothy &amp; Boyd, 2015)"},"properties":{"noteIndex":0},"schema":"https://github.com/citation-style-language/schema/raw/master/csl-citation.json"}</w:instrText>
      </w:r>
      <w:r w:rsidR="001F4767">
        <w:rPr>
          <w:rFonts w:ascii="Arial" w:hAnsi="Arial" w:cs="Arial"/>
        </w:rPr>
        <w:fldChar w:fldCharType="separate"/>
      </w:r>
      <w:r w:rsidR="001F4767" w:rsidRPr="00E30030">
        <w:rPr>
          <w:rFonts w:ascii="Arial" w:hAnsi="Arial" w:cs="Arial"/>
          <w:noProof/>
        </w:rPr>
        <w:t>(Timothy &amp; Boyd, 2015)</w:t>
      </w:r>
      <w:r w:rsidR="001F4767">
        <w:rPr>
          <w:rFonts w:ascii="Arial" w:hAnsi="Arial" w:cs="Arial"/>
        </w:rPr>
        <w:fldChar w:fldCharType="end"/>
      </w:r>
      <w:r w:rsidR="001F4767">
        <w:rPr>
          <w:rFonts w:ascii="Arial" w:hAnsi="Arial" w:cs="Arial"/>
        </w:rPr>
        <w:t>.</w:t>
      </w:r>
      <w:r w:rsidR="001F4767" w:rsidRPr="00FF68D5">
        <w:rPr>
          <w:rFonts w:ascii="Arial" w:hAnsi="Arial" w:cs="Arial"/>
        </w:rPr>
        <w:t xml:space="preserve"> </w:t>
      </w:r>
      <w:r w:rsidRPr="00E10B46">
        <w:rPr>
          <w:rFonts w:ascii="Arial" w:hAnsi="Arial" w:cs="Arial"/>
        </w:rPr>
        <w:t xml:space="preserve">Indonesian research specifically identifies cultural display authenticity, accessibility, and digital media integration as growing motivators for visits, especially among younger and tech-savvy tourists </w:t>
      </w:r>
      <w:r w:rsidR="00E34B03">
        <w:rPr>
          <w:rFonts w:ascii="Arial" w:hAnsi="Arial" w:cs="Arial"/>
        </w:rPr>
        <w:fldChar w:fldCharType="begin" w:fldLock="1"/>
      </w:r>
      <w:r w:rsidR="00E34B03">
        <w:rPr>
          <w:rFonts w:ascii="Arial" w:hAnsi="Arial" w:cs="Arial"/>
        </w:rPr>
        <w:instrText>ADDIN CSL_CITATION {"citationItems":[{"id":"ITEM-1","itemData":{"DOI":"10.2991/978-94-6463-234-7_89","ISBN":"2352-5428","author":[{"dropping-particle":"","family":"Darmawan","given":"Haryadi","non-dropping-particle":"","parse-names":false,"suffix":""}],"id":"ITEM-1","issued":{"date-parts":[["2023"]]},"page":"862-869","publisher":"Atlantis Press","title":"Market Analysis on Man-Made Tourist Attractionin Indonesia BT  - Proceedings of the 7th Global Conference on Business, Management, and Entrepreneurship (GCBME 2022)","type":"paper-conference"},"uris":["http://www.mendeley.com/documents/?uuid=b02bd046-4f2e-4410-90ca-da612fa7522f"]}],"mendeley":{"formattedCitation":"(Darmawan, 2023)","plainTextFormattedCitation":"(Darmawan, 2023)","previouslyFormattedCitation":"(Darmawan, 2023)"},"properties":{"noteIndex":0},"schema":"https://github.com/citation-style-language/schema/raw/master/csl-citation.json"}</w:instrText>
      </w:r>
      <w:r w:rsidR="00E34B03">
        <w:rPr>
          <w:rFonts w:ascii="Arial" w:hAnsi="Arial" w:cs="Arial"/>
        </w:rPr>
        <w:fldChar w:fldCharType="separate"/>
      </w:r>
      <w:r w:rsidR="00E34B03" w:rsidRPr="00C40985">
        <w:rPr>
          <w:rFonts w:ascii="Arial" w:hAnsi="Arial" w:cs="Arial"/>
          <w:noProof/>
        </w:rPr>
        <w:t>(Darmawan, 2023)</w:t>
      </w:r>
      <w:r w:rsidR="00E34B03">
        <w:rPr>
          <w:rFonts w:ascii="Arial" w:hAnsi="Arial" w:cs="Arial"/>
        </w:rPr>
        <w:fldChar w:fldCharType="end"/>
      </w:r>
      <w:r w:rsidR="00E34B03">
        <w:rPr>
          <w:rFonts w:ascii="Arial" w:hAnsi="Arial" w:cs="Arial"/>
        </w:rPr>
        <w:t xml:space="preserve">. </w:t>
      </w:r>
      <w:r w:rsidRPr="00E10B46">
        <w:rPr>
          <w:rFonts w:ascii="Arial" w:hAnsi="Arial" w:cs="Arial"/>
        </w:rPr>
        <w:t xml:space="preserve">For Taman Mini Indonesia Indah, dominant pull factors include its wide array of cultural exhibits, traditional houses, museums, recreational spaces, and family-friendly amenities </w:t>
      </w:r>
      <w:r w:rsidR="002E2A6B">
        <w:rPr>
          <w:rFonts w:ascii="Arial" w:hAnsi="Arial" w:cs="Arial"/>
        </w:rPr>
        <w:fldChar w:fldCharType="begin" w:fldLock="1"/>
      </w:r>
      <w:r w:rsidR="002E2A6B">
        <w:rPr>
          <w:rFonts w:ascii="Arial" w:hAnsi="Arial" w:cs="Arial"/>
        </w:rPr>
        <w:instrText>ADDIN CSL_CITATION {"citationItems":[{"id":"ITEM-1","itemData":{"DOI":"10.21512/humaniora.v9i2.4597","abstract":"&amp;lt;p&amp;gt;This research aimed to look further at Taman Mini Indonesia Indahâ€™s (TMII) role in education and toÂ enrich its visitors through exhibition design inside their main attraction, the traditional houses. It used theÂ qualitative methods through observation of three randomly selected pavilions and data analysis used SWOT analysis and goal grid diagram. The research shows that there are no engagements between objects and visitors,Â the exhibitions are still lack of planning, visually unattractive and unavailability of information or written textsÂ for most of its collection, which can be concluded that TMII is still far from achieving their educational goal. TheÂ result of this research is preliminary design for display cases that can be used in pavilions and corresponds designÂ standards.&amp;lt;/p&amp;gt;","author":[{"dropping-particle":"","family":"Wulandari","given":"Anak Agung Ayu","non-dropping-particle":"","parse-names":false,"suffix":""},{"dropping-particle":"","family":"Ruki","given":"Ulli Aulia","non-dropping-particle":"","parse-names":false,"suffix":""}],"container-title":"Humaniora","id":"ITEM-1","issue":"2 SE  - Articles","issued":{"date-parts":[["2018","7","31"]]},"page":"199-209","title":"Education and Exhibition Display Design in Taman Mini Indonesia Indah","type":"article-journal","volume":"9"},"uris":["http://www.mendeley.com/documents/?uuid=9e1b7a53-10b8-40a4-89da-db7758841687"]}],"mendeley":{"formattedCitation":"(Wulandari &amp; Ruki, 2018)","manualFormatting":"(Wulandari &amp; Ruki, 2018","plainTextFormattedCitation":"(Wulandari &amp; Ruki, 2018)","previouslyFormattedCitation":"(Wulandari &amp; Ruki, 2018)"},"properties":{"noteIndex":0},"schema":"https://github.com/citation-style-language/schema/raw/master/csl-citation.json"}</w:instrText>
      </w:r>
      <w:r w:rsidR="002E2A6B">
        <w:rPr>
          <w:rFonts w:ascii="Arial" w:hAnsi="Arial" w:cs="Arial"/>
        </w:rPr>
        <w:fldChar w:fldCharType="separate"/>
      </w:r>
      <w:r w:rsidR="002E2A6B" w:rsidRPr="00BF06BE">
        <w:rPr>
          <w:rFonts w:ascii="Arial" w:hAnsi="Arial" w:cs="Arial"/>
          <w:noProof/>
        </w:rPr>
        <w:t>(Wulandari &amp; Ruki, 2018</w:t>
      </w:r>
      <w:r w:rsidR="002E2A6B">
        <w:rPr>
          <w:rFonts w:ascii="Arial" w:hAnsi="Arial" w:cs="Arial"/>
        </w:rPr>
        <w:fldChar w:fldCharType="end"/>
      </w:r>
      <w:r w:rsidR="002E2A6B">
        <w:rPr>
          <w:rFonts w:ascii="Arial" w:hAnsi="Arial" w:cs="Arial"/>
        </w:rPr>
        <w:t xml:space="preserve">; </w:t>
      </w:r>
      <w:r w:rsidR="002E2A6B">
        <w:rPr>
          <w:rFonts w:ascii="Arial" w:hAnsi="Arial" w:cs="Arial"/>
        </w:rPr>
        <w:fldChar w:fldCharType="begin" w:fldLock="1"/>
      </w:r>
      <w:r w:rsidR="002E2A6B">
        <w:rPr>
          <w:rFonts w:ascii="Arial" w:hAnsi="Arial" w:cs="Arial"/>
        </w:rPr>
        <w:instrText>ADDIN CSL_CITATION {"citationItems":[{"id":"ITEM-1","itemData":{"DOI":"10.9790/5736-1005010119","ISBN":"5736100501011","author":[{"dropping-particle":"","family":"Ricardianto","given":"Ir Prasadja","non-dropping-particle":"","parse-names":false,"suffix":""},{"dropping-particle":"","family":"Djajaputra","given":"Gunawan","non-dropping-particle":"","parse-names":false,"suffix":""},{"dropping-particle":"","family":"Martono","given":"Prof","non-dropping-particle":"","parse-names":false,"suffix":""},{"dropping-particle":"","family":"Introduction","given":"I","non-dropping-particle":"","parse-names":false,"suffix":""}],"id":"ITEM-1","issue":"5","issued":{"date-parts":[["2017"]]},"page":"1-19","title":"Air Transport and Tourism in Indonesia","type":"article-journal","volume":"10"},"uris":["http://www.mendeley.com/documents/?uuid=895a2d01-9bf0-4475-877b-c9416c05f5e9"]}],"mendeley":{"formattedCitation":"(Ricardianto et al., 2017)","manualFormatting":"Ricardianto et al., 2017)","plainTextFormattedCitation":"(Ricardianto et al., 2017)","previouslyFormattedCitation":"(Ricardianto et al., 2017)"},"properties":{"noteIndex":0},"schema":"https://github.com/citation-style-language/schema/raw/master/csl-citation.json"}</w:instrText>
      </w:r>
      <w:r w:rsidR="002E2A6B">
        <w:rPr>
          <w:rFonts w:ascii="Arial" w:hAnsi="Arial" w:cs="Arial"/>
        </w:rPr>
        <w:fldChar w:fldCharType="separate"/>
      </w:r>
      <w:r w:rsidR="002E2A6B" w:rsidRPr="00053796">
        <w:rPr>
          <w:rFonts w:ascii="Arial" w:hAnsi="Arial" w:cs="Arial"/>
          <w:noProof/>
        </w:rPr>
        <w:t>Ricardianto et al., 2017)</w:t>
      </w:r>
      <w:r w:rsidR="002E2A6B">
        <w:rPr>
          <w:rFonts w:ascii="Arial" w:hAnsi="Arial" w:cs="Arial"/>
        </w:rPr>
        <w:fldChar w:fldCharType="end"/>
      </w:r>
      <w:r w:rsidR="002E2A6B">
        <w:rPr>
          <w:rFonts w:ascii="Arial" w:hAnsi="Arial" w:cs="Arial"/>
        </w:rPr>
        <w:t>.</w:t>
      </w:r>
      <w:r w:rsidR="002E2A6B" w:rsidRPr="00FF68D5">
        <w:rPr>
          <w:rFonts w:ascii="Arial" w:hAnsi="Arial" w:cs="Arial"/>
        </w:rPr>
        <w:t xml:space="preserve"> </w:t>
      </w:r>
      <w:r w:rsidRPr="00E10B46">
        <w:rPr>
          <w:rFonts w:ascii="Arial" w:hAnsi="Arial" w:cs="Arial"/>
        </w:rPr>
        <w:t xml:space="preserve">Nonetheless, concerns about accessibility and modernization signal the importance of continually evaluating visitor expectations against global tourism standards </w:t>
      </w:r>
      <w:r w:rsidR="00F8204C">
        <w:rPr>
          <w:rFonts w:ascii="Arial" w:hAnsi="Arial" w:cs="Arial"/>
        </w:rPr>
        <w:fldChar w:fldCharType="begin" w:fldLock="1"/>
      </w:r>
      <w:r w:rsidR="00F8204C">
        <w:rPr>
          <w:rFonts w:ascii="Arial" w:hAnsi="Arial" w:cs="Arial"/>
        </w:rPr>
        <w:instrText>ADDIN CSL_CITATION {"citationItems":[{"id":"ITEM-1","itemData":{"abstract":"Indonesia is a big country consisting of various tribes and has different cultures from one to another. From this came the idea to create a tourist site with a cultural background. Taman Mini Indonesia Indah is a tourist attraction established since 1975, an attraction with the theme of Indonesian culture. Taman Mini Indonesia Indah is still a tourist destination that has been chosen by many families. Likewise, schools that still do a lot of tourist visits for study tours Visitors to Taman Mini Indonesia Indah are still the second most in Jakarta. With the development of tourism, the concept of tourism for all it becomes an absolute necessity. Because throughout the world there is also a very significant increase in the number of tourists, and ten percent have special needs including elderly people, tourists with small children, pregnant women, tourists with permanent and temporary disabilities. Therefore, the purpose of this study is to find out to what extent Taman Mini Indonesia Indah has implemented accessibility in tourism in accordance with standards set by the UNWTO. The method used is descriptive qualitative, where data is obtained through field research, documentation, checklists and literature studies. The results of the study are found that vertical movements still need to be improved because visitors using a wheelchair cannot enjoy all the regional platforms. And the suggestion from the research is to continue to improve the facilities so that everyone can access them by adding braille letters to the brochure and adding audio announcements to every tourist attraction.          ","author":[{"dropping-particle":"","family":"Lestari","given":"Nurul Sukma","non-dropping-particle":"","parse-names":false,"suffix":""},{"dropping-particle":"","family":"Wiastuti","given":"Rachel Dyah","non-dropping-particle":"","parse-names":false,"suffix":""},{"dropping-particle":"","family":"Triana","given":"Ika","non-dropping-particle":"","parse-names":false,"suffix":""}],"container-title":"Jurnal IPTA (Industri Perjalanan Wisata); Vol 7 No 2 (2019): Jurnal IPTA (December 2019)DO  - 10.24843/IPTA.2019.v07.i02.p01 ","id":"ITEM-1","issued":{"date-parts":[["2019","12","30"]]},"title":"IMPLEMENTASI ACCESSIBLE TOURISM DI TMII JAKARTA","type":"article-journal"},"uris":["http://www.mendeley.com/documents/?uuid=16379025-1783-48f6-b1bd-ec56fb3bb4c4"]}],"mendeley":{"formattedCitation":"(Lestari et al., 2019)","plainTextFormattedCitation":"(Lestari et al., 2019)","previouslyFormattedCitation":"(Lestari et al., 2019)"},"properties":{"noteIndex":0},"schema":"https://github.com/citation-style-language/schema/raw/master/csl-citation.json"}</w:instrText>
      </w:r>
      <w:r w:rsidR="00F8204C">
        <w:rPr>
          <w:rFonts w:ascii="Arial" w:hAnsi="Arial" w:cs="Arial"/>
        </w:rPr>
        <w:fldChar w:fldCharType="separate"/>
      </w:r>
      <w:r w:rsidR="00F8204C" w:rsidRPr="0013627A">
        <w:rPr>
          <w:rFonts w:ascii="Arial" w:hAnsi="Arial" w:cs="Arial"/>
          <w:noProof/>
        </w:rPr>
        <w:t>(Lestari et al., 2019)</w:t>
      </w:r>
      <w:r w:rsidR="00F8204C">
        <w:rPr>
          <w:rFonts w:ascii="Arial" w:hAnsi="Arial" w:cs="Arial"/>
        </w:rPr>
        <w:fldChar w:fldCharType="end"/>
      </w:r>
      <w:r w:rsidR="00F8204C">
        <w:rPr>
          <w:rFonts w:ascii="Arial" w:hAnsi="Arial" w:cs="Arial"/>
        </w:rPr>
        <w:t xml:space="preserve">. </w:t>
      </w:r>
      <w:r w:rsidRPr="00E10B46">
        <w:rPr>
          <w:rFonts w:ascii="Arial" w:hAnsi="Arial" w:cs="Arial"/>
        </w:rPr>
        <w:t>Thus, understanding what motivates and characterizes tourists is vital to ensuring TMII's continued relevance, competitiveness, and ability to provide meaningful cultural experiences in an evolving tourism landscape.</w:t>
      </w:r>
    </w:p>
    <w:p w14:paraId="51E9CB5A" w14:textId="77777777" w:rsidR="003A60FC" w:rsidRDefault="003A60FC" w:rsidP="00E10B46">
      <w:pPr>
        <w:jc w:val="both"/>
        <w:rPr>
          <w:rFonts w:ascii="Arial" w:hAnsi="Arial" w:cs="Arial"/>
        </w:rPr>
      </w:pPr>
    </w:p>
    <w:p w14:paraId="112B1157" w14:textId="77777777" w:rsidR="003A60FC" w:rsidRPr="006D715D" w:rsidRDefault="003A60FC" w:rsidP="003A60FC">
      <w:pPr>
        <w:jc w:val="both"/>
        <w:rPr>
          <w:rFonts w:ascii="Arial" w:hAnsi="Arial" w:cs="Arial"/>
        </w:rPr>
      </w:pPr>
      <w:r w:rsidRPr="00CF77BF">
        <w:rPr>
          <w:rFonts w:ascii="Arial" w:hAnsi="Arial" w:cs="Arial"/>
        </w:rPr>
        <w:t xml:space="preserve">A deeper exploration of visitor motivations and characteristics is crucial for enhancing accessibility and optimizing the tourist experience at TMII </w:t>
      </w:r>
      <w:r>
        <w:rPr>
          <w:rFonts w:ascii="Arial" w:hAnsi="Arial" w:cs="Arial"/>
        </w:rPr>
        <w:fldChar w:fldCharType="begin" w:fldLock="1"/>
      </w:r>
      <w:r>
        <w:rPr>
          <w:rFonts w:ascii="Arial" w:hAnsi="Arial" w:cs="Arial"/>
        </w:rPr>
        <w:instrText>ADDIN CSL_CITATION {"citationItems":[{"id":"ITEM-1","itemData":{"abstract":"Indonesia is a big country consisting of various tribes and has different cultures from one to another. From this came the idea to create a tourist site with a cultural background. Taman Mini Indonesia Indah is a tourist attraction established since 1975, an attraction with the theme of Indonesian culture. Taman Mini Indonesia Indah is still a tourist destination that has been chosen by many families. Likewise, schools that still do a lot of tourist visits for study tours Visitors to Taman Mini Indonesia Indah are still the second most in Jakarta. With the development of tourism, the concept of tourism for all it becomes an absolute necessity. Because throughout the world there is also a very significant increase in the number of tourists, and ten percent have special needs including elderly people, tourists with small children, pregnant women, tourists with permanent and temporary disabilities. Therefore, the purpose of this study is to find out to what extent Taman Mini Indonesia Indah has implemented accessibility in tourism in accordance with standards set by the UNWTO. The method used is descriptive qualitative, where data is obtained through field research, documentation, checklists and literature studies. The results of the study are found that vertical movements still need to be improved because visitors using a wheelchair cannot enjoy all the regional platforms. And the suggestion from the research is to continue to improve the facilities so that everyone can access them by adding braille letters to the brochure and adding audio announcements to every tourist attraction.          ","author":[{"dropping-particle":"","family":"Lestari","given":"Nurul Sukma","non-dropping-particle":"","parse-names":false,"suffix":""},{"dropping-particle":"","family":"Wiastuti","given":"Rachel Dyah","non-dropping-particle":"","parse-names":false,"suffix":""},{"dropping-particle":"","family":"Triana","given":"Ika","non-dropping-particle":"","parse-names":false,"suffix":""}],"container-title":"Jurnal IPTA (Industri Perjalanan Wisata); Vol 7 No 2 (2019): Jurnal IPTA (December 2019)DO  - 10.24843/IPTA.2019.v07.i02.p01 ","id":"ITEM-1","issued":{"date-parts":[["2019","12","30"]]},"title":"IMPLEMENTASI ACCESSIBLE TOURISM DI TMII JAKARTA","type":"article-journal"},"uris":["http://www.mendeley.com/documents/?uuid=16379025-1783-48f6-b1bd-ec56fb3bb4c4"]}],"mendeley":{"formattedCitation":"(Lestari et al., 2019)","plainTextFormattedCitation":"(Lestari et al., 2019)","previouslyFormattedCitation":"(Lestari et al., 2019)"},"properties":{"noteIndex":0},"schema":"https://github.com/citation-style-language/schema/raw/master/csl-citation.json"}</w:instrText>
      </w:r>
      <w:r>
        <w:rPr>
          <w:rFonts w:ascii="Arial" w:hAnsi="Arial" w:cs="Arial"/>
        </w:rPr>
        <w:fldChar w:fldCharType="separate"/>
      </w:r>
      <w:r w:rsidRPr="0013627A">
        <w:rPr>
          <w:rFonts w:ascii="Arial" w:hAnsi="Arial" w:cs="Arial"/>
          <w:noProof/>
        </w:rPr>
        <w:t>(Lestari et al., 2019)</w:t>
      </w:r>
      <w:r>
        <w:rPr>
          <w:rFonts w:ascii="Arial" w:hAnsi="Arial" w:cs="Arial"/>
        </w:rPr>
        <w:fldChar w:fldCharType="end"/>
      </w:r>
      <w:r>
        <w:rPr>
          <w:rFonts w:ascii="Arial" w:hAnsi="Arial" w:cs="Arial"/>
        </w:rPr>
        <w:t xml:space="preserve">. </w:t>
      </w:r>
      <w:r w:rsidRPr="00CF77BF">
        <w:rPr>
          <w:rFonts w:ascii="Arial" w:hAnsi="Arial" w:cs="Arial"/>
        </w:rPr>
        <w:t xml:space="preserve">This study directly connects tourist motivations and profiles to strategic adaptation in a digitalizing tourism setting, offering specific insights for TMII. These insights inform targeted marketing, focused management, and sustained competitiveness as a man-made cultural destination </w:t>
      </w:r>
      <w:r>
        <w:rPr>
          <w:rFonts w:ascii="Arial" w:hAnsi="Arial" w:cs="Arial"/>
        </w:rPr>
        <w:fldChar w:fldCharType="begin" w:fldLock="1"/>
      </w:r>
      <w:r>
        <w:rPr>
          <w:rFonts w:ascii="Arial" w:hAnsi="Arial" w:cs="Arial"/>
        </w:rPr>
        <w:instrText>ADDIN CSL_CITATION {"citationItems":[{"id":"ITEM-1","itemData":{"DOI":"10.2991/978-94-6463-234-7_89","ISBN":"2352-5428","author":[{"dropping-particle":"","family":"Darmawan","given":"Haryadi","non-dropping-particle":"","parse-names":false,"suffix":""}],"id":"ITEM-1","issued":{"date-parts":[["2023"]]},"page":"862-869","publisher":"Atlantis Press","title":"Market Analysis on Man-Made Tourist Attractionin Indonesia BT  - Proceedings of the 7th Global Conference on Business, Management, and Entrepreneurship (GCBME 2022)","type":"paper-conference"},"uris":["http://www.mendeley.com/documents/?uuid=b02bd046-4f2e-4410-90ca-da612fa7522f"]}],"mendeley":{"formattedCitation":"(Darmawan, 2023)","plainTextFormattedCitation":"(Darmawan, 2023)","previouslyFormattedCitation":"(Darmawan, 2023)"},"properties":{"noteIndex":0},"schema":"https://github.com/citation-style-language/schema/raw/master/csl-citation.json"}</w:instrText>
      </w:r>
      <w:r>
        <w:rPr>
          <w:rFonts w:ascii="Arial" w:hAnsi="Arial" w:cs="Arial"/>
        </w:rPr>
        <w:fldChar w:fldCharType="separate"/>
      </w:r>
      <w:r w:rsidRPr="00046E19">
        <w:rPr>
          <w:rFonts w:ascii="Arial" w:hAnsi="Arial" w:cs="Arial"/>
          <w:noProof/>
        </w:rPr>
        <w:t>(Darmawan, 2023)</w:t>
      </w:r>
      <w:r>
        <w:rPr>
          <w:rFonts w:ascii="Arial" w:hAnsi="Arial" w:cs="Arial"/>
        </w:rPr>
        <w:fldChar w:fldCharType="end"/>
      </w:r>
      <w:r w:rsidRPr="006D715D">
        <w:rPr>
          <w:rFonts w:ascii="Arial" w:hAnsi="Arial" w:cs="Arial"/>
        </w:rPr>
        <w:t xml:space="preserve">. </w:t>
      </w:r>
      <w:r w:rsidRPr="00CF77BF">
        <w:rPr>
          <w:rFonts w:ascii="Arial" w:hAnsi="Arial" w:cs="Arial"/>
        </w:rPr>
        <w:t xml:space="preserve">Additionally, understanding visitor dynamics guides the improvement of exhibition design in traditional houses and pavilions, supporting the founder’s mission of delivering meaningful experiences with curated collections </w:t>
      </w:r>
      <w:r>
        <w:rPr>
          <w:rFonts w:ascii="Arial" w:hAnsi="Arial" w:cs="Arial"/>
        </w:rPr>
        <w:fldChar w:fldCharType="begin" w:fldLock="1"/>
      </w:r>
      <w:r>
        <w:rPr>
          <w:rFonts w:ascii="Arial" w:hAnsi="Arial" w:cs="Arial"/>
        </w:rPr>
        <w:instrText>ADDIN CSL_CITATION {"citationItems":[{"id":"ITEM-1","itemData":{"DOI":"10.21512/humaniora.v9i2.4597","abstract":"&amp;lt;p&amp;gt;This research aimed to look further at Taman Mini Indonesia Indahâ€™s (TMII) role in education and toÂ enrich its visitors through exhibition design inside their main attraction, the traditional houses. It used theÂ qualitative methods through observation of three randomly selected pavilions and data analysis used SWOT analysis and goal grid diagram. The research shows that there are no engagements between objects and visitors,Â the exhibitions are still lack of planning, visually unattractive and unavailability of information or written textsÂ for most of its collection, which can be concluded that TMII is still far from achieving their educational goal. TheÂ result of this research is preliminary design for display cases that can be used in pavilions and corresponds designÂ standards.&amp;lt;/p&amp;gt;","author":[{"dropping-particle":"","family":"Wulandari","given":"Anak Agung Ayu","non-dropping-particle":"","parse-names":false,"suffix":""},{"dropping-particle":"","family":"Ruki","given":"Ulli Aulia","non-dropping-particle":"","parse-names":false,"suffix":""}],"container-title":"Humaniora","id":"ITEM-1","issue":"2 SE  - Articles","issued":{"date-parts":[["2018","7","31"]]},"page":"199-209","title":"Education and Exhibition Display Design in Taman Mini Indonesia Indah","type":"article-journal","volume":"9"},"uris":["http://www.mendeley.com/documents/?uuid=9e1b7a53-10b8-40a4-89da-db7758841687"]}],"mendeley":{"formattedCitation":"(Wulandari &amp; Ruki, 2018)","plainTextFormattedCitation":"(Wulandari &amp; Ruki, 2018)","previouslyFormattedCitation":"(Wulandari &amp; Ruki, 2018)"},"properties":{"noteIndex":0},"schema":"https://github.com/citation-style-language/schema/raw/master/csl-citation.json"}</w:instrText>
      </w:r>
      <w:r>
        <w:rPr>
          <w:rFonts w:ascii="Arial" w:hAnsi="Arial" w:cs="Arial"/>
        </w:rPr>
        <w:fldChar w:fldCharType="separate"/>
      </w:r>
      <w:r w:rsidRPr="0003493E">
        <w:rPr>
          <w:rFonts w:ascii="Arial" w:hAnsi="Arial" w:cs="Arial"/>
          <w:noProof/>
        </w:rPr>
        <w:t>(Wulandari &amp; Ruki, 2018)</w:t>
      </w:r>
      <w:r>
        <w:rPr>
          <w:rFonts w:ascii="Arial" w:hAnsi="Arial" w:cs="Arial"/>
        </w:rPr>
        <w:fldChar w:fldCharType="end"/>
      </w:r>
      <w:r>
        <w:rPr>
          <w:rFonts w:ascii="Arial" w:hAnsi="Arial" w:cs="Arial"/>
        </w:rPr>
        <w:t xml:space="preserve">. </w:t>
      </w:r>
      <w:r w:rsidRPr="00CF77BF">
        <w:rPr>
          <w:rFonts w:ascii="Arial" w:hAnsi="Arial" w:cs="Arial"/>
        </w:rPr>
        <w:t xml:space="preserve">In sum, this analysis reinforces TMII’s dual role, preserving heritage while innovating for contemporary needs, ensuring long-term relevance in a competitive global market </w:t>
      </w:r>
      <w:r>
        <w:rPr>
          <w:rFonts w:ascii="Arial" w:hAnsi="Arial" w:cs="Arial"/>
        </w:rPr>
        <w:fldChar w:fldCharType="begin" w:fldLock="1"/>
      </w:r>
      <w:r>
        <w:rPr>
          <w:rFonts w:ascii="Arial" w:hAnsi="Arial" w:cs="Arial"/>
        </w:rPr>
        <w:instrText>ADDIN CSL_CITATION {"citationItems":[{"id":"ITEM-1","itemData":{"DOI":"https://doi.org/10.51878/social.v5i2.6447","author":[{"dropping-particle":"","family":"Widayanto","given":"Endro","non-dropping-particle":"","parse-names":false,"suffix":""},{"dropping-particle":"","family":"Supardal","given":"Supardal","non-dropping-particle":"","parse-names":false,"suffix":""}],"container-title":"SOCIAL : Jurnal Inovasi Pendidikan IPS","id":"ITEM-1","issued":{"date-parts":[["2025"]]},"title":"KOLABORASI ANTARA PEMERINTAH KALURAHAN TEPUS DAN DINAS PARIWISATA DALAM MENCAPAI INDIKATOR KINERJA UTAMA SEKTOR PARIWISATA","type":"article-journal"},"uris":["http://www.mendeley.com/documents/?uuid=8bd1f00e-8c32-4a6e-b467-bf5ca170c941"]}],"mendeley":{"formattedCitation":"(Widayanto &amp; Supardal, 2025)","manualFormatting":"(Widayanto &amp; Supardal, 2025","plainTextFormattedCitation":"(Widayanto &amp; Supardal, 2025)","previouslyFormattedCitation":"(Widayanto &amp; Supardal, 2025)"},"properties":{"noteIndex":0},"schema":"https://github.com/citation-style-language/schema/raw/master/csl-citation.json"}</w:instrText>
      </w:r>
      <w:r>
        <w:rPr>
          <w:rFonts w:ascii="Arial" w:hAnsi="Arial" w:cs="Arial"/>
        </w:rPr>
        <w:fldChar w:fldCharType="separate"/>
      </w:r>
      <w:r w:rsidRPr="00E95454">
        <w:rPr>
          <w:rFonts w:ascii="Arial" w:hAnsi="Arial" w:cs="Arial"/>
          <w:noProof/>
        </w:rPr>
        <w:t>(Widayanto &amp; Supardal, 2025</w:t>
      </w:r>
      <w:r>
        <w:rPr>
          <w:rFonts w:ascii="Arial" w:hAnsi="Arial" w:cs="Arial"/>
        </w:rPr>
        <w:fldChar w:fldCharType="end"/>
      </w:r>
      <w:r>
        <w:rPr>
          <w:rFonts w:ascii="Arial" w:hAnsi="Arial" w:cs="Arial"/>
        </w:rPr>
        <w:t>;</w:t>
      </w:r>
      <w:r w:rsidRPr="006D715D">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{"citationItems":[{"id":"ITEM-1","itemData":{"DOI":"https://doi.org/10.51878/social.v5i3.6938","author":[{"dropping-particle":"","family":"Susi","given":"Kristina Samca","non-dropping-particle":"","parse-names":false,"suffix":""},{"dropping-particle":"","family":"Sugiyanto","given":"Sugiyanto","non-dropping-particle":"","parse-names":false,"suffix":""}],"container-title":"SOCIAL : Jurnal Inovasi Pendidikan IPS","id":"ITEM-1","issued":{"date-parts":[["2025"]]},"title":"PERBANDINGAN TATA KELOLA DESA WISATA DI BALI DAN DI JOGJA: STUDI KASUS DESA WISATA PENGLIPURAN DAN DESA WISATA SAMBIREJO","type":"article-journal"},"uris":["http://www.mendeley.com/documents/?uuid=9cb72487-afba-44ca-8b3b-93ec61775602"]}],"mendeley":{"formattedCitation":"(Susi &amp; Sugiyanto, 2025)","manualFormatting":"Susi &amp; Sugiyanto, 2025)","plainTextFormattedCitation":"(Susi &amp; Sugiyanto, 2025)","previouslyFormattedCitation":"(Susi &amp; Sugiyanto, 2025)"},"properties":{"noteIndex":0},"schema":"https://github.com/citation-style-language/schema/raw/master/csl-citation.json"}</w:instrText>
      </w:r>
      <w:r>
        <w:rPr>
          <w:rFonts w:ascii="Arial" w:hAnsi="Arial" w:cs="Arial"/>
        </w:rPr>
        <w:fldChar w:fldCharType="separate"/>
      </w:r>
      <w:r w:rsidRPr="004A169F">
        <w:rPr>
          <w:rFonts w:ascii="Arial" w:hAnsi="Arial" w:cs="Arial"/>
          <w:noProof/>
        </w:rPr>
        <w:t>Susi &amp; Sugiyanto, 2025)</w:t>
      </w:r>
      <w:r>
        <w:rPr>
          <w:rFonts w:ascii="Arial" w:hAnsi="Arial" w:cs="Arial"/>
        </w:rPr>
        <w:fldChar w:fldCharType="end"/>
      </w:r>
      <w:r>
        <w:rPr>
          <w:rFonts w:ascii="Arial" w:hAnsi="Arial" w:cs="Arial"/>
        </w:rPr>
        <w:t>.</w:t>
      </w:r>
    </w:p>
    <w:p w14:paraId="3C4501AF" w14:textId="77777777" w:rsidR="003A60FC" w:rsidRDefault="003A60FC" w:rsidP="00E10B46">
      <w:pPr>
        <w:jc w:val="both"/>
        <w:rPr>
          <w:rFonts w:ascii="Arial" w:hAnsi="Arial" w:cs="Arial"/>
        </w:rPr>
      </w:pPr>
    </w:p>
    <w:p w14:paraId="3E5E7090" w14:textId="77777777" w:rsidR="00FF68D5" w:rsidRPr="00FF68D5" w:rsidRDefault="00FF68D5" w:rsidP="00FF68D5">
      <w:pPr>
        <w:jc w:val="both"/>
        <w:rPr>
          <w:rFonts w:ascii="Arial" w:hAnsi="Arial" w:cs="Arial"/>
        </w:rPr>
      </w:pPr>
    </w:p>
    <w:p w14:paraId="481123EC" w14:textId="77777777" w:rsidR="00790ADA" w:rsidRDefault="00DA7DAE" w:rsidP="00441B6F">
      <w:pPr>
        <w:pStyle w:val="AbstHead"/>
        <w:spacing w:after="0"/>
        <w:jc w:val="both"/>
        <w:rPr>
          <w:rFonts w:ascii="Arial" w:hAnsi="Arial" w:cs="Arial"/>
        </w:rPr>
      </w:pPr>
      <w:r>
        <w:rPr>
          <w:rFonts w:ascii="Arial" w:hAnsi="Arial" w:cs="Arial"/>
        </w:rPr>
        <w:t>2</w:t>
      </w:r>
      <w:r w:rsidR="00FF68D5">
        <w:rPr>
          <w:rFonts w:ascii="Arial" w:hAnsi="Arial" w:cs="Arial"/>
        </w:rPr>
        <w:t xml:space="preserve">. </w:t>
      </w:r>
      <w:r w:rsidR="006B57D0">
        <w:rPr>
          <w:rFonts w:ascii="Arial" w:hAnsi="Arial" w:cs="Arial"/>
        </w:rPr>
        <w:t>methodology</w:t>
      </w:r>
      <w:r w:rsidR="007F7B32">
        <w:rPr>
          <w:rFonts w:ascii="Arial" w:hAnsi="Arial" w:cs="Arial"/>
        </w:rPr>
        <w:t xml:space="preserve"> </w:t>
      </w:r>
    </w:p>
    <w:p w14:paraId="549BE5E1" w14:textId="77777777" w:rsidR="0006212A" w:rsidRPr="00FB3A86" w:rsidRDefault="0006212A" w:rsidP="00441B6F">
      <w:pPr>
        <w:pStyle w:val="AbstHead"/>
        <w:spacing w:after="0"/>
        <w:jc w:val="both"/>
        <w:rPr>
          <w:rFonts w:ascii="Arial" w:hAnsi="Arial" w:cs="Arial"/>
        </w:rPr>
      </w:pPr>
    </w:p>
    <w:p w14:paraId="7BCEDE13" w14:textId="77777777" w:rsidR="00F95C19" w:rsidRPr="00B77A97" w:rsidRDefault="001E2C5B" w:rsidP="00B77A97">
      <w:pPr>
        <w:jc w:val="both"/>
        <w:rPr>
          <w:rFonts w:ascii="Arial" w:hAnsi="Arial" w:cs="Arial"/>
        </w:rPr>
      </w:pPr>
      <w:r w:rsidRPr="001E2C5B">
        <w:rPr>
          <w:rFonts w:ascii="Arial" w:hAnsi="Arial" w:cs="Arial"/>
        </w:rPr>
        <w:t>The present study employed a quantitative descriptive research design to systematically examine the motivations and characteristics of visitors to Taman Mini Indonesia Indah</w:t>
      </w:r>
      <w:r w:rsidR="00B77A97">
        <w:rPr>
          <w:rFonts w:ascii="Arial" w:hAnsi="Arial" w:cs="Arial"/>
        </w:rPr>
        <w:t xml:space="preserve"> </w:t>
      </w:r>
      <w:r w:rsidR="00CE180C" w:rsidRPr="00B77A97">
        <w:rPr>
          <w:rFonts w:ascii="Arial" w:hAnsi="Arial" w:cs="Arial"/>
        </w:rPr>
        <w:fldChar w:fldCharType="begin" w:fldLock="1"/>
      </w:r>
      <w:r w:rsidR="002F2BE6" w:rsidRPr="00B77A97">
        <w:rPr>
          <w:rFonts w:ascii="Arial" w:hAnsi="Arial" w:cs="Arial"/>
        </w:rPr>
        <w:instrText>ADDIN CSL_CITATION {"citationItems":[{"id":"ITEM-1","itemData":{"DOI":"https://doi.org/10.51878/cendekia.v5i4.7156","author":[{"dropping-particle":"","family":"Hatapayo","given":"Bunda Rahmini","non-dropping-particle":"","parse-names":false,"suffix":""},{"dropping-particle":"","family":"Nurhaeny","given":"Andiah","non-dropping-particle":"","parse-names":false,"suffix":""},{"dropping-particle":"","family":"Bandjar","given":"Antasari","non-dropping-particle":"","parse-names":false,"suffix":""}],"container-title":"CENDEKIA: Jurnal Ilmu Pengetahuan","id":"ITEM-1","issued":{"date-parts":[["2025"]]},"title":"PEMANFAATAN MEDIA SOSIAL SEBAGAI SARANA PROMOSI WISATA PENDAKIAN DUSUN USALI, NEGERI HATUMETE, KECAMATAN TEHORU KABUPATEN MALUKU TENGAH","type":"article-journal"},"uris":["http://www.mendeley.com/documents/?uuid=bf0788df-282a-4aca-9537-8fe91f2335b5"]}],"mendeley":{"formattedCitation":"(Hatapayo et al., 2025)","plainTextFormattedCitation":"(Hatapayo et al., 2025)","previouslyFormattedCitation":"(Hatapayo et al., 2025)"},"properties":{"noteIndex":0},"schema":"https://github.com/citation-style-language/schema/raw/master/csl-citation.json"}</w:instrText>
      </w:r>
      <w:r w:rsidR="00CE180C" w:rsidRPr="00B77A97">
        <w:rPr>
          <w:rFonts w:ascii="Arial" w:hAnsi="Arial" w:cs="Arial"/>
        </w:rPr>
        <w:fldChar w:fldCharType="separate"/>
      </w:r>
      <w:r w:rsidR="00CE180C" w:rsidRPr="00B77A97">
        <w:rPr>
          <w:rFonts w:ascii="Arial" w:hAnsi="Arial" w:cs="Arial"/>
          <w:noProof/>
        </w:rPr>
        <w:t>(Hatapayo et al., 2025)</w:t>
      </w:r>
      <w:r w:rsidR="00CE180C" w:rsidRPr="00B77A97">
        <w:rPr>
          <w:rFonts w:ascii="Arial" w:hAnsi="Arial" w:cs="Arial"/>
        </w:rPr>
        <w:fldChar w:fldCharType="end"/>
      </w:r>
      <w:r w:rsidR="00CE180C" w:rsidRPr="00B77A97">
        <w:rPr>
          <w:rFonts w:ascii="Arial" w:hAnsi="Arial" w:cs="Arial"/>
        </w:rPr>
        <w:t xml:space="preserve">. </w:t>
      </w:r>
      <w:r w:rsidR="000B37DC" w:rsidRPr="00B77A97">
        <w:rPr>
          <w:rFonts w:ascii="Arial" w:hAnsi="Arial" w:cs="Arial"/>
        </w:rPr>
        <w:t xml:space="preserve">Descriptive quantitative approaches are commonly used to map visitor characteristics and analyze motivational patterns through Likert-scale measurements, allowing for systematic interpretation of tourist perceptions. Data were collected using structured questionnaires designed to obtain comprehensive information on demographic profiles, travel behaviors, and the specific factors influencing tourists’ decisions to visit this cultural theme park. The target population consisted of all individuals visiting Taman Mini Indonesia Indah during the data collection period, encompassing both first-time and repeat visitors </w:t>
      </w:r>
      <w:r w:rsidR="003072D4" w:rsidRPr="00B77A97">
        <w:rPr>
          <w:rFonts w:ascii="Arial" w:hAnsi="Arial" w:cs="Arial"/>
        </w:rPr>
        <w:fldChar w:fldCharType="begin" w:fldLock="1"/>
      </w:r>
      <w:r w:rsidR="000C32DC" w:rsidRPr="00B77A97">
        <w:rPr>
          <w:rFonts w:ascii="Arial" w:hAnsi="Arial" w:cs="Arial"/>
        </w:rPr>
        <w:instrText>ADDIN CSL_CITATION {"citationItems":[{"id":"ITEM-1","itemData":{"DOI":"10.1108/JSM-01-2019-0024","ISSN":"0887-6045","author":[{"dropping-particle":"","family":"Bergel","given":"Maxi","non-dropping-particle":"","parse-names":false,"suffix":""},{"dropping-particle":"","family":"Frank","given":"Phillip","non-dropping-particle":"","parse-names":false,"suffix":""},{"dropping-particle":"","family":"Brock","given":"Christian","non-dropping-particle":"","parse-names":false,"suffix":""}],"container-title":"Journal of Services Marketing","id":"ITEM-1","issue":"7","issued":{"date-parts":[["2019","11","25"]]},"page":"890-903","title":"The role of customer engagement facets on the formation of attitude, loyalty and price perception","type":"article-journal","volume":"33"},"uris":["http://www.mendeley.com/documents/?uuid=5d709d0f-ccd6-4fd0-bb88-4d324ad34d3a"]}],"mendeley":{"formattedCitation":"(Bergel et al., 2019)","plainTextFormattedCitation":"(Bergel et al., 2019)","previouslyFormattedCitation":"(Bergel et al., 2019)"},"properties":{"noteIndex":0},"schema":"https://github.com/citation-style-language/schema/raw/master/csl-citation.json"}</w:instrText>
      </w:r>
      <w:r w:rsidR="003072D4" w:rsidRPr="00B77A97">
        <w:rPr>
          <w:rFonts w:ascii="Arial" w:hAnsi="Arial" w:cs="Arial"/>
        </w:rPr>
        <w:fldChar w:fldCharType="separate"/>
      </w:r>
      <w:r w:rsidR="003072D4" w:rsidRPr="00B77A97">
        <w:rPr>
          <w:rFonts w:ascii="Arial" w:hAnsi="Arial" w:cs="Arial"/>
          <w:noProof/>
        </w:rPr>
        <w:t>(Bergel et al., 2019)</w:t>
      </w:r>
      <w:r w:rsidR="003072D4" w:rsidRPr="00B77A97">
        <w:rPr>
          <w:rFonts w:ascii="Arial" w:hAnsi="Arial" w:cs="Arial"/>
        </w:rPr>
        <w:fldChar w:fldCharType="end"/>
      </w:r>
      <w:r w:rsidR="003072D4" w:rsidRPr="00B77A97">
        <w:rPr>
          <w:rFonts w:ascii="Arial" w:hAnsi="Arial" w:cs="Arial"/>
        </w:rPr>
        <w:t xml:space="preserve">. </w:t>
      </w:r>
      <w:r w:rsidR="00000F79" w:rsidRPr="00B77A97">
        <w:rPr>
          <w:rFonts w:ascii="Arial" w:hAnsi="Arial" w:cs="Arial"/>
        </w:rPr>
        <w:t>To ensure adequate representation across diverse visitor groups, a stratified random sampling technique was utilized. A total of 100 respondents participated in the study, each meeting the inclusion criteria of being at least 17 years old and having spent a minimum of two hours at the site. These criteria were implemented to ensure respondents possessed sufficient experience to provide meaningful evaluations of the research variables. The questionnaire was developed using a 5-point Likert scale, following the continuum principle, which ranges from the lowest to the highest levels of agreement. This structure enabled the collection of nuanced responses regarding visitor perceptions and experiences. Data collection was conducted primarily online using Google Forms, targeting individuals with prior experience visiting tourist destinations to ensure their ability to offer relevant insights into tourist behaviors and preferences</w:t>
      </w:r>
      <w:r w:rsidR="0051761D">
        <w:rPr>
          <w:rFonts w:ascii="Arial" w:hAnsi="Arial" w:cs="Arial"/>
        </w:rPr>
        <w:t xml:space="preserve"> </w:t>
      </w:r>
      <w:r w:rsidR="00C32468" w:rsidRPr="00B77A97">
        <w:rPr>
          <w:rFonts w:ascii="Arial" w:hAnsi="Arial" w:cs="Arial"/>
        </w:rPr>
        <w:fldChar w:fldCharType="begin" w:fldLock="1"/>
      </w:r>
      <w:r w:rsidR="00C32468" w:rsidRPr="00B77A97">
        <w:rPr>
          <w:rFonts w:ascii="Arial" w:hAnsi="Arial" w:cs="Arial"/>
        </w:rPr>
        <w:instrText>ADDIN CSL_CITATION {"citationItems":[{"id":"ITEM-1","itemData":{"DOI":"https://doi.org/10.51878/cendekia.v5i4.7156","author":[{"dropping-particle":"","family":"Hatapayo","given":"Bunda Rahmini","non-dropping-particle":"","parse-names":false,"suffix":""},{"dropping-particle":"","family":"Nurhaeny","given":"Andiah","non-dropping-particle":"","parse-names":false,"suffix":""},{"dropping-particle":"","family":"Bandjar","given":"Antasari","non-dropping-particle":"","parse-names":false,"suffix":""}],"container-title":"CENDEKIA: Jurnal Ilmu Pengetahuan","id":"ITEM-1","issued":{"date-parts":[["2025"]]},"title":"PEMANFAATAN MEDIA SOSIAL SEBAGAI SARANA PROMOSI WISATA PENDAKIAN DUSUN USALI, NEGERI HATUMETE, KECAMATAN TEHORU KABUPATEN MALUKU TENGAH","type":"article-journal"},"uris":["http://www.mendeley.com/documents/?uuid=bf0788df-282a-4aca-9537-8fe91f2335b5"]}],"mendeley":{"formattedCitation":"(Hatapayo et al., 2025)","plainTextFormattedCitation":"(Hatapayo et al., 2025)","previouslyFormattedCitation":"(Hatapayo et al., 2025)"},"properties":{"noteIndex":0},"schema":"https://github.com/citation-style-language/schema/raw/master/csl-citation.json"}</w:instrText>
      </w:r>
      <w:r w:rsidR="00C32468" w:rsidRPr="00B77A97">
        <w:rPr>
          <w:rFonts w:ascii="Arial" w:hAnsi="Arial" w:cs="Arial"/>
        </w:rPr>
        <w:fldChar w:fldCharType="separate"/>
      </w:r>
      <w:r w:rsidR="00C32468" w:rsidRPr="00B77A97">
        <w:rPr>
          <w:rFonts w:ascii="Arial" w:hAnsi="Arial" w:cs="Arial"/>
          <w:noProof/>
        </w:rPr>
        <w:t>(Hatapayo et al., 2025)</w:t>
      </w:r>
      <w:r w:rsidR="00C32468" w:rsidRPr="00B77A97">
        <w:rPr>
          <w:rFonts w:ascii="Arial" w:hAnsi="Arial" w:cs="Arial"/>
        </w:rPr>
        <w:fldChar w:fldCharType="end"/>
      </w:r>
      <w:r w:rsidR="00C32468" w:rsidRPr="00B77A97">
        <w:rPr>
          <w:rFonts w:ascii="Arial" w:hAnsi="Arial" w:cs="Arial"/>
        </w:rPr>
        <w:t xml:space="preserve">. </w:t>
      </w:r>
      <w:r w:rsidR="00F95C19" w:rsidRPr="00B77A97">
        <w:rPr>
          <w:rFonts w:ascii="Arial" w:hAnsi="Arial" w:cs="Arial"/>
        </w:rPr>
        <w:t>The collected data were analyzed using descriptive statistics, including frequency distributions and mean scores.</w:t>
      </w:r>
    </w:p>
    <w:p w14:paraId="4A2A69F9" w14:textId="77777777" w:rsidR="00790ADA" w:rsidRDefault="00790ADA" w:rsidP="00BD5DFE">
      <w:pPr>
        <w:pStyle w:val="Body"/>
        <w:rPr>
          <w:rFonts w:ascii="Arial" w:hAnsi="Arial" w:cs="Arial"/>
        </w:rPr>
      </w:pPr>
    </w:p>
    <w:p w14:paraId="58306506" w14:textId="77777777" w:rsidR="00423876" w:rsidRPr="00FB3A86" w:rsidRDefault="00423876" w:rsidP="00441B6F">
      <w:pPr>
        <w:pStyle w:val="Body"/>
        <w:spacing w:after="0"/>
        <w:rPr>
          <w:rFonts w:ascii="Arial" w:hAnsi="Arial" w:cs="Arial"/>
        </w:rPr>
      </w:pPr>
    </w:p>
    <w:p w14:paraId="53A082C7" w14:textId="77777777" w:rsidR="00CA0FDB" w:rsidRPr="00FB3A86" w:rsidRDefault="00000F8F" w:rsidP="0050001C">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FC5DFD6" w14:textId="77777777" w:rsidR="00790ADA" w:rsidRDefault="00790ADA" w:rsidP="00441B6F">
      <w:pPr>
        <w:pStyle w:val="Body"/>
        <w:spacing w:after="0"/>
        <w:rPr>
          <w:rFonts w:ascii="Arial" w:hAnsi="Arial" w:cs="Arial"/>
        </w:rPr>
      </w:pPr>
    </w:p>
    <w:p w14:paraId="752902E2" w14:textId="77777777" w:rsidR="009C437B" w:rsidRDefault="0050001C" w:rsidP="009E34BE">
      <w:pPr>
        <w:pStyle w:val="Body"/>
        <w:numPr>
          <w:ilvl w:val="0"/>
          <w:numId w:val="34"/>
        </w:numPr>
        <w:spacing w:after="0"/>
        <w:ind w:left="450"/>
        <w:rPr>
          <w:rFonts w:ascii="Arial" w:hAnsi="Arial" w:cs="Arial"/>
        </w:rPr>
      </w:pPr>
      <w:r>
        <w:rPr>
          <w:rFonts w:ascii="Arial" w:hAnsi="Arial"/>
          <w:b/>
        </w:rPr>
        <w:t>Tourist Characteristics</w:t>
      </w:r>
    </w:p>
    <w:p w14:paraId="416098C1" w14:textId="77777777" w:rsidR="009C437B" w:rsidRDefault="009C437B" w:rsidP="00441B6F">
      <w:pPr>
        <w:pStyle w:val="Body"/>
        <w:spacing w:after="0"/>
        <w:rPr>
          <w:rFonts w:ascii="Arial" w:hAnsi="Arial" w:cs="Arial"/>
        </w:rPr>
      </w:pPr>
    </w:p>
    <w:p w14:paraId="31D0F94F" w14:textId="77777777" w:rsidR="009C437B" w:rsidRDefault="009E34BE" w:rsidP="00441B6F">
      <w:pPr>
        <w:pStyle w:val="Body"/>
        <w:spacing w:after="0"/>
        <w:rPr>
          <w:rFonts w:ascii="Arial" w:hAnsi="Arial" w:cs="Arial"/>
        </w:rPr>
      </w:pPr>
      <w:r w:rsidRPr="009E34BE">
        <w:rPr>
          <w:rFonts w:ascii="Arial" w:hAnsi="Arial" w:cs="Arial"/>
        </w:rPr>
        <w:t>Table 1 presents the demographic, geographic, psychographic, and travel-pattern characteristics of tourists visiting Taman Mini Indonesia Indah (TMII). These characteristics provide an overview of the visitors’ profiles, including their age distribution, occupation, education level, income range, place of residence, travel behavior, and mode of transportation. Understanding these attributes is essential for interpreting visitor patterns and identifying the key segments that contribute to TMII’s tourist population.</w:t>
      </w:r>
    </w:p>
    <w:p w14:paraId="38F91355" w14:textId="77777777" w:rsidR="009E34BE" w:rsidRDefault="009E34BE" w:rsidP="00441B6F">
      <w:pPr>
        <w:pStyle w:val="Body"/>
        <w:spacing w:after="0"/>
        <w:rPr>
          <w:rFonts w:ascii="Arial" w:hAnsi="Arial" w:cs="Arial"/>
        </w:rPr>
      </w:pPr>
    </w:p>
    <w:p w14:paraId="4667703B" w14:textId="77777777" w:rsidR="00863BD3" w:rsidRPr="00DC3180" w:rsidRDefault="009500A6" w:rsidP="00942885">
      <w:pPr>
        <w:tabs>
          <w:tab w:val="left" w:pos="1080"/>
        </w:tabs>
        <w:ind w:left="450"/>
        <w:jc w:val="center"/>
        <w:rPr>
          <w:rFonts w:ascii="Arial" w:hAnsi="Arial"/>
          <w:b/>
        </w:rPr>
      </w:pPr>
      <w:r>
        <w:rPr>
          <w:rFonts w:ascii="Arial" w:hAnsi="Arial"/>
          <w:b/>
        </w:rPr>
        <w:t xml:space="preserve">Table </w:t>
      </w:r>
      <w:proofErr w:type="gramStart"/>
      <w:r>
        <w:rPr>
          <w:rFonts w:ascii="Arial" w:hAnsi="Arial"/>
          <w:b/>
        </w:rPr>
        <w:t>1.</w:t>
      </w:r>
      <w:r w:rsidR="00CE46DB">
        <w:rPr>
          <w:rFonts w:ascii="Arial" w:hAnsi="Arial"/>
          <w:b/>
        </w:rPr>
        <w:t>Tourist</w:t>
      </w:r>
      <w:proofErr w:type="gramEnd"/>
      <w:r w:rsidR="00CE46DB">
        <w:rPr>
          <w:rFonts w:ascii="Arial" w:hAnsi="Arial"/>
          <w:b/>
        </w:rPr>
        <w:t xml:space="preserve"> Characteristics</w:t>
      </w:r>
    </w:p>
    <w:tbl>
      <w:tblPr>
        <w:tblW w:w="6690" w:type="dxa"/>
        <w:jc w:val="center"/>
        <w:tblLook w:val="01E0" w:firstRow="1" w:lastRow="1" w:firstColumn="1" w:lastColumn="1" w:noHBand="0" w:noVBand="0"/>
      </w:tblPr>
      <w:tblGrid>
        <w:gridCol w:w="3093"/>
        <w:gridCol w:w="1228"/>
        <w:gridCol w:w="2369"/>
      </w:tblGrid>
      <w:tr w:rsidR="00863BD3" w:rsidRPr="00912BAB" w14:paraId="684F8B7F" w14:textId="77777777" w:rsidTr="005344A4">
        <w:trPr>
          <w:jc w:val="center"/>
        </w:trPr>
        <w:tc>
          <w:tcPr>
            <w:tcW w:w="3093" w:type="dxa"/>
            <w:tcBorders>
              <w:top w:val="single" w:sz="4" w:space="0" w:color="auto"/>
              <w:bottom w:val="single" w:sz="4" w:space="0" w:color="auto"/>
            </w:tcBorders>
          </w:tcPr>
          <w:p w14:paraId="094964CC" w14:textId="77777777" w:rsidR="00863BD3" w:rsidRPr="00912BAB" w:rsidRDefault="00B037BB" w:rsidP="005344A4">
            <w:pPr>
              <w:jc w:val="center"/>
              <w:rPr>
                <w:rFonts w:ascii="Arial" w:hAnsi="Arial" w:cs="Arial"/>
                <w:b/>
                <w:bCs/>
              </w:rPr>
            </w:pPr>
            <w:r w:rsidRPr="00912BAB">
              <w:rPr>
                <w:rFonts w:ascii="Arial" w:hAnsi="Arial" w:cs="Arial"/>
                <w:b/>
              </w:rPr>
              <w:t>Characteristics</w:t>
            </w:r>
          </w:p>
        </w:tc>
        <w:tc>
          <w:tcPr>
            <w:tcW w:w="1228" w:type="dxa"/>
            <w:tcBorders>
              <w:top w:val="single" w:sz="4" w:space="0" w:color="auto"/>
              <w:bottom w:val="single" w:sz="4" w:space="0" w:color="auto"/>
            </w:tcBorders>
          </w:tcPr>
          <w:p w14:paraId="5FACA606" w14:textId="77777777" w:rsidR="00863BD3" w:rsidRPr="00912BAB" w:rsidRDefault="00B037BB" w:rsidP="005344A4">
            <w:pPr>
              <w:jc w:val="center"/>
              <w:rPr>
                <w:rFonts w:ascii="Arial" w:hAnsi="Arial" w:cs="Arial"/>
                <w:b/>
                <w:bCs/>
              </w:rPr>
            </w:pPr>
            <w:r w:rsidRPr="00912BAB">
              <w:rPr>
                <w:rFonts w:ascii="Arial" w:hAnsi="Arial" w:cs="Arial"/>
                <w:b/>
                <w:bCs/>
              </w:rPr>
              <w:t>Frequency</w:t>
            </w:r>
          </w:p>
        </w:tc>
        <w:tc>
          <w:tcPr>
            <w:tcW w:w="2369" w:type="dxa"/>
            <w:tcBorders>
              <w:top w:val="single" w:sz="4" w:space="0" w:color="auto"/>
              <w:bottom w:val="single" w:sz="4" w:space="0" w:color="auto"/>
            </w:tcBorders>
          </w:tcPr>
          <w:p w14:paraId="7D6A0BB1" w14:textId="77777777" w:rsidR="00863BD3" w:rsidRPr="00912BAB" w:rsidRDefault="00B037BB" w:rsidP="005344A4">
            <w:pPr>
              <w:jc w:val="center"/>
              <w:rPr>
                <w:rFonts w:ascii="Arial" w:hAnsi="Arial" w:cs="Arial"/>
                <w:b/>
                <w:bCs/>
              </w:rPr>
            </w:pPr>
            <w:r w:rsidRPr="00912BAB">
              <w:rPr>
                <w:rFonts w:ascii="Arial" w:hAnsi="Arial" w:cs="Arial"/>
                <w:b/>
                <w:bCs/>
              </w:rPr>
              <w:t>Percentage (%)</w:t>
            </w:r>
          </w:p>
        </w:tc>
      </w:tr>
      <w:tr w:rsidR="0050001C" w:rsidRPr="00912BAB" w14:paraId="08179349" w14:textId="77777777" w:rsidTr="005344A4">
        <w:trPr>
          <w:trHeight w:val="278"/>
          <w:jc w:val="center"/>
        </w:trPr>
        <w:tc>
          <w:tcPr>
            <w:tcW w:w="6690" w:type="dxa"/>
            <w:gridSpan w:val="3"/>
            <w:tcBorders>
              <w:top w:val="single" w:sz="4" w:space="0" w:color="auto"/>
            </w:tcBorders>
          </w:tcPr>
          <w:p w14:paraId="4EA76D43" w14:textId="77777777" w:rsidR="0050001C" w:rsidRPr="00912BAB" w:rsidRDefault="0050001C" w:rsidP="0050001C">
            <w:pPr>
              <w:rPr>
                <w:rFonts w:ascii="Arial" w:hAnsi="Arial" w:cs="Arial"/>
                <w:b/>
                <w:bCs/>
              </w:rPr>
            </w:pPr>
            <w:r w:rsidRPr="00912BAB">
              <w:rPr>
                <w:rFonts w:ascii="Arial" w:hAnsi="Arial" w:cs="Arial"/>
                <w:b/>
                <w:bCs/>
              </w:rPr>
              <w:t>Gender</w:t>
            </w:r>
          </w:p>
        </w:tc>
      </w:tr>
      <w:tr w:rsidR="00863BD3" w:rsidRPr="00912BAB" w14:paraId="141BBC47" w14:textId="77777777" w:rsidTr="005344A4">
        <w:trPr>
          <w:jc w:val="center"/>
        </w:trPr>
        <w:tc>
          <w:tcPr>
            <w:tcW w:w="3093" w:type="dxa"/>
            <w:tcBorders>
              <w:bottom w:val="single" w:sz="4" w:space="0" w:color="auto"/>
            </w:tcBorders>
          </w:tcPr>
          <w:p w14:paraId="0B7A193C" w14:textId="77777777" w:rsidR="00863BD3" w:rsidRPr="00912BAB" w:rsidRDefault="005F5BC1" w:rsidP="00441B6F">
            <w:pPr>
              <w:jc w:val="both"/>
              <w:rPr>
                <w:rFonts w:ascii="Arial" w:hAnsi="Arial" w:cs="Arial"/>
              </w:rPr>
            </w:pPr>
            <w:r w:rsidRPr="00912BAB">
              <w:rPr>
                <w:rFonts w:ascii="Arial" w:hAnsi="Arial" w:cs="Arial"/>
              </w:rPr>
              <w:t>Male</w:t>
            </w:r>
          </w:p>
          <w:p w14:paraId="6626D1BC" w14:textId="77777777" w:rsidR="005F5BC1" w:rsidRPr="00912BAB" w:rsidRDefault="005F5BC1" w:rsidP="00441B6F">
            <w:pPr>
              <w:jc w:val="both"/>
              <w:rPr>
                <w:rFonts w:ascii="Arial" w:hAnsi="Arial" w:cs="Arial"/>
              </w:rPr>
            </w:pPr>
            <w:r w:rsidRPr="00912BAB">
              <w:rPr>
                <w:rFonts w:ascii="Arial" w:hAnsi="Arial" w:cs="Arial"/>
              </w:rPr>
              <w:t>Female</w:t>
            </w:r>
          </w:p>
        </w:tc>
        <w:tc>
          <w:tcPr>
            <w:tcW w:w="1228" w:type="dxa"/>
            <w:tcBorders>
              <w:bottom w:val="single" w:sz="4" w:space="0" w:color="auto"/>
            </w:tcBorders>
          </w:tcPr>
          <w:p w14:paraId="7A490950" w14:textId="77777777" w:rsidR="00863BD3" w:rsidRPr="00912BAB" w:rsidRDefault="005F5BC1" w:rsidP="0050001C">
            <w:pPr>
              <w:jc w:val="center"/>
              <w:rPr>
                <w:rFonts w:ascii="Arial" w:hAnsi="Arial" w:cs="Arial"/>
              </w:rPr>
            </w:pPr>
            <w:r w:rsidRPr="00912BAB">
              <w:rPr>
                <w:rFonts w:ascii="Arial" w:hAnsi="Arial" w:cs="Arial"/>
              </w:rPr>
              <w:t>44</w:t>
            </w:r>
          </w:p>
          <w:p w14:paraId="5EF7311B" w14:textId="77777777" w:rsidR="005F5BC1" w:rsidRPr="00912BAB" w:rsidRDefault="005F5BC1" w:rsidP="0050001C">
            <w:pPr>
              <w:jc w:val="center"/>
              <w:rPr>
                <w:rFonts w:ascii="Arial" w:hAnsi="Arial" w:cs="Arial"/>
              </w:rPr>
            </w:pPr>
            <w:r w:rsidRPr="00912BAB">
              <w:rPr>
                <w:rFonts w:ascii="Arial" w:hAnsi="Arial" w:cs="Arial"/>
              </w:rPr>
              <w:t>56</w:t>
            </w:r>
          </w:p>
        </w:tc>
        <w:tc>
          <w:tcPr>
            <w:tcW w:w="2369" w:type="dxa"/>
            <w:tcBorders>
              <w:bottom w:val="single" w:sz="4" w:space="0" w:color="auto"/>
            </w:tcBorders>
          </w:tcPr>
          <w:p w14:paraId="4C23BA24" w14:textId="77777777" w:rsidR="00863BD3" w:rsidRPr="00912BAB" w:rsidRDefault="005F5BC1" w:rsidP="0050001C">
            <w:pPr>
              <w:jc w:val="center"/>
              <w:rPr>
                <w:rFonts w:ascii="Arial" w:hAnsi="Arial" w:cs="Arial"/>
              </w:rPr>
            </w:pPr>
            <w:r w:rsidRPr="00912BAB">
              <w:rPr>
                <w:rFonts w:ascii="Arial" w:hAnsi="Arial" w:cs="Arial"/>
              </w:rPr>
              <w:t>44.0</w:t>
            </w:r>
          </w:p>
          <w:p w14:paraId="11A8CF0C" w14:textId="77777777" w:rsidR="005F5BC1" w:rsidRPr="00912BAB" w:rsidRDefault="005F5BC1" w:rsidP="0050001C">
            <w:pPr>
              <w:jc w:val="center"/>
              <w:rPr>
                <w:rFonts w:ascii="Arial" w:hAnsi="Arial" w:cs="Arial"/>
              </w:rPr>
            </w:pPr>
            <w:r w:rsidRPr="00912BAB">
              <w:rPr>
                <w:rFonts w:ascii="Arial" w:hAnsi="Arial" w:cs="Arial"/>
              </w:rPr>
              <w:t>56.0</w:t>
            </w:r>
          </w:p>
        </w:tc>
      </w:tr>
      <w:tr w:rsidR="0050001C" w:rsidRPr="00912BAB" w14:paraId="74EE131E" w14:textId="77777777" w:rsidTr="005344A4">
        <w:trPr>
          <w:jc w:val="center"/>
        </w:trPr>
        <w:tc>
          <w:tcPr>
            <w:tcW w:w="6690" w:type="dxa"/>
            <w:gridSpan w:val="3"/>
            <w:tcBorders>
              <w:top w:val="single" w:sz="4" w:space="0" w:color="auto"/>
            </w:tcBorders>
          </w:tcPr>
          <w:p w14:paraId="0712BD1F" w14:textId="77777777" w:rsidR="0050001C" w:rsidRPr="00912BAB" w:rsidRDefault="0050001C" w:rsidP="0050001C">
            <w:pPr>
              <w:rPr>
                <w:rFonts w:ascii="Arial" w:hAnsi="Arial" w:cs="Arial"/>
              </w:rPr>
            </w:pPr>
            <w:r w:rsidRPr="001141EC">
              <w:rPr>
                <w:rFonts w:ascii="Arial" w:hAnsi="Arial" w:cs="Arial"/>
                <w:b/>
              </w:rPr>
              <w:t>Age</w:t>
            </w:r>
          </w:p>
        </w:tc>
      </w:tr>
      <w:tr w:rsidR="00863BD3" w:rsidRPr="00912BAB" w14:paraId="494C9CEE" w14:textId="77777777" w:rsidTr="005344A4">
        <w:trPr>
          <w:jc w:val="center"/>
        </w:trPr>
        <w:tc>
          <w:tcPr>
            <w:tcW w:w="3093" w:type="dxa"/>
            <w:tcBorders>
              <w:bottom w:val="single" w:sz="4" w:space="0" w:color="auto"/>
            </w:tcBorders>
          </w:tcPr>
          <w:p w14:paraId="6C606353" w14:textId="77777777" w:rsidR="00863BD3" w:rsidRPr="00912BAB" w:rsidRDefault="00B04046" w:rsidP="00441B6F">
            <w:pPr>
              <w:jc w:val="both"/>
              <w:rPr>
                <w:rFonts w:ascii="Arial" w:hAnsi="Arial" w:cs="Arial"/>
              </w:rPr>
            </w:pPr>
            <w:r w:rsidRPr="00912BAB">
              <w:rPr>
                <w:rFonts w:ascii="Arial" w:hAnsi="Arial" w:cs="Arial"/>
              </w:rPr>
              <w:t>&lt; 20 years</w:t>
            </w:r>
          </w:p>
          <w:p w14:paraId="48CF6A0D" w14:textId="77777777" w:rsidR="00B04046" w:rsidRPr="00912BAB" w:rsidRDefault="00B04046" w:rsidP="00441B6F">
            <w:pPr>
              <w:jc w:val="both"/>
              <w:rPr>
                <w:rFonts w:ascii="Arial" w:hAnsi="Arial" w:cs="Arial"/>
              </w:rPr>
            </w:pPr>
            <w:r w:rsidRPr="00912BAB">
              <w:rPr>
                <w:rFonts w:ascii="Arial" w:hAnsi="Arial" w:cs="Arial"/>
              </w:rPr>
              <w:t>20–30 years</w:t>
            </w:r>
          </w:p>
          <w:p w14:paraId="58245B26" w14:textId="77777777" w:rsidR="00B04046" w:rsidRPr="00912BAB" w:rsidRDefault="008D3BC3" w:rsidP="00441B6F">
            <w:pPr>
              <w:jc w:val="both"/>
              <w:rPr>
                <w:rFonts w:ascii="Arial" w:hAnsi="Arial" w:cs="Arial"/>
              </w:rPr>
            </w:pPr>
            <w:r w:rsidRPr="00912BAB">
              <w:rPr>
                <w:rFonts w:ascii="Arial" w:hAnsi="Arial" w:cs="Arial"/>
              </w:rPr>
              <w:t>31–40 years</w:t>
            </w:r>
          </w:p>
          <w:p w14:paraId="05C9A643" w14:textId="77777777" w:rsidR="008D3BC3" w:rsidRPr="00912BAB" w:rsidRDefault="008D3BC3" w:rsidP="00441B6F">
            <w:pPr>
              <w:jc w:val="both"/>
              <w:rPr>
                <w:rFonts w:ascii="Arial" w:hAnsi="Arial" w:cs="Arial"/>
              </w:rPr>
            </w:pPr>
            <w:r w:rsidRPr="00912BAB">
              <w:rPr>
                <w:rFonts w:ascii="Arial" w:hAnsi="Arial" w:cs="Arial"/>
              </w:rPr>
              <w:t>&gt;40 years</w:t>
            </w:r>
          </w:p>
        </w:tc>
        <w:tc>
          <w:tcPr>
            <w:tcW w:w="1228" w:type="dxa"/>
            <w:tcBorders>
              <w:bottom w:val="single" w:sz="4" w:space="0" w:color="auto"/>
            </w:tcBorders>
          </w:tcPr>
          <w:p w14:paraId="23FC0992" w14:textId="77777777" w:rsidR="00863BD3" w:rsidRDefault="006600B8" w:rsidP="0050001C">
            <w:pPr>
              <w:jc w:val="center"/>
              <w:rPr>
                <w:rFonts w:ascii="Arial" w:hAnsi="Arial" w:cs="Arial"/>
              </w:rPr>
            </w:pPr>
            <w:r>
              <w:rPr>
                <w:rFonts w:ascii="Arial" w:hAnsi="Arial" w:cs="Arial"/>
              </w:rPr>
              <w:t>9</w:t>
            </w:r>
          </w:p>
          <w:p w14:paraId="1707E67B" w14:textId="77777777" w:rsidR="006600B8" w:rsidRDefault="006600B8" w:rsidP="0050001C">
            <w:pPr>
              <w:jc w:val="center"/>
              <w:rPr>
                <w:rFonts w:ascii="Arial" w:hAnsi="Arial" w:cs="Arial"/>
              </w:rPr>
            </w:pPr>
            <w:r>
              <w:rPr>
                <w:rFonts w:ascii="Arial" w:hAnsi="Arial" w:cs="Arial"/>
              </w:rPr>
              <w:t>58</w:t>
            </w:r>
          </w:p>
          <w:p w14:paraId="2521B841" w14:textId="77777777" w:rsidR="006600B8" w:rsidRDefault="006600B8" w:rsidP="0050001C">
            <w:pPr>
              <w:jc w:val="center"/>
              <w:rPr>
                <w:rFonts w:ascii="Arial" w:hAnsi="Arial" w:cs="Arial"/>
              </w:rPr>
            </w:pPr>
            <w:r>
              <w:rPr>
                <w:rFonts w:ascii="Arial" w:hAnsi="Arial" w:cs="Arial"/>
              </w:rPr>
              <w:t>23</w:t>
            </w:r>
          </w:p>
          <w:p w14:paraId="19A6589A" w14:textId="77777777" w:rsidR="006600B8" w:rsidRPr="00912BAB" w:rsidRDefault="006600B8" w:rsidP="0050001C">
            <w:pPr>
              <w:jc w:val="center"/>
              <w:rPr>
                <w:rFonts w:ascii="Arial" w:hAnsi="Arial" w:cs="Arial"/>
              </w:rPr>
            </w:pPr>
            <w:r>
              <w:rPr>
                <w:rFonts w:ascii="Arial" w:hAnsi="Arial" w:cs="Arial"/>
              </w:rPr>
              <w:t>10</w:t>
            </w:r>
          </w:p>
        </w:tc>
        <w:tc>
          <w:tcPr>
            <w:tcW w:w="2369" w:type="dxa"/>
            <w:tcBorders>
              <w:bottom w:val="single" w:sz="4" w:space="0" w:color="auto"/>
            </w:tcBorders>
          </w:tcPr>
          <w:p w14:paraId="1DA1CE42" w14:textId="77777777" w:rsidR="00863BD3" w:rsidRDefault="006600B8" w:rsidP="0050001C">
            <w:pPr>
              <w:jc w:val="center"/>
              <w:rPr>
                <w:rFonts w:ascii="Arial" w:hAnsi="Arial" w:cs="Arial"/>
              </w:rPr>
            </w:pPr>
            <w:r>
              <w:rPr>
                <w:rFonts w:ascii="Arial" w:hAnsi="Arial" w:cs="Arial"/>
              </w:rPr>
              <w:t>9.0</w:t>
            </w:r>
          </w:p>
          <w:p w14:paraId="63728A4C" w14:textId="77777777" w:rsidR="006600B8" w:rsidRDefault="006600B8" w:rsidP="0050001C">
            <w:pPr>
              <w:jc w:val="center"/>
              <w:rPr>
                <w:rFonts w:ascii="Arial" w:hAnsi="Arial" w:cs="Arial"/>
              </w:rPr>
            </w:pPr>
            <w:r>
              <w:rPr>
                <w:rFonts w:ascii="Arial" w:hAnsi="Arial" w:cs="Arial"/>
              </w:rPr>
              <w:t>58.0</w:t>
            </w:r>
          </w:p>
          <w:p w14:paraId="3C307B06" w14:textId="77777777" w:rsidR="006600B8" w:rsidRDefault="006600B8" w:rsidP="0050001C">
            <w:pPr>
              <w:jc w:val="center"/>
              <w:rPr>
                <w:rFonts w:ascii="Arial" w:hAnsi="Arial" w:cs="Arial"/>
              </w:rPr>
            </w:pPr>
            <w:r>
              <w:rPr>
                <w:rFonts w:ascii="Arial" w:hAnsi="Arial" w:cs="Arial"/>
              </w:rPr>
              <w:t>23.0</w:t>
            </w:r>
          </w:p>
          <w:p w14:paraId="2AEC60DC" w14:textId="77777777" w:rsidR="006600B8" w:rsidRPr="00912BAB" w:rsidRDefault="006600B8" w:rsidP="0050001C">
            <w:pPr>
              <w:jc w:val="center"/>
              <w:rPr>
                <w:rFonts w:ascii="Arial" w:hAnsi="Arial" w:cs="Arial"/>
              </w:rPr>
            </w:pPr>
            <w:r>
              <w:rPr>
                <w:rFonts w:ascii="Arial" w:hAnsi="Arial" w:cs="Arial"/>
              </w:rPr>
              <w:t>10.0</w:t>
            </w:r>
          </w:p>
        </w:tc>
      </w:tr>
      <w:tr w:rsidR="0050001C" w:rsidRPr="00912BAB" w14:paraId="314F1860" w14:textId="77777777" w:rsidTr="005344A4">
        <w:trPr>
          <w:jc w:val="center"/>
        </w:trPr>
        <w:tc>
          <w:tcPr>
            <w:tcW w:w="6690" w:type="dxa"/>
            <w:gridSpan w:val="3"/>
            <w:tcBorders>
              <w:top w:val="single" w:sz="4" w:space="0" w:color="auto"/>
            </w:tcBorders>
          </w:tcPr>
          <w:p w14:paraId="1B2D3B78" w14:textId="77777777" w:rsidR="0050001C" w:rsidRPr="00912BAB" w:rsidRDefault="0050001C" w:rsidP="0050001C">
            <w:pPr>
              <w:rPr>
                <w:rFonts w:ascii="Arial" w:hAnsi="Arial" w:cs="Arial"/>
              </w:rPr>
            </w:pPr>
            <w:r w:rsidRPr="00025109">
              <w:rPr>
                <w:rFonts w:ascii="Arial" w:hAnsi="Arial" w:cs="Arial"/>
                <w:b/>
              </w:rPr>
              <w:t>Occupation</w:t>
            </w:r>
          </w:p>
        </w:tc>
      </w:tr>
      <w:tr w:rsidR="00CF34A5" w:rsidRPr="00912BAB" w14:paraId="57E9CAEF" w14:textId="77777777" w:rsidTr="00083A4A">
        <w:trPr>
          <w:jc w:val="center"/>
        </w:trPr>
        <w:tc>
          <w:tcPr>
            <w:tcW w:w="3093" w:type="dxa"/>
            <w:tcBorders>
              <w:bottom w:val="single" w:sz="4" w:space="0" w:color="auto"/>
            </w:tcBorders>
          </w:tcPr>
          <w:p w14:paraId="4266F40A" w14:textId="77777777" w:rsidR="00CF34A5" w:rsidRDefault="008821A0" w:rsidP="00441B6F">
            <w:pPr>
              <w:jc w:val="both"/>
            </w:pPr>
            <w:r>
              <w:t>Housewife</w:t>
            </w:r>
          </w:p>
          <w:p w14:paraId="02AD0352" w14:textId="77777777" w:rsidR="00337CB0" w:rsidRDefault="00337CB0" w:rsidP="00441B6F">
            <w:pPr>
              <w:jc w:val="both"/>
            </w:pPr>
            <w:r>
              <w:t>Private Employee</w:t>
            </w:r>
          </w:p>
          <w:p w14:paraId="4265128B" w14:textId="77777777" w:rsidR="00337CB0" w:rsidRDefault="00337CB0" w:rsidP="00441B6F">
            <w:pPr>
              <w:jc w:val="both"/>
            </w:pPr>
            <w:r>
              <w:t>Student/College Student</w:t>
            </w:r>
          </w:p>
          <w:p w14:paraId="3A85295A" w14:textId="77777777" w:rsidR="00337CB0" w:rsidRDefault="00337CB0" w:rsidP="00441B6F">
            <w:pPr>
              <w:jc w:val="both"/>
            </w:pPr>
            <w:r>
              <w:t>Farmer</w:t>
            </w:r>
          </w:p>
          <w:p w14:paraId="21903DC9" w14:textId="77777777" w:rsidR="00337CB0" w:rsidRDefault="00337CB0" w:rsidP="00441B6F">
            <w:pPr>
              <w:jc w:val="both"/>
            </w:pPr>
            <w:r>
              <w:t>Civil Servant/Police/Military</w:t>
            </w:r>
          </w:p>
          <w:p w14:paraId="359F0490" w14:textId="77777777" w:rsidR="00337CB0" w:rsidRPr="00912BAB" w:rsidRDefault="00337CB0" w:rsidP="00441B6F">
            <w:pPr>
              <w:jc w:val="both"/>
              <w:rPr>
                <w:rFonts w:ascii="Arial" w:hAnsi="Arial" w:cs="Arial"/>
              </w:rPr>
            </w:pPr>
            <w:r>
              <w:t>Entrepreneur</w:t>
            </w:r>
          </w:p>
        </w:tc>
        <w:tc>
          <w:tcPr>
            <w:tcW w:w="1228" w:type="dxa"/>
            <w:tcBorders>
              <w:bottom w:val="single" w:sz="4" w:space="0" w:color="auto"/>
            </w:tcBorders>
          </w:tcPr>
          <w:p w14:paraId="307ED929" w14:textId="77777777" w:rsidR="00CF34A5" w:rsidRDefault="00720786" w:rsidP="0050001C">
            <w:pPr>
              <w:jc w:val="center"/>
              <w:rPr>
                <w:rFonts w:ascii="Arial" w:hAnsi="Arial" w:cs="Arial"/>
              </w:rPr>
            </w:pPr>
            <w:r>
              <w:rPr>
                <w:rFonts w:ascii="Arial" w:hAnsi="Arial" w:cs="Arial"/>
              </w:rPr>
              <w:t>11</w:t>
            </w:r>
          </w:p>
          <w:p w14:paraId="0D5DD35D" w14:textId="77777777" w:rsidR="00337CB0" w:rsidRDefault="00337CB0" w:rsidP="0050001C">
            <w:pPr>
              <w:jc w:val="center"/>
              <w:rPr>
                <w:rFonts w:ascii="Arial" w:hAnsi="Arial" w:cs="Arial"/>
              </w:rPr>
            </w:pPr>
            <w:r>
              <w:rPr>
                <w:rFonts w:ascii="Arial" w:hAnsi="Arial" w:cs="Arial"/>
              </w:rPr>
              <w:t>27</w:t>
            </w:r>
          </w:p>
          <w:p w14:paraId="6382459D" w14:textId="77777777" w:rsidR="00337CB0" w:rsidRDefault="00337CB0" w:rsidP="0050001C">
            <w:pPr>
              <w:jc w:val="center"/>
              <w:rPr>
                <w:rFonts w:ascii="Arial" w:hAnsi="Arial" w:cs="Arial"/>
              </w:rPr>
            </w:pPr>
            <w:r>
              <w:rPr>
                <w:rFonts w:ascii="Arial" w:hAnsi="Arial" w:cs="Arial"/>
              </w:rPr>
              <w:t>42</w:t>
            </w:r>
          </w:p>
          <w:p w14:paraId="17B58608" w14:textId="77777777" w:rsidR="00337CB0" w:rsidRDefault="00337CB0" w:rsidP="0050001C">
            <w:pPr>
              <w:jc w:val="center"/>
              <w:rPr>
                <w:rFonts w:ascii="Arial" w:hAnsi="Arial" w:cs="Arial"/>
              </w:rPr>
            </w:pPr>
            <w:r>
              <w:rPr>
                <w:rFonts w:ascii="Arial" w:hAnsi="Arial" w:cs="Arial"/>
              </w:rPr>
              <w:t>3</w:t>
            </w:r>
          </w:p>
          <w:p w14:paraId="29E3AD43" w14:textId="77777777" w:rsidR="00337CB0" w:rsidRDefault="00337CB0" w:rsidP="0050001C">
            <w:pPr>
              <w:jc w:val="center"/>
              <w:rPr>
                <w:rFonts w:ascii="Arial" w:hAnsi="Arial" w:cs="Arial"/>
              </w:rPr>
            </w:pPr>
            <w:r>
              <w:rPr>
                <w:rFonts w:ascii="Arial" w:hAnsi="Arial" w:cs="Arial"/>
              </w:rPr>
              <w:t>3</w:t>
            </w:r>
          </w:p>
          <w:p w14:paraId="1E7A9A57" w14:textId="77777777" w:rsidR="00337CB0" w:rsidRPr="00912BAB" w:rsidRDefault="00337CB0" w:rsidP="0050001C">
            <w:pPr>
              <w:jc w:val="center"/>
              <w:rPr>
                <w:rFonts w:ascii="Arial" w:hAnsi="Arial" w:cs="Arial"/>
              </w:rPr>
            </w:pPr>
            <w:r>
              <w:rPr>
                <w:rFonts w:ascii="Arial" w:hAnsi="Arial" w:cs="Arial"/>
              </w:rPr>
              <w:t>14</w:t>
            </w:r>
          </w:p>
        </w:tc>
        <w:tc>
          <w:tcPr>
            <w:tcW w:w="2369" w:type="dxa"/>
            <w:tcBorders>
              <w:bottom w:val="single" w:sz="4" w:space="0" w:color="auto"/>
            </w:tcBorders>
          </w:tcPr>
          <w:p w14:paraId="607FBB85" w14:textId="77777777" w:rsidR="00CF34A5" w:rsidRDefault="00183BD7" w:rsidP="0050001C">
            <w:pPr>
              <w:jc w:val="center"/>
              <w:rPr>
                <w:rFonts w:ascii="Arial" w:hAnsi="Arial" w:cs="Arial"/>
              </w:rPr>
            </w:pPr>
            <w:r>
              <w:rPr>
                <w:rFonts w:ascii="Arial" w:hAnsi="Arial" w:cs="Arial"/>
              </w:rPr>
              <w:t>11.0</w:t>
            </w:r>
          </w:p>
          <w:p w14:paraId="1F49B4D6" w14:textId="77777777" w:rsidR="00183BD7" w:rsidRDefault="00183BD7" w:rsidP="0050001C">
            <w:pPr>
              <w:jc w:val="center"/>
              <w:rPr>
                <w:rFonts w:ascii="Arial" w:hAnsi="Arial" w:cs="Arial"/>
              </w:rPr>
            </w:pPr>
            <w:r>
              <w:rPr>
                <w:rFonts w:ascii="Arial" w:hAnsi="Arial" w:cs="Arial"/>
              </w:rPr>
              <w:t>27.0</w:t>
            </w:r>
          </w:p>
          <w:p w14:paraId="69AB2F36" w14:textId="77777777" w:rsidR="00183BD7" w:rsidRDefault="00183BD7" w:rsidP="0050001C">
            <w:pPr>
              <w:jc w:val="center"/>
              <w:rPr>
                <w:rFonts w:ascii="Arial" w:hAnsi="Arial" w:cs="Arial"/>
              </w:rPr>
            </w:pPr>
            <w:r>
              <w:rPr>
                <w:rFonts w:ascii="Arial" w:hAnsi="Arial" w:cs="Arial"/>
              </w:rPr>
              <w:t>42.0</w:t>
            </w:r>
          </w:p>
          <w:p w14:paraId="673F10AB" w14:textId="77777777" w:rsidR="00183BD7" w:rsidRDefault="00183BD7" w:rsidP="0050001C">
            <w:pPr>
              <w:jc w:val="center"/>
              <w:rPr>
                <w:rFonts w:ascii="Arial" w:hAnsi="Arial" w:cs="Arial"/>
              </w:rPr>
            </w:pPr>
            <w:r>
              <w:rPr>
                <w:rFonts w:ascii="Arial" w:hAnsi="Arial" w:cs="Arial"/>
              </w:rPr>
              <w:t>3.0</w:t>
            </w:r>
          </w:p>
          <w:p w14:paraId="796F5918" w14:textId="77777777" w:rsidR="00183BD7" w:rsidRDefault="00183BD7" w:rsidP="0050001C">
            <w:pPr>
              <w:jc w:val="center"/>
              <w:rPr>
                <w:rFonts w:ascii="Arial" w:hAnsi="Arial" w:cs="Arial"/>
              </w:rPr>
            </w:pPr>
            <w:r>
              <w:rPr>
                <w:rFonts w:ascii="Arial" w:hAnsi="Arial" w:cs="Arial"/>
              </w:rPr>
              <w:t>3.0</w:t>
            </w:r>
          </w:p>
          <w:p w14:paraId="3FB9D9EA" w14:textId="77777777" w:rsidR="00183BD7" w:rsidRPr="00912BAB" w:rsidRDefault="00183BD7" w:rsidP="0050001C">
            <w:pPr>
              <w:jc w:val="center"/>
              <w:rPr>
                <w:rFonts w:ascii="Arial" w:hAnsi="Arial" w:cs="Arial"/>
              </w:rPr>
            </w:pPr>
            <w:r>
              <w:rPr>
                <w:rFonts w:ascii="Arial" w:hAnsi="Arial" w:cs="Arial"/>
              </w:rPr>
              <w:t>14.0</w:t>
            </w:r>
          </w:p>
        </w:tc>
      </w:tr>
      <w:tr w:rsidR="0050001C" w:rsidRPr="00912BAB" w14:paraId="0F9B9B13" w14:textId="77777777" w:rsidTr="005344A4">
        <w:trPr>
          <w:jc w:val="center"/>
        </w:trPr>
        <w:tc>
          <w:tcPr>
            <w:tcW w:w="6690" w:type="dxa"/>
            <w:gridSpan w:val="3"/>
            <w:tcBorders>
              <w:top w:val="single" w:sz="4" w:space="0" w:color="auto"/>
            </w:tcBorders>
          </w:tcPr>
          <w:p w14:paraId="3F1B265D" w14:textId="77777777" w:rsidR="0050001C" w:rsidRPr="00912BAB" w:rsidRDefault="0050001C" w:rsidP="0050001C">
            <w:pPr>
              <w:rPr>
                <w:rFonts w:ascii="Arial" w:hAnsi="Arial" w:cs="Arial"/>
              </w:rPr>
            </w:pPr>
            <w:r w:rsidRPr="00025109">
              <w:rPr>
                <w:b/>
              </w:rPr>
              <w:t>Last Education</w:t>
            </w:r>
          </w:p>
        </w:tc>
      </w:tr>
      <w:tr w:rsidR="002F3642" w:rsidRPr="00912BAB" w14:paraId="683C99C3" w14:textId="77777777" w:rsidTr="009024F8">
        <w:trPr>
          <w:jc w:val="center"/>
        </w:trPr>
        <w:tc>
          <w:tcPr>
            <w:tcW w:w="3093" w:type="dxa"/>
            <w:tcBorders>
              <w:bottom w:val="single" w:sz="4" w:space="0" w:color="auto"/>
            </w:tcBorders>
          </w:tcPr>
          <w:p w14:paraId="5F98E0D9" w14:textId="77777777" w:rsidR="002F3642" w:rsidRDefault="002F3642" w:rsidP="002F3642">
            <w:pPr>
              <w:jc w:val="both"/>
            </w:pPr>
            <w:r>
              <w:t>Diploma</w:t>
            </w:r>
          </w:p>
          <w:p w14:paraId="06F6C079" w14:textId="77777777" w:rsidR="00FA01C8" w:rsidRDefault="00FA01C8" w:rsidP="002F3642">
            <w:pPr>
              <w:jc w:val="both"/>
            </w:pPr>
            <w:r>
              <w:t>Bachelor</w:t>
            </w:r>
          </w:p>
          <w:p w14:paraId="43429B0D" w14:textId="77777777" w:rsidR="00FA01C8" w:rsidRDefault="00FA01C8" w:rsidP="002F3642">
            <w:pPr>
              <w:jc w:val="both"/>
            </w:pPr>
            <w:r>
              <w:t>Master</w:t>
            </w:r>
          </w:p>
          <w:p w14:paraId="6D432B4B" w14:textId="77777777" w:rsidR="00FA01C8" w:rsidRDefault="00FA01C8" w:rsidP="002F3642">
            <w:pPr>
              <w:jc w:val="both"/>
            </w:pPr>
            <w:r>
              <w:t>Doctorate</w:t>
            </w:r>
          </w:p>
          <w:p w14:paraId="44E0D9D3" w14:textId="77777777" w:rsidR="00FA01C8" w:rsidRDefault="0082018B" w:rsidP="002F3642">
            <w:pPr>
              <w:jc w:val="both"/>
            </w:pPr>
            <w:r>
              <w:t>Senior High School</w:t>
            </w:r>
          </w:p>
          <w:p w14:paraId="01115DFB" w14:textId="77777777" w:rsidR="002F3642" w:rsidRDefault="00843162" w:rsidP="00A24880">
            <w:pPr>
              <w:jc w:val="both"/>
            </w:pPr>
            <w:r>
              <w:t>Junior High School</w:t>
            </w:r>
          </w:p>
        </w:tc>
        <w:tc>
          <w:tcPr>
            <w:tcW w:w="1228" w:type="dxa"/>
            <w:tcBorders>
              <w:bottom w:val="single" w:sz="4" w:space="0" w:color="auto"/>
            </w:tcBorders>
          </w:tcPr>
          <w:p w14:paraId="124F0FFF" w14:textId="77777777" w:rsidR="002F3642" w:rsidRDefault="00A24880" w:rsidP="0050001C">
            <w:pPr>
              <w:jc w:val="center"/>
              <w:rPr>
                <w:rFonts w:ascii="Arial" w:hAnsi="Arial" w:cs="Arial"/>
              </w:rPr>
            </w:pPr>
            <w:r>
              <w:rPr>
                <w:rFonts w:ascii="Arial" w:hAnsi="Arial" w:cs="Arial"/>
              </w:rPr>
              <w:t>17</w:t>
            </w:r>
          </w:p>
          <w:p w14:paraId="7E256ABF" w14:textId="77777777" w:rsidR="00A24880" w:rsidRDefault="00A24880" w:rsidP="0050001C">
            <w:pPr>
              <w:jc w:val="center"/>
              <w:rPr>
                <w:rFonts w:ascii="Arial" w:hAnsi="Arial" w:cs="Arial"/>
              </w:rPr>
            </w:pPr>
            <w:r>
              <w:rPr>
                <w:rFonts w:ascii="Arial" w:hAnsi="Arial" w:cs="Arial"/>
              </w:rPr>
              <w:t>29</w:t>
            </w:r>
          </w:p>
          <w:p w14:paraId="7C7D272B" w14:textId="77777777" w:rsidR="00A24880" w:rsidRDefault="00A24880" w:rsidP="0050001C">
            <w:pPr>
              <w:jc w:val="center"/>
              <w:rPr>
                <w:rFonts w:ascii="Arial" w:hAnsi="Arial" w:cs="Arial"/>
              </w:rPr>
            </w:pPr>
            <w:r>
              <w:rPr>
                <w:rFonts w:ascii="Arial" w:hAnsi="Arial" w:cs="Arial"/>
              </w:rPr>
              <w:t>3</w:t>
            </w:r>
          </w:p>
          <w:p w14:paraId="685495EE" w14:textId="77777777" w:rsidR="00A24880" w:rsidRDefault="00A24880" w:rsidP="0050001C">
            <w:pPr>
              <w:jc w:val="center"/>
              <w:rPr>
                <w:rFonts w:ascii="Arial" w:hAnsi="Arial" w:cs="Arial"/>
              </w:rPr>
            </w:pPr>
            <w:r>
              <w:rPr>
                <w:rFonts w:ascii="Arial" w:hAnsi="Arial" w:cs="Arial"/>
              </w:rPr>
              <w:t>1</w:t>
            </w:r>
          </w:p>
          <w:p w14:paraId="1008A84D" w14:textId="77777777" w:rsidR="00A24880" w:rsidRDefault="00A24880" w:rsidP="0050001C">
            <w:pPr>
              <w:jc w:val="center"/>
              <w:rPr>
                <w:rFonts w:ascii="Arial" w:hAnsi="Arial" w:cs="Arial"/>
              </w:rPr>
            </w:pPr>
            <w:r>
              <w:rPr>
                <w:rFonts w:ascii="Arial" w:hAnsi="Arial" w:cs="Arial"/>
              </w:rPr>
              <w:t>46</w:t>
            </w:r>
          </w:p>
          <w:p w14:paraId="372D4779" w14:textId="77777777" w:rsidR="00A24880" w:rsidRPr="00912BAB" w:rsidRDefault="00A24880" w:rsidP="0050001C">
            <w:pPr>
              <w:jc w:val="center"/>
              <w:rPr>
                <w:rFonts w:ascii="Arial" w:hAnsi="Arial" w:cs="Arial"/>
              </w:rPr>
            </w:pPr>
            <w:r>
              <w:rPr>
                <w:rFonts w:ascii="Arial" w:hAnsi="Arial" w:cs="Arial"/>
              </w:rPr>
              <w:t>4</w:t>
            </w:r>
          </w:p>
        </w:tc>
        <w:tc>
          <w:tcPr>
            <w:tcW w:w="2369" w:type="dxa"/>
            <w:tcBorders>
              <w:bottom w:val="single" w:sz="4" w:space="0" w:color="auto"/>
            </w:tcBorders>
          </w:tcPr>
          <w:p w14:paraId="5F1BBAF5" w14:textId="77777777" w:rsidR="002F3642" w:rsidRDefault="00A24880" w:rsidP="0050001C">
            <w:pPr>
              <w:jc w:val="center"/>
              <w:rPr>
                <w:rFonts w:ascii="Arial" w:hAnsi="Arial" w:cs="Arial"/>
              </w:rPr>
            </w:pPr>
            <w:r>
              <w:rPr>
                <w:rFonts w:ascii="Arial" w:hAnsi="Arial" w:cs="Arial"/>
              </w:rPr>
              <w:t>17.0</w:t>
            </w:r>
          </w:p>
          <w:p w14:paraId="45E02637" w14:textId="77777777" w:rsidR="00A24880" w:rsidRDefault="00A24880" w:rsidP="0050001C">
            <w:pPr>
              <w:jc w:val="center"/>
              <w:rPr>
                <w:rFonts w:ascii="Arial" w:hAnsi="Arial" w:cs="Arial"/>
              </w:rPr>
            </w:pPr>
            <w:r>
              <w:rPr>
                <w:rFonts w:ascii="Arial" w:hAnsi="Arial" w:cs="Arial"/>
              </w:rPr>
              <w:t>29.0</w:t>
            </w:r>
          </w:p>
          <w:p w14:paraId="4326E452" w14:textId="77777777" w:rsidR="00A24880" w:rsidRDefault="00A24880" w:rsidP="0050001C">
            <w:pPr>
              <w:jc w:val="center"/>
              <w:rPr>
                <w:rFonts w:ascii="Arial" w:hAnsi="Arial" w:cs="Arial"/>
              </w:rPr>
            </w:pPr>
            <w:r>
              <w:rPr>
                <w:rFonts w:ascii="Arial" w:hAnsi="Arial" w:cs="Arial"/>
              </w:rPr>
              <w:t>3.0</w:t>
            </w:r>
          </w:p>
          <w:p w14:paraId="4611FD8C" w14:textId="77777777" w:rsidR="00A24880" w:rsidRDefault="00A24880" w:rsidP="0050001C">
            <w:pPr>
              <w:jc w:val="center"/>
              <w:rPr>
                <w:rFonts w:ascii="Arial" w:hAnsi="Arial" w:cs="Arial"/>
              </w:rPr>
            </w:pPr>
            <w:r>
              <w:rPr>
                <w:rFonts w:ascii="Arial" w:hAnsi="Arial" w:cs="Arial"/>
              </w:rPr>
              <w:t>1.0</w:t>
            </w:r>
          </w:p>
          <w:p w14:paraId="3B38C2F2" w14:textId="77777777" w:rsidR="00A24880" w:rsidRDefault="00A24880" w:rsidP="0050001C">
            <w:pPr>
              <w:jc w:val="center"/>
              <w:rPr>
                <w:rFonts w:ascii="Arial" w:hAnsi="Arial" w:cs="Arial"/>
              </w:rPr>
            </w:pPr>
            <w:r>
              <w:rPr>
                <w:rFonts w:ascii="Arial" w:hAnsi="Arial" w:cs="Arial"/>
              </w:rPr>
              <w:t>46.0</w:t>
            </w:r>
          </w:p>
          <w:p w14:paraId="0B9B84A6" w14:textId="77777777" w:rsidR="00A24880" w:rsidRPr="00912BAB" w:rsidRDefault="00A24880" w:rsidP="0050001C">
            <w:pPr>
              <w:jc w:val="center"/>
              <w:rPr>
                <w:rFonts w:ascii="Arial" w:hAnsi="Arial" w:cs="Arial"/>
              </w:rPr>
            </w:pPr>
            <w:r>
              <w:rPr>
                <w:rFonts w:ascii="Arial" w:hAnsi="Arial" w:cs="Arial"/>
              </w:rPr>
              <w:t>4.0</w:t>
            </w:r>
          </w:p>
        </w:tc>
      </w:tr>
      <w:tr w:rsidR="0050001C" w:rsidRPr="00912BAB" w14:paraId="75D516A9" w14:textId="77777777" w:rsidTr="00083A4A">
        <w:trPr>
          <w:jc w:val="center"/>
        </w:trPr>
        <w:tc>
          <w:tcPr>
            <w:tcW w:w="6690" w:type="dxa"/>
            <w:gridSpan w:val="3"/>
            <w:tcBorders>
              <w:top w:val="single" w:sz="4" w:space="0" w:color="auto"/>
            </w:tcBorders>
          </w:tcPr>
          <w:p w14:paraId="77E3B649" w14:textId="77777777" w:rsidR="0050001C" w:rsidRPr="00912BAB" w:rsidRDefault="0050001C" w:rsidP="0050001C">
            <w:pPr>
              <w:rPr>
                <w:rFonts w:ascii="Arial" w:hAnsi="Arial" w:cs="Arial"/>
              </w:rPr>
            </w:pPr>
            <w:r w:rsidRPr="00D86AE7">
              <w:rPr>
                <w:b/>
              </w:rPr>
              <w:t>Monthly Income</w:t>
            </w:r>
          </w:p>
        </w:tc>
      </w:tr>
      <w:tr w:rsidR="002F3642" w:rsidRPr="00912BAB" w14:paraId="5E810055" w14:textId="77777777" w:rsidTr="0057552B">
        <w:trPr>
          <w:jc w:val="center"/>
        </w:trPr>
        <w:tc>
          <w:tcPr>
            <w:tcW w:w="3093" w:type="dxa"/>
            <w:tcBorders>
              <w:bottom w:val="single" w:sz="4" w:space="0" w:color="auto"/>
            </w:tcBorders>
          </w:tcPr>
          <w:p w14:paraId="0AD35340" w14:textId="77777777" w:rsidR="002F3642" w:rsidRDefault="00703922" w:rsidP="002F3642">
            <w:pPr>
              <w:jc w:val="both"/>
            </w:pPr>
            <w:r>
              <w:t>&lt; Rp 1,000,000</w:t>
            </w:r>
          </w:p>
          <w:p w14:paraId="682D697B" w14:textId="77777777" w:rsidR="002D6641" w:rsidRDefault="002D6641" w:rsidP="002F3642">
            <w:pPr>
              <w:jc w:val="both"/>
            </w:pPr>
            <w:r>
              <w:t>Rp 1,000,000 – Rp 3,000,000</w:t>
            </w:r>
          </w:p>
          <w:p w14:paraId="31348C78" w14:textId="77777777" w:rsidR="002D6641" w:rsidRDefault="00A65DFF" w:rsidP="002F3642">
            <w:pPr>
              <w:jc w:val="both"/>
            </w:pPr>
            <w:r>
              <w:t>Rp 3,000,001 – Rp 6,000,000</w:t>
            </w:r>
          </w:p>
          <w:p w14:paraId="47FDA9F1" w14:textId="77777777" w:rsidR="00A65DFF" w:rsidRDefault="00A65DFF" w:rsidP="002F3642">
            <w:pPr>
              <w:jc w:val="both"/>
            </w:pPr>
            <w:r>
              <w:t>&gt; Rp 6,000,000</w:t>
            </w:r>
          </w:p>
        </w:tc>
        <w:tc>
          <w:tcPr>
            <w:tcW w:w="1228" w:type="dxa"/>
            <w:tcBorders>
              <w:bottom w:val="single" w:sz="4" w:space="0" w:color="auto"/>
            </w:tcBorders>
          </w:tcPr>
          <w:p w14:paraId="696D4DED" w14:textId="77777777" w:rsidR="002F3642" w:rsidRDefault="00A65DFF" w:rsidP="0050001C">
            <w:pPr>
              <w:jc w:val="center"/>
              <w:rPr>
                <w:rFonts w:ascii="Arial" w:hAnsi="Arial" w:cs="Arial"/>
              </w:rPr>
            </w:pPr>
            <w:r>
              <w:rPr>
                <w:rFonts w:ascii="Arial" w:hAnsi="Arial" w:cs="Arial"/>
              </w:rPr>
              <w:t>26</w:t>
            </w:r>
          </w:p>
          <w:p w14:paraId="215372F6" w14:textId="77777777" w:rsidR="00A65DFF" w:rsidRDefault="00A65DFF" w:rsidP="0050001C">
            <w:pPr>
              <w:jc w:val="center"/>
              <w:rPr>
                <w:rFonts w:ascii="Arial" w:hAnsi="Arial" w:cs="Arial"/>
              </w:rPr>
            </w:pPr>
            <w:r>
              <w:rPr>
                <w:rFonts w:ascii="Arial" w:hAnsi="Arial" w:cs="Arial"/>
              </w:rPr>
              <w:t>29</w:t>
            </w:r>
          </w:p>
          <w:p w14:paraId="196E167F" w14:textId="77777777" w:rsidR="00A65DFF" w:rsidRDefault="00A65DFF" w:rsidP="0050001C">
            <w:pPr>
              <w:jc w:val="center"/>
              <w:rPr>
                <w:rFonts w:ascii="Arial" w:hAnsi="Arial" w:cs="Arial"/>
              </w:rPr>
            </w:pPr>
            <w:r>
              <w:rPr>
                <w:rFonts w:ascii="Arial" w:hAnsi="Arial" w:cs="Arial"/>
              </w:rPr>
              <w:t>29</w:t>
            </w:r>
          </w:p>
          <w:p w14:paraId="2F61B26C" w14:textId="77777777" w:rsidR="00A65DFF" w:rsidRPr="00912BAB" w:rsidRDefault="00A65DFF" w:rsidP="0050001C">
            <w:pPr>
              <w:jc w:val="center"/>
              <w:rPr>
                <w:rFonts w:ascii="Arial" w:hAnsi="Arial" w:cs="Arial"/>
              </w:rPr>
            </w:pPr>
            <w:r>
              <w:rPr>
                <w:rFonts w:ascii="Arial" w:hAnsi="Arial" w:cs="Arial"/>
              </w:rPr>
              <w:t>16</w:t>
            </w:r>
          </w:p>
        </w:tc>
        <w:tc>
          <w:tcPr>
            <w:tcW w:w="2369" w:type="dxa"/>
            <w:tcBorders>
              <w:bottom w:val="single" w:sz="4" w:space="0" w:color="auto"/>
            </w:tcBorders>
          </w:tcPr>
          <w:p w14:paraId="52069A1F" w14:textId="77777777" w:rsidR="002F3642" w:rsidRDefault="00A65DFF" w:rsidP="0050001C">
            <w:pPr>
              <w:jc w:val="center"/>
              <w:rPr>
                <w:rFonts w:ascii="Arial" w:hAnsi="Arial" w:cs="Arial"/>
              </w:rPr>
            </w:pPr>
            <w:r>
              <w:rPr>
                <w:rFonts w:ascii="Arial" w:hAnsi="Arial" w:cs="Arial"/>
              </w:rPr>
              <w:t>260.</w:t>
            </w:r>
          </w:p>
          <w:p w14:paraId="62537CA3" w14:textId="77777777" w:rsidR="00A65DFF" w:rsidRDefault="00A65DFF" w:rsidP="0050001C">
            <w:pPr>
              <w:jc w:val="center"/>
              <w:rPr>
                <w:rFonts w:ascii="Arial" w:hAnsi="Arial" w:cs="Arial"/>
              </w:rPr>
            </w:pPr>
            <w:r>
              <w:rPr>
                <w:rFonts w:ascii="Arial" w:hAnsi="Arial" w:cs="Arial"/>
              </w:rPr>
              <w:t>29.0</w:t>
            </w:r>
          </w:p>
          <w:p w14:paraId="37E17034" w14:textId="77777777" w:rsidR="00A65DFF" w:rsidRDefault="00A65DFF" w:rsidP="0050001C">
            <w:pPr>
              <w:jc w:val="center"/>
              <w:rPr>
                <w:rFonts w:ascii="Arial" w:hAnsi="Arial" w:cs="Arial"/>
              </w:rPr>
            </w:pPr>
            <w:r>
              <w:rPr>
                <w:rFonts w:ascii="Arial" w:hAnsi="Arial" w:cs="Arial"/>
              </w:rPr>
              <w:t>29.0</w:t>
            </w:r>
          </w:p>
          <w:p w14:paraId="5E9A3F73" w14:textId="77777777" w:rsidR="00A65DFF" w:rsidRPr="00912BAB" w:rsidRDefault="00A65DFF" w:rsidP="0050001C">
            <w:pPr>
              <w:jc w:val="center"/>
              <w:rPr>
                <w:rFonts w:ascii="Arial" w:hAnsi="Arial" w:cs="Arial"/>
              </w:rPr>
            </w:pPr>
            <w:r>
              <w:rPr>
                <w:rFonts w:ascii="Arial" w:hAnsi="Arial" w:cs="Arial"/>
              </w:rPr>
              <w:t>16.0</w:t>
            </w:r>
          </w:p>
        </w:tc>
      </w:tr>
      <w:tr w:rsidR="0050001C" w:rsidRPr="00912BAB" w14:paraId="32DB01AB" w14:textId="77777777" w:rsidTr="009024F8">
        <w:trPr>
          <w:jc w:val="center"/>
        </w:trPr>
        <w:tc>
          <w:tcPr>
            <w:tcW w:w="6690" w:type="dxa"/>
            <w:gridSpan w:val="3"/>
            <w:tcBorders>
              <w:top w:val="single" w:sz="4" w:space="0" w:color="auto"/>
            </w:tcBorders>
          </w:tcPr>
          <w:p w14:paraId="15F6A9C1" w14:textId="77777777" w:rsidR="0050001C" w:rsidRPr="00912BAB" w:rsidRDefault="0050001C" w:rsidP="0050001C">
            <w:pPr>
              <w:rPr>
                <w:rFonts w:ascii="Arial" w:hAnsi="Arial" w:cs="Arial"/>
              </w:rPr>
            </w:pPr>
            <w:r w:rsidRPr="000F64FD">
              <w:rPr>
                <w:b/>
              </w:rPr>
              <w:t>Companion During Visit</w:t>
            </w:r>
          </w:p>
        </w:tc>
      </w:tr>
      <w:tr w:rsidR="002F3642" w:rsidRPr="00912BAB" w14:paraId="105FBBBF" w14:textId="77777777" w:rsidTr="00F05B53">
        <w:trPr>
          <w:jc w:val="center"/>
        </w:trPr>
        <w:tc>
          <w:tcPr>
            <w:tcW w:w="3093" w:type="dxa"/>
            <w:tcBorders>
              <w:bottom w:val="single" w:sz="4" w:space="0" w:color="auto"/>
            </w:tcBorders>
          </w:tcPr>
          <w:p w14:paraId="16DBCB93" w14:textId="77777777" w:rsidR="002F3642" w:rsidRDefault="00C30DCA" w:rsidP="002F3642">
            <w:pPr>
              <w:jc w:val="both"/>
            </w:pPr>
            <w:r>
              <w:t>Tourist Group</w:t>
            </w:r>
          </w:p>
          <w:p w14:paraId="091D80B3" w14:textId="77777777" w:rsidR="00C30DCA" w:rsidRDefault="00520CC3" w:rsidP="002F3642">
            <w:pPr>
              <w:jc w:val="both"/>
            </w:pPr>
            <w:r>
              <w:t>Family</w:t>
            </w:r>
          </w:p>
          <w:p w14:paraId="4BDF12A4" w14:textId="77777777" w:rsidR="00520CC3" w:rsidRDefault="005822D1" w:rsidP="002F3642">
            <w:pPr>
              <w:jc w:val="both"/>
              <w:rPr>
                <w:b/>
              </w:rPr>
            </w:pPr>
            <w:r>
              <w:t>Alone</w:t>
            </w:r>
          </w:p>
          <w:p w14:paraId="47DAFF96" w14:textId="77777777" w:rsidR="00B15774" w:rsidRPr="000962A9" w:rsidRDefault="00B15774" w:rsidP="002F3642">
            <w:pPr>
              <w:jc w:val="both"/>
            </w:pPr>
            <w:r>
              <w:t>Friends</w:t>
            </w:r>
          </w:p>
        </w:tc>
        <w:tc>
          <w:tcPr>
            <w:tcW w:w="1228" w:type="dxa"/>
            <w:tcBorders>
              <w:bottom w:val="single" w:sz="4" w:space="0" w:color="auto"/>
            </w:tcBorders>
          </w:tcPr>
          <w:p w14:paraId="378BE772" w14:textId="77777777" w:rsidR="002F3642" w:rsidRDefault="006D7108" w:rsidP="0050001C">
            <w:pPr>
              <w:jc w:val="center"/>
              <w:rPr>
                <w:rFonts w:ascii="Arial" w:hAnsi="Arial" w:cs="Arial"/>
              </w:rPr>
            </w:pPr>
            <w:r>
              <w:rPr>
                <w:rFonts w:ascii="Arial" w:hAnsi="Arial" w:cs="Arial"/>
              </w:rPr>
              <w:t>12</w:t>
            </w:r>
          </w:p>
          <w:p w14:paraId="0D3AE4F9" w14:textId="77777777" w:rsidR="006D7108" w:rsidRDefault="006D7108" w:rsidP="0050001C">
            <w:pPr>
              <w:jc w:val="center"/>
              <w:rPr>
                <w:rFonts w:ascii="Arial" w:hAnsi="Arial" w:cs="Arial"/>
              </w:rPr>
            </w:pPr>
            <w:r>
              <w:rPr>
                <w:rFonts w:ascii="Arial" w:hAnsi="Arial" w:cs="Arial"/>
              </w:rPr>
              <w:t>46</w:t>
            </w:r>
          </w:p>
          <w:p w14:paraId="276ECECB" w14:textId="77777777" w:rsidR="006D7108" w:rsidRDefault="006D7108" w:rsidP="0050001C">
            <w:pPr>
              <w:jc w:val="center"/>
              <w:rPr>
                <w:rFonts w:ascii="Arial" w:hAnsi="Arial" w:cs="Arial"/>
              </w:rPr>
            </w:pPr>
            <w:r>
              <w:rPr>
                <w:rFonts w:ascii="Arial" w:hAnsi="Arial" w:cs="Arial"/>
              </w:rPr>
              <w:t>5</w:t>
            </w:r>
          </w:p>
          <w:p w14:paraId="61000D46" w14:textId="77777777" w:rsidR="006D7108" w:rsidRPr="00912BAB" w:rsidRDefault="006D7108" w:rsidP="0050001C">
            <w:pPr>
              <w:jc w:val="center"/>
              <w:rPr>
                <w:rFonts w:ascii="Arial" w:hAnsi="Arial" w:cs="Arial"/>
              </w:rPr>
            </w:pPr>
            <w:r>
              <w:rPr>
                <w:rFonts w:ascii="Arial" w:hAnsi="Arial" w:cs="Arial"/>
              </w:rPr>
              <w:t>37</w:t>
            </w:r>
          </w:p>
        </w:tc>
        <w:tc>
          <w:tcPr>
            <w:tcW w:w="2369" w:type="dxa"/>
            <w:tcBorders>
              <w:bottom w:val="single" w:sz="4" w:space="0" w:color="auto"/>
            </w:tcBorders>
          </w:tcPr>
          <w:p w14:paraId="5A0A13DD" w14:textId="77777777" w:rsidR="002F3642" w:rsidRDefault="009428CE" w:rsidP="0050001C">
            <w:pPr>
              <w:jc w:val="center"/>
              <w:rPr>
                <w:rFonts w:ascii="Arial" w:hAnsi="Arial" w:cs="Arial"/>
              </w:rPr>
            </w:pPr>
            <w:r>
              <w:rPr>
                <w:rFonts w:ascii="Arial" w:hAnsi="Arial" w:cs="Arial"/>
              </w:rPr>
              <w:t>12.0</w:t>
            </w:r>
          </w:p>
          <w:p w14:paraId="4FA8F288" w14:textId="77777777" w:rsidR="009428CE" w:rsidRDefault="009428CE" w:rsidP="0050001C">
            <w:pPr>
              <w:jc w:val="center"/>
              <w:rPr>
                <w:rFonts w:ascii="Arial" w:hAnsi="Arial" w:cs="Arial"/>
              </w:rPr>
            </w:pPr>
            <w:r>
              <w:rPr>
                <w:rFonts w:ascii="Arial" w:hAnsi="Arial" w:cs="Arial"/>
              </w:rPr>
              <w:t>46.0</w:t>
            </w:r>
          </w:p>
          <w:p w14:paraId="1F6D1ECE" w14:textId="77777777" w:rsidR="009428CE" w:rsidRDefault="009428CE" w:rsidP="0050001C">
            <w:pPr>
              <w:jc w:val="center"/>
              <w:rPr>
                <w:rFonts w:ascii="Arial" w:hAnsi="Arial" w:cs="Arial"/>
              </w:rPr>
            </w:pPr>
            <w:r>
              <w:rPr>
                <w:rFonts w:ascii="Arial" w:hAnsi="Arial" w:cs="Arial"/>
              </w:rPr>
              <w:t>5.0</w:t>
            </w:r>
          </w:p>
          <w:p w14:paraId="38437EAE" w14:textId="77777777" w:rsidR="009428CE" w:rsidRPr="00912BAB" w:rsidRDefault="009428CE" w:rsidP="0050001C">
            <w:pPr>
              <w:jc w:val="center"/>
              <w:rPr>
                <w:rFonts w:ascii="Arial" w:hAnsi="Arial" w:cs="Arial"/>
              </w:rPr>
            </w:pPr>
            <w:r>
              <w:rPr>
                <w:rFonts w:ascii="Arial" w:hAnsi="Arial" w:cs="Arial"/>
              </w:rPr>
              <w:t>37.0</w:t>
            </w:r>
          </w:p>
        </w:tc>
      </w:tr>
      <w:tr w:rsidR="0050001C" w:rsidRPr="00912BAB" w14:paraId="27C3B666" w14:textId="77777777" w:rsidTr="0057552B">
        <w:trPr>
          <w:jc w:val="center"/>
        </w:trPr>
        <w:tc>
          <w:tcPr>
            <w:tcW w:w="6690" w:type="dxa"/>
            <w:gridSpan w:val="3"/>
            <w:tcBorders>
              <w:top w:val="single" w:sz="4" w:space="0" w:color="auto"/>
            </w:tcBorders>
          </w:tcPr>
          <w:p w14:paraId="43B23C65" w14:textId="77777777" w:rsidR="0050001C" w:rsidRPr="00912BAB" w:rsidRDefault="0050001C" w:rsidP="0050001C">
            <w:pPr>
              <w:rPr>
                <w:rFonts w:ascii="Arial" w:hAnsi="Arial" w:cs="Arial"/>
              </w:rPr>
            </w:pPr>
            <w:r w:rsidRPr="006D7108">
              <w:rPr>
                <w:b/>
              </w:rPr>
              <w:t>Domicile</w:t>
            </w:r>
          </w:p>
        </w:tc>
      </w:tr>
      <w:tr w:rsidR="002F3642" w:rsidRPr="00912BAB" w14:paraId="4109AFA0" w14:textId="77777777" w:rsidTr="00F05B53">
        <w:trPr>
          <w:jc w:val="center"/>
        </w:trPr>
        <w:tc>
          <w:tcPr>
            <w:tcW w:w="3093" w:type="dxa"/>
            <w:tcBorders>
              <w:bottom w:val="single" w:sz="4" w:space="0" w:color="auto"/>
            </w:tcBorders>
          </w:tcPr>
          <w:p w14:paraId="1A393A61" w14:textId="77777777" w:rsidR="002F3642" w:rsidRDefault="00A56893" w:rsidP="002F3642">
            <w:pPr>
              <w:jc w:val="both"/>
            </w:pPr>
            <w:r>
              <w:t>Banten</w:t>
            </w:r>
          </w:p>
          <w:p w14:paraId="20814E1E" w14:textId="77777777" w:rsidR="00A56893" w:rsidRDefault="00A56893" w:rsidP="002F3642">
            <w:pPr>
              <w:jc w:val="both"/>
            </w:pPr>
            <w:r>
              <w:t>Yogyakarta</w:t>
            </w:r>
          </w:p>
          <w:p w14:paraId="1B9E9531" w14:textId="77777777" w:rsidR="00A56893" w:rsidRDefault="00A56893" w:rsidP="002F3642">
            <w:pPr>
              <w:jc w:val="both"/>
            </w:pPr>
            <w:r>
              <w:t>DKI Jakarta</w:t>
            </w:r>
          </w:p>
          <w:p w14:paraId="2DCE266F" w14:textId="77777777" w:rsidR="00A56893" w:rsidRDefault="00A56893" w:rsidP="002F3642">
            <w:pPr>
              <w:jc w:val="both"/>
            </w:pPr>
            <w:r>
              <w:t xml:space="preserve">West Java </w:t>
            </w:r>
          </w:p>
          <w:p w14:paraId="58A53B8D" w14:textId="77777777" w:rsidR="00A56893" w:rsidRDefault="00A56893" w:rsidP="002F3642">
            <w:pPr>
              <w:jc w:val="both"/>
            </w:pPr>
            <w:r>
              <w:t xml:space="preserve">Central Java </w:t>
            </w:r>
          </w:p>
          <w:p w14:paraId="55EA7826" w14:textId="77777777" w:rsidR="00A56893" w:rsidRDefault="00A56893" w:rsidP="002F3642">
            <w:pPr>
              <w:jc w:val="both"/>
            </w:pPr>
            <w:r>
              <w:t xml:space="preserve">East Java </w:t>
            </w:r>
          </w:p>
          <w:p w14:paraId="1F10212C" w14:textId="77777777" w:rsidR="00A56893" w:rsidRDefault="00A56893" w:rsidP="002F3642">
            <w:pPr>
              <w:jc w:val="both"/>
            </w:pPr>
            <w:r>
              <w:t>Outside Java</w:t>
            </w:r>
          </w:p>
        </w:tc>
        <w:tc>
          <w:tcPr>
            <w:tcW w:w="1228" w:type="dxa"/>
            <w:tcBorders>
              <w:bottom w:val="single" w:sz="4" w:space="0" w:color="auto"/>
            </w:tcBorders>
          </w:tcPr>
          <w:p w14:paraId="48D566E1" w14:textId="77777777" w:rsidR="002F3642" w:rsidRDefault="007D7F49" w:rsidP="0050001C">
            <w:pPr>
              <w:jc w:val="center"/>
              <w:rPr>
                <w:rFonts w:ascii="Arial" w:hAnsi="Arial" w:cs="Arial"/>
              </w:rPr>
            </w:pPr>
            <w:r>
              <w:rPr>
                <w:rFonts w:ascii="Arial" w:hAnsi="Arial" w:cs="Arial"/>
              </w:rPr>
              <w:t>15</w:t>
            </w:r>
          </w:p>
          <w:p w14:paraId="3DD8B408" w14:textId="77777777" w:rsidR="007D7F49" w:rsidRDefault="007D7F49" w:rsidP="0050001C">
            <w:pPr>
              <w:jc w:val="center"/>
              <w:rPr>
                <w:rFonts w:ascii="Arial" w:hAnsi="Arial" w:cs="Arial"/>
              </w:rPr>
            </w:pPr>
            <w:r>
              <w:rPr>
                <w:rFonts w:ascii="Arial" w:hAnsi="Arial" w:cs="Arial"/>
              </w:rPr>
              <w:t>5</w:t>
            </w:r>
          </w:p>
          <w:p w14:paraId="3D7F7F22" w14:textId="77777777" w:rsidR="007D7F49" w:rsidRDefault="007D7F49" w:rsidP="0050001C">
            <w:pPr>
              <w:jc w:val="center"/>
              <w:rPr>
                <w:rFonts w:ascii="Arial" w:hAnsi="Arial" w:cs="Arial"/>
              </w:rPr>
            </w:pPr>
            <w:r>
              <w:rPr>
                <w:rFonts w:ascii="Arial" w:hAnsi="Arial" w:cs="Arial"/>
              </w:rPr>
              <w:t>34</w:t>
            </w:r>
          </w:p>
          <w:p w14:paraId="5F3D083A" w14:textId="77777777" w:rsidR="007D7F49" w:rsidRDefault="001151DE" w:rsidP="0050001C">
            <w:pPr>
              <w:jc w:val="center"/>
              <w:rPr>
                <w:rFonts w:ascii="Arial" w:hAnsi="Arial" w:cs="Arial"/>
              </w:rPr>
            </w:pPr>
            <w:r>
              <w:rPr>
                <w:rFonts w:ascii="Arial" w:hAnsi="Arial" w:cs="Arial"/>
              </w:rPr>
              <w:t>20</w:t>
            </w:r>
          </w:p>
          <w:p w14:paraId="437180D9" w14:textId="77777777" w:rsidR="001151DE" w:rsidRDefault="001151DE" w:rsidP="0050001C">
            <w:pPr>
              <w:jc w:val="center"/>
              <w:rPr>
                <w:rFonts w:ascii="Arial" w:hAnsi="Arial" w:cs="Arial"/>
              </w:rPr>
            </w:pPr>
            <w:r>
              <w:rPr>
                <w:rFonts w:ascii="Arial" w:hAnsi="Arial" w:cs="Arial"/>
              </w:rPr>
              <w:t>14</w:t>
            </w:r>
          </w:p>
          <w:p w14:paraId="7468CE42" w14:textId="77777777" w:rsidR="001151DE" w:rsidRDefault="001151DE" w:rsidP="0050001C">
            <w:pPr>
              <w:jc w:val="center"/>
              <w:rPr>
                <w:rFonts w:ascii="Arial" w:hAnsi="Arial" w:cs="Arial"/>
              </w:rPr>
            </w:pPr>
            <w:r>
              <w:rPr>
                <w:rFonts w:ascii="Arial" w:hAnsi="Arial" w:cs="Arial"/>
              </w:rPr>
              <w:t>7</w:t>
            </w:r>
          </w:p>
          <w:p w14:paraId="73BDBA7A" w14:textId="77777777" w:rsidR="001151DE" w:rsidRPr="00912BAB" w:rsidRDefault="00C5415F" w:rsidP="0050001C">
            <w:pPr>
              <w:jc w:val="center"/>
              <w:rPr>
                <w:rFonts w:ascii="Arial" w:hAnsi="Arial" w:cs="Arial"/>
              </w:rPr>
            </w:pPr>
            <w:r>
              <w:rPr>
                <w:rFonts w:ascii="Arial" w:hAnsi="Arial" w:cs="Arial"/>
              </w:rPr>
              <w:t>5</w:t>
            </w:r>
          </w:p>
        </w:tc>
        <w:tc>
          <w:tcPr>
            <w:tcW w:w="2369" w:type="dxa"/>
            <w:tcBorders>
              <w:bottom w:val="single" w:sz="4" w:space="0" w:color="auto"/>
            </w:tcBorders>
          </w:tcPr>
          <w:p w14:paraId="50A7C7F1" w14:textId="77777777" w:rsidR="002F3642" w:rsidRDefault="00C5415F" w:rsidP="0050001C">
            <w:pPr>
              <w:jc w:val="center"/>
              <w:rPr>
                <w:rFonts w:ascii="Arial" w:hAnsi="Arial" w:cs="Arial"/>
              </w:rPr>
            </w:pPr>
            <w:r>
              <w:rPr>
                <w:rFonts w:ascii="Arial" w:hAnsi="Arial" w:cs="Arial"/>
              </w:rPr>
              <w:t>15.0</w:t>
            </w:r>
          </w:p>
          <w:p w14:paraId="4FAE3880" w14:textId="77777777" w:rsidR="00C5415F" w:rsidRDefault="00C5415F" w:rsidP="0050001C">
            <w:pPr>
              <w:jc w:val="center"/>
              <w:rPr>
                <w:rFonts w:ascii="Arial" w:hAnsi="Arial" w:cs="Arial"/>
              </w:rPr>
            </w:pPr>
            <w:r>
              <w:rPr>
                <w:rFonts w:ascii="Arial" w:hAnsi="Arial" w:cs="Arial"/>
              </w:rPr>
              <w:t>5.0</w:t>
            </w:r>
          </w:p>
          <w:p w14:paraId="69BA5912" w14:textId="77777777" w:rsidR="00C5415F" w:rsidRDefault="00C5415F" w:rsidP="0050001C">
            <w:pPr>
              <w:jc w:val="center"/>
              <w:rPr>
                <w:rFonts w:ascii="Arial" w:hAnsi="Arial" w:cs="Arial"/>
              </w:rPr>
            </w:pPr>
            <w:r>
              <w:rPr>
                <w:rFonts w:ascii="Arial" w:hAnsi="Arial" w:cs="Arial"/>
              </w:rPr>
              <w:t>34.0</w:t>
            </w:r>
          </w:p>
          <w:p w14:paraId="2CF7E7D3" w14:textId="77777777" w:rsidR="00C5415F" w:rsidRDefault="00C5415F" w:rsidP="0050001C">
            <w:pPr>
              <w:jc w:val="center"/>
              <w:rPr>
                <w:rFonts w:ascii="Arial" w:hAnsi="Arial" w:cs="Arial"/>
              </w:rPr>
            </w:pPr>
            <w:r>
              <w:rPr>
                <w:rFonts w:ascii="Arial" w:hAnsi="Arial" w:cs="Arial"/>
              </w:rPr>
              <w:t>20.0</w:t>
            </w:r>
          </w:p>
          <w:p w14:paraId="3D854CCA" w14:textId="77777777" w:rsidR="00C5415F" w:rsidRDefault="00C5415F" w:rsidP="0050001C">
            <w:pPr>
              <w:jc w:val="center"/>
              <w:rPr>
                <w:rFonts w:ascii="Arial" w:hAnsi="Arial" w:cs="Arial"/>
              </w:rPr>
            </w:pPr>
            <w:r>
              <w:rPr>
                <w:rFonts w:ascii="Arial" w:hAnsi="Arial" w:cs="Arial"/>
              </w:rPr>
              <w:t>14.0</w:t>
            </w:r>
          </w:p>
          <w:p w14:paraId="3DDFB1A2" w14:textId="77777777" w:rsidR="00C5415F" w:rsidRDefault="00C5415F" w:rsidP="0050001C">
            <w:pPr>
              <w:jc w:val="center"/>
              <w:rPr>
                <w:rFonts w:ascii="Arial" w:hAnsi="Arial" w:cs="Arial"/>
              </w:rPr>
            </w:pPr>
            <w:r>
              <w:rPr>
                <w:rFonts w:ascii="Arial" w:hAnsi="Arial" w:cs="Arial"/>
              </w:rPr>
              <w:t>7.0</w:t>
            </w:r>
          </w:p>
          <w:p w14:paraId="49AE5BEF" w14:textId="77777777" w:rsidR="00C5415F" w:rsidRPr="00912BAB" w:rsidRDefault="00C5415F" w:rsidP="0050001C">
            <w:pPr>
              <w:jc w:val="center"/>
              <w:rPr>
                <w:rFonts w:ascii="Arial" w:hAnsi="Arial" w:cs="Arial"/>
              </w:rPr>
            </w:pPr>
            <w:r>
              <w:rPr>
                <w:rFonts w:ascii="Arial" w:hAnsi="Arial" w:cs="Arial"/>
              </w:rPr>
              <w:t>5.0</w:t>
            </w:r>
          </w:p>
        </w:tc>
      </w:tr>
      <w:tr w:rsidR="0050001C" w:rsidRPr="00912BAB" w14:paraId="33846801" w14:textId="77777777" w:rsidTr="00F05B53">
        <w:trPr>
          <w:jc w:val="center"/>
        </w:trPr>
        <w:tc>
          <w:tcPr>
            <w:tcW w:w="6690" w:type="dxa"/>
            <w:gridSpan w:val="3"/>
            <w:tcBorders>
              <w:top w:val="single" w:sz="4" w:space="0" w:color="auto"/>
            </w:tcBorders>
          </w:tcPr>
          <w:p w14:paraId="2BA351C3" w14:textId="77777777" w:rsidR="0050001C" w:rsidRPr="00912BAB" w:rsidRDefault="0050001C" w:rsidP="0050001C">
            <w:pPr>
              <w:rPr>
                <w:rFonts w:ascii="Arial" w:hAnsi="Arial" w:cs="Arial"/>
              </w:rPr>
            </w:pPr>
            <w:r w:rsidRPr="00040270">
              <w:rPr>
                <w:b/>
              </w:rPr>
              <w:lastRenderedPageBreak/>
              <w:t>Travel Time to TMII</w:t>
            </w:r>
          </w:p>
        </w:tc>
      </w:tr>
      <w:tr w:rsidR="00A758AE" w:rsidRPr="00912BAB" w14:paraId="6D189505" w14:textId="77777777" w:rsidTr="005344A4">
        <w:trPr>
          <w:jc w:val="center"/>
        </w:trPr>
        <w:tc>
          <w:tcPr>
            <w:tcW w:w="3093" w:type="dxa"/>
          </w:tcPr>
          <w:p w14:paraId="7996B0BF" w14:textId="77777777" w:rsidR="00A758AE" w:rsidRDefault="00040270" w:rsidP="002F3642">
            <w:pPr>
              <w:jc w:val="both"/>
            </w:pPr>
            <w:r>
              <w:t>&lt; 1 hour</w:t>
            </w:r>
          </w:p>
        </w:tc>
        <w:tc>
          <w:tcPr>
            <w:tcW w:w="1228" w:type="dxa"/>
          </w:tcPr>
          <w:p w14:paraId="25078D0B" w14:textId="77777777" w:rsidR="00A758AE" w:rsidRPr="00912BAB" w:rsidRDefault="00DA6437" w:rsidP="0050001C">
            <w:pPr>
              <w:jc w:val="center"/>
              <w:rPr>
                <w:rFonts w:ascii="Arial" w:hAnsi="Arial" w:cs="Arial"/>
              </w:rPr>
            </w:pPr>
            <w:r>
              <w:rPr>
                <w:rFonts w:ascii="Arial" w:hAnsi="Arial" w:cs="Arial"/>
              </w:rPr>
              <w:t>6</w:t>
            </w:r>
          </w:p>
        </w:tc>
        <w:tc>
          <w:tcPr>
            <w:tcW w:w="2369" w:type="dxa"/>
          </w:tcPr>
          <w:p w14:paraId="2DBAAA00" w14:textId="77777777" w:rsidR="00A758AE" w:rsidRPr="00912BAB" w:rsidRDefault="0044253F" w:rsidP="0050001C">
            <w:pPr>
              <w:jc w:val="center"/>
              <w:rPr>
                <w:rFonts w:ascii="Arial" w:hAnsi="Arial" w:cs="Arial"/>
              </w:rPr>
            </w:pPr>
            <w:r>
              <w:rPr>
                <w:rFonts w:ascii="Arial" w:hAnsi="Arial" w:cs="Arial"/>
              </w:rPr>
              <w:t>6.0</w:t>
            </w:r>
          </w:p>
        </w:tc>
      </w:tr>
      <w:tr w:rsidR="00A758AE" w:rsidRPr="00912BAB" w14:paraId="3998E5B0" w14:textId="77777777" w:rsidTr="005344A4">
        <w:trPr>
          <w:jc w:val="center"/>
        </w:trPr>
        <w:tc>
          <w:tcPr>
            <w:tcW w:w="3093" w:type="dxa"/>
          </w:tcPr>
          <w:p w14:paraId="6319C48B" w14:textId="77777777" w:rsidR="00A758AE" w:rsidRDefault="00EE1B7D" w:rsidP="002F3642">
            <w:pPr>
              <w:jc w:val="both"/>
            </w:pPr>
            <w:r>
              <w:t>1–3 hours</w:t>
            </w:r>
          </w:p>
        </w:tc>
        <w:tc>
          <w:tcPr>
            <w:tcW w:w="1228" w:type="dxa"/>
          </w:tcPr>
          <w:p w14:paraId="6E95FFB4" w14:textId="77777777" w:rsidR="00A758AE" w:rsidRPr="00912BAB" w:rsidRDefault="00DA6437" w:rsidP="0050001C">
            <w:pPr>
              <w:jc w:val="center"/>
              <w:rPr>
                <w:rFonts w:ascii="Arial" w:hAnsi="Arial" w:cs="Arial"/>
              </w:rPr>
            </w:pPr>
            <w:r>
              <w:rPr>
                <w:rFonts w:ascii="Arial" w:hAnsi="Arial" w:cs="Arial"/>
              </w:rPr>
              <w:t>33</w:t>
            </w:r>
          </w:p>
        </w:tc>
        <w:tc>
          <w:tcPr>
            <w:tcW w:w="2369" w:type="dxa"/>
          </w:tcPr>
          <w:p w14:paraId="0B7F9C39" w14:textId="77777777" w:rsidR="00A758AE" w:rsidRPr="00912BAB" w:rsidRDefault="0044253F" w:rsidP="0050001C">
            <w:pPr>
              <w:jc w:val="center"/>
              <w:rPr>
                <w:rFonts w:ascii="Arial" w:hAnsi="Arial" w:cs="Arial"/>
              </w:rPr>
            </w:pPr>
            <w:r>
              <w:rPr>
                <w:rFonts w:ascii="Arial" w:hAnsi="Arial" w:cs="Arial"/>
              </w:rPr>
              <w:t>33.0</w:t>
            </w:r>
          </w:p>
        </w:tc>
      </w:tr>
      <w:tr w:rsidR="00A758AE" w:rsidRPr="00912BAB" w14:paraId="6411EDED" w14:textId="77777777" w:rsidTr="005344A4">
        <w:trPr>
          <w:jc w:val="center"/>
        </w:trPr>
        <w:tc>
          <w:tcPr>
            <w:tcW w:w="3093" w:type="dxa"/>
          </w:tcPr>
          <w:p w14:paraId="39B06682" w14:textId="77777777" w:rsidR="00A758AE" w:rsidRDefault="00EE1B7D" w:rsidP="002F3642">
            <w:pPr>
              <w:jc w:val="both"/>
            </w:pPr>
            <w:r>
              <w:t>4–6 hours</w:t>
            </w:r>
          </w:p>
        </w:tc>
        <w:tc>
          <w:tcPr>
            <w:tcW w:w="1228" w:type="dxa"/>
          </w:tcPr>
          <w:p w14:paraId="3F594D56" w14:textId="77777777" w:rsidR="00A758AE" w:rsidRPr="00912BAB" w:rsidRDefault="000E7245" w:rsidP="0050001C">
            <w:pPr>
              <w:jc w:val="center"/>
              <w:rPr>
                <w:rFonts w:ascii="Arial" w:hAnsi="Arial" w:cs="Arial"/>
              </w:rPr>
            </w:pPr>
            <w:r>
              <w:rPr>
                <w:rFonts w:ascii="Arial" w:hAnsi="Arial" w:cs="Arial"/>
              </w:rPr>
              <w:t>22</w:t>
            </w:r>
          </w:p>
        </w:tc>
        <w:tc>
          <w:tcPr>
            <w:tcW w:w="2369" w:type="dxa"/>
          </w:tcPr>
          <w:p w14:paraId="5FF8BA5A" w14:textId="77777777" w:rsidR="00A758AE" w:rsidRPr="00912BAB" w:rsidRDefault="0044253F" w:rsidP="0050001C">
            <w:pPr>
              <w:jc w:val="center"/>
              <w:rPr>
                <w:rFonts w:ascii="Arial" w:hAnsi="Arial" w:cs="Arial"/>
              </w:rPr>
            </w:pPr>
            <w:r>
              <w:rPr>
                <w:rFonts w:ascii="Arial" w:hAnsi="Arial" w:cs="Arial"/>
              </w:rPr>
              <w:t>22.0</w:t>
            </w:r>
          </w:p>
        </w:tc>
      </w:tr>
      <w:tr w:rsidR="00A758AE" w:rsidRPr="00912BAB" w14:paraId="125ED81E" w14:textId="77777777" w:rsidTr="00F05B53">
        <w:trPr>
          <w:jc w:val="center"/>
        </w:trPr>
        <w:tc>
          <w:tcPr>
            <w:tcW w:w="3093" w:type="dxa"/>
            <w:tcBorders>
              <w:bottom w:val="single" w:sz="4" w:space="0" w:color="auto"/>
            </w:tcBorders>
          </w:tcPr>
          <w:p w14:paraId="1EE19822" w14:textId="77777777" w:rsidR="00A758AE" w:rsidRDefault="00DA6437" w:rsidP="002F3642">
            <w:pPr>
              <w:jc w:val="both"/>
            </w:pPr>
            <w:r>
              <w:t>&gt; 6 hours</w:t>
            </w:r>
          </w:p>
        </w:tc>
        <w:tc>
          <w:tcPr>
            <w:tcW w:w="1228" w:type="dxa"/>
            <w:tcBorders>
              <w:bottom w:val="single" w:sz="4" w:space="0" w:color="auto"/>
            </w:tcBorders>
          </w:tcPr>
          <w:p w14:paraId="4F960D91" w14:textId="77777777" w:rsidR="00A758AE" w:rsidRPr="00912BAB" w:rsidRDefault="000E7245" w:rsidP="0050001C">
            <w:pPr>
              <w:jc w:val="center"/>
              <w:rPr>
                <w:rFonts w:ascii="Arial" w:hAnsi="Arial" w:cs="Arial"/>
              </w:rPr>
            </w:pPr>
            <w:r>
              <w:rPr>
                <w:rFonts w:ascii="Arial" w:hAnsi="Arial" w:cs="Arial"/>
              </w:rPr>
              <w:t>39</w:t>
            </w:r>
          </w:p>
        </w:tc>
        <w:tc>
          <w:tcPr>
            <w:tcW w:w="2369" w:type="dxa"/>
            <w:tcBorders>
              <w:bottom w:val="single" w:sz="4" w:space="0" w:color="auto"/>
            </w:tcBorders>
          </w:tcPr>
          <w:p w14:paraId="4A935CE0" w14:textId="77777777" w:rsidR="00A758AE" w:rsidRPr="00912BAB" w:rsidRDefault="0044253F" w:rsidP="0050001C">
            <w:pPr>
              <w:jc w:val="center"/>
              <w:rPr>
                <w:rFonts w:ascii="Arial" w:hAnsi="Arial" w:cs="Arial"/>
              </w:rPr>
            </w:pPr>
            <w:r>
              <w:rPr>
                <w:rFonts w:ascii="Arial" w:hAnsi="Arial" w:cs="Arial"/>
              </w:rPr>
              <w:t>39.0</w:t>
            </w:r>
          </w:p>
        </w:tc>
      </w:tr>
      <w:tr w:rsidR="0050001C" w:rsidRPr="00912BAB" w14:paraId="178518C0" w14:textId="77777777" w:rsidTr="00F05B53">
        <w:trPr>
          <w:jc w:val="center"/>
        </w:trPr>
        <w:tc>
          <w:tcPr>
            <w:tcW w:w="6690" w:type="dxa"/>
            <w:gridSpan w:val="3"/>
            <w:tcBorders>
              <w:top w:val="single" w:sz="4" w:space="0" w:color="auto"/>
            </w:tcBorders>
          </w:tcPr>
          <w:p w14:paraId="5B95A919" w14:textId="77777777" w:rsidR="0050001C" w:rsidRPr="00912BAB" w:rsidRDefault="0050001C" w:rsidP="0050001C">
            <w:pPr>
              <w:rPr>
                <w:rFonts w:ascii="Arial" w:hAnsi="Arial" w:cs="Arial"/>
              </w:rPr>
            </w:pPr>
            <w:r w:rsidRPr="00312D42">
              <w:rPr>
                <w:b/>
              </w:rPr>
              <w:t>Length of Visit</w:t>
            </w:r>
          </w:p>
        </w:tc>
      </w:tr>
      <w:tr w:rsidR="0018678A" w:rsidRPr="00912BAB" w14:paraId="6E7EBE78" w14:textId="77777777" w:rsidTr="005344A4">
        <w:trPr>
          <w:jc w:val="center"/>
        </w:trPr>
        <w:tc>
          <w:tcPr>
            <w:tcW w:w="3093" w:type="dxa"/>
          </w:tcPr>
          <w:p w14:paraId="68132A1B" w14:textId="77777777" w:rsidR="0018678A" w:rsidRDefault="00E268D3" w:rsidP="002F3642">
            <w:pPr>
              <w:jc w:val="both"/>
            </w:pPr>
            <w:r>
              <w:t>&lt; 1 hour</w:t>
            </w:r>
          </w:p>
        </w:tc>
        <w:tc>
          <w:tcPr>
            <w:tcW w:w="1228" w:type="dxa"/>
          </w:tcPr>
          <w:p w14:paraId="42433C07" w14:textId="77777777" w:rsidR="0018678A" w:rsidRDefault="00C3567C" w:rsidP="0050001C">
            <w:pPr>
              <w:jc w:val="center"/>
              <w:rPr>
                <w:rFonts w:ascii="Arial" w:hAnsi="Arial" w:cs="Arial"/>
              </w:rPr>
            </w:pPr>
            <w:r>
              <w:rPr>
                <w:rFonts w:ascii="Arial" w:hAnsi="Arial" w:cs="Arial"/>
              </w:rPr>
              <w:t>5</w:t>
            </w:r>
          </w:p>
        </w:tc>
        <w:tc>
          <w:tcPr>
            <w:tcW w:w="2369" w:type="dxa"/>
          </w:tcPr>
          <w:p w14:paraId="2862B9CD" w14:textId="77777777" w:rsidR="0018678A" w:rsidRPr="00912BAB" w:rsidRDefault="0044253F" w:rsidP="0050001C">
            <w:pPr>
              <w:jc w:val="center"/>
              <w:rPr>
                <w:rFonts w:ascii="Arial" w:hAnsi="Arial" w:cs="Arial"/>
              </w:rPr>
            </w:pPr>
            <w:r>
              <w:rPr>
                <w:rFonts w:ascii="Arial" w:hAnsi="Arial" w:cs="Arial"/>
              </w:rPr>
              <w:t>5.0</w:t>
            </w:r>
          </w:p>
        </w:tc>
      </w:tr>
      <w:tr w:rsidR="0018678A" w:rsidRPr="00912BAB" w14:paraId="5BE2F178" w14:textId="77777777" w:rsidTr="005344A4">
        <w:trPr>
          <w:jc w:val="center"/>
        </w:trPr>
        <w:tc>
          <w:tcPr>
            <w:tcW w:w="3093" w:type="dxa"/>
          </w:tcPr>
          <w:p w14:paraId="0F5DE900" w14:textId="77777777" w:rsidR="0018678A" w:rsidRDefault="00A02B36" w:rsidP="002F3642">
            <w:pPr>
              <w:jc w:val="both"/>
            </w:pPr>
            <w:r>
              <w:t>1–2 hours</w:t>
            </w:r>
          </w:p>
        </w:tc>
        <w:tc>
          <w:tcPr>
            <w:tcW w:w="1228" w:type="dxa"/>
          </w:tcPr>
          <w:p w14:paraId="20C04B97" w14:textId="77777777" w:rsidR="0018678A" w:rsidRDefault="00C3567C" w:rsidP="0050001C">
            <w:pPr>
              <w:jc w:val="center"/>
              <w:rPr>
                <w:rFonts w:ascii="Arial" w:hAnsi="Arial" w:cs="Arial"/>
              </w:rPr>
            </w:pPr>
            <w:r>
              <w:rPr>
                <w:rFonts w:ascii="Arial" w:hAnsi="Arial" w:cs="Arial"/>
              </w:rPr>
              <w:t>44</w:t>
            </w:r>
          </w:p>
        </w:tc>
        <w:tc>
          <w:tcPr>
            <w:tcW w:w="2369" w:type="dxa"/>
          </w:tcPr>
          <w:p w14:paraId="0C20A83D" w14:textId="77777777" w:rsidR="0018678A" w:rsidRPr="00912BAB" w:rsidRDefault="0044253F" w:rsidP="0050001C">
            <w:pPr>
              <w:jc w:val="center"/>
              <w:rPr>
                <w:rFonts w:ascii="Arial" w:hAnsi="Arial" w:cs="Arial"/>
              </w:rPr>
            </w:pPr>
            <w:r>
              <w:rPr>
                <w:rFonts w:ascii="Arial" w:hAnsi="Arial" w:cs="Arial"/>
              </w:rPr>
              <w:t>44.0</w:t>
            </w:r>
          </w:p>
        </w:tc>
      </w:tr>
      <w:tr w:rsidR="0018678A" w:rsidRPr="00912BAB" w14:paraId="23EFB198" w14:textId="77777777" w:rsidTr="005344A4">
        <w:trPr>
          <w:jc w:val="center"/>
        </w:trPr>
        <w:tc>
          <w:tcPr>
            <w:tcW w:w="3093" w:type="dxa"/>
          </w:tcPr>
          <w:p w14:paraId="2C56631C" w14:textId="77777777" w:rsidR="0018678A" w:rsidRDefault="00C9185C" w:rsidP="002F3642">
            <w:pPr>
              <w:jc w:val="both"/>
            </w:pPr>
            <w:r>
              <w:t>2–3 hours</w:t>
            </w:r>
          </w:p>
        </w:tc>
        <w:tc>
          <w:tcPr>
            <w:tcW w:w="1228" w:type="dxa"/>
          </w:tcPr>
          <w:p w14:paraId="0924ECD6" w14:textId="77777777" w:rsidR="0018678A" w:rsidRDefault="00C3567C" w:rsidP="0050001C">
            <w:pPr>
              <w:jc w:val="center"/>
              <w:rPr>
                <w:rFonts w:ascii="Arial" w:hAnsi="Arial" w:cs="Arial"/>
              </w:rPr>
            </w:pPr>
            <w:r>
              <w:rPr>
                <w:rFonts w:ascii="Arial" w:hAnsi="Arial" w:cs="Arial"/>
              </w:rPr>
              <w:t>30</w:t>
            </w:r>
          </w:p>
        </w:tc>
        <w:tc>
          <w:tcPr>
            <w:tcW w:w="2369" w:type="dxa"/>
          </w:tcPr>
          <w:p w14:paraId="689E820A" w14:textId="77777777" w:rsidR="0018678A" w:rsidRPr="00912BAB" w:rsidRDefault="0044253F" w:rsidP="0050001C">
            <w:pPr>
              <w:jc w:val="center"/>
              <w:rPr>
                <w:rFonts w:ascii="Arial" w:hAnsi="Arial" w:cs="Arial"/>
              </w:rPr>
            </w:pPr>
            <w:r>
              <w:rPr>
                <w:rFonts w:ascii="Arial" w:hAnsi="Arial" w:cs="Arial"/>
              </w:rPr>
              <w:t>30.0</w:t>
            </w:r>
          </w:p>
        </w:tc>
      </w:tr>
      <w:tr w:rsidR="0018678A" w:rsidRPr="00912BAB" w14:paraId="477395F8" w14:textId="77777777" w:rsidTr="00EA7FD3">
        <w:trPr>
          <w:jc w:val="center"/>
        </w:trPr>
        <w:tc>
          <w:tcPr>
            <w:tcW w:w="3093" w:type="dxa"/>
            <w:tcBorders>
              <w:bottom w:val="single" w:sz="4" w:space="0" w:color="auto"/>
            </w:tcBorders>
          </w:tcPr>
          <w:p w14:paraId="3D7CE6A4" w14:textId="77777777" w:rsidR="0018678A" w:rsidRDefault="00C9185C" w:rsidP="002F3642">
            <w:pPr>
              <w:jc w:val="both"/>
            </w:pPr>
            <w:r>
              <w:t>&gt; 3 hours</w:t>
            </w:r>
          </w:p>
        </w:tc>
        <w:tc>
          <w:tcPr>
            <w:tcW w:w="1228" w:type="dxa"/>
            <w:tcBorders>
              <w:bottom w:val="single" w:sz="4" w:space="0" w:color="auto"/>
            </w:tcBorders>
          </w:tcPr>
          <w:p w14:paraId="7BA8F3EC" w14:textId="77777777" w:rsidR="0018678A" w:rsidRDefault="00696175" w:rsidP="0050001C">
            <w:pPr>
              <w:jc w:val="center"/>
              <w:rPr>
                <w:rFonts w:ascii="Arial" w:hAnsi="Arial" w:cs="Arial"/>
              </w:rPr>
            </w:pPr>
            <w:r>
              <w:rPr>
                <w:rFonts w:ascii="Arial" w:hAnsi="Arial" w:cs="Arial"/>
              </w:rPr>
              <w:t>21</w:t>
            </w:r>
          </w:p>
        </w:tc>
        <w:tc>
          <w:tcPr>
            <w:tcW w:w="2369" w:type="dxa"/>
            <w:tcBorders>
              <w:bottom w:val="single" w:sz="4" w:space="0" w:color="auto"/>
            </w:tcBorders>
          </w:tcPr>
          <w:p w14:paraId="1BA2967A" w14:textId="77777777" w:rsidR="0018678A" w:rsidRPr="00912BAB" w:rsidRDefault="0044253F" w:rsidP="0050001C">
            <w:pPr>
              <w:jc w:val="center"/>
              <w:rPr>
                <w:rFonts w:ascii="Arial" w:hAnsi="Arial" w:cs="Arial"/>
              </w:rPr>
            </w:pPr>
            <w:r>
              <w:rPr>
                <w:rFonts w:ascii="Arial" w:hAnsi="Arial" w:cs="Arial"/>
              </w:rPr>
              <w:t>21.0</w:t>
            </w:r>
          </w:p>
        </w:tc>
      </w:tr>
      <w:tr w:rsidR="0050001C" w:rsidRPr="00912BAB" w14:paraId="030A50F0" w14:textId="77777777" w:rsidTr="00F05B53">
        <w:trPr>
          <w:jc w:val="center"/>
        </w:trPr>
        <w:tc>
          <w:tcPr>
            <w:tcW w:w="6690" w:type="dxa"/>
            <w:gridSpan w:val="3"/>
            <w:tcBorders>
              <w:top w:val="single" w:sz="4" w:space="0" w:color="auto"/>
            </w:tcBorders>
          </w:tcPr>
          <w:p w14:paraId="384D2828" w14:textId="77777777" w:rsidR="0050001C" w:rsidRPr="00912BAB" w:rsidRDefault="0050001C" w:rsidP="0050001C">
            <w:pPr>
              <w:rPr>
                <w:rFonts w:ascii="Arial" w:hAnsi="Arial" w:cs="Arial"/>
              </w:rPr>
            </w:pPr>
            <w:r w:rsidRPr="00EA0E65">
              <w:rPr>
                <w:b/>
              </w:rPr>
              <w:t>Vehicle Type Used</w:t>
            </w:r>
          </w:p>
        </w:tc>
      </w:tr>
      <w:tr w:rsidR="0044253F" w:rsidRPr="00912BAB" w14:paraId="19F85F8B" w14:textId="77777777" w:rsidTr="005344A4">
        <w:trPr>
          <w:jc w:val="center"/>
        </w:trPr>
        <w:tc>
          <w:tcPr>
            <w:tcW w:w="3093" w:type="dxa"/>
          </w:tcPr>
          <w:p w14:paraId="3DCFC8D3" w14:textId="77777777" w:rsidR="0044253F" w:rsidRDefault="00DC4463" w:rsidP="002F3642">
            <w:pPr>
              <w:jc w:val="both"/>
            </w:pPr>
            <w:r>
              <w:t>Large Bus</w:t>
            </w:r>
          </w:p>
        </w:tc>
        <w:tc>
          <w:tcPr>
            <w:tcW w:w="1228" w:type="dxa"/>
          </w:tcPr>
          <w:p w14:paraId="675824FD" w14:textId="77777777" w:rsidR="0044253F" w:rsidRDefault="002E7418" w:rsidP="0050001C">
            <w:pPr>
              <w:jc w:val="center"/>
              <w:rPr>
                <w:rFonts w:ascii="Arial" w:hAnsi="Arial" w:cs="Arial"/>
              </w:rPr>
            </w:pPr>
            <w:r>
              <w:rPr>
                <w:rFonts w:ascii="Arial" w:hAnsi="Arial" w:cs="Arial"/>
              </w:rPr>
              <w:t>10</w:t>
            </w:r>
          </w:p>
        </w:tc>
        <w:tc>
          <w:tcPr>
            <w:tcW w:w="2369" w:type="dxa"/>
          </w:tcPr>
          <w:p w14:paraId="3B8FE2B0" w14:textId="77777777" w:rsidR="0044253F" w:rsidRPr="00912BAB" w:rsidRDefault="0013542C" w:rsidP="0050001C">
            <w:pPr>
              <w:jc w:val="center"/>
              <w:rPr>
                <w:rFonts w:ascii="Arial" w:hAnsi="Arial" w:cs="Arial"/>
              </w:rPr>
            </w:pPr>
            <w:r>
              <w:rPr>
                <w:rFonts w:ascii="Arial" w:hAnsi="Arial" w:cs="Arial"/>
              </w:rPr>
              <w:t>10.0</w:t>
            </w:r>
          </w:p>
        </w:tc>
      </w:tr>
      <w:tr w:rsidR="0044253F" w:rsidRPr="00912BAB" w14:paraId="52C9DA18" w14:textId="77777777" w:rsidTr="005344A4">
        <w:trPr>
          <w:jc w:val="center"/>
        </w:trPr>
        <w:tc>
          <w:tcPr>
            <w:tcW w:w="3093" w:type="dxa"/>
          </w:tcPr>
          <w:p w14:paraId="687616A9" w14:textId="77777777" w:rsidR="0044253F" w:rsidRDefault="006C53E8" w:rsidP="002F3642">
            <w:pPr>
              <w:jc w:val="both"/>
            </w:pPr>
            <w:r>
              <w:t>Minibus/Microbus</w:t>
            </w:r>
          </w:p>
        </w:tc>
        <w:tc>
          <w:tcPr>
            <w:tcW w:w="1228" w:type="dxa"/>
          </w:tcPr>
          <w:p w14:paraId="15502FF5" w14:textId="77777777" w:rsidR="0044253F" w:rsidRDefault="002E7418" w:rsidP="0050001C">
            <w:pPr>
              <w:jc w:val="center"/>
              <w:rPr>
                <w:rFonts w:ascii="Arial" w:hAnsi="Arial" w:cs="Arial"/>
              </w:rPr>
            </w:pPr>
            <w:r>
              <w:rPr>
                <w:rFonts w:ascii="Arial" w:hAnsi="Arial" w:cs="Arial"/>
              </w:rPr>
              <w:t>7</w:t>
            </w:r>
          </w:p>
        </w:tc>
        <w:tc>
          <w:tcPr>
            <w:tcW w:w="2369" w:type="dxa"/>
          </w:tcPr>
          <w:p w14:paraId="404C8652" w14:textId="77777777" w:rsidR="0044253F" w:rsidRPr="00912BAB" w:rsidRDefault="0013542C" w:rsidP="0050001C">
            <w:pPr>
              <w:jc w:val="center"/>
              <w:rPr>
                <w:rFonts w:ascii="Arial" w:hAnsi="Arial" w:cs="Arial"/>
              </w:rPr>
            </w:pPr>
            <w:r>
              <w:rPr>
                <w:rFonts w:ascii="Arial" w:hAnsi="Arial" w:cs="Arial"/>
              </w:rPr>
              <w:t>7.0</w:t>
            </w:r>
          </w:p>
        </w:tc>
      </w:tr>
      <w:tr w:rsidR="0044253F" w:rsidRPr="00912BAB" w14:paraId="740F4AD5" w14:textId="77777777" w:rsidTr="005344A4">
        <w:trPr>
          <w:jc w:val="center"/>
        </w:trPr>
        <w:tc>
          <w:tcPr>
            <w:tcW w:w="3093" w:type="dxa"/>
          </w:tcPr>
          <w:p w14:paraId="24C0B08C" w14:textId="77777777" w:rsidR="0044253F" w:rsidRDefault="002E7418" w:rsidP="002F3642">
            <w:pPr>
              <w:jc w:val="both"/>
            </w:pPr>
            <w:r>
              <w:t>Car</w:t>
            </w:r>
          </w:p>
        </w:tc>
        <w:tc>
          <w:tcPr>
            <w:tcW w:w="1228" w:type="dxa"/>
          </w:tcPr>
          <w:p w14:paraId="0F41BEEF" w14:textId="77777777" w:rsidR="0044253F" w:rsidRDefault="002E7418" w:rsidP="0050001C">
            <w:pPr>
              <w:jc w:val="center"/>
              <w:rPr>
                <w:rFonts w:ascii="Arial" w:hAnsi="Arial" w:cs="Arial"/>
              </w:rPr>
            </w:pPr>
            <w:r>
              <w:rPr>
                <w:rFonts w:ascii="Arial" w:hAnsi="Arial" w:cs="Arial"/>
              </w:rPr>
              <w:t>73</w:t>
            </w:r>
          </w:p>
        </w:tc>
        <w:tc>
          <w:tcPr>
            <w:tcW w:w="2369" w:type="dxa"/>
          </w:tcPr>
          <w:p w14:paraId="684682A8" w14:textId="77777777" w:rsidR="0044253F" w:rsidRPr="00912BAB" w:rsidRDefault="0013542C" w:rsidP="0050001C">
            <w:pPr>
              <w:jc w:val="center"/>
              <w:rPr>
                <w:rFonts w:ascii="Arial" w:hAnsi="Arial" w:cs="Arial"/>
              </w:rPr>
            </w:pPr>
            <w:r>
              <w:rPr>
                <w:rFonts w:ascii="Arial" w:hAnsi="Arial" w:cs="Arial"/>
              </w:rPr>
              <w:t>73.0</w:t>
            </w:r>
          </w:p>
        </w:tc>
      </w:tr>
      <w:tr w:rsidR="00DC4463" w:rsidRPr="00912BAB" w14:paraId="57184BB9" w14:textId="77777777" w:rsidTr="00EA7FD3">
        <w:trPr>
          <w:jc w:val="center"/>
        </w:trPr>
        <w:tc>
          <w:tcPr>
            <w:tcW w:w="3093" w:type="dxa"/>
            <w:tcBorders>
              <w:bottom w:val="single" w:sz="4" w:space="0" w:color="auto"/>
            </w:tcBorders>
          </w:tcPr>
          <w:p w14:paraId="09B6CB7D" w14:textId="77777777" w:rsidR="00DC4463" w:rsidRDefault="002E7418" w:rsidP="002F3642">
            <w:pPr>
              <w:jc w:val="both"/>
            </w:pPr>
            <w:r>
              <w:t>Motorcycle</w:t>
            </w:r>
          </w:p>
        </w:tc>
        <w:tc>
          <w:tcPr>
            <w:tcW w:w="1228" w:type="dxa"/>
            <w:tcBorders>
              <w:bottom w:val="single" w:sz="4" w:space="0" w:color="auto"/>
            </w:tcBorders>
          </w:tcPr>
          <w:p w14:paraId="44A9227F" w14:textId="77777777" w:rsidR="00DC4463" w:rsidRDefault="004D1E35" w:rsidP="0050001C">
            <w:pPr>
              <w:jc w:val="center"/>
              <w:rPr>
                <w:rFonts w:ascii="Arial" w:hAnsi="Arial" w:cs="Arial"/>
              </w:rPr>
            </w:pPr>
            <w:r>
              <w:rPr>
                <w:rFonts w:ascii="Arial" w:hAnsi="Arial" w:cs="Arial"/>
              </w:rPr>
              <w:t>10</w:t>
            </w:r>
          </w:p>
        </w:tc>
        <w:tc>
          <w:tcPr>
            <w:tcW w:w="2369" w:type="dxa"/>
            <w:tcBorders>
              <w:bottom w:val="single" w:sz="4" w:space="0" w:color="auto"/>
            </w:tcBorders>
          </w:tcPr>
          <w:p w14:paraId="279D42CC" w14:textId="77777777" w:rsidR="00DC4463" w:rsidRPr="00912BAB" w:rsidRDefault="0013542C" w:rsidP="0050001C">
            <w:pPr>
              <w:jc w:val="center"/>
              <w:rPr>
                <w:rFonts w:ascii="Arial" w:hAnsi="Arial" w:cs="Arial"/>
              </w:rPr>
            </w:pPr>
            <w:r>
              <w:rPr>
                <w:rFonts w:ascii="Arial" w:hAnsi="Arial" w:cs="Arial"/>
              </w:rPr>
              <w:t>10.0</w:t>
            </w:r>
          </w:p>
        </w:tc>
      </w:tr>
      <w:tr w:rsidR="0050001C" w:rsidRPr="00912BAB" w14:paraId="464939EF" w14:textId="77777777" w:rsidTr="00EA7FD3">
        <w:trPr>
          <w:jc w:val="center"/>
        </w:trPr>
        <w:tc>
          <w:tcPr>
            <w:tcW w:w="6690" w:type="dxa"/>
            <w:gridSpan w:val="3"/>
            <w:tcBorders>
              <w:top w:val="single" w:sz="4" w:space="0" w:color="auto"/>
            </w:tcBorders>
          </w:tcPr>
          <w:p w14:paraId="5A1DDA36" w14:textId="77777777" w:rsidR="0050001C" w:rsidRPr="00912BAB" w:rsidRDefault="0050001C" w:rsidP="0050001C">
            <w:pPr>
              <w:rPr>
                <w:rFonts w:ascii="Arial" w:hAnsi="Arial" w:cs="Arial"/>
              </w:rPr>
            </w:pPr>
            <w:r w:rsidRPr="00B772FC">
              <w:rPr>
                <w:b/>
              </w:rPr>
              <w:t>Visiting Time</w:t>
            </w:r>
          </w:p>
        </w:tc>
      </w:tr>
      <w:tr w:rsidR="00DC4463" w:rsidRPr="00912BAB" w14:paraId="54EACDFE" w14:textId="77777777" w:rsidTr="005344A4">
        <w:trPr>
          <w:jc w:val="center"/>
        </w:trPr>
        <w:tc>
          <w:tcPr>
            <w:tcW w:w="3093" w:type="dxa"/>
          </w:tcPr>
          <w:p w14:paraId="02406A62" w14:textId="77777777" w:rsidR="00DC4463" w:rsidRDefault="00B772FC" w:rsidP="002F3642">
            <w:pPr>
              <w:jc w:val="both"/>
            </w:pPr>
            <w:r>
              <w:t>Weekdays</w:t>
            </w:r>
          </w:p>
        </w:tc>
        <w:tc>
          <w:tcPr>
            <w:tcW w:w="1228" w:type="dxa"/>
          </w:tcPr>
          <w:p w14:paraId="7C3DDBEF" w14:textId="77777777" w:rsidR="00DC4463" w:rsidRDefault="003A66BC" w:rsidP="0050001C">
            <w:pPr>
              <w:jc w:val="center"/>
              <w:rPr>
                <w:rFonts w:ascii="Arial" w:hAnsi="Arial" w:cs="Arial"/>
              </w:rPr>
            </w:pPr>
            <w:r>
              <w:rPr>
                <w:rFonts w:ascii="Arial" w:hAnsi="Arial" w:cs="Arial"/>
              </w:rPr>
              <w:t>25</w:t>
            </w:r>
          </w:p>
        </w:tc>
        <w:tc>
          <w:tcPr>
            <w:tcW w:w="2369" w:type="dxa"/>
          </w:tcPr>
          <w:p w14:paraId="6C2B51B7" w14:textId="77777777" w:rsidR="00DC4463" w:rsidRPr="00912BAB" w:rsidRDefault="00BA761A" w:rsidP="0050001C">
            <w:pPr>
              <w:jc w:val="center"/>
              <w:rPr>
                <w:rFonts w:ascii="Arial" w:hAnsi="Arial" w:cs="Arial"/>
              </w:rPr>
            </w:pPr>
            <w:r>
              <w:rPr>
                <w:rFonts w:ascii="Arial" w:hAnsi="Arial" w:cs="Arial"/>
              </w:rPr>
              <w:t>25.0</w:t>
            </w:r>
          </w:p>
        </w:tc>
      </w:tr>
      <w:tr w:rsidR="00DC4463" w:rsidRPr="00912BAB" w14:paraId="604E8235" w14:textId="77777777" w:rsidTr="005344A4">
        <w:trPr>
          <w:jc w:val="center"/>
        </w:trPr>
        <w:tc>
          <w:tcPr>
            <w:tcW w:w="3093" w:type="dxa"/>
          </w:tcPr>
          <w:p w14:paraId="4EED747F" w14:textId="77777777" w:rsidR="00DC4463" w:rsidRDefault="00BC6B86" w:rsidP="002F3642">
            <w:pPr>
              <w:jc w:val="both"/>
            </w:pPr>
            <w:r>
              <w:t>Weekends</w:t>
            </w:r>
          </w:p>
        </w:tc>
        <w:tc>
          <w:tcPr>
            <w:tcW w:w="1228" w:type="dxa"/>
          </w:tcPr>
          <w:p w14:paraId="069B0335" w14:textId="77777777" w:rsidR="00DC4463" w:rsidRDefault="003A66BC" w:rsidP="0050001C">
            <w:pPr>
              <w:jc w:val="center"/>
              <w:rPr>
                <w:rFonts w:ascii="Arial" w:hAnsi="Arial" w:cs="Arial"/>
              </w:rPr>
            </w:pPr>
            <w:r>
              <w:rPr>
                <w:rFonts w:ascii="Arial" w:hAnsi="Arial" w:cs="Arial"/>
              </w:rPr>
              <w:t>41</w:t>
            </w:r>
          </w:p>
        </w:tc>
        <w:tc>
          <w:tcPr>
            <w:tcW w:w="2369" w:type="dxa"/>
          </w:tcPr>
          <w:p w14:paraId="03D6BE48" w14:textId="77777777" w:rsidR="00DC4463" w:rsidRPr="00912BAB" w:rsidRDefault="00BA761A" w:rsidP="0050001C">
            <w:pPr>
              <w:jc w:val="center"/>
              <w:rPr>
                <w:rFonts w:ascii="Arial" w:hAnsi="Arial" w:cs="Arial"/>
              </w:rPr>
            </w:pPr>
            <w:r>
              <w:rPr>
                <w:rFonts w:ascii="Arial" w:hAnsi="Arial" w:cs="Arial"/>
              </w:rPr>
              <w:t>41.0</w:t>
            </w:r>
          </w:p>
        </w:tc>
      </w:tr>
      <w:tr w:rsidR="00B772FC" w:rsidRPr="00912BAB" w14:paraId="4EB3F7F2" w14:textId="77777777" w:rsidTr="00EA7FD3">
        <w:trPr>
          <w:jc w:val="center"/>
        </w:trPr>
        <w:tc>
          <w:tcPr>
            <w:tcW w:w="3093" w:type="dxa"/>
            <w:tcBorders>
              <w:bottom w:val="single" w:sz="4" w:space="0" w:color="auto"/>
            </w:tcBorders>
          </w:tcPr>
          <w:p w14:paraId="3EE611FB" w14:textId="77777777" w:rsidR="00B772FC" w:rsidRDefault="00BE1975" w:rsidP="002F3642">
            <w:pPr>
              <w:jc w:val="both"/>
            </w:pPr>
            <w:r>
              <w:t>Public Holidays</w:t>
            </w:r>
          </w:p>
        </w:tc>
        <w:tc>
          <w:tcPr>
            <w:tcW w:w="1228" w:type="dxa"/>
            <w:tcBorders>
              <w:bottom w:val="single" w:sz="4" w:space="0" w:color="auto"/>
            </w:tcBorders>
          </w:tcPr>
          <w:p w14:paraId="1B4CA526" w14:textId="77777777" w:rsidR="00B772FC" w:rsidRDefault="003A66BC" w:rsidP="0050001C">
            <w:pPr>
              <w:jc w:val="center"/>
              <w:rPr>
                <w:rFonts w:ascii="Arial" w:hAnsi="Arial" w:cs="Arial"/>
              </w:rPr>
            </w:pPr>
            <w:r>
              <w:rPr>
                <w:rFonts w:ascii="Arial" w:hAnsi="Arial" w:cs="Arial"/>
              </w:rPr>
              <w:t>34</w:t>
            </w:r>
          </w:p>
        </w:tc>
        <w:tc>
          <w:tcPr>
            <w:tcW w:w="2369" w:type="dxa"/>
            <w:tcBorders>
              <w:bottom w:val="single" w:sz="4" w:space="0" w:color="auto"/>
            </w:tcBorders>
          </w:tcPr>
          <w:p w14:paraId="666869E9" w14:textId="77777777" w:rsidR="00B772FC" w:rsidRPr="00912BAB" w:rsidRDefault="00BA761A" w:rsidP="0050001C">
            <w:pPr>
              <w:jc w:val="center"/>
              <w:rPr>
                <w:rFonts w:ascii="Arial" w:hAnsi="Arial" w:cs="Arial"/>
              </w:rPr>
            </w:pPr>
            <w:r>
              <w:rPr>
                <w:rFonts w:ascii="Arial" w:hAnsi="Arial" w:cs="Arial"/>
              </w:rPr>
              <w:t>34.0</w:t>
            </w:r>
          </w:p>
        </w:tc>
      </w:tr>
      <w:tr w:rsidR="0050001C" w:rsidRPr="00912BAB" w14:paraId="37114022" w14:textId="77777777" w:rsidTr="00EA7FD3">
        <w:trPr>
          <w:jc w:val="center"/>
        </w:trPr>
        <w:tc>
          <w:tcPr>
            <w:tcW w:w="6690" w:type="dxa"/>
            <w:gridSpan w:val="3"/>
            <w:tcBorders>
              <w:top w:val="single" w:sz="4" w:space="0" w:color="auto"/>
            </w:tcBorders>
          </w:tcPr>
          <w:p w14:paraId="693BD2C2" w14:textId="77777777" w:rsidR="0050001C" w:rsidRPr="00912BAB" w:rsidRDefault="0050001C" w:rsidP="0050001C">
            <w:pPr>
              <w:rPr>
                <w:rFonts w:ascii="Arial" w:hAnsi="Arial" w:cs="Arial"/>
              </w:rPr>
            </w:pPr>
            <w:r w:rsidRPr="0081181F">
              <w:rPr>
                <w:b/>
              </w:rPr>
              <w:t>Mode of Transportation</w:t>
            </w:r>
          </w:p>
        </w:tc>
      </w:tr>
      <w:tr w:rsidR="00BE1975" w:rsidRPr="00912BAB" w14:paraId="712A732A" w14:textId="77777777" w:rsidTr="005344A4">
        <w:trPr>
          <w:jc w:val="center"/>
        </w:trPr>
        <w:tc>
          <w:tcPr>
            <w:tcW w:w="3093" w:type="dxa"/>
          </w:tcPr>
          <w:p w14:paraId="2BD62228" w14:textId="77777777" w:rsidR="00BE1975" w:rsidRDefault="003C5CEE" w:rsidP="002F3642">
            <w:pPr>
              <w:jc w:val="both"/>
            </w:pPr>
            <w:r>
              <w:t>Public Transportation</w:t>
            </w:r>
          </w:p>
        </w:tc>
        <w:tc>
          <w:tcPr>
            <w:tcW w:w="1228" w:type="dxa"/>
          </w:tcPr>
          <w:p w14:paraId="50E92F26" w14:textId="77777777" w:rsidR="00BE1975" w:rsidRDefault="00CE2BB9" w:rsidP="0050001C">
            <w:pPr>
              <w:jc w:val="center"/>
              <w:rPr>
                <w:rFonts w:ascii="Arial" w:hAnsi="Arial" w:cs="Arial"/>
              </w:rPr>
            </w:pPr>
            <w:r>
              <w:rPr>
                <w:rFonts w:ascii="Arial" w:hAnsi="Arial" w:cs="Arial"/>
              </w:rPr>
              <w:t>8</w:t>
            </w:r>
          </w:p>
        </w:tc>
        <w:tc>
          <w:tcPr>
            <w:tcW w:w="2369" w:type="dxa"/>
          </w:tcPr>
          <w:p w14:paraId="1CC29DBF" w14:textId="77777777" w:rsidR="00BE1975" w:rsidRPr="00912BAB" w:rsidRDefault="00BA761A" w:rsidP="0050001C">
            <w:pPr>
              <w:jc w:val="center"/>
              <w:rPr>
                <w:rFonts w:ascii="Arial" w:hAnsi="Arial" w:cs="Arial"/>
              </w:rPr>
            </w:pPr>
            <w:r>
              <w:rPr>
                <w:rFonts w:ascii="Arial" w:hAnsi="Arial" w:cs="Arial"/>
              </w:rPr>
              <w:t>8.0</w:t>
            </w:r>
          </w:p>
        </w:tc>
      </w:tr>
      <w:tr w:rsidR="00BE1975" w:rsidRPr="00912BAB" w14:paraId="2CAB46C6" w14:textId="77777777" w:rsidTr="005344A4">
        <w:trPr>
          <w:jc w:val="center"/>
        </w:trPr>
        <w:tc>
          <w:tcPr>
            <w:tcW w:w="3093" w:type="dxa"/>
          </w:tcPr>
          <w:p w14:paraId="0490F6BE" w14:textId="77777777" w:rsidR="00BE1975" w:rsidRDefault="003C5CEE" w:rsidP="002F3642">
            <w:pPr>
              <w:jc w:val="both"/>
            </w:pPr>
            <w:r>
              <w:t>Private Vehicle</w:t>
            </w:r>
          </w:p>
        </w:tc>
        <w:tc>
          <w:tcPr>
            <w:tcW w:w="1228" w:type="dxa"/>
          </w:tcPr>
          <w:p w14:paraId="48567A77" w14:textId="77777777" w:rsidR="00BE1975" w:rsidRDefault="00CE2BB9" w:rsidP="0050001C">
            <w:pPr>
              <w:jc w:val="center"/>
              <w:rPr>
                <w:rFonts w:ascii="Arial" w:hAnsi="Arial" w:cs="Arial"/>
              </w:rPr>
            </w:pPr>
            <w:r>
              <w:rPr>
                <w:rFonts w:ascii="Arial" w:hAnsi="Arial" w:cs="Arial"/>
              </w:rPr>
              <w:t>70</w:t>
            </w:r>
          </w:p>
        </w:tc>
        <w:tc>
          <w:tcPr>
            <w:tcW w:w="2369" w:type="dxa"/>
          </w:tcPr>
          <w:p w14:paraId="38A4FDD9" w14:textId="77777777" w:rsidR="00BE1975" w:rsidRPr="00912BAB" w:rsidRDefault="00BA761A" w:rsidP="0050001C">
            <w:pPr>
              <w:jc w:val="center"/>
              <w:rPr>
                <w:rFonts w:ascii="Arial" w:hAnsi="Arial" w:cs="Arial"/>
              </w:rPr>
            </w:pPr>
            <w:r>
              <w:rPr>
                <w:rFonts w:ascii="Arial" w:hAnsi="Arial" w:cs="Arial"/>
              </w:rPr>
              <w:t>70.0</w:t>
            </w:r>
          </w:p>
        </w:tc>
      </w:tr>
      <w:tr w:rsidR="00BE1975" w:rsidRPr="00912BAB" w14:paraId="1DF5EDB2" w14:textId="77777777" w:rsidTr="005344A4">
        <w:trPr>
          <w:jc w:val="center"/>
        </w:trPr>
        <w:tc>
          <w:tcPr>
            <w:tcW w:w="3093" w:type="dxa"/>
            <w:tcBorders>
              <w:bottom w:val="single" w:sz="4" w:space="0" w:color="auto"/>
            </w:tcBorders>
          </w:tcPr>
          <w:p w14:paraId="41C6E4B5" w14:textId="77777777" w:rsidR="00BE1975" w:rsidRDefault="003C5CEE" w:rsidP="002F3642">
            <w:pPr>
              <w:jc w:val="both"/>
            </w:pPr>
            <w:r>
              <w:t>Rental Vehicle</w:t>
            </w:r>
          </w:p>
        </w:tc>
        <w:tc>
          <w:tcPr>
            <w:tcW w:w="1228" w:type="dxa"/>
            <w:tcBorders>
              <w:bottom w:val="single" w:sz="4" w:space="0" w:color="auto"/>
            </w:tcBorders>
          </w:tcPr>
          <w:p w14:paraId="0640D83D" w14:textId="77777777" w:rsidR="00BE1975" w:rsidRDefault="00CE2BB9" w:rsidP="0050001C">
            <w:pPr>
              <w:jc w:val="center"/>
              <w:rPr>
                <w:rFonts w:ascii="Arial" w:hAnsi="Arial" w:cs="Arial"/>
              </w:rPr>
            </w:pPr>
            <w:r>
              <w:rPr>
                <w:rFonts w:ascii="Arial" w:hAnsi="Arial" w:cs="Arial"/>
              </w:rPr>
              <w:t>22</w:t>
            </w:r>
          </w:p>
        </w:tc>
        <w:tc>
          <w:tcPr>
            <w:tcW w:w="2369" w:type="dxa"/>
            <w:tcBorders>
              <w:bottom w:val="single" w:sz="4" w:space="0" w:color="auto"/>
            </w:tcBorders>
          </w:tcPr>
          <w:p w14:paraId="00B43F88" w14:textId="77777777" w:rsidR="00BE1975" w:rsidRPr="00912BAB" w:rsidRDefault="00BA761A" w:rsidP="0050001C">
            <w:pPr>
              <w:jc w:val="center"/>
              <w:rPr>
                <w:rFonts w:ascii="Arial" w:hAnsi="Arial" w:cs="Arial"/>
              </w:rPr>
            </w:pPr>
            <w:r>
              <w:rPr>
                <w:rFonts w:ascii="Arial" w:hAnsi="Arial" w:cs="Arial"/>
              </w:rPr>
              <w:t>22.0</w:t>
            </w:r>
          </w:p>
        </w:tc>
      </w:tr>
    </w:tbl>
    <w:p w14:paraId="7EAC7C5C"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A2BD1B1" w14:textId="77777777" w:rsidR="008962CC" w:rsidRPr="00EC140A" w:rsidRDefault="008962CC" w:rsidP="008962CC">
      <w:pPr>
        <w:jc w:val="both"/>
        <w:rPr>
          <w:rFonts w:ascii="Arial" w:hAnsi="Arial" w:cs="Arial"/>
        </w:rPr>
      </w:pPr>
      <w:r w:rsidRPr="00EC140A">
        <w:rPr>
          <w:rFonts w:ascii="Arial" w:hAnsi="Arial" w:cs="Arial"/>
        </w:rPr>
        <w:t xml:space="preserve">The socio-economic profile indicates that TMII is predominantly visited by young adults, with the 20–30 age group representing more than half of all visitors. Students and young professionals also make up the largest occupational segments. This demographic pattern aligns with recent tourism literature, which shows that younger tourists tend to engage more actively in urban leisure and short-duration recreational trips </w:t>
      </w:r>
      <w:r w:rsidR="0096437C" w:rsidRPr="00EC140A">
        <w:rPr>
          <w:rFonts w:ascii="Arial" w:hAnsi="Arial" w:cs="Arial"/>
        </w:rPr>
        <w:fldChar w:fldCharType="begin" w:fldLock="1"/>
      </w:r>
      <w:r w:rsidR="0096437C" w:rsidRPr="00EC140A">
        <w:rPr>
          <w:rFonts w:ascii="Arial" w:hAnsi="Arial" w:cs="Arial"/>
        </w:rPr>
        <w:instrText>ADDIN CSL_CITATION {"citationItems":[{"id":"ITEM-1","itemData":{"DOI":"10.3390/admsci13100215","ISBN":"2076-3387","abstract":"This study aimed at identifying the factors influencing tourists’ decisions in choosing their vacation destinations as well as factors influencing their behavior. An online survey was applied to 861 Romanian tourists. The principal component analysis was run to reduce the dimensionality of the 23 items and used to determine the factors that influence tourists’ decision in choosing their destination, leading to a four-component solution. The results indicated that aspects related to destination image, destination unique characteristics and the accommodation facilities are more important for women than for the men. Regarding the travel organization factor, there was no statistically significant difference between the two groups. Families and older tourists with high incomes are positively linked to the length of stay. These insights on the factors influencing tourists’ decision-making process are of the utmost importance for managers and overall tourism service providers in the design of marketing and management strategies in accordance to tourists’ expectations and needs.","author":[{"dropping-particle":"","family":"Mihai","given":"Valentin C","non-dropping-particle":"","parse-names":false,"suffix":""},{"dropping-particle":"","family":"Dumitras","given":"Diana E","non-dropping-particle":"","parse-names":false,"suffix":""},{"dropping-particle":"","family":"Oroian","given":"Camelia","non-dropping-particle":"","parse-names":false,"suffix":""},{"dropping-particle":"","family":"Chiciudean","given":"Gabriela O","non-dropping-particle":"","parse-names":false,"suffix":""},{"dropping-particle":"","family":"Arion","given":"Felix H","non-dropping-particle":"","parse-names":false,"suffix":""},{"dropping-particle":"","family":"Mureșan","given":"Iulia C","non-dropping-particle":"","parse-names":false,"suffix":""}],"container-title":"Administrative Sciences","id":"ITEM-1","issue":"10","issued":{"date-parts":[["2023"]]},"title":"Exploring the Factors Involved in Tourists’ Decision-Making and Determinants of Length of Stay","type":"article","volume":"13"},"uris":["http://www.mendeley.com/documents/?uuid=458aa635-5715-42fd-9597-d1aaf227f3bf"]}],"mendeley":{"formattedCitation":"(Mihai et al., 2023)","plainTextFormattedCitation":"(Mihai et al., 2023)","previouslyFormattedCitation":"(Mihai et al., 2023)"},"properties":{"noteIndex":0},"schema":"https://github.com/citation-style-language/schema/raw/master/csl-citation.json"}</w:instrText>
      </w:r>
      <w:r w:rsidR="0096437C" w:rsidRPr="00EC140A">
        <w:rPr>
          <w:rFonts w:ascii="Arial" w:hAnsi="Arial" w:cs="Arial"/>
        </w:rPr>
        <w:fldChar w:fldCharType="separate"/>
      </w:r>
      <w:r w:rsidR="0096437C" w:rsidRPr="00EC140A">
        <w:rPr>
          <w:rFonts w:ascii="Arial" w:hAnsi="Arial" w:cs="Arial"/>
          <w:noProof/>
        </w:rPr>
        <w:t>(Mihai et al., 2023)</w:t>
      </w:r>
      <w:r w:rsidR="0096437C" w:rsidRPr="00EC140A">
        <w:rPr>
          <w:rFonts w:ascii="Arial" w:hAnsi="Arial" w:cs="Arial"/>
        </w:rPr>
        <w:fldChar w:fldCharType="end"/>
      </w:r>
      <w:r w:rsidR="0096437C" w:rsidRPr="00EC140A">
        <w:rPr>
          <w:rFonts w:ascii="Arial" w:hAnsi="Arial" w:cs="Arial"/>
        </w:rPr>
        <w:t xml:space="preserve">. </w:t>
      </w:r>
      <w:r w:rsidRPr="00EC140A">
        <w:rPr>
          <w:rFonts w:ascii="Arial" w:hAnsi="Arial" w:cs="Arial"/>
        </w:rPr>
        <w:t>Their generally lower income levels further support the interpretation that TMII attracts a price-sensitive audience that is highly responsive to affordable and accessible tourism offerings.</w:t>
      </w:r>
    </w:p>
    <w:p w14:paraId="3E1843B3" w14:textId="77777777" w:rsidR="008962CC" w:rsidRPr="00EC140A" w:rsidRDefault="008962CC" w:rsidP="008962CC">
      <w:pPr>
        <w:jc w:val="both"/>
        <w:rPr>
          <w:rFonts w:ascii="Arial" w:hAnsi="Arial" w:cs="Arial"/>
        </w:rPr>
      </w:pPr>
    </w:p>
    <w:p w14:paraId="43EA000C" w14:textId="77777777" w:rsidR="008962CC" w:rsidRPr="00EC140A" w:rsidRDefault="008962CC" w:rsidP="008962CC">
      <w:pPr>
        <w:jc w:val="both"/>
        <w:rPr>
          <w:rFonts w:ascii="Arial" w:hAnsi="Arial" w:cs="Arial"/>
        </w:rPr>
      </w:pPr>
      <w:r w:rsidRPr="00EC140A">
        <w:rPr>
          <w:rFonts w:ascii="Arial" w:hAnsi="Arial" w:cs="Arial"/>
        </w:rPr>
        <w:t xml:space="preserve">The distribution of educational attainment, dominated by high-school and bachelor’s degree holders, suggests that the site appeals to relatively well-educated visitors. Prior studies have demonstrated a positive association between education and cultural interest, leisure participation, and environmental awareness </w:t>
      </w:r>
      <w:r w:rsidR="004B7443" w:rsidRPr="00EC140A">
        <w:rPr>
          <w:rFonts w:ascii="Arial" w:hAnsi="Arial" w:cs="Arial"/>
        </w:rPr>
        <w:fldChar w:fldCharType="begin" w:fldLock="1"/>
      </w:r>
      <w:r w:rsidR="004B7443" w:rsidRPr="00EC140A">
        <w:rPr>
          <w:rFonts w:ascii="Arial" w:hAnsi="Arial" w:cs="Arial"/>
        </w:rPr>
        <w:instrText>ADDIN CSL_CITATION {"citationItems":[{"id":"ITEM-1","itemData":{"DOI":"10.1080/09669582.2021.1924757","ISSN":"0966-9582","author":[{"dropping-particle":"","family":"Kronenberg","given":"Kai","non-dropping-particle":"","parse-names":false,"suffix":""},{"dropping-particle":"","family":"Fuchs","given":"Matthias","non-dropping-particle":"","parse-names":false,"suffix":""}],"container-title":"Journal of Sustainable Tourism","id":"ITEM-1","issue":"12","issued":{"date-parts":[["2022","12","2"]]},"note":"doi: 10.1080/09669582.2021.1924757","page":"2785-2805","publisher":"Routledge","title":"The socio-economic impact of regional tourism: an occupation-based modelling perspective from Sweden","type":"article-journal","volume":"30"},"uris":["http://www.mendeley.com/documents/?uuid=07442c97-6c5d-47e6-8697-7c231ae9d3b4"]}],"mendeley":{"formattedCitation":"(Kronenberg &amp; Fuchs, 2022)","plainTextFormattedCitation":"(Kronenberg &amp; Fuchs, 2022)","previouslyFormattedCitation":"(Kronenberg &amp; Fuchs, 2022)"},"properties":{"noteIndex":0},"schema":"https://github.com/citation-style-language/schema/raw/master/csl-citation.json"}</w:instrText>
      </w:r>
      <w:r w:rsidR="004B7443" w:rsidRPr="00EC140A">
        <w:rPr>
          <w:rFonts w:ascii="Arial" w:hAnsi="Arial" w:cs="Arial"/>
        </w:rPr>
        <w:fldChar w:fldCharType="separate"/>
      </w:r>
      <w:r w:rsidR="004B7443" w:rsidRPr="00EC140A">
        <w:rPr>
          <w:rFonts w:ascii="Arial" w:hAnsi="Arial" w:cs="Arial"/>
          <w:noProof/>
        </w:rPr>
        <w:t>(Kronenberg &amp; Fuchs, 2022)</w:t>
      </w:r>
      <w:r w:rsidR="004B7443" w:rsidRPr="00EC140A">
        <w:rPr>
          <w:rFonts w:ascii="Arial" w:hAnsi="Arial" w:cs="Arial"/>
        </w:rPr>
        <w:fldChar w:fldCharType="end"/>
      </w:r>
      <w:r w:rsidR="004B7443" w:rsidRPr="00EC140A">
        <w:rPr>
          <w:rFonts w:ascii="Arial" w:hAnsi="Arial" w:cs="Arial"/>
        </w:rPr>
        <w:t xml:space="preserve">. </w:t>
      </w:r>
      <w:r w:rsidRPr="00EC140A">
        <w:rPr>
          <w:rFonts w:ascii="Arial" w:hAnsi="Arial" w:cs="Arial"/>
        </w:rPr>
        <w:t xml:space="preserve">Therefore, these socio-economic indicators suggest that TMII may benefit from offering educational and interpretation-based experiences, which are commonly preferred by more educated tourists. The gender distribution was relatively balanced, with females slightly outnumbering males, a trend also reported in comparable studies on urban-park and cultural-heritage visitation </w:t>
      </w:r>
      <w:r w:rsidR="0080759D" w:rsidRPr="00EC140A">
        <w:rPr>
          <w:rFonts w:ascii="Arial" w:hAnsi="Arial" w:cs="Arial"/>
        </w:rPr>
        <w:fldChar w:fldCharType="begin" w:fldLock="1"/>
      </w:r>
      <w:r w:rsidR="0080759D" w:rsidRPr="00EC140A">
        <w:rPr>
          <w:rFonts w:ascii="Arial" w:hAnsi="Arial" w:cs="Arial"/>
        </w:rPr>
        <w:instrText>ADDIN CSL_CITATION {"citationItems":[{"id":"ITEM-1","itemData":{"DOI":"https://doi.org/10.1002/sd.2859","ISSN":"0968-0802","abstract":"Abstract Sustainable tourist behavior is a rapidly growing field within sustainable tourism. This study contributes to this emerging body of knowledge through a systematic literature review combining bibliometric and qualitative analysis of 331 publications. Key themes in sustainable tourist behavior research, including intended and actual behaviors, were identified with scholarly debates in this field discussed critically. Sustainability topics widely studied in other disciplines have been overlooked from a tourist behavior perspective, including waste classification and recycling, as well as applications of sustainable design to the management of the visitor economy. Additionally, this analysis revealed imbalances in sustainable development practice and research related to the visitor economy and gaps in theory development. This study builds on these findings and discusses an agenda for future research in sustainable tourist behavior. The findings contribute to shaping the conceptualization of sustainable tourist behavior, recognizing its dynamic nature, providing an overview of theories and antecedents, and underscoring the significance of considering diverse factors in future research. They also suggest that decision-makers in tourism should prioritize understanding tourist sustainable behavior through market segmentation, incorporate design and technology into sustainable initiatives, and align strategies with the specific needs and requirements of tourists for effective and sustainable tourism development.","author":[{"dropping-particle":"","family":"Li","given":"Jiawei","non-dropping-particle":"","parse-names":false,"suffix":""},{"dropping-particle":"","family":"Coca-Stefaniak","given":"J Andres","non-dropping-particle":"","parse-names":false,"suffix":""},{"dropping-particle":"","family":"Nguyen","given":"Thi Hong Hai","non-dropping-particle":"","parse-names":false,"suffix":""},{"dropping-particle":"","family":"Morrison","given":"Alastair M","non-dropping-particle":"","parse-names":false,"suffix":""}],"container-title":"Sustainable Development","id":"ITEM-1","issue":"4","issued":{"date-parts":[["2024","8","1"]]},"page":"3356-3374","publisher":"John Wiley &amp; Sons, Ltd","title":"Sustainable tourist behavior: A systematic literature review and research agenda","type":"article-journal","volume":"32"},"uris":["http://www.mendeley.com/documents/?uuid=27c8068d-e306-4594-b4ac-3dbfa2e334b9"]}],"mendeley":{"formattedCitation":"(Li et al., 2024)","plainTextFormattedCitation":"(Li et al., 2024)","previouslyFormattedCitation":"(Li et al., 2024)"},"properties":{"noteIndex":0},"schema":"https://github.com/citation-style-language/schema/raw/master/csl-citation.json"}</w:instrText>
      </w:r>
      <w:r w:rsidR="0080759D" w:rsidRPr="00EC140A">
        <w:rPr>
          <w:rFonts w:ascii="Arial" w:hAnsi="Arial" w:cs="Arial"/>
        </w:rPr>
        <w:fldChar w:fldCharType="separate"/>
      </w:r>
      <w:r w:rsidR="0080759D" w:rsidRPr="00EC140A">
        <w:rPr>
          <w:rFonts w:ascii="Arial" w:hAnsi="Arial" w:cs="Arial"/>
          <w:noProof/>
        </w:rPr>
        <w:t>(Li et al., 2024)</w:t>
      </w:r>
      <w:r w:rsidR="0080759D" w:rsidRPr="00EC140A">
        <w:rPr>
          <w:rFonts w:ascii="Arial" w:hAnsi="Arial" w:cs="Arial"/>
        </w:rPr>
        <w:fldChar w:fldCharType="end"/>
      </w:r>
      <w:r w:rsidR="0080759D" w:rsidRPr="00EC140A">
        <w:rPr>
          <w:rFonts w:ascii="Arial" w:hAnsi="Arial" w:cs="Arial"/>
        </w:rPr>
        <w:t>.</w:t>
      </w:r>
    </w:p>
    <w:p w14:paraId="031093EC" w14:textId="77777777" w:rsidR="008962CC" w:rsidRPr="00EC140A" w:rsidRDefault="008962CC" w:rsidP="008962CC">
      <w:pPr>
        <w:jc w:val="both"/>
        <w:rPr>
          <w:rFonts w:ascii="Arial" w:hAnsi="Arial" w:cs="Arial"/>
        </w:rPr>
      </w:pPr>
    </w:p>
    <w:p w14:paraId="2E0763C2" w14:textId="77777777" w:rsidR="008962CC" w:rsidRPr="00EC140A" w:rsidRDefault="008962CC" w:rsidP="008962CC">
      <w:pPr>
        <w:jc w:val="both"/>
        <w:rPr>
          <w:rFonts w:ascii="Arial" w:hAnsi="Arial" w:cs="Arial"/>
        </w:rPr>
      </w:pPr>
      <w:r w:rsidRPr="00EC140A">
        <w:rPr>
          <w:rFonts w:ascii="Arial" w:hAnsi="Arial" w:cs="Arial"/>
        </w:rPr>
        <w:t>The geographic profile reveals that the majority of visitors originate from Jakarta, West Java, and Banten. This emphasizes TMII’s role as a regional leisure destination rather than a national or international attraction. Literature consistently finds that proximity is strongly correlated with visitation frequency, travel mode, and length of stay</w:t>
      </w:r>
      <w:r w:rsidR="00EC140A" w:rsidRPr="00EC140A">
        <w:rPr>
          <w:rFonts w:ascii="Arial" w:hAnsi="Arial" w:cs="Arial"/>
        </w:rPr>
        <w:t xml:space="preserve"> </w:t>
      </w:r>
      <w:r w:rsidR="00EC140A" w:rsidRPr="00EC140A">
        <w:rPr>
          <w:rFonts w:ascii="Arial" w:hAnsi="Arial" w:cs="Arial"/>
        </w:rPr>
        <w:fldChar w:fldCharType="begin" w:fldLock="1"/>
      </w:r>
      <w:r w:rsidR="00EC140A" w:rsidRPr="00EC140A">
        <w:rPr>
          <w:rFonts w:ascii="Arial" w:hAnsi="Arial" w:cs="Arial"/>
        </w:rPr>
        <w:instrText>ADDIN CSL_CITATION {"citationItems":[{"id":"ITEM-1","itemData":{"DOI":"10.1371/journal.pone.0259709","ISSN":"1932-6203 (Electronic)","PMID":"34874932","abstract":"This paper aims to identify the determinants of the length of stay (LoS) of  international tourists in Norway. The paper reassesses the standard assumption related to tourists' LoS; it refers to the travel industry's current trends, and it postulates a more sustainable approach to analyzing tourists' LoS at the destination level. The paper concludes with a series of recommendations. The data for this study were collected during 153 data collection days and among 5,300 travelers in Norway. The determinants of LoS were analyzed by means of an ordinary least squares (OLS) regression. The results indicate that tourists' LoS is positively related to their age, interests (nature-based tourists), origin (German, Dutch tourists) and mode of travel organization (package tourists). A negative and significant effect on tourists' LoS was found for tourists' interests (urban-based tourists), spending, and origin (home market, long-haul tourists). No significant results were revealed for two covariates, namely, gender and repeat visitation.","author":[{"dropping-particle":"","family":"Oklevik","given":"Ove","non-dropping-particle":"","parse-names":false,"suffix":""},{"dropping-particle":"","family":"Kwiatkowski","given":"Grzegorz","non-dropping-particle":"","parse-names":false,"suffix":""},{"dropping-particle":"","family":"Malchrowicz-Mośko","given":"Ewa","non-dropping-particle":"","parse-names":false,"suffix":""},{"dropping-particle":"","family":"Ossowska","given":"Luiza","non-dropping-particle":"","parse-names":false,"suffix":""},{"dropping-particle":"","family":"Janiszewska","given":"Dorota","non-dropping-particle":"","parse-names":false,"suffix":""}],"container-title":"PloS one","id":"ITEM-1","issue":"12","issued":{"date-parts":[["2021"]]},"language":"eng","page":"e0259709","publisher-place":"United States","title":"Determinants of tourists' length of stay.","type":"article-journal","volume":"16"},"uris":["http://www.mendeley.com/documents/?uuid=1820c1ca-fa69-49a9-9a71-4586f24843f9"]}],"mendeley":{"formattedCitation":"(Oklevik et al., 2021)","plainTextFormattedCitation":"(Oklevik et al., 2021)","previouslyFormattedCitation":"(Oklevik et al., 2021)"},"properties":{"noteIndex":0},"schema":"https://github.com/citation-style-language/schema/raw/master/csl-citation.json"}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(Oklevik et al., 2021)</w:t>
      </w:r>
      <w:r w:rsidR="00EC140A" w:rsidRPr="00EC140A">
        <w:rPr>
          <w:rFonts w:ascii="Arial" w:hAnsi="Arial" w:cs="Arial"/>
        </w:rPr>
        <w:fldChar w:fldCharType="end"/>
      </w:r>
      <w:r w:rsidR="00EC140A" w:rsidRPr="00EC140A">
        <w:rPr>
          <w:rFonts w:ascii="Arial" w:hAnsi="Arial" w:cs="Arial"/>
        </w:rPr>
        <w:t xml:space="preserve">. </w:t>
      </w:r>
      <w:r w:rsidRPr="00EC140A">
        <w:rPr>
          <w:rFonts w:ascii="Arial" w:hAnsi="Arial" w:cs="Arial"/>
        </w:rPr>
        <w:t>Local and regional visitors typically engage in day trips, travel independently, and stay for shorter durations, patterns that align with the results of this study.</w:t>
      </w:r>
    </w:p>
    <w:p w14:paraId="6C8AC498" w14:textId="77777777" w:rsidR="008962CC" w:rsidRPr="00EC140A" w:rsidRDefault="008962CC" w:rsidP="008962CC">
      <w:pPr>
        <w:jc w:val="both"/>
        <w:rPr>
          <w:rFonts w:ascii="Arial" w:hAnsi="Arial" w:cs="Arial"/>
        </w:rPr>
      </w:pPr>
    </w:p>
    <w:p w14:paraId="22A4F820" w14:textId="77777777" w:rsidR="008962CC" w:rsidRPr="00EC140A" w:rsidRDefault="008962CC" w:rsidP="008962CC">
      <w:pPr>
        <w:jc w:val="both"/>
        <w:rPr>
          <w:rFonts w:ascii="Arial" w:hAnsi="Arial" w:cs="Arial"/>
        </w:rPr>
      </w:pPr>
      <w:r w:rsidRPr="00EC140A">
        <w:rPr>
          <w:rFonts w:ascii="Arial" w:hAnsi="Arial" w:cs="Arial"/>
        </w:rPr>
        <w:t xml:space="preserve">Moreover, the smaller portion of visitors coming from outside Java indicates that TMII has limited pull as a long-distance destination. This pattern has implications for destination marketing: rather than promoting TMII primarily as a long-haul attraction, management may benefit from focusing on strengthening its appeal as a metropolitan recreational hub. This </w:t>
      </w:r>
      <w:r w:rsidRPr="00EC140A">
        <w:rPr>
          <w:rFonts w:ascii="Arial" w:hAnsi="Arial" w:cs="Arial"/>
        </w:rPr>
        <w:lastRenderedPageBreak/>
        <w:t>may include collaborating with regional governments and transport providers to develop integrated leisure packages for residents of Greater Jakarta and surrounding provinces.</w:t>
      </w:r>
    </w:p>
    <w:p w14:paraId="2DCFB5AC" w14:textId="77777777" w:rsidR="008962CC" w:rsidRPr="00EC140A" w:rsidRDefault="008962CC" w:rsidP="008962CC">
      <w:pPr>
        <w:jc w:val="both"/>
        <w:rPr>
          <w:rFonts w:ascii="Arial" w:hAnsi="Arial" w:cs="Arial"/>
        </w:rPr>
      </w:pPr>
      <w:r w:rsidRPr="00EC140A">
        <w:rPr>
          <w:rFonts w:ascii="Arial" w:hAnsi="Arial" w:cs="Arial"/>
        </w:rPr>
        <w:t xml:space="preserve"> </w:t>
      </w:r>
    </w:p>
    <w:p w14:paraId="14795D5B" w14:textId="77777777" w:rsidR="008962CC" w:rsidRPr="00EC140A" w:rsidRDefault="008962CC" w:rsidP="008962CC">
      <w:pPr>
        <w:jc w:val="both"/>
        <w:rPr>
          <w:rFonts w:ascii="Arial" w:hAnsi="Arial" w:cs="Arial"/>
        </w:rPr>
      </w:pPr>
      <w:r w:rsidRPr="00EC140A">
        <w:rPr>
          <w:rFonts w:ascii="Arial" w:hAnsi="Arial" w:cs="Arial"/>
        </w:rPr>
        <w:t xml:space="preserve">Psychographic attributes, particularly those related to transportation choice and visitation time, provide further insights into tourist preferences. The overwhelming use of private vehicles, particularly cars, highlights visitors’ preference for convenience, autonomy, and flexibility. Such preferences are strongly associated with psychographic segments that value comfort and control over their travel experience </w:t>
      </w:r>
      <w:r w:rsidR="00EC140A" w:rsidRPr="00EC140A">
        <w:rPr>
          <w:rFonts w:ascii="Arial" w:hAnsi="Arial" w:cs="Arial"/>
        </w:rPr>
        <w:fldChar w:fldCharType="begin" w:fldLock="1"/>
      </w:r>
      <w:r w:rsidR="00EC140A" w:rsidRPr="00EC140A">
        <w:rPr>
          <w:rFonts w:ascii="Arial" w:hAnsi="Arial" w:cs="Arial"/>
        </w:rPr>
        <w:instrText>ADDIN CSL_CITATION {"citationItems":[{"id":"ITEM-1","itemData":{"abstract":"This study examines multi-stakeholders’ perceptions of vandalism at tourist attractions in two Asian cities: Bangkok and Singapore. It provides an opportunity to explore the differences and similarities in stakeholder attitudes towards attraction management and reveals desired levels of participation of community in managing vandalism in tourism. This mixed method research employs community survey and interviews of site managers and government officials as its main data collection approach. It also offers an innovative approach to data analysis using the severity and optimist/pessimist psychographic variables coupled with quantitative analytical techniques. The results reveal complex relationship between psychographic profiles, future and current time dimensions, and location. In conclusion, the study offers several recommendations to city managers and policymakers on methods of vandalism control. It also highlights the importance of cultural context and its influence on community involvement. While this study is limited to tourism attractions, it provides a solid foundation for future research, one that can extend into urban planning and public policy design.","author":[{"dropping-particle":"","family":"Bhati","given":"Abhishek","non-dropping-particle":"","parse-names":false,"suffix":""}],"container-title":"PLOS ONE","id":"ITEM-1","issue":"6","issued":{"date-parts":[["2021","6","3"]]},"page":"e0252195","publisher":"Public Library of Science","title":"Psychographic variables, tourist behaviour and vandalism in the South-East Asian tourism sector","type":"article-journal","volume":"16"},"uris":["http://www.mendeley.com/documents/?uuid=0d7b9362-c495-4412-8731-3db0bab4c51b"]}],"mendeley":{"formattedCitation":"(Bhati, 2021)","plainTextFormattedCitation":"(Bhati, 2021)","previouslyFormattedCitation":"(Bhati, 2021)"},"properties":{"noteIndex":0},"schema":"https://github.com/citation-style-language/schema/raw/master/csl-citation.json"}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(Bhati, 2021)</w:t>
      </w:r>
      <w:r w:rsidR="00EC140A" w:rsidRPr="00EC140A">
        <w:rPr>
          <w:rFonts w:ascii="Arial" w:hAnsi="Arial" w:cs="Arial"/>
        </w:rPr>
        <w:fldChar w:fldCharType="end"/>
      </w:r>
      <w:r w:rsidR="00EC140A" w:rsidRPr="00EC140A">
        <w:rPr>
          <w:rFonts w:ascii="Arial" w:hAnsi="Arial" w:cs="Arial"/>
        </w:rPr>
        <w:t xml:space="preserve">. </w:t>
      </w:r>
      <w:r w:rsidRPr="00EC140A">
        <w:rPr>
          <w:rFonts w:ascii="Arial" w:hAnsi="Arial" w:cs="Arial"/>
        </w:rPr>
        <w:t>The low use of public transportation may indicate perceived inconveniences, insufficient connectivity, or a lack of awareness of available transit options. This pattern also contributes to congestion and environmental pressure, a concern commonly emphasized in the sustainable tourism literature</w:t>
      </w:r>
      <w:r w:rsidR="00EC140A" w:rsidRPr="00EC140A">
        <w:rPr>
          <w:rFonts w:ascii="Arial" w:hAnsi="Arial" w:cs="Arial"/>
        </w:rPr>
        <w:t xml:space="preserve"> </w:t>
      </w:r>
      <w:r w:rsidR="00EC140A" w:rsidRPr="00EC140A">
        <w:rPr>
          <w:rFonts w:ascii="Arial" w:hAnsi="Arial" w:cs="Arial"/>
        </w:rPr>
        <w:fldChar w:fldCharType="begin" w:fldLock="1"/>
      </w:r>
      <w:r w:rsidR="00EC140A" w:rsidRPr="00EC140A">
        <w:rPr>
          <w:rFonts w:ascii="Arial" w:hAnsi="Arial" w:cs="Arial"/>
        </w:rPr>
        <w:instrText>ADDIN CSL_CITATION {"citationItems":[{"id":"ITEM-1","itemData":{"DOI":"https://doi.org/10.1002/sd.2859","ISSN":"0968-0802","abstract":"Abstract Sustainable tourist behavior is a rapidly growing field within sustainable tourism. This study contributes to this emerging body of knowledge through a systematic literature review combining bibliometric and qualitative analysis of 331 publications. Key themes in sustainable tourist behavior research, including intended and actual behaviors, were identified with scholarly debates in this field discussed critically. Sustainability topics widely studied in other disciplines have been overlooked from a tourist behavior perspective, including waste classification and recycling, as well as applications of sustainable design to the management of the visitor economy. Additionally, this analysis revealed imbalances in sustainable development practice and research related to the visitor economy and gaps in theory development. This study builds on these findings and discusses an agenda for future research in sustainable tourist behavior. The findings contribute to shaping the conceptualization of sustainable tourist behavior, recognizing its dynamic nature, providing an overview of theories and antecedents, and underscoring the significance of considering diverse factors in future research. They also suggest that decision-makers in tourism should prioritize understanding tourist sustainable behavior through market segmentation, incorporate design and technology into sustainable initiatives, and align strategies with the specific needs and requirements of tourists for effective and sustainable tourism development.","author":[{"dropping-particle":"","family":"Li","given":"Jiawei","non-dropping-particle":"","parse-names":false,"suffix":""},{"dropping-particle":"","family":"Coca-Stefaniak","given":"J Andres","non-dropping-particle":"","parse-names":false,"suffix":""},{"dropping-particle":"","family":"Nguyen","given":"Thi Hong Hai","non-dropping-particle":"","parse-names":false,"suffix":""},{"dropping-particle":"","family":"Morrison","given":"Alastair M","non-dropping-particle":"","parse-names":false,"suffix":""}],"container-title":"Sustainable Development","id":"ITEM-1","issue":"4","issued":{"date-parts":[["2024","8","1"]]},"page":"3356-3374","publisher":"John Wiley &amp; Sons, Ltd","title":"Sustainable tourist behavior: A systematic literature review and research agenda","type":"article-journal","volume":"32"},"uris":["http://www.mendeley.com/documents/?uuid=27c8068d-e306-4594-b4ac-3dbfa2e334b9"]}],"mendeley":{"formattedCitation":"(Li et al., 2024)","plainTextFormattedCitation":"(Li et al., 2024)","previouslyFormattedCitation":"(Li et al., 2024)"},"properties":{"noteIndex":0},"schema":"https://github.com/citation-style-language/schema/raw/master/csl-citation.json"}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(Li et al., 2024)</w:t>
      </w:r>
      <w:r w:rsidR="00EC140A" w:rsidRPr="00EC140A">
        <w:rPr>
          <w:rFonts w:ascii="Arial" w:hAnsi="Arial" w:cs="Arial"/>
        </w:rPr>
        <w:fldChar w:fldCharType="end"/>
      </w:r>
      <w:r w:rsidR="00EC140A" w:rsidRPr="00EC140A">
        <w:rPr>
          <w:rFonts w:ascii="Arial" w:hAnsi="Arial" w:cs="Arial"/>
        </w:rPr>
        <w:t>.</w:t>
      </w:r>
    </w:p>
    <w:p w14:paraId="0EFF25AF" w14:textId="77777777" w:rsidR="00EC140A" w:rsidRPr="00EC140A" w:rsidRDefault="00EC140A" w:rsidP="008962CC">
      <w:pPr>
        <w:jc w:val="both"/>
        <w:rPr>
          <w:rFonts w:ascii="Arial" w:hAnsi="Arial" w:cs="Arial"/>
        </w:rPr>
      </w:pPr>
    </w:p>
    <w:p w14:paraId="6D5551D6" w14:textId="77777777" w:rsidR="008962CC" w:rsidRPr="00EC140A" w:rsidRDefault="008962CC" w:rsidP="008962CC">
      <w:pPr>
        <w:jc w:val="both"/>
        <w:rPr>
          <w:rFonts w:ascii="Arial" w:hAnsi="Arial" w:cs="Arial"/>
        </w:rPr>
      </w:pPr>
      <w:r w:rsidRPr="00EC140A">
        <w:rPr>
          <w:rFonts w:ascii="Arial" w:hAnsi="Arial" w:cs="Arial"/>
        </w:rPr>
        <w:t xml:space="preserve">Visitation timing is similarly revealing. The predominance of weekend and holiday visits suggests that TMII is primarily positioned as a leisure-oriented destination. This </w:t>
      </w:r>
      <w:proofErr w:type="spellStart"/>
      <w:r w:rsidRPr="00EC140A">
        <w:rPr>
          <w:rFonts w:ascii="Arial" w:hAnsi="Arial" w:cs="Arial"/>
        </w:rPr>
        <w:t>behaviour</w:t>
      </w:r>
      <w:proofErr w:type="spellEnd"/>
      <w:r w:rsidRPr="00EC140A">
        <w:rPr>
          <w:rFonts w:ascii="Arial" w:hAnsi="Arial" w:cs="Arial"/>
        </w:rPr>
        <w:t xml:space="preserve"> is typical among tourists whose motivations are social, family-oriented, or recreational, consistent with the high proportion of visitors traveling with family or friends. Psychographic segmentation theory argues that motivations and lifestyle orientations drive temporal preferences and group composition </w:t>
      </w:r>
      <w:r w:rsidR="00EC140A" w:rsidRPr="00EC140A">
        <w:rPr>
          <w:rFonts w:ascii="Arial" w:hAnsi="Arial" w:cs="Arial"/>
        </w:rPr>
        <w:fldChar w:fldCharType="begin" w:fldLock="1"/>
      </w:r>
      <w:r w:rsidR="00EC140A" w:rsidRPr="00EC140A">
        <w:rPr>
          <w:rFonts w:ascii="Arial" w:hAnsi="Arial" w:cs="Arial"/>
        </w:rPr>
        <w:instrText>ADDIN CSL_CITATION {"citationItems":[{"id":"ITEM-1","itemData":{"abstract":"This study examines multi-stakeholders’ perceptions of vandalism at tourist attractions in two Asian cities: Bangkok and Singapore. It provides an opportunity to explore the differences and similarities in stakeholder attitudes towards attraction management and reveals desired levels of participation of community in managing vandalism in tourism. This mixed method research employs community survey and interviews of site managers and government officials as its main data collection approach. It also offers an innovative approach to data analysis using the severity and optimist/pessimist psychographic variables coupled with quantitative analytical techniques. The results reveal complex relationship between psychographic profiles, future and current time dimensions, and location. In conclusion, the study offers several recommendations to city managers and policymakers on methods of vandalism control. It also highlights the importance of cultural context and its influence on community involvement. While this study is limited to tourism attractions, it provides a solid foundation for future research, one that can extend into urban planning and public policy design.","author":[{"dropping-particle":"","family":"Bhati","given":"Abhishek","non-dropping-particle":"","parse-names":false,"suffix":""}],"container-title":"PLOS ONE","id":"ITEM-1","issue":"6","issued":{"date-parts":[["2021","6","3"]]},"page":"e0252195","publisher":"Public Library of Science","title":"Psychographic variables, tourist behaviour and vandalism in the South-East Asian tourism sector","type":"article-journal","volume":"16"},"uris":["http://www.mendeley.com/documents/?uuid=0d7b9362-c495-4412-8731-3db0bab4c51b"]}],"mendeley":{"formattedCitation":"(Bhati, 2021)","plainTextFormattedCitation":"(Bhati, 2021)","previouslyFormattedCitation":"(Bhati, 2021)"},"properties":{"noteIndex":0},"schema":"https://github.com/citation-style-language/schema/raw/master/csl-citation.json"}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(Bhati, 2021)</w:t>
      </w:r>
      <w:r w:rsidR="00EC140A" w:rsidRPr="00EC140A">
        <w:rPr>
          <w:rFonts w:ascii="Arial" w:hAnsi="Arial" w:cs="Arial"/>
        </w:rPr>
        <w:fldChar w:fldCharType="end"/>
      </w:r>
      <w:r w:rsidR="00EC140A" w:rsidRPr="00EC140A">
        <w:rPr>
          <w:rFonts w:ascii="Arial" w:hAnsi="Arial" w:cs="Arial"/>
        </w:rPr>
        <w:t xml:space="preserve">. </w:t>
      </w:r>
      <w:r w:rsidRPr="00EC140A">
        <w:rPr>
          <w:rFonts w:ascii="Arial" w:hAnsi="Arial" w:cs="Arial"/>
        </w:rPr>
        <w:t>Thus, TMII’s visitor base appears to be strongly motivated by leisure and social experiences rather than work-related or educational obligations.</w:t>
      </w:r>
    </w:p>
    <w:p w14:paraId="7D315F79" w14:textId="77777777" w:rsidR="008962CC" w:rsidRPr="00EC140A" w:rsidRDefault="008962CC" w:rsidP="008962CC">
      <w:pPr>
        <w:jc w:val="both"/>
        <w:rPr>
          <w:rFonts w:ascii="Arial" w:hAnsi="Arial" w:cs="Arial"/>
        </w:rPr>
      </w:pPr>
    </w:p>
    <w:p w14:paraId="6A2891FA" w14:textId="77777777" w:rsidR="008962CC" w:rsidRPr="00EC140A" w:rsidRDefault="008962CC" w:rsidP="008962CC">
      <w:pPr>
        <w:jc w:val="both"/>
        <w:rPr>
          <w:rFonts w:ascii="Arial" w:hAnsi="Arial" w:cs="Arial"/>
        </w:rPr>
      </w:pPr>
      <w:r w:rsidRPr="00EC140A">
        <w:rPr>
          <w:rFonts w:ascii="Arial" w:hAnsi="Arial" w:cs="Arial"/>
        </w:rPr>
        <w:t>Travel pattern data demonstrate that while many visitors originate from nearby regions, a significant portion report travel times exceeding six hours. This may reflect heavy urban congestion, group-organized travel, or visitors from more distant provinces. Regardless of origin, the relatively short length of stay, commonly one to two hours, supports the conclusion that the site functions largely as a short-visit destination.</w:t>
      </w:r>
    </w:p>
    <w:p w14:paraId="317508C0" w14:textId="77777777" w:rsidR="008962CC" w:rsidRPr="00EC140A" w:rsidRDefault="008962CC" w:rsidP="008962CC">
      <w:pPr>
        <w:jc w:val="both"/>
        <w:rPr>
          <w:rFonts w:ascii="Arial" w:hAnsi="Arial" w:cs="Arial"/>
        </w:rPr>
      </w:pPr>
    </w:p>
    <w:p w14:paraId="71DD7AEC" w14:textId="77777777" w:rsidR="00CF299D" w:rsidRDefault="008962CC" w:rsidP="008962CC">
      <w:pPr>
        <w:jc w:val="both"/>
        <w:rPr>
          <w:rFonts w:ascii="Arial" w:hAnsi="Arial" w:cs="Arial"/>
        </w:rPr>
      </w:pPr>
      <w:r w:rsidRPr="00EC140A">
        <w:rPr>
          <w:rFonts w:ascii="Arial" w:hAnsi="Arial" w:cs="Arial"/>
        </w:rPr>
        <w:t xml:space="preserve">The literature indicates that length of stay is influenced by transportation convenience, trip purpose, perceived attractiveness, and available activities </w:t>
      </w:r>
      <w:r w:rsidR="00EC140A" w:rsidRPr="00EC140A">
        <w:rPr>
          <w:rFonts w:ascii="Arial" w:hAnsi="Arial" w:cs="Arial"/>
        </w:rPr>
        <w:fldChar w:fldCharType="begin" w:fldLock="1"/>
      </w:r>
      <w:r w:rsidR="00EC140A" w:rsidRPr="00EC140A">
        <w:rPr>
          <w:rFonts w:ascii="Arial" w:hAnsi="Arial" w:cs="Arial"/>
        </w:rPr>
        <w:instrText>ADDIN CSL_CITATION {"citationItems":[{"id":"ITEM-1","itemData":{"DOI":"https://doi.org/10.1016/j.tourman.2006.05.004","ISSN":"0261-5177","abstract":"The principal purpose of this study was to analyze the determinants of tourists’ length of stay at a destination. Data were collected through a questionnaire survey conducted in the summer of 2005. Exceptionally different from other similar studies, this study employed survival analysis to analyze the data. The findings indicate that, out of 39 variables, 16 significantly associated with tourists’ decisions about the length of their stays during a summer vacation. More specifically, nationality, education, income, experience, familiarity and daily spending are among those as the major determinants of the length to stay. An increase or decrease in such variables is accompanied by a significant increase or decrease in the length of stay. Implications for both the theory and the practice are discussed.","author":[{"dropping-particle":"","family":"Gokovali","given":"Ummuhan","non-dropping-particle":"","parse-names":false,"suffix":""},{"dropping-particle":"","family":"Bahar","given":"Ozan","non-dropping-particle":"","parse-names":false,"suffix":""},{"dropping-particle":"","family":"Kozak","given":"Metin","non-dropping-particle":"","parse-names":false,"suffix":""}],"container-title":"Tourism Management","id":"ITEM-1","issue":"3","issued":{"date-parts":[["2007"]]},"page":"736-746","title":"Determinants of length of stay: A practical use of survival analysis","type":"article-journal","volume":"28"},"uris":["http://www.mendeley.com/documents/?uuid=d298620c-9819-44f3-9211-668647662d13"]}],"mendeley":{"formattedCitation":"(Gokovali et al., 2007)","manualFormatting":"(Gokovali et al., 2007","plainTextFormattedCitation":"(Gokovali et al., 2007)","previouslyFormattedCitation":"(Gokovali et al., 2007)"},"properties":{"noteIndex":0},"schema":"https://github.com/citation-style-language/schema/raw/master/csl-citation.json"}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(Gokovali et al., 2007</w:t>
      </w:r>
      <w:r w:rsidR="00EC140A" w:rsidRPr="00EC140A">
        <w:rPr>
          <w:rFonts w:ascii="Arial" w:hAnsi="Arial" w:cs="Arial"/>
        </w:rPr>
        <w:fldChar w:fldCharType="end"/>
      </w:r>
      <w:r w:rsidR="00EC140A" w:rsidRPr="00EC140A">
        <w:rPr>
          <w:rFonts w:ascii="Arial" w:hAnsi="Arial" w:cs="Arial"/>
        </w:rPr>
        <w:t xml:space="preserve">; </w:t>
      </w:r>
      <w:r w:rsidR="00EC140A" w:rsidRPr="00EC140A">
        <w:rPr>
          <w:rFonts w:ascii="Arial" w:hAnsi="Arial" w:cs="Arial"/>
        </w:rPr>
        <w:fldChar w:fldCharType="begin" w:fldLock="1"/>
      </w:r>
      <w:r w:rsidR="00EC140A" w:rsidRPr="00EC140A">
        <w:rPr>
          <w:rFonts w:ascii="Arial" w:hAnsi="Arial" w:cs="Arial"/>
        </w:rPr>
        <w:instrText>ADDIN CSL_CITATION {"citationItems":[{"id":"ITEM-1","itemData":{"DOI":"10.1371/journal.pone.0259709","ISSN":"1932-6203 (Electronic)","PMID":"34874932","abstract":"This paper aims to identify the determinants of the length of stay (LoS) of  international tourists in Norway. The paper reassesses the standard assumption related to tourists' LoS; it refers to the travel industry's current trends, and it postulates a more sustainable approach to analyzing tourists' LoS at the destination level. The paper concludes with a series of recommendations. The data for this study were collected during 153 data collection days and among 5,300 travelers in Norway. The determinants of LoS were analyzed by means of an ordinary least squares (OLS) regression. The results indicate that tourists' LoS is positively related to their age, interests (nature-based tourists), origin (German, Dutch tourists) and mode of travel organization (package tourists). A negative and significant effect on tourists' LoS was found for tourists' interests (urban-based tourists), spending, and origin (home market, long-haul tourists). No significant results were revealed for two covariates, namely, gender and repeat visitation.","author":[{"dropping-particle":"","family":"Oklevik","given":"Ove","non-dropping-particle":"","parse-names":false,"suffix":""},{"dropping-particle":"","family":"Kwiatkowski","given":"Grzegorz","non-dropping-particle":"","parse-names":false,"suffix":""},{"dropping-particle":"","family":"Malchrowicz-Mośko","given":"Ewa","non-dropping-particle":"","parse-names":false,"suffix":""},{"dropping-particle":"","family":"Ossowska","given":"Luiza","non-dropping-particle":"","parse-names":false,"suffix":""},{"dropping-particle":"","family":"Janiszewska","given":"Dorota","non-dropping-particle":"","parse-names":false,"suffix":""}],"container-title":"PloS one","id":"ITEM-1","issue":"12","issued":{"date-parts":[["2021"]]},"language":"eng","page":"e0259709","publisher-place":"United States","title":"Determinants of tourists' length of stay.","type":"article-journal","volume":"16"},"uris":["http://www.mendeley.com/documents/?uuid=1820c1ca-fa69-49a9-9a71-4586f24843f9"]}],"mendeley":{"formattedCitation":"(Oklevik et al., 2021)","manualFormatting":"Oklevik et al., 2021)","plainTextFormattedCitation":"(Oklevik et al., 2021)","previouslyFormattedCitation":"(Oklevik et al., 2021)"},"properties":{"noteIndex":0},"schema":"https://github.com/citation-style-language/schema/raw/master/csl-citation.json"}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Oklevik et al., 2021)</w:t>
      </w:r>
      <w:r w:rsidR="00EC140A" w:rsidRPr="00EC140A">
        <w:rPr>
          <w:rFonts w:ascii="Arial" w:hAnsi="Arial" w:cs="Arial"/>
        </w:rPr>
        <w:fldChar w:fldCharType="end"/>
      </w:r>
      <w:r w:rsidR="00EC140A" w:rsidRPr="00EC140A">
        <w:rPr>
          <w:rFonts w:ascii="Arial" w:hAnsi="Arial" w:cs="Arial"/>
        </w:rPr>
        <w:t>.</w:t>
      </w:r>
      <w:r w:rsidRPr="00EC140A">
        <w:rPr>
          <w:rFonts w:ascii="Arial" w:hAnsi="Arial" w:cs="Arial"/>
        </w:rPr>
        <w:t>The brief duration observed in this study suggests that, although TMII offers a variety of attractions, many visitors choose only selected zones or limit their time on site due to schedule constraints or travel fatigue. This finding highlights an opportunity for TMII to develop more immersive, time-lengthening experiences, such as scheduled performances, thematic tours, or bundled multi-site passes, to increase visitor retention and spending.</w:t>
      </w:r>
    </w:p>
    <w:p w14:paraId="58C1B362" w14:textId="77777777" w:rsidR="00863BD3" w:rsidRDefault="00863BD3" w:rsidP="00B3718D">
      <w:pPr>
        <w:pStyle w:val="BodyText3"/>
        <w:tabs>
          <w:tab w:val="left" w:pos="1080"/>
        </w:tabs>
        <w:spacing w:after="0"/>
        <w:jc w:val="both"/>
        <w:rPr>
          <w:rFonts w:ascii="Arial" w:hAnsi="Arial"/>
          <w:b/>
          <w:sz w:val="20"/>
          <w:szCs w:val="20"/>
        </w:rPr>
      </w:pPr>
    </w:p>
    <w:p w14:paraId="1A0B95FD" w14:textId="77777777" w:rsidR="00C559C9" w:rsidRDefault="00C559C9" w:rsidP="00031439">
      <w:pPr>
        <w:pStyle w:val="Body"/>
        <w:numPr>
          <w:ilvl w:val="0"/>
          <w:numId w:val="34"/>
        </w:numPr>
        <w:spacing w:after="0"/>
        <w:ind w:left="360"/>
        <w:rPr>
          <w:rFonts w:ascii="Arial" w:hAnsi="Arial" w:cs="Arial"/>
        </w:rPr>
      </w:pPr>
      <w:r>
        <w:rPr>
          <w:rFonts w:ascii="Arial" w:hAnsi="Arial"/>
          <w:b/>
        </w:rPr>
        <w:t>T</w:t>
      </w:r>
      <w:r w:rsidR="00E92CE8">
        <w:rPr>
          <w:rFonts w:ascii="Arial" w:hAnsi="Arial"/>
          <w:b/>
        </w:rPr>
        <w:t>ourist</w:t>
      </w:r>
      <w:r w:rsidR="00D65886">
        <w:rPr>
          <w:rFonts w:ascii="Arial" w:hAnsi="Arial"/>
          <w:b/>
        </w:rPr>
        <w:t xml:space="preserve"> </w:t>
      </w:r>
      <w:r w:rsidR="008411E8">
        <w:rPr>
          <w:rFonts w:ascii="Arial" w:hAnsi="Arial"/>
          <w:b/>
        </w:rPr>
        <w:t>Motivation</w:t>
      </w:r>
    </w:p>
    <w:p w14:paraId="4985C727" w14:textId="77777777" w:rsidR="00376BBE" w:rsidRDefault="00376BBE" w:rsidP="00441B6F">
      <w:pPr>
        <w:pStyle w:val="Body"/>
        <w:spacing w:after="0"/>
        <w:rPr>
          <w:rFonts w:ascii="Arial" w:hAnsi="Arial" w:cs="Arial"/>
        </w:rPr>
      </w:pPr>
    </w:p>
    <w:p w14:paraId="2C35FE82" w14:textId="77777777" w:rsidR="00376BBE" w:rsidRDefault="00031439" w:rsidP="00441B6F">
      <w:pPr>
        <w:pStyle w:val="Body"/>
        <w:spacing w:after="0"/>
        <w:rPr>
          <w:rFonts w:ascii="Arial" w:hAnsi="Arial" w:cs="Arial"/>
        </w:rPr>
      </w:pPr>
      <w:r>
        <w:t>Table 2 presents the motivational factors influencing tourists’ decisions to visit Taman Mini Indonesia Indah (TMII). The table summarizes the mean scores of various motivation items, reflecting both psychological (push) and destination-based (pull) drivers. These motivations include cultural interest, social interaction, personal enjoyment, novelty-seeking, relaxation, and information-seeking. Understanding these motivational patterns helps explain visitors’ behavioral tendencies and provides insights for developing strategies to enhance the tourism experience at TMII.</w:t>
      </w:r>
    </w:p>
    <w:p w14:paraId="2E7184D0" w14:textId="77777777" w:rsidR="00031439" w:rsidRDefault="00031439" w:rsidP="00441B6F">
      <w:pPr>
        <w:pStyle w:val="Body"/>
        <w:spacing w:after="0"/>
        <w:rPr>
          <w:rFonts w:ascii="Arial" w:hAnsi="Arial" w:cs="Arial"/>
        </w:rPr>
      </w:pPr>
    </w:p>
    <w:p w14:paraId="5400F342" w14:textId="77777777" w:rsidR="00927834" w:rsidRPr="00957127" w:rsidRDefault="005E7106" w:rsidP="00957127">
      <w:pPr>
        <w:tabs>
          <w:tab w:val="left" w:pos="1080"/>
        </w:tabs>
        <w:ind w:left="450"/>
        <w:jc w:val="center"/>
        <w:rPr>
          <w:rFonts w:ascii="Arial" w:hAnsi="Arial"/>
          <w:b/>
        </w:rPr>
      </w:pPr>
      <w:r>
        <w:rPr>
          <w:rFonts w:ascii="Arial" w:hAnsi="Arial"/>
          <w:b/>
        </w:rPr>
        <w:t xml:space="preserve">Table </w:t>
      </w:r>
      <w:proofErr w:type="gramStart"/>
      <w:r>
        <w:rPr>
          <w:rFonts w:ascii="Arial" w:hAnsi="Arial"/>
          <w:b/>
        </w:rPr>
        <w:t>2.Tourist</w:t>
      </w:r>
      <w:proofErr w:type="gramEnd"/>
      <w:r>
        <w:rPr>
          <w:rFonts w:ascii="Arial" w:hAnsi="Arial"/>
          <w:b/>
        </w:rPr>
        <w:t xml:space="preserve"> Motivation</w:t>
      </w:r>
    </w:p>
    <w:tbl>
      <w:tblPr>
        <w:tblW w:w="0" w:type="auto"/>
        <w:tblLook w:val="04A0" w:firstRow="1" w:lastRow="0" w:firstColumn="1" w:lastColumn="0" w:noHBand="0" w:noVBand="1"/>
      </w:tblPr>
      <w:tblGrid>
        <w:gridCol w:w="4068"/>
        <w:gridCol w:w="1530"/>
        <w:gridCol w:w="2790"/>
      </w:tblGrid>
      <w:tr w:rsidR="005E7106" w:rsidRPr="00A2455C" w14:paraId="02536089" w14:textId="77777777" w:rsidTr="00B63288">
        <w:tc>
          <w:tcPr>
            <w:tcW w:w="4068" w:type="dxa"/>
            <w:tcBorders>
              <w:top w:val="single" w:sz="4" w:space="0" w:color="auto"/>
              <w:bottom w:val="single" w:sz="4" w:space="0" w:color="auto"/>
            </w:tcBorders>
          </w:tcPr>
          <w:p w14:paraId="438100B2" w14:textId="77777777" w:rsidR="005E7106" w:rsidRPr="00DA70C0" w:rsidRDefault="005E7106" w:rsidP="005E7106">
            <w:pPr>
              <w:jc w:val="center"/>
              <w:rPr>
                <w:rFonts w:ascii="Arial" w:hAnsi="Arial" w:cs="Arial"/>
                <w:b/>
              </w:rPr>
            </w:pPr>
            <w:r w:rsidRPr="00DA70C0">
              <w:rPr>
                <w:rFonts w:ascii="Arial" w:hAnsi="Arial" w:cs="Arial"/>
                <w:b/>
              </w:rPr>
              <w:t>Item</w:t>
            </w:r>
          </w:p>
        </w:tc>
        <w:tc>
          <w:tcPr>
            <w:tcW w:w="1530" w:type="dxa"/>
            <w:tcBorders>
              <w:top w:val="single" w:sz="4" w:space="0" w:color="auto"/>
              <w:bottom w:val="single" w:sz="4" w:space="0" w:color="auto"/>
            </w:tcBorders>
          </w:tcPr>
          <w:p w14:paraId="47047EB6" w14:textId="77777777" w:rsidR="005E7106" w:rsidRPr="00DA70C0" w:rsidRDefault="005E7106" w:rsidP="005E7106">
            <w:pPr>
              <w:jc w:val="center"/>
              <w:rPr>
                <w:rFonts w:ascii="Arial" w:hAnsi="Arial" w:cs="Arial"/>
                <w:b/>
              </w:rPr>
            </w:pPr>
            <w:r w:rsidRPr="00DA70C0">
              <w:rPr>
                <w:rFonts w:ascii="Arial" w:hAnsi="Arial" w:cs="Arial"/>
                <w:b/>
              </w:rPr>
              <w:t>Mean Score</w:t>
            </w:r>
          </w:p>
        </w:tc>
        <w:tc>
          <w:tcPr>
            <w:tcW w:w="2790" w:type="dxa"/>
            <w:tcBorders>
              <w:top w:val="single" w:sz="4" w:space="0" w:color="auto"/>
              <w:bottom w:val="single" w:sz="4" w:space="0" w:color="auto"/>
            </w:tcBorders>
          </w:tcPr>
          <w:p w14:paraId="127DE1FD" w14:textId="77777777" w:rsidR="005E7106" w:rsidRPr="00DA70C0" w:rsidRDefault="005E7106" w:rsidP="005E7106">
            <w:pPr>
              <w:jc w:val="center"/>
              <w:rPr>
                <w:rFonts w:ascii="Arial" w:hAnsi="Arial" w:cs="Arial"/>
                <w:b/>
              </w:rPr>
            </w:pPr>
            <w:r w:rsidRPr="00DA70C0">
              <w:rPr>
                <w:rFonts w:ascii="Arial" w:hAnsi="Arial" w:cs="Arial"/>
                <w:b/>
              </w:rPr>
              <w:t>Interpretation</w:t>
            </w:r>
          </w:p>
        </w:tc>
      </w:tr>
      <w:tr w:rsidR="005E7106" w:rsidRPr="00A2455C" w14:paraId="78966313" w14:textId="77777777" w:rsidTr="00B63288">
        <w:tc>
          <w:tcPr>
            <w:tcW w:w="4068" w:type="dxa"/>
            <w:tcBorders>
              <w:top w:val="single" w:sz="4" w:space="0" w:color="auto"/>
              <w:bottom w:val="single" w:sz="4" w:space="0" w:color="auto"/>
            </w:tcBorders>
          </w:tcPr>
          <w:p w14:paraId="53AB0F08" w14:textId="77777777" w:rsidR="005E7106" w:rsidRPr="00A2455C" w:rsidRDefault="005E7106" w:rsidP="0062451B">
            <w:pPr>
              <w:rPr>
                <w:rFonts w:ascii="Arial" w:hAnsi="Arial" w:cs="Arial"/>
              </w:rPr>
            </w:pPr>
            <w:r w:rsidRPr="00A2455C">
              <w:rPr>
                <w:rFonts w:ascii="Arial" w:hAnsi="Arial" w:cs="Arial"/>
              </w:rPr>
              <w:t>Visit TMII to see Indonesian culture</w:t>
            </w:r>
          </w:p>
        </w:tc>
        <w:tc>
          <w:tcPr>
            <w:tcW w:w="1530" w:type="dxa"/>
            <w:tcBorders>
              <w:top w:val="single" w:sz="4" w:space="0" w:color="auto"/>
              <w:bottom w:val="single" w:sz="4" w:space="0" w:color="auto"/>
            </w:tcBorders>
          </w:tcPr>
          <w:p w14:paraId="646C86A4" w14:textId="77777777" w:rsidR="005E7106" w:rsidRPr="00A2455C" w:rsidRDefault="005E7106" w:rsidP="005E7106">
            <w:pPr>
              <w:jc w:val="center"/>
              <w:rPr>
                <w:rFonts w:ascii="Arial" w:hAnsi="Arial" w:cs="Arial"/>
              </w:rPr>
            </w:pPr>
            <w:r w:rsidRPr="00A2455C">
              <w:rPr>
                <w:rFonts w:ascii="Arial" w:hAnsi="Arial" w:cs="Arial"/>
              </w:rPr>
              <w:t>3.96</w:t>
            </w:r>
          </w:p>
        </w:tc>
        <w:tc>
          <w:tcPr>
            <w:tcW w:w="2790" w:type="dxa"/>
            <w:tcBorders>
              <w:top w:val="single" w:sz="4" w:space="0" w:color="auto"/>
              <w:bottom w:val="single" w:sz="4" w:space="0" w:color="auto"/>
            </w:tcBorders>
          </w:tcPr>
          <w:p w14:paraId="32761F2A" w14:textId="77777777" w:rsidR="005E7106" w:rsidRPr="00A2455C" w:rsidRDefault="005E7106" w:rsidP="0062451B">
            <w:pPr>
              <w:rPr>
                <w:rFonts w:ascii="Arial" w:hAnsi="Arial" w:cs="Arial"/>
              </w:rPr>
            </w:pPr>
            <w:r w:rsidRPr="00A2455C">
              <w:rPr>
                <w:rFonts w:ascii="Arial" w:hAnsi="Arial" w:cs="Arial"/>
              </w:rPr>
              <w:t>Cultural learning / curiosity</w:t>
            </w:r>
          </w:p>
        </w:tc>
      </w:tr>
      <w:tr w:rsidR="005E7106" w:rsidRPr="00A2455C" w14:paraId="30CF6647" w14:textId="77777777" w:rsidTr="00F038FF">
        <w:tc>
          <w:tcPr>
            <w:tcW w:w="4068" w:type="dxa"/>
            <w:tcBorders>
              <w:top w:val="single" w:sz="4" w:space="0" w:color="auto"/>
              <w:bottom w:val="single" w:sz="4" w:space="0" w:color="auto"/>
            </w:tcBorders>
          </w:tcPr>
          <w:p w14:paraId="3C63C16B" w14:textId="77777777" w:rsidR="005E7106" w:rsidRPr="00A2455C" w:rsidRDefault="005E7106" w:rsidP="0062451B">
            <w:pPr>
              <w:rPr>
                <w:rFonts w:ascii="Arial" w:hAnsi="Arial" w:cs="Arial"/>
              </w:rPr>
            </w:pPr>
            <w:r w:rsidRPr="00A2455C">
              <w:rPr>
                <w:rFonts w:ascii="Arial" w:hAnsi="Arial" w:cs="Arial"/>
              </w:rPr>
              <w:t>Visit TMII to see Indonesian traditions</w:t>
            </w:r>
          </w:p>
        </w:tc>
        <w:tc>
          <w:tcPr>
            <w:tcW w:w="1530" w:type="dxa"/>
            <w:tcBorders>
              <w:top w:val="single" w:sz="4" w:space="0" w:color="auto"/>
              <w:bottom w:val="single" w:sz="4" w:space="0" w:color="auto"/>
            </w:tcBorders>
          </w:tcPr>
          <w:p w14:paraId="5A0006E7" w14:textId="77777777" w:rsidR="005E7106" w:rsidRPr="00A2455C" w:rsidRDefault="005E7106" w:rsidP="005E7106">
            <w:pPr>
              <w:jc w:val="center"/>
              <w:rPr>
                <w:rFonts w:ascii="Arial" w:hAnsi="Arial" w:cs="Arial"/>
              </w:rPr>
            </w:pPr>
            <w:r w:rsidRPr="00A2455C">
              <w:rPr>
                <w:rFonts w:ascii="Arial" w:hAnsi="Arial" w:cs="Arial"/>
              </w:rPr>
              <w:t>3.80</w:t>
            </w:r>
          </w:p>
        </w:tc>
        <w:tc>
          <w:tcPr>
            <w:tcW w:w="2790" w:type="dxa"/>
            <w:tcBorders>
              <w:top w:val="single" w:sz="4" w:space="0" w:color="auto"/>
              <w:bottom w:val="single" w:sz="4" w:space="0" w:color="auto"/>
            </w:tcBorders>
          </w:tcPr>
          <w:p w14:paraId="4E15AE60" w14:textId="77777777" w:rsidR="005E7106" w:rsidRPr="00A2455C" w:rsidRDefault="005E7106" w:rsidP="0062451B">
            <w:pPr>
              <w:rPr>
                <w:rFonts w:ascii="Arial" w:hAnsi="Arial" w:cs="Arial"/>
              </w:rPr>
            </w:pPr>
            <w:r w:rsidRPr="00A2455C">
              <w:rPr>
                <w:rFonts w:ascii="Arial" w:hAnsi="Arial" w:cs="Arial"/>
              </w:rPr>
              <w:t>Cultural authenticity interest</w:t>
            </w:r>
          </w:p>
        </w:tc>
      </w:tr>
      <w:tr w:rsidR="005E7106" w:rsidRPr="00A2455C" w14:paraId="7EECEFFE" w14:textId="77777777" w:rsidTr="00C2623B">
        <w:tc>
          <w:tcPr>
            <w:tcW w:w="4068" w:type="dxa"/>
            <w:tcBorders>
              <w:top w:val="single" w:sz="4" w:space="0" w:color="auto"/>
              <w:bottom w:val="single" w:sz="4" w:space="0" w:color="auto"/>
            </w:tcBorders>
          </w:tcPr>
          <w:p w14:paraId="1F937D9F" w14:textId="77777777" w:rsidR="005E7106" w:rsidRPr="00A2455C" w:rsidRDefault="005E7106" w:rsidP="0062451B">
            <w:pPr>
              <w:rPr>
                <w:rFonts w:ascii="Arial" w:hAnsi="Arial" w:cs="Arial"/>
              </w:rPr>
            </w:pPr>
            <w:r w:rsidRPr="00A2455C">
              <w:rPr>
                <w:rFonts w:ascii="Arial" w:hAnsi="Arial" w:cs="Arial"/>
              </w:rPr>
              <w:t>Obtain information from media</w:t>
            </w:r>
          </w:p>
        </w:tc>
        <w:tc>
          <w:tcPr>
            <w:tcW w:w="1530" w:type="dxa"/>
            <w:tcBorders>
              <w:top w:val="single" w:sz="4" w:space="0" w:color="auto"/>
              <w:bottom w:val="single" w:sz="4" w:space="0" w:color="auto"/>
            </w:tcBorders>
          </w:tcPr>
          <w:p w14:paraId="78470FB4" w14:textId="77777777" w:rsidR="005E7106" w:rsidRPr="00A2455C" w:rsidRDefault="005E7106" w:rsidP="005E7106">
            <w:pPr>
              <w:jc w:val="center"/>
              <w:rPr>
                <w:rFonts w:ascii="Arial" w:hAnsi="Arial" w:cs="Arial"/>
              </w:rPr>
            </w:pPr>
            <w:r w:rsidRPr="00A2455C">
              <w:rPr>
                <w:rFonts w:ascii="Arial" w:hAnsi="Arial" w:cs="Arial"/>
              </w:rPr>
              <w:t>4.16</w:t>
            </w:r>
          </w:p>
        </w:tc>
        <w:tc>
          <w:tcPr>
            <w:tcW w:w="2790" w:type="dxa"/>
            <w:tcBorders>
              <w:top w:val="single" w:sz="4" w:space="0" w:color="auto"/>
              <w:bottom w:val="single" w:sz="4" w:space="0" w:color="auto"/>
            </w:tcBorders>
          </w:tcPr>
          <w:p w14:paraId="59326F84" w14:textId="77777777" w:rsidR="005E7106" w:rsidRPr="00A2455C" w:rsidRDefault="005E7106" w:rsidP="0062451B">
            <w:pPr>
              <w:rPr>
                <w:rFonts w:ascii="Arial" w:hAnsi="Arial" w:cs="Arial"/>
              </w:rPr>
            </w:pPr>
            <w:r w:rsidRPr="00A2455C">
              <w:rPr>
                <w:rFonts w:ascii="Arial" w:hAnsi="Arial" w:cs="Arial"/>
              </w:rPr>
              <w:t>Information-seeking</w:t>
            </w:r>
          </w:p>
        </w:tc>
      </w:tr>
      <w:tr w:rsidR="005E7106" w:rsidRPr="00A2455C" w14:paraId="517CD1BE" w14:textId="77777777" w:rsidTr="007A7C42">
        <w:tc>
          <w:tcPr>
            <w:tcW w:w="4068" w:type="dxa"/>
            <w:tcBorders>
              <w:top w:val="single" w:sz="4" w:space="0" w:color="auto"/>
              <w:bottom w:val="single" w:sz="4" w:space="0" w:color="auto"/>
            </w:tcBorders>
          </w:tcPr>
          <w:p w14:paraId="62BFE9B1" w14:textId="77777777" w:rsidR="005E7106" w:rsidRPr="00A2455C" w:rsidRDefault="005E7106" w:rsidP="0062451B">
            <w:pPr>
              <w:rPr>
                <w:rFonts w:ascii="Arial" w:hAnsi="Arial" w:cs="Arial"/>
              </w:rPr>
            </w:pPr>
            <w:r w:rsidRPr="00A2455C">
              <w:rPr>
                <w:rFonts w:ascii="Arial" w:hAnsi="Arial" w:cs="Arial"/>
              </w:rPr>
              <w:t>Keep in touch with friends &amp; family</w:t>
            </w:r>
          </w:p>
        </w:tc>
        <w:tc>
          <w:tcPr>
            <w:tcW w:w="1530" w:type="dxa"/>
            <w:tcBorders>
              <w:top w:val="single" w:sz="4" w:space="0" w:color="auto"/>
              <w:bottom w:val="single" w:sz="4" w:space="0" w:color="auto"/>
            </w:tcBorders>
          </w:tcPr>
          <w:p w14:paraId="77752668" w14:textId="77777777" w:rsidR="005E7106" w:rsidRPr="00A2455C" w:rsidRDefault="005E7106" w:rsidP="005E7106">
            <w:pPr>
              <w:jc w:val="center"/>
              <w:rPr>
                <w:rFonts w:ascii="Arial" w:hAnsi="Arial" w:cs="Arial"/>
              </w:rPr>
            </w:pPr>
            <w:r w:rsidRPr="00A2455C">
              <w:rPr>
                <w:rFonts w:ascii="Arial" w:hAnsi="Arial" w:cs="Arial"/>
              </w:rPr>
              <w:t>3.67</w:t>
            </w:r>
          </w:p>
        </w:tc>
        <w:tc>
          <w:tcPr>
            <w:tcW w:w="2790" w:type="dxa"/>
            <w:tcBorders>
              <w:top w:val="single" w:sz="4" w:space="0" w:color="auto"/>
              <w:bottom w:val="single" w:sz="4" w:space="0" w:color="auto"/>
            </w:tcBorders>
          </w:tcPr>
          <w:p w14:paraId="644F4E54" w14:textId="77777777" w:rsidR="005E7106" w:rsidRPr="00A2455C" w:rsidRDefault="005E7106" w:rsidP="0062451B">
            <w:pPr>
              <w:rPr>
                <w:rFonts w:ascii="Arial" w:hAnsi="Arial" w:cs="Arial"/>
              </w:rPr>
            </w:pPr>
            <w:r w:rsidRPr="00A2455C">
              <w:rPr>
                <w:rFonts w:ascii="Arial" w:hAnsi="Arial" w:cs="Arial"/>
              </w:rPr>
              <w:t>Family bonding</w:t>
            </w:r>
          </w:p>
        </w:tc>
      </w:tr>
      <w:tr w:rsidR="005E7106" w:rsidRPr="00A2455C" w14:paraId="4B60BC14" w14:textId="77777777" w:rsidTr="00913358">
        <w:tc>
          <w:tcPr>
            <w:tcW w:w="4068" w:type="dxa"/>
            <w:tcBorders>
              <w:top w:val="single" w:sz="4" w:space="0" w:color="auto"/>
              <w:bottom w:val="single" w:sz="4" w:space="0" w:color="auto"/>
            </w:tcBorders>
          </w:tcPr>
          <w:p w14:paraId="3C874F13" w14:textId="77777777" w:rsidR="005E7106" w:rsidRPr="00A2455C" w:rsidRDefault="005E7106" w:rsidP="0062451B">
            <w:pPr>
              <w:rPr>
                <w:rFonts w:ascii="Arial" w:hAnsi="Arial" w:cs="Arial"/>
              </w:rPr>
            </w:pPr>
            <w:r w:rsidRPr="00A2455C">
              <w:rPr>
                <w:rFonts w:ascii="Arial" w:hAnsi="Arial" w:cs="Arial"/>
              </w:rPr>
              <w:t>Share happiness with friends &amp; family</w:t>
            </w:r>
          </w:p>
        </w:tc>
        <w:tc>
          <w:tcPr>
            <w:tcW w:w="1530" w:type="dxa"/>
            <w:tcBorders>
              <w:top w:val="single" w:sz="4" w:space="0" w:color="auto"/>
              <w:bottom w:val="single" w:sz="4" w:space="0" w:color="auto"/>
            </w:tcBorders>
          </w:tcPr>
          <w:p w14:paraId="2DF158B5" w14:textId="77777777" w:rsidR="005E7106" w:rsidRPr="00A2455C" w:rsidRDefault="005E7106" w:rsidP="005E7106">
            <w:pPr>
              <w:jc w:val="center"/>
              <w:rPr>
                <w:rFonts w:ascii="Arial" w:hAnsi="Arial" w:cs="Arial"/>
              </w:rPr>
            </w:pPr>
            <w:r w:rsidRPr="00A2455C">
              <w:rPr>
                <w:rFonts w:ascii="Arial" w:hAnsi="Arial" w:cs="Arial"/>
              </w:rPr>
              <w:t>4.15</w:t>
            </w:r>
          </w:p>
        </w:tc>
        <w:tc>
          <w:tcPr>
            <w:tcW w:w="2790" w:type="dxa"/>
            <w:tcBorders>
              <w:top w:val="single" w:sz="4" w:space="0" w:color="auto"/>
              <w:bottom w:val="single" w:sz="4" w:space="0" w:color="auto"/>
            </w:tcBorders>
          </w:tcPr>
          <w:p w14:paraId="1EE4D233" w14:textId="77777777" w:rsidR="005E7106" w:rsidRPr="00A2455C" w:rsidRDefault="005E7106" w:rsidP="0062451B">
            <w:pPr>
              <w:rPr>
                <w:rFonts w:ascii="Arial" w:hAnsi="Arial" w:cs="Arial"/>
              </w:rPr>
            </w:pPr>
            <w:r w:rsidRPr="00A2455C">
              <w:rPr>
                <w:rFonts w:ascii="Arial" w:hAnsi="Arial" w:cs="Arial"/>
              </w:rPr>
              <w:t>Social sharing</w:t>
            </w:r>
          </w:p>
        </w:tc>
      </w:tr>
      <w:tr w:rsidR="005E7106" w:rsidRPr="00A2455C" w14:paraId="66ABBCEC" w14:textId="77777777" w:rsidTr="0042070C">
        <w:tc>
          <w:tcPr>
            <w:tcW w:w="4068" w:type="dxa"/>
            <w:tcBorders>
              <w:top w:val="single" w:sz="4" w:space="0" w:color="auto"/>
              <w:bottom w:val="single" w:sz="4" w:space="0" w:color="auto"/>
            </w:tcBorders>
          </w:tcPr>
          <w:p w14:paraId="591C2507" w14:textId="77777777" w:rsidR="005E7106" w:rsidRPr="00A2455C" w:rsidRDefault="005E7106" w:rsidP="0062451B">
            <w:pPr>
              <w:rPr>
                <w:rFonts w:ascii="Arial" w:hAnsi="Arial" w:cs="Arial"/>
              </w:rPr>
            </w:pPr>
            <w:r w:rsidRPr="00A2455C">
              <w:rPr>
                <w:rFonts w:ascii="Arial" w:hAnsi="Arial" w:cs="Arial"/>
              </w:rPr>
              <w:lastRenderedPageBreak/>
              <w:t>Receive friendliness from others</w:t>
            </w:r>
          </w:p>
        </w:tc>
        <w:tc>
          <w:tcPr>
            <w:tcW w:w="1530" w:type="dxa"/>
            <w:tcBorders>
              <w:top w:val="single" w:sz="4" w:space="0" w:color="auto"/>
              <w:bottom w:val="single" w:sz="4" w:space="0" w:color="auto"/>
            </w:tcBorders>
          </w:tcPr>
          <w:p w14:paraId="27C56E9D" w14:textId="77777777" w:rsidR="005E7106" w:rsidRPr="00A2455C" w:rsidRDefault="005E7106" w:rsidP="005E7106">
            <w:pPr>
              <w:jc w:val="center"/>
              <w:rPr>
                <w:rFonts w:ascii="Arial" w:hAnsi="Arial" w:cs="Arial"/>
              </w:rPr>
            </w:pPr>
            <w:r w:rsidRPr="00A2455C">
              <w:rPr>
                <w:rFonts w:ascii="Arial" w:hAnsi="Arial" w:cs="Arial"/>
              </w:rPr>
              <w:t>3.79</w:t>
            </w:r>
          </w:p>
        </w:tc>
        <w:tc>
          <w:tcPr>
            <w:tcW w:w="2790" w:type="dxa"/>
            <w:tcBorders>
              <w:top w:val="single" w:sz="4" w:space="0" w:color="auto"/>
              <w:bottom w:val="single" w:sz="4" w:space="0" w:color="auto"/>
            </w:tcBorders>
          </w:tcPr>
          <w:p w14:paraId="5C31342E" w14:textId="77777777" w:rsidR="005E7106" w:rsidRPr="00A2455C" w:rsidRDefault="005E7106" w:rsidP="0062451B">
            <w:pPr>
              <w:rPr>
                <w:rFonts w:ascii="Arial" w:hAnsi="Arial" w:cs="Arial"/>
              </w:rPr>
            </w:pPr>
            <w:r w:rsidRPr="00A2455C">
              <w:rPr>
                <w:rFonts w:ascii="Arial" w:hAnsi="Arial" w:cs="Arial"/>
              </w:rPr>
              <w:t>Interpersonal warmth</w:t>
            </w:r>
          </w:p>
        </w:tc>
      </w:tr>
      <w:tr w:rsidR="005E7106" w:rsidRPr="00A2455C" w14:paraId="6E22E0B2" w14:textId="77777777" w:rsidTr="0042070C">
        <w:tc>
          <w:tcPr>
            <w:tcW w:w="4068" w:type="dxa"/>
            <w:tcBorders>
              <w:top w:val="single" w:sz="4" w:space="0" w:color="auto"/>
              <w:bottom w:val="single" w:sz="4" w:space="0" w:color="auto"/>
            </w:tcBorders>
          </w:tcPr>
          <w:p w14:paraId="657B9F5F" w14:textId="77777777" w:rsidR="005E7106" w:rsidRPr="00A2455C" w:rsidRDefault="005E7106" w:rsidP="0062451B">
            <w:pPr>
              <w:rPr>
                <w:rFonts w:ascii="Arial" w:hAnsi="Arial" w:cs="Arial"/>
              </w:rPr>
            </w:pPr>
            <w:r w:rsidRPr="00A2455C">
              <w:rPr>
                <w:rFonts w:ascii="Arial" w:hAnsi="Arial" w:cs="Arial"/>
              </w:rPr>
              <w:t>Make new friends</w:t>
            </w:r>
          </w:p>
        </w:tc>
        <w:tc>
          <w:tcPr>
            <w:tcW w:w="1530" w:type="dxa"/>
            <w:tcBorders>
              <w:top w:val="single" w:sz="4" w:space="0" w:color="auto"/>
              <w:bottom w:val="single" w:sz="4" w:space="0" w:color="auto"/>
            </w:tcBorders>
          </w:tcPr>
          <w:p w14:paraId="529DE018" w14:textId="77777777" w:rsidR="005E7106" w:rsidRPr="00A2455C" w:rsidRDefault="005E7106" w:rsidP="005E7106">
            <w:pPr>
              <w:jc w:val="center"/>
              <w:rPr>
                <w:rFonts w:ascii="Arial" w:hAnsi="Arial" w:cs="Arial"/>
              </w:rPr>
            </w:pPr>
            <w:r w:rsidRPr="00A2455C">
              <w:rPr>
                <w:rFonts w:ascii="Arial" w:hAnsi="Arial" w:cs="Arial"/>
              </w:rPr>
              <w:t>3.31</w:t>
            </w:r>
          </w:p>
        </w:tc>
        <w:tc>
          <w:tcPr>
            <w:tcW w:w="2790" w:type="dxa"/>
            <w:tcBorders>
              <w:top w:val="single" w:sz="4" w:space="0" w:color="auto"/>
              <w:bottom w:val="single" w:sz="4" w:space="0" w:color="auto"/>
            </w:tcBorders>
          </w:tcPr>
          <w:p w14:paraId="0DAAD7BB" w14:textId="77777777" w:rsidR="005E7106" w:rsidRPr="00A2455C" w:rsidRDefault="005E7106" w:rsidP="0062451B">
            <w:pPr>
              <w:rPr>
                <w:rFonts w:ascii="Arial" w:hAnsi="Arial" w:cs="Arial"/>
              </w:rPr>
            </w:pPr>
            <w:r w:rsidRPr="00A2455C">
              <w:rPr>
                <w:rFonts w:ascii="Arial" w:hAnsi="Arial" w:cs="Arial"/>
              </w:rPr>
              <w:t>Social expansion</w:t>
            </w:r>
          </w:p>
        </w:tc>
      </w:tr>
      <w:tr w:rsidR="005E7106" w:rsidRPr="00A2455C" w14:paraId="4370C3B8" w14:textId="77777777" w:rsidTr="0042070C">
        <w:tc>
          <w:tcPr>
            <w:tcW w:w="4068" w:type="dxa"/>
            <w:tcBorders>
              <w:top w:val="single" w:sz="4" w:space="0" w:color="auto"/>
              <w:bottom w:val="single" w:sz="4" w:space="0" w:color="auto"/>
            </w:tcBorders>
          </w:tcPr>
          <w:p w14:paraId="4B12FC9B" w14:textId="77777777" w:rsidR="005E7106" w:rsidRPr="00A2455C" w:rsidRDefault="005E7106" w:rsidP="0062451B">
            <w:pPr>
              <w:rPr>
                <w:rFonts w:ascii="Arial" w:hAnsi="Arial" w:cs="Arial"/>
              </w:rPr>
            </w:pPr>
            <w:r w:rsidRPr="00A2455C">
              <w:rPr>
                <w:rFonts w:ascii="Arial" w:hAnsi="Arial" w:cs="Arial"/>
              </w:rPr>
              <w:t>Pursue a personal hobby</w:t>
            </w:r>
          </w:p>
        </w:tc>
        <w:tc>
          <w:tcPr>
            <w:tcW w:w="1530" w:type="dxa"/>
            <w:tcBorders>
              <w:top w:val="single" w:sz="4" w:space="0" w:color="auto"/>
              <w:bottom w:val="single" w:sz="4" w:space="0" w:color="auto"/>
            </w:tcBorders>
          </w:tcPr>
          <w:p w14:paraId="3271AE89" w14:textId="77777777" w:rsidR="005E7106" w:rsidRPr="00A2455C" w:rsidRDefault="005E7106" w:rsidP="005E7106">
            <w:pPr>
              <w:jc w:val="center"/>
              <w:rPr>
                <w:rFonts w:ascii="Arial" w:hAnsi="Arial" w:cs="Arial"/>
              </w:rPr>
            </w:pPr>
            <w:r w:rsidRPr="00A2455C">
              <w:rPr>
                <w:rFonts w:ascii="Arial" w:hAnsi="Arial" w:cs="Arial"/>
              </w:rPr>
              <w:t>3.74</w:t>
            </w:r>
          </w:p>
        </w:tc>
        <w:tc>
          <w:tcPr>
            <w:tcW w:w="2790" w:type="dxa"/>
            <w:tcBorders>
              <w:top w:val="single" w:sz="4" w:space="0" w:color="auto"/>
              <w:bottom w:val="single" w:sz="4" w:space="0" w:color="auto"/>
            </w:tcBorders>
          </w:tcPr>
          <w:p w14:paraId="4E418AA5" w14:textId="77777777" w:rsidR="005E7106" w:rsidRPr="00A2455C" w:rsidRDefault="005E7106" w:rsidP="0062451B">
            <w:pPr>
              <w:rPr>
                <w:rFonts w:ascii="Arial" w:hAnsi="Arial" w:cs="Arial"/>
              </w:rPr>
            </w:pPr>
            <w:r w:rsidRPr="00A2455C">
              <w:rPr>
                <w:rFonts w:ascii="Arial" w:hAnsi="Arial" w:cs="Arial"/>
              </w:rPr>
              <w:t>Hobby / leisure</w:t>
            </w:r>
          </w:p>
        </w:tc>
      </w:tr>
      <w:tr w:rsidR="005E7106" w:rsidRPr="00A2455C" w14:paraId="3658A99D" w14:textId="77777777" w:rsidTr="0042070C">
        <w:tc>
          <w:tcPr>
            <w:tcW w:w="4068" w:type="dxa"/>
            <w:tcBorders>
              <w:top w:val="single" w:sz="4" w:space="0" w:color="auto"/>
              <w:bottom w:val="single" w:sz="4" w:space="0" w:color="auto"/>
            </w:tcBorders>
          </w:tcPr>
          <w:p w14:paraId="58113346" w14:textId="77777777" w:rsidR="005E7106" w:rsidRPr="00A2455C" w:rsidRDefault="005E7106" w:rsidP="0062451B">
            <w:pPr>
              <w:rPr>
                <w:rFonts w:ascii="Arial" w:hAnsi="Arial" w:cs="Arial"/>
              </w:rPr>
            </w:pPr>
            <w:r w:rsidRPr="00A2455C">
              <w:rPr>
                <w:rFonts w:ascii="Arial" w:hAnsi="Arial" w:cs="Arial"/>
              </w:rPr>
              <w:t>Find things they like</w:t>
            </w:r>
          </w:p>
        </w:tc>
        <w:tc>
          <w:tcPr>
            <w:tcW w:w="1530" w:type="dxa"/>
            <w:tcBorders>
              <w:top w:val="single" w:sz="4" w:space="0" w:color="auto"/>
              <w:bottom w:val="single" w:sz="4" w:space="0" w:color="auto"/>
            </w:tcBorders>
          </w:tcPr>
          <w:p w14:paraId="26E8DE92" w14:textId="77777777" w:rsidR="005E7106" w:rsidRPr="00A2455C" w:rsidRDefault="005E7106" w:rsidP="005E7106">
            <w:pPr>
              <w:jc w:val="center"/>
              <w:rPr>
                <w:rFonts w:ascii="Arial" w:hAnsi="Arial" w:cs="Arial"/>
              </w:rPr>
            </w:pPr>
            <w:r w:rsidRPr="00A2455C">
              <w:rPr>
                <w:rFonts w:ascii="Arial" w:hAnsi="Arial" w:cs="Arial"/>
              </w:rPr>
              <w:t>4.13</w:t>
            </w:r>
          </w:p>
        </w:tc>
        <w:tc>
          <w:tcPr>
            <w:tcW w:w="2790" w:type="dxa"/>
            <w:tcBorders>
              <w:top w:val="single" w:sz="4" w:space="0" w:color="auto"/>
              <w:bottom w:val="single" w:sz="4" w:space="0" w:color="auto"/>
            </w:tcBorders>
          </w:tcPr>
          <w:p w14:paraId="4EAF4E38" w14:textId="77777777" w:rsidR="005E7106" w:rsidRPr="00A2455C" w:rsidRDefault="005E7106" w:rsidP="0062451B">
            <w:pPr>
              <w:rPr>
                <w:rFonts w:ascii="Arial" w:hAnsi="Arial" w:cs="Arial"/>
              </w:rPr>
            </w:pPr>
            <w:r w:rsidRPr="00A2455C">
              <w:rPr>
                <w:rFonts w:ascii="Arial" w:hAnsi="Arial" w:cs="Arial"/>
              </w:rPr>
              <w:t>Personal interest-seeking</w:t>
            </w:r>
          </w:p>
        </w:tc>
      </w:tr>
      <w:tr w:rsidR="005E7106" w:rsidRPr="00A2455C" w14:paraId="0F54E49C" w14:textId="77777777" w:rsidTr="0042070C">
        <w:tc>
          <w:tcPr>
            <w:tcW w:w="4068" w:type="dxa"/>
            <w:tcBorders>
              <w:top w:val="single" w:sz="4" w:space="0" w:color="auto"/>
              <w:bottom w:val="single" w:sz="4" w:space="0" w:color="auto"/>
            </w:tcBorders>
          </w:tcPr>
          <w:p w14:paraId="026FBBC3" w14:textId="77777777" w:rsidR="005E7106" w:rsidRPr="00A2455C" w:rsidRDefault="005E7106" w:rsidP="0062451B">
            <w:pPr>
              <w:rPr>
                <w:rFonts w:ascii="Arial" w:hAnsi="Arial" w:cs="Arial"/>
              </w:rPr>
            </w:pPr>
            <w:r w:rsidRPr="00A2455C">
              <w:rPr>
                <w:rFonts w:ascii="Arial" w:hAnsi="Arial" w:cs="Arial"/>
              </w:rPr>
              <w:t>Seek freedom</w:t>
            </w:r>
          </w:p>
        </w:tc>
        <w:tc>
          <w:tcPr>
            <w:tcW w:w="1530" w:type="dxa"/>
            <w:tcBorders>
              <w:top w:val="single" w:sz="4" w:space="0" w:color="auto"/>
              <w:bottom w:val="single" w:sz="4" w:space="0" w:color="auto"/>
            </w:tcBorders>
          </w:tcPr>
          <w:p w14:paraId="1382E582" w14:textId="77777777" w:rsidR="005E7106" w:rsidRPr="00A2455C" w:rsidRDefault="005E7106" w:rsidP="005E7106">
            <w:pPr>
              <w:jc w:val="center"/>
              <w:rPr>
                <w:rFonts w:ascii="Arial" w:hAnsi="Arial" w:cs="Arial"/>
              </w:rPr>
            </w:pPr>
            <w:r w:rsidRPr="00A2455C">
              <w:rPr>
                <w:rFonts w:ascii="Arial" w:hAnsi="Arial" w:cs="Arial"/>
              </w:rPr>
              <w:t>4.00</w:t>
            </w:r>
          </w:p>
        </w:tc>
        <w:tc>
          <w:tcPr>
            <w:tcW w:w="2790" w:type="dxa"/>
            <w:tcBorders>
              <w:top w:val="single" w:sz="4" w:space="0" w:color="auto"/>
              <w:bottom w:val="single" w:sz="4" w:space="0" w:color="auto"/>
            </w:tcBorders>
          </w:tcPr>
          <w:p w14:paraId="1FAB7284" w14:textId="77777777" w:rsidR="005E7106" w:rsidRPr="00A2455C" w:rsidRDefault="005E7106" w:rsidP="0062451B">
            <w:pPr>
              <w:rPr>
                <w:rFonts w:ascii="Arial" w:hAnsi="Arial" w:cs="Arial"/>
              </w:rPr>
            </w:pPr>
            <w:r w:rsidRPr="00A2455C">
              <w:rPr>
                <w:rFonts w:ascii="Arial" w:hAnsi="Arial" w:cs="Arial"/>
              </w:rPr>
              <w:t>Autonomy</w:t>
            </w:r>
          </w:p>
        </w:tc>
      </w:tr>
      <w:tr w:rsidR="005E7106" w:rsidRPr="00A2455C" w14:paraId="38C99E72" w14:textId="77777777" w:rsidTr="0042070C">
        <w:tc>
          <w:tcPr>
            <w:tcW w:w="4068" w:type="dxa"/>
            <w:tcBorders>
              <w:top w:val="single" w:sz="4" w:space="0" w:color="auto"/>
              <w:bottom w:val="single" w:sz="4" w:space="0" w:color="auto"/>
            </w:tcBorders>
          </w:tcPr>
          <w:p w14:paraId="46D2E00E" w14:textId="77777777" w:rsidR="005E7106" w:rsidRPr="00A2455C" w:rsidRDefault="005E7106" w:rsidP="0062451B">
            <w:pPr>
              <w:rPr>
                <w:rFonts w:ascii="Arial" w:hAnsi="Arial" w:cs="Arial"/>
              </w:rPr>
            </w:pPr>
            <w:r w:rsidRPr="00A2455C">
              <w:rPr>
                <w:rFonts w:ascii="Arial" w:hAnsi="Arial" w:cs="Arial"/>
              </w:rPr>
              <w:t>Seek new experiences (novelty)</w:t>
            </w:r>
          </w:p>
        </w:tc>
        <w:tc>
          <w:tcPr>
            <w:tcW w:w="1530" w:type="dxa"/>
            <w:tcBorders>
              <w:top w:val="single" w:sz="4" w:space="0" w:color="auto"/>
              <w:bottom w:val="single" w:sz="4" w:space="0" w:color="auto"/>
            </w:tcBorders>
          </w:tcPr>
          <w:p w14:paraId="22EA5972" w14:textId="77777777" w:rsidR="005E7106" w:rsidRPr="00A2455C" w:rsidRDefault="005E7106" w:rsidP="005E7106">
            <w:pPr>
              <w:jc w:val="center"/>
              <w:rPr>
                <w:rFonts w:ascii="Arial" w:hAnsi="Arial" w:cs="Arial"/>
              </w:rPr>
            </w:pPr>
            <w:r w:rsidRPr="00A2455C">
              <w:rPr>
                <w:rFonts w:ascii="Arial" w:hAnsi="Arial" w:cs="Arial"/>
              </w:rPr>
              <w:t>4.15</w:t>
            </w:r>
          </w:p>
        </w:tc>
        <w:tc>
          <w:tcPr>
            <w:tcW w:w="2790" w:type="dxa"/>
            <w:tcBorders>
              <w:top w:val="single" w:sz="4" w:space="0" w:color="auto"/>
              <w:bottom w:val="single" w:sz="4" w:space="0" w:color="auto"/>
            </w:tcBorders>
          </w:tcPr>
          <w:p w14:paraId="13763485" w14:textId="77777777" w:rsidR="005E7106" w:rsidRPr="00A2455C" w:rsidRDefault="005E7106" w:rsidP="0062451B">
            <w:pPr>
              <w:rPr>
                <w:rFonts w:ascii="Arial" w:hAnsi="Arial" w:cs="Arial"/>
              </w:rPr>
            </w:pPr>
            <w:r w:rsidRPr="00A2455C">
              <w:rPr>
                <w:rFonts w:ascii="Arial" w:hAnsi="Arial" w:cs="Arial"/>
              </w:rPr>
              <w:t>Novelty / stimulation</w:t>
            </w:r>
          </w:p>
        </w:tc>
      </w:tr>
      <w:tr w:rsidR="005E7106" w:rsidRPr="00A2455C" w14:paraId="3D43FED4" w14:textId="77777777" w:rsidTr="0042070C">
        <w:tc>
          <w:tcPr>
            <w:tcW w:w="4068" w:type="dxa"/>
            <w:tcBorders>
              <w:top w:val="single" w:sz="4" w:space="0" w:color="auto"/>
              <w:bottom w:val="single" w:sz="4" w:space="0" w:color="auto"/>
            </w:tcBorders>
          </w:tcPr>
          <w:p w14:paraId="29D043DF" w14:textId="77777777" w:rsidR="005E7106" w:rsidRPr="00A2455C" w:rsidRDefault="005E7106" w:rsidP="0062451B">
            <w:pPr>
              <w:rPr>
                <w:rFonts w:ascii="Arial" w:hAnsi="Arial" w:cs="Arial"/>
              </w:rPr>
            </w:pPr>
            <w:r w:rsidRPr="00A2455C">
              <w:rPr>
                <w:rFonts w:ascii="Arial" w:hAnsi="Arial" w:cs="Arial"/>
              </w:rPr>
              <w:t>Enjoy tranquility</w:t>
            </w:r>
          </w:p>
        </w:tc>
        <w:tc>
          <w:tcPr>
            <w:tcW w:w="1530" w:type="dxa"/>
            <w:tcBorders>
              <w:top w:val="single" w:sz="4" w:space="0" w:color="auto"/>
              <w:bottom w:val="single" w:sz="4" w:space="0" w:color="auto"/>
            </w:tcBorders>
          </w:tcPr>
          <w:p w14:paraId="35C88E4A" w14:textId="77777777" w:rsidR="005E7106" w:rsidRPr="00A2455C" w:rsidRDefault="005E7106" w:rsidP="005E7106">
            <w:pPr>
              <w:jc w:val="center"/>
              <w:rPr>
                <w:rFonts w:ascii="Arial" w:hAnsi="Arial" w:cs="Arial"/>
              </w:rPr>
            </w:pPr>
            <w:r w:rsidRPr="00A2455C">
              <w:rPr>
                <w:rFonts w:ascii="Arial" w:hAnsi="Arial" w:cs="Arial"/>
              </w:rPr>
              <w:t>4.27</w:t>
            </w:r>
          </w:p>
        </w:tc>
        <w:tc>
          <w:tcPr>
            <w:tcW w:w="2790" w:type="dxa"/>
            <w:tcBorders>
              <w:top w:val="single" w:sz="4" w:space="0" w:color="auto"/>
              <w:bottom w:val="single" w:sz="4" w:space="0" w:color="auto"/>
            </w:tcBorders>
          </w:tcPr>
          <w:p w14:paraId="6A078346" w14:textId="77777777" w:rsidR="005E7106" w:rsidRPr="00A2455C" w:rsidRDefault="005E7106" w:rsidP="0062451B">
            <w:pPr>
              <w:rPr>
                <w:rFonts w:ascii="Arial" w:hAnsi="Arial" w:cs="Arial"/>
              </w:rPr>
            </w:pPr>
            <w:r w:rsidRPr="00A2455C">
              <w:rPr>
                <w:rFonts w:ascii="Arial" w:hAnsi="Arial" w:cs="Arial"/>
              </w:rPr>
              <w:t>Relaxation</w:t>
            </w:r>
          </w:p>
        </w:tc>
      </w:tr>
      <w:tr w:rsidR="005E7106" w:rsidRPr="00A2455C" w14:paraId="15A74452" w14:textId="77777777" w:rsidTr="0042070C">
        <w:tc>
          <w:tcPr>
            <w:tcW w:w="4068" w:type="dxa"/>
            <w:tcBorders>
              <w:top w:val="single" w:sz="4" w:space="0" w:color="auto"/>
              <w:bottom w:val="single" w:sz="4" w:space="0" w:color="auto"/>
            </w:tcBorders>
          </w:tcPr>
          <w:p w14:paraId="7493E228" w14:textId="77777777" w:rsidR="005E7106" w:rsidRPr="00A2455C" w:rsidRDefault="005E7106" w:rsidP="0062451B">
            <w:pPr>
              <w:rPr>
                <w:rFonts w:ascii="Arial" w:hAnsi="Arial" w:cs="Arial"/>
              </w:rPr>
            </w:pPr>
            <w:r w:rsidRPr="00A2455C">
              <w:rPr>
                <w:rFonts w:ascii="Arial" w:hAnsi="Arial" w:cs="Arial"/>
              </w:rPr>
              <w:t>Create new memories</w:t>
            </w:r>
          </w:p>
        </w:tc>
        <w:tc>
          <w:tcPr>
            <w:tcW w:w="1530" w:type="dxa"/>
            <w:tcBorders>
              <w:top w:val="single" w:sz="4" w:space="0" w:color="auto"/>
              <w:bottom w:val="single" w:sz="4" w:space="0" w:color="auto"/>
            </w:tcBorders>
          </w:tcPr>
          <w:p w14:paraId="6857FBE2" w14:textId="77777777" w:rsidR="005E7106" w:rsidRPr="00A2455C" w:rsidRDefault="005E7106" w:rsidP="005E7106">
            <w:pPr>
              <w:jc w:val="center"/>
              <w:rPr>
                <w:rFonts w:ascii="Arial" w:hAnsi="Arial" w:cs="Arial"/>
              </w:rPr>
            </w:pPr>
            <w:r w:rsidRPr="00A2455C">
              <w:rPr>
                <w:rFonts w:ascii="Arial" w:hAnsi="Arial" w:cs="Arial"/>
              </w:rPr>
              <w:t>4.30</w:t>
            </w:r>
          </w:p>
        </w:tc>
        <w:tc>
          <w:tcPr>
            <w:tcW w:w="2790" w:type="dxa"/>
            <w:tcBorders>
              <w:top w:val="single" w:sz="4" w:space="0" w:color="auto"/>
              <w:bottom w:val="single" w:sz="4" w:space="0" w:color="auto"/>
            </w:tcBorders>
          </w:tcPr>
          <w:p w14:paraId="126707EA" w14:textId="77777777" w:rsidR="005E7106" w:rsidRPr="00A2455C" w:rsidRDefault="005E7106" w:rsidP="0062451B">
            <w:pPr>
              <w:rPr>
                <w:rFonts w:ascii="Arial" w:hAnsi="Arial" w:cs="Arial"/>
              </w:rPr>
            </w:pPr>
            <w:r w:rsidRPr="00A2455C">
              <w:rPr>
                <w:rFonts w:ascii="Arial" w:hAnsi="Arial" w:cs="Arial"/>
              </w:rPr>
              <w:t>Memory-making</w:t>
            </w:r>
          </w:p>
        </w:tc>
      </w:tr>
      <w:tr w:rsidR="005E7106" w:rsidRPr="00A2455C" w14:paraId="10C9BCF4" w14:textId="77777777" w:rsidTr="0042070C">
        <w:tc>
          <w:tcPr>
            <w:tcW w:w="4068" w:type="dxa"/>
            <w:tcBorders>
              <w:top w:val="single" w:sz="4" w:space="0" w:color="auto"/>
              <w:bottom w:val="single" w:sz="4" w:space="0" w:color="auto"/>
            </w:tcBorders>
          </w:tcPr>
          <w:p w14:paraId="4CF4CCFD" w14:textId="77777777" w:rsidR="005E7106" w:rsidRPr="00A2455C" w:rsidRDefault="005E7106" w:rsidP="0062451B">
            <w:pPr>
              <w:rPr>
                <w:rFonts w:ascii="Arial" w:hAnsi="Arial" w:cs="Arial"/>
              </w:rPr>
            </w:pPr>
            <w:r w:rsidRPr="00A2455C">
              <w:rPr>
                <w:rFonts w:ascii="Arial" w:hAnsi="Arial" w:cs="Arial"/>
              </w:rPr>
              <w:t>Seek pleasure / fun</w:t>
            </w:r>
          </w:p>
        </w:tc>
        <w:tc>
          <w:tcPr>
            <w:tcW w:w="1530" w:type="dxa"/>
            <w:tcBorders>
              <w:top w:val="single" w:sz="4" w:space="0" w:color="auto"/>
              <w:bottom w:val="single" w:sz="4" w:space="0" w:color="auto"/>
            </w:tcBorders>
          </w:tcPr>
          <w:p w14:paraId="6668DF86" w14:textId="77777777" w:rsidR="005E7106" w:rsidRPr="00A2455C" w:rsidRDefault="005E7106" w:rsidP="005E7106">
            <w:pPr>
              <w:jc w:val="center"/>
              <w:rPr>
                <w:rFonts w:ascii="Arial" w:hAnsi="Arial" w:cs="Arial"/>
              </w:rPr>
            </w:pPr>
            <w:r w:rsidRPr="00A2455C">
              <w:rPr>
                <w:rFonts w:ascii="Arial" w:hAnsi="Arial" w:cs="Arial"/>
              </w:rPr>
              <w:t>4.44</w:t>
            </w:r>
          </w:p>
        </w:tc>
        <w:tc>
          <w:tcPr>
            <w:tcW w:w="2790" w:type="dxa"/>
            <w:tcBorders>
              <w:top w:val="single" w:sz="4" w:space="0" w:color="auto"/>
              <w:bottom w:val="single" w:sz="4" w:space="0" w:color="auto"/>
            </w:tcBorders>
          </w:tcPr>
          <w:p w14:paraId="6053FACF" w14:textId="77777777" w:rsidR="005E7106" w:rsidRPr="00A2455C" w:rsidRDefault="005E7106" w:rsidP="0062451B">
            <w:pPr>
              <w:rPr>
                <w:rFonts w:ascii="Arial" w:hAnsi="Arial" w:cs="Arial"/>
              </w:rPr>
            </w:pPr>
            <w:r w:rsidRPr="00A2455C">
              <w:rPr>
                <w:rFonts w:ascii="Arial" w:hAnsi="Arial" w:cs="Arial"/>
              </w:rPr>
              <w:t>Hedonic enjoyment</w:t>
            </w:r>
          </w:p>
        </w:tc>
      </w:tr>
    </w:tbl>
    <w:p w14:paraId="2662A9BE" w14:textId="77777777" w:rsidR="00E053D0" w:rsidRDefault="00E053D0" w:rsidP="00441B6F">
      <w:pPr>
        <w:pStyle w:val="Body"/>
        <w:spacing w:after="0"/>
        <w:rPr>
          <w:rFonts w:ascii="Arial" w:hAnsi="Arial" w:cs="Arial"/>
        </w:rPr>
      </w:pPr>
    </w:p>
    <w:p w14:paraId="3216B458" w14:textId="77777777" w:rsidR="00566AAC" w:rsidRPr="00566AAC" w:rsidRDefault="00566AAC" w:rsidP="00566AAC">
      <w:pPr>
        <w:jc w:val="both"/>
        <w:rPr>
          <w:rFonts w:ascii="Arial" w:hAnsi="Arial" w:cs="Arial"/>
        </w:rPr>
      </w:pPr>
      <w:r w:rsidRPr="00566AAC">
        <w:rPr>
          <w:rFonts w:ascii="Arial" w:hAnsi="Arial" w:cs="Arial"/>
        </w:rPr>
        <w:t>The highest-rated motivations identified in the dataset are hedonic enjoyment (4.44), creating memories (4.30), and tranquility/relaxation (4.27). These findings indicate that experiential and emotion-driven motives dominate the visitor experience at TMII, consistent with its role as an experience- and culture-based attraction. In addition, relatively high ratings for information-seeking (4.16) and novelty (4.15) reflect strong cognitive and curiosity-based drivers, suggesting that visitors not only seek emotional gratification but also meaningful knowledge acquisition and exploration. Conversely, the lowest score, making new friends (3.31), suggests that social expansion is less prominent, whereas visitors place greater emphasis on bonding with existing social networks (e.g., sharing happiness and joy).</w:t>
      </w:r>
    </w:p>
    <w:p w14:paraId="2C115109" w14:textId="77777777" w:rsidR="00566AAC" w:rsidRDefault="00566AAC" w:rsidP="00260864">
      <w:pPr>
        <w:jc w:val="both"/>
        <w:rPr>
          <w:rFonts w:ascii="Arial" w:hAnsi="Arial" w:cs="Arial"/>
        </w:rPr>
      </w:pPr>
    </w:p>
    <w:p w14:paraId="2F5EA189" w14:textId="77777777" w:rsidR="00260864" w:rsidRDefault="003D4D8D" w:rsidP="003D4D8D">
      <w:pPr>
        <w:jc w:val="both"/>
        <w:rPr>
          <w:rFonts w:ascii="Arial" w:hAnsi="Arial" w:cs="Arial"/>
        </w:rPr>
      </w:pPr>
      <w:r w:rsidRPr="003D4D8D">
        <w:rPr>
          <w:rFonts w:ascii="Arial" w:hAnsi="Arial" w:cs="Arial"/>
        </w:rPr>
        <w:t xml:space="preserve">From the perspective of </w:t>
      </w:r>
      <w:r w:rsidRPr="003D4D8D">
        <w:rPr>
          <w:rFonts w:ascii="Arial" w:hAnsi="Arial" w:cs="Arial"/>
          <w:bCs/>
        </w:rPr>
        <w:t>Push–Pull Motivation Theory</w:t>
      </w:r>
      <w:r w:rsidRPr="003D4D8D">
        <w:rPr>
          <w:rFonts w:ascii="Arial" w:hAnsi="Arial" w:cs="Arial"/>
        </w:rPr>
        <w:t>, the results illustrate a distinctive blend of internal and external motivators. Push factors, such as hedonic enjoyment, novelty, relaxation, and the desire to build memories, represent internal psychological needs that prompt travel intentions. These are complemented by pull factors such as TMII’s cultural attributes (e.g., traditional houses, cultural exhibits), which externally attract tourists by offering tangible cultural stimuli. This mixed pattern aligns with contemporary refinements of push–pull theory, which conceptualize tourist motives as</w:t>
      </w:r>
      <w:r w:rsidRPr="003D4D8D">
        <w:rPr>
          <w:rFonts w:ascii="Arial" w:hAnsi="Arial" w:cs="Arial"/>
          <w:bCs/>
        </w:rPr>
        <w:t xml:space="preserve"> hierarchical and sometimes reflective/formative,</w:t>
      </w:r>
      <w:r w:rsidRPr="003D4D8D">
        <w:rPr>
          <w:rFonts w:ascii="Arial" w:hAnsi="Arial" w:cs="Arial"/>
        </w:rPr>
        <w:t xml:space="preserve"> wherein internal psychological drives are activated in response to, and interact with, destination attributes</w:t>
      </w:r>
      <w:r>
        <w:rPr>
          <w:rFonts w:ascii="Arial" w:hAnsi="Arial" w:cs="Arial"/>
        </w:rPr>
        <w:t xml:space="preserve"> </w:t>
      </w:r>
      <w:r w:rsidR="00002FB4" w:rsidRPr="002255FF">
        <w:rPr>
          <w:rFonts w:ascii="Arial" w:hAnsi="Arial" w:cs="Arial"/>
        </w:rPr>
        <w:fldChar w:fldCharType="begin" w:fldLock="1"/>
      </w:r>
      <w:r w:rsidR="00002FB4" w:rsidRPr="002255FF">
        <w:rPr>
          <w:rFonts w:ascii="Arial" w:hAnsi="Arial" w:cs="Arial"/>
        </w:rPr>
        <w:instrText>ADDIN CSL_CITATION {"citationItems":[{"id":"ITEM-1","itemData":{"DOI":"10.3390/tourhosp6030139","ISBN":"2673-5768","abstract":"This study introduces a novel reflective–formative hierarchical model specification for the classic push–pull tourist motivation construct, aligning its measurement with the theoretical distinction between intrinsic “push” drives and external “pull” attributes. Unlike the traditional reflective-reflective structuring of tourist motivation we defied the higher order factors (novelty, knowledge and facilities as formative. Using partial least squares structural equation modeling (PLS-SEM) on a purposive sample of 319 international tourists, we empirically validate the reflective–formative (reflective first-order, formative second-order) model. The reflective–formative model showed a superior fit and predictive power: it explained substantially more variance in key outcome constructs (social motives (R2 = 53.60) and self-actualization (R2 = 23.10)) than the traditional reflective–reflective specification (social motives (R2 = 49.30) and self-actualization (R2 = 21.70)), which is consistent with best-practice guidelines for theoretically grounded models. In contrast, the incorrectly specified reflective–reflective model showed stronger effects between unrelated constructs, supporting concerns that choosing the wrong type of measurement model can lead to incorrect conclusions. By reconciling the push–pull theory with measurement design, this work’s main contributions are a theoretically justified reflective–formative model for tourist motivation, and evidence of its empirical benefits. These findings highlight a methodological innovation in motivation modeling and underscore that modeling push–pull motives formatively yields more accurate insights for theory and practice.","author":[{"dropping-particle":"","family":"Joseph","given":"Joshin","non-dropping-particle":"","parse-names":false,"suffix":""},{"dropping-particle":"","family":"Gillariose","given":"Jiju","non-dropping-particle":"","parse-names":false,"suffix":""}],"container-title":"Tourism and Hospitality","id":"ITEM-1","issue":"3","issued":{"date-parts":[["2025"]]},"title":"Revisiting the Push–Pull Tourist Motivation Model: A Theoretical and Empirical Justification for a Reflective–Formative Structure","type":"article","volume":"6"},"uris":["http://www.mendeley.com/documents/?uuid=6eb2c82a-3be7-434b-b2fa-e27d097f20f5"]}],"mendeley":{"formattedCitation":"(Joseph &amp; Gillariose, 2025)","plainTextFormattedCitation":"(Joseph &amp; Gillariose, 2025)","previouslyFormattedCitation":"(Joseph &amp; Gillariose, 2025)"},"properties":{"noteIndex":0},"schema":"https://github.com/citation-style-language/schema/raw/master/csl-citation.json"}</w:instrText>
      </w:r>
      <w:r w:rsidR="00002FB4" w:rsidRPr="002255FF">
        <w:rPr>
          <w:rFonts w:ascii="Arial" w:hAnsi="Arial" w:cs="Arial"/>
        </w:rPr>
        <w:fldChar w:fldCharType="separate"/>
      </w:r>
      <w:r w:rsidR="00002FB4" w:rsidRPr="002255FF">
        <w:rPr>
          <w:rFonts w:ascii="Arial" w:hAnsi="Arial" w:cs="Arial"/>
          <w:noProof/>
        </w:rPr>
        <w:t>(Joseph &amp; Gillariose, 2025)</w:t>
      </w:r>
      <w:r w:rsidR="00002FB4" w:rsidRPr="002255FF">
        <w:rPr>
          <w:rFonts w:ascii="Arial" w:hAnsi="Arial" w:cs="Arial"/>
        </w:rPr>
        <w:fldChar w:fldCharType="end"/>
      </w:r>
      <w:r w:rsidR="00002FB4" w:rsidRPr="002255FF">
        <w:rPr>
          <w:rFonts w:ascii="Arial" w:hAnsi="Arial" w:cs="Arial"/>
        </w:rPr>
        <w:t>.</w:t>
      </w:r>
    </w:p>
    <w:p w14:paraId="5C67C163" w14:textId="77777777" w:rsidR="00E540C8" w:rsidRPr="002255FF" w:rsidRDefault="00E540C8" w:rsidP="003D4D8D">
      <w:pPr>
        <w:jc w:val="both"/>
        <w:rPr>
          <w:rFonts w:ascii="Arial" w:hAnsi="Arial" w:cs="Arial"/>
        </w:rPr>
      </w:pPr>
    </w:p>
    <w:p w14:paraId="1372CAC9" w14:textId="77777777" w:rsidR="0057496B" w:rsidRPr="00187615" w:rsidRDefault="00E540C8" w:rsidP="00187615">
      <w:pPr>
        <w:jc w:val="both"/>
        <w:rPr>
          <w:rFonts w:ascii="Arial" w:hAnsi="Arial" w:cs="Arial"/>
        </w:rPr>
      </w:pPr>
      <w:r w:rsidRPr="00E540C8">
        <w:rPr>
          <w:rFonts w:ascii="Arial" w:hAnsi="Arial" w:cs="Arial"/>
        </w:rPr>
        <w:t xml:space="preserve">The strong novelty-seeking score further reinforces established findings in the tourism literature, which identify </w:t>
      </w:r>
      <w:r w:rsidRPr="00E540C8">
        <w:rPr>
          <w:rFonts w:ascii="Arial" w:hAnsi="Arial" w:cs="Arial"/>
          <w:bCs/>
        </w:rPr>
        <w:t>novelty as a central mechanism underlying tourist enjoyment and experiential satisfaction</w:t>
      </w:r>
      <w:r w:rsidRPr="00E540C8">
        <w:rPr>
          <w:rFonts w:ascii="Arial" w:hAnsi="Arial" w:cs="Arial"/>
        </w:rPr>
        <w:t xml:space="preserve">. Novelty has been shown to enhance travel pleasure, predict destination satisfaction, and strengthen revisit intentions, particularly within cultural and domestic tourism contexts. At TMII, novelty appears to operate alongside hedonic enjoyment and relaxation, suggesting that visitors value </w:t>
      </w:r>
      <w:r w:rsidRPr="00E540C8">
        <w:rPr>
          <w:rFonts w:ascii="Arial" w:hAnsi="Arial" w:cs="Arial"/>
          <w:bCs/>
        </w:rPr>
        <w:t>a balance between familiar cultural representations and new, stimulating experiences.</w:t>
      </w:r>
      <w:r w:rsidRPr="00E540C8">
        <w:rPr>
          <w:rFonts w:ascii="Arial" w:hAnsi="Arial" w:cs="Arial"/>
        </w:rPr>
        <w:t xml:space="preserve"> Such outcomes align with recommendations by </w:t>
      </w:r>
      <w:r w:rsidR="00164E75" w:rsidRPr="00187615">
        <w:rPr>
          <w:rFonts w:ascii="Arial" w:hAnsi="Arial" w:cs="Arial"/>
          <w:noProof/>
        </w:rPr>
        <w:t>Mitas &amp; Bastiaansen</w:t>
      </w:r>
      <w:r w:rsidR="00260864" w:rsidRPr="00187615">
        <w:rPr>
          <w:rFonts w:ascii="Arial" w:hAnsi="Arial" w:cs="Arial"/>
        </w:rPr>
        <w:t xml:space="preserve"> </w:t>
      </w:r>
      <w:r w:rsidR="00164E75" w:rsidRPr="00187615">
        <w:rPr>
          <w:rFonts w:ascii="Arial" w:hAnsi="Arial" w:cs="Arial"/>
        </w:rPr>
        <w:fldChar w:fldCharType="begin" w:fldLock="1"/>
      </w:r>
      <w:r w:rsidR="003C5D29" w:rsidRPr="00187615">
        <w:rPr>
          <w:rFonts w:ascii="Arial" w:hAnsi="Arial" w:cs="Arial"/>
        </w:rPr>
        <w:instrText>ADDIN CSL_CITATION {"citationItems":[{"id":"ITEM-1","itemData":{"DOI":"https://doi.org/10.1016/j.annals.2018.07.002","ISSN":"0160-7383","abstract":"Novelty, conceptualized as the experience of something new and different from the everyday, is widely believed to be what defines tourism experiences and makes them enjoyable. The present study tests the mediating effect of novelty on positive emotions in two longitudinal data sets based on daily psychometric diaries. Findings show that the effect of tourism experience on positive emotions is indeed partly mediated by novelty. The mediation effect is similar for average positive emotions as well as for the emotion of interest, suggesting that novelty sparks positive emotions through goal congruence more than by directly triggering interest. Findings affirm that novelty is indeed fundamental and enjoyable in the tourism experience.","author":[{"dropping-particle":"","family":"Mitas","given":"Ondrej","non-dropping-particle":"","parse-names":false,"suffix":""},{"dropping-particle":"","family":"Bastiaansen","given":"Marcel","non-dropping-particle":"","parse-names":false,"suffix":""}],"container-title":"Annals of Tourism Research","id":"ITEM-1","issued":{"date-parts":[["2018"]]},"page":"98-108","title":"Novelty: A mechanism of tourists’ enjoyment","type":"article-journal","volume":"72"},"suppress-author":1,"uris":["http://www.mendeley.com/documents/?uuid=53349a88-658c-44e8-815b-c355e4b08e85"]}],"mendeley":{"formattedCitation":"(2018)","plainTextFormattedCitation":"(2018)","previouslyFormattedCitation":"(2018)"},"properties":{"noteIndex":0},"schema":"https://github.com/citation-style-language/schema/raw/master/csl-citation.json"}</w:instrText>
      </w:r>
      <w:r w:rsidR="00164E75" w:rsidRPr="00187615">
        <w:rPr>
          <w:rFonts w:ascii="Arial" w:hAnsi="Arial" w:cs="Arial"/>
        </w:rPr>
        <w:fldChar w:fldCharType="separate"/>
      </w:r>
      <w:r w:rsidR="00164E75" w:rsidRPr="00187615">
        <w:rPr>
          <w:rFonts w:ascii="Arial" w:hAnsi="Arial" w:cs="Arial"/>
          <w:noProof/>
        </w:rPr>
        <w:t>(2018)</w:t>
      </w:r>
      <w:r w:rsidR="00164E75" w:rsidRPr="00187615">
        <w:rPr>
          <w:rFonts w:ascii="Arial" w:hAnsi="Arial" w:cs="Arial"/>
        </w:rPr>
        <w:fldChar w:fldCharType="end"/>
      </w:r>
      <w:r w:rsidR="00260864" w:rsidRPr="00187615">
        <w:rPr>
          <w:rFonts w:ascii="Arial" w:hAnsi="Arial" w:cs="Arial"/>
        </w:rPr>
        <w:t xml:space="preserve">, </w:t>
      </w:r>
      <w:r w:rsidR="0057496B" w:rsidRPr="00187615">
        <w:rPr>
          <w:rFonts w:ascii="Arial" w:hAnsi="Arial" w:cs="Arial"/>
        </w:rPr>
        <w:t>emphasizing the need for tourism managers to integrate both routine cultural displays and more dynamic experiential elements (e.g., rotating exhibitions, interactive cultural performances).</w:t>
      </w:r>
    </w:p>
    <w:p w14:paraId="35DA3000" w14:textId="77777777" w:rsidR="00260864" w:rsidRPr="00E540C8" w:rsidRDefault="00260864" w:rsidP="00E540C8">
      <w:pPr>
        <w:rPr>
          <w:rFonts w:ascii="Times New Roman" w:hAnsi="Times New Roman"/>
          <w:sz w:val="24"/>
          <w:szCs w:val="24"/>
        </w:rPr>
      </w:pPr>
    </w:p>
    <w:p w14:paraId="0E704592" w14:textId="77777777" w:rsidR="005A026C" w:rsidRPr="005A026C" w:rsidRDefault="005A026C" w:rsidP="005A026C">
      <w:pPr>
        <w:jc w:val="both"/>
        <w:rPr>
          <w:rFonts w:ascii="Arial" w:hAnsi="Arial" w:cs="Arial"/>
        </w:rPr>
      </w:pPr>
      <w:r w:rsidRPr="005A026C">
        <w:rPr>
          <w:rFonts w:ascii="Arial" w:hAnsi="Arial" w:cs="Arial"/>
        </w:rPr>
        <w:t xml:space="preserve">Furthermore, recent scholarship conceptualizes tourist motivation as a complex adaptive system, wherein multiple motives, cognitive, affective, social, and intrinsic, interact synergistically rather than operating independently </w:t>
      </w:r>
      <w:r w:rsidR="001639D2" w:rsidRPr="005A026C">
        <w:rPr>
          <w:rFonts w:ascii="Arial" w:hAnsi="Arial" w:cs="Arial"/>
        </w:rPr>
        <w:fldChar w:fldCharType="begin" w:fldLock="1"/>
      </w:r>
      <w:r w:rsidR="001639D2" w:rsidRPr="005A026C">
        <w:rPr>
          <w:rFonts w:ascii="Arial" w:hAnsi="Arial" w:cs="Arial"/>
        </w:rPr>
        <w:instrText>ADDIN CSL_CITATION {"citationItems":[{"id":"ITEM-1","itemData":{"DOI":"https://doi.org/10.1016/j.jdmm.2024.100861","ISSN":"2212-571X","abstract":"This article discusses the history and status quo of traditional tourism motivation theories as well as their shortcomings. By adopting a collective approach to motivation, this study proposes a framework that examines tourism motivations from a complex adaptive system's perspective. To conduct this study, the destination-motivation semantic system was designed as a bipartite scale-free network that takes in inputs such as values, costs, benefits, experiences, reasons to avoid/approach, attitudes, and expectations, and delivers the outputs of motivational force (valence) and destination utility. Next, by employing expectancy and utility theories and applying the principles of information theory, statistical mechanics, and thermodynamics, several appraisals were developed to determine the system's state, structure, and functionality. Finally, a toy model that presents the empirical proof of the proposed framework is depicted.","author":[{"dropping-particle":"","family":"Khalilzadeh","given":"Jalayer","non-dropping-particle":"","parse-names":false,"suffix":""},{"dropping-particle":"","family":"Kozak","given":"Metin","non-dropping-particle":"","parse-names":false,"suffix":""},{"dropping-particle":"","family":"Chiappa","given":"Giacomo","non-dropping-particle":"Del","parse-names":false,"suffix":""}],"container-title":"Journal of Destination Marketing &amp; Management","id":"ITEM-1","issued":{"date-parts":[["2024"]]},"page":"100861","title":"Tourism motivation: A complex adaptive system","type":"article-journal","volume":"31"},"uris":["http://www.mendeley.com/documents/?uuid=a96a1bfc-c248-4cbe-b4f7-5bf110cdc9a0"]}],"mendeley":{"formattedCitation":"(Khalilzadeh et al., 2024)","plainTextFormattedCitation":"(Khalilzadeh et al., 2024)","previouslyFormattedCitation":"(Khalilzadeh et al., 2024)"},"properties":{"noteIndex":0},"schema":"https://github.com/citation-style-language/schema/raw/master/csl-citation.json"}</w:instrText>
      </w:r>
      <w:r w:rsidR="001639D2" w:rsidRPr="005A026C">
        <w:rPr>
          <w:rFonts w:ascii="Arial" w:hAnsi="Arial" w:cs="Arial"/>
        </w:rPr>
        <w:fldChar w:fldCharType="separate"/>
      </w:r>
      <w:r w:rsidR="001639D2" w:rsidRPr="005A026C">
        <w:rPr>
          <w:rFonts w:ascii="Arial" w:hAnsi="Arial" w:cs="Arial"/>
          <w:noProof/>
        </w:rPr>
        <w:t>(Khalilzadeh et al., 2024)</w:t>
      </w:r>
      <w:r w:rsidR="001639D2" w:rsidRPr="005A026C">
        <w:rPr>
          <w:rFonts w:ascii="Arial" w:hAnsi="Arial" w:cs="Arial"/>
        </w:rPr>
        <w:fldChar w:fldCharType="end"/>
      </w:r>
      <w:r w:rsidR="00260864" w:rsidRPr="005A026C">
        <w:rPr>
          <w:rFonts w:ascii="Arial" w:hAnsi="Arial" w:cs="Arial"/>
        </w:rPr>
        <w:t xml:space="preserve">. </w:t>
      </w:r>
      <w:r w:rsidRPr="005A026C">
        <w:rPr>
          <w:rFonts w:ascii="Arial" w:hAnsi="Arial" w:cs="Arial"/>
        </w:rPr>
        <w:t>The TMII motivation profile supports this perspective: visitors demonstrating high hedonic, novelty, and cultural motives are also those who engage in social sharing and cultural exploration. Consequently, managerial strategies should adopt integrated, multi-dimensional intervention approaches that simultaneously address emotional enjoyment, cognitive enrichment, and social bonding opportunities to maximize visitor satisfaction and behavioral intentions.</w:t>
      </w:r>
    </w:p>
    <w:p w14:paraId="0429B627" w14:textId="77777777" w:rsidR="00260864" w:rsidRPr="005A026C" w:rsidRDefault="00260864" w:rsidP="005A026C">
      <w:pPr>
        <w:rPr>
          <w:rFonts w:ascii="Times New Roman" w:hAnsi="Times New Roman"/>
          <w:sz w:val="24"/>
          <w:szCs w:val="24"/>
        </w:rPr>
      </w:pPr>
    </w:p>
    <w:p w14:paraId="4F3DADEA" w14:textId="77777777" w:rsidR="00822BB3" w:rsidRDefault="00822BB3" w:rsidP="005439B3">
      <w:pPr>
        <w:pStyle w:val="Body"/>
        <w:rPr>
          <w:rFonts w:ascii="Arial" w:hAnsi="Arial" w:cs="Arial"/>
        </w:rPr>
      </w:pPr>
    </w:p>
    <w:p w14:paraId="0C45C93F" w14:textId="77777777" w:rsidR="004148E4" w:rsidRPr="00FB3A86" w:rsidRDefault="004148E4" w:rsidP="00441B6F">
      <w:pPr>
        <w:pStyle w:val="Body"/>
        <w:spacing w:after="0"/>
        <w:rPr>
          <w:rFonts w:ascii="Arial" w:hAnsi="Arial" w:cs="Arial"/>
        </w:rPr>
      </w:pPr>
    </w:p>
    <w:p w14:paraId="6C46243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9E74F61" w14:textId="77777777" w:rsidR="00790ADA" w:rsidRPr="00FB3A86" w:rsidRDefault="00790ADA" w:rsidP="00441B6F">
      <w:pPr>
        <w:pStyle w:val="ConcHead"/>
        <w:spacing w:after="0"/>
        <w:jc w:val="both"/>
        <w:rPr>
          <w:rFonts w:ascii="Arial" w:hAnsi="Arial" w:cs="Arial"/>
        </w:rPr>
      </w:pPr>
    </w:p>
    <w:p w14:paraId="19DD2584" w14:textId="77777777" w:rsidR="00ED7CC5" w:rsidRDefault="00014A40" w:rsidP="00441B6F">
      <w:pPr>
        <w:pStyle w:val="Body"/>
        <w:spacing w:after="0"/>
        <w:rPr>
          <w:rFonts w:ascii="Arial" w:hAnsi="Arial" w:cs="Arial"/>
        </w:rPr>
      </w:pPr>
      <w:r w:rsidRPr="00014A40">
        <w:rPr>
          <w:rFonts w:ascii="Arial" w:hAnsi="Arial" w:cs="Arial"/>
        </w:rPr>
        <w:t>This study concludes that tourists visiting Taman Mini Indonesia Indah are primarily driven by enjoyment, cultural curiosity, novelty-seeking, and the desire to create meaningful memories. Their demographic and psychographic profiles show that TMII predominantly attracts regional visitors who are young, relatively well-educated, and interested in short recreational experiences. While TMII’s cultural assets continue to serve as strong pull factors, the brief duration of visits and the heavy reliance on private transportation indicate several areas requiring improvement. Enhancing accessibility, diversifying attractions, and introducing more interactive and immersive programs are key strategies for increasing visitor engagement and satisfaction. Addressing these aspects will enable TMII to maintain its relevance, strengthen its competitive position, and better meet the expectations of contemporary tourists.</w:t>
      </w:r>
    </w:p>
    <w:p w14:paraId="53F4F44C" w14:textId="77777777" w:rsidR="00ED7CC5" w:rsidRPr="00FB3A86" w:rsidRDefault="00ED7CC5" w:rsidP="00441B6F">
      <w:pPr>
        <w:pStyle w:val="Body"/>
        <w:spacing w:after="0"/>
        <w:rPr>
          <w:rFonts w:ascii="Arial" w:hAnsi="Arial" w:cs="Arial"/>
        </w:rPr>
      </w:pPr>
    </w:p>
    <w:p w14:paraId="0327ABFE" w14:textId="77777777" w:rsidR="00401FC2" w:rsidRDefault="00401FC2" w:rsidP="00441B6F"/>
    <w:p w14:paraId="23FDE3CD" w14:textId="77777777" w:rsidR="000E759F" w:rsidRPr="000E759F" w:rsidRDefault="000E759F" w:rsidP="000E759F">
      <w:pPr>
        <w:rPr>
          <w:rFonts w:ascii="Arial" w:hAnsi="Arial" w:cs="Arial"/>
          <w:b/>
          <w:sz w:val="22"/>
          <w:szCs w:val="22"/>
        </w:rPr>
      </w:pPr>
      <w:r w:rsidRPr="000E759F">
        <w:rPr>
          <w:rFonts w:ascii="Arial" w:hAnsi="Arial" w:cs="Arial"/>
          <w:b/>
          <w:sz w:val="22"/>
          <w:szCs w:val="22"/>
        </w:rPr>
        <w:t xml:space="preserve">DISCLAIMER (ARTIFICIAL INTELLIGENCE) </w:t>
      </w:r>
    </w:p>
    <w:p w14:paraId="5E18EF9D" w14:textId="77777777" w:rsidR="000E759F" w:rsidRDefault="000E759F" w:rsidP="000E759F"/>
    <w:p w14:paraId="7DAD3718" w14:textId="77777777" w:rsidR="00401FC2" w:rsidRPr="000E759F" w:rsidRDefault="000E759F" w:rsidP="00644137">
      <w:pPr>
        <w:jc w:val="both"/>
        <w:rPr>
          <w:rFonts w:ascii="Arial" w:hAnsi="Arial" w:cs="Arial"/>
        </w:rPr>
      </w:pPr>
      <w:r w:rsidRPr="000E759F">
        <w:rPr>
          <w:rFonts w:ascii="Arial" w:hAnsi="Arial" w:cs="Arial"/>
        </w:rPr>
        <w:t>Author(</w:t>
      </w:r>
      <w:proofErr w:type="gramStart"/>
      <w:r w:rsidRPr="000E759F">
        <w:rPr>
          <w:rFonts w:ascii="Arial" w:hAnsi="Arial" w:cs="Arial"/>
        </w:rPr>
        <w:t>s)  hereby</w:t>
      </w:r>
      <w:proofErr w:type="gramEnd"/>
      <w:r w:rsidRPr="000E759F">
        <w:rPr>
          <w:rFonts w:ascii="Arial" w:hAnsi="Arial" w:cs="Arial"/>
        </w:rPr>
        <w:t xml:space="preserve">  declare  that  NO  generative  AI technologies  such  as  Large  Language  Models (</w:t>
      </w:r>
      <w:proofErr w:type="spellStart"/>
      <w:r w:rsidRPr="000E759F">
        <w:rPr>
          <w:rFonts w:ascii="Arial" w:hAnsi="Arial" w:cs="Arial"/>
        </w:rPr>
        <w:t>Ch</w:t>
      </w:r>
      <w:r w:rsidR="0062451B">
        <w:rPr>
          <w:rFonts w:ascii="Arial" w:hAnsi="Arial" w:cs="Arial"/>
        </w:rPr>
        <w:t>atGPT</w:t>
      </w:r>
      <w:proofErr w:type="spellEnd"/>
      <w:r w:rsidR="0062451B">
        <w:rPr>
          <w:rFonts w:ascii="Arial" w:hAnsi="Arial" w:cs="Arial"/>
        </w:rPr>
        <w:t xml:space="preserve">, COPILOT, </w:t>
      </w:r>
      <w:proofErr w:type="spellStart"/>
      <w:r w:rsidR="0062451B">
        <w:rPr>
          <w:rFonts w:ascii="Arial" w:hAnsi="Arial" w:cs="Arial"/>
        </w:rPr>
        <w:t>etc</w:t>
      </w:r>
      <w:proofErr w:type="spellEnd"/>
      <w:r w:rsidR="0062451B">
        <w:rPr>
          <w:rFonts w:ascii="Arial" w:hAnsi="Arial" w:cs="Arial"/>
        </w:rPr>
        <w:t>) and</w:t>
      </w:r>
      <w:r w:rsidR="00C801A4">
        <w:rPr>
          <w:rFonts w:ascii="Arial" w:hAnsi="Arial" w:cs="Arial"/>
        </w:rPr>
        <w:t xml:space="preserve"> text-to-image generators </w:t>
      </w:r>
      <w:r w:rsidRPr="000E759F">
        <w:rPr>
          <w:rFonts w:ascii="Arial" w:hAnsi="Arial" w:cs="Arial"/>
        </w:rPr>
        <w:t>hav</w:t>
      </w:r>
      <w:r w:rsidR="00C801A4">
        <w:rPr>
          <w:rFonts w:ascii="Arial" w:hAnsi="Arial" w:cs="Arial"/>
        </w:rPr>
        <w:t>e been used during  writing</w:t>
      </w:r>
      <w:r w:rsidRPr="000E759F">
        <w:rPr>
          <w:rFonts w:ascii="Arial" w:hAnsi="Arial" w:cs="Arial"/>
        </w:rPr>
        <w:t xml:space="preserve"> or editing of this manuscript.</w:t>
      </w:r>
    </w:p>
    <w:p w14:paraId="7927847C" w14:textId="77777777" w:rsidR="000E759F" w:rsidRPr="00315186" w:rsidRDefault="000E759F" w:rsidP="00441B6F"/>
    <w:p w14:paraId="7C12711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A8A97A3" w14:textId="77777777" w:rsidR="00860000" w:rsidRPr="00786D36" w:rsidRDefault="00860000" w:rsidP="00441B6F">
      <w:pPr>
        <w:pStyle w:val="ReferHead"/>
        <w:spacing w:after="0"/>
        <w:jc w:val="both"/>
        <w:rPr>
          <w:rFonts w:ascii="Arial" w:hAnsi="Arial" w:cs="Arial"/>
        </w:rPr>
      </w:pPr>
    </w:p>
    <w:p w14:paraId="61E83F46" w14:textId="77777777" w:rsidR="00371FB6" w:rsidRDefault="0072776A"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r w:rsidR="00842577">
        <w:rPr>
          <w:rFonts w:ascii="Arial" w:hAnsi="Arial" w:cs="Arial"/>
          <w:b w:val="0"/>
          <w:caps w:val="0"/>
          <w:sz w:val="20"/>
        </w:rPr>
        <w:t>.</w:t>
      </w:r>
    </w:p>
    <w:p w14:paraId="25D05253" w14:textId="77777777" w:rsidR="00860000" w:rsidRDefault="00860000" w:rsidP="00441B6F">
      <w:pPr>
        <w:pStyle w:val="ReferHead"/>
        <w:spacing w:after="0"/>
        <w:jc w:val="both"/>
        <w:rPr>
          <w:rFonts w:ascii="Arial" w:hAnsi="Arial" w:cs="Arial"/>
        </w:rPr>
      </w:pPr>
    </w:p>
    <w:p w14:paraId="43F2F13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1D04F4" w14:textId="77777777" w:rsidR="00790ADA" w:rsidRPr="00FB3A86" w:rsidRDefault="00790ADA" w:rsidP="00441B6F">
      <w:pPr>
        <w:pStyle w:val="ReferHead"/>
        <w:spacing w:after="0"/>
        <w:jc w:val="both"/>
        <w:rPr>
          <w:rFonts w:ascii="Arial" w:hAnsi="Arial" w:cs="Arial"/>
        </w:rPr>
      </w:pPr>
    </w:p>
    <w:p w14:paraId="79A4C364" w14:textId="77777777" w:rsidR="00AB2792"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rPr>
        <w:fldChar w:fldCharType="begin" w:fldLock="1"/>
      </w:r>
      <w:r w:rsidRPr="00AE0200">
        <w:rPr>
          <w:rFonts w:ascii="Arial" w:hAnsi="Arial" w:cs="Arial"/>
        </w:rPr>
        <w:instrText xml:space="preserve">ADDIN Mendeley Bibliography CSL_BIBLIOGRAPHY </w:instrText>
      </w:r>
      <w:r w:rsidRPr="00AE0200">
        <w:rPr>
          <w:rFonts w:ascii="Arial" w:hAnsi="Arial" w:cs="Arial"/>
        </w:rPr>
        <w:fldChar w:fldCharType="separate"/>
      </w:r>
      <w:r w:rsidR="00AB2792" w:rsidRPr="00AB2792">
        <w:t xml:space="preserve"> </w:t>
      </w:r>
      <w:r w:rsidR="00AB2792" w:rsidRPr="00AB2792">
        <w:rPr>
          <w:rFonts w:ascii="Arial" w:hAnsi="Arial" w:cs="Arial"/>
          <w:noProof/>
          <w:szCs w:val="24"/>
        </w:rPr>
        <w:t>Baysha, M. H., Astuti, E. R. P., Fahmi, A. N., &amp; Mashur, M. (2024). The Role of Digital Marketing in Promoting Tourism in Tandung Andung, Lendang Ara Village. Community: Journal of Community Service. https://api.semanticscholar.org/CorpusID:273326420</w:t>
      </w:r>
    </w:p>
    <w:p w14:paraId="7993B179" w14:textId="354D82EE"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Bergel, M., Frank, P., &amp; Brock, C. (2019). The role of customer engagement facets on the formation of attitude, loyalty and price perception. </w:t>
      </w:r>
      <w:r w:rsidRPr="00AE0200">
        <w:rPr>
          <w:rFonts w:ascii="Arial" w:hAnsi="Arial" w:cs="Arial"/>
          <w:i/>
          <w:iCs/>
          <w:noProof/>
          <w:szCs w:val="24"/>
        </w:rPr>
        <w:t>Journal of Services Marketing</w:t>
      </w:r>
      <w:r w:rsidRPr="00AE0200">
        <w:rPr>
          <w:rFonts w:ascii="Arial" w:hAnsi="Arial" w:cs="Arial"/>
          <w:noProof/>
          <w:szCs w:val="24"/>
        </w:rPr>
        <w:t xml:space="preserve">, </w:t>
      </w:r>
      <w:r w:rsidRPr="00AE0200">
        <w:rPr>
          <w:rFonts w:ascii="Arial" w:hAnsi="Arial" w:cs="Arial"/>
          <w:i/>
          <w:iCs/>
          <w:noProof/>
          <w:szCs w:val="24"/>
        </w:rPr>
        <w:t>33</w:t>
      </w:r>
      <w:r w:rsidRPr="00AE0200">
        <w:rPr>
          <w:rFonts w:ascii="Arial" w:hAnsi="Arial" w:cs="Arial"/>
          <w:noProof/>
          <w:szCs w:val="24"/>
        </w:rPr>
        <w:t>(7), 890–903. https://doi.org/10.1108/JSM-01-2019-0024</w:t>
      </w:r>
    </w:p>
    <w:p w14:paraId="320C77DA"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Bhati, A. (2021). Psychographic variables, tourist behaviour and vandalism in the South-East Asian tourism sector. </w:t>
      </w:r>
      <w:r w:rsidRPr="00AE0200">
        <w:rPr>
          <w:rFonts w:ascii="Arial" w:hAnsi="Arial" w:cs="Arial"/>
          <w:i/>
          <w:iCs/>
          <w:noProof/>
          <w:szCs w:val="24"/>
        </w:rPr>
        <w:t>PLOS ONE</w:t>
      </w:r>
      <w:r w:rsidRPr="00AE0200">
        <w:rPr>
          <w:rFonts w:ascii="Arial" w:hAnsi="Arial" w:cs="Arial"/>
          <w:noProof/>
          <w:szCs w:val="24"/>
        </w:rPr>
        <w:t xml:space="preserve">, </w:t>
      </w:r>
      <w:r w:rsidRPr="00AE0200">
        <w:rPr>
          <w:rFonts w:ascii="Arial" w:hAnsi="Arial" w:cs="Arial"/>
          <w:i/>
          <w:iCs/>
          <w:noProof/>
          <w:szCs w:val="24"/>
        </w:rPr>
        <w:t>16</w:t>
      </w:r>
      <w:r w:rsidRPr="00AE0200">
        <w:rPr>
          <w:rFonts w:ascii="Arial" w:hAnsi="Arial" w:cs="Arial"/>
          <w:noProof/>
          <w:szCs w:val="24"/>
        </w:rPr>
        <w:t>(6), e0252195. https://doi.org/10.1371/journal.pone.0252195</w:t>
      </w:r>
    </w:p>
    <w:p w14:paraId="235EBAA4"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Crompton, J. L. (1979). Motivations for pleasure vacation. </w:t>
      </w:r>
      <w:r w:rsidRPr="00AE0200">
        <w:rPr>
          <w:rFonts w:ascii="Arial" w:hAnsi="Arial" w:cs="Arial"/>
          <w:i/>
          <w:iCs/>
          <w:noProof/>
          <w:szCs w:val="24"/>
        </w:rPr>
        <w:t>Annals of Tourism Research</w:t>
      </w:r>
      <w:r w:rsidRPr="00AE0200">
        <w:rPr>
          <w:rFonts w:ascii="Arial" w:hAnsi="Arial" w:cs="Arial"/>
          <w:noProof/>
          <w:szCs w:val="24"/>
        </w:rPr>
        <w:t xml:space="preserve">, </w:t>
      </w:r>
      <w:r w:rsidRPr="00AE0200">
        <w:rPr>
          <w:rFonts w:ascii="Arial" w:hAnsi="Arial" w:cs="Arial"/>
          <w:i/>
          <w:iCs/>
          <w:noProof/>
          <w:szCs w:val="24"/>
        </w:rPr>
        <w:t>6</w:t>
      </w:r>
      <w:r w:rsidRPr="00AE0200">
        <w:rPr>
          <w:rFonts w:ascii="Arial" w:hAnsi="Arial" w:cs="Arial"/>
          <w:noProof/>
          <w:szCs w:val="24"/>
        </w:rPr>
        <w:t>(4), 408–424. https://doi.org/https://doi.org/10.1016/0160-7383(79)90004-5</w:t>
      </w:r>
    </w:p>
    <w:p w14:paraId="042AF442"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Dann, G. M. S. (1981). Tourist motivation an appraisal. </w:t>
      </w:r>
      <w:r w:rsidRPr="00AE0200">
        <w:rPr>
          <w:rFonts w:ascii="Arial" w:hAnsi="Arial" w:cs="Arial"/>
          <w:i/>
          <w:iCs/>
          <w:noProof/>
          <w:szCs w:val="24"/>
        </w:rPr>
        <w:t>Annals of Tourism Research</w:t>
      </w:r>
      <w:r w:rsidRPr="00AE0200">
        <w:rPr>
          <w:rFonts w:ascii="Arial" w:hAnsi="Arial" w:cs="Arial"/>
          <w:noProof/>
          <w:szCs w:val="24"/>
        </w:rPr>
        <w:t xml:space="preserve">, </w:t>
      </w:r>
      <w:r w:rsidRPr="00AE0200">
        <w:rPr>
          <w:rFonts w:ascii="Arial" w:hAnsi="Arial" w:cs="Arial"/>
          <w:i/>
          <w:iCs/>
          <w:noProof/>
          <w:szCs w:val="24"/>
        </w:rPr>
        <w:t>8</w:t>
      </w:r>
      <w:r w:rsidRPr="00AE0200">
        <w:rPr>
          <w:rFonts w:ascii="Arial" w:hAnsi="Arial" w:cs="Arial"/>
          <w:noProof/>
          <w:szCs w:val="24"/>
        </w:rPr>
        <w:t>(2), 187–219. https://doi.org/https://doi.org/10.1016/0160-7383(81)90082-7</w:t>
      </w:r>
    </w:p>
    <w:p w14:paraId="7EE930CF"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Darmawan, H. (2023). </w:t>
      </w:r>
      <w:r w:rsidRPr="00AE0200">
        <w:rPr>
          <w:rFonts w:ascii="Arial" w:hAnsi="Arial" w:cs="Arial"/>
          <w:i/>
          <w:iCs/>
          <w:noProof/>
          <w:szCs w:val="24"/>
        </w:rPr>
        <w:t>Market Analysis on Man-Made Tourist Attractionin Indonesia BT  - Proceedings of the 7th Global Conference on Business, Management, and Entrepreneurship (GCBME 2022)</w:t>
      </w:r>
      <w:r w:rsidRPr="00AE0200">
        <w:rPr>
          <w:rFonts w:ascii="Arial" w:hAnsi="Arial" w:cs="Arial"/>
          <w:noProof/>
          <w:szCs w:val="24"/>
        </w:rPr>
        <w:t>. 862–869. https://doi.org/10.2991/978-94-6463-234-7_89</w:t>
      </w:r>
    </w:p>
    <w:p w14:paraId="5302752D"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Gokovali, U., Bahar, O., &amp; Kozak, M. (2007). Determinants of length of stay: A practical use of survival analysis. </w:t>
      </w:r>
      <w:r w:rsidRPr="00AE0200">
        <w:rPr>
          <w:rFonts w:ascii="Arial" w:hAnsi="Arial" w:cs="Arial"/>
          <w:i/>
          <w:iCs/>
          <w:noProof/>
          <w:szCs w:val="24"/>
        </w:rPr>
        <w:t>Tourism Management</w:t>
      </w:r>
      <w:r w:rsidRPr="00AE0200">
        <w:rPr>
          <w:rFonts w:ascii="Arial" w:hAnsi="Arial" w:cs="Arial"/>
          <w:noProof/>
          <w:szCs w:val="24"/>
        </w:rPr>
        <w:t xml:space="preserve">, </w:t>
      </w:r>
      <w:r w:rsidRPr="00AE0200">
        <w:rPr>
          <w:rFonts w:ascii="Arial" w:hAnsi="Arial" w:cs="Arial"/>
          <w:i/>
          <w:iCs/>
          <w:noProof/>
          <w:szCs w:val="24"/>
        </w:rPr>
        <w:t>28</w:t>
      </w:r>
      <w:r w:rsidRPr="00AE0200">
        <w:rPr>
          <w:rFonts w:ascii="Arial" w:hAnsi="Arial" w:cs="Arial"/>
          <w:noProof/>
          <w:szCs w:val="24"/>
        </w:rPr>
        <w:t>(3), 736–746. https://doi.org/https://doi.org/10.1016/j.tourman.2006.05.004</w:t>
      </w:r>
    </w:p>
    <w:p w14:paraId="2056227B"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Hatapayo, B. R., Nurhaeny, A., &amp; Bandjar, A. (2025). </w:t>
      </w:r>
      <w:r w:rsidR="000C7AC1" w:rsidRPr="00AE0200">
        <w:rPr>
          <w:rFonts w:ascii="Arial" w:hAnsi="Arial" w:cs="Arial"/>
          <w:noProof/>
          <w:szCs w:val="24"/>
        </w:rPr>
        <w:t>Pemanfaatan Media Sosial Sebagai Sarana Promosi Wisata Pendakian Dusun Usali, Negeri Hatumete, Kecamatan Tehoru Kabupaten Maluku Tengah</w:t>
      </w:r>
      <w:r w:rsidRPr="00AE0200">
        <w:rPr>
          <w:rFonts w:ascii="Arial" w:hAnsi="Arial" w:cs="Arial"/>
          <w:noProof/>
          <w:szCs w:val="24"/>
        </w:rPr>
        <w:t xml:space="preserve">. </w:t>
      </w:r>
      <w:r w:rsidRPr="00AE0200">
        <w:rPr>
          <w:rFonts w:ascii="Arial" w:hAnsi="Arial" w:cs="Arial"/>
          <w:i/>
          <w:iCs/>
          <w:noProof/>
          <w:szCs w:val="24"/>
        </w:rPr>
        <w:t>CENDEKIA: Jurnal Ilmu Pengetahuan</w:t>
      </w:r>
      <w:r w:rsidRPr="00AE0200">
        <w:rPr>
          <w:rFonts w:ascii="Arial" w:hAnsi="Arial" w:cs="Arial"/>
          <w:noProof/>
          <w:szCs w:val="24"/>
        </w:rPr>
        <w:t>. https://doi.org/https://doi.org/10.51878/cendekia.v5i4.7156</w:t>
      </w:r>
    </w:p>
    <w:p w14:paraId="5ADC3F00" w14:textId="77777777" w:rsidR="00AB2792" w:rsidRDefault="00AB2792" w:rsidP="00AE0200">
      <w:pPr>
        <w:widowControl w:val="0"/>
        <w:autoSpaceDE w:val="0"/>
        <w:autoSpaceDN w:val="0"/>
        <w:adjustRightInd w:val="0"/>
        <w:ind w:left="480" w:hanging="480"/>
        <w:jc w:val="both"/>
        <w:rPr>
          <w:rFonts w:ascii="Arial" w:hAnsi="Arial" w:cs="Arial"/>
          <w:noProof/>
          <w:szCs w:val="24"/>
        </w:rPr>
      </w:pPr>
      <w:r w:rsidRPr="00AB2792">
        <w:rPr>
          <w:rFonts w:ascii="Arial" w:hAnsi="Arial" w:cs="Arial"/>
          <w:noProof/>
          <w:szCs w:val="24"/>
        </w:rPr>
        <w:t xml:space="preserve">Iswidyamarsha, C., &amp; Dewantara, Y. F. (2020). The Influence of Tourism Facilities and </w:t>
      </w:r>
      <w:r w:rsidRPr="00AB2792">
        <w:rPr>
          <w:rFonts w:ascii="Arial" w:hAnsi="Arial" w:cs="Arial"/>
          <w:noProof/>
          <w:szCs w:val="24"/>
        </w:rPr>
        <w:lastRenderedPageBreak/>
        <w:t>Promotion on Interest in Visiting the Freshwater World and Insect World of TMII. Sadar Wisata: Journal of Tourism. https://doi.org/https://doi.org/10.32528/sw.v3i2.3849</w:t>
      </w:r>
    </w:p>
    <w:p w14:paraId="6EF20E00" w14:textId="07FB9DAA"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Joseph, J., &amp; Gillariose, J. (2025). Revisiting the Push–Pull Tourist Motivation Model: A Theoretical and Empirical Justification for a Reflective–Formative Structure. In </w:t>
      </w:r>
      <w:r w:rsidRPr="00AE0200">
        <w:rPr>
          <w:rFonts w:ascii="Arial" w:hAnsi="Arial" w:cs="Arial"/>
          <w:i/>
          <w:iCs/>
          <w:noProof/>
          <w:szCs w:val="24"/>
        </w:rPr>
        <w:t>Tourism and Hospitality</w:t>
      </w:r>
      <w:r w:rsidRPr="00AE0200">
        <w:rPr>
          <w:rFonts w:ascii="Arial" w:hAnsi="Arial" w:cs="Arial"/>
          <w:noProof/>
          <w:szCs w:val="24"/>
        </w:rPr>
        <w:t xml:space="preserve"> (Vol. 6, Issue 3). https://doi.org/10.3390/tourhosp6030139</w:t>
      </w:r>
    </w:p>
    <w:p w14:paraId="571012AE"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Khalilzadeh, J., Kozak, M., &amp; Del Chiappa, G. (2024). Tourism motivation: A complex adaptive system. </w:t>
      </w:r>
      <w:r w:rsidRPr="00AE0200">
        <w:rPr>
          <w:rFonts w:ascii="Arial" w:hAnsi="Arial" w:cs="Arial"/>
          <w:i/>
          <w:iCs/>
          <w:noProof/>
          <w:szCs w:val="24"/>
        </w:rPr>
        <w:t>Journal of Destination Marketing &amp; Management</w:t>
      </w:r>
      <w:r w:rsidRPr="00AE0200">
        <w:rPr>
          <w:rFonts w:ascii="Arial" w:hAnsi="Arial" w:cs="Arial"/>
          <w:noProof/>
          <w:szCs w:val="24"/>
        </w:rPr>
        <w:t xml:space="preserve">, </w:t>
      </w:r>
      <w:r w:rsidRPr="00AE0200">
        <w:rPr>
          <w:rFonts w:ascii="Arial" w:hAnsi="Arial" w:cs="Arial"/>
          <w:i/>
          <w:iCs/>
          <w:noProof/>
          <w:szCs w:val="24"/>
        </w:rPr>
        <w:t>31</w:t>
      </w:r>
      <w:r w:rsidRPr="00AE0200">
        <w:rPr>
          <w:rFonts w:ascii="Arial" w:hAnsi="Arial" w:cs="Arial"/>
          <w:noProof/>
          <w:szCs w:val="24"/>
        </w:rPr>
        <w:t>, 100861. https://doi.org/https://doi.org/10.1016/j.jdmm.2024.100861</w:t>
      </w:r>
    </w:p>
    <w:p w14:paraId="1EA980A5"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Kronenberg, K., &amp; Fuchs, M. (2022). The socio-economic impact of regional tourism: an occupation-based modelling perspective from Sweden. </w:t>
      </w:r>
      <w:r w:rsidRPr="00AE0200">
        <w:rPr>
          <w:rFonts w:ascii="Arial" w:hAnsi="Arial" w:cs="Arial"/>
          <w:i/>
          <w:iCs/>
          <w:noProof/>
          <w:szCs w:val="24"/>
        </w:rPr>
        <w:t>Journal of Sustainable Tourism</w:t>
      </w:r>
      <w:r w:rsidRPr="00AE0200">
        <w:rPr>
          <w:rFonts w:ascii="Arial" w:hAnsi="Arial" w:cs="Arial"/>
          <w:noProof/>
          <w:szCs w:val="24"/>
        </w:rPr>
        <w:t xml:space="preserve">, </w:t>
      </w:r>
      <w:r w:rsidRPr="00AE0200">
        <w:rPr>
          <w:rFonts w:ascii="Arial" w:hAnsi="Arial" w:cs="Arial"/>
          <w:i/>
          <w:iCs/>
          <w:noProof/>
          <w:szCs w:val="24"/>
        </w:rPr>
        <w:t>30</w:t>
      </w:r>
      <w:r w:rsidRPr="00AE0200">
        <w:rPr>
          <w:rFonts w:ascii="Arial" w:hAnsi="Arial" w:cs="Arial"/>
          <w:noProof/>
          <w:szCs w:val="24"/>
        </w:rPr>
        <w:t>(12), 2785–2805. https://doi.org/10.1080/09669582.2021.1924757</w:t>
      </w:r>
    </w:p>
    <w:p w14:paraId="7156AFE8" w14:textId="77777777" w:rsidR="00AB2792" w:rsidRDefault="00AB2792" w:rsidP="00AE0200">
      <w:pPr>
        <w:widowControl w:val="0"/>
        <w:autoSpaceDE w:val="0"/>
        <w:autoSpaceDN w:val="0"/>
        <w:adjustRightInd w:val="0"/>
        <w:ind w:left="480" w:hanging="480"/>
        <w:jc w:val="both"/>
        <w:rPr>
          <w:rFonts w:ascii="Arial" w:hAnsi="Arial" w:cs="Arial"/>
          <w:noProof/>
          <w:szCs w:val="24"/>
        </w:rPr>
      </w:pPr>
      <w:r w:rsidRPr="00AB2792">
        <w:rPr>
          <w:rFonts w:ascii="Arial" w:hAnsi="Arial" w:cs="Arial"/>
          <w:noProof/>
          <w:szCs w:val="24"/>
        </w:rPr>
        <w:t>Lestari, N. S., Wiastuti, R. D., &amp; Triana, I. (2019). Implementation of Accessible Tourism in TMII Jakarta. IPTA Journal (Travel Industry); Vol 7 No 2 (2019): IPTA Journal (December 2019) DO - 10.24843/IPTA.2019.V07.I02.P01 . https://ojs.unud.ac.id/index.php/pariwisata/article/view/56053</w:t>
      </w:r>
    </w:p>
    <w:p w14:paraId="3CAF9116" w14:textId="30BA2CD5"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Li, J., Coca-Stefaniak, J. A., Nguyen, T. H. H., &amp; Morrison, A. M. (2024). Sustainable tourist behavior: A systematic literature review and research agenda. </w:t>
      </w:r>
      <w:r w:rsidRPr="00AE0200">
        <w:rPr>
          <w:rFonts w:ascii="Arial" w:hAnsi="Arial" w:cs="Arial"/>
          <w:i/>
          <w:iCs/>
          <w:noProof/>
          <w:szCs w:val="24"/>
        </w:rPr>
        <w:t>Sustainable Development</w:t>
      </w:r>
      <w:r w:rsidRPr="00AE0200">
        <w:rPr>
          <w:rFonts w:ascii="Arial" w:hAnsi="Arial" w:cs="Arial"/>
          <w:noProof/>
          <w:szCs w:val="24"/>
        </w:rPr>
        <w:t xml:space="preserve">, </w:t>
      </w:r>
      <w:r w:rsidRPr="00AE0200">
        <w:rPr>
          <w:rFonts w:ascii="Arial" w:hAnsi="Arial" w:cs="Arial"/>
          <w:i/>
          <w:iCs/>
          <w:noProof/>
          <w:szCs w:val="24"/>
        </w:rPr>
        <w:t>32</w:t>
      </w:r>
      <w:r w:rsidRPr="00AE0200">
        <w:rPr>
          <w:rFonts w:ascii="Arial" w:hAnsi="Arial" w:cs="Arial"/>
          <w:noProof/>
          <w:szCs w:val="24"/>
        </w:rPr>
        <w:t>(4), 3356–3374. https://doi.org/https://doi.org/10.1002/sd.2859</w:t>
      </w:r>
    </w:p>
    <w:p w14:paraId="365DD0CF" w14:textId="07E46D51" w:rsidR="00AE0200" w:rsidRPr="00AE0200" w:rsidRDefault="00AB2792" w:rsidP="00AE0200">
      <w:pPr>
        <w:widowControl w:val="0"/>
        <w:autoSpaceDE w:val="0"/>
        <w:autoSpaceDN w:val="0"/>
        <w:adjustRightInd w:val="0"/>
        <w:ind w:left="480" w:hanging="480"/>
        <w:jc w:val="both"/>
        <w:rPr>
          <w:rFonts w:ascii="Arial" w:hAnsi="Arial" w:cs="Arial"/>
          <w:noProof/>
          <w:szCs w:val="24"/>
        </w:rPr>
      </w:pPr>
      <w:r w:rsidRPr="00AB2792">
        <w:rPr>
          <w:rFonts w:ascii="Arial" w:hAnsi="Arial" w:cs="Arial"/>
          <w:noProof/>
          <w:szCs w:val="24"/>
        </w:rPr>
        <w:t>Lily Anita, T., &amp; Sukma Lestari, N. (2020). The Concept of Brand Storytelling, Value Perceptions, and Visit Intention in Tourist Destinations in Jakarta. IPTA Journal (Travel Industry); Vol 8 No 2 (2020): IPTA Journal (December 2020) DO - 10.24843/IPTA.2020.V08.I02.P13</w:t>
      </w:r>
      <w:r w:rsidR="00AE0200" w:rsidRPr="00AE0200">
        <w:rPr>
          <w:rFonts w:ascii="Arial" w:hAnsi="Arial" w:cs="Arial"/>
          <w:i/>
          <w:iCs/>
          <w:noProof/>
          <w:szCs w:val="24"/>
        </w:rPr>
        <w:t xml:space="preserve"> </w:t>
      </w:r>
      <w:r w:rsidR="00AE0200" w:rsidRPr="00AE0200">
        <w:rPr>
          <w:rFonts w:ascii="Arial" w:hAnsi="Arial" w:cs="Arial"/>
          <w:noProof/>
          <w:szCs w:val="24"/>
        </w:rPr>
        <w:t>. https://ojs.unud.ac.id/index.php/pariwisata/article/view/68755</w:t>
      </w:r>
    </w:p>
    <w:p w14:paraId="7390BCE1" w14:textId="77777777" w:rsidR="00AB2792" w:rsidRDefault="00AB2792" w:rsidP="00AE0200">
      <w:pPr>
        <w:widowControl w:val="0"/>
        <w:autoSpaceDE w:val="0"/>
        <w:autoSpaceDN w:val="0"/>
        <w:adjustRightInd w:val="0"/>
        <w:ind w:left="480" w:hanging="480"/>
        <w:jc w:val="both"/>
        <w:rPr>
          <w:rFonts w:ascii="Arial" w:hAnsi="Arial" w:cs="Arial"/>
          <w:noProof/>
          <w:szCs w:val="24"/>
        </w:rPr>
      </w:pPr>
      <w:r w:rsidRPr="00AB2792">
        <w:rPr>
          <w:rFonts w:ascii="Arial" w:hAnsi="Arial" w:cs="Arial"/>
          <w:noProof/>
          <w:szCs w:val="24"/>
        </w:rPr>
        <w:t>Mandarani, V., Susilo, J., Akbar, A. A., Prapanca, D., &amp; Sari, R. H. (2025). "A Day as an Artist" as an Implementation of Sidoarjo Arts and Culture Educational Tourism. Community: Journal of Community Service. https://doi.org/https://doi.org/10.51878/community.v5i2.7160</w:t>
      </w:r>
    </w:p>
    <w:p w14:paraId="1EA42C11" w14:textId="6438D6AE"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McKercher, B., &amp; Du Cros, H. (2002). </w:t>
      </w:r>
      <w:r w:rsidRPr="00AE0200">
        <w:rPr>
          <w:rFonts w:ascii="Arial" w:hAnsi="Arial" w:cs="Arial"/>
          <w:i/>
          <w:iCs/>
          <w:noProof/>
          <w:szCs w:val="24"/>
        </w:rPr>
        <w:t>Cultural Tourism: The Partnership Between Tourism and Cultural Heritage Management</w:t>
      </w:r>
      <w:r w:rsidRPr="00AE0200">
        <w:rPr>
          <w:rFonts w:ascii="Arial" w:hAnsi="Arial" w:cs="Arial"/>
          <w:noProof/>
          <w:szCs w:val="24"/>
        </w:rPr>
        <w:t>. Haworth Hospitality Press. https://books.google.co.id/books?id=InVGWVCI9F4C</w:t>
      </w:r>
    </w:p>
    <w:p w14:paraId="1B3B4C4A"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Mihai, V. C., Dumitras, D. E., Oroian, C., Chiciudean, G. O., Arion, F. H., &amp; Mureșan, I. C. (2023). Exploring the Factors Involved in Tourists’ Decision-Making and Determinants of Length of Stay. In </w:t>
      </w:r>
      <w:r w:rsidRPr="00AE0200">
        <w:rPr>
          <w:rFonts w:ascii="Arial" w:hAnsi="Arial" w:cs="Arial"/>
          <w:i/>
          <w:iCs/>
          <w:noProof/>
          <w:szCs w:val="24"/>
        </w:rPr>
        <w:t>Administrative Sciences</w:t>
      </w:r>
      <w:r w:rsidRPr="00AE0200">
        <w:rPr>
          <w:rFonts w:ascii="Arial" w:hAnsi="Arial" w:cs="Arial"/>
          <w:noProof/>
          <w:szCs w:val="24"/>
        </w:rPr>
        <w:t xml:space="preserve"> (Vol. 13, Issue 10). https://doi.org/10.3390/admsci13100215</w:t>
      </w:r>
    </w:p>
    <w:p w14:paraId="4CEA6AA1"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Mitas, O., &amp; Bastiaansen, M. (2018). Novelty: A mechanism of tourists’ enjoyment. </w:t>
      </w:r>
      <w:r w:rsidRPr="00AE0200">
        <w:rPr>
          <w:rFonts w:ascii="Arial" w:hAnsi="Arial" w:cs="Arial"/>
          <w:i/>
          <w:iCs/>
          <w:noProof/>
          <w:szCs w:val="24"/>
        </w:rPr>
        <w:t>Annals of Tourism Research</w:t>
      </w:r>
      <w:r w:rsidRPr="00AE0200">
        <w:rPr>
          <w:rFonts w:ascii="Arial" w:hAnsi="Arial" w:cs="Arial"/>
          <w:noProof/>
          <w:szCs w:val="24"/>
        </w:rPr>
        <w:t xml:space="preserve">, </w:t>
      </w:r>
      <w:r w:rsidRPr="00AE0200">
        <w:rPr>
          <w:rFonts w:ascii="Arial" w:hAnsi="Arial" w:cs="Arial"/>
          <w:i/>
          <w:iCs/>
          <w:noProof/>
          <w:szCs w:val="24"/>
        </w:rPr>
        <w:t>72</w:t>
      </w:r>
      <w:r w:rsidRPr="00AE0200">
        <w:rPr>
          <w:rFonts w:ascii="Arial" w:hAnsi="Arial" w:cs="Arial"/>
          <w:noProof/>
          <w:szCs w:val="24"/>
        </w:rPr>
        <w:t>, 98–108. https://doi.org/https://doi.org/10.1016/j.annals.2018.07.002</w:t>
      </w:r>
    </w:p>
    <w:p w14:paraId="580981B9"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Oklevik, O., Kwiatkowski, G., Malchrowicz-Mośko, E., Ossowska, L., &amp; Janiszewska, D. (2021). Determinants of tourists’ length of stay. </w:t>
      </w:r>
      <w:r w:rsidRPr="00AE0200">
        <w:rPr>
          <w:rFonts w:ascii="Arial" w:hAnsi="Arial" w:cs="Arial"/>
          <w:i/>
          <w:iCs/>
          <w:noProof/>
          <w:szCs w:val="24"/>
        </w:rPr>
        <w:t>PloS One</w:t>
      </w:r>
      <w:r w:rsidRPr="00AE0200">
        <w:rPr>
          <w:rFonts w:ascii="Arial" w:hAnsi="Arial" w:cs="Arial"/>
          <w:noProof/>
          <w:szCs w:val="24"/>
        </w:rPr>
        <w:t xml:space="preserve">, </w:t>
      </w:r>
      <w:r w:rsidRPr="00AE0200">
        <w:rPr>
          <w:rFonts w:ascii="Arial" w:hAnsi="Arial" w:cs="Arial"/>
          <w:i/>
          <w:iCs/>
          <w:noProof/>
          <w:szCs w:val="24"/>
        </w:rPr>
        <w:t>16</w:t>
      </w:r>
      <w:r w:rsidRPr="00AE0200">
        <w:rPr>
          <w:rFonts w:ascii="Arial" w:hAnsi="Arial" w:cs="Arial"/>
          <w:noProof/>
          <w:szCs w:val="24"/>
        </w:rPr>
        <w:t>(12), e0259709. https://doi.org/10.1371/journal.pone.0259709</w:t>
      </w:r>
    </w:p>
    <w:p w14:paraId="7FC26ADF"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Plog, S. (2001). Why destination areas rise and fall in popularity: an update of a Cornell Quarterly classic. </w:t>
      </w:r>
      <w:r w:rsidRPr="00AE0200">
        <w:rPr>
          <w:rFonts w:ascii="Arial" w:hAnsi="Arial" w:cs="Arial"/>
          <w:i/>
          <w:iCs/>
          <w:noProof/>
          <w:szCs w:val="24"/>
        </w:rPr>
        <w:t>The Cornell Hotel and Restaurant Administration Quarterly</w:t>
      </w:r>
      <w:r w:rsidRPr="00AE0200">
        <w:rPr>
          <w:rFonts w:ascii="Arial" w:hAnsi="Arial" w:cs="Arial"/>
          <w:noProof/>
          <w:szCs w:val="24"/>
        </w:rPr>
        <w:t xml:space="preserve">, </w:t>
      </w:r>
      <w:r w:rsidRPr="00AE0200">
        <w:rPr>
          <w:rFonts w:ascii="Arial" w:hAnsi="Arial" w:cs="Arial"/>
          <w:i/>
          <w:iCs/>
          <w:noProof/>
          <w:szCs w:val="24"/>
        </w:rPr>
        <w:t>42</w:t>
      </w:r>
      <w:r w:rsidRPr="00AE0200">
        <w:rPr>
          <w:rFonts w:ascii="Arial" w:hAnsi="Arial" w:cs="Arial"/>
          <w:noProof/>
          <w:szCs w:val="24"/>
        </w:rPr>
        <w:t>(3), 13–24. https://doi.org/https://doi.org/10.1016/S0010-8804(01)81020-X</w:t>
      </w:r>
    </w:p>
    <w:p w14:paraId="608AF6F4"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Ricardianto, I. P., Djajaputra, G., Martono, P., &amp; Introduction, I. (2017). </w:t>
      </w:r>
      <w:r w:rsidRPr="00AE0200">
        <w:rPr>
          <w:rFonts w:ascii="Arial" w:hAnsi="Arial" w:cs="Arial"/>
          <w:i/>
          <w:iCs/>
          <w:noProof/>
          <w:szCs w:val="24"/>
        </w:rPr>
        <w:t>Air Transport and Tourism in Indonesia</w:t>
      </w:r>
      <w:r w:rsidRPr="00AE0200">
        <w:rPr>
          <w:rFonts w:ascii="Arial" w:hAnsi="Arial" w:cs="Arial"/>
          <w:noProof/>
          <w:szCs w:val="24"/>
        </w:rPr>
        <w:t xml:space="preserve">. </w:t>
      </w:r>
      <w:r w:rsidRPr="00AE0200">
        <w:rPr>
          <w:rFonts w:ascii="Arial" w:hAnsi="Arial" w:cs="Arial"/>
          <w:i/>
          <w:iCs/>
          <w:noProof/>
          <w:szCs w:val="24"/>
        </w:rPr>
        <w:t>10</w:t>
      </w:r>
      <w:r w:rsidRPr="00AE0200">
        <w:rPr>
          <w:rFonts w:ascii="Arial" w:hAnsi="Arial" w:cs="Arial"/>
          <w:noProof/>
          <w:szCs w:val="24"/>
        </w:rPr>
        <w:t>(5), 1–19. https://doi.org/10.9790/5736-1005010119</w:t>
      </w:r>
    </w:p>
    <w:p w14:paraId="6876758F" w14:textId="77777777" w:rsidR="00AB2792" w:rsidRDefault="00AB2792" w:rsidP="00AE0200">
      <w:pPr>
        <w:widowControl w:val="0"/>
        <w:autoSpaceDE w:val="0"/>
        <w:autoSpaceDN w:val="0"/>
        <w:adjustRightInd w:val="0"/>
        <w:ind w:left="480" w:hanging="480"/>
        <w:jc w:val="both"/>
        <w:rPr>
          <w:rFonts w:ascii="Arial" w:hAnsi="Arial" w:cs="Arial"/>
          <w:noProof/>
          <w:szCs w:val="24"/>
        </w:rPr>
      </w:pPr>
      <w:r w:rsidRPr="00AB2792">
        <w:rPr>
          <w:rFonts w:ascii="Arial" w:hAnsi="Arial" w:cs="Arial"/>
          <w:noProof/>
          <w:szCs w:val="24"/>
        </w:rPr>
        <w:t>Sebastian, R., Kusuma Negara, I. M., &amp; Sudana, I. P. (2013). Analysis of Service Quality at the Jakarta Pavilion, Taman Mini Indonesia Indah. IPTA Journal (Travel Industry); Vol 1 No 1 (2013): IPTA Journal (December 2013). https://doi.org/10.24843/IPTA.2013.v01.i01.p03</w:t>
      </w:r>
    </w:p>
    <w:p w14:paraId="42D80DB7" w14:textId="064D8F13"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Su, X., &amp; Rahman, S. (2025). The Effect of Push and Pull Motivations, Perceived Authenticity, and Satisfaction on Loyalty in Cultural Heritage Tourism: The Case of Hongcun Village in China. </w:t>
      </w:r>
      <w:r w:rsidRPr="00AE0200">
        <w:rPr>
          <w:rFonts w:ascii="Arial" w:hAnsi="Arial" w:cs="Arial"/>
          <w:i/>
          <w:iCs/>
          <w:noProof/>
          <w:szCs w:val="24"/>
        </w:rPr>
        <w:t>International Journal of Sustainable Development and Planning</w:t>
      </w:r>
      <w:r w:rsidRPr="00AE0200">
        <w:rPr>
          <w:rFonts w:ascii="Arial" w:hAnsi="Arial" w:cs="Arial"/>
          <w:noProof/>
          <w:szCs w:val="24"/>
        </w:rPr>
        <w:t>. https://doi.org/https://doi.org/10.18280/ijsdp.200431</w:t>
      </w:r>
    </w:p>
    <w:p w14:paraId="6163D1FC" w14:textId="77777777" w:rsidR="00AB2792" w:rsidRDefault="00AB2792" w:rsidP="00AE0200">
      <w:pPr>
        <w:widowControl w:val="0"/>
        <w:autoSpaceDE w:val="0"/>
        <w:autoSpaceDN w:val="0"/>
        <w:adjustRightInd w:val="0"/>
        <w:ind w:left="480" w:hanging="480"/>
        <w:jc w:val="both"/>
        <w:rPr>
          <w:rFonts w:ascii="Arial" w:hAnsi="Arial" w:cs="Arial"/>
          <w:noProof/>
          <w:szCs w:val="24"/>
        </w:rPr>
      </w:pPr>
      <w:r w:rsidRPr="00AB2792">
        <w:rPr>
          <w:rFonts w:ascii="Arial" w:hAnsi="Arial" w:cs="Arial"/>
          <w:noProof/>
          <w:szCs w:val="24"/>
        </w:rPr>
        <w:lastRenderedPageBreak/>
        <w:t>Susi, K. S., &amp; Sugiyanto, S. (2025). Comparison of Tourism Village Governance in Bali and Yogyakarta: A Case Study of Penglipuran Tourism Village and Sambirejo Tourism Village. SOCIAL: Journal of Social Studies Education Innovation. https://doi.org/https://doi.org/10.51878/social.v5i3.6938</w:t>
      </w:r>
    </w:p>
    <w:p w14:paraId="228AC7C6" w14:textId="1A4197A8"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Susilo, D., &amp; Chen, L. H. (2023). </w:t>
      </w:r>
      <w:r w:rsidRPr="00AE0200">
        <w:rPr>
          <w:rFonts w:ascii="Arial" w:hAnsi="Arial" w:cs="Arial"/>
          <w:i/>
          <w:iCs/>
          <w:noProof/>
          <w:szCs w:val="24"/>
        </w:rPr>
        <w:t>Model of Persuasive Communication for Russian Tourists on Handle of Digital Nomad</w:t>
      </w:r>
      <w:r w:rsidRPr="00AE0200">
        <w:rPr>
          <w:rFonts w:ascii="Arial" w:hAnsi="Arial" w:cs="Arial"/>
          <w:noProof/>
          <w:szCs w:val="24"/>
        </w:rPr>
        <w:t xml:space="preserve">. </w:t>
      </w:r>
      <w:r w:rsidRPr="00AE0200">
        <w:rPr>
          <w:rFonts w:ascii="Arial" w:hAnsi="Arial" w:cs="Arial"/>
          <w:i/>
          <w:iCs/>
          <w:noProof/>
          <w:szCs w:val="24"/>
        </w:rPr>
        <w:t>10</w:t>
      </w:r>
      <w:r w:rsidRPr="00AE0200">
        <w:rPr>
          <w:rFonts w:ascii="Arial" w:hAnsi="Arial" w:cs="Arial"/>
          <w:noProof/>
          <w:szCs w:val="24"/>
        </w:rPr>
        <w:t>(May), 415–424.</w:t>
      </w:r>
    </w:p>
    <w:p w14:paraId="411EC647"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Tamaratika, F., Wiranatha, A. S., &amp; Suryawardani, I. G. A. O. (2021). The Urban Heritage Tourism Development Strategies in Gajah Mada Denpasar Heritage Area Based on The Visitors’ Satisfaction. </w:t>
      </w:r>
      <w:r w:rsidRPr="00AE0200">
        <w:rPr>
          <w:rFonts w:ascii="Arial" w:hAnsi="Arial" w:cs="Arial"/>
          <w:i/>
          <w:iCs/>
          <w:noProof/>
          <w:szCs w:val="24"/>
        </w:rPr>
        <w:t xml:space="preserve">E-Journal of Tourism; Volume 8 Number 2 (September 2021)DO  - 10.24922/Eot.V8i2.78276 </w:t>
      </w:r>
      <w:r w:rsidRPr="00AE0200">
        <w:rPr>
          <w:rFonts w:ascii="Arial" w:hAnsi="Arial" w:cs="Arial"/>
          <w:noProof/>
          <w:szCs w:val="24"/>
        </w:rPr>
        <w:t>. https://ojs.unud.ac.id/index.php/eot/article/view/78276</w:t>
      </w:r>
    </w:p>
    <w:p w14:paraId="54A97958"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Timothy, D. J., &amp; Boyd, S. W. (2015). </w:t>
      </w:r>
      <w:r w:rsidRPr="00AE0200">
        <w:rPr>
          <w:rFonts w:ascii="Arial" w:hAnsi="Arial" w:cs="Arial"/>
          <w:i/>
          <w:iCs/>
          <w:noProof/>
          <w:szCs w:val="24"/>
        </w:rPr>
        <w:t>Tourism and Trails: Cultural, Ecological and Management Issues</w:t>
      </w:r>
      <w:r w:rsidRPr="00AE0200">
        <w:rPr>
          <w:rFonts w:ascii="Arial" w:hAnsi="Arial" w:cs="Arial"/>
          <w:noProof/>
          <w:szCs w:val="24"/>
        </w:rPr>
        <w:t>. Multilingual Matters &amp; Channel View Publications. https://doi.org/10.2307/jj.26931955</w:t>
      </w:r>
    </w:p>
    <w:p w14:paraId="04A0FFDC" w14:textId="77777777"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Tosida, E. T., Jayawinangun, R., Pratiwi, A. P., Sambas, A., &amp; Saputra, J. (2024). </w:t>
      </w:r>
      <w:r w:rsidRPr="00AE0200">
        <w:rPr>
          <w:rFonts w:ascii="Arial" w:hAnsi="Arial" w:cs="Arial"/>
          <w:i/>
          <w:iCs/>
          <w:noProof/>
          <w:szCs w:val="24"/>
        </w:rPr>
        <w:t>Investigating the spatial basis clustering of smart tourism potential using fuzzy c-means</w:t>
      </w:r>
      <w:r w:rsidRPr="00AE0200">
        <w:rPr>
          <w:rFonts w:ascii="Arial" w:hAnsi="Arial" w:cs="Arial"/>
          <w:noProof/>
          <w:szCs w:val="24"/>
        </w:rPr>
        <w:t xml:space="preserve">. </w:t>
      </w:r>
      <w:r w:rsidRPr="00AE0200">
        <w:rPr>
          <w:rFonts w:ascii="Arial" w:hAnsi="Arial" w:cs="Arial"/>
          <w:i/>
          <w:iCs/>
          <w:noProof/>
          <w:szCs w:val="24"/>
        </w:rPr>
        <w:t>13</w:t>
      </w:r>
      <w:r w:rsidRPr="00AE0200">
        <w:rPr>
          <w:rFonts w:ascii="Arial" w:hAnsi="Arial" w:cs="Arial"/>
          <w:noProof/>
          <w:szCs w:val="24"/>
        </w:rPr>
        <w:t>(November 2023), 1027–1042. https://doi.org/10.5267/dsl.2024.6.001</w:t>
      </w:r>
    </w:p>
    <w:p w14:paraId="09A221A1" w14:textId="77777777" w:rsidR="00AB2792" w:rsidRDefault="00AB2792" w:rsidP="00AE0200">
      <w:pPr>
        <w:widowControl w:val="0"/>
        <w:autoSpaceDE w:val="0"/>
        <w:autoSpaceDN w:val="0"/>
        <w:adjustRightInd w:val="0"/>
        <w:ind w:left="480" w:hanging="480"/>
        <w:jc w:val="both"/>
        <w:rPr>
          <w:rFonts w:ascii="Arial" w:hAnsi="Arial" w:cs="Arial"/>
          <w:noProof/>
          <w:szCs w:val="24"/>
        </w:rPr>
      </w:pPr>
      <w:r w:rsidRPr="00AB2792">
        <w:rPr>
          <w:rFonts w:ascii="Arial" w:hAnsi="Arial" w:cs="Arial"/>
          <w:noProof/>
          <w:szCs w:val="24"/>
        </w:rPr>
        <w:t>Widayanto, E., &amp; Supardal, S. (2025). Collaboration Between the Tepus Village Government and the Tourism Office in Achieving Key Performance Indicators for the Tourism Sector. Social: Journal of Social Studies Education Innovation. https://doi.org/https://doi.org/10.51878/social.v5i2.6447</w:t>
      </w:r>
    </w:p>
    <w:p w14:paraId="03A63AE0" w14:textId="5D00FACB" w:rsidR="00AE0200" w:rsidRPr="00AE0200" w:rsidRDefault="00AE0200" w:rsidP="00AE0200">
      <w:pPr>
        <w:widowControl w:val="0"/>
        <w:autoSpaceDE w:val="0"/>
        <w:autoSpaceDN w:val="0"/>
        <w:adjustRightInd w:val="0"/>
        <w:ind w:left="480" w:hanging="480"/>
        <w:jc w:val="both"/>
        <w:rPr>
          <w:rFonts w:ascii="Arial" w:hAnsi="Arial" w:cs="Arial"/>
          <w:noProof/>
          <w:szCs w:val="24"/>
        </w:rPr>
      </w:pPr>
      <w:r w:rsidRPr="00AE0200">
        <w:rPr>
          <w:rFonts w:ascii="Arial" w:hAnsi="Arial" w:cs="Arial"/>
          <w:noProof/>
          <w:szCs w:val="24"/>
        </w:rPr>
        <w:t xml:space="preserve">Wulandari, A. A. A., &amp; Ruki, U. A. (2018). Education and Exhibition Display Design in Taman Mini Indonesia Indah. </w:t>
      </w:r>
      <w:r w:rsidRPr="00AE0200">
        <w:rPr>
          <w:rFonts w:ascii="Arial" w:hAnsi="Arial" w:cs="Arial"/>
          <w:i/>
          <w:iCs/>
          <w:noProof/>
          <w:szCs w:val="24"/>
        </w:rPr>
        <w:t>Humaniora</w:t>
      </w:r>
      <w:r w:rsidRPr="00AE0200">
        <w:rPr>
          <w:rFonts w:ascii="Arial" w:hAnsi="Arial" w:cs="Arial"/>
          <w:noProof/>
          <w:szCs w:val="24"/>
        </w:rPr>
        <w:t xml:space="preserve">, </w:t>
      </w:r>
      <w:r w:rsidRPr="00AE0200">
        <w:rPr>
          <w:rFonts w:ascii="Arial" w:hAnsi="Arial" w:cs="Arial"/>
          <w:i/>
          <w:iCs/>
          <w:noProof/>
          <w:szCs w:val="24"/>
        </w:rPr>
        <w:t>9</w:t>
      </w:r>
      <w:r w:rsidRPr="00AE0200">
        <w:rPr>
          <w:rFonts w:ascii="Arial" w:hAnsi="Arial" w:cs="Arial"/>
          <w:noProof/>
          <w:szCs w:val="24"/>
        </w:rPr>
        <w:t>(2 SE-Articles), 199–209. https://doi.org/10.21512/humaniora.v9i2.4597</w:t>
      </w:r>
    </w:p>
    <w:p w14:paraId="1B2D507C" w14:textId="77777777" w:rsidR="00AE0200" w:rsidRPr="00AE0200" w:rsidRDefault="00AE0200" w:rsidP="00AE0200">
      <w:pPr>
        <w:widowControl w:val="0"/>
        <w:autoSpaceDE w:val="0"/>
        <w:autoSpaceDN w:val="0"/>
        <w:adjustRightInd w:val="0"/>
        <w:ind w:left="480" w:hanging="480"/>
        <w:jc w:val="both"/>
        <w:rPr>
          <w:rFonts w:ascii="Arial" w:hAnsi="Arial" w:cs="Arial"/>
          <w:noProof/>
        </w:rPr>
      </w:pPr>
      <w:r w:rsidRPr="00AE0200">
        <w:rPr>
          <w:rFonts w:ascii="Arial" w:hAnsi="Arial" w:cs="Arial"/>
          <w:noProof/>
          <w:szCs w:val="24"/>
        </w:rPr>
        <w:t xml:space="preserve">Yusra, K., Lestari, Y. B., &amp; Hamid, M. O. (2022). Teacher agency and the implementation of CEFR-like policies for English for tourism and hospitality: insights from local vocational high schools in Indonesia. </w:t>
      </w:r>
      <w:r w:rsidRPr="00AE0200">
        <w:rPr>
          <w:rFonts w:ascii="Arial" w:hAnsi="Arial" w:cs="Arial"/>
          <w:i/>
          <w:iCs/>
          <w:noProof/>
          <w:szCs w:val="24"/>
        </w:rPr>
        <w:t>Current Issues in Language Planning</w:t>
      </w:r>
      <w:r w:rsidRPr="00AE0200">
        <w:rPr>
          <w:rFonts w:ascii="Arial" w:hAnsi="Arial" w:cs="Arial"/>
          <w:noProof/>
          <w:szCs w:val="24"/>
        </w:rPr>
        <w:t xml:space="preserve">, </w:t>
      </w:r>
      <w:r w:rsidRPr="00AE0200">
        <w:rPr>
          <w:rFonts w:ascii="Arial" w:hAnsi="Arial" w:cs="Arial"/>
          <w:i/>
          <w:iCs/>
          <w:noProof/>
          <w:szCs w:val="24"/>
        </w:rPr>
        <w:t>23</w:t>
      </w:r>
      <w:r w:rsidRPr="00AE0200">
        <w:rPr>
          <w:rFonts w:ascii="Arial" w:hAnsi="Arial" w:cs="Arial"/>
          <w:noProof/>
          <w:szCs w:val="24"/>
        </w:rPr>
        <w:t>(3), 233–253. https://doi.org/10.1080/14664208.2021.1965739</w:t>
      </w:r>
    </w:p>
    <w:p w14:paraId="347565DC" w14:textId="77777777" w:rsidR="00441B6F" w:rsidRPr="00AE0200" w:rsidRDefault="00AE0200" w:rsidP="00AE0200">
      <w:pPr>
        <w:pStyle w:val="Body"/>
        <w:spacing w:after="0"/>
        <w:rPr>
          <w:rFonts w:ascii="Arial" w:hAnsi="Arial" w:cs="Arial"/>
        </w:rPr>
      </w:pPr>
      <w:r w:rsidRPr="00AE0200">
        <w:rPr>
          <w:rFonts w:ascii="Arial" w:hAnsi="Arial" w:cs="Arial"/>
        </w:rPr>
        <w:fldChar w:fldCharType="end"/>
      </w:r>
    </w:p>
    <w:p w14:paraId="16D18756" w14:textId="77777777" w:rsidR="00790ADA" w:rsidRPr="00FB3A86" w:rsidRDefault="00790ADA" w:rsidP="00441B6F">
      <w:pPr>
        <w:pStyle w:val="Body"/>
        <w:spacing w:after="0"/>
        <w:rPr>
          <w:rFonts w:ascii="Arial" w:hAnsi="Arial" w:cs="Arial"/>
        </w:rPr>
      </w:pPr>
    </w:p>
    <w:p w14:paraId="7F419C9F" w14:textId="77777777" w:rsidR="004D4277" w:rsidRPr="00FB3A86" w:rsidRDefault="004D4277" w:rsidP="00441B6F">
      <w:pPr>
        <w:pStyle w:val="Appendix"/>
        <w:spacing w:after="0"/>
        <w:jc w:val="both"/>
        <w:rPr>
          <w:rFonts w:ascii="Arial" w:hAnsi="Arial" w:cs="Arial"/>
          <w:b w:val="0"/>
        </w:rPr>
        <w:sectPr w:rsidR="004D4277" w:rsidRPr="00FB3A86" w:rsidSect="007D030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3226A50" w14:textId="77777777" w:rsidR="00B01FCD" w:rsidRPr="00FB3A86" w:rsidRDefault="00B01FCD" w:rsidP="00441B6F">
      <w:pPr>
        <w:pStyle w:val="Appendix"/>
        <w:spacing w:after="0"/>
        <w:jc w:val="both"/>
        <w:rPr>
          <w:rFonts w:ascii="Arial" w:hAnsi="Arial" w:cs="Arial"/>
          <w:b w:val="0"/>
        </w:rPr>
      </w:pPr>
    </w:p>
    <w:sectPr w:rsidR="00B01FCD" w:rsidRPr="00FB3A86" w:rsidSect="007D030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32E9" w14:textId="77777777" w:rsidR="00F31CDF" w:rsidRDefault="00F31CDF" w:rsidP="00C37E61">
      <w:r>
        <w:separator/>
      </w:r>
    </w:p>
  </w:endnote>
  <w:endnote w:type="continuationSeparator" w:id="0">
    <w:p w14:paraId="69B8FCBC" w14:textId="77777777" w:rsidR="00F31CDF" w:rsidRDefault="00F31C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A2E3" w14:textId="77777777" w:rsidR="007D0309" w:rsidRDefault="007D0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E4FBD" w14:textId="77777777" w:rsidR="007D0309" w:rsidRDefault="007D0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A4C3" w14:textId="20441754" w:rsidR="0062451B" w:rsidRPr="007D0309" w:rsidRDefault="0062451B" w:rsidP="007D030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0DB6" w14:textId="77777777" w:rsidR="0062451B" w:rsidRPr="00C37E61" w:rsidRDefault="0062451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FA14A" w14:textId="77777777" w:rsidR="00F31CDF" w:rsidRDefault="00F31CDF" w:rsidP="00C37E61">
      <w:r>
        <w:separator/>
      </w:r>
    </w:p>
  </w:footnote>
  <w:footnote w:type="continuationSeparator" w:id="0">
    <w:p w14:paraId="6DCEF449" w14:textId="77777777" w:rsidR="00F31CDF" w:rsidRDefault="00F31C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8164" w14:textId="41DD33B4" w:rsidR="007D0309" w:rsidRDefault="007D0309">
    <w:pPr>
      <w:pStyle w:val="Header"/>
    </w:pPr>
    <w:r>
      <w:rPr>
        <w:noProof/>
      </w:rPr>
      <w:pict w14:anchorId="0E9D4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EC07" w14:textId="63ABA657" w:rsidR="007D0309" w:rsidRDefault="007D0309">
    <w:pPr>
      <w:pStyle w:val="Header"/>
    </w:pPr>
    <w:r>
      <w:rPr>
        <w:noProof/>
      </w:rPr>
      <w:pict w14:anchorId="58878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6D9C" w14:textId="51693717" w:rsidR="0062451B" w:rsidRPr="00296529" w:rsidRDefault="007D0309" w:rsidP="00296529">
    <w:pPr>
      <w:ind w:left="2160"/>
      <w:jc w:val="center"/>
      <w:rPr>
        <w:rFonts w:ascii="Times New Roman" w:eastAsia="Calibri" w:hAnsi="Times New Roman"/>
        <w:i/>
        <w:sz w:val="18"/>
        <w:szCs w:val="22"/>
      </w:rPr>
    </w:pPr>
    <w:r>
      <w:rPr>
        <w:noProof/>
      </w:rPr>
      <w:pict w14:anchorId="02FD7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78CF2A" w14:textId="77777777" w:rsidR="0062451B" w:rsidRPr="00296529" w:rsidRDefault="0062451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EB061C4" w14:textId="77777777" w:rsidR="0062451B" w:rsidRPr="00296529" w:rsidRDefault="0062451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A35812" w14:textId="77777777" w:rsidR="0062451B" w:rsidRPr="00296529" w:rsidRDefault="0062451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768965" w14:textId="77777777" w:rsidR="0062451B" w:rsidRDefault="0062451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81E63E" w14:textId="77777777" w:rsidR="0062451B" w:rsidRDefault="0062451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6AD0C8" w14:textId="77777777" w:rsidR="0062451B" w:rsidRDefault="006245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FE23" w14:textId="046DE2E8" w:rsidR="007D0309" w:rsidRDefault="007D0309">
    <w:pPr>
      <w:pStyle w:val="Header"/>
    </w:pPr>
    <w:r>
      <w:rPr>
        <w:noProof/>
      </w:rPr>
      <w:pict w14:anchorId="22ADE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CB25" w14:textId="3BA767C0" w:rsidR="007D0309" w:rsidRDefault="007D0309">
    <w:pPr>
      <w:pStyle w:val="Header"/>
    </w:pPr>
    <w:r>
      <w:rPr>
        <w:noProof/>
      </w:rPr>
      <w:pict w14:anchorId="37EA8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3392" w14:textId="759C5B50" w:rsidR="007D0309" w:rsidRDefault="007D0309">
    <w:pPr>
      <w:pStyle w:val="Header"/>
    </w:pPr>
    <w:r>
      <w:rPr>
        <w:noProof/>
      </w:rPr>
      <w:pict w14:anchorId="4AB0A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B35625"/>
    <w:multiLevelType w:val="hybridMultilevel"/>
    <w:tmpl w:val="97EA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303A62"/>
    <w:multiLevelType w:val="hybridMultilevel"/>
    <w:tmpl w:val="4BF8D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E3E71"/>
    <w:multiLevelType w:val="hybridMultilevel"/>
    <w:tmpl w:val="66D8D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AC43EC6"/>
    <w:multiLevelType w:val="hybridMultilevel"/>
    <w:tmpl w:val="813A34BC"/>
    <w:lvl w:ilvl="0" w:tplc="629A32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839D7"/>
    <w:multiLevelType w:val="hybridMultilevel"/>
    <w:tmpl w:val="813A34BC"/>
    <w:lvl w:ilvl="0" w:tplc="629A32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5"/>
  </w:num>
  <w:num w:numId="9">
    <w:abstractNumId w:val="30"/>
  </w:num>
  <w:num w:numId="10">
    <w:abstractNumId w:val="2"/>
  </w:num>
  <w:num w:numId="11">
    <w:abstractNumId w:val="23"/>
  </w:num>
  <w:num w:numId="12">
    <w:abstractNumId w:val="4"/>
  </w:num>
  <w:num w:numId="13">
    <w:abstractNumId w:val="22"/>
  </w:num>
  <w:num w:numId="14">
    <w:abstractNumId w:val="11"/>
  </w:num>
  <w:num w:numId="15">
    <w:abstractNumId w:val="26"/>
  </w:num>
  <w:num w:numId="16">
    <w:abstractNumId w:val="6"/>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3"/>
  </w:num>
  <w:num w:numId="31">
    <w:abstractNumId w:val="3"/>
  </w:num>
  <w:num w:numId="32">
    <w:abstractNumId w:val="9"/>
  </w:num>
  <w:num w:numId="33">
    <w:abstractNumId w:val="8"/>
  </w:num>
  <w:num w:numId="34">
    <w:abstractNumId w:val="1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79"/>
    <w:rsid w:val="00000F8F"/>
    <w:rsid w:val="00002FB4"/>
    <w:rsid w:val="000054B4"/>
    <w:rsid w:val="00014A40"/>
    <w:rsid w:val="00025109"/>
    <w:rsid w:val="00026447"/>
    <w:rsid w:val="00030174"/>
    <w:rsid w:val="000302B8"/>
    <w:rsid w:val="00031439"/>
    <w:rsid w:val="0003493E"/>
    <w:rsid w:val="00040270"/>
    <w:rsid w:val="0004579C"/>
    <w:rsid w:val="00046E19"/>
    <w:rsid w:val="00053796"/>
    <w:rsid w:val="0006212A"/>
    <w:rsid w:val="00066699"/>
    <w:rsid w:val="000742F5"/>
    <w:rsid w:val="00080FEB"/>
    <w:rsid w:val="00083A4A"/>
    <w:rsid w:val="000962A9"/>
    <w:rsid w:val="000A439D"/>
    <w:rsid w:val="000A47FA"/>
    <w:rsid w:val="000A65D3"/>
    <w:rsid w:val="000A7A81"/>
    <w:rsid w:val="000B1E33"/>
    <w:rsid w:val="000B37DC"/>
    <w:rsid w:val="000C32DC"/>
    <w:rsid w:val="000C7AC1"/>
    <w:rsid w:val="000D16C0"/>
    <w:rsid w:val="000D689F"/>
    <w:rsid w:val="000E7245"/>
    <w:rsid w:val="000E759F"/>
    <w:rsid w:val="000E7B7B"/>
    <w:rsid w:val="000E7D62"/>
    <w:rsid w:val="000F3EFF"/>
    <w:rsid w:val="000F64FD"/>
    <w:rsid w:val="00103357"/>
    <w:rsid w:val="001141EC"/>
    <w:rsid w:val="001151DE"/>
    <w:rsid w:val="00123C9F"/>
    <w:rsid w:val="00126190"/>
    <w:rsid w:val="00130F17"/>
    <w:rsid w:val="001320BF"/>
    <w:rsid w:val="0013542C"/>
    <w:rsid w:val="0013627A"/>
    <w:rsid w:val="00161C60"/>
    <w:rsid w:val="001639D2"/>
    <w:rsid w:val="00163BC4"/>
    <w:rsid w:val="00163BDA"/>
    <w:rsid w:val="00163FF3"/>
    <w:rsid w:val="00164E75"/>
    <w:rsid w:val="00177E4E"/>
    <w:rsid w:val="00183BD7"/>
    <w:rsid w:val="0018678A"/>
    <w:rsid w:val="00187615"/>
    <w:rsid w:val="001879CF"/>
    <w:rsid w:val="001905D9"/>
    <w:rsid w:val="00191062"/>
    <w:rsid w:val="00192B72"/>
    <w:rsid w:val="00193AD7"/>
    <w:rsid w:val="001A1CE2"/>
    <w:rsid w:val="001A29D8"/>
    <w:rsid w:val="001A5CAA"/>
    <w:rsid w:val="001B0427"/>
    <w:rsid w:val="001B1A53"/>
    <w:rsid w:val="001D3A51"/>
    <w:rsid w:val="001E10D2"/>
    <w:rsid w:val="001E25B4"/>
    <w:rsid w:val="001E2C5B"/>
    <w:rsid w:val="001E44FE"/>
    <w:rsid w:val="001F4767"/>
    <w:rsid w:val="001F4AC2"/>
    <w:rsid w:val="00200595"/>
    <w:rsid w:val="00204835"/>
    <w:rsid w:val="00216C23"/>
    <w:rsid w:val="002177B7"/>
    <w:rsid w:val="002253A3"/>
    <w:rsid w:val="002255FF"/>
    <w:rsid w:val="00231920"/>
    <w:rsid w:val="0023195C"/>
    <w:rsid w:val="00233A94"/>
    <w:rsid w:val="00236709"/>
    <w:rsid w:val="002379B2"/>
    <w:rsid w:val="0024282C"/>
    <w:rsid w:val="002459AD"/>
    <w:rsid w:val="002460DC"/>
    <w:rsid w:val="00250985"/>
    <w:rsid w:val="002556F6"/>
    <w:rsid w:val="00260864"/>
    <w:rsid w:val="00265595"/>
    <w:rsid w:val="00265A40"/>
    <w:rsid w:val="00274C8E"/>
    <w:rsid w:val="00275014"/>
    <w:rsid w:val="00283105"/>
    <w:rsid w:val="00284C4C"/>
    <w:rsid w:val="00287E68"/>
    <w:rsid w:val="00296529"/>
    <w:rsid w:val="002A774C"/>
    <w:rsid w:val="002B27FB"/>
    <w:rsid w:val="002B399B"/>
    <w:rsid w:val="002B685A"/>
    <w:rsid w:val="002C2D94"/>
    <w:rsid w:val="002C57D2"/>
    <w:rsid w:val="002D48C6"/>
    <w:rsid w:val="002D6641"/>
    <w:rsid w:val="002D75B5"/>
    <w:rsid w:val="002E0D56"/>
    <w:rsid w:val="002E1A07"/>
    <w:rsid w:val="002E2A6B"/>
    <w:rsid w:val="002E7418"/>
    <w:rsid w:val="002F2BE6"/>
    <w:rsid w:val="002F3642"/>
    <w:rsid w:val="00302DC2"/>
    <w:rsid w:val="003072D4"/>
    <w:rsid w:val="00312D42"/>
    <w:rsid w:val="00315186"/>
    <w:rsid w:val="0033343E"/>
    <w:rsid w:val="00333B87"/>
    <w:rsid w:val="00335AC9"/>
    <w:rsid w:val="00337CB0"/>
    <w:rsid w:val="003512C2"/>
    <w:rsid w:val="00354BC0"/>
    <w:rsid w:val="003560CF"/>
    <w:rsid w:val="00364E2D"/>
    <w:rsid w:val="00371CB6"/>
    <w:rsid w:val="00371FB6"/>
    <w:rsid w:val="003763C1"/>
    <w:rsid w:val="00376BBE"/>
    <w:rsid w:val="003802AC"/>
    <w:rsid w:val="00383032"/>
    <w:rsid w:val="0039224F"/>
    <w:rsid w:val="00396D68"/>
    <w:rsid w:val="003A43A4"/>
    <w:rsid w:val="003A60FC"/>
    <w:rsid w:val="003A66BC"/>
    <w:rsid w:val="003A7E18"/>
    <w:rsid w:val="003C4C86"/>
    <w:rsid w:val="003C5B8C"/>
    <w:rsid w:val="003C5CEE"/>
    <w:rsid w:val="003C5D29"/>
    <w:rsid w:val="003C6258"/>
    <w:rsid w:val="003D471C"/>
    <w:rsid w:val="003D4D8D"/>
    <w:rsid w:val="003E2904"/>
    <w:rsid w:val="003E4C00"/>
    <w:rsid w:val="003E62DA"/>
    <w:rsid w:val="003F5AE8"/>
    <w:rsid w:val="003F77F2"/>
    <w:rsid w:val="00401927"/>
    <w:rsid w:val="00401FC2"/>
    <w:rsid w:val="0041027F"/>
    <w:rsid w:val="00412417"/>
    <w:rsid w:val="00412475"/>
    <w:rsid w:val="004148E4"/>
    <w:rsid w:val="0041593E"/>
    <w:rsid w:val="00416E13"/>
    <w:rsid w:val="00417C9F"/>
    <w:rsid w:val="0042070C"/>
    <w:rsid w:val="00423789"/>
    <w:rsid w:val="00423876"/>
    <w:rsid w:val="0043324E"/>
    <w:rsid w:val="00436A05"/>
    <w:rsid w:val="00440F43"/>
    <w:rsid w:val="00441B6F"/>
    <w:rsid w:val="0044253F"/>
    <w:rsid w:val="00446221"/>
    <w:rsid w:val="00450E62"/>
    <w:rsid w:val="004539DB"/>
    <w:rsid w:val="00462021"/>
    <w:rsid w:val="00465DA9"/>
    <w:rsid w:val="00471A80"/>
    <w:rsid w:val="004727B0"/>
    <w:rsid w:val="004768E0"/>
    <w:rsid w:val="004A169F"/>
    <w:rsid w:val="004A2B14"/>
    <w:rsid w:val="004B03D6"/>
    <w:rsid w:val="004B7443"/>
    <w:rsid w:val="004D1E35"/>
    <w:rsid w:val="004D305E"/>
    <w:rsid w:val="004D4277"/>
    <w:rsid w:val="004D533A"/>
    <w:rsid w:val="004D69B7"/>
    <w:rsid w:val="0050001C"/>
    <w:rsid w:val="00500BC1"/>
    <w:rsid w:val="00502516"/>
    <w:rsid w:val="00505F06"/>
    <w:rsid w:val="00506828"/>
    <w:rsid w:val="0051761D"/>
    <w:rsid w:val="00520CC3"/>
    <w:rsid w:val="0053056E"/>
    <w:rsid w:val="005344A4"/>
    <w:rsid w:val="00540575"/>
    <w:rsid w:val="005423BC"/>
    <w:rsid w:val="005439B3"/>
    <w:rsid w:val="00543C55"/>
    <w:rsid w:val="00545D0F"/>
    <w:rsid w:val="00554FDA"/>
    <w:rsid w:val="005551F7"/>
    <w:rsid w:val="00555E1B"/>
    <w:rsid w:val="0056666F"/>
    <w:rsid w:val="00566AAC"/>
    <w:rsid w:val="0057097A"/>
    <w:rsid w:val="0057403C"/>
    <w:rsid w:val="0057496B"/>
    <w:rsid w:val="0057552B"/>
    <w:rsid w:val="005822D1"/>
    <w:rsid w:val="00582A7A"/>
    <w:rsid w:val="005A026C"/>
    <w:rsid w:val="005A3C89"/>
    <w:rsid w:val="005B53E3"/>
    <w:rsid w:val="005C784C"/>
    <w:rsid w:val="005D17F6"/>
    <w:rsid w:val="005E0A03"/>
    <w:rsid w:val="005E5539"/>
    <w:rsid w:val="005E7106"/>
    <w:rsid w:val="005F1BF5"/>
    <w:rsid w:val="005F329F"/>
    <w:rsid w:val="005F4EDB"/>
    <w:rsid w:val="005F5BC1"/>
    <w:rsid w:val="00602BF5"/>
    <w:rsid w:val="00617FDD"/>
    <w:rsid w:val="0062451B"/>
    <w:rsid w:val="006271F9"/>
    <w:rsid w:val="00633614"/>
    <w:rsid w:val="00633F68"/>
    <w:rsid w:val="00636EB2"/>
    <w:rsid w:val="006375B8"/>
    <w:rsid w:val="006407A6"/>
    <w:rsid w:val="00644137"/>
    <w:rsid w:val="0065417B"/>
    <w:rsid w:val="00655429"/>
    <w:rsid w:val="00657331"/>
    <w:rsid w:val="006600B8"/>
    <w:rsid w:val="006649D9"/>
    <w:rsid w:val="0066510A"/>
    <w:rsid w:val="00671351"/>
    <w:rsid w:val="00673F9F"/>
    <w:rsid w:val="00676F0D"/>
    <w:rsid w:val="006779B6"/>
    <w:rsid w:val="006820FF"/>
    <w:rsid w:val="006845A9"/>
    <w:rsid w:val="00686953"/>
    <w:rsid w:val="00687DEA"/>
    <w:rsid w:val="00687E67"/>
    <w:rsid w:val="00696175"/>
    <w:rsid w:val="006967F7"/>
    <w:rsid w:val="006A250C"/>
    <w:rsid w:val="006A6954"/>
    <w:rsid w:val="006B21D3"/>
    <w:rsid w:val="006B57D0"/>
    <w:rsid w:val="006C30F8"/>
    <w:rsid w:val="006C53E8"/>
    <w:rsid w:val="006D30FF"/>
    <w:rsid w:val="006D6940"/>
    <w:rsid w:val="006D6F71"/>
    <w:rsid w:val="006D7092"/>
    <w:rsid w:val="006D7108"/>
    <w:rsid w:val="006D715D"/>
    <w:rsid w:val="006F11EC"/>
    <w:rsid w:val="006F4C7B"/>
    <w:rsid w:val="0070082C"/>
    <w:rsid w:val="00703922"/>
    <w:rsid w:val="007079C8"/>
    <w:rsid w:val="00720786"/>
    <w:rsid w:val="0072776A"/>
    <w:rsid w:val="007333E3"/>
    <w:rsid w:val="00734116"/>
    <w:rsid w:val="007369E6"/>
    <w:rsid w:val="007404B8"/>
    <w:rsid w:val="00743C4D"/>
    <w:rsid w:val="00743D59"/>
    <w:rsid w:val="00746E59"/>
    <w:rsid w:val="00754C9A"/>
    <w:rsid w:val="0075599A"/>
    <w:rsid w:val="0075650A"/>
    <w:rsid w:val="00761D52"/>
    <w:rsid w:val="00767813"/>
    <w:rsid w:val="0077466D"/>
    <w:rsid w:val="0077749E"/>
    <w:rsid w:val="00777E77"/>
    <w:rsid w:val="00790ADA"/>
    <w:rsid w:val="0079353F"/>
    <w:rsid w:val="007A0F47"/>
    <w:rsid w:val="007A1213"/>
    <w:rsid w:val="007A5A69"/>
    <w:rsid w:val="007A69CB"/>
    <w:rsid w:val="007A76B5"/>
    <w:rsid w:val="007A7C42"/>
    <w:rsid w:val="007C1DAC"/>
    <w:rsid w:val="007D0309"/>
    <w:rsid w:val="007D0DB8"/>
    <w:rsid w:val="007D2288"/>
    <w:rsid w:val="007D7F49"/>
    <w:rsid w:val="007E088F"/>
    <w:rsid w:val="007F3460"/>
    <w:rsid w:val="007F7B32"/>
    <w:rsid w:val="00804BC2"/>
    <w:rsid w:val="0080759D"/>
    <w:rsid w:val="0081181F"/>
    <w:rsid w:val="0081431A"/>
    <w:rsid w:val="0082018B"/>
    <w:rsid w:val="00822BB3"/>
    <w:rsid w:val="0083216F"/>
    <w:rsid w:val="00832EAB"/>
    <w:rsid w:val="008346B2"/>
    <w:rsid w:val="008411E8"/>
    <w:rsid w:val="00842577"/>
    <w:rsid w:val="00843162"/>
    <w:rsid w:val="00860000"/>
    <w:rsid w:val="00863BD3"/>
    <w:rsid w:val="008641ED"/>
    <w:rsid w:val="00866D66"/>
    <w:rsid w:val="008671C6"/>
    <w:rsid w:val="00871697"/>
    <w:rsid w:val="00874AEB"/>
    <w:rsid w:val="00875803"/>
    <w:rsid w:val="008821A0"/>
    <w:rsid w:val="00887ED3"/>
    <w:rsid w:val="008919BA"/>
    <w:rsid w:val="008962CC"/>
    <w:rsid w:val="008B459E"/>
    <w:rsid w:val="008C3C8D"/>
    <w:rsid w:val="008C7DBE"/>
    <w:rsid w:val="008D3BC3"/>
    <w:rsid w:val="008E13AE"/>
    <w:rsid w:val="008E1506"/>
    <w:rsid w:val="008E710C"/>
    <w:rsid w:val="008F1960"/>
    <w:rsid w:val="008F69D6"/>
    <w:rsid w:val="0090199C"/>
    <w:rsid w:val="009024F8"/>
    <w:rsid w:val="00902823"/>
    <w:rsid w:val="00912BAB"/>
    <w:rsid w:val="00913358"/>
    <w:rsid w:val="00915CA6"/>
    <w:rsid w:val="00926FEE"/>
    <w:rsid w:val="00927834"/>
    <w:rsid w:val="00931903"/>
    <w:rsid w:val="00942885"/>
    <w:rsid w:val="009428CE"/>
    <w:rsid w:val="0094729B"/>
    <w:rsid w:val="009500A6"/>
    <w:rsid w:val="00957127"/>
    <w:rsid w:val="00957C18"/>
    <w:rsid w:val="00961529"/>
    <w:rsid w:val="0096437C"/>
    <w:rsid w:val="009659BA"/>
    <w:rsid w:val="00971451"/>
    <w:rsid w:val="00971C10"/>
    <w:rsid w:val="00975E5B"/>
    <w:rsid w:val="00983040"/>
    <w:rsid w:val="009933DA"/>
    <w:rsid w:val="009B3FB9"/>
    <w:rsid w:val="009B4F40"/>
    <w:rsid w:val="009C2465"/>
    <w:rsid w:val="009C3846"/>
    <w:rsid w:val="009C437B"/>
    <w:rsid w:val="009D35A0"/>
    <w:rsid w:val="009D7EB7"/>
    <w:rsid w:val="009E048A"/>
    <w:rsid w:val="009E08E9"/>
    <w:rsid w:val="009E2C5B"/>
    <w:rsid w:val="009E34BE"/>
    <w:rsid w:val="009E3CE7"/>
    <w:rsid w:val="009E3DB9"/>
    <w:rsid w:val="009E4BE9"/>
    <w:rsid w:val="009E6E35"/>
    <w:rsid w:val="009F0EDA"/>
    <w:rsid w:val="00A01256"/>
    <w:rsid w:val="00A02B36"/>
    <w:rsid w:val="00A03B96"/>
    <w:rsid w:val="00A05B19"/>
    <w:rsid w:val="00A1134E"/>
    <w:rsid w:val="00A21A6D"/>
    <w:rsid w:val="00A2455C"/>
    <w:rsid w:val="00A24880"/>
    <w:rsid w:val="00A24E7E"/>
    <w:rsid w:val="00A258C3"/>
    <w:rsid w:val="00A3291D"/>
    <w:rsid w:val="00A33471"/>
    <w:rsid w:val="00A347C0"/>
    <w:rsid w:val="00A35ADA"/>
    <w:rsid w:val="00A51431"/>
    <w:rsid w:val="00A539AD"/>
    <w:rsid w:val="00A56893"/>
    <w:rsid w:val="00A65DFF"/>
    <w:rsid w:val="00A6648E"/>
    <w:rsid w:val="00A758AE"/>
    <w:rsid w:val="00A802A6"/>
    <w:rsid w:val="00A94063"/>
    <w:rsid w:val="00AA0500"/>
    <w:rsid w:val="00AA1C88"/>
    <w:rsid w:val="00AA6219"/>
    <w:rsid w:val="00AA74E0"/>
    <w:rsid w:val="00AB2792"/>
    <w:rsid w:val="00AB703F"/>
    <w:rsid w:val="00AC5750"/>
    <w:rsid w:val="00AC694F"/>
    <w:rsid w:val="00AC6A1D"/>
    <w:rsid w:val="00AC6BB8"/>
    <w:rsid w:val="00AE003D"/>
    <w:rsid w:val="00AE008F"/>
    <w:rsid w:val="00AE0200"/>
    <w:rsid w:val="00AF29E2"/>
    <w:rsid w:val="00AF3D9F"/>
    <w:rsid w:val="00B01FCD"/>
    <w:rsid w:val="00B037BB"/>
    <w:rsid w:val="00B04046"/>
    <w:rsid w:val="00B04204"/>
    <w:rsid w:val="00B15774"/>
    <w:rsid w:val="00B1776C"/>
    <w:rsid w:val="00B3718D"/>
    <w:rsid w:val="00B41776"/>
    <w:rsid w:val="00B47D9C"/>
    <w:rsid w:val="00B505F1"/>
    <w:rsid w:val="00B52583"/>
    <w:rsid w:val="00B52896"/>
    <w:rsid w:val="00B57582"/>
    <w:rsid w:val="00B63288"/>
    <w:rsid w:val="00B772FC"/>
    <w:rsid w:val="00B77A97"/>
    <w:rsid w:val="00B83450"/>
    <w:rsid w:val="00B9098F"/>
    <w:rsid w:val="00B95236"/>
    <w:rsid w:val="00B96BD9"/>
    <w:rsid w:val="00BA1B01"/>
    <w:rsid w:val="00BA2641"/>
    <w:rsid w:val="00BA761A"/>
    <w:rsid w:val="00BB2DEC"/>
    <w:rsid w:val="00BB37AA"/>
    <w:rsid w:val="00BC1AF9"/>
    <w:rsid w:val="00BC53A0"/>
    <w:rsid w:val="00BC6B86"/>
    <w:rsid w:val="00BD5092"/>
    <w:rsid w:val="00BD5DFE"/>
    <w:rsid w:val="00BE0B33"/>
    <w:rsid w:val="00BE1975"/>
    <w:rsid w:val="00BE62AD"/>
    <w:rsid w:val="00BF06BE"/>
    <w:rsid w:val="00BF121F"/>
    <w:rsid w:val="00BF19B6"/>
    <w:rsid w:val="00BF1F80"/>
    <w:rsid w:val="00C042EB"/>
    <w:rsid w:val="00C07047"/>
    <w:rsid w:val="00C123EC"/>
    <w:rsid w:val="00C166EF"/>
    <w:rsid w:val="00C16F4B"/>
    <w:rsid w:val="00C17EB0"/>
    <w:rsid w:val="00C22245"/>
    <w:rsid w:val="00C2623B"/>
    <w:rsid w:val="00C262A5"/>
    <w:rsid w:val="00C27F5F"/>
    <w:rsid w:val="00C30A0F"/>
    <w:rsid w:val="00C30DCA"/>
    <w:rsid w:val="00C32468"/>
    <w:rsid w:val="00C3567C"/>
    <w:rsid w:val="00C3697A"/>
    <w:rsid w:val="00C37E61"/>
    <w:rsid w:val="00C40985"/>
    <w:rsid w:val="00C5415F"/>
    <w:rsid w:val="00C546CC"/>
    <w:rsid w:val="00C559C9"/>
    <w:rsid w:val="00C6636E"/>
    <w:rsid w:val="00C70F1B"/>
    <w:rsid w:val="00C71A47"/>
    <w:rsid w:val="00C7464C"/>
    <w:rsid w:val="00C801A4"/>
    <w:rsid w:val="00C8355D"/>
    <w:rsid w:val="00C83BF9"/>
    <w:rsid w:val="00C84C90"/>
    <w:rsid w:val="00C85588"/>
    <w:rsid w:val="00C9185C"/>
    <w:rsid w:val="00CA0FDB"/>
    <w:rsid w:val="00CA7082"/>
    <w:rsid w:val="00CB2D30"/>
    <w:rsid w:val="00CC4911"/>
    <w:rsid w:val="00CC721C"/>
    <w:rsid w:val="00CD094B"/>
    <w:rsid w:val="00CD6755"/>
    <w:rsid w:val="00CD6856"/>
    <w:rsid w:val="00CE0089"/>
    <w:rsid w:val="00CE180C"/>
    <w:rsid w:val="00CE2BB9"/>
    <w:rsid w:val="00CE46DB"/>
    <w:rsid w:val="00CE59FB"/>
    <w:rsid w:val="00CE793C"/>
    <w:rsid w:val="00CF193C"/>
    <w:rsid w:val="00CF299D"/>
    <w:rsid w:val="00CF34A5"/>
    <w:rsid w:val="00CF36BD"/>
    <w:rsid w:val="00CF5F5B"/>
    <w:rsid w:val="00CF77BF"/>
    <w:rsid w:val="00D173F1"/>
    <w:rsid w:val="00D37F96"/>
    <w:rsid w:val="00D50CCA"/>
    <w:rsid w:val="00D55AF3"/>
    <w:rsid w:val="00D65886"/>
    <w:rsid w:val="00D74CB0"/>
    <w:rsid w:val="00D753E7"/>
    <w:rsid w:val="00D76F03"/>
    <w:rsid w:val="00D8295D"/>
    <w:rsid w:val="00D86AE7"/>
    <w:rsid w:val="00DA6437"/>
    <w:rsid w:val="00DA70C0"/>
    <w:rsid w:val="00DA7DAE"/>
    <w:rsid w:val="00DC2A65"/>
    <w:rsid w:val="00DC4463"/>
    <w:rsid w:val="00DE15F0"/>
    <w:rsid w:val="00DE473E"/>
    <w:rsid w:val="00DE5663"/>
    <w:rsid w:val="00DE78AA"/>
    <w:rsid w:val="00DF4A4E"/>
    <w:rsid w:val="00E01A3D"/>
    <w:rsid w:val="00E053D0"/>
    <w:rsid w:val="00E10B46"/>
    <w:rsid w:val="00E15994"/>
    <w:rsid w:val="00E268D3"/>
    <w:rsid w:val="00E30030"/>
    <w:rsid w:val="00E3114E"/>
    <w:rsid w:val="00E31A70"/>
    <w:rsid w:val="00E31D2E"/>
    <w:rsid w:val="00E34B03"/>
    <w:rsid w:val="00E35B02"/>
    <w:rsid w:val="00E4079F"/>
    <w:rsid w:val="00E40AE6"/>
    <w:rsid w:val="00E466FD"/>
    <w:rsid w:val="00E540C8"/>
    <w:rsid w:val="00E66496"/>
    <w:rsid w:val="00E66B35"/>
    <w:rsid w:val="00E66E10"/>
    <w:rsid w:val="00E750AD"/>
    <w:rsid w:val="00E769F6"/>
    <w:rsid w:val="00E8407C"/>
    <w:rsid w:val="00E84F3C"/>
    <w:rsid w:val="00E92CE8"/>
    <w:rsid w:val="00E95454"/>
    <w:rsid w:val="00EA012C"/>
    <w:rsid w:val="00EA0E65"/>
    <w:rsid w:val="00EA1F46"/>
    <w:rsid w:val="00EA7FD3"/>
    <w:rsid w:val="00EB3AA9"/>
    <w:rsid w:val="00EC140A"/>
    <w:rsid w:val="00EC16F1"/>
    <w:rsid w:val="00EC1A03"/>
    <w:rsid w:val="00EC45FF"/>
    <w:rsid w:val="00EC6A55"/>
    <w:rsid w:val="00ED0288"/>
    <w:rsid w:val="00ED7CC5"/>
    <w:rsid w:val="00ED7D48"/>
    <w:rsid w:val="00ED7D71"/>
    <w:rsid w:val="00EE1B7D"/>
    <w:rsid w:val="00EE52CB"/>
    <w:rsid w:val="00EF581D"/>
    <w:rsid w:val="00EF6671"/>
    <w:rsid w:val="00EF7FD8"/>
    <w:rsid w:val="00F038FF"/>
    <w:rsid w:val="00F05B53"/>
    <w:rsid w:val="00F06F59"/>
    <w:rsid w:val="00F1380E"/>
    <w:rsid w:val="00F17988"/>
    <w:rsid w:val="00F2622D"/>
    <w:rsid w:val="00F30251"/>
    <w:rsid w:val="00F31CDF"/>
    <w:rsid w:val="00F33AD0"/>
    <w:rsid w:val="00F469F0"/>
    <w:rsid w:val="00F53273"/>
    <w:rsid w:val="00F6704C"/>
    <w:rsid w:val="00F73200"/>
    <w:rsid w:val="00F755E4"/>
    <w:rsid w:val="00F77377"/>
    <w:rsid w:val="00F77D02"/>
    <w:rsid w:val="00F8204C"/>
    <w:rsid w:val="00F83910"/>
    <w:rsid w:val="00F85EB5"/>
    <w:rsid w:val="00F86BCD"/>
    <w:rsid w:val="00F95C19"/>
    <w:rsid w:val="00F961B9"/>
    <w:rsid w:val="00FA01C8"/>
    <w:rsid w:val="00FA1CCF"/>
    <w:rsid w:val="00FB3A86"/>
    <w:rsid w:val="00FC4204"/>
    <w:rsid w:val="00FC4BCF"/>
    <w:rsid w:val="00FD36C8"/>
    <w:rsid w:val="00FE66E7"/>
    <w:rsid w:val="00FF110D"/>
    <w:rsid w:val="00FF1921"/>
    <w:rsid w:val="00FF5BF1"/>
    <w:rsid w:val="00FF5CE6"/>
    <w:rsid w:val="00FF6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E37288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369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6D715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60864"/>
    <w:rPr>
      <w:b/>
      <w:bCs/>
    </w:rPr>
  </w:style>
  <w:style w:type="character" w:customStyle="1" w:styleId="Heading3Char">
    <w:name w:val="Heading 3 Char"/>
    <w:basedOn w:val="DefaultParagraphFont"/>
    <w:link w:val="Heading3"/>
    <w:semiHidden/>
    <w:rsid w:val="00C3697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71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468693">
      <w:bodyDiv w:val="1"/>
      <w:marLeft w:val="0"/>
      <w:marRight w:val="0"/>
      <w:marTop w:val="0"/>
      <w:marBottom w:val="0"/>
      <w:divBdr>
        <w:top w:val="none" w:sz="0" w:space="0" w:color="auto"/>
        <w:left w:val="none" w:sz="0" w:space="0" w:color="auto"/>
        <w:bottom w:val="none" w:sz="0" w:space="0" w:color="auto"/>
        <w:right w:val="none" w:sz="0" w:space="0" w:color="auto"/>
      </w:divBdr>
      <w:divsChild>
        <w:div w:id="1946115752">
          <w:marLeft w:val="0"/>
          <w:marRight w:val="0"/>
          <w:marTop w:val="120"/>
          <w:marBottom w:val="120"/>
          <w:divBdr>
            <w:top w:val="none" w:sz="0" w:space="0" w:color="auto"/>
            <w:left w:val="none" w:sz="0" w:space="0" w:color="auto"/>
            <w:bottom w:val="none" w:sz="0" w:space="0" w:color="auto"/>
            <w:right w:val="none" w:sz="0" w:space="0" w:color="auto"/>
          </w:divBdr>
        </w:div>
      </w:divsChild>
    </w:div>
    <w:div w:id="18699657">
      <w:bodyDiv w:val="1"/>
      <w:marLeft w:val="0"/>
      <w:marRight w:val="0"/>
      <w:marTop w:val="0"/>
      <w:marBottom w:val="0"/>
      <w:divBdr>
        <w:top w:val="none" w:sz="0" w:space="0" w:color="auto"/>
        <w:left w:val="none" w:sz="0" w:space="0" w:color="auto"/>
        <w:bottom w:val="none" w:sz="0" w:space="0" w:color="auto"/>
        <w:right w:val="none" w:sz="0" w:space="0" w:color="auto"/>
      </w:divBdr>
      <w:divsChild>
        <w:div w:id="1328901311">
          <w:marLeft w:val="0"/>
          <w:marRight w:val="0"/>
          <w:marTop w:val="120"/>
          <w:marBottom w:val="12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409416">
      <w:bodyDiv w:val="1"/>
      <w:marLeft w:val="0"/>
      <w:marRight w:val="0"/>
      <w:marTop w:val="0"/>
      <w:marBottom w:val="0"/>
      <w:divBdr>
        <w:top w:val="none" w:sz="0" w:space="0" w:color="auto"/>
        <w:left w:val="none" w:sz="0" w:space="0" w:color="auto"/>
        <w:bottom w:val="none" w:sz="0" w:space="0" w:color="auto"/>
        <w:right w:val="none" w:sz="0" w:space="0" w:color="auto"/>
      </w:divBdr>
      <w:divsChild>
        <w:div w:id="1396201869">
          <w:marLeft w:val="0"/>
          <w:marRight w:val="0"/>
          <w:marTop w:val="120"/>
          <w:marBottom w:val="120"/>
          <w:divBdr>
            <w:top w:val="none" w:sz="0" w:space="0" w:color="auto"/>
            <w:left w:val="none" w:sz="0" w:space="0" w:color="auto"/>
            <w:bottom w:val="none" w:sz="0" w:space="0" w:color="auto"/>
            <w:right w:val="none" w:sz="0" w:space="0" w:color="auto"/>
          </w:divBdr>
        </w:div>
      </w:divsChild>
    </w:div>
    <w:div w:id="334771637">
      <w:bodyDiv w:val="1"/>
      <w:marLeft w:val="0"/>
      <w:marRight w:val="0"/>
      <w:marTop w:val="0"/>
      <w:marBottom w:val="0"/>
      <w:divBdr>
        <w:top w:val="none" w:sz="0" w:space="0" w:color="auto"/>
        <w:left w:val="none" w:sz="0" w:space="0" w:color="auto"/>
        <w:bottom w:val="none" w:sz="0" w:space="0" w:color="auto"/>
        <w:right w:val="none" w:sz="0" w:space="0" w:color="auto"/>
      </w:divBdr>
      <w:divsChild>
        <w:div w:id="511721747">
          <w:marLeft w:val="0"/>
          <w:marRight w:val="0"/>
          <w:marTop w:val="120"/>
          <w:marBottom w:val="120"/>
          <w:divBdr>
            <w:top w:val="none" w:sz="0" w:space="0" w:color="auto"/>
            <w:left w:val="none" w:sz="0" w:space="0" w:color="auto"/>
            <w:bottom w:val="none" w:sz="0" w:space="0" w:color="auto"/>
            <w:right w:val="none" w:sz="0" w:space="0" w:color="auto"/>
          </w:divBdr>
        </w:div>
      </w:divsChild>
    </w:div>
    <w:div w:id="412944032">
      <w:bodyDiv w:val="1"/>
      <w:marLeft w:val="0"/>
      <w:marRight w:val="0"/>
      <w:marTop w:val="0"/>
      <w:marBottom w:val="0"/>
      <w:divBdr>
        <w:top w:val="none" w:sz="0" w:space="0" w:color="auto"/>
        <w:left w:val="none" w:sz="0" w:space="0" w:color="auto"/>
        <w:bottom w:val="none" w:sz="0" w:space="0" w:color="auto"/>
        <w:right w:val="none" w:sz="0" w:space="0" w:color="auto"/>
      </w:divBdr>
      <w:divsChild>
        <w:div w:id="1782068332">
          <w:marLeft w:val="0"/>
          <w:marRight w:val="0"/>
          <w:marTop w:val="120"/>
          <w:marBottom w:val="120"/>
          <w:divBdr>
            <w:top w:val="none" w:sz="0" w:space="0" w:color="auto"/>
            <w:left w:val="none" w:sz="0" w:space="0" w:color="auto"/>
            <w:bottom w:val="none" w:sz="0" w:space="0" w:color="auto"/>
            <w:right w:val="none" w:sz="0" w:space="0" w:color="auto"/>
          </w:divBdr>
        </w:div>
      </w:divsChild>
    </w:div>
    <w:div w:id="447355511">
      <w:bodyDiv w:val="1"/>
      <w:marLeft w:val="0"/>
      <w:marRight w:val="0"/>
      <w:marTop w:val="0"/>
      <w:marBottom w:val="0"/>
      <w:divBdr>
        <w:top w:val="none" w:sz="0" w:space="0" w:color="auto"/>
        <w:left w:val="none" w:sz="0" w:space="0" w:color="auto"/>
        <w:bottom w:val="none" w:sz="0" w:space="0" w:color="auto"/>
        <w:right w:val="none" w:sz="0" w:space="0" w:color="auto"/>
      </w:divBdr>
      <w:divsChild>
        <w:div w:id="1296252136">
          <w:marLeft w:val="0"/>
          <w:marRight w:val="0"/>
          <w:marTop w:val="120"/>
          <w:marBottom w:val="120"/>
          <w:divBdr>
            <w:top w:val="none" w:sz="0" w:space="0" w:color="auto"/>
            <w:left w:val="none" w:sz="0" w:space="0" w:color="auto"/>
            <w:bottom w:val="none" w:sz="0" w:space="0" w:color="auto"/>
            <w:right w:val="none" w:sz="0" w:space="0" w:color="auto"/>
          </w:divBdr>
        </w:div>
      </w:divsChild>
    </w:div>
    <w:div w:id="458691216">
      <w:bodyDiv w:val="1"/>
      <w:marLeft w:val="0"/>
      <w:marRight w:val="0"/>
      <w:marTop w:val="0"/>
      <w:marBottom w:val="0"/>
      <w:divBdr>
        <w:top w:val="none" w:sz="0" w:space="0" w:color="auto"/>
        <w:left w:val="none" w:sz="0" w:space="0" w:color="auto"/>
        <w:bottom w:val="none" w:sz="0" w:space="0" w:color="auto"/>
        <w:right w:val="none" w:sz="0" w:space="0" w:color="auto"/>
      </w:divBdr>
    </w:div>
    <w:div w:id="495724660">
      <w:bodyDiv w:val="1"/>
      <w:marLeft w:val="0"/>
      <w:marRight w:val="0"/>
      <w:marTop w:val="0"/>
      <w:marBottom w:val="0"/>
      <w:divBdr>
        <w:top w:val="none" w:sz="0" w:space="0" w:color="auto"/>
        <w:left w:val="none" w:sz="0" w:space="0" w:color="auto"/>
        <w:bottom w:val="none" w:sz="0" w:space="0" w:color="auto"/>
        <w:right w:val="none" w:sz="0" w:space="0" w:color="auto"/>
      </w:divBdr>
      <w:divsChild>
        <w:div w:id="1297249676">
          <w:marLeft w:val="0"/>
          <w:marRight w:val="0"/>
          <w:marTop w:val="120"/>
          <w:marBottom w:val="12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3484584">
      <w:bodyDiv w:val="1"/>
      <w:marLeft w:val="0"/>
      <w:marRight w:val="0"/>
      <w:marTop w:val="0"/>
      <w:marBottom w:val="0"/>
      <w:divBdr>
        <w:top w:val="none" w:sz="0" w:space="0" w:color="auto"/>
        <w:left w:val="none" w:sz="0" w:space="0" w:color="auto"/>
        <w:bottom w:val="none" w:sz="0" w:space="0" w:color="auto"/>
        <w:right w:val="none" w:sz="0" w:space="0" w:color="auto"/>
      </w:divBdr>
      <w:divsChild>
        <w:div w:id="696853501">
          <w:marLeft w:val="0"/>
          <w:marRight w:val="0"/>
          <w:marTop w:val="120"/>
          <w:marBottom w:val="120"/>
          <w:divBdr>
            <w:top w:val="none" w:sz="0" w:space="0" w:color="auto"/>
            <w:left w:val="none" w:sz="0" w:space="0" w:color="auto"/>
            <w:bottom w:val="none" w:sz="0" w:space="0" w:color="auto"/>
            <w:right w:val="none" w:sz="0" w:space="0" w:color="auto"/>
          </w:divBdr>
        </w:div>
      </w:divsChild>
    </w:div>
    <w:div w:id="96181341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440596">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181241">
      <w:bodyDiv w:val="1"/>
      <w:marLeft w:val="0"/>
      <w:marRight w:val="0"/>
      <w:marTop w:val="0"/>
      <w:marBottom w:val="0"/>
      <w:divBdr>
        <w:top w:val="none" w:sz="0" w:space="0" w:color="auto"/>
        <w:left w:val="none" w:sz="0" w:space="0" w:color="auto"/>
        <w:bottom w:val="none" w:sz="0" w:space="0" w:color="auto"/>
        <w:right w:val="none" w:sz="0" w:space="0" w:color="auto"/>
      </w:divBdr>
    </w:div>
    <w:div w:id="1162352717">
      <w:bodyDiv w:val="1"/>
      <w:marLeft w:val="0"/>
      <w:marRight w:val="0"/>
      <w:marTop w:val="0"/>
      <w:marBottom w:val="0"/>
      <w:divBdr>
        <w:top w:val="none" w:sz="0" w:space="0" w:color="auto"/>
        <w:left w:val="none" w:sz="0" w:space="0" w:color="auto"/>
        <w:bottom w:val="none" w:sz="0" w:space="0" w:color="auto"/>
        <w:right w:val="none" w:sz="0" w:space="0" w:color="auto"/>
      </w:divBdr>
      <w:divsChild>
        <w:div w:id="45376070">
          <w:marLeft w:val="0"/>
          <w:marRight w:val="0"/>
          <w:marTop w:val="120"/>
          <w:marBottom w:val="120"/>
          <w:divBdr>
            <w:top w:val="none" w:sz="0" w:space="0" w:color="auto"/>
            <w:left w:val="none" w:sz="0" w:space="0" w:color="auto"/>
            <w:bottom w:val="none" w:sz="0" w:space="0" w:color="auto"/>
            <w:right w:val="none" w:sz="0" w:space="0" w:color="auto"/>
          </w:divBdr>
        </w:div>
      </w:divsChild>
    </w:div>
    <w:div w:id="1187212898">
      <w:bodyDiv w:val="1"/>
      <w:marLeft w:val="0"/>
      <w:marRight w:val="0"/>
      <w:marTop w:val="0"/>
      <w:marBottom w:val="0"/>
      <w:divBdr>
        <w:top w:val="none" w:sz="0" w:space="0" w:color="auto"/>
        <w:left w:val="none" w:sz="0" w:space="0" w:color="auto"/>
        <w:bottom w:val="none" w:sz="0" w:space="0" w:color="auto"/>
        <w:right w:val="none" w:sz="0" w:space="0" w:color="auto"/>
      </w:divBdr>
    </w:div>
    <w:div w:id="1262838953">
      <w:bodyDiv w:val="1"/>
      <w:marLeft w:val="0"/>
      <w:marRight w:val="0"/>
      <w:marTop w:val="0"/>
      <w:marBottom w:val="0"/>
      <w:divBdr>
        <w:top w:val="none" w:sz="0" w:space="0" w:color="auto"/>
        <w:left w:val="none" w:sz="0" w:space="0" w:color="auto"/>
        <w:bottom w:val="none" w:sz="0" w:space="0" w:color="auto"/>
        <w:right w:val="none" w:sz="0" w:space="0" w:color="auto"/>
      </w:divBdr>
      <w:divsChild>
        <w:div w:id="1510026535">
          <w:marLeft w:val="0"/>
          <w:marRight w:val="0"/>
          <w:marTop w:val="120"/>
          <w:marBottom w:val="120"/>
          <w:divBdr>
            <w:top w:val="none" w:sz="0" w:space="0" w:color="auto"/>
            <w:left w:val="none" w:sz="0" w:space="0" w:color="auto"/>
            <w:bottom w:val="none" w:sz="0" w:space="0" w:color="auto"/>
            <w:right w:val="none" w:sz="0" w:space="0" w:color="auto"/>
          </w:divBdr>
        </w:div>
      </w:divsChild>
    </w:div>
    <w:div w:id="1297448361">
      <w:bodyDiv w:val="1"/>
      <w:marLeft w:val="0"/>
      <w:marRight w:val="0"/>
      <w:marTop w:val="0"/>
      <w:marBottom w:val="0"/>
      <w:divBdr>
        <w:top w:val="none" w:sz="0" w:space="0" w:color="auto"/>
        <w:left w:val="none" w:sz="0" w:space="0" w:color="auto"/>
        <w:bottom w:val="none" w:sz="0" w:space="0" w:color="auto"/>
        <w:right w:val="none" w:sz="0" w:space="0" w:color="auto"/>
      </w:divBdr>
      <w:divsChild>
        <w:div w:id="2132743692">
          <w:marLeft w:val="0"/>
          <w:marRight w:val="0"/>
          <w:marTop w:val="120"/>
          <w:marBottom w:val="120"/>
          <w:divBdr>
            <w:top w:val="none" w:sz="0" w:space="0" w:color="auto"/>
            <w:left w:val="none" w:sz="0" w:space="0" w:color="auto"/>
            <w:bottom w:val="none" w:sz="0" w:space="0" w:color="auto"/>
            <w:right w:val="none" w:sz="0" w:space="0" w:color="auto"/>
          </w:divBdr>
        </w:div>
        <w:div w:id="1713263181">
          <w:marLeft w:val="0"/>
          <w:marRight w:val="0"/>
          <w:marTop w:val="120"/>
          <w:marBottom w:val="120"/>
          <w:divBdr>
            <w:top w:val="none" w:sz="0" w:space="0" w:color="auto"/>
            <w:left w:val="none" w:sz="0" w:space="0" w:color="auto"/>
            <w:bottom w:val="none" w:sz="0" w:space="0" w:color="auto"/>
            <w:right w:val="none" w:sz="0" w:space="0" w:color="auto"/>
          </w:divBdr>
        </w:div>
        <w:div w:id="70585233">
          <w:marLeft w:val="0"/>
          <w:marRight w:val="0"/>
          <w:marTop w:val="120"/>
          <w:marBottom w:val="120"/>
          <w:divBdr>
            <w:top w:val="none" w:sz="0" w:space="0" w:color="auto"/>
            <w:left w:val="none" w:sz="0" w:space="0" w:color="auto"/>
            <w:bottom w:val="none" w:sz="0" w:space="0" w:color="auto"/>
            <w:right w:val="none" w:sz="0" w:space="0" w:color="auto"/>
          </w:divBdr>
        </w:div>
        <w:div w:id="1443067826">
          <w:marLeft w:val="0"/>
          <w:marRight w:val="0"/>
          <w:marTop w:val="120"/>
          <w:marBottom w:val="120"/>
          <w:divBdr>
            <w:top w:val="none" w:sz="0" w:space="0" w:color="auto"/>
            <w:left w:val="none" w:sz="0" w:space="0" w:color="auto"/>
            <w:bottom w:val="none" w:sz="0" w:space="0" w:color="auto"/>
            <w:right w:val="none" w:sz="0" w:space="0" w:color="auto"/>
          </w:divBdr>
        </w:div>
        <w:div w:id="400055242">
          <w:marLeft w:val="0"/>
          <w:marRight w:val="0"/>
          <w:marTop w:val="120"/>
          <w:marBottom w:val="120"/>
          <w:divBdr>
            <w:top w:val="none" w:sz="0" w:space="0" w:color="auto"/>
            <w:left w:val="none" w:sz="0" w:space="0" w:color="auto"/>
            <w:bottom w:val="none" w:sz="0" w:space="0" w:color="auto"/>
            <w:right w:val="none" w:sz="0" w:space="0" w:color="auto"/>
          </w:divBdr>
        </w:div>
        <w:div w:id="1790590885">
          <w:marLeft w:val="0"/>
          <w:marRight w:val="0"/>
          <w:marTop w:val="120"/>
          <w:marBottom w:val="120"/>
          <w:divBdr>
            <w:top w:val="none" w:sz="0" w:space="0" w:color="auto"/>
            <w:left w:val="none" w:sz="0" w:space="0" w:color="auto"/>
            <w:bottom w:val="none" w:sz="0" w:space="0" w:color="auto"/>
            <w:right w:val="none" w:sz="0" w:space="0" w:color="auto"/>
          </w:divBdr>
        </w:div>
        <w:div w:id="969476142">
          <w:marLeft w:val="0"/>
          <w:marRight w:val="0"/>
          <w:marTop w:val="120"/>
          <w:marBottom w:val="120"/>
          <w:divBdr>
            <w:top w:val="none" w:sz="0" w:space="0" w:color="auto"/>
            <w:left w:val="none" w:sz="0" w:space="0" w:color="auto"/>
            <w:bottom w:val="none" w:sz="0" w:space="0" w:color="auto"/>
            <w:right w:val="none" w:sz="0" w:space="0" w:color="auto"/>
          </w:divBdr>
        </w:div>
        <w:div w:id="1500343886">
          <w:marLeft w:val="0"/>
          <w:marRight w:val="0"/>
          <w:marTop w:val="120"/>
          <w:marBottom w:val="120"/>
          <w:divBdr>
            <w:top w:val="none" w:sz="0" w:space="0" w:color="auto"/>
            <w:left w:val="none" w:sz="0" w:space="0" w:color="auto"/>
            <w:bottom w:val="none" w:sz="0" w:space="0" w:color="auto"/>
            <w:right w:val="none" w:sz="0" w:space="0" w:color="auto"/>
          </w:divBdr>
        </w:div>
      </w:divsChild>
    </w:div>
    <w:div w:id="1488545565">
      <w:bodyDiv w:val="1"/>
      <w:marLeft w:val="0"/>
      <w:marRight w:val="0"/>
      <w:marTop w:val="0"/>
      <w:marBottom w:val="0"/>
      <w:divBdr>
        <w:top w:val="none" w:sz="0" w:space="0" w:color="auto"/>
        <w:left w:val="none" w:sz="0" w:space="0" w:color="auto"/>
        <w:bottom w:val="none" w:sz="0" w:space="0" w:color="auto"/>
        <w:right w:val="none" w:sz="0" w:space="0" w:color="auto"/>
      </w:divBdr>
      <w:divsChild>
        <w:div w:id="1901593256">
          <w:marLeft w:val="0"/>
          <w:marRight w:val="0"/>
          <w:marTop w:val="120"/>
          <w:marBottom w:val="120"/>
          <w:divBdr>
            <w:top w:val="none" w:sz="0" w:space="0" w:color="auto"/>
            <w:left w:val="none" w:sz="0" w:space="0" w:color="auto"/>
            <w:bottom w:val="none" w:sz="0" w:space="0" w:color="auto"/>
            <w:right w:val="none" w:sz="0" w:space="0" w:color="auto"/>
          </w:divBdr>
        </w:div>
        <w:div w:id="2137482958">
          <w:marLeft w:val="0"/>
          <w:marRight w:val="0"/>
          <w:marTop w:val="120"/>
          <w:marBottom w:val="120"/>
          <w:divBdr>
            <w:top w:val="none" w:sz="0" w:space="0" w:color="auto"/>
            <w:left w:val="none" w:sz="0" w:space="0" w:color="auto"/>
            <w:bottom w:val="none" w:sz="0" w:space="0" w:color="auto"/>
            <w:right w:val="none" w:sz="0" w:space="0" w:color="auto"/>
          </w:divBdr>
        </w:div>
        <w:div w:id="496577581">
          <w:marLeft w:val="0"/>
          <w:marRight w:val="0"/>
          <w:marTop w:val="120"/>
          <w:marBottom w:val="120"/>
          <w:divBdr>
            <w:top w:val="none" w:sz="0" w:space="0" w:color="auto"/>
            <w:left w:val="none" w:sz="0" w:space="0" w:color="auto"/>
            <w:bottom w:val="none" w:sz="0" w:space="0" w:color="auto"/>
            <w:right w:val="none" w:sz="0" w:space="0" w:color="auto"/>
          </w:divBdr>
        </w:div>
      </w:divsChild>
    </w:div>
    <w:div w:id="1538006928">
      <w:bodyDiv w:val="1"/>
      <w:marLeft w:val="0"/>
      <w:marRight w:val="0"/>
      <w:marTop w:val="0"/>
      <w:marBottom w:val="0"/>
      <w:divBdr>
        <w:top w:val="none" w:sz="0" w:space="0" w:color="auto"/>
        <w:left w:val="none" w:sz="0" w:space="0" w:color="auto"/>
        <w:bottom w:val="none" w:sz="0" w:space="0" w:color="auto"/>
        <w:right w:val="none" w:sz="0" w:space="0" w:color="auto"/>
      </w:divBdr>
    </w:div>
    <w:div w:id="1574971469">
      <w:bodyDiv w:val="1"/>
      <w:marLeft w:val="0"/>
      <w:marRight w:val="0"/>
      <w:marTop w:val="0"/>
      <w:marBottom w:val="0"/>
      <w:divBdr>
        <w:top w:val="none" w:sz="0" w:space="0" w:color="auto"/>
        <w:left w:val="none" w:sz="0" w:space="0" w:color="auto"/>
        <w:bottom w:val="none" w:sz="0" w:space="0" w:color="auto"/>
        <w:right w:val="none" w:sz="0" w:space="0" w:color="auto"/>
      </w:divBdr>
      <w:divsChild>
        <w:div w:id="1736856868">
          <w:marLeft w:val="0"/>
          <w:marRight w:val="0"/>
          <w:marTop w:val="120"/>
          <w:marBottom w:val="12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6717953">
      <w:bodyDiv w:val="1"/>
      <w:marLeft w:val="0"/>
      <w:marRight w:val="0"/>
      <w:marTop w:val="0"/>
      <w:marBottom w:val="0"/>
      <w:divBdr>
        <w:top w:val="none" w:sz="0" w:space="0" w:color="auto"/>
        <w:left w:val="none" w:sz="0" w:space="0" w:color="auto"/>
        <w:bottom w:val="none" w:sz="0" w:space="0" w:color="auto"/>
        <w:right w:val="none" w:sz="0" w:space="0" w:color="auto"/>
      </w:divBdr>
      <w:divsChild>
        <w:div w:id="864556693">
          <w:marLeft w:val="0"/>
          <w:marRight w:val="0"/>
          <w:marTop w:val="120"/>
          <w:marBottom w:val="12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64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A514-60DE-4CFB-A185-76314D29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360</TotalTime>
  <Pages>10</Pages>
  <Words>16514</Words>
  <Characters>94133</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110427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379</cp:revision>
  <cp:lastPrinted>1999-07-06T11:00:00Z</cp:lastPrinted>
  <dcterms:created xsi:type="dcterms:W3CDTF">2014-10-25T14:34:00Z</dcterms:created>
  <dcterms:modified xsi:type="dcterms:W3CDTF">2025-11-21T10:29:00Z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06278da7-22dc-3611-88bc-6770e82bc274</vt:lpwstr>
  </property>
  <property fmtid="{D5CDD505-2E9C-101B-9397-08002B2CF9AE}" pid="24" name="Mendeley Citation Style_1">
    <vt:lpwstr>http://www.zotero.org/styles/apa</vt:lpwstr>
  </property>
</Properties>
</file>