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80F" w:rsidRDefault="00DB180F" w:rsidP="00DB180F">
      <w:pPr>
        <w:rPr>
          <w:rFonts w:ascii="Times New Roman" w:hAnsi="Times New Roman" w:cs="Times New Roman"/>
          <w:b/>
          <w:bCs/>
        </w:rPr>
      </w:pPr>
      <w:r w:rsidRPr="00EB6340">
        <w:rPr>
          <w:rFonts w:ascii="Times New Roman" w:hAnsi="Times New Roman" w:cs="Times New Roman"/>
          <w:b/>
          <w:bCs/>
        </w:rPr>
        <w:t>Identifying Genetic Markers and Molecular Pathways Underlying Emerging Anthelmintic Resistance in Human Helminths</w:t>
      </w:r>
    </w:p>
    <w:p w:rsidR="00C017B6" w:rsidRDefault="00C017B6" w:rsidP="00AD4C89">
      <w:pPr>
        <w:rPr>
          <w:rFonts w:ascii="Times New Roman" w:hAnsi="Times New Roman" w:cs="Times New Roman"/>
        </w:rPr>
      </w:pPr>
    </w:p>
    <w:p w:rsidR="007835DC" w:rsidRPr="00EB6340" w:rsidRDefault="007835DC" w:rsidP="007835DC">
      <w:pPr>
        <w:rPr>
          <w:rFonts w:ascii="Times New Roman" w:hAnsi="Times New Roman" w:cs="Times New Roman"/>
          <w:b/>
          <w:bCs/>
        </w:rPr>
      </w:pPr>
      <w:bookmarkStart w:id="0" w:name="_GoBack"/>
      <w:bookmarkEnd w:id="0"/>
      <w:r w:rsidRPr="00EB6340">
        <w:rPr>
          <w:rFonts w:ascii="Times New Roman" w:hAnsi="Times New Roman" w:cs="Times New Roman"/>
          <w:b/>
          <w:bCs/>
        </w:rPr>
        <w:t>Abstract</w:t>
      </w:r>
    </w:p>
    <w:p w:rsidR="007835DC" w:rsidRPr="00EB6340" w:rsidRDefault="007835DC" w:rsidP="007835DC">
      <w:pPr>
        <w:rPr>
          <w:rFonts w:ascii="Times New Roman" w:hAnsi="Times New Roman" w:cs="Times New Roman"/>
        </w:rPr>
      </w:pPr>
      <w:r w:rsidRPr="00EB6340">
        <w:rPr>
          <w:rFonts w:ascii="Times New Roman" w:hAnsi="Times New Roman" w:cs="Times New Roman"/>
        </w:rPr>
        <w:t xml:space="preserve">Helminth infections remain a major contributor to morbidity in low- and middle-income regions, despite decades of preventive chemotherapy campaigns. Current control strategies rely heavily on a limited repertoire of anthelmintic drug </w:t>
      </w:r>
      <w:r w:rsidR="00EB6340" w:rsidRPr="00EB6340">
        <w:rPr>
          <w:rFonts w:ascii="Times New Roman" w:hAnsi="Times New Roman" w:cs="Times New Roman"/>
        </w:rPr>
        <w:t>classes primarily</w:t>
      </w:r>
      <w:r w:rsidRPr="00EB6340">
        <w:rPr>
          <w:rFonts w:ascii="Times New Roman" w:hAnsi="Times New Roman" w:cs="Times New Roman"/>
        </w:rPr>
        <w:t xml:space="preserve"> benzimidazoles, macrocyclic lactones, and cholinergic agonists administered through repeated mass drug administration (MDA). This dependency has intensified selective pressure on parasite populations, raising growing concern over drug resistance that threatens future program effectiveness. Although well documented in veterinary helminths, resistance in human parasites is only beginning to be molecularly characterized. This review synthesizes current evidence on the genetic markers and biological pathways associated with emerging anthelmintic resistance in human helminths. We highlight β-tubulin polymorphisms linked to benzimidazole resistance, evolving changes in ligand-gated ion channels that affect macrocyclic lactone sensitivity, and upregulated efflux transporter systems that contribute to multidrug tolerance. We further examine transcriptomic and metabolomic pathways such as detoxification networks and epigenetic modifications that stabilize resistance phenotypes and offset fitness costs. Methodological advances in genomics, population genetics, and functional validation are accelerating early detection of resistance signals, though standardized surveillance frameworks remain underdeveloped. We discuss implications for public health, including vulnerabilities in MDA-based control programs, and outline emerging strategies such as molecular diagnostics, combination therapies, and genomic surveillance networks. As resistance indicators continue to surface across endemic settings, integrating molecular insights into policy and drug stewardship will be essential to sustain treatment efficacy and guide future anthelmintic development.</w:t>
      </w:r>
    </w:p>
    <w:p w:rsidR="000C5212" w:rsidRPr="00EB6340" w:rsidRDefault="000C5212" w:rsidP="000C5212">
      <w:pPr>
        <w:rPr>
          <w:rFonts w:ascii="Times New Roman" w:hAnsi="Times New Roman" w:cs="Times New Roman"/>
          <w:b/>
          <w:bCs/>
        </w:rPr>
      </w:pPr>
      <w:r w:rsidRPr="00EB6340">
        <w:rPr>
          <w:rFonts w:ascii="Times New Roman" w:hAnsi="Times New Roman" w:cs="Times New Roman"/>
          <w:b/>
          <w:bCs/>
        </w:rPr>
        <w:t xml:space="preserve">Keywords: </w:t>
      </w:r>
      <w:r w:rsidRPr="00EB6340">
        <w:rPr>
          <w:rFonts w:ascii="Times New Roman" w:hAnsi="Times New Roman" w:cs="Times New Roman"/>
        </w:rPr>
        <w:t>Anthelmintic resistance; Helminths; Benzimidazoles; β-tubulin polymorphisms; Macrocyclic lactones; Glutamate-gated chloride channels; ABC transporters; Molecular diagnostics; Mass drug administration; Genomic surveillance; Drug efficacy; Parasite evolution.</w:t>
      </w:r>
    </w:p>
    <w:p w:rsidR="000C5212" w:rsidRPr="00EB6340" w:rsidRDefault="000C5212" w:rsidP="007835DC">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1. Introduction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Human helminth infections remain among the most widespread neglected tropical diseases, disproportionately affecting populations in low- and middle-income countries. Soil-transmitted helminths such as </w:t>
      </w:r>
      <w:r w:rsidRPr="00EB6340">
        <w:rPr>
          <w:rFonts w:ascii="Times New Roman" w:hAnsi="Times New Roman" w:cs="Times New Roman"/>
          <w:i/>
          <w:iCs/>
        </w:rPr>
        <w:t>Ascaris lumbricoides</w:t>
      </w:r>
      <w:r w:rsidRPr="00EB6340">
        <w:rPr>
          <w:rFonts w:ascii="Times New Roman" w:hAnsi="Times New Roman" w:cs="Times New Roman"/>
        </w:rPr>
        <w:t xml:space="preserve">,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alongside tissue-dwelling species including </w:t>
      </w: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r w:rsidRPr="00EB6340">
        <w:rPr>
          <w:rFonts w:ascii="Times New Roman" w:hAnsi="Times New Roman" w:cs="Times New Roman"/>
        </w:rPr>
        <w:t xml:space="preserve"> and various filarial nematodes, collectively infect hundreds of millions of people worldwide. These infections contribute to chronic morbidity through malnutrition, anemia, impaired cognitive development, and reduced economic productivity. Despite notable progress in expanding preventive chemotherapy programs, </w:t>
      </w:r>
      <w:r w:rsidRPr="00EB6340">
        <w:rPr>
          <w:rFonts w:ascii="Times New Roman" w:hAnsi="Times New Roman" w:cs="Times New Roman"/>
        </w:rPr>
        <w:lastRenderedPageBreak/>
        <w:t>transmission persists in many endemic regions, underscoring the need for durable long-term control strategies</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{"citationID":"Vx8KzE43","properties":{"formattedCitation":"[1]","plainCitation":"[1]","noteIndex":0},"citationItems":[{"id":11851,"uris":["http://zotero.org/users/16652950/items/L5QMNNDB"],"itemData":{"id":11851,"type":"article-journal","abstract":"Background\nSoil-transmitted helminth (STH) infections are a significant public health concern in developing countries, particularly affecting children (5–9 years) and adolescents (10–12 years). This study investigated the prevalence of STH infections, examined associated risk factors, and assessed their impact on the nutritional status of children and adolescents.\n\nMethods\nAn analytical cross-sectional study was conducted within schools and took place from April to June 2023 and involved 382 participants in Calabar, Nigeria. All participants in the study completed a questionnaire designed to gather information on their demographics and knowledge, attitudes, and practices (KAP) regarding STH infections. Anthropometric measurements were taken according to World Health Organisation (WHO) standards. Fresh faecal samples were collected from each study participant and examined via the Kato-Katz technique. The data were analysed using STATA software, version 14. A binomial logistic regression model was used to identify predictors of STH infections and to examine the associations between STH infection status and stunting, underweight, and wasting.\n\nResults\nThe overall prevalence of STHs was 28.8%, with Ascaris lumbricoides (19.6%) being the most prevalent. The prevalence of STHs was greater among males (30.2%) than females (27.7%) and was relatively greater among participants aged 10 years and above (34.8%). All study participants recorded light infection intensities. The prevalence rates of stunting, underweight, and wasting were 10.5%, 8.4%, and 6.3%, respectively. Respondents with no history of deworming were significantly less likely to contract an STH infection (Odds Ratio: 0.2; 95% Confidence Interval: 0.1–0.4; P &lt; 0.001). The use of pit latrines was associated with a greater likelihood of STH infection (OR: 2.1; 95% CI: 1.3–3.4; P = 0.002). Additionally, respondents with poor attitude scores were significantly less likely to contract an STH infection (Adjusted Odds Ratio: 0.6; 95% CI: 0.4–0.8; P = 0.003), and those over 10 years old (OR: 0.1; 95% CI: 0.04–0.82; P = 0.027) were significantly less likely to be underweight than those aged 5–7 years. There was no association between stunting, underweight, wasting, and STH infection.\n\nConclusion\nThese findings highlight the necessity for an integrated approach to STH management and nutrition initiatives in Nigeria.","container-title":"BMC Public Health","DOI":"10.1186/s12889-024-21210-4","ISSN":"1471-2458","journalAbbreviation":"BMC Public Health","note":"PMID: 39743623\nPMCID: PMC11694370","page":"1","source":"PubMed Central","title":"Soil-transmitted helminth infections and nutritional indices among children (5–9 years) and adolescents (10–12 years) in Calabar, Nigeria","volume":"25","author":[{"family":"Usang","given":"Anok Ukam"},{"family":"Imalele","given":"Edema Enogiomwan"},{"family":"Effanga","given":"Emmanuel Offiong"},{"family":"Ukoha","given":"Ukoha Kalu"},{"family":"Eleng","given":"Ituna Emini"}],"issued":{"date-parts":[["2025",1,2]]}}}],"schema":"https://github.com/citation-style-language/schema/raw/master/csl-citation.json"}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global approach to helminth control relies heavily on a limited pharmacological arsenal, primarily benzimidazoles, macrocyclic lactones, and a small number of cholinergic agonists. Mass drug administration (MDA) campaigns, which aim to reduce community-wide worm burden, have intensified selection pressures on parasite populations by repeated reliance on the same drug classes. This restricted therapeutic diversity heightens the risk of developing drug resistance, a problem well documented in veterinary helminths and increasingly suspected in human parasites. Reports of declining cure rates, reduced egg reduction following treatment, and molecular evidence consistent with resistance-associated mutations have raised concern that similar patterns are emerging in human helminth populations</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{"citationID":"5WN5YJD4","properties":{"formattedCitation":"[2]","plainCitation":"[2]","noteIndex":0},"citationItems":[{"id":11854,"uris":["http://zotero.org/users/16652950/items/S9STZNZJ"],"itemData":{"id":11854,"type":"article-journal","abstract":"The most important soil-transmitted helminths (STHs) affecting humans are roundworms, whipworms, and hookworms, with a large proportion of the world's population infected with one or more of these intestinal parasites. On top of that, concurrent infections with several viruses, bacteria, protozoa, and other helminths such as trematodes are common in STH-endemic areas. STHs are potent immunomodulators, but knowledge about the effects of STH infection on the direction and extent of coinfections with other pathogens and vice versa is incomplete. By focusing on Kenya, a country where STH infections in humans are widespread, we provide an exemplary overview of the current prevalence of STH and co-occurring infections (e.g. with Human Immunodeficiency Virus, Plasmodium falciparum, Giardia duodenalis and Schistosoma mansoni). Using human data and complemented by experimental studies, we outline the immunomechanistic interactions of coinfections in both acutely STH transmigrated and chronically infected tissues, also highlighting their systemic nature. Depending on the coinfecting pathogen and immunological readout, STH infection may restrain, support, or even override the immune response to another pathogen. Furthermore, the timing of the particular infection and host susceptibility are decisive for the immunopathological consequences. Some examples demonstrated positive outcomes of STH coinfections, where the systemic effects of these helminths mitigate the damage caused by other pathogens. Nevertheless, the data available to date are rather unbalanced, as only a few studies have considered the effects of coinfection on the worm's life cycle and associated host immunity. These interactions are complex and depend largely on the context and biology of the coinfection, which can act in either direction, both to the benefit and detriment of the infected host.","container-title":"Frontiers in Parasitology","DOI":"10.3389/fpara.2023.1197956","ISSN":"2813-2424","journalAbbreviation":"Front. Parasitol.","language":"English","note":"publisher: Frontiers","source":"Frontiers","title":"Infection with soil-transmitted helminths and their impact on coinfections","URL":"https://www.frontiersin.org/journals/parasitology/articles/10.3389/fpara.2023.1197956/full","volume":"2","author":[{"family":"Schlosser-Brandenburg","given":"Josephine"},{"family":"Midha","given":"Ankur"},{"family":"Mugo","given":"Robert M."},{"family":"Ndombi","given":"Eric M."},{"family":"Gachara","given":"George"},{"family":"Njomo","given":"Doris"},{"family":"Rausch","given":"Sebastian"},{"family":"Hartmann","given":"Susanne"}],"accessed":{"date-parts":[["2025",12,8]]},"issued":{"date-parts":[["2023",5,24]]}}}],"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Understanding the genetic and molecular basis of anthelmintic resistance is therefore crucial for safeguarding the long-term efficacy of current treatment strategies. Identifying mutations in drug targets, elucidating pathways that modulate gene expression or metabolic detoxification, and characterizing mechanisms such as drug efflux can provide early warning indicators of reduced drug susceptibility. Such insights also support the development of improved diagnostics, more effective drug combinations, and surveillance systems capable of detecting resistance before widespread clinical failure occurs</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{"citationID":"uy1eXyIq","properties":{"formattedCitation":"[3]","plainCitation":"[3]","noteIndex":0},"citationItems":[{"id":11856,"uris":["http://zotero.org/users/16652950/items/HF2XAJXC"],"itemData":{"id":11856,"type":"article-journal","abstract":"Background\nAccording to the Global Burden of Disease (GBD) 2019 report, up to 1.5 million disability-adjusted life years (DALYs) are lost due to soil-transmitted helminths (STHs), and 5.9 million people are at risk of acquiring STHs. Regions with the highest prevalence of STH infections include Sub-Saharan Africa, China, South America, and Asia. While there are numerous fragmented studies on STH, comprehensive information on the prevalence and geographic distribution of different species, as well as their regional variations in the context of STHs is limited. The present systematic review and meta-analysis study attempts to provide a summary of the prevalence, geographical variation, and determinants of STHs among schoolchildren aged 5 to 18 years.\n\nMethods\nAn extensive literature search was carried out using PubMed, Embase, Cinhal, and Psychinfo for studies published between 1999 and 2022 that reported the rate of STH infection in school-going children aged 5–18 years. A random effects model was employed in this meta-analysis due to expected heterogeneity. Subgroup analysis was carried out based on sex and STH species because of expected geographical variation.\n\nResults\nA total of 19,725 of the 49,630 children examined were infected with STH, yielding an overall pooled prevalence of 37.16% (95% CI: 29.74–44.89). The prevalence was highest in the Western Pacific region at 50.41% (95% CI: 33.74–67.04) followed by Europe at 39.74% (95% CI: 20.40–61.0) and Africa at 37.10% (95% CI: 26.84–47.95). Ascaris lumbricoides was found to be the most prevalent helminth with a prevalence of 24.07% (95% CI: 17.07–31.83).\n\nConclusion\nThe Western Pacific region is classified as a High-risk Zone (HRZ), while Southeast Asia, Africa, Europe, and the Eastern Mediterranean are classified as moderate-risk zones (MRZs). We found a 12% reduction in the pooled prevalence of STH infection from 1999 to 2012. Ascaris lumbricoides was the predominant species among schoolchildren. Mass Drug Administration (MDA) of Albendazole tablets and improved water, sanitation, and hygiene (WASH) practices are effective in controlling and preventing STH. Ensuring their implementation and access is crucial to addressing the problem.\n\nSystematic review registration\nhttps://www.crd.york.ac.uk/prospero/#loginpage, CRD42022333341.","container-title":"Frontiers in Public Health","DOI":"10.3389/fpubh.2024.1283054","ISSN":"2296-2565","journalAbbreviation":"Front Public Health","note":"PMID: 38577281\nPMCID: PMC10991833","page":"1283054","source":"PubMed Central","title":"Prevalence and correlates of soil-transmitted helminths in schoolchildren aged 5 to 18 years in low- and middle-income countries: a systematic review and meta-analysis","title-short":"Prevalence and correlates of soil-transmitted helminths in schoolchildren aged 5 to 18 years in low- and middle-income countries","volume":"12","author":[{"family":"Agrawal","given":"Ritik"},{"family":"Pattnaik","given":"Sweta"},{"family":"Kshatri","given":"Jaya Singh"},{"family":"Kanungo","given":"Srikanta"},{"family":"Mandal","given":"Nityananda"},{"family":"Palo","given":"Subrata Kumar"},{"family":"Pati","given":"Sanghamitra"}],"issued":{"date-parts":[["2024",3,21]]}}}],"schema":"https://github.com/citation-style-language/schema/raw/master/csl-citation.json"}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[3]</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This paper reviews current knowledge on the genetic markers and molecular pathways implicated in emerging anthelmintic resistance in human helminths. It synthesizes evidence from genomic, transcriptomic, and population-level studies, and outlines the implications of these findings for public health, surveillance, and future drug development.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 Anthelmintic Drug Classes and Their Mechanisms of Action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macrocyclic lactones, and cholinergic agonists constitute the core of current anthelmintic therapy for human helminths. Each drug class acts on distinct molecular targets, yet all face the risk of diminishing efficacy as selective pressure increases through widespread use in mass drug administration (MDA)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2.1 Benzimidazoles</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including albendazole and mebendazole, exert their activity by binding to β-tubulin, a critical component of the parasite’s microtubule cytoskeleton. This binding disrupts microtubule assembly and compromises essential cellular processes such as nutrient uptake. Resistance in multiple helminth species has been linked to single-nucleotide polymorphisms (SNPs) in the β-tubulin gene, particularly at codons 167, 198, and 200. These mutations reduce drug–target affinity and are increasingly reported in human soil-transmitted helminths, mirroring well-established patterns observed in veterinary parasites</w:t>
      </w:r>
      <w:r w:rsidR="00E82B3A" w:rsidRPr="00EB6340">
        <w:rPr>
          <w:rFonts w:ascii="Times New Roman" w:hAnsi="Times New Roman" w:cs="Times New Roman"/>
        </w:rPr>
        <w:fldChar w:fldCharType="begin"/>
      </w:r>
      <w:r w:rsidR="00E6704E" w:rsidRPr="00EB6340">
        <w:rPr>
          <w:rFonts w:ascii="Times New Roman" w:hAnsi="Times New Roman" w:cs="Times New Roman"/>
        </w:rPr>
        <w:instrText xml:space="preserve"> ADDIN ZOTERO_ITEM CSL_CITATION {"citationID":"VUUakBI0","properties":{"formattedCitation":"[4]","plainCitation":"[4]","noteIndex":0},"citationItems":[{"id":11859,"uris":["http://zotero.org/users/16652950/items/QHZ4MDC7"],"itemData":{"id":11859,"type":"article-journal","abstract":"Parasitic nematode infections cause an enormous global burden to both humans and livestock. Resistance to the limited arsenal of anthelmintic drugs used to combat these infections is widespread, including benzimidazole (BZ) compounds. Previous studies using the free-living nematode Caenorhabditis elegans to model parasitic nematode resistance have shown that loss-of-function mutations in the beta-tubulin gene ben-1 confer resistance to BZ drugs. However, the mechanism of resistance and the tissue-specific susceptibility are not well known in any nematode species. To identify in which tissue(s) ben-1 function underlies BZ susceptibility, transgenic strains that express ben-1 in different tissues, including hypodermis, muscles, neurons, intestine, and ubiquitous expression were generated. High-throughput fitness assays were performed to measure and compare the quantitative responses to BZ compounds among different transgenic lines. Significant BZ susceptibility was observed in animals expressing ben-1 in neurons, comparable to expression using the ben-1 promoter. This result suggests that ben-1 function in neurons underlies susceptibility to BZ. Subsetting neuronal expression of ben-1 based on the neurotransmitter system further restricted ben-1 function in cholinergic neurons to cause BZ susceptibility. These results better inform our current understanding of the cellular mode of action of BZs and also suggest additional treatments that might potentiate the effects of BZs in neurons., Image 1, •Expressing wild-type ben-1 only in neurons restores susceptibility to benzimidazoles.•Expression of ben-1 in cholinergic neurons restores susceptibility to benzimidazoles.•GABAergic neurons might also play a role in benzimidazole sensitivity.•Broad implications for molecular mechanisms of benzimidazole mode of action.","container-title":"International Journal for Parasitology: Drugs and Drug Resistance","DOI":"10.1016/j.ijpddr.2022.10.004","ISSN":"2211-3207","journalAbbreviation":"Int J Parasitol Drugs Drug Resist","note":"PMID: 36332489\nPMCID: PMC9771835","page":"89-96","source":"PubMed Central","title":"Benzimidazoles cause lethality by inhibiting the function of Caenorhabditis elegans neuronal beta-tubulin","volume":"20","author":[{"family":"Gibson","given":"Sophia B."},{"family":"Ness-Cohn","given":"Elan"},{"family":"Andersen","given":"Erik C."}],"issued":{"date-parts":[["2022",10,29]]}}}],"schema":"https://github.com/citation-style-language/schema/raw/master/csl-citation.json"} </w:instrText>
      </w:r>
      <w:r w:rsidR="00E82B3A" w:rsidRPr="00EB6340">
        <w:rPr>
          <w:rFonts w:ascii="Times New Roman" w:hAnsi="Times New Roman" w:cs="Times New Roman"/>
        </w:rPr>
        <w:fldChar w:fldCharType="separate"/>
      </w:r>
      <w:r w:rsidR="00E6704E" w:rsidRPr="00EB6340">
        <w:rPr>
          <w:rFonts w:ascii="Times New Roman" w:hAnsi="Times New Roman" w:cs="Times New Roman"/>
        </w:rPr>
        <w:t>[4]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2.2 Macrocyclic Lactones</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Macrocyclic lactones, such as ivermectin, primarily target glutamate-gated chloride channels, leading to hyperpolarization and paralysis of the worm. Reduced susceptibility in human helminths has been inferred from declining treatment responses and early evidence of changes in ion-channel gene expression or subunit composition. Although definitive markers remain under investigation, observations from related nematodes strongly support the plausibility of emerging resistance</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{"citationID":"mnAXsJKP","properties":{"formattedCitation":"[5]","plainCitation":"[5]","noteIndex":0},"citationItems":[{"id":11862,"uris":["http://zotero.org/users/16652950/items/NPVXMLNZ"],"itemData":{"id":11862,"type":"article-journal","abstract":"Ion channels are specialized multimeric proteins that underlie cell excitability. These channels integrate with a variety of neuromuscular and biological functions. In nematodes, the physiological behaviors including locomotion, navigation, feeding and reproduction, are regulated by these protein entities. Majority of the antinematodal chemotherapeutics target the ion channels to disrupt essential biological functions. Here, we have summarized current advances in our understanding of nematode ion channel pharmacology. We review cys-loop ligand gated ion channels (LGICs), including nicotinic acetylcholine receptors (nAChRs), acetylcholine-chloride gated ion channels (ACCs), glutamate-gated chloride channels (GluCls), and GABA (γ-aminobutyric acid) receptors, and other ionotropic receptors (transient receptor potential (TRP) channels and potassium ion channels). We have provided an update on the pharmacological properties of these channels from various nematodes. This article catalogs the differences in ion channel composition and resulting pharmacology in the phylum Nematoda. This diversity in ion channel subunit repertoire and pharmacology emphasizes the importance of pursuing species-specific drug target research. In this review, we have provided an overview of recent advances in techniques and functional assays available for screening ion channel properties and their application., Image 1","container-title":"International Journal for Parasitology: Drugs and Drug Resistance","DOI":"10.1016/j.ijpddr.2021.12.001","ISSN":"2211-3207","journalAbbreviation":"Int J Parasitol Drugs Drug Resist","note":"PMID: 35149380\nPMCID: PMC8841521","page":"52-86","source":"PubMed Central","title":"Advances in our understanding of nematode ion channels as potential anthelmintic targets","volume":"18","author":[{"family":"Choudhary","given":"Shivani"},{"family":"Kashyap","given":"Sudhanva S."},{"family":"Martin","given":"Richard J."},{"family":"Robertson","given":"Alan P."}],"issued":{"date-parts":[["2021",12,25]]}}}],"schema":"https://github.com/citation-style-language/schema/raw/master/csl-citation.json"}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2.3 Nicotinic Acetylcholine Receptor Agonists and Other Drug Classes</w:t>
      </w:r>
    </w:p>
    <w:p w:rsidR="0059639A" w:rsidRPr="00EB6340" w:rsidRDefault="0059639A" w:rsidP="0059639A">
      <w:pPr>
        <w:rPr>
          <w:rFonts w:ascii="Times New Roman" w:hAnsi="Times New Roman" w:cs="Times New Roman"/>
        </w:rPr>
      </w:pPr>
      <w:r w:rsidRPr="00EB6340">
        <w:rPr>
          <w:rFonts w:ascii="Times New Roman" w:hAnsi="Times New Roman" w:cs="Times New Roman"/>
        </w:rPr>
        <w:t>Cholinergic agonists, including pyrantel, act by stimulating nicotinic acetylcholine receptors at the neuromuscular junction, causing sustained depolarization and paralysis. Their effectiveness varies across species, and limited evidence exists regarding resistance mechanisms in human helminths. Additional drug classes remain underutilized or have narrow spectra, further constraining therapeutic options</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{"citationID":"vcxPkj2i","properties":{"formattedCitation":"[6]","plainCitation":"[6]","noteIndex":0},"citationItems":[{"id":11865,"uris":["http://zotero.org/users/16652950/items/ACRS2KPU"],"itemData":{"id":11865,"type":"chapter","abstract":"Cholinergic receptors function in signal transduction of the somatic and autonomic nervous systems. The receptors are named because they become activated by the ligand acetylcholine. These receptors subdivide into nicotinic and muscarinic receptors, which are named secondary to separate activating ligands that contributed to their study. Nicotinic receptors are responsive to the agonist nicotine, while muscarinic receptors are responsive to muscarine.  The two receptors differ in function as ionotropic ligand-gated and G-protein coupled receptors, respectively. Nicotinic receptors function within the central nervous system and at the neuromuscular junction. While muscarinic receptors function in both the peripheral and central nervous systems, mediating innervation to visceral organs. The difference in signal transduction of the two receptor types confers separate physiological functions upon receptor activation. Furthermore, differences in receptor subtypes create unique implications for pharmacologic targets and pathogenesis of the disease.","call-number":"NBK526134","container-title":"StatPearls","event-place":"Treasure Island (FL)","language":"eng","license":"Copyright © 2025, StatPearls Publishing LLC.","note":"PMID: 30252390","publisher":"StatPearls Publishing","publisher-place":"Treasure Island (FL)","source":"PubMed","title":"Physiology, Cholinergic Receptors","URL":"http://www.ncbi.nlm.nih.gov/books/NBK526134/","author":[{"family":"Carlson","given":"Adlei B."},{"family":"Kraus","given":"Gregory P."}],"accessed":{"date-parts":[["2025",12,8]]},"issued":{"date-parts":[["2025"]]}}}],"schema":"https://github.com/citation-style-language/schema/raw/master/csl-citation.json"}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[6]</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2.4 Selective Pressures Created by MDA Programs</w:t>
      </w:r>
    </w:p>
    <w:p w:rsidR="00F133A4" w:rsidRDefault="0059639A" w:rsidP="0059639A">
      <w:pPr>
        <w:rPr>
          <w:rFonts w:ascii="Times New Roman" w:hAnsi="Times New Roman" w:cs="Times New Roman"/>
        </w:rPr>
      </w:pPr>
      <w:r w:rsidRPr="00EB6340">
        <w:rPr>
          <w:rFonts w:ascii="Times New Roman" w:hAnsi="Times New Roman" w:cs="Times New Roman"/>
        </w:rPr>
        <w:t xml:space="preserve">The repeated community-wide administration of the same drug classes intensifies evolutionary pressure on helminth populations. High-frequency exposure, often with suboptimal coverage, favors the survival and spread of resistant genotypes. As MDA continues to expand globally, understanding drug mechanisms and resistance markers becomes essential for sustaining treatment </w:t>
      </w:r>
      <w:proofErr w:type="spellStart"/>
      <w:r w:rsidRPr="00EB6340">
        <w:rPr>
          <w:rFonts w:ascii="Times New Roman" w:hAnsi="Times New Roman" w:cs="Times New Roman"/>
        </w:rPr>
        <w:t>efficacy.</w:t>
      </w:r>
      <w:r w:rsidR="00F133A4" w:rsidRPr="00EB6340">
        <w:rPr>
          <w:rFonts w:ascii="Times New Roman" w:hAnsi="Times New Roman" w:cs="Times New Roman"/>
        </w:rPr>
        <w:t>Figure</w:t>
      </w:r>
      <w:proofErr w:type="spellEnd"/>
      <w:r w:rsidR="00F133A4" w:rsidRPr="00EB6340">
        <w:rPr>
          <w:rFonts w:ascii="Times New Roman" w:hAnsi="Times New Roman" w:cs="Times New Roman"/>
        </w:rPr>
        <w:t xml:space="preserve"> 1 summarizes the mechanisms of action of the major anthelmintic drug classes discussed above and highlights the molecular targets associated with emerging resistance.</w:t>
      </w:r>
    </w:p>
    <w:p w:rsidR="00C37D4A" w:rsidRDefault="00C37D4A" w:rsidP="0059639A">
      <w:pPr>
        <w:rPr>
          <w:rFonts w:ascii="Times New Roman" w:hAnsi="Times New Roman" w:cs="Times New Roman"/>
        </w:rPr>
      </w:pPr>
    </w:p>
    <w:p w:rsidR="00C37D4A" w:rsidRDefault="00C37D4A" w:rsidP="0059639A">
      <w:pPr>
        <w:rPr>
          <w:rFonts w:ascii="Times New Roman" w:hAnsi="Times New Roman" w:cs="Times New Roman"/>
        </w:rPr>
      </w:pPr>
    </w:p>
    <w:p w:rsidR="00C37D4A" w:rsidRDefault="00C37D4A" w:rsidP="0059639A">
      <w:pPr>
        <w:rPr>
          <w:rFonts w:ascii="Times New Roman" w:hAnsi="Times New Roman" w:cs="Times New Roman"/>
        </w:rPr>
      </w:pPr>
    </w:p>
    <w:p w:rsidR="00C37D4A" w:rsidRDefault="00C37D4A" w:rsidP="0059639A">
      <w:pPr>
        <w:rPr>
          <w:rFonts w:ascii="Times New Roman" w:hAnsi="Times New Roman" w:cs="Times New Roman"/>
        </w:rPr>
      </w:pPr>
    </w:p>
    <w:p w:rsidR="00C37D4A" w:rsidRDefault="00C37D4A" w:rsidP="0059639A">
      <w:pPr>
        <w:rPr>
          <w:rFonts w:ascii="Times New Roman" w:hAnsi="Times New Roman" w:cs="Times New Roman"/>
        </w:rPr>
      </w:pPr>
    </w:p>
    <w:p w:rsidR="00C37D4A" w:rsidRDefault="00C37D4A" w:rsidP="0059639A">
      <w:pPr>
        <w:rPr>
          <w:rFonts w:ascii="Times New Roman" w:hAnsi="Times New Roman" w:cs="Times New Roman"/>
        </w:rPr>
      </w:pPr>
    </w:p>
    <w:p w:rsidR="00C37D4A" w:rsidRPr="00EB6340" w:rsidRDefault="00C37D4A" w:rsidP="00C37D4A">
      <w:pPr>
        <w:jc w:val="center"/>
        <w:rPr>
          <w:rFonts w:ascii="Times New Roman" w:hAnsi="Times New Roman" w:cs="Times New Roman"/>
        </w:rPr>
      </w:pPr>
      <w:r>
        <w:rPr>
          <w:rFonts w:ascii="Times New Roman" w:hAnsi="Times New Roman" w:cs="Times New Roman"/>
        </w:rPr>
        <w:t>Figure 1.</w:t>
      </w:r>
    </w:p>
    <w:p w:rsidR="00F133A4" w:rsidRPr="00EB6340" w:rsidRDefault="00F133A4" w:rsidP="0059639A">
      <w:pPr>
        <w:rPr>
          <w:rFonts w:ascii="Times New Roman" w:hAnsi="Times New Roman" w:cs="Times New Roman"/>
        </w:rPr>
      </w:pPr>
      <w:r w:rsidRPr="00EB6340">
        <w:rPr>
          <w:rFonts w:ascii="Times New Roman" w:hAnsi="Times New Roman" w:cs="Times New Roman"/>
          <w:noProof/>
        </w:rPr>
        <w:lastRenderedPageBreak/>
        <w:drawing>
          <wp:inline distT="0" distB="0" distL="0" distR="0">
            <wp:extent cx="5943600" cy="3962400"/>
            <wp:effectExtent l="0" t="0" r="0" b="0"/>
            <wp:docPr id="17516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4652" name="Picture 17516346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133A4" w:rsidRPr="00EB6340" w:rsidRDefault="00F133A4" w:rsidP="0059639A">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 Genetic Markers Associated With Anthelmintic Resistance</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appears to be driven by a combination of target-site mutations, altered gene regulation, and enhanced protective pathways that collectively reduce drug susceptibility. Although the molecular evidence is still developing compared with the extensive data available for veterinary parasites, several genetic markers have gained prominence as potential indicators of resistance</w:t>
      </w:r>
      <w:r w:rsidR="00E82B3A" w:rsidRPr="00EB6340">
        <w:rPr>
          <w:rFonts w:ascii="Times New Roman" w:hAnsi="Times New Roman" w:cs="Times New Roman"/>
        </w:rPr>
        <w:fldChar w:fldCharType="begin"/>
      </w:r>
      <w:r w:rsidR="005F37DD" w:rsidRPr="00EB6340">
        <w:rPr>
          <w:rFonts w:ascii="Times New Roman" w:hAnsi="Times New Roman" w:cs="Times New Roman"/>
        </w:rPr>
        <w:instrText xml:space="preserve"> ADDIN ZOTERO_ITEM CSL_CITATION {"citationID":"aBRXkXQY","properties":{"formattedCitation":"[7]","plainCitation":"[7]","noteIndex":0},"citationItems":[{"id":11868,"uris":["http://zotero.org/users/16652950/items/47HFYHL4"],"itemData":{"id":11868,"type":"article-journal","abstract":"Helminths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5F37DD"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3.1 β-Tubulin Polymorphisms</w:t>
      </w:r>
    </w:p>
    <w:p w:rsidR="0059639A" w:rsidRPr="00EB6340" w:rsidRDefault="0059639A" w:rsidP="0059639A">
      <w:pPr>
        <w:rPr>
          <w:rFonts w:ascii="Times New Roman" w:hAnsi="Times New Roman" w:cs="Times New Roman"/>
        </w:rPr>
      </w:pPr>
      <w:r w:rsidRPr="00EB6340">
        <w:rPr>
          <w:rFonts w:ascii="Times New Roman" w:hAnsi="Times New Roman" w:cs="Times New Roman"/>
        </w:rPr>
        <w:t>Mutations in the β-tubulin gene remain the most widely studied markers of benzimidazole resistance. Three single-nucleotide polymorphisms—</w:t>
      </w:r>
      <w:r w:rsidRPr="00EB6340">
        <w:rPr>
          <w:rFonts w:ascii="Times New Roman" w:hAnsi="Times New Roman" w:cs="Times New Roman"/>
          <w:b/>
          <w:bCs/>
        </w:rPr>
        <w:t>F167Y, E198A, and F200Y</w:t>
      </w:r>
      <w:r w:rsidRPr="00EB6340">
        <w:rPr>
          <w:rFonts w:ascii="Times New Roman" w:hAnsi="Times New Roman" w:cs="Times New Roman"/>
        </w:rPr>
        <w:t xml:space="preserve">—have been repeatedly implicated in reduced benzimidazole efficacy. These polymorphisms alter amino acid residues in the drug-binding domain, diminishing the interaction between benzimidazoles and β-tubulin. Evidence from multiple endemic regions suggests </w:t>
      </w:r>
      <w:r w:rsidRPr="00EB6340">
        <w:rPr>
          <w:rFonts w:ascii="Times New Roman" w:hAnsi="Times New Roman" w:cs="Times New Roman"/>
          <w:b/>
          <w:bCs/>
        </w:rPr>
        <w:t>parallel evolution</w:t>
      </w:r>
      <w:r w:rsidRPr="00EB6340">
        <w:rPr>
          <w:rFonts w:ascii="Times New Roman" w:hAnsi="Times New Roman" w:cs="Times New Roman"/>
        </w:rPr>
        <w:t xml:space="preserve"> of these mutations in human soil-transmitted helminths, particularly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mirroring patterns long recognized in livestock nematodes. Field studies report </w:t>
      </w:r>
      <w:r w:rsidRPr="00EB6340">
        <w:rPr>
          <w:rFonts w:ascii="Times New Roman" w:hAnsi="Times New Roman" w:cs="Times New Roman"/>
          <w:b/>
          <w:bCs/>
        </w:rPr>
        <w:t>population-level variation in allele frequencies</w:t>
      </w:r>
      <w:r w:rsidRPr="00EB6340">
        <w:rPr>
          <w:rFonts w:ascii="Times New Roman" w:hAnsi="Times New Roman" w:cs="Times New Roman"/>
        </w:rPr>
        <w:t xml:space="preserve">, with some communities showing low prevalence of resistance-associated alleles, while others demonstrate substantial increases following repeated rounds of mass drug administration (MDA). Although the presence of these SNPs does not always correlate perfectly </w:t>
      </w:r>
      <w:r w:rsidRPr="00EB6340">
        <w:rPr>
          <w:rFonts w:ascii="Times New Roman" w:hAnsi="Times New Roman" w:cs="Times New Roman"/>
        </w:rPr>
        <w:lastRenderedPageBreak/>
        <w:t>with treatment failure, their rising frequency is considered an important early warning sign of emerging resistance</w:t>
      </w:r>
      <w:r w:rsidR="00E82B3A" w:rsidRPr="00EB6340">
        <w:rPr>
          <w:rFonts w:ascii="Times New Roman" w:hAnsi="Times New Roman" w:cs="Times New Roman"/>
        </w:rPr>
        <w:fldChar w:fldCharType="begin"/>
      </w:r>
      <w:r w:rsidR="00784448" w:rsidRPr="00EB6340">
        <w:rPr>
          <w:rFonts w:ascii="Times New Roman" w:hAnsi="Times New Roman" w:cs="Times New Roman"/>
        </w:rPr>
        <w:instrText xml:space="preserve"> ADDIN ZOTERO_ITEM CSL_CITATION {"citationID":"nHNOAfXb","properties":{"formattedCitation":"[8]","plainCitation":"[8]","noteIndex":0},"citationItems":[{"id":11871,"uris":["http://zotero.org/users/16652950/items/SUZXXLXP"],"itemData":{"id":11871,"type":"article-journal","abstract":"There is a growing number of reports on the occurrence of benzimidazole resistance-associated single nucleotide polymorphisms (SNPs) in the β-tubulin isotype 1 gene of various helminths of veterinary, and public health concerns. However, a comprehensive analysis of their occurrence, and their contributions to conferring benzimidazole resistance among hookworms has yet to be done. The objectives of this systematic review are to summarize and synthesize peer-reviewed evidence on the occurrence of these resistance-associated mutations in hookworms, document their geographical distribution, and assess their contributions to conferring phenotypic resistance. Three databases were systematically searched using specific keywords. Research that assessed the occurrence of benzimidazole resistance-associated SNPs in hookworms, papers that reported the geographical distribution of these SNPs, and studies that investigated the SNPs' resistance-associated phenotypic effects were included in the review. Research that was not done in hookworms, papers not in the English language, and literature reviews and book chapters were excluded. Critical appraisal checklists were used to determine the risk of bias in the selected papers. Data were extracted from the selected studies and analyzed. PROSPERO Systematic Review Protocol Registration No.: CRD42024510924. A total of 29 studies were included and analyzed. Of these, four were conducted in a laboratory setting, eight described the development and validation of SNP detection methods, and the remaining 17 involved field research. Seven SNP-induced amino acid substitutions at four loci were reported among several hookworm species: Q134H, F167Y, E198A, E198K, E198V, F200Y, and F200L. SNPs have been reported in isolates occurring in the United States, Canada, Brazil, Haiti, Australia, New Zealand, Kenya, Ghana, Mozambique, and Tanzania. Resistance mutations have not been reported in Asia. E198A and F200L were reported in Ancylostoma ceylanicum with laboratory-induced resistance. F167Y and Q134H conferred resistance in A. caninum, as revealed by in vitro investigations and field assessments. There is insufficient peer-reviewed evidence to prove the association between SNP occurrence and resistance. Mutations in the β-tubulin isotype 1 gene confer benzimidazole resistance in A. caninum and A. ceylanicum, but similar evidence is lacking for other human hookworms. Understanding benzimidazole resistance through further research can better inform treatment, prevention, and control strategies.","container-title":"Parasitology Research","DOI":"10.1007/s00436-024-08432-6","ISSN":"1432-1955","issue":"12","journalAbbreviation":"Parasitol Res","language":"eng","note":"PMID: 39652258","page":"405","source":"PubMed","title":"Benzimidazole Resistance-Associated Mutations in the β-tubulin Gene of Hookworms: A Systematic Review","title-short":"Benzimidazole Resistance-Associated Mutations in the β-tubulin Gene of Hookworms","volume":"123","author":[{"family":"Tenorio","given":"Jan Clyden B."},{"family":"Heikal","given":"Muhammad Fikri"},{"family":"Kafle","given":"Alok"},{"family":"Saichua","given":"Prasert"},{"family":"Suttiprapa","given":"Sutas"}],"issued":{"date-parts":[["2024",12,9]]}}}],"schema":"https://github.com/citation-style-language/schema/raw/master/csl-citation.json"} </w:instrText>
      </w:r>
      <w:r w:rsidR="00E82B3A" w:rsidRPr="00EB6340">
        <w:rPr>
          <w:rFonts w:ascii="Times New Roman" w:hAnsi="Times New Roman" w:cs="Times New Roman"/>
        </w:rPr>
        <w:fldChar w:fldCharType="separate"/>
      </w:r>
      <w:r w:rsidR="00784448" w:rsidRPr="00EB6340">
        <w:rPr>
          <w:rFonts w:ascii="Times New Roman" w:hAnsi="Times New Roman" w:cs="Times New Roman"/>
        </w:rPr>
        <w:t>[8]</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3.2 Mutations and Regulation of Ligand-Gated Ion Channels</w:t>
      </w:r>
    </w:p>
    <w:p w:rsidR="0059639A" w:rsidRPr="00EB6340" w:rsidRDefault="0059639A" w:rsidP="0059639A">
      <w:pPr>
        <w:rPr>
          <w:rFonts w:ascii="Times New Roman" w:hAnsi="Times New Roman" w:cs="Times New Roman"/>
        </w:rPr>
      </w:pPr>
      <w:r w:rsidRPr="00EB6340">
        <w:rPr>
          <w:rFonts w:ascii="Times New Roman" w:hAnsi="Times New Roman" w:cs="Times New Roman"/>
        </w:rPr>
        <w:t>Macrocyclic lactones such as ivermectin target glutamate-gated chloride channels (</w:t>
      </w: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and alterations in these channels have been associated with reduced responsiveness. Potential resistance mechanisms include </w:t>
      </w:r>
      <w:r w:rsidRPr="00EB6340">
        <w:rPr>
          <w:rFonts w:ascii="Times New Roman" w:hAnsi="Times New Roman" w:cs="Times New Roman"/>
          <w:b/>
          <w:bCs/>
        </w:rPr>
        <w:t>changes in subunit composition</w:t>
      </w:r>
      <w:r w:rsidRPr="00EB6340">
        <w:rPr>
          <w:rFonts w:ascii="Times New Roman" w:hAnsi="Times New Roman" w:cs="Times New Roman"/>
        </w:rPr>
        <w:t xml:space="preserve">, </w:t>
      </w:r>
      <w:r w:rsidRPr="00EB6340">
        <w:rPr>
          <w:rFonts w:ascii="Times New Roman" w:hAnsi="Times New Roman" w:cs="Times New Roman"/>
          <w:b/>
          <w:bCs/>
        </w:rPr>
        <w:t>structural variants affecting channel gating</w:t>
      </w:r>
      <w:r w:rsidRPr="00EB6340">
        <w:rPr>
          <w:rFonts w:ascii="Times New Roman" w:hAnsi="Times New Roman" w:cs="Times New Roman"/>
        </w:rPr>
        <w:t xml:space="preserve">, and </w:t>
      </w:r>
      <w:r w:rsidRPr="00EB6340">
        <w:rPr>
          <w:rFonts w:ascii="Times New Roman" w:hAnsi="Times New Roman" w:cs="Times New Roman"/>
          <w:b/>
          <w:bCs/>
        </w:rPr>
        <w:t xml:space="preserve">downregulation of genes encoding </w:t>
      </w:r>
      <w:proofErr w:type="spellStart"/>
      <w:r w:rsidRPr="00EB6340">
        <w:rPr>
          <w:rFonts w:ascii="Times New Roman" w:hAnsi="Times New Roman" w:cs="Times New Roman"/>
          <w:b/>
          <w:bCs/>
        </w:rPr>
        <w:t>GluCl</w:t>
      </w:r>
      <w:proofErr w:type="spellEnd"/>
      <w:r w:rsidRPr="00EB6340">
        <w:rPr>
          <w:rFonts w:ascii="Times New Roman" w:hAnsi="Times New Roman" w:cs="Times New Roman"/>
          <w:b/>
          <w:bCs/>
        </w:rPr>
        <w:t xml:space="preserve"> receptors</w:t>
      </w:r>
      <w:r w:rsidRPr="00EB6340">
        <w:rPr>
          <w:rFonts w:ascii="Times New Roman" w:hAnsi="Times New Roman" w:cs="Times New Roman"/>
        </w:rPr>
        <w:t xml:space="preserve">. While definitive causal mutations have not yet been unequivocally validated in human helminths, transcriptomic studies indicate that some populations exhibit altered expression patterns consistent with reduced channel sensitivity. These changes may decrease the efficacy of ivermectin-induced hyperpolarization, contributing to the </w:t>
      </w:r>
      <w:r w:rsidRPr="00EB6340">
        <w:rPr>
          <w:rFonts w:ascii="Times New Roman" w:hAnsi="Times New Roman" w:cs="Times New Roman"/>
          <w:b/>
          <w:bCs/>
        </w:rPr>
        <w:t>gradual erosion of treatment effectiveness</w:t>
      </w:r>
      <w:r w:rsidRPr="00EB6340">
        <w:rPr>
          <w:rFonts w:ascii="Times New Roman" w:hAnsi="Times New Roman" w:cs="Times New Roman"/>
        </w:rPr>
        <w:t xml:space="preserve"> observed in several endemic settings</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{"citationID":"CBsNpMki","properties":{"formattedCitation":"[9]","plainCitation":"[9]","noteIndex":0},"citationItems":[{"id":11873,"uris":["http://zotero.org/users/16652950/items/GBJJFET6"],"itemData":{"id":11873,"type":"article-journal","abstract":"The macrocyclic lactones are the biggest selling and arguably most effective anthelmintics currently available. They are good substrates for the P-glycoproteins, which might explain their selective toxicity for parasites over their vertebrate hosts. Changes in the expression of these pumps have been implicated in resistance to the macrocyclic lactones, but it is clear that they exert their anthelmintic effects by binding to glutamate-gated chloride channels expressed on nematode neurones and pharyngeal muscle cells. This effect is quite distinct from the channel opening induced by glutamate, the endogenous transmitter acting at these receptors, which produces rapidly opening and desensitising channels. Ivermectin-activated channels open very slowly but essentially irreversibly, leading to a very long-lasting hyperpolarisation or depolarisation of the neurone or muscle cell and therefore blocking further function. Molecular and genetic studies have shown that there are multiple GluCl isoforms in both free-living and parasitic nematodes: the exact genetic make-up and functions of the GluCl may vary between species. The known expression patterns of the GluCl explain most of the observed biological effects of treatment with the macrocyclic lactones, though the reason for the long-lasting inhibition of larval production in filarial species is still poorly understood.","container-title":"Parasitology","DOI":"10.1017/S0031182005008218","ISSN":"1469-8161, 0031-1820","issue":"S1","language":"en","page":"S85-S95","source":"Cambridge University Press","title":"Glutamate-gated chloride channels and the mode of action of the avermectin/milbemycin anthelmintics","volume":"131","author":[{"family":"Wolstenholme","given":"A. J."},{"family":"Rogers","given":"A. T."}],"issued":{"date-parts":[["2005",10]]}}}],"schema":"https://github.com/citation-style-language/schema/raw/master/csl-citation.json"}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3.3 Efflux Transporters (ABC Transporters)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Another important class of candidate markers involves </w:t>
      </w:r>
      <w:r w:rsidRPr="00EB6340">
        <w:rPr>
          <w:rFonts w:ascii="Times New Roman" w:hAnsi="Times New Roman" w:cs="Times New Roman"/>
          <w:b/>
          <w:bCs/>
        </w:rPr>
        <w:t>ATP-binding cassette (ABC) transporters</w:t>
      </w:r>
      <w:r w:rsidRPr="00EB6340">
        <w:rPr>
          <w:rFonts w:ascii="Times New Roman" w:hAnsi="Times New Roman" w:cs="Times New Roman"/>
        </w:rPr>
        <w:t>, particularly P-glycoproteins (</w:t>
      </w:r>
      <w:proofErr w:type="spellStart"/>
      <w:r w:rsidRPr="00EB6340">
        <w:rPr>
          <w:rFonts w:ascii="Times New Roman" w:hAnsi="Times New Roman" w:cs="Times New Roman"/>
        </w:rPr>
        <w:t>Pgp</w:t>
      </w:r>
      <w:proofErr w:type="spellEnd"/>
      <w:r w:rsidRPr="00EB6340">
        <w:rPr>
          <w:rFonts w:ascii="Times New Roman" w:hAnsi="Times New Roman" w:cs="Times New Roman"/>
        </w:rPr>
        <w:t xml:space="preserve">). Upregulation of these transporters can enhance drug efflux, thereby reducing intracellular drug concentrations. Genomic and transcriptomic analyses from both model nematodes and human helminths have identified </w:t>
      </w:r>
      <w:r w:rsidRPr="00EB6340">
        <w:rPr>
          <w:rFonts w:ascii="Times New Roman" w:hAnsi="Times New Roman" w:cs="Times New Roman"/>
          <w:b/>
          <w:bCs/>
        </w:rPr>
        <w:t xml:space="preserve">elevated expression of </w:t>
      </w:r>
      <w:proofErr w:type="spellStart"/>
      <w:r w:rsidRPr="00EB6340">
        <w:rPr>
          <w:rFonts w:ascii="Times New Roman" w:hAnsi="Times New Roman" w:cs="Times New Roman"/>
          <w:b/>
          <w:bCs/>
        </w:rPr>
        <w:t>Pgp</w:t>
      </w:r>
      <w:proofErr w:type="spellEnd"/>
      <w:r w:rsidRPr="00EB6340">
        <w:rPr>
          <w:rFonts w:ascii="Times New Roman" w:hAnsi="Times New Roman" w:cs="Times New Roman"/>
          <w:b/>
          <w:bCs/>
        </w:rPr>
        <w:t xml:space="preserve"> genes</w:t>
      </w:r>
      <w:r w:rsidRPr="00EB6340">
        <w:rPr>
          <w:rFonts w:ascii="Times New Roman" w:hAnsi="Times New Roman" w:cs="Times New Roman"/>
        </w:rPr>
        <w:t xml:space="preserve"> in populations with suspected reduced susceptibility. Such transporters may contribute to </w:t>
      </w:r>
      <w:r w:rsidRPr="00EB6340">
        <w:rPr>
          <w:rFonts w:ascii="Times New Roman" w:hAnsi="Times New Roman" w:cs="Times New Roman"/>
          <w:b/>
          <w:bCs/>
        </w:rPr>
        <w:t>multi-drug resistance</w:t>
      </w:r>
      <w:r w:rsidRPr="00EB6340">
        <w:rPr>
          <w:rFonts w:ascii="Times New Roman" w:hAnsi="Times New Roman" w:cs="Times New Roman"/>
        </w:rPr>
        <w:t>, given their broad substrate range and ability to decrease the effective concentration of structurally diverse anthelmintics</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{"citationID":"xh0o5MOm","properties":{"formattedCitation":"[10]","plainCitation":"[10]","noteIndex":0},"citationItems":[{"id":11874,"uris":["http://zotero.org/users/16652950/items/UQTYY7N9"],"itemData":{"id":11874,"type":"article-journal","abstract":"The ATP-binding cassette (ABC) transporter superfamily, one of the largest membrane protein families, plays a crucial role in multidrug resistance (MD...","container-title":"International Journal of Translational Medicine","DOI":"10.3390/ijtm5010006","ISSN":"2673-8937","issue":"1","language":"en","license":"http://creativecommons.org/licenses/by/3.0/","note":"Company: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publisher","source":"www.mdpi.com","title":"Emerging Strategies to Overcome Chemoresistance: Structural Insights and Therapeutic Targeting of Multidrug Resistance-Linked ATP-Binding Cassette Transporters","title-short":"Emerging Strategies to Overcome Chemoresistance","URL":"https://www.mdpi.com/2673-8937/5/1/6","volume":"5","author":[{"family":"Nagampalli","given":"Raghavendra Sashi Krishna"},{"family":"Vadla","given":"Gangadhar P."},{"family":"Nadendla","given":"Eswar Kumar"},{"family":"Nagampalli","given":"Raghavendra Sashi Krishna"},{"family":"Vadla","given":"Gangadhar P."},{"family":"Nadendla","given":"Eswar Kumar"}],"accessed":{"date-parts":[["2025",12,8]]},"issued":{"date-parts":[["2025",1,9]]}}}],"schema":"https://github.com/citation-style-language/schema/raw/master/csl-citation.json"}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[10]</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3.4 Other Candidate Genetic Markers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growing number of additional molecular markers are under investigation. </w:t>
      </w:r>
      <w:r w:rsidRPr="00EB6340">
        <w:rPr>
          <w:rFonts w:ascii="Times New Roman" w:hAnsi="Times New Roman" w:cs="Times New Roman"/>
          <w:b/>
          <w:bCs/>
        </w:rPr>
        <w:t>Detoxification enzyme families</w:t>
      </w:r>
      <w:r w:rsidRPr="00EB6340">
        <w:rPr>
          <w:rFonts w:ascii="Times New Roman" w:hAnsi="Times New Roman" w:cs="Times New Roman"/>
        </w:rPr>
        <w:t>, including cytochrome P450s and glutathione-related enzymes, may play roles in metabolic drug breakdown</w:t>
      </w:r>
      <w:r w:rsidR="00E82B3A">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{"citationID":"v84vLbd1","properties":{"formattedCitation":"[11]","plainCitation":"[11]","noteIndex":0},"citationItems":[{"id":11353,"uris":["http://zotero.org/users/16652950/items/F2S6AR5Y"],"itemData":{"id":11353,"type":"article-journal","abstract":"The outbreak of cholera in Nigeria represents a significant public health challenge, worsened by factors such as poor sanitation, inadequate clean water supply, and climate variability. This study explores multiple approaches required to address this epidemic through the lens of the One Health framework, which recognizes the interconnection between human, animal, and environmental health. Integrating epidemiological data, environmental studies, and veterinary science, the One Health approach offers a holistic strategy to combat cholera. This study examines the current cholera outbreak in Nigeria, identifying key contributing factors and evaluating the effectiveness of One Health interventions. The findings underscore the importance of collaborative efforts across sectors, including improved water, sanitation, and hygiene (WASH) practices, robust surveillance systems, and community engagement. Additionally, the study highlights the role of climate change in increasing cholera outbreaks and the necessity of incorporating environmental health strategies into public health planning. The One Health approach not only enhances understanding of cholera dynamics but also promotes sustainable solutions to prevent future outbreaks, ultimately contributing to the broader goal of global health security.","container-title":"Discover Public Health","DOI":"10.1186/s12982-025-00526-5","ISSN":"3005-0774","issue":"1","journalAbbreviation":"Discov Public Health","language":"en","page":"125","source":"Springer Link","title":"Outbreak of cholera in Nigeria: the role of One Health","title-short":"Outbreak of cholera in Nigeria","volume":"22","author":[{"family":"Aborode","given":"Abdullahi Tunde"},{"family":"Adesola","given":"Ridwan Olamilekan"},{"family":"Onifade","given":"Isreal Ayobami"},{"family":"Adesiyan","given":"Raphael"},{"family":"Ibiam","given":"Victor Akachukwu"},{"family":"Jinadu","given":"Noimat Abeni"},{"family":"Bakre","given":"Adetolase Azizat"}],"issued":{"date-parts":[["2025",3,31]]}}}],"schema":"https://github.com/citation-style-language/schema/raw/master/csl-citation.json"} </w:instrText>
      </w:r>
      <w:r w:rsidR="00E82B3A">
        <w:rPr>
          <w:rFonts w:ascii="Times New Roman" w:hAnsi="Times New Roman" w:cs="Times New Roman"/>
        </w:rPr>
        <w:fldChar w:fldCharType="separate"/>
      </w:r>
      <w:r w:rsidR="00C758D7" w:rsidRPr="00C758D7">
        <w:rPr>
          <w:rFonts w:ascii="Times New Roman" w:hAnsi="Times New Roman" w:cs="Times New Roman"/>
        </w:rPr>
        <w:t>[11]</w:t>
      </w:r>
      <w:r w:rsidR="00E82B3A">
        <w:rPr>
          <w:rFonts w:ascii="Times New Roman" w:hAnsi="Times New Roman" w:cs="Times New Roman"/>
        </w:rPr>
        <w:fldChar w:fldCharType="end"/>
      </w:r>
      <w:r w:rsidRPr="00EB6340">
        <w:rPr>
          <w:rFonts w:ascii="Times New Roman" w:hAnsi="Times New Roman" w:cs="Times New Roman"/>
        </w:rPr>
        <w:t xml:space="preserve">. </w:t>
      </w:r>
      <w:r w:rsidRPr="00EB6340">
        <w:rPr>
          <w:rFonts w:ascii="Times New Roman" w:hAnsi="Times New Roman" w:cs="Times New Roman"/>
          <w:b/>
          <w:bCs/>
        </w:rPr>
        <w:t>Polymorphisms in regulatory regions</w:t>
      </w:r>
      <w:r w:rsidRPr="00EB6340">
        <w:rPr>
          <w:rFonts w:ascii="Times New Roman" w:hAnsi="Times New Roman" w:cs="Times New Roman"/>
        </w:rPr>
        <w:t xml:space="preserve"> could influence gene expression related to drug response, although the functional significance of many such variants remains unclear. Emerging interest also surrounds </w:t>
      </w:r>
      <w:r w:rsidRPr="00EB6340">
        <w:rPr>
          <w:rFonts w:ascii="Times New Roman" w:hAnsi="Times New Roman" w:cs="Times New Roman"/>
          <w:b/>
          <w:bCs/>
        </w:rPr>
        <w:t>mitochondrial markers</w:t>
      </w:r>
      <w:r w:rsidRPr="00EB6340">
        <w:rPr>
          <w:rFonts w:ascii="Times New Roman" w:hAnsi="Times New Roman" w:cs="Times New Roman"/>
        </w:rPr>
        <w:t>, which may capture population bottlenecks, selective sweeps, or lineage-specific susceptibility patterns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{"citationID":"YijYrSkf","properties":{"formattedCitation":"[12]","plainCitation":"[12]","noteIndex":0},"citationItems":[{"id":11876,"uris":["http://zotero.org/users/16652950/items/33D4VK66"],"itemData":{"id":11876,"type":"article-journal","abstract":"Cytochrome P450 (CYP450) is a group of enzymes that play an essential role in Phase I metabolism, with 57 functional genes classified into 18 families...","container-title":"Biomedicines","DOI":"10.3390/biomedicines12071467","ISSN":"2227-9059","issue":"7","language":"en","license":"http://creativecommons.org/licenses/by/3.0/","note":"Company: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publisher","source":"www.mdpi.com","title":"Decoding the Role of CYP450 Enzymes in Metabolism and Disease: A Comprehensive Review","title-short":"Decoding the Role of CYP450 Enzymes in Metabolism and Disease","URL":"https://www.mdpi.com/2227-9059/12/7/1467","volume":"12","author":[{"family":"Abdelmonem","given":"Basma Hossam"},{"family":"Abdelaal","given":"Noha M."},{"family":"Anwer","given":"Eman K. E."},{"family":"Rashwan","given":"Alaa A."},{"family":"Hussein","given":"Mohamed Ali"},{"family":"Ahmed","given":"Yasmin F."},{"family":"Khashana","given":"Rana"},{"family":"Hanna","given":"Mireille M."},{"family":"Abdelnaser","given":"Anwar"},{"family":"Abdelmonem","given":"Basma Hossam"},{"family":"Abdelaal","given":"Noha M."},{"family":"Anwer","given":"Eman K. E."},{"family":"Rashwan","given":"Alaa A."},{"family":"Hussein","given":"Mohamed Ali"},{"family":"Ahmed","given":"Yasmin F."},{"family":"Khashana","given":"Rana"},{"family":"Hanna","given":"Mireille M."},{"family":"Abdelnaser","given":"Anwar"}],"accessed":{"date-parts":[["2025",12,8]]},"issued":{"date-parts":[["2024",7,1]]}}}],"schema":"https://github.com/citation-style-language/schema/raw/master/csl-citation.json"}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Table 1 summarizes the principal genetic markers associated with emerging anthelmintic resistance across major human helminths, highlighting species-specific variants, their proposed functional impacts, and the current strength of evidence supporting their roles.”</w:t>
      </w:r>
    </w:p>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Table 1. Key Genetic Markers Implicated in Anthelmintic Resistance Across Major Human Helminths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1659"/>
        <w:gridCol w:w="2001"/>
        <w:gridCol w:w="2169"/>
        <w:gridCol w:w="2054"/>
      </w:tblGrid>
      <w:tr w:rsidR="008143D9" w:rsidRPr="00EB6340" w:rsidTr="0014407D">
        <w:trPr>
          <w:tblHeader/>
          <w:tblCellSpacing w:w="15" w:type="dxa"/>
        </w:trPr>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Helminth Species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Drug Class Affected</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Primary Genetic Marker(s)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Proposed Functional Impact</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Evidence Strength</w:t>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lastRenderedPageBreak/>
              <w:t xml:space="preserve">Trichuris </w:t>
            </w:r>
            <w:proofErr w:type="spellStart"/>
            <w:r w:rsidRPr="00EB6340">
              <w:rPr>
                <w:rFonts w:ascii="Times New Roman" w:hAnsi="Times New Roman" w:cs="Times New Roman"/>
                <w:i/>
                <w:iCs/>
              </w:rPr>
              <w:t>trichiura</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E198A</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Alters drug-interaction site, lowering affinity for 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Strong, multiple field studies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{"citationID":"xOIczePn","properties":{"formattedCitation":"[13]","plainCitation":"[13]","noteIndex":0},"citationItems":[{"id":11878,"uris":["http://zotero.org/users/16652950/items/GBU6T93Y"],"itemData":{"id":11878,"type":"article-journal","abstract":"In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Necator</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americanus</w:t>
            </w:r>
            <w:proofErr w:type="spellEnd"/>
            <w:r w:rsidRPr="00EB6340">
              <w:rPr>
                <w:rFonts w:ascii="Times New Roman" w:hAnsi="Times New Roman" w:cs="Times New Roman"/>
              </w:rPr>
              <w:t xml:space="preserve"> (Hookworm)</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F167Y</w:t>
            </w:r>
            <w:r w:rsidRPr="00EB6340">
              <w:rPr>
                <w:rFonts w:ascii="Times New Roman" w:hAnsi="Times New Roman" w:cs="Times New Roman"/>
              </w:rPr>
              <w:t xml:space="preserve">, </w:t>
            </w:r>
            <w:r w:rsidRPr="00EB6340">
              <w:rPr>
                <w:rFonts w:ascii="Times New Roman" w:hAnsi="Times New Roman" w:cs="Times New Roman"/>
                <w:b/>
                <w:bCs/>
              </w:rPr>
              <w:t>F200Y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Reduces microtubule destabilization by modifying target conformation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increasing field detection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{"citationID":"gFH3alD4","properties":{"formattedCitation":"[14]","plainCitation":"[14]","noteIndex":0},"citationItems":[{"id":11881,"uris":["http://zotero.org/users/16652950/items/A4TQUK4Q"],"itemData":{"id":11881,"type":"article-journal","abstract":"Background\nAscariasis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t>Ascaris lumbricoides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β-tubulin variants (candidate SNPs)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Potential alteration of structural binding regions; requires validation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Limited, preliminary</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{"citationID":"a68uNHI8","properties":{"formattedCitation":"[14]","plainCitation":"[14]","noteIndex":0},"citationItems":[{"id":11881,"uris":["http://zotero.org/users/16652950/items/A4TQUK4Q"],"itemData":{"id":11881,"type":"article-journal","abstract":"Background\nAscariasis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Macrocyclic lactones</w:t>
            </w:r>
          </w:p>
        </w:tc>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receptor subunit changes (expression or sequence variants)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May influence channel sensitivity and reduce ivermectin-induced signaling</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Emerging, largely transcriptomic</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{"citationID":"Uk3l1kyK","properties":{"formattedCitation":"[13]","plainCitation":"[13]","noteIndex":0},"citationItems":[{"id":11878,"uris":["http://zotero.org/users/16652950/items/GBU6T93Y"],"itemData":{"id":11878,"type":"article-journal","abstract":"In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nematode species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drug classes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Upregulated </w:t>
            </w:r>
            <w:r w:rsidRPr="00EB6340">
              <w:rPr>
                <w:rFonts w:ascii="Times New Roman" w:hAnsi="Times New Roman" w:cs="Times New Roman"/>
                <w:b/>
                <w:bCs/>
              </w:rPr>
              <w:t>ABC/P-glycoprotein transporters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Enhances efflux of diverse anthelmintic compounds, lowering intracellular drug levels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consistent across species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{"citationID":"AlVnZPAh","properties":{"formattedCitation":"[15]","plainCitation":"[15]","noteIndex":0},"citationItems":[{"id":11884,"uris":["http://zotero.org/users/16652950/items/UH4X22PE"],"itemData":{"id":11884,"type":"article-journal","abstract":"ABC transporters, a family of ATP-dependent transmembrane proteins, are responsible for the active transport of a wide range of molecules across cell membranes, including drugs, toxins, and nutrients. Nematodes possess a great diversity of ABC transporters; however, only P-glycoproteins have been well-characterized compared to other classes. The ABC transport proteins have been implicated in developing resistance to various classes of anthelmintic drugs in parasitic nematodes; their role in plant and human parasitic nematodes still needs further investigation. Therefore, ABC transport proteins offer a potential opportunity to develop nematode control strategies. Multidrug resistance inhibitors are becoming more attractive for controlling nematodes due to their potential to increase drug efficacy in two ways: (i) by limiting drug efflux from nematodes, thereby increasing the amount of drug that reaches its target site, and (ii) by reducing drug excretion by host animals, thereby enhancing drug bioavailability. This article reviews the role of ABC transporters in the survival of parasitic nematodes, including the genes involved, their regulation and physiological roles, as well as recent developments in their characterization. It also discusses the association of ABC transporters with anthelmintic resistance and the possibility of targeting them with next-generation inhibitors or nutraceuticals (e.g., polyphenols) to control parasitic infections.","container-title":"Pathogens","DOI":"10.3390/pathogens12060755","ISSN":"2076-0817","issue":"6","journalAbbreviation":"Pathogens","note":"PMID: 37375445\nPMCID: PMC10300789","page":"755","source":"PubMed Central","title":"Importance of ABC Transporters in the Survival of Parasitic Nematodes and the Prospect for the Development of Novel Control Strategies","volume":"12","author":[{"family":"Raza","given":"Ali"},{"family":"Williams","given":"Andrew R."},{"family":"Abeer","given":"Muhammad Mustafa"}],"issued":{"date-parts":[["2023",5,24]]}}}],"schema":"https://github.com/citation-style-language/schema/raw/master/csl-citation.json"}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[15]</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Various species (broad category)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Detoxification-related gene variants (e.g., cytochrome P450 families)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Alters metabolic processing of drugs, potentially diminishing potency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Preliminary, under investigation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{"citationID":"3rzELrns","properties":{"formattedCitation":"[16]","plainCitation":"[16]","noteIndex":0},"citationItems":[{"id":11887,"uris":["http://zotero.org/users/16652950/items/JTTZZK27"],"itemData":{"id":11887,"type":"article-journal","abstract":"Cytochrome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populations.","container-title":"Biomedicines","DOI":"10.3390/biomedicines12071467","ISSN":"2227-9059","issue":"7","journalAbbreviation":"Biomedicines","note":"PMID: 39062040\nPMCID: PMC11275228","page":"1467","source":"PubMed Central","title":"Decoding the Role of CYP450 Enzymes in Metabolism and Disease: A Comprehensive Review","title-short":"Decoding the Role of CYP450 Enzymes in Metabolism and Disease","volume":"12","author":[{"family":"Hossam Abdelmonem","given":"Basma"},{"family":"Abdelaal","given":"Noha M."},{"family":"Anwer","given":"Eman K. E."},{"family":"Rashwan","given":"Alaa A."},{"family":"Hussein","given":"Mohamed Ali"},{"family":"Ahmed","given":"Yasmin F."},{"family":"Khashana","given":"Rana"},{"family":"Hanna","given":"Mireille M."},{"family":"Abdelnaser","given":"Anwar"}],"issued":{"date-parts":[["2024",7,2]]}}}],"schema":"https://github.com/citation-style-language/schema/raw/master/csl-citation.json"}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[16]</w:t>
            </w:r>
            <w:r w:rsidR="00E82B3A" w:rsidRPr="00EB6340">
              <w:rPr>
                <w:rFonts w:ascii="Times New Roman" w:hAnsi="Times New Roman" w:cs="Times New Roman"/>
              </w:rPr>
              <w:fldChar w:fldCharType="end"/>
            </w:r>
          </w:p>
        </w:tc>
      </w:tr>
    </w:tbl>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 Molecular Pathways Contributing to Resistance Phenotypes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Anthelmintic resistance in human helminths arises from a network of interacting molecular pathways that collectively reduce drug sensitivity and maintain parasite viability under therapeutic pressure. These pathways encompass modifications in drug–target interactions, </w:t>
      </w:r>
      <w:r w:rsidRPr="00EB6340">
        <w:rPr>
          <w:rFonts w:ascii="Times New Roman" w:hAnsi="Times New Roman" w:cs="Times New Roman"/>
        </w:rPr>
        <w:lastRenderedPageBreak/>
        <w:t>altered gene expression, enhanced metabolic defenses, and mechanisms that offset the fitness costs often associated with resistance mutations</w:t>
      </w:r>
      <w:r w:rsidR="00E82B3A" w:rsidRPr="00EB6340">
        <w:rPr>
          <w:rFonts w:ascii="Times New Roman" w:hAnsi="Times New Roman" w:cs="Times New Roman"/>
        </w:rPr>
        <w:fldChar w:fldCharType="begin"/>
      </w:r>
      <w:r w:rsidR="00D73669" w:rsidRPr="00EB6340">
        <w:rPr>
          <w:rFonts w:ascii="Times New Roman" w:hAnsi="Times New Roman" w:cs="Times New Roman"/>
        </w:rPr>
        <w:instrText xml:space="preserve"> ADDIN ZOTERO_ITEM CSL_CITATION {"citationID":"0erxqBA7","properties":{"formattedCitation":"[7]","plainCitation":"[7]","noteIndex":0},"citationItems":[{"id":11868,"uris":["http://zotero.org/users/16652950/items/47HFYHL4"],"itemData":{"id":11868,"type":"article-journal","abstract":"Helminths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D73669"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F133A4" w:rsidRPr="00EB6340" w:rsidRDefault="00F133A4" w:rsidP="00F133A4">
      <w:pPr>
        <w:rPr>
          <w:rFonts w:ascii="Times New Roman" w:hAnsi="Times New Roman" w:cs="Times New Roman"/>
        </w:rPr>
      </w:pPr>
      <w:r w:rsidRPr="00EB6340">
        <w:rPr>
          <w:rFonts w:ascii="Times New Roman" w:hAnsi="Times New Roman" w:cs="Times New Roman"/>
        </w:rPr>
        <w:t>Figure 2 illustrates the integrated molecular pathways that contribute to the development and persistence of anthelmintic resistance in helminths.”</w:t>
      </w:r>
    </w:p>
    <w:p w:rsidR="00F133A4" w:rsidRPr="00EB6340" w:rsidRDefault="00F133A4" w:rsidP="0059639A">
      <w:pPr>
        <w:rPr>
          <w:rFonts w:ascii="Times New Roman" w:hAnsi="Times New Roman" w:cs="Times New Roman"/>
        </w:rPr>
      </w:pPr>
      <w:r w:rsidRPr="00EB6340">
        <w:rPr>
          <w:rFonts w:ascii="Times New Roman" w:hAnsi="Times New Roman" w:cs="Times New Roman"/>
          <w:noProof/>
        </w:rPr>
        <w:drawing>
          <wp:inline distT="0" distB="0" distL="0" distR="0">
            <wp:extent cx="5943600" cy="3947160"/>
            <wp:effectExtent l="0" t="0" r="0" b="0"/>
            <wp:docPr id="20658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p>
    <w:p w:rsidR="00F133A4" w:rsidRPr="00EB6340" w:rsidRDefault="00F133A4" w:rsidP="00F133A4">
      <w:pPr>
        <w:rPr>
          <w:rFonts w:ascii="Times New Roman" w:hAnsi="Times New Roman" w:cs="Times New Roman"/>
        </w:rPr>
      </w:pPr>
      <w:r w:rsidRPr="00EB6340">
        <w:rPr>
          <w:rFonts w:ascii="Times New Roman" w:hAnsi="Times New Roman" w:cs="Times New Roman"/>
          <w:b/>
          <w:bCs/>
        </w:rPr>
        <w:t>Figure 2. Conceptual illustration of molecular pathways contributing to anthelmintic resistance in helminths.</w:t>
      </w:r>
      <w:r w:rsidRPr="00EB6340">
        <w:rPr>
          <w:rFonts w:ascii="Times New Roman" w:hAnsi="Times New Roman" w:cs="Times New Roman"/>
        </w:rPr>
        <w:br/>
        <w:t>This schematic depicts how genetic and molecular alterations can accumulate within parasite populations under drug pressure. DNA replication errors, damage, or modifications may result in mutations affecting key proteins, such as receptors or enzymes targeted by anthelmintics. Amino-acid substitutions and receptor reconfiguration can reduce drug binding or alter signaling pathways. Gene expression changes and DNA modifications contribute to phenotypic plasticity and long-term stabilization of resistance traits. Modified enzymes may enable parasites to deactivate or tolerate drug exposure. Genetic changes can be inherited across generations, facilitating the spread of resistant genotypes within parasite populations. Together, these pathways highlight the multifactorial and evolving nature of anthelmintic resistance.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4.1 Altered Drug Binding Affinity</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primary driver of resistance involves structural alterations in drug targets that reduce binding affinity. Mutations in β-tubulin or ligand-gated ion channels can modify amino acid residues </w:t>
      </w:r>
      <w:r w:rsidRPr="00EB6340">
        <w:rPr>
          <w:rFonts w:ascii="Times New Roman" w:hAnsi="Times New Roman" w:cs="Times New Roman"/>
        </w:rPr>
        <w:lastRenderedPageBreak/>
        <w:t xml:space="preserve">critical for drug interaction, leading to </w:t>
      </w:r>
      <w:r w:rsidRPr="00EB6340">
        <w:rPr>
          <w:rFonts w:ascii="Times New Roman" w:hAnsi="Times New Roman" w:cs="Times New Roman"/>
          <w:b/>
          <w:bCs/>
        </w:rPr>
        <w:t>conformational changes</w:t>
      </w:r>
      <w:r w:rsidRPr="00EB6340">
        <w:rPr>
          <w:rFonts w:ascii="Times New Roman" w:hAnsi="Times New Roman" w:cs="Times New Roman"/>
        </w:rPr>
        <w:t xml:space="preserve"> that diminish drug attachment. Such structural impacts can impair the ability of benzimidazoles to disrupt microtubule formation or reduce the capacity of macrocyclic lactones to induce chloride influx. As a result, helminths maintain core physiological processes despite drug exposure. These target-site modifications often serve as the </w:t>
      </w:r>
      <w:r w:rsidRPr="00EB6340">
        <w:rPr>
          <w:rFonts w:ascii="Times New Roman" w:hAnsi="Times New Roman" w:cs="Times New Roman"/>
          <w:b/>
          <w:bCs/>
        </w:rPr>
        <w:t>first step</w:t>
      </w:r>
      <w:r w:rsidRPr="00EB6340">
        <w:rPr>
          <w:rFonts w:ascii="Times New Roman" w:hAnsi="Times New Roman" w:cs="Times New Roman"/>
        </w:rPr>
        <w:t xml:space="preserve"> in resistance evolution, providing the parasite with a measurable survival advantage</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{"citationID":"nzyRlBJe","properties":{"formattedCitation":"[17]","plainCitation":"[17]","noteIndex":0},"citationItems":[{"id":11890,"uris":["http://zotero.org/users/16652950/items/75EEU8PM"],"itemData":{"id":11890,"type":"article-journal","abstract":"The inherent capacity of all organisms to evolve under selective pressure has created multidrug-resistant microbes and cells that are now threatening ...","container-title":"Microbiology Research","DOI":"10.3390/microbiolres14020037","ISSN":"2036-7481","issue":"2","language":"en","license":"http://creativecommons.org/licenses/by/3.0/","note":"Company: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publisher","page":"507-542","source":"www.mdpi.com","title":"Drug Resistance: An Incessant Fight against Evolutionary Strategies of Survival","title-short":"Drug Resistance","volume":"14","author":[{"family":"Ramos-Martín","given":"Francisco"},{"family":"D’Amelio","given":"Nicola"},{"family":"Ramos-Martín","given":"Francisco"},{"family":"D’Amelio","given":"Nicola"}],"issued":{"date-parts":[["2023",4,5]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4.2 Gene Expression Modulation and Epigenetic Inputs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Drug exposure frequently triggers </w:t>
      </w:r>
      <w:r w:rsidRPr="00EB6340">
        <w:rPr>
          <w:rFonts w:ascii="Times New Roman" w:hAnsi="Times New Roman" w:cs="Times New Roman"/>
          <w:b/>
          <w:bCs/>
        </w:rPr>
        <w:t>stress-response pathways</w:t>
      </w:r>
      <w:r w:rsidRPr="00EB6340">
        <w:rPr>
          <w:rFonts w:ascii="Times New Roman" w:hAnsi="Times New Roman" w:cs="Times New Roman"/>
        </w:rPr>
        <w:t>, prompting helminths to adjust gene expression profiles that promote survival. Upregulation of protective genes, such as those involved in detoxification or membrane transport, can enhance resilience to repeated drug challenges. Epigenetic changes—including DNA methylation shifts and chromatin remodeling—may further influence the expression of resistance-associated genes. Such modifications can stabilize resistance phenotypes across parasite generations, even in the absence of continued drug pressure, thereby contributing to long-term persistence of reduced susceptibility within populations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{"citationID":"0dVtXwRa","properties":{"formattedCitation":"[18]","plainCitation":"[18]","noteIndex":0},"citationItems":[{"id":11892,"uris":["http://zotero.org/users/16652950/items/33C2IYU8"],"itemData":{"id":11892,"type":"article-journal","abstract":"Experimental research demands the selection of appropriate models to align with study objectives and conditions. Traditional experimental models, such...","container-title":"Applied Biosciences","DOI":"10.3390/applbiosci4020023","ISSN":"2813-0464","issue":"2","language":"en","license":"http://creativecommons.org/licenses/by/3.0/","note":"Company: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publisher","source":"www.mdpi.com","title":"Can Caenorhabditis elegans Serve as a Reliable Model for Drug and Nutraceutical Discovery?","URL":"https://www.mdpi.com/2813-0464/4/2/23","volume":"4","author":[{"family":"Deji-Oloruntoba","given":"Opeyemi O."},{"family":"Elufioye","given":"Taiwo O."},{"family":"Adefegha","given":"Stephen Adeniyi"},{"family":"Jang","given":"Miran"},{"family":"Deji-Oloruntoba","given":"Opeyemi O."},{"family":"Elufioye","given":"Taiwo O."},{"family":"Adefegha","given":"Stephen Adeniyi"},{"family":"Jang","given":"Miran"}],"accessed":{"date-parts":[["2025",12,8]]},"issued":{"date-parts":[["2025",5,1]]}}}],"schema":"https://github.com/citation-style-language/schema/raw/master/csl-citation.json"}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[18]</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4.3 Enhanced Metabolic Detoxification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Many helminths employ metabolic strategies to diminish the potency of anthelmintic compounds. Upregulation of detoxification enzyme families, such as cytochrome P450s, glutathione-S-transferases, and related pathways, can increase the rate at which drugs are neutralized or transformed into less active forms. These changes may be accompanied by </w:t>
      </w:r>
      <w:r w:rsidRPr="00EB6340">
        <w:rPr>
          <w:rFonts w:ascii="Times New Roman" w:hAnsi="Times New Roman" w:cs="Times New Roman"/>
          <w:b/>
          <w:bCs/>
        </w:rPr>
        <w:t>metabolic re-routing</w:t>
      </w:r>
      <w:r w:rsidRPr="00EB6340">
        <w:rPr>
          <w:rFonts w:ascii="Times New Roman" w:hAnsi="Times New Roman" w:cs="Times New Roman"/>
        </w:rPr>
        <w:t>, allowing the parasite to compensate for drug-imposed stress while maintaining essential biochemical functions. Together, these adaptations create a chemical environment less conducive to effective drug activity</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{"citationID":"PG2bS4AT","properties":{"formattedCitation":"[19]","plainCitation":"[19]","noteIndex":0},"citationItems":[{"id":11894,"uris":["http://zotero.org/users/16652950/items/FYBV4RWN"],"itemData":{"id":11894,"type":"article-journal","abstract":"Trematode infections occur worldwide causing considerable deterioration of human health and placing a substantial financial burden on the livestock industry. The hundreds of millions of people afflicted with trematode infections rely entirely on only two drugs (praziquantel and triclabendazole) for treatment. An understanding of anthelmintic biotransformation pathways in parasites should clarify factors that can modulate therapeutic potency of anthelmintics currently in use and may lead to the discovery of synergistic compounds for combination treatments. Despite the pronounced epidemiological significance of trematodes, there is still no adequate understanding of the functionality of their metabolic systems, including xenobiotic-metabolizing enzymes. The review is focused on the structure and functional significance of the xenobiotic-metabolizing system in trematodes. Knowledge in this field can solve practical problems related to the search for new targets for antiparasitic therapy based on a focused action on certain elements of the parasite’s metabolic system. Knowledge of the functionality of this system is required to understand the adaptation of the biochemical processes of parasites residing in the host and mechanisms of drug resistance development, as well as to select a promising molecular target for the discovery and development of new anthelmintic drugs.","container-title":"Biomedicines","DOI":"10.3390/biomedicines10123039","ISSN":"2227-9059","issue":"12","journalAbbreviation":"Biomedicines","note":"PMID: 36551794\nPMCID: PMC9775572","page":"3039","source":"PubMed Central","title":"Xenobiotic-Metabolizing Enzymes in Trematodes","volume":"10","author":[{"family":"Mordvinov","given":"Viatcheslav"},{"family":"Pakharukova","given":"Maria"}],"issued":{"date-parts":[["2022",11,24]]}}}],"schema":"https://github.com/citation-style-language/schema/raw/master/csl-citation.json"}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4.4 Compensatory Fitness Mechanisms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Resistance mutations and metabolic shifts may carry fitness costs, such as reduced reproductive output or altered energy balance. To overcome these disadvantages, helminths may evolve </w:t>
      </w:r>
      <w:r w:rsidRPr="00EB6340">
        <w:rPr>
          <w:rFonts w:ascii="Times New Roman" w:hAnsi="Times New Roman" w:cs="Times New Roman"/>
          <w:b/>
          <w:bCs/>
        </w:rPr>
        <w:t>compensatory mechanisms</w:t>
      </w:r>
      <w:r w:rsidRPr="00EB6340">
        <w:rPr>
          <w:rFonts w:ascii="Times New Roman" w:hAnsi="Times New Roman" w:cs="Times New Roman"/>
        </w:rPr>
        <w:t xml:space="preserve"> that restore physiological performance. These include adjustments in metabolic pathways, optimized resource allocation, and enhanced stress resilience. The interplay between compensatory adaptations and resistance pathways enables resistant parasites not only to survive drug exposure but also to compete effectively within treated host populations, facilitating the spread and entrenchment of resistance traits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{"citationID":"0ZmlUIrT","properties":{"formattedCitation":"[20]","plainCitation":"[20]","noteIndex":0},"citationItems":[{"id":2482,"uris":["http://zotero.org/users/16652950/items/VR3VPVH8"],"itemData":{"id":2482,"type":"article-journal","abstract":"Background: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[20]</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 Methods Used to Identify and Validate Resistance Mechanisms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Understanding anthelmintic resistance in human helminths requires an integrated methodological framework that combines genomic, transcriptomic, population-level, and functional approaches. Collectively, these methodologies allow researchers to identify candidate resistance markers, </w:t>
      </w:r>
      <w:r w:rsidRPr="00EB6340">
        <w:rPr>
          <w:rFonts w:ascii="Times New Roman" w:hAnsi="Times New Roman" w:cs="Times New Roman"/>
        </w:rPr>
        <w:lastRenderedPageBreak/>
        <w:t>characterize their biological significance, and evaluate their relevance in natural parasite populations.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5.1 Genomic Sequencing and Comparative Genomics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Advances in whole-genome sequencing have transformed the study of resistance by enabling detailed comparisons between susceptible and putatively resistant parasite populations. Comparative genomics allows the identification of </w:t>
      </w:r>
      <w:r w:rsidRPr="00EB6340">
        <w:rPr>
          <w:rFonts w:ascii="Times New Roman" w:hAnsi="Times New Roman" w:cs="Times New Roman"/>
          <w:b/>
          <w:bCs/>
        </w:rPr>
        <w:t>single-nucleotide polymorphisms (SNPs)</w:t>
      </w:r>
      <w:r w:rsidRPr="00EB6340">
        <w:rPr>
          <w:rFonts w:ascii="Times New Roman" w:hAnsi="Times New Roman" w:cs="Times New Roman"/>
        </w:rPr>
        <w:t>, structural variants, and copy-number changes that may influence drug response. These analyses can highlight genes under selection pressure and reveal parallel evolutionary patterns across geographic regions or species, providing strong circumstantial evidence for resistance-associated loci</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{"citationID":"f3wadN2b","properties":{"formattedCitation":"[21]","plainCitation":"[21]","noteIndex":0},"citationItems":[{"id":11897,"uris":["http://zotero.org/users/16652950/items/FQFCURS3"],"itemData":{"id":11897,"type":"article-journal","abstract":"Emerging infectious diseases of animals that spread to humans (zoonoses) continue to represent a major threat to public health throughout the world. Knowledge of genetic elements that enable pathogens to navigate host shifts and species jumps is crucial for predicting and preventing zoonotic cross-species transmission. Comparative genomics, comparing whole-genome sequences across a range of hosts and pathogens, provides a powerful means to dissect the molecular determinants of zoonotic emergence. Here, we summarize and discuss recent advances in the understanding of genetic modifications that enable host switching and cross-species transmission by selected zoonotic pathogens. We review how comparative genomic analyses revealed the critical importance of factors such as receptor-binding domain evolution, immune evasion genes, and virulence determinants in improving pathogen fitness in new hosts.The review also highlights the integration of genomic data into One Health surveillance frameworks, enabling real-time monitoring, early detection, and improved outbreak response. Despite these advances, challenges including sampling bias, incomplete genomic databases, misannotation, and the complexity of predicting phenotype from genotype limit the field’s potential. Furthermore, ethical and biosafety concerns in studying high-risk zoonotic pathogens necessitate careful governance. We outline future directions, emphasizing the need for expanded wildlife sampling, longitudinal studies of host-pathogen co-evolution, and the application of artificial intelligence in zoonotic risk assessment. Building comprehensive, globally accessible genomic databases is essential for coordinated pathogen tracking and risk mitigation. Ultimately, comparative genomics is indispensable for understanding and managing zoonotic threats, and its continued advancement, integrated within interdisciplinary, data-driven One Health strategies, will be critical to preventing future pandemics.","container-title":"Journal of Clinical Medicine of Kazakhstan","DOI":"10.23950/jcmk/16937","ISSN":"1812-2892, 2313-1519","issue":"5","journalAbbreviation":"J CLIN MED KAZ","language":"english","note":"publisher: JSC National Scientific Medical Center","page":"80-92","source":"www.clinmedkaz.org","title":"Comparative Genomics of Zoonotic Pathogens: Genetic Determinants of Host Switching and Cross-Species Transmission","title-short":"Comparative Genomics of Zoonotic Pathogens","volume":"22","author":[{"family":"Lawal","given":"Olabisi"},{"family":"Babatunde","given":"Ezekiel Tosin"},{"family":"Muhammed","given":"Ismaila"},{"family":"Okiki","given":"Quadri N."},{"family":"Chibueze","given":"Eze Samson"},{"family":"David","given":"Victor Omeiza"},{"family":"Otabil","given":"Caleb"},{"family":"Agbo","given":"Okabeonye Sunday"},{"family":"Kanu","given":"Ikechukwu"},{"family":"Ololade","given":"Oyebamiji Abdulhalim"}],"issued":{"date-parts":[["2025",9,14]]}}}],"schema":"https://github.com/citation-style-language/schema/raw/master/csl-citation.json"}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5.2 Transcriptomic Profiling and Differential Expression Mapping</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Transcriptomic approaches examine genome-wide changes in gene expression following drug exposure or across populations with differing susceptibility profiles. Differential expression mapping can reveal </w:t>
      </w:r>
      <w:r w:rsidRPr="00EB6340">
        <w:rPr>
          <w:rFonts w:ascii="Times New Roman" w:hAnsi="Times New Roman" w:cs="Times New Roman"/>
          <w:b/>
          <w:bCs/>
        </w:rPr>
        <w:t>upregulated detoxification genes</w:t>
      </w:r>
      <w:r w:rsidRPr="00EB6340">
        <w:rPr>
          <w:rFonts w:ascii="Times New Roman" w:hAnsi="Times New Roman" w:cs="Times New Roman"/>
        </w:rPr>
        <w:t>, alterations in receptor or channel subunit expression, or activation of stress-related pathways. Such patterns offer insights into the dynamic biological responses that facilitate survival under pharmacological pressure.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5.3 Population Genetics Approaches for Resistance Surveillance</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Population genetics adds a crucial epidemiological dimension to resistance research. By tracking allele frequencies of resistance-associated markers in field populations, researchers can assess the </w:t>
      </w:r>
      <w:r w:rsidRPr="00EB6340">
        <w:rPr>
          <w:rFonts w:ascii="Times New Roman" w:hAnsi="Times New Roman" w:cs="Times New Roman"/>
          <w:b/>
          <w:bCs/>
        </w:rPr>
        <w:t>spread, persistence, and selective advantage</w:t>
      </w:r>
      <w:r w:rsidRPr="00EB6340">
        <w:rPr>
          <w:rFonts w:ascii="Times New Roman" w:hAnsi="Times New Roman" w:cs="Times New Roman"/>
        </w:rPr>
        <w:t xml:space="preserve"> of candidate mutations. Measurements of genetic diversity, population structure, and selective sweeps contribute to understanding how resistance emerges and disseminates within communities exposed to mass drug administration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5.4 In Vitro and Model-Organism Functional Validation Frameworks</w:t>
      </w:r>
    </w:p>
    <w:p w:rsidR="0059639A" w:rsidRPr="00EB6340" w:rsidRDefault="0059639A" w:rsidP="0059639A">
      <w:pPr>
        <w:rPr>
          <w:rFonts w:ascii="Times New Roman" w:hAnsi="Times New Roman" w:cs="Times New Roman"/>
        </w:rPr>
      </w:pPr>
      <w:r w:rsidRPr="00EB6340">
        <w:rPr>
          <w:rFonts w:ascii="Times New Roman" w:hAnsi="Times New Roman" w:cs="Times New Roman"/>
        </w:rPr>
        <w:t>Although direct experimental manipulation of human helminths is limited, conceptual frameworks involving model nematodes or surrogate systems allow researchers to evaluate the functional consequences of candidate resistance genes. These systems help clarify whether specific mutations reduce drug susceptibility or alter key physiological pathways, offering critical evidence for causality.</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5.5 Bioinformatic Tools for Integrating Multi-</w:t>
      </w:r>
      <w:proofErr w:type="spellStart"/>
      <w:r w:rsidRPr="00EB6340">
        <w:rPr>
          <w:rFonts w:ascii="Times New Roman" w:hAnsi="Times New Roman" w:cs="Times New Roman"/>
          <w:b/>
          <w:bCs/>
        </w:rPr>
        <w:t>Omic</w:t>
      </w:r>
      <w:proofErr w:type="spellEnd"/>
      <w:r w:rsidRPr="00EB6340">
        <w:rPr>
          <w:rFonts w:ascii="Times New Roman" w:hAnsi="Times New Roman" w:cs="Times New Roman"/>
          <w:b/>
          <w:bCs/>
        </w:rPr>
        <w:t xml:space="preserve"> Datasets</w:t>
      </w:r>
    </w:p>
    <w:p w:rsidR="0059639A" w:rsidRPr="00EB6340" w:rsidRDefault="0059639A" w:rsidP="0059639A">
      <w:pPr>
        <w:rPr>
          <w:rFonts w:ascii="Times New Roman" w:hAnsi="Times New Roman" w:cs="Times New Roman"/>
        </w:rPr>
      </w:pPr>
      <w:r w:rsidRPr="00EB6340">
        <w:rPr>
          <w:rFonts w:ascii="Times New Roman" w:hAnsi="Times New Roman" w:cs="Times New Roman"/>
        </w:rPr>
        <w:t>As genomic and transcriptomic datasets grow, bioinformatic integration becomes essential. Multi-</w:t>
      </w:r>
      <w:proofErr w:type="spellStart"/>
      <w:r w:rsidRPr="00EB6340">
        <w:rPr>
          <w:rFonts w:ascii="Times New Roman" w:hAnsi="Times New Roman" w:cs="Times New Roman"/>
        </w:rPr>
        <w:t>omic</w:t>
      </w:r>
      <w:proofErr w:type="spellEnd"/>
      <w:r w:rsidRPr="00EB6340">
        <w:rPr>
          <w:rFonts w:ascii="Times New Roman" w:hAnsi="Times New Roman" w:cs="Times New Roman"/>
        </w:rPr>
        <w:t xml:space="preserve"> analysis platforms enable researchers to connect genetic variants with expression changes, pathway alterations, and population-level trends. Such integrative approaches provide a comprehensive understanding of resistance mechanisms and help refine targets for surveillance and future drug development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{"citationID":"0g7AHUzb","properties":{"formattedCitation":"[22]","plainCitation":"[22]","noteIndex":0},"citationItems":[{"id":3122,"uris":["http://zotero.org/users/16652950/items/3RZR4GGY"],"itemData":{"id":3122,"type":"article-journal","abstract":"The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lastRenderedPageBreak/>
        <w:t>6. Implications for Public Health, Surveillance, and Drug Development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has significant implications for global public health, particularly in regions where mass drug administration (MDA) serves as the cornerstone of control strategies</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{"citationID":"CQkSS8AE","properties":{"formattedCitation":"[23]","plainCitation":"[23]","noteIndex":0},"citationItems":[{"id":11361,"uris":["http://zotero.org/users/16652950/items/2RTQXP5P"],"itemData":{"id":11361,"type":"article-journal","abstract":"Access to healthcare is a basic human right, yet systemic barriers like poverty, discrimination, and policy shortcomings continue to create disparities. This paper examines the essential role of social workers in championing healthcare policies that are inclusive and responsive to the needs of vulnerable groups such as low-income families, ethnic minorities, and individuals with disabilities. It explores the limitations of current healthcare frameworks, highlights the methods social workers use to promote equity, and offers evidence-based strategies for reform.","container-title":"International Journal of Science and Research Archive","DOI":"10.30574/ijsra.2025.14.1.0224","ISSN":"2582-8185","issue":"1","language":"en","license":"Copyrights to International Journal of Science and Research Archive","page":"1407-1415","source":"journalijsra.com","title":"Policy advocacy for inclusive healthcare access from a social work perspective","volume":"14","author":[{"family":"Balogun","given":"Adeseun Kafayat"},{"family":"Ibiam","given":"Victor Akachukwu"},{"family":"Otesanya","given":"Olayinka Abdulganiu"},{"family":"Agbo-Adediran","given":"Bemiwo Elisha"}],"issued":{"date-parts":[["2025"]]}}}],"schema":"https://github.com/citation-style-language/schema/raw/master/csl-citation.json"}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[23]</w:t>
      </w:r>
      <w:r w:rsidR="00E82B3A">
        <w:rPr>
          <w:rFonts w:ascii="Times New Roman" w:hAnsi="Times New Roman" w:cs="Times New Roman"/>
        </w:rPr>
        <w:fldChar w:fldCharType="end"/>
      </w:r>
      <w:r w:rsidRPr="00EB6340">
        <w:rPr>
          <w:rFonts w:ascii="Times New Roman" w:hAnsi="Times New Roman" w:cs="Times New Roman"/>
        </w:rPr>
        <w:t>. These programs depend heavily on a narrow range of drug classes, and increasing evidence of reduced drug susceptibility threatens their long-term effectiveness. Should resistance become widespread, the ability of MDA campaigns to suppress worm burden, reduce transmission, and protect vulnerable populations could be substantially compromised</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{"citationID":"w99sHcEt","properties":{"formattedCitation":"[24]","plainCitation":"[24]","noteIndex":0},"citationItems":[{"id":11345,"uris":["http://zotero.org/users/16652950/items/G9DE6WH8"],"itemData":{"id":11345,"type":"article-journal","abstract":"Parasitic diseases continue to represent a significant public health challenge, particularly in tropical and subtropical regions, where they disproportionately affect low- and middle-income countries. Despite significant advancements in global collaborations, diseases such as malaria, schistosomiasis, and leishmaniasis continue to present substantial challenges. This study evaluates the role of international collaborations such as the World Health Organization (WHO) and the Global Fund, alongside bilateral and multilateral initiatives, including the U.S. President's Malaria Initiative (PMI) in managing, preventing, and eliminating parasitic diseases, highlighting the successes, challenges, and potential areas for improvement within these partnerships. Critical challenges to effective collaborations, such as political instability, economic disparities, cultural barriers, and resource inequities were identified. Additionally discussed are the necessity of developing local skills, promoting innovative financing methods for projects, and ensuring their sustainability. Moreover, the necessity of a unified global health governance framework and sustained commitments to ensure that multinational collaborations yield enduring impacts were emphasized. However, policy recommendations such as prioritizing equity, and addressing the root causes of parasite infections aimed at enhancing international cooperation should be embraced in order to achieve sustainable health improvements. The findings suggest that ongoing global cooperation, combined with improvements in technology, funding, and resource allocation, is crucial for the total elimination of parasitic diseases and the advancement of health equity worldwide.","container-title":"Australian Journal of Biomedical Research","DOI":"10.63946/aubiomed/17426","ISSN":"3083-4708","issue":"2","language":"english","note":"publisher: Australasia Publishing Group","page":"aubm009","source":"www.aubiomed.org","title":"Evaluating the Role and Impact of International Collaboration and Partnerships on the Control, Prevention, and Elimination of Parasitic Diseases: A Global Health Perspective","title-short":"Evaluating the Role and Impact of International Collaboration and Partnerships on the Control, Prevention, and Elimination of Parasitic Diseases","volume":"1","author":[{"family":"Nwokedi","given":"Vivian Ukamaka"},{"family":"Akanbi","given":"Olukunle O."},{"family":"Ayo-ige","given":"Blessing Ayodele"},{"family":"Aderounmu","given":"Rahmatallahi Ajike"},{"family":"Kassim","given":"Nimotalai Olusola"},{"family":"Aneke","given":"Oluchi Beatrice"},{"family":"Inumimo","given":"Ogunmekan"},{"family":"Ilesanmi","given":"Olawale Johnson"},{"family":"Luper","given":"Tyoakosu"},{"family":"Farinde","given":"Tobi David"}],"issued":{"date-parts":[["2025",11,18]]}}}],"schema":"https://github.com/citation-style-language/schema/raw/master/csl-citation.json"}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6.1 Threats to MDA-Based Control Programs for Soil-Transmitted Helminths</w:t>
      </w:r>
    </w:p>
    <w:p w:rsidR="0059639A" w:rsidRPr="00EB6340" w:rsidRDefault="0059639A" w:rsidP="0059639A">
      <w:pPr>
        <w:rPr>
          <w:rFonts w:ascii="Times New Roman" w:hAnsi="Times New Roman" w:cs="Times New Roman"/>
        </w:rPr>
      </w:pPr>
      <w:r w:rsidRPr="00EB6340">
        <w:rPr>
          <w:rFonts w:ascii="Times New Roman" w:hAnsi="Times New Roman" w:cs="Times New Roman"/>
        </w:rPr>
        <w:t>Declining treatment efficacy, even when modest, may undermine progress toward morbidity reduction goals. Persistent infections in treated communities create conditions for sustained transmission and may erode public confidence in control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6.2 Need for Early-Detection Molecular Diagnostics</w:t>
      </w:r>
    </w:p>
    <w:p w:rsidR="0059639A" w:rsidRPr="00EB6340" w:rsidRDefault="0059639A" w:rsidP="0059639A">
      <w:pPr>
        <w:rPr>
          <w:rFonts w:ascii="Times New Roman" w:hAnsi="Times New Roman" w:cs="Times New Roman"/>
        </w:rPr>
      </w:pPr>
      <w:r w:rsidRPr="00EB6340">
        <w:rPr>
          <w:rFonts w:ascii="Times New Roman" w:hAnsi="Times New Roman" w:cs="Times New Roman"/>
        </w:rPr>
        <w:t>Early detection of resistance is essential to prevent programmatic failure. Molecular diagnostics capable of identifying resistance-associated markers—such as β-tubulin polymorphisms or efflux-related gene expression patterns—would enable timely responses. Such tools could guide adaptive adjustments in treatment strategies before clinical failures become widespread.</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6.3 Strategies to Slow Resistance Evolution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range of interventions may help mitigate resistance development. </w:t>
      </w:r>
      <w:r w:rsidRPr="00EB6340">
        <w:rPr>
          <w:rFonts w:ascii="Times New Roman" w:hAnsi="Times New Roman" w:cs="Times New Roman"/>
          <w:b/>
          <w:bCs/>
        </w:rPr>
        <w:t>Rotational drug strategies</w:t>
      </w:r>
      <w:r w:rsidRPr="00EB6340">
        <w:rPr>
          <w:rFonts w:ascii="Times New Roman" w:hAnsi="Times New Roman" w:cs="Times New Roman"/>
        </w:rPr>
        <w:t xml:space="preserve"> aim to reduce continuous selection for resistance to a single drug class. </w:t>
      </w:r>
      <w:r w:rsidRPr="00EB6340">
        <w:rPr>
          <w:rFonts w:ascii="Times New Roman" w:hAnsi="Times New Roman" w:cs="Times New Roman"/>
          <w:b/>
          <w:bCs/>
        </w:rPr>
        <w:t>Combination therapies</w:t>
      </w:r>
      <w:r w:rsidRPr="00EB6340">
        <w:rPr>
          <w:rFonts w:ascii="Times New Roman" w:hAnsi="Times New Roman" w:cs="Times New Roman"/>
        </w:rPr>
        <w:t xml:space="preserve">, widely successful in malaria and HIV control, may also provide synergistic effects or reduce the likelihood that any single mutation can confer broad protection. </w:t>
      </w:r>
      <w:r w:rsidRPr="00EB6340">
        <w:rPr>
          <w:rFonts w:ascii="Times New Roman" w:hAnsi="Times New Roman" w:cs="Times New Roman"/>
          <w:b/>
          <w:bCs/>
        </w:rPr>
        <w:t>Targeted treatment approaches</w:t>
      </w:r>
      <w:r w:rsidRPr="00EB6340">
        <w:rPr>
          <w:rFonts w:ascii="Times New Roman" w:hAnsi="Times New Roman" w:cs="Times New Roman"/>
        </w:rPr>
        <w:t>, such as treating only high-risk groups or using treatment thresholds based on prevalence, can reduce overall drug pressure on parasite populations</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{"citationID":"dRAsfo7G","properties":{"formattedCitation":"[25]","plainCitation":"[25]","noteIndex":0},"citationItems":[{"id":11351,"uris":["http://zotero.org/users/16652950/items/WWK84N4K"],"itemData":{"id":11351,"type":"article-journal","abstract":"Diabetic foot ulcers (DFUs) are among the most severe complications of diabetes mellitus, contributing to infection, limb loss, and premature mortality. In Africa, the rising prevalence of diabetes, combined with limited laboratory capacity and frequent empirical antibiotic use, has intensified the problem of multidrug-resistant (MDR) infections. Understanding the microbial spectrum and associated outcomes is critical for guiding evidence-based management. This review systematically synthesizes data on microbial etiologies, antimicrobial-resistance patterns, and clinical outcomes of DFUs in African populations. Methods: Following PRISMA 2020 guidelines, PubMed, Scopus, Embase, Web of Science, African Journals Online, and Google Scholar were searched for studies published between 2000 and 2025. Eligible studies included adults with DFUs in African settings that reported bacterial isolates, resistance profiles, or clinical outcomes. Two reviewers independently screened and extracted data, and study quality was appraised using the Joanna Briggs Institute checklist. Data were synthesized narratively and summarized using descriptive statistics. Sixteen verified studies from ten African countries, encompassing approximately 2,700 participants, were included. Staphylococcus aureus and Pseudomonas aeruginosa were the predominant isolates, followed by Escherichia coli, Klebsiella pneumoniae, and Proteus mirabilis. MDR prevalence was high, with methicillin-resistant S. aureus (MRSA) detected in 25–45% of isolates and extended-spectrum β-lactamase (ESBL)–producing Enterobacterales in 30–50%. Among studies reporting outcomes, amputation rates ranged from 15% to 38% and mortality from 7% to 16%, with poorer outcomes in MDR infections. Considerable heterogeneity existed in sampling and testing methods across studies. Saureus remains the dominant pathogen in African DFUs, but AMR is pervasive across bacterial species. Strengthening diagnostic laboratory systems, infection-control practices, and antimicrobial stewardship (alongside integrated diabetic foot care) is essential to reduce preventable amputations, mortality, and the continent’s growing burden of drug-resistant infections. Keywords: Diabetic","container-title":"Epidemiology and Health Data Insights","DOI":"10.63946/ehdi/17471","ISSN":"3080-8111","issue":"6","language":"english","note":"publisher: Australasia Publishing Group","page":"ehdi022","source":"www.journalehdi.com","title":"Diabetic Foot Ulcers in Africa: A Systematic Review of Microbial Profiles and Clinical Outcomes in the Context of Multidrug Resistance","title-short":"Diabetic Foot Ulcers in Africa","volume":"1","author":[{"family":"Nwosu","given":"Patrick Chinazam"},{"family":"Egwuatu","given":"Emmanuel Cherechi"},{"family":"Wright","given":"Alliah Kris-Ann"},{"family":"Ebiala","given":"Fortune Itoje"},{"family":"Yaro","given":"Gloria Ogbeyi"},{"family":"Sone","given":"Precious Esong"},{"family":"Ayo-ige","given":"Ayodele Blessing"},{"family":"Olokede","given":"Esther Uyoyooghene"}],"issued":{"date-parts":[["2025",12,1]]}}}],"schema":"https://github.com/citation-style-language/schema/raw/master/csl-citation.json"}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6.4 Opportunities for Novel Drug Discovery Targeting Less Mutable Pathways</w:t>
      </w:r>
    </w:p>
    <w:p w:rsidR="0059639A" w:rsidRPr="00EB6340" w:rsidRDefault="0059639A" w:rsidP="0059639A">
      <w:pPr>
        <w:rPr>
          <w:rFonts w:ascii="Times New Roman" w:hAnsi="Times New Roman" w:cs="Times New Roman"/>
        </w:rPr>
      </w:pPr>
      <w:r w:rsidRPr="00EB6340">
        <w:rPr>
          <w:rFonts w:ascii="Times New Roman" w:hAnsi="Times New Roman" w:cs="Times New Roman"/>
        </w:rPr>
        <w:t>The identification of molecular pathways that are less prone to mutation offers opportunities for innovative therapeutics. Drugs that target conserved metabolic processes or regulatory pathways essential for helminth survival could exhibit greater resilience to resistance evolution</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{"citationID":"VkZZx8fs","properties":{"formattedCitation":"[26]","plainCitation":"[26]","noteIndex":0},"citationItems":[{"id":11360,"uris":["http://zotero.org/users/16652950/items/HZYDEHTC"],"itemData":{"id":11360,"type":"article-journal","abstract":"Cultural competence has become a cornerstone of effective social work and healthcare practices in increasingly diverse societies. This review explores the development of culturally competent models to enhance inclusive interventions in these fields. Drawing on interdisciplinary frameworks and empirical studies, the paper examines key concepts, such as cultural awareness, humility, and intersectionality, while analyzing their practical applications in various settings. Current models, including the Purnell Model for Cultural Competence and the Cultural Competence Continuum, are critically evaluated to highlight their strengths and limitations. Challenges such as implicit bias, resource inequities, and the absence of standardized assessment tools are identified as significant barriers to implementation. The review also discusses innovative strategies, including technology-assisted training and community-driven approaches, as potential solutions to address these gaps.","container-title":"International Journal of Science and Research Archive","DOI":"10.30574/ijsra.2025.14.1.0226","ISSN":"25828185","issue":"1","journalAbbreviation":"Int. J. Sci. Res. Arch.","language":"en","page":"1396-1406","source":"DOI.org (Crossref)","title":"Developing culturally competent models for inclusive social work and healthcare interventions","volume":"14","author":[{"literal":"Adeseun Kafayat Balogun"},{"literal":"Julie Alaere Atta"},{"literal":"Oreoluwa Mary Oyetubo"},{"literal":"Victor Akachukwu Ibiam"},{"literal":"Kehinde Abiola Bakare-Adesokan"},{"literal":"Taiwo Ololade Ojo"}],"issued":{"date-parts":[["2025",1,30]]}}}],"schema":"https://github.com/citation-style-language/schema/raw/master/csl-citation.json"}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[26]</w:t>
      </w:r>
      <w:r w:rsidR="00E82B3A">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 xml:space="preserve">6.5 Integrating Genomic Surveillance </w:t>
      </w:r>
      <w:proofErr w:type="gramStart"/>
      <w:r w:rsidRPr="00EB6340">
        <w:rPr>
          <w:rFonts w:ascii="Times New Roman" w:hAnsi="Times New Roman" w:cs="Times New Roman"/>
          <w:b/>
          <w:bCs/>
        </w:rPr>
        <w:t>Into</w:t>
      </w:r>
      <w:proofErr w:type="gramEnd"/>
      <w:r w:rsidRPr="00EB6340">
        <w:rPr>
          <w:rFonts w:ascii="Times New Roman" w:hAnsi="Times New Roman" w:cs="Times New Roman"/>
          <w:b/>
          <w:bCs/>
        </w:rPr>
        <w:t xml:space="preserve"> Global Health Policy</w:t>
      </w:r>
    </w:p>
    <w:p w:rsidR="0059639A" w:rsidRPr="00EB6340" w:rsidRDefault="0059639A" w:rsidP="0059639A">
      <w:pPr>
        <w:rPr>
          <w:rFonts w:ascii="Times New Roman" w:hAnsi="Times New Roman" w:cs="Times New Roman"/>
        </w:rPr>
      </w:pPr>
      <w:r w:rsidRPr="00EB6340">
        <w:rPr>
          <w:rFonts w:ascii="Times New Roman" w:hAnsi="Times New Roman" w:cs="Times New Roman"/>
        </w:rPr>
        <w:t>Genomic surveillance systems are increasingly feasible and can provide real-time insights into resistance emergence and spread. Integrating these systems into national and international health policies would support evidence-based decision-making, improve MDA program design, and ensure rapid responses to emerging threats</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{"citationID":"W6xIqdPj","properties":{"formattedCitation":"[27]","plainCitation":"[27]","noteIndex":0},"citationItems":[{"id":11899,"uris":["http://zotero.org/users/16652950/items/MR4Y54NR"],"itemData":{"id":11899,"type":"article-journal","abstract":"Antimicrobial resistance (AMR) is a critical global public health threat, with bacterial pathogens of primary concern. Pathogen genomics has revolutionized the study of bacterial pathogens and provided deep insights into the mechanisms and dissemination of AMR, with the precision of whole-genome sequencing informing better control strategies. However, generating actionable data from genomic surveillance and diagnostic efforts requires integration at the public health and clinical interface that goes beyond academic efforts to identify resistance mechanisms, undertake post hoc analyses of outbreaks, and share data after research publications. In addition to timely genomics data, consideration also needs to be given to epidemiological sampling frames, analysis, and reporting mechanisms that meet International Organization for Standardization (ISO) standards and generation of reports that are interpretable and actionable for public health and clinical “end-users.” Importantly, ensuring all countries have equitable access to data and technology is critical, through timely data sharing following the FAIR principles (findable, accessible, interoperable, and re-usable). In this review, we describe (i) advances in genomic approaches for AMR research and surveillance to understand emergence, evolution, and transmission of AMR and the key requirements to enable this work and (ii) discuss emerging and future applications of genomics at the clinical and public health interface, including barriers to implementation. Harnessing advances in genomics-enhanced AMR research and embedding robust and reproducible workflows within clinical and public health practice promises to maximize the impact of pathogen genomics for AMR globally in the coming decade.","container-title":"Antimicrobial Agents and Chemotherapy","DOI":"10.1128/aac.01082-24","ISSN":"0066-4804","issue":"5","journalAbbreviation":"Antimicrob Agents Chemother","note":"PMID: 40227048\nPMCID: PMC12057382","page":"e01082-24","source":"PubMed Central","title":"Genomics for antimicrobial resistance—progress and future directions","volume":"69","author":[{"family":"Sherry","given":"Norelle L."},{"family":"Lee","given":"Jean Y. H."},{"family":"Giulieri","given":"Stefano G."},{"family":"Connor","given":"Christopher H."},{"family":"Horan","given":"Kristy"},{"family":"Lacey","given":"Jake A."},{"family":"Lane","given":"Courtney R."},{"family":"Carter","given":"Glen P."},{"family":"Seemann","given":"Torsten"},{"family":"Egli","given":"Adrian"},{"family":"Stinear","given":"Timothy P."},{"family":"Howden","given":"Benjamin P."}]}}],"schema":"https://github.com/citation-style-language/schema/raw/master/csl-citation.json"}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8. Conclusion</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 xml:space="preserve">Growing evidence of anthelmintic resistance in human helminths highlights the need for a deeper understanding of the genetic markers and molecular pathways that underlie reduced drug susceptibility. Mutations in β-tubulin, alterations in ligand-gated ion channels, upregulation of efflux transporters, and shifts in metabolic and regulatory networks collectively demonstrate that resistance is a multifaceted phenomenon shaped by complex biological interactions. These insights underscore the urgent need for </w:t>
      </w:r>
      <w:r w:rsidRPr="00EB6340">
        <w:rPr>
          <w:rFonts w:ascii="Times New Roman" w:hAnsi="Times New Roman" w:cs="Times New Roman"/>
          <w:b/>
          <w:bCs/>
        </w:rPr>
        <w:t>coordinated global surveillance</w:t>
      </w:r>
      <w:r w:rsidRPr="00EB6340">
        <w:rPr>
          <w:rFonts w:ascii="Times New Roman" w:hAnsi="Times New Roman" w:cs="Times New Roman"/>
        </w:rPr>
        <w:t xml:space="preserve"> capable of detecting early molecular signals of resistance before widespread treatment failure occurs. Robust genomic monitoring systems, integrated with epidemiological data, will be essential for guiding adaptive responses in regions heavily reliant on mass drug administration.</w:t>
      </w:r>
    </w:p>
    <w:p w:rsidR="0059639A" w:rsidRDefault="0059639A" w:rsidP="0059639A">
      <w:pPr>
        <w:rPr>
          <w:rFonts w:ascii="Times New Roman" w:hAnsi="Times New Roman" w:cs="Times New Roman"/>
        </w:rPr>
      </w:pPr>
      <w:r w:rsidRPr="00EB6340">
        <w:rPr>
          <w:rFonts w:ascii="Times New Roman" w:hAnsi="Times New Roman" w:cs="Times New Roman"/>
        </w:rPr>
        <w:t xml:space="preserve">Incorporating molecular knowledge into </w:t>
      </w:r>
      <w:r w:rsidRPr="00EB6340">
        <w:rPr>
          <w:rFonts w:ascii="Times New Roman" w:hAnsi="Times New Roman" w:cs="Times New Roman"/>
          <w:b/>
          <w:bCs/>
        </w:rPr>
        <w:t>drug-policy and control strategies</w:t>
      </w:r>
      <w:r w:rsidRPr="00EB6340">
        <w:rPr>
          <w:rFonts w:ascii="Times New Roman" w:hAnsi="Times New Roman" w:cs="Times New Roman"/>
        </w:rPr>
        <w:t xml:space="preserve"> can help optimize treatment regimens, inform the development of diagnostic tools, and support evidence-based stewardship of existing anthelmintics. As genomic technologies advance and global cooperation strengthens, harnessing these molecular insights will be critical for sustaining the long-term effectiveness of helminth control programs and safeguarding vulnerable populations worldwide.</w:t>
      </w:r>
    </w:p>
    <w:p w:rsidR="006444E0" w:rsidRDefault="006444E0" w:rsidP="0059639A">
      <w:pPr>
        <w:rPr>
          <w:rFonts w:ascii="Times New Roman" w:hAnsi="Times New Roman" w:cs="Times New Roman"/>
        </w:rPr>
      </w:pP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 Future Directions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Future progress in understanding and mitigating anthelmintic resistance will depend on expanding the genomic and epidemiological foundations that support resistance research and surveillance. A key priority is </w:t>
      </w:r>
      <w:r w:rsidRPr="00EB6340">
        <w:rPr>
          <w:rFonts w:ascii="Times New Roman" w:hAnsi="Times New Roman" w:cs="Times New Roman"/>
          <w:b/>
          <w:bCs/>
        </w:rPr>
        <w:t>filling genomic data gaps for neglected human helminth species</w:t>
      </w:r>
      <w:r w:rsidRPr="00EB6340">
        <w:rPr>
          <w:rFonts w:ascii="Times New Roman" w:hAnsi="Times New Roman" w:cs="Times New Roman"/>
        </w:rPr>
        <w:t>, many of which currently lack high-quality reference genomes or sufficient population-level sequence data. Improved genomic resources will allow more robust comparative analyses and enhance the detection of resistance-associated variants</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{"citationID":"bHnSREHz","properties":{"formattedCitation":"[28]","plainCitation":"[28]","noteIndex":0},"citationItems":[{"id":11347,"uris":["http://zotero.org/users/16652950/items/3H7EMJZ3"],"itemData":{"id":11347,"type":"article-journal","abstract":"The disease progression and pathogenesis of endocrine and gynaecological cancers rely heavily on hormonal mechanisms that control cell growth while determining differentiation and metabolic functions. Scientific research has proven extensive studies of hormonal signalling in cancer development by describing the effects of estrogen and progesterone hormones alongside androgens and other endocrine substances on cellular growth and genome instability. Endocrine cancers including thyroid and adrenal cancers, show uncontrolled cell development because feedback regulators and gene mutations cause dysregulation. The hormonal imbalances resulting from early menarche alongside late menopause and hormonal replacement therapy emerge as primary drivers of tumorigenesis in gynaecological cancers including ovarian cancer, cervical cancer, and uterine cancer. New findings demonstrate that signals transmitted via hormones impact cancer cell metastasis while influencing treatment response inside cancer cell habitats. New therapies using anti-oestrogen medication and androgen-deprivation treatments show strong potential to combat cancer effectively. Regarding hormone-driven carcinogenesis, we face limitations in our understanding of molecular mechanisms and our ability to optimize hormone-based therapeutic approaches. This review investigates the complex contributions of hormones to both endocrine and gynaecological cancers while presenting their clinical value for developing future innovative therapeutic approaches. However, current hormone-based therapies present limitations such as resistance and non-specific targeting. Future research should focus on novel biomarkers and personalized treatment approaches.","container-title":"International Journal of Advanced Biological and Biomedical Research","DOI":"10.48309/ijabbr.2025.2056347.1585","ISSN":"2383-2762","issue":"5","language":"en","note":"publisher: Sami Publishing Company","page":"573-603","source":"www.ijabbr.com","title":"The Role of Hormones in the Onset and Progression of Endocrine and Gynaecological Cancers","volume":"13","author":[{"family":"Yussuf","given":"Mubaraq D."},{"family":"Umeh","given":"Ikechukwu Emmanuel"},{"family":"Kolawole","given":"Habib Olaniran"},{"family":"Adisa","given":"Ayobami Abdul Razak"},{"family":"Ashimi","given":"Abdullah Aderemi"},{"family":"Oladosu","given":"Michael Abimbola"},{"family":"Ebubechi","given":"Daniel Obasi"},{"family":"Olumide","given":"Mololuwa Kehinde"},{"family":"Ayo-ige","given":"Ayodele Blessing"}],"issued":{"date-parts":[["2025",6,18]]}}}],"schema":"https://github.com/citation-style-language/schema/raw/master/csl-citation.json"}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[28]</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7.2 Expanding Global Surveillance Networks in Endemic Regions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Building </w:t>
      </w:r>
      <w:r w:rsidRPr="00EB6340">
        <w:rPr>
          <w:rFonts w:ascii="Times New Roman" w:hAnsi="Times New Roman" w:cs="Times New Roman"/>
          <w:b/>
          <w:bCs/>
        </w:rPr>
        <w:t>comprehensive surveillance systems</w:t>
      </w:r>
      <w:r w:rsidRPr="00EB6340">
        <w:rPr>
          <w:rFonts w:ascii="Times New Roman" w:hAnsi="Times New Roman" w:cs="Times New Roman"/>
        </w:rPr>
        <w:t xml:space="preserve"> in regions where helminth infections are most prevalent will be essential for tracking the emergence and spread of resistance. Coordinated international networks can facilitate standardized sampling, data sharing, and rapid response to early warning signals.</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7.3 Standardizing Genetic Markers for Resistance Reporting</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To ensure comparability across studies, the field must work toward </w:t>
      </w:r>
      <w:r w:rsidRPr="00EB6340">
        <w:rPr>
          <w:rFonts w:ascii="Times New Roman" w:hAnsi="Times New Roman" w:cs="Times New Roman"/>
          <w:b/>
          <w:bCs/>
        </w:rPr>
        <w:t>harmonized frameworks</w:t>
      </w:r>
      <w:r w:rsidRPr="00EB6340">
        <w:rPr>
          <w:rFonts w:ascii="Times New Roman" w:hAnsi="Times New Roman" w:cs="Times New Roman"/>
        </w:rPr>
        <w:t xml:space="preserve"> for defining and reporting genetic markers of resistance. This includes establishing consensus on which mutations represent validated markers, how evidence levels should be classified, and how allele frequency data should be interpreted in public health contexts</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{"citationID":"UhxEmhMO","properties":{"formattedCitation":"[29]","plainCitation":"[29]","noteIndex":0},"citationItems":[{"id":11285,"uris":["http://zotero.org/users/16652950/items/CUK8F6VT"],"itemData":{"id":11285,"type":"article-journal","abstract":"Antimicrobial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[29]</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7.4 Emerging Technologies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Technological advances such as </w:t>
      </w:r>
      <w:r w:rsidRPr="00EB6340">
        <w:rPr>
          <w:rFonts w:ascii="Times New Roman" w:hAnsi="Times New Roman" w:cs="Times New Roman"/>
          <w:b/>
          <w:bCs/>
        </w:rPr>
        <w:t>AI-guided target identification</w:t>
      </w:r>
      <w:r w:rsidRPr="00EB6340">
        <w:rPr>
          <w:rFonts w:ascii="Times New Roman" w:hAnsi="Times New Roman" w:cs="Times New Roman"/>
        </w:rPr>
        <w:t xml:space="preserve">, </w:t>
      </w:r>
      <w:r w:rsidRPr="00EB6340">
        <w:rPr>
          <w:rFonts w:ascii="Times New Roman" w:hAnsi="Times New Roman" w:cs="Times New Roman"/>
          <w:b/>
          <w:bCs/>
        </w:rPr>
        <w:t>long-read sequencing</w:t>
      </w:r>
      <w:r w:rsidRPr="00EB6340">
        <w:rPr>
          <w:rFonts w:ascii="Times New Roman" w:hAnsi="Times New Roman" w:cs="Times New Roman"/>
        </w:rPr>
        <w:t xml:space="preserve">, and improved annotation pipelines hold promise for accelerating discovery and characterization of </w:t>
      </w:r>
      <w:r w:rsidRPr="00EB6340">
        <w:rPr>
          <w:rFonts w:ascii="Times New Roman" w:hAnsi="Times New Roman" w:cs="Times New Roman"/>
        </w:rPr>
        <w:lastRenderedPageBreak/>
        <w:t>resistance pathways. These tools may uncover previously unrecognized molecular targets and provide deeper insight into helminth population structure and evolution</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{"citationID":"4abP4atx","properties":{"formattedCitation":"[30,31]","plainCitation":"[30,31]","noteIndex":0},"citationItems":[{"id":11022,"uris":["http://zotero.org/users/16652950/items/8X6GU735"],"itemData":{"id":11022,"type":"article-journal","abstract":"This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Ayodele"}],"issued":{"date-parts":[["2025",10,15]]}}},{"id":11356,"uris":["http://zotero.org/users/16652950/items/RJH8IM84"],"itemData":{"id":11356,"type":"article-journal","abstract":"This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[30,31]</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7.5 Moving Toward Precision Anthelmintic Stewardship</w:t>
      </w:r>
    </w:p>
    <w:p w:rsidR="006444E0" w:rsidRDefault="006444E0" w:rsidP="006444E0">
      <w:pPr>
        <w:rPr>
          <w:rFonts w:ascii="Times New Roman" w:hAnsi="Times New Roman" w:cs="Times New Roman"/>
        </w:rPr>
      </w:pPr>
      <w:r w:rsidRPr="00EB6340">
        <w:rPr>
          <w:rFonts w:ascii="Times New Roman" w:hAnsi="Times New Roman" w:cs="Times New Roman"/>
        </w:rPr>
        <w:t xml:space="preserve">Ultimately, integrating molecular insights with treatment strategies may enable </w:t>
      </w:r>
      <w:r w:rsidRPr="00EB6340">
        <w:rPr>
          <w:rFonts w:ascii="Times New Roman" w:hAnsi="Times New Roman" w:cs="Times New Roman"/>
          <w:b/>
          <w:bCs/>
        </w:rPr>
        <w:t>precision anthelmintic stewardship</w:t>
      </w:r>
      <w:r w:rsidRPr="00EB6340">
        <w:rPr>
          <w:rFonts w:ascii="Times New Roman" w:hAnsi="Times New Roman" w:cs="Times New Roman"/>
        </w:rPr>
        <w:t>, where interventions are tailored to local parasite populations, resistance patterns, and transmission dynamics. Such an approach could maximize drug effectiveness, slow resistance evolution, and improve the sustainability of helminth control efforts</w:t>
      </w:r>
      <w:r w:rsidR="00E82B3A">
        <w:rPr>
          <w:rFonts w:ascii="Times New Roman" w:hAnsi="Times New Roman" w:cs="Times New Roman"/>
        </w:rPr>
        <w:fldChar w:fldCharType="begin"/>
      </w:r>
      <w:r>
        <w:rPr>
          <w:rFonts w:ascii="Times New Roman" w:hAnsi="Times New Roman" w:cs="Times New Roman"/>
        </w:rPr>
        <w:instrText xml:space="preserve"> ADDIN ZOTERO_ITEM CSL_CITATION {"citationID":"HR3whqy9","properties":{"formattedCitation":"[32]","plainCitation":"[32]","noteIndex":0},"citationItems":[{"id":11358,"uris":["http://zotero.org/users/16652950/items/GTQM5J2S"],"itemData":{"id":11358,"type":"article-journal","abstract":"Artificial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E82B3A">
        <w:rPr>
          <w:rFonts w:ascii="Times New Roman" w:hAnsi="Times New Roman" w:cs="Times New Roman"/>
        </w:rPr>
        <w:fldChar w:fldCharType="separate"/>
      </w:r>
      <w:r w:rsidRPr="00221E32">
        <w:rPr>
          <w:rFonts w:ascii="Times New Roman" w:hAnsi="Times New Roman" w:cs="Times New Roman"/>
        </w:rPr>
        <w:t>[32]</w:t>
      </w:r>
      <w:r w:rsidR="00E82B3A">
        <w:rPr>
          <w:rFonts w:ascii="Times New Roman" w:hAnsi="Times New Roman" w:cs="Times New Roman"/>
        </w:rPr>
        <w:fldChar w:fldCharType="end"/>
      </w:r>
      <w:r w:rsidRPr="00EB6340">
        <w:rPr>
          <w:rFonts w:ascii="Times New Roman" w:hAnsi="Times New Roman" w:cs="Times New Roman"/>
        </w:rPr>
        <w:t>.</w:t>
      </w:r>
    </w:p>
    <w:p w:rsidR="00A8362C" w:rsidRDefault="00A8362C" w:rsidP="006444E0">
      <w:pPr>
        <w:rPr>
          <w:rFonts w:ascii="Times New Roman" w:hAnsi="Times New Roman" w:cs="Times New Roman"/>
        </w:rPr>
      </w:pPr>
    </w:p>
    <w:p w:rsidR="00A8362C" w:rsidRPr="00A8362C" w:rsidRDefault="00A8362C" w:rsidP="00A8362C">
      <w:pPr>
        <w:rPr>
          <w:rFonts w:ascii="Times New Roman" w:hAnsi="Times New Roman" w:cs="Times New Roman"/>
        </w:rPr>
      </w:pPr>
      <w:r w:rsidRPr="00A8362C">
        <w:rPr>
          <w:rFonts w:ascii="Times New Roman" w:hAnsi="Times New Roman" w:cs="Times New Roman"/>
        </w:rPr>
        <w:t>COMPETING INTERESTS DISCLAIMER:</w:t>
      </w:r>
    </w:p>
    <w:p w:rsidR="00A8362C" w:rsidRPr="00EB6340" w:rsidRDefault="00A8362C" w:rsidP="00A8362C">
      <w:pPr>
        <w:rPr>
          <w:rFonts w:ascii="Times New Roman" w:hAnsi="Times New Roman" w:cs="Times New Roman"/>
        </w:rPr>
      </w:pPr>
      <w:r w:rsidRPr="00A8362C">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rsidR="006444E0" w:rsidRPr="00EB6340" w:rsidRDefault="006444E0" w:rsidP="0059639A">
      <w:pPr>
        <w:rPr>
          <w:rFonts w:ascii="Times New Roman" w:hAnsi="Times New Roman" w:cs="Times New Roman"/>
        </w:rPr>
      </w:pPr>
    </w:p>
    <w:p w:rsidR="0059639A" w:rsidRPr="00EB6340" w:rsidRDefault="0059639A">
      <w:pPr>
        <w:rPr>
          <w:rFonts w:ascii="Times New Roman" w:hAnsi="Times New Roman" w:cs="Times New Roman"/>
        </w:rPr>
      </w:pPr>
    </w:p>
    <w:p w:rsidR="007A7561" w:rsidRPr="00EB6340" w:rsidRDefault="007A7561">
      <w:pPr>
        <w:rPr>
          <w:rFonts w:ascii="Times New Roman" w:hAnsi="Times New Roman" w:cs="Times New Roman"/>
        </w:rPr>
      </w:pPr>
      <w:r w:rsidRPr="00EB6340">
        <w:rPr>
          <w:rFonts w:ascii="Times New Roman" w:hAnsi="Times New Roman" w:cs="Times New Roman"/>
        </w:rPr>
        <w:t>REFRENCES</w:t>
      </w:r>
    </w:p>
    <w:p w:rsidR="007A7561" w:rsidRPr="00EB6340" w:rsidRDefault="007A7561">
      <w:pPr>
        <w:rPr>
          <w:rFonts w:ascii="Times New Roman" w:hAnsi="Times New Roman" w:cs="Times New Roman"/>
        </w:rPr>
      </w:pPr>
    </w:p>
    <w:p w:rsidR="00221E32" w:rsidRPr="00221E32" w:rsidRDefault="00E82B3A" w:rsidP="00221E32">
      <w:pPr>
        <w:pStyle w:val="Bibliography"/>
        <w:rPr>
          <w:rFonts w:ascii="Times New Roman" w:hAnsi="Times New Roman" w:cs="Times New Roman"/>
        </w:rPr>
      </w:pPr>
      <w:r w:rsidRPr="00EB6340">
        <w:fldChar w:fldCharType="begin"/>
      </w:r>
      <w:r w:rsidR="007A7561" w:rsidRPr="00EB6340">
        <w:instrText xml:space="preserve"> ADDIN ZOTERO_BIBL {"uncited":[],"omitted":[],"custom":[]} CSL_BIBLIOGRAPHY </w:instrText>
      </w:r>
      <w:r w:rsidRPr="00EB6340">
        <w:fldChar w:fldCharType="separate"/>
      </w:r>
      <w:r w:rsidR="00221E32" w:rsidRPr="00221E32">
        <w:rPr>
          <w:rFonts w:ascii="Times New Roman" w:hAnsi="Times New Roman" w:cs="Times New Roman"/>
        </w:rPr>
        <w:t xml:space="preserve">1. </w:t>
      </w:r>
      <w:r w:rsidR="00221E32" w:rsidRPr="00221E32">
        <w:rPr>
          <w:rFonts w:ascii="Times New Roman" w:hAnsi="Times New Roman" w:cs="Times New Roman"/>
        </w:rPr>
        <w:tab/>
      </w:r>
      <w:r w:rsidR="000F1194" w:rsidRPr="000F1194">
        <w:rPr>
          <w:rFonts w:ascii="Times New Roman" w:hAnsi="Times New Roman" w:cs="Times New Roman"/>
        </w:rPr>
        <w:t>Usang, A. U., Imalele, E. E., Effanga, E. O., Ukoha, U. K., &amp; Eleng, I. E. (2025). Soil-transmitted helminth infections and nutritional indices among children (5–9 years) and adolescents (10–12 years) in Calabar, Nigeria. BMC Public Health, 25(1), 1. https://doi.org/10.1186/s12889-024-21210-4</w:t>
      </w:r>
      <w:r w:rsidR="000F1194">
        <w:rPr>
          <w:rFonts w:ascii="Times New Roman" w:hAnsi="Times New Roman" w:cs="Times New Roman"/>
        </w:rPr>
        <w:t xml:space="preserve"> </w:t>
      </w:r>
      <w:r w:rsidR="00221E32"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 </w:t>
      </w:r>
      <w:r w:rsidRPr="00221E32">
        <w:rPr>
          <w:rFonts w:ascii="Times New Roman" w:hAnsi="Times New Roman" w:cs="Times New Roman"/>
        </w:rPr>
        <w:tab/>
      </w:r>
      <w:r w:rsidR="001222FE" w:rsidRPr="001222FE">
        <w:rPr>
          <w:rFonts w:ascii="Times New Roman" w:hAnsi="Times New Roman" w:cs="Times New Roman"/>
        </w:rPr>
        <w:t>Schlosser-Brandenburg, J., Midha, A., Mugo, R. M., Ndombi, E. M., Gachara, G., Njomo, D., Rausch, S., &amp; Hartmann, S. (2023). Infection with soil-transmitted helminths and their impact on coinfections. Frontiers in Parasitology. https://doi.org/10.3389/fpara.2023.1197956</w:t>
      </w:r>
      <w:r w:rsidR="001222FE">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3. </w:t>
      </w:r>
      <w:r w:rsidRPr="00221E32">
        <w:rPr>
          <w:rFonts w:ascii="Times New Roman" w:hAnsi="Times New Roman" w:cs="Times New Roman"/>
        </w:rPr>
        <w:tab/>
      </w:r>
      <w:r w:rsidR="005539B0" w:rsidRPr="005539B0">
        <w:rPr>
          <w:rFonts w:ascii="Times New Roman" w:hAnsi="Times New Roman" w:cs="Times New Roman"/>
        </w:rPr>
        <w:t>Agrawal, R., Pattnaik, S., Kshatri, J. S., Kanungo, S., Mandal, N., Palo, S. K., &amp; Pati, S. (2024). Prevalence and correlates of soil-transmitted helminths in schoolchildren aged 5 to 18 years in low- and middle-income countries: a systematic review and meta-analysis. Frontiers in Public Health, 12, 1283054. https://doi.org/10.3389/fpubh.2024.1283054</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4. </w:t>
      </w:r>
      <w:r w:rsidRPr="00221E32">
        <w:rPr>
          <w:rFonts w:ascii="Times New Roman" w:hAnsi="Times New Roman" w:cs="Times New Roman"/>
        </w:rPr>
        <w:tab/>
      </w:r>
      <w:r w:rsidR="00B53F44" w:rsidRPr="00B53F44">
        <w:rPr>
          <w:rFonts w:ascii="Times New Roman" w:hAnsi="Times New Roman" w:cs="Times New Roman"/>
        </w:rPr>
        <w:t>Gibson, S. B., Ness-Cohn, E., &amp; Andersen, E. C. (2022). Benzimidazoles cause lethality by inhibiting the function of Caenorhabditis elegans neuronal beta-tubulin. International Journal for Parasitology: Drugs and Drug Resistance, 20, 89–96. https://doi.org/10.1016/j.ijpddr.2022.10.004</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lastRenderedPageBreak/>
        <w:t xml:space="preserve">5. </w:t>
      </w:r>
      <w:r w:rsidRPr="00221E32">
        <w:rPr>
          <w:rFonts w:ascii="Times New Roman" w:hAnsi="Times New Roman" w:cs="Times New Roman"/>
        </w:rPr>
        <w:tab/>
      </w:r>
      <w:r w:rsidR="00FE2594" w:rsidRPr="00FE2594">
        <w:rPr>
          <w:rFonts w:ascii="Times New Roman" w:hAnsi="Times New Roman" w:cs="Times New Roman"/>
        </w:rPr>
        <w:t>Choudhary, S., Kashyap, S. S., Martin, R. J., &amp; Robertson, A. P. (2021). Advances in our understanding of nematode ion channels as potential anthelmintic targets. International Journal for Parasitology: Drugs and Drug Resistance, 18, 52–86. https://doi.org/10.1016/j.ijpddr.2021.12.001</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6. </w:t>
      </w:r>
      <w:r w:rsidRPr="00221E32">
        <w:rPr>
          <w:rFonts w:ascii="Times New Roman" w:hAnsi="Times New Roman" w:cs="Times New Roman"/>
        </w:rPr>
        <w:tab/>
      </w:r>
      <w:r w:rsidR="00D60564" w:rsidRPr="00D60564">
        <w:rPr>
          <w:rFonts w:ascii="Times New Roman" w:hAnsi="Times New Roman" w:cs="Times New Roman"/>
        </w:rPr>
        <w:t>Carlson, A. B., &amp; Kraus, G. P. (2025). Physiology, Cholinergic Receptors. In StatPearls. StatPearls Publishing. https://www.ncbi.nlm.nih.gov/books/NBK526134/</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7. </w:t>
      </w:r>
      <w:r w:rsidRPr="00221E32">
        <w:rPr>
          <w:rFonts w:ascii="Times New Roman" w:hAnsi="Times New Roman" w:cs="Times New Roman"/>
        </w:rPr>
        <w:tab/>
      </w:r>
      <w:r w:rsidR="002A16D9" w:rsidRPr="002A16D9">
        <w:rPr>
          <w:rFonts w:ascii="Times New Roman" w:hAnsi="Times New Roman" w:cs="Times New Roman"/>
        </w:rPr>
        <w:t>Fissiha, W., &amp; Kinde, M. Z. (2021). Anthelmintic Resistance and Its Mechanism: A Review. Infection and Drug Resistance. https://doi.org/10.2147/IDR.S332378</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8. </w:t>
      </w:r>
      <w:r w:rsidRPr="00221E32">
        <w:rPr>
          <w:rFonts w:ascii="Times New Roman" w:hAnsi="Times New Roman" w:cs="Times New Roman"/>
        </w:rPr>
        <w:tab/>
      </w:r>
      <w:r w:rsidR="00F03516" w:rsidRPr="00F03516">
        <w:rPr>
          <w:rFonts w:ascii="Times New Roman" w:hAnsi="Times New Roman" w:cs="Times New Roman"/>
        </w:rPr>
        <w:t>Tenorio, J. C. B., Heikal, M. F., Kafle, A., Saichua, P., &amp; Suttiprapa, S. (2024). Benzimidazole Resistance-Associated Mutations in the β-tubulin Gene of Hookworms: A Systematic Review. Parasitology Research, 123(12), 405. https://doi.org/10.1007/s00436-024-08432-6</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9. </w:t>
      </w:r>
      <w:r w:rsidRPr="00221E32">
        <w:rPr>
          <w:rFonts w:ascii="Times New Roman" w:hAnsi="Times New Roman" w:cs="Times New Roman"/>
        </w:rPr>
        <w:tab/>
      </w:r>
      <w:r w:rsidR="004D7448" w:rsidRPr="004D7448">
        <w:rPr>
          <w:rFonts w:ascii="Times New Roman" w:hAnsi="Times New Roman" w:cs="Times New Roman"/>
        </w:rPr>
        <w:t>Wolstenholme, A. J., &amp; Rogers, A. T. (2005). Glutamate-gated chloride channels and the mode of action of the avermectin/milbemycin anthelmintics. Parasitology, 131, S85–S95. https://doi.org/10.1017/S0031182005008218</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10. </w:t>
      </w:r>
      <w:r w:rsidRPr="00221E32">
        <w:rPr>
          <w:rFonts w:ascii="Times New Roman" w:hAnsi="Times New Roman" w:cs="Times New Roman"/>
        </w:rPr>
        <w:tab/>
      </w:r>
      <w:r w:rsidR="00E91D8A" w:rsidRPr="00E91D8A">
        <w:rPr>
          <w:rFonts w:ascii="Times New Roman" w:hAnsi="Times New Roman" w:cs="Times New Roman"/>
        </w:rPr>
        <w:t>Nagampalli, R. S. K., Vadla, G. P., &amp; Nadendla, E. K. (2025). Emerging Strategies to Overcome Chemoresistance: Structural Insights and Therapeutic Targeting of Multidrug Resistance-Linked ATP-Binding Cassette Transporters. International Journal of Translational Medicine. https://doi.org/10.3390/ijtm5010006</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11. </w:t>
      </w:r>
      <w:r w:rsidRPr="00221E32">
        <w:rPr>
          <w:rFonts w:ascii="Times New Roman" w:hAnsi="Times New Roman" w:cs="Times New Roman"/>
        </w:rPr>
        <w:tab/>
      </w:r>
      <w:r w:rsidR="00706731" w:rsidRPr="00706731">
        <w:rPr>
          <w:rFonts w:ascii="Times New Roman" w:hAnsi="Times New Roman" w:cs="Times New Roman"/>
        </w:rPr>
        <w:t>Aborode, A. T., Adesola, R. O., Onifade, I. A., Adesiyan, R., Ibiam, V. A., Jinadu, N. A., &amp; Bakre, A. A. (2025). Outbreak of cholera in Nigeria: the role of One Health. *Discov Public Health*, *22*(1), 125. https://doi.org/10.1186/s12982-025-00526-5</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12. </w:t>
      </w:r>
      <w:r w:rsidRPr="00221E32">
        <w:rPr>
          <w:rFonts w:ascii="Times New Roman" w:hAnsi="Times New Roman" w:cs="Times New Roman"/>
        </w:rPr>
        <w:tab/>
      </w:r>
      <w:r w:rsidR="00CE5D7B" w:rsidRPr="00CE5D7B">
        <w:rPr>
          <w:rFonts w:ascii="Times New Roman" w:hAnsi="Times New Roman" w:cs="Times New Roman"/>
        </w:rPr>
        <w:t>Abdelmonem, B. H., Abdelaal, N. M., Anwer, E. K. E., Rashwan, A. A., Hussein, M. A., Ahmed, Y. F., Khashana, R., Hanna, M. M., &amp; Abdelnaser, A. (2024). Decoding the Role of CYP450 Enzymes in Metabolism and Disease: A Comprehensive Review. Biomedicines, 12(7), 1467. https://doi.org/10.3390/biomedicines12071467</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13. </w:t>
      </w:r>
      <w:r w:rsidRPr="00221E32">
        <w:rPr>
          <w:rFonts w:ascii="Times New Roman" w:hAnsi="Times New Roman" w:cs="Times New Roman"/>
        </w:rPr>
        <w:tab/>
      </w:r>
      <w:r w:rsidR="00A9369D" w:rsidRPr="00A9369D">
        <w:rPr>
          <w:rFonts w:ascii="Times New Roman" w:hAnsi="Times New Roman" w:cs="Times New Roman"/>
        </w:rPr>
        <w:t>Vosála, O., Krátký, J., Matoušková, P., Rychlá, N., Štěrbová, K., Raisová Stuchlíková, L., Vokřál, I., &amp; Skálová, L. (2025). Biotransformation of anthelmintics in nematodes in relation to drug resistance. International Journal for Parasitology: Drugs and Drug Resistance, 27, 100579. https://doi.org/10.1016/j.ijpddr.2025.100579</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14. </w:t>
      </w:r>
      <w:r w:rsidRPr="00221E32">
        <w:rPr>
          <w:rFonts w:ascii="Times New Roman" w:hAnsi="Times New Roman" w:cs="Times New Roman"/>
        </w:rPr>
        <w:tab/>
      </w:r>
      <w:r w:rsidR="00D47335" w:rsidRPr="00D47335">
        <w:rPr>
          <w:rFonts w:ascii="Times New Roman" w:hAnsi="Times New Roman" w:cs="Times New Roman"/>
        </w:rPr>
        <w:t>Ramkhelawan, T., Naidoo, P., &amp; Mkhize-Kwitshana, Z. L. (2025). Single nucleotide polymorphisms associated with benzimidazole resistance of the β-tubulin isotype 1 gene in Ascaris lumbricoides isolated in South Africa. Brazilian Journal of Infectious Diseases. https://doi.org/10.1016/j.bjid.2025.104556</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15. </w:t>
      </w:r>
      <w:r w:rsidRPr="00221E32">
        <w:rPr>
          <w:rFonts w:ascii="Times New Roman" w:hAnsi="Times New Roman" w:cs="Times New Roman"/>
        </w:rPr>
        <w:tab/>
      </w:r>
      <w:r w:rsidR="00BC16F8" w:rsidRPr="00BC16F8">
        <w:rPr>
          <w:rFonts w:ascii="Times New Roman" w:hAnsi="Times New Roman" w:cs="Times New Roman"/>
        </w:rPr>
        <w:t>Raza, A., Williams, A. R., &amp; Abeer, M. M. (2023). Importance of ABC Transporters in the Survival of Parasitic Nematodes and the Prospect for the Development of Novel Control Strategies. Pathogens, 12(6), 755. https://doi.org/10.3390/pathogens12060755</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lastRenderedPageBreak/>
        <w:t xml:space="preserve">16. </w:t>
      </w:r>
      <w:r w:rsidRPr="00221E32">
        <w:rPr>
          <w:rFonts w:ascii="Times New Roman" w:hAnsi="Times New Roman" w:cs="Times New Roman"/>
        </w:rPr>
        <w:tab/>
      </w:r>
      <w:r w:rsidR="00281EAA" w:rsidRPr="00281EAA">
        <w:rPr>
          <w:rFonts w:ascii="Times New Roman" w:hAnsi="Times New Roman" w:cs="Times New Roman"/>
        </w:rPr>
        <w:t>Hossam Abdelmonem, B., Abdelaal, N. M., Anwer, E. K. E., Rashwan, A. A., Hussein, M. A., Ahmed, Y. F., Khashana, R., Hanna, M. M., &amp; Abdelnaser, A. (2024). Decoding the Role of CYP450 Enzymes in Metabolism and Disease: A Comprehensive Review. Biomedicines, 12(7), 1467. https://doi.org/10.3390/biomedicines12071467</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17. </w:t>
      </w:r>
      <w:r w:rsidRPr="00221E32">
        <w:rPr>
          <w:rFonts w:ascii="Times New Roman" w:hAnsi="Times New Roman" w:cs="Times New Roman"/>
        </w:rPr>
        <w:tab/>
      </w:r>
      <w:r w:rsidR="00C07B6A" w:rsidRPr="00C07B6A">
        <w:rPr>
          <w:rFonts w:ascii="Times New Roman" w:hAnsi="Times New Roman" w:cs="Times New Roman"/>
        </w:rPr>
        <w:t>Ramos-Martín, F., &amp; D'Amelio, N. (2023). Drug Resistance: An Incessant Fight against Evolutionary Strategies of Survival. Microbiology Research, 14(2), 507–542. https://doi.org/10.3390/microbiolres14020037</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18. </w:t>
      </w:r>
      <w:r w:rsidRPr="00221E32">
        <w:rPr>
          <w:rFonts w:ascii="Times New Roman" w:hAnsi="Times New Roman" w:cs="Times New Roman"/>
        </w:rPr>
        <w:tab/>
      </w:r>
      <w:r w:rsidR="006C2338" w:rsidRPr="006C2338">
        <w:rPr>
          <w:rFonts w:ascii="Times New Roman" w:hAnsi="Times New Roman" w:cs="Times New Roman"/>
        </w:rPr>
        <w:t>Deji-Oloruntoba, O. O., Elufioye, T. O., Adefegha, S. A., &amp; Jang, M. (2025). Can Caenorhabditis elegans Serve as a Reliable Model for Drug and Nutraceutical Discovery? Applied Biosciences. https://doi.org/10.3390/applbiosci4020023</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19. </w:t>
      </w:r>
      <w:r w:rsidRPr="00221E32">
        <w:rPr>
          <w:rFonts w:ascii="Times New Roman" w:hAnsi="Times New Roman" w:cs="Times New Roman"/>
        </w:rPr>
        <w:tab/>
      </w:r>
      <w:r w:rsidR="008B1D54" w:rsidRPr="008B1D54">
        <w:rPr>
          <w:rFonts w:ascii="Times New Roman" w:hAnsi="Times New Roman" w:cs="Times New Roman"/>
        </w:rPr>
        <w:t>Mordvinov, V., &amp; Pakharukova, M. (2022). Xenobiotic-Metabolizing Enzymes in Trematodes. Biomedicines, 10(12), 3039. https://doi.org/10.3390/biomedicines10123039</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20. </w:t>
      </w:r>
      <w:r w:rsidRPr="00221E32">
        <w:rPr>
          <w:rFonts w:ascii="Times New Roman" w:hAnsi="Times New Roman" w:cs="Times New Roman"/>
        </w:rPr>
        <w:tab/>
      </w:r>
      <w:r w:rsidR="00C86CF2" w:rsidRPr="00C86CF2">
        <w:rPr>
          <w:rFonts w:ascii="Times New Roman" w:hAnsi="Times New Roman" w:cs="Times New Roman"/>
        </w:rPr>
        <w:t>Lawal, O. P., Babatunde, J. O., Owusu-Ansah, S., Ani, C. P., Adegbesan, A. C., Hashim, H., Okeke, J. C., Okei, N. C., Igunma, A. A., Ubebe, D. O., Ugoagwu, K. U., Agbo, O. S., &amp; Ani, C. F. (2025). Antibiogram and Molecular Characterization of Extended-Spectrum Beta-Lactamase-Producing Klebsiella pneumoniae in a Nigerian Teaching Hospital. Microbes, Infection and Chemotherapy. https://doi.org/10.54034/mic.e2305</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21. </w:t>
      </w:r>
      <w:r w:rsidRPr="00221E32">
        <w:rPr>
          <w:rFonts w:ascii="Times New Roman" w:hAnsi="Times New Roman" w:cs="Times New Roman"/>
        </w:rPr>
        <w:tab/>
      </w:r>
      <w:r w:rsidR="00626A6E" w:rsidRPr="00626A6E">
        <w:rPr>
          <w:rFonts w:ascii="Times New Roman" w:hAnsi="Times New Roman" w:cs="Times New Roman"/>
        </w:rPr>
        <w:t>Lawal O, Babatunde ET, Muhammed I, Okiki QN, Chibueze ES, David VO, et al. Comparative Genomics of Zoonotic Pathogens: Genetic Determinants of Host Switching and Cross-Species Transmission. J CLIN MED KAZ. 2025 Sep 14;22(5):80–92</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22. </w:t>
      </w:r>
      <w:r w:rsidRPr="00221E32">
        <w:rPr>
          <w:rFonts w:ascii="Times New Roman" w:hAnsi="Times New Roman" w:cs="Times New Roman"/>
        </w:rPr>
        <w:tab/>
      </w:r>
      <w:r w:rsidR="00A91706" w:rsidRPr="00A91706">
        <w:rPr>
          <w:rFonts w:ascii="Times New Roman" w:hAnsi="Times New Roman" w:cs="Times New Roman"/>
        </w:rPr>
        <w:t>Lawal, O. P., Igwe, E. P., Olosunde, A., Chisom, E. P., Okeh, D. U., Olowookere, A. K., Adedayo, O. A., Agu, C. P., Mustapha, F. A., Odubo, F. E., &amp; Orobator, E. T. (2025). Integrating Real-Time Data and Machine Learning in Predicting Infectious Disease Outbreaks: Enhancing Response Strategies in Sub-Saharan Africa. *Asian Journal of Microbiology and Biotechnology*, *10*(1), 147–163. https://doi.org/10.56557/ajmab/2025/v10i19371</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23. </w:t>
      </w:r>
      <w:r w:rsidRPr="00221E32">
        <w:rPr>
          <w:rFonts w:ascii="Times New Roman" w:hAnsi="Times New Roman" w:cs="Times New Roman"/>
        </w:rPr>
        <w:tab/>
      </w:r>
      <w:r w:rsidR="00732315" w:rsidRPr="00732315">
        <w:rPr>
          <w:rFonts w:ascii="Times New Roman" w:hAnsi="Times New Roman" w:cs="Times New Roman"/>
        </w:rPr>
        <w:t>Balogun, A. K., Ibiam, V. A., Otesanya, O. A., &amp; Agbo-Adediran, B. E. (2025). Policy advocacy for inclusive healthcare access from a social work perspective. International Journal of Science and Research Archive, 14(1), 1407–1415. https://doi.org/10.30574/ijsra.2025.14.1.0224</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24. </w:t>
      </w:r>
      <w:r w:rsidRPr="00221E32">
        <w:rPr>
          <w:rFonts w:ascii="Times New Roman" w:hAnsi="Times New Roman" w:cs="Times New Roman"/>
        </w:rPr>
        <w:tab/>
      </w:r>
      <w:r w:rsidR="002C3D83" w:rsidRPr="002C3D83">
        <w:rPr>
          <w:rFonts w:ascii="Times New Roman" w:hAnsi="Times New Roman" w:cs="Times New Roman"/>
        </w:rPr>
        <w:t>Nwokedi, V. U., Akanbi, O. O., Ayo-ige, B. A., Aderounmu, R. A., Kassim, N. O., Aneke, O. B., Inumimo, O., Ilesanmi, O. J., Luper, T., &amp; Farinde, T. D. (2025). Evaluating the Role and Impact of International Collaboration and Partnerships on the Control, Prevention, and Elimination of Parasitic Diseases: A Global Health Perspective. Australian Journal of Biomedical Research, 1(2), aubm009. https://doi.org/10.63946/aubiomed/17426</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25. </w:t>
      </w:r>
      <w:r w:rsidRPr="00221E32">
        <w:rPr>
          <w:rFonts w:ascii="Times New Roman" w:hAnsi="Times New Roman" w:cs="Times New Roman"/>
        </w:rPr>
        <w:tab/>
      </w:r>
      <w:r w:rsidR="001C08D7" w:rsidRPr="001C08D7">
        <w:rPr>
          <w:rFonts w:ascii="Times New Roman" w:hAnsi="Times New Roman" w:cs="Times New Roman"/>
        </w:rPr>
        <w:t>Nwosu, P. C., Egwuatu, E. C., Wright, A. K. A., Ebiala, F. I., Yaro, G. O., Sone, P. E., &amp; Nduka, S. O. (2024). Diabetic Foot Ulcers in Africa: A Systematic Review of Microbial Profiles and Clinical Outcomes in the Context of Multidrug Resistance. Epidemiology and Health Data Insights. https://doi.org/10.1093/ehdi/ehdi022</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lastRenderedPageBreak/>
        <w:t xml:space="preserve">26. </w:t>
      </w:r>
      <w:r w:rsidRPr="00221E32">
        <w:rPr>
          <w:rFonts w:ascii="Times New Roman" w:hAnsi="Times New Roman" w:cs="Times New Roman"/>
        </w:rPr>
        <w:tab/>
      </w:r>
      <w:r w:rsidR="00F978E7" w:rsidRPr="00F978E7">
        <w:rPr>
          <w:rFonts w:ascii="Times New Roman" w:hAnsi="Times New Roman" w:cs="Times New Roman"/>
        </w:rPr>
        <w:t>Balogun, A. K., Atta, J. A., Oyetubo, O. M., Ibiam, V. A., Bakare-Adesokan, K. A., &amp; Ojo, T. O. (2025). Developing culturally competent models for inclusive social work and healthcare interventions. International Journal of Scientific Research Archive, 14(1), 1396–1406. https://doi.org/10.5281/zenodo.10460000</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27. </w:t>
      </w:r>
      <w:r w:rsidRPr="00221E32">
        <w:rPr>
          <w:rFonts w:ascii="Times New Roman" w:hAnsi="Times New Roman" w:cs="Times New Roman"/>
        </w:rPr>
        <w:tab/>
      </w:r>
      <w:r w:rsidR="00E90F39" w:rsidRPr="00E90F39">
        <w:rPr>
          <w:rFonts w:ascii="Times New Roman" w:hAnsi="Times New Roman" w:cs="Times New Roman"/>
        </w:rPr>
        <w:t>Sherry, N. L., Lee, J. Y. H., Giulieri, S. G., Connor, C. H., Horan, K., Lacey, J. A., Lane, C. R., Carter, G. P., Seemann, T., Egli, A., Stinear, T. P., &amp; Howden, B. P. (2025). Genomics for antimicrobial resistance—progress and future directions. Antimicrobial Agents and Chemotherapy, 69(5), e01082-24. https://doi.org/10.1128/aac.01082-24</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28. </w:t>
      </w:r>
      <w:r w:rsidRPr="00221E32">
        <w:rPr>
          <w:rFonts w:ascii="Times New Roman" w:hAnsi="Times New Roman" w:cs="Times New Roman"/>
        </w:rPr>
        <w:tab/>
      </w:r>
      <w:r w:rsidR="002F4B40" w:rsidRPr="002F4B40">
        <w:rPr>
          <w:rFonts w:ascii="Times New Roman" w:hAnsi="Times New Roman" w:cs="Times New Roman"/>
        </w:rPr>
        <w:t>Yussuf, M. D., Umeh, I. E., Kolawole, H. O., Adisa, A. A. R., Ashimi, A. A., Oladosu, M. A., et al. (2025). The Role of Hormones in the Onset and Progression of Endocrine and Gynaecological Cancers. International Journal of Advanced Biological and Biomedical Research, 13(5), 573–603. http://www.ijabbr.com</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29. </w:t>
      </w:r>
      <w:r w:rsidRPr="00221E32">
        <w:rPr>
          <w:rFonts w:ascii="Times New Roman" w:hAnsi="Times New Roman" w:cs="Times New Roman"/>
        </w:rPr>
        <w:tab/>
      </w:r>
      <w:r w:rsidR="00632A40" w:rsidRPr="00632A40">
        <w:rPr>
          <w:rFonts w:ascii="Times New Roman" w:hAnsi="Times New Roman" w:cs="Times New Roman"/>
        </w:rPr>
        <w:t>Lawal, O. P., Opara, I. J., Ayo-ige, A., Eboh, N. A., Cos-Ibe, U., Forson, K. A. A. M., et al. (2025). Artificial Intelligence-Integrated Biosensors for Antimicrobial Resistance Detection and Surveillance: A Review and Future Perspectives for Global Biosecurity. Cureus. https://doi.org/10.7759/cureus.433730</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30. </w:t>
      </w:r>
      <w:r w:rsidRPr="00221E32">
        <w:rPr>
          <w:rFonts w:ascii="Times New Roman" w:hAnsi="Times New Roman" w:cs="Times New Roman"/>
        </w:rPr>
        <w:tab/>
      </w:r>
      <w:r w:rsidR="005279DA" w:rsidRPr="005279DA">
        <w:rPr>
          <w:rFonts w:ascii="Times New Roman" w:hAnsi="Times New Roman" w:cs="Times New Roman"/>
        </w:rPr>
        <w:t>Jimoh, T. S., Mensah, E. K., Falakin, T. O., &amp; Blessing, A. A. (2025). Black Soldier Fly Meal as a Sustainable Alternative to Fishmeal in Rainbow Trout: Impacts on Growth, Nutrient Utilization, and Sustainability. Journal of Agriculture, Aquaculture, and Animal Science, 2(2), 103–111. https://doi.org/10.69739/jaaas.v2i2.1054</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31. </w:t>
      </w:r>
      <w:r w:rsidRPr="00221E32">
        <w:rPr>
          <w:rFonts w:ascii="Times New Roman" w:hAnsi="Times New Roman" w:cs="Times New Roman"/>
        </w:rPr>
        <w:tab/>
      </w:r>
      <w:r w:rsidR="00C03B1C" w:rsidRPr="00C03B1C">
        <w:rPr>
          <w:rFonts w:ascii="Times New Roman" w:hAnsi="Times New Roman" w:cs="Times New Roman"/>
        </w:rPr>
        <w:t>Omale, L. E., Ibiam, V. A., Sidikat, L. W., &amp; Taiwo, O. (2025). Transformative applications of Artificial Intelligence in infectious disease forecasting and public health decision support systems. World Journal of Advanced Research and Reviews. https://doi.org/10.30574/wjarr.2025.25.3.1002</w:t>
      </w:r>
      <w:r w:rsidRPr="00221E32">
        <w:rPr>
          <w:rFonts w:ascii="Times New Roman" w:hAnsi="Times New Roman" w:cs="Times New Roman"/>
        </w:rPr>
        <w:t xml:space="preserve">. </w:t>
      </w:r>
    </w:p>
    <w:p w:rsidR="00221E32" w:rsidRPr="00221E32" w:rsidRDefault="00221E32" w:rsidP="00221E32">
      <w:pPr>
        <w:pStyle w:val="Bibliography"/>
        <w:rPr>
          <w:rFonts w:ascii="Times New Roman" w:hAnsi="Times New Roman" w:cs="Times New Roman"/>
        </w:rPr>
      </w:pPr>
      <w:r w:rsidRPr="00221E32">
        <w:rPr>
          <w:rFonts w:ascii="Times New Roman" w:hAnsi="Times New Roman" w:cs="Times New Roman"/>
        </w:rPr>
        <w:t xml:space="preserve">32. </w:t>
      </w:r>
      <w:r w:rsidRPr="00221E32">
        <w:rPr>
          <w:rFonts w:ascii="Times New Roman" w:hAnsi="Times New Roman" w:cs="Times New Roman"/>
        </w:rPr>
        <w:tab/>
      </w:r>
      <w:r w:rsidR="00817693" w:rsidRPr="00817693">
        <w:rPr>
          <w:rFonts w:ascii="Times New Roman" w:hAnsi="Times New Roman" w:cs="Times New Roman"/>
        </w:rPr>
        <w:t>Ibiam, V. A., Omale, L. E., &amp; Taiwo, O. (2025). The role of Artificial Intelligence models in clinical decision support for infectious disease diagnosis and personalized treatment planning. International Journal of Science and Research Archive, 14(3), 1337–1347. https://doi.org/10.30574/ijsra.2025.14.3.0769</w:t>
      </w:r>
      <w:r w:rsidRPr="00221E32">
        <w:rPr>
          <w:rFonts w:ascii="Times New Roman" w:hAnsi="Times New Roman" w:cs="Times New Roman"/>
        </w:rPr>
        <w:t xml:space="preserve">. </w:t>
      </w:r>
    </w:p>
    <w:p w:rsidR="007A7561" w:rsidRDefault="00E82B3A">
      <w:r w:rsidRPr="00EB6340">
        <w:rPr>
          <w:rFonts w:ascii="Times New Roman" w:hAnsi="Times New Roman" w:cs="Times New Roman"/>
        </w:rPr>
        <w:fldChar w:fldCharType="end"/>
      </w:r>
    </w:p>
    <w:sectPr w:rsidR="007A7561" w:rsidSect="00E82B3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53A" w:rsidRDefault="0013453A" w:rsidP="00C37D4A">
      <w:pPr>
        <w:spacing w:after="0" w:line="240" w:lineRule="auto"/>
      </w:pPr>
      <w:r>
        <w:separator/>
      </w:r>
    </w:p>
  </w:endnote>
  <w:endnote w:type="continuationSeparator" w:id="0">
    <w:p w:rsidR="0013453A" w:rsidRDefault="0013453A" w:rsidP="00C3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53A" w:rsidRDefault="0013453A" w:rsidP="00C37D4A">
      <w:pPr>
        <w:spacing w:after="0" w:line="240" w:lineRule="auto"/>
      </w:pPr>
      <w:r>
        <w:separator/>
      </w:r>
    </w:p>
  </w:footnote>
  <w:footnote w:type="continuationSeparator" w:id="0">
    <w:p w:rsidR="0013453A" w:rsidRDefault="0013453A" w:rsidP="00C3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3270F"/>
    <w:multiLevelType w:val="multilevel"/>
    <w:tmpl w:val="3D9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810C7"/>
    <w:multiLevelType w:val="multilevel"/>
    <w:tmpl w:val="C77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326CB8"/>
    <w:multiLevelType w:val="multilevel"/>
    <w:tmpl w:val="197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39A"/>
    <w:rsid w:val="00027337"/>
    <w:rsid w:val="0004444D"/>
    <w:rsid w:val="0009065C"/>
    <w:rsid w:val="000C5212"/>
    <w:rsid w:val="000D014F"/>
    <w:rsid w:val="000F1194"/>
    <w:rsid w:val="001222FE"/>
    <w:rsid w:val="00126949"/>
    <w:rsid w:val="0013453A"/>
    <w:rsid w:val="0014407D"/>
    <w:rsid w:val="001B5CA0"/>
    <w:rsid w:val="001B5EE7"/>
    <w:rsid w:val="001C08D7"/>
    <w:rsid w:val="002212F3"/>
    <w:rsid w:val="00221E32"/>
    <w:rsid w:val="00281EAA"/>
    <w:rsid w:val="002A16D9"/>
    <w:rsid w:val="002C3D83"/>
    <w:rsid w:val="002C7E6D"/>
    <w:rsid w:val="002F4B40"/>
    <w:rsid w:val="002F6694"/>
    <w:rsid w:val="00374D0C"/>
    <w:rsid w:val="004639AC"/>
    <w:rsid w:val="004875D2"/>
    <w:rsid w:val="004A6AA8"/>
    <w:rsid w:val="004D7448"/>
    <w:rsid w:val="005279DA"/>
    <w:rsid w:val="005539B0"/>
    <w:rsid w:val="0057409D"/>
    <w:rsid w:val="0059639A"/>
    <w:rsid w:val="005B26B1"/>
    <w:rsid w:val="005F37DD"/>
    <w:rsid w:val="00626A6E"/>
    <w:rsid w:val="00632A40"/>
    <w:rsid w:val="006444E0"/>
    <w:rsid w:val="006C2338"/>
    <w:rsid w:val="00706731"/>
    <w:rsid w:val="007167F2"/>
    <w:rsid w:val="00732315"/>
    <w:rsid w:val="007835DC"/>
    <w:rsid w:val="00784448"/>
    <w:rsid w:val="007A7561"/>
    <w:rsid w:val="008143D9"/>
    <w:rsid w:val="00817693"/>
    <w:rsid w:val="00830D98"/>
    <w:rsid w:val="008B1D54"/>
    <w:rsid w:val="009211BE"/>
    <w:rsid w:val="009A3723"/>
    <w:rsid w:val="009C1FD9"/>
    <w:rsid w:val="00A8362C"/>
    <w:rsid w:val="00A91706"/>
    <w:rsid w:val="00A93563"/>
    <w:rsid w:val="00A9369D"/>
    <w:rsid w:val="00AA15BA"/>
    <w:rsid w:val="00AD4C89"/>
    <w:rsid w:val="00AD780F"/>
    <w:rsid w:val="00AE4D27"/>
    <w:rsid w:val="00B00273"/>
    <w:rsid w:val="00B440CC"/>
    <w:rsid w:val="00B53F44"/>
    <w:rsid w:val="00BB47BF"/>
    <w:rsid w:val="00BC16F8"/>
    <w:rsid w:val="00C017B6"/>
    <w:rsid w:val="00C03B1C"/>
    <w:rsid w:val="00C07B6A"/>
    <w:rsid w:val="00C120B5"/>
    <w:rsid w:val="00C37D4A"/>
    <w:rsid w:val="00C55F66"/>
    <w:rsid w:val="00C758D7"/>
    <w:rsid w:val="00C86CF2"/>
    <w:rsid w:val="00CB52AD"/>
    <w:rsid w:val="00CB6D4F"/>
    <w:rsid w:val="00CE5D7B"/>
    <w:rsid w:val="00D47335"/>
    <w:rsid w:val="00D60564"/>
    <w:rsid w:val="00D73669"/>
    <w:rsid w:val="00DB180F"/>
    <w:rsid w:val="00DB2524"/>
    <w:rsid w:val="00DF4418"/>
    <w:rsid w:val="00E34434"/>
    <w:rsid w:val="00E6704E"/>
    <w:rsid w:val="00E82B3A"/>
    <w:rsid w:val="00E90F39"/>
    <w:rsid w:val="00E91D8A"/>
    <w:rsid w:val="00EB6340"/>
    <w:rsid w:val="00F03516"/>
    <w:rsid w:val="00F133A4"/>
    <w:rsid w:val="00F23247"/>
    <w:rsid w:val="00F76BD5"/>
    <w:rsid w:val="00F978E7"/>
    <w:rsid w:val="00FE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5EAA87-4535-4ABB-B8A4-DD9759CE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B3A"/>
  </w:style>
  <w:style w:type="paragraph" w:styleId="Heading1">
    <w:name w:val="heading 1"/>
    <w:basedOn w:val="Normal"/>
    <w:next w:val="Normal"/>
    <w:link w:val="Heading1Char"/>
    <w:uiPriority w:val="9"/>
    <w:qFormat/>
    <w:rsid w:val="005963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63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63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63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63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63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3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3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3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3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63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63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63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63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63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3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3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39A"/>
    <w:rPr>
      <w:rFonts w:eastAsiaTheme="majorEastAsia" w:cstheme="majorBidi"/>
      <w:color w:val="272727" w:themeColor="text1" w:themeTint="D8"/>
    </w:rPr>
  </w:style>
  <w:style w:type="paragraph" w:styleId="Title">
    <w:name w:val="Title"/>
    <w:basedOn w:val="Normal"/>
    <w:next w:val="Normal"/>
    <w:link w:val="TitleChar"/>
    <w:uiPriority w:val="10"/>
    <w:qFormat/>
    <w:rsid w:val="005963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3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3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39A"/>
    <w:pPr>
      <w:spacing w:before="160"/>
      <w:jc w:val="center"/>
    </w:pPr>
    <w:rPr>
      <w:i/>
      <w:iCs/>
      <w:color w:val="404040" w:themeColor="text1" w:themeTint="BF"/>
    </w:rPr>
  </w:style>
  <w:style w:type="character" w:customStyle="1" w:styleId="QuoteChar">
    <w:name w:val="Quote Char"/>
    <w:basedOn w:val="DefaultParagraphFont"/>
    <w:link w:val="Quote"/>
    <w:uiPriority w:val="29"/>
    <w:rsid w:val="0059639A"/>
    <w:rPr>
      <w:i/>
      <w:iCs/>
      <w:color w:val="404040" w:themeColor="text1" w:themeTint="BF"/>
    </w:rPr>
  </w:style>
  <w:style w:type="paragraph" w:styleId="ListParagraph">
    <w:name w:val="List Paragraph"/>
    <w:basedOn w:val="Normal"/>
    <w:uiPriority w:val="34"/>
    <w:qFormat/>
    <w:rsid w:val="0059639A"/>
    <w:pPr>
      <w:ind w:left="720"/>
      <w:contextualSpacing/>
    </w:pPr>
  </w:style>
  <w:style w:type="character" w:styleId="IntenseEmphasis">
    <w:name w:val="Intense Emphasis"/>
    <w:basedOn w:val="DefaultParagraphFont"/>
    <w:uiPriority w:val="21"/>
    <w:qFormat/>
    <w:rsid w:val="0059639A"/>
    <w:rPr>
      <w:i/>
      <w:iCs/>
      <w:color w:val="2F5496" w:themeColor="accent1" w:themeShade="BF"/>
    </w:rPr>
  </w:style>
  <w:style w:type="paragraph" w:styleId="IntenseQuote">
    <w:name w:val="Intense Quote"/>
    <w:basedOn w:val="Normal"/>
    <w:next w:val="Normal"/>
    <w:link w:val="IntenseQuoteChar"/>
    <w:uiPriority w:val="30"/>
    <w:qFormat/>
    <w:rsid w:val="005963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639A"/>
    <w:rPr>
      <w:i/>
      <w:iCs/>
      <w:color w:val="2F5496" w:themeColor="accent1" w:themeShade="BF"/>
    </w:rPr>
  </w:style>
  <w:style w:type="character" w:styleId="IntenseReference">
    <w:name w:val="Intense Reference"/>
    <w:basedOn w:val="DefaultParagraphFont"/>
    <w:uiPriority w:val="32"/>
    <w:qFormat/>
    <w:rsid w:val="0059639A"/>
    <w:rPr>
      <w:b/>
      <w:bCs/>
      <w:smallCaps/>
      <w:color w:val="2F5496" w:themeColor="accent1" w:themeShade="BF"/>
      <w:spacing w:val="5"/>
    </w:rPr>
  </w:style>
  <w:style w:type="paragraph" w:styleId="Bibliography">
    <w:name w:val="Bibliography"/>
    <w:basedOn w:val="Normal"/>
    <w:next w:val="Normal"/>
    <w:uiPriority w:val="37"/>
    <w:unhideWhenUsed/>
    <w:rsid w:val="007A7561"/>
    <w:pPr>
      <w:tabs>
        <w:tab w:val="left" w:pos="504"/>
      </w:tabs>
      <w:spacing w:after="240" w:line="240" w:lineRule="auto"/>
      <w:ind w:left="504" w:hanging="504"/>
    </w:pPr>
  </w:style>
  <w:style w:type="character" w:styleId="Hyperlink">
    <w:name w:val="Hyperlink"/>
    <w:basedOn w:val="DefaultParagraphFont"/>
    <w:uiPriority w:val="99"/>
    <w:unhideWhenUsed/>
    <w:rsid w:val="00C017B6"/>
    <w:rPr>
      <w:color w:val="0563C1" w:themeColor="hyperlink"/>
      <w:u w:val="single"/>
    </w:rPr>
  </w:style>
  <w:style w:type="character" w:customStyle="1" w:styleId="UnresolvedMention1">
    <w:name w:val="Unresolved Mention1"/>
    <w:basedOn w:val="DefaultParagraphFont"/>
    <w:uiPriority w:val="99"/>
    <w:semiHidden/>
    <w:unhideWhenUsed/>
    <w:rsid w:val="00C017B6"/>
    <w:rPr>
      <w:color w:val="605E5C"/>
      <w:shd w:val="clear" w:color="auto" w:fill="E1DFDD"/>
    </w:rPr>
  </w:style>
  <w:style w:type="paragraph" w:styleId="Header">
    <w:name w:val="header"/>
    <w:basedOn w:val="Normal"/>
    <w:link w:val="HeaderChar"/>
    <w:uiPriority w:val="99"/>
    <w:unhideWhenUsed/>
    <w:rsid w:val="00C3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D4A"/>
  </w:style>
  <w:style w:type="paragraph" w:styleId="Footer">
    <w:name w:val="footer"/>
    <w:basedOn w:val="Normal"/>
    <w:link w:val="FooterChar"/>
    <w:uiPriority w:val="99"/>
    <w:unhideWhenUsed/>
    <w:rsid w:val="00C3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D4A"/>
  </w:style>
  <w:style w:type="paragraph" w:styleId="BalloonText">
    <w:name w:val="Balloon Text"/>
    <w:basedOn w:val="Normal"/>
    <w:link w:val="BalloonTextChar"/>
    <w:uiPriority w:val="99"/>
    <w:semiHidden/>
    <w:unhideWhenUsed/>
    <w:rsid w:val="000F1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1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15</Pages>
  <Words>18927</Words>
  <Characters>107886</Characters>
  <Application>Microsoft Office Word</Application>
  <DocSecurity>0</DocSecurity>
  <Lines>899</Lines>
  <Paragraphs>253</Paragraphs>
  <ScaleCrop>false</ScaleCrop>
  <Company/>
  <LinksUpToDate>false</LinksUpToDate>
  <CharactersWithSpaces>126560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96</cp:revision>
  <dcterms:created xsi:type="dcterms:W3CDTF">2025-12-09T02:42:00Z</dcterms:created>
  <dcterms:modified xsi:type="dcterms:W3CDTF">2025-12-13T13:01:00Z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id="Wul5EBW7"/&gt;&lt;style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