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EBCFD" w14:textId="1EE96D33" w:rsidR="006C34E0" w:rsidRDefault="006C34E0" w:rsidP="00EC65F1">
      <w:pPr>
        <w:spacing w:line="480" w:lineRule="auto"/>
        <w:jc w:val="right"/>
        <w:rPr>
          <w:rFonts w:ascii="Arial" w:hAnsi="Arial" w:cs="Arial"/>
          <w:b/>
          <w:sz w:val="32"/>
          <w:szCs w:val="32"/>
        </w:rPr>
      </w:pPr>
      <w:r w:rsidRPr="006C34E0">
        <w:rPr>
          <w:rFonts w:ascii="Arial" w:hAnsi="Arial" w:cs="Arial"/>
          <w:b/>
          <w:bCs/>
          <w:i/>
          <w:iCs/>
          <w:sz w:val="32"/>
          <w:szCs w:val="32"/>
          <w:u w:val="single"/>
          <w:lang w:val="en-US"/>
        </w:rPr>
        <w:t>Original Research Article</w:t>
      </w:r>
    </w:p>
    <w:p w14:paraId="351F73F7" w14:textId="20AC358A" w:rsidR="004D6DD4" w:rsidRDefault="003D3CF1" w:rsidP="00EC65F1">
      <w:pPr>
        <w:spacing w:line="480" w:lineRule="auto"/>
        <w:jc w:val="right"/>
        <w:rPr>
          <w:rFonts w:ascii="Arial" w:hAnsi="Arial" w:cs="Arial"/>
          <w:b/>
          <w:sz w:val="32"/>
          <w:szCs w:val="32"/>
        </w:rPr>
      </w:pPr>
      <w:r w:rsidRPr="00EC65F1">
        <w:rPr>
          <w:rFonts w:ascii="Arial" w:hAnsi="Arial" w:cs="Arial"/>
          <w:b/>
          <w:sz w:val="32"/>
          <w:szCs w:val="32"/>
        </w:rPr>
        <w:t>ANTIBIOTIC RESISTANCE OF CITROBACTER ISOLATES FROM ELDERLY PATIENTS WITH URINARY TRACT INFECTIONS AT THE UNIVERSITY HOSPITAL OF COCODY, COTE D’IVOIRE</w:t>
      </w:r>
    </w:p>
    <w:p w14:paraId="440420E2" w14:textId="77777777" w:rsidR="006C34E0" w:rsidRPr="00EC65F1" w:rsidRDefault="006C34E0" w:rsidP="003D775A">
      <w:pPr>
        <w:spacing w:before="240" w:line="480" w:lineRule="auto"/>
        <w:rPr>
          <w:rFonts w:ascii="Arial" w:hAnsi="Arial" w:cs="Arial"/>
          <w:color w:val="0563C1" w:themeColor="hyperlink"/>
          <w:sz w:val="24"/>
          <w:szCs w:val="24"/>
          <w:u w:val="single"/>
        </w:rPr>
      </w:pPr>
    </w:p>
    <w:p w14:paraId="575AC4E0" w14:textId="77777777" w:rsidR="003D775A" w:rsidRPr="00EC65F1" w:rsidRDefault="003D775A" w:rsidP="003D775A">
      <w:pPr>
        <w:spacing w:before="240" w:line="480" w:lineRule="auto"/>
        <w:rPr>
          <w:rFonts w:ascii="Arial" w:hAnsi="Arial" w:cs="Arial"/>
          <w:b/>
          <w:bCs/>
          <w:sz w:val="24"/>
          <w:szCs w:val="24"/>
        </w:rPr>
      </w:pPr>
      <w:r w:rsidRPr="00EC65F1">
        <w:rPr>
          <w:rFonts w:ascii="Arial" w:hAnsi="Arial" w:cs="Arial"/>
          <w:b/>
          <w:bCs/>
          <w:sz w:val="24"/>
          <w:szCs w:val="24"/>
        </w:rPr>
        <w:t>Abstract</w:t>
      </w:r>
    </w:p>
    <w:p w14:paraId="503FB115" w14:textId="77777777" w:rsidR="003D775A" w:rsidRPr="00EC65F1" w:rsidRDefault="003D775A" w:rsidP="003D775A">
      <w:pPr>
        <w:spacing w:line="480" w:lineRule="auto"/>
        <w:jc w:val="both"/>
        <w:rPr>
          <w:rFonts w:ascii="Arial" w:hAnsi="Arial" w:cs="Arial"/>
          <w:sz w:val="20"/>
          <w:szCs w:val="20"/>
        </w:rPr>
      </w:pPr>
      <w:proofErr w:type="gramStart"/>
      <w:r w:rsidRPr="00EC65F1">
        <w:rPr>
          <w:rFonts w:ascii="Arial" w:hAnsi="Arial" w:cs="Arial"/>
          <w:b/>
          <w:sz w:val="20"/>
          <w:szCs w:val="20"/>
        </w:rPr>
        <w:t>Aims</w:t>
      </w:r>
      <w:r w:rsidRPr="00EC65F1">
        <w:rPr>
          <w:rFonts w:ascii="Arial" w:hAnsi="Arial" w:cs="Arial"/>
          <w:sz w:val="20"/>
          <w:szCs w:val="20"/>
        </w:rPr>
        <w:t>:</w:t>
      </w:r>
      <w:proofErr w:type="gramEnd"/>
      <w:r w:rsidRPr="00EC65F1">
        <w:rPr>
          <w:rFonts w:ascii="Arial" w:hAnsi="Arial" w:cs="Arial"/>
          <w:i/>
          <w:sz w:val="20"/>
          <w:szCs w:val="20"/>
        </w:rPr>
        <w:t xml:space="preserve"> Citrobacter</w:t>
      </w:r>
      <w:r w:rsidRPr="00EC65F1">
        <w:rPr>
          <w:rFonts w:ascii="Arial" w:hAnsi="Arial" w:cs="Arial"/>
          <w:sz w:val="20"/>
          <w:szCs w:val="20"/>
        </w:rPr>
        <w:t xml:space="preserve"> is a rarely acquired nosocomial pathogen. However, it is responsible for various clinical diseases and is associated with a wide range of infections that can lead to high mortality rates. The objective of this study was to evaluate the antibiotic resistance of </w:t>
      </w:r>
      <w:r w:rsidRPr="00EC65F1">
        <w:rPr>
          <w:rFonts w:ascii="Arial" w:hAnsi="Arial" w:cs="Arial"/>
          <w:i/>
          <w:sz w:val="20"/>
          <w:szCs w:val="20"/>
        </w:rPr>
        <w:t>Citrobacter</w:t>
      </w:r>
      <w:r w:rsidRPr="00EC65F1">
        <w:rPr>
          <w:rFonts w:ascii="Arial" w:hAnsi="Arial" w:cs="Arial"/>
          <w:sz w:val="20"/>
          <w:szCs w:val="20"/>
        </w:rPr>
        <w:t xml:space="preserve"> strains responsible for urinary tract infections in elderly patients. From July 2023 to January 2024, </w:t>
      </w:r>
    </w:p>
    <w:p w14:paraId="367963C6" w14:textId="77777777" w:rsidR="003D775A" w:rsidRPr="00EC65F1" w:rsidRDefault="003D775A" w:rsidP="003D775A">
      <w:pPr>
        <w:spacing w:line="480" w:lineRule="auto"/>
        <w:jc w:val="both"/>
        <w:rPr>
          <w:rFonts w:ascii="Arial" w:hAnsi="Arial" w:cs="Arial"/>
          <w:sz w:val="20"/>
          <w:szCs w:val="20"/>
        </w:rPr>
      </w:pPr>
      <w:r w:rsidRPr="00EC65F1">
        <w:rPr>
          <w:rFonts w:ascii="Arial" w:hAnsi="Arial" w:cs="Arial"/>
          <w:b/>
          <w:sz w:val="20"/>
          <w:szCs w:val="20"/>
        </w:rPr>
        <w:t xml:space="preserve">Study </w:t>
      </w:r>
      <w:proofErr w:type="gramStart"/>
      <w:r w:rsidRPr="00EC65F1">
        <w:rPr>
          <w:rFonts w:ascii="Arial" w:hAnsi="Arial" w:cs="Arial"/>
          <w:b/>
          <w:sz w:val="20"/>
          <w:szCs w:val="20"/>
        </w:rPr>
        <w:t>Design</w:t>
      </w:r>
      <w:r w:rsidRPr="00EC65F1">
        <w:rPr>
          <w:rFonts w:ascii="Arial" w:hAnsi="Arial" w:cs="Arial"/>
          <w:sz w:val="20"/>
          <w:szCs w:val="20"/>
        </w:rPr>
        <w:t>:</w:t>
      </w:r>
      <w:proofErr w:type="gramEnd"/>
      <w:r w:rsidRPr="00EC65F1">
        <w:rPr>
          <w:rFonts w:ascii="Arial" w:hAnsi="Arial" w:cs="Arial"/>
          <w:sz w:val="20"/>
          <w:szCs w:val="20"/>
        </w:rPr>
        <w:t xml:space="preserve"> It is a retrospective study.</w:t>
      </w:r>
    </w:p>
    <w:p w14:paraId="69F5610B" w14:textId="77777777" w:rsidR="003D775A" w:rsidRPr="00EC65F1" w:rsidRDefault="003D775A" w:rsidP="003D775A">
      <w:pPr>
        <w:spacing w:line="480" w:lineRule="auto"/>
        <w:jc w:val="both"/>
        <w:rPr>
          <w:rFonts w:ascii="Arial" w:hAnsi="Arial" w:cs="Arial"/>
          <w:sz w:val="20"/>
          <w:szCs w:val="20"/>
        </w:rPr>
      </w:pPr>
      <w:r w:rsidRPr="00EC65F1">
        <w:rPr>
          <w:rFonts w:ascii="Arial" w:hAnsi="Arial" w:cs="Arial"/>
          <w:b/>
          <w:sz w:val="20"/>
          <w:szCs w:val="20"/>
        </w:rPr>
        <w:t xml:space="preserve">Place and Duration of </w:t>
      </w:r>
      <w:proofErr w:type="gramStart"/>
      <w:r w:rsidRPr="00EC65F1">
        <w:rPr>
          <w:rFonts w:ascii="Arial" w:hAnsi="Arial" w:cs="Arial"/>
          <w:b/>
          <w:sz w:val="20"/>
          <w:szCs w:val="20"/>
        </w:rPr>
        <w:t>Study</w:t>
      </w:r>
      <w:r w:rsidRPr="00EC65F1">
        <w:rPr>
          <w:rFonts w:ascii="Arial" w:hAnsi="Arial" w:cs="Arial"/>
          <w:sz w:val="20"/>
          <w:szCs w:val="20"/>
        </w:rPr>
        <w:t>:</w:t>
      </w:r>
      <w:proofErr w:type="gramEnd"/>
      <w:r w:rsidRPr="00EC65F1">
        <w:rPr>
          <w:rFonts w:ascii="Arial" w:hAnsi="Arial" w:cs="Arial"/>
          <w:sz w:val="20"/>
          <w:szCs w:val="20"/>
        </w:rPr>
        <w:t xml:space="preserve"> Bacteriology and virology laboratorie of Institut Pasteur, Abidjan, Côte d'Ivoire.</w:t>
      </w:r>
    </w:p>
    <w:p w14:paraId="0598D318" w14:textId="77777777" w:rsidR="003D775A" w:rsidRPr="00EC65F1" w:rsidRDefault="003D775A" w:rsidP="003D775A">
      <w:pPr>
        <w:spacing w:line="480" w:lineRule="auto"/>
        <w:jc w:val="both"/>
        <w:rPr>
          <w:rFonts w:ascii="Arial" w:hAnsi="Arial" w:cs="Arial"/>
          <w:sz w:val="20"/>
          <w:szCs w:val="20"/>
        </w:rPr>
      </w:pPr>
      <w:proofErr w:type="gramStart"/>
      <w:r w:rsidRPr="00EC65F1">
        <w:rPr>
          <w:rFonts w:ascii="Arial" w:hAnsi="Arial" w:cs="Arial"/>
          <w:b/>
          <w:sz w:val="20"/>
          <w:szCs w:val="20"/>
        </w:rPr>
        <w:t>Methodology:</w:t>
      </w:r>
      <w:proofErr w:type="gramEnd"/>
      <w:r w:rsidRPr="00EC65F1">
        <w:rPr>
          <w:rFonts w:ascii="Arial" w:hAnsi="Arial" w:cs="Arial"/>
          <w:sz w:val="20"/>
          <w:szCs w:val="20"/>
        </w:rPr>
        <w:t xml:space="preserve"> 47 human-origin Citrobacter strains were isolated from patients and identified using conventional bacteriological tests. Antibacterial susceptibility was determined by the disk diffusion method. Extended-spectrum beta-lactamase (ESBL) production was assessed using the double-disk synergy test. </w:t>
      </w:r>
    </w:p>
    <w:p w14:paraId="52E6E901" w14:textId="77777777" w:rsidR="003D775A" w:rsidRPr="00EC65F1" w:rsidRDefault="003D775A" w:rsidP="003D775A">
      <w:pPr>
        <w:spacing w:line="480" w:lineRule="auto"/>
        <w:jc w:val="both"/>
        <w:rPr>
          <w:rFonts w:ascii="Arial" w:hAnsi="Arial" w:cs="Arial"/>
          <w:sz w:val="20"/>
          <w:szCs w:val="20"/>
        </w:rPr>
      </w:pPr>
      <w:proofErr w:type="gramStart"/>
      <w:r w:rsidRPr="00EC65F1">
        <w:rPr>
          <w:rFonts w:ascii="Arial" w:hAnsi="Arial" w:cs="Arial"/>
          <w:b/>
          <w:sz w:val="20"/>
          <w:szCs w:val="20"/>
        </w:rPr>
        <w:t>Results:</w:t>
      </w:r>
      <w:proofErr w:type="gramEnd"/>
      <w:r w:rsidRPr="00EC65F1">
        <w:rPr>
          <w:rFonts w:ascii="Arial" w:hAnsi="Arial" w:cs="Arial"/>
          <w:sz w:val="20"/>
          <w:szCs w:val="20"/>
        </w:rPr>
        <w:t xml:space="preserve"> The results revealed that 59.57% of Citrobacter strains were isolated from urine obtained by direct voiding. The bacteria exhibited higher resistance to cephalosporins, with resistance rates of 89.29% to Cefixime and 60.71% to Cefotaxime and Ceftriaxone. Resistance rates to fluoroquinolones were above 50%. Citrobacter strains showed lower resistance to Kanamycin (aminoglycoside), with a rate of 10.71%. Among the 47 strains, 17 (36.17%) produced extended-spectrum beta-lactamases. </w:t>
      </w:r>
    </w:p>
    <w:p w14:paraId="7F85A86C" w14:textId="77777777" w:rsidR="003D775A" w:rsidRPr="00EC65F1" w:rsidRDefault="003D775A" w:rsidP="003D775A">
      <w:pPr>
        <w:spacing w:line="480" w:lineRule="auto"/>
        <w:jc w:val="both"/>
        <w:rPr>
          <w:rFonts w:ascii="Arial" w:hAnsi="Arial" w:cs="Arial"/>
          <w:sz w:val="20"/>
          <w:szCs w:val="20"/>
        </w:rPr>
      </w:pPr>
      <w:proofErr w:type="gramStart"/>
      <w:r w:rsidRPr="00EC65F1">
        <w:rPr>
          <w:rFonts w:ascii="Arial" w:hAnsi="Arial" w:cs="Arial"/>
          <w:b/>
          <w:sz w:val="20"/>
          <w:szCs w:val="20"/>
        </w:rPr>
        <w:t>Conclusion:</w:t>
      </w:r>
      <w:proofErr w:type="gramEnd"/>
      <w:r w:rsidRPr="00EC65F1">
        <w:rPr>
          <w:rFonts w:ascii="Arial" w:hAnsi="Arial" w:cs="Arial"/>
          <w:sz w:val="20"/>
          <w:szCs w:val="20"/>
        </w:rPr>
        <w:t xml:space="preserve"> In light of these findings, bacterial resistance remains a major public health concern.</w:t>
      </w:r>
    </w:p>
    <w:p w14:paraId="459B2800" w14:textId="77777777" w:rsidR="003D775A" w:rsidRPr="00EC65F1" w:rsidRDefault="003D775A" w:rsidP="0037033D">
      <w:pPr>
        <w:spacing w:line="480" w:lineRule="auto"/>
        <w:jc w:val="both"/>
        <w:rPr>
          <w:rFonts w:ascii="Arial" w:hAnsi="Arial" w:cs="Arial"/>
          <w:sz w:val="20"/>
          <w:szCs w:val="20"/>
        </w:rPr>
      </w:pPr>
      <w:proofErr w:type="gramStart"/>
      <w:r w:rsidRPr="00EC65F1">
        <w:rPr>
          <w:rFonts w:ascii="Arial" w:hAnsi="Arial" w:cs="Arial"/>
          <w:b/>
          <w:sz w:val="20"/>
          <w:szCs w:val="20"/>
        </w:rPr>
        <w:lastRenderedPageBreak/>
        <w:t>Keywords</w:t>
      </w:r>
      <w:r w:rsidRPr="00EC65F1">
        <w:rPr>
          <w:rFonts w:ascii="Arial" w:hAnsi="Arial" w:cs="Arial"/>
          <w:sz w:val="20"/>
          <w:szCs w:val="20"/>
        </w:rPr>
        <w:t>:</w:t>
      </w:r>
      <w:proofErr w:type="gramEnd"/>
      <w:r w:rsidRPr="00EC65F1">
        <w:rPr>
          <w:rFonts w:ascii="Arial" w:hAnsi="Arial" w:cs="Arial"/>
          <w:sz w:val="20"/>
          <w:szCs w:val="20"/>
        </w:rPr>
        <w:t xml:space="preserve"> </w:t>
      </w:r>
      <w:r w:rsidRPr="00EC65F1">
        <w:rPr>
          <w:rFonts w:ascii="Arial" w:hAnsi="Arial" w:cs="Arial"/>
          <w:i/>
          <w:sz w:val="20"/>
          <w:szCs w:val="20"/>
        </w:rPr>
        <w:t>Citrobacter</w:t>
      </w:r>
      <w:r w:rsidRPr="00EC65F1">
        <w:rPr>
          <w:rFonts w:ascii="Arial" w:hAnsi="Arial" w:cs="Arial"/>
          <w:sz w:val="20"/>
          <w:szCs w:val="20"/>
        </w:rPr>
        <w:t>, resistance, antibiotics, urinary tract infections</w:t>
      </w:r>
    </w:p>
    <w:p w14:paraId="6C5A7013" w14:textId="77777777" w:rsidR="00BF0D40" w:rsidRPr="00EC65F1" w:rsidRDefault="00BF0D40" w:rsidP="00BF0D40">
      <w:pPr>
        <w:spacing w:line="480" w:lineRule="auto"/>
        <w:jc w:val="both"/>
        <w:rPr>
          <w:rFonts w:ascii="Arial" w:hAnsi="Arial" w:cs="Arial"/>
          <w:b/>
        </w:rPr>
      </w:pPr>
      <w:r w:rsidRPr="00EC65F1">
        <w:rPr>
          <w:rFonts w:ascii="Arial" w:hAnsi="Arial" w:cs="Arial"/>
          <w:b/>
        </w:rPr>
        <w:t>1. INTRODUCTION</w:t>
      </w:r>
    </w:p>
    <w:p w14:paraId="648A6E34" w14:textId="77777777" w:rsidR="00BF0D40" w:rsidRPr="00EC65F1" w:rsidRDefault="00BF0D40" w:rsidP="003D775A">
      <w:pPr>
        <w:spacing w:after="0" w:line="480" w:lineRule="auto"/>
        <w:jc w:val="both"/>
        <w:rPr>
          <w:rFonts w:ascii="Arial" w:hAnsi="Arial" w:cs="Arial"/>
        </w:rPr>
      </w:pPr>
      <w:r w:rsidRPr="00EC65F1">
        <w:rPr>
          <w:rFonts w:ascii="Arial" w:hAnsi="Arial" w:cs="Arial"/>
        </w:rPr>
        <w:t>Microbial infections are currently a major public health issue, not only because of their impact on morbidity and mortality but also due to the economic burden they impose on society [1]. Among microbial infections, urinary tract infections (UTIs) rank second after respiratory infections and represent the second leading cause of medical consultations and antibiotic prescriptions [2]. The frequency of UTIs has been increasing over time and is reported to be 20 times higher in the elderly [3]. In this population, infections are facilitated by the functional decline of mucosal barriers, immune system aging, and the presence of multiple comorbidities [4].</w:t>
      </w:r>
    </w:p>
    <w:p w14:paraId="2DB2B0E9" w14:textId="77777777" w:rsidR="00BF0D40" w:rsidRPr="00EC65F1" w:rsidRDefault="00BF0D40" w:rsidP="003D775A">
      <w:pPr>
        <w:spacing w:after="0" w:line="480" w:lineRule="auto"/>
        <w:jc w:val="both"/>
        <w:rPr>
          <w:rFonts w:ascii="Arial" w:hAnsi="Arial" w:cs="Arial"/>
        </w:rPr>
      </w:pPr>
      <w:r w:rsidRPr="00EC65F1">
        <w:rPr>
          <w:rFonts w:ascii="Arial" w:hAnsi="Arial" w:cs="Arial"/>
        </w:rPr>
        <w:t xml:space="preserve">UTIs can be caused by several pathogens, including </w:t>
      </w:r>
      <w:r w:rsidRPr="00EC65F1">
        <w:rPr>
          <w:rFonts w:ascii="Arial" w:hAnsi="Arial" w:cs="Arial"/>
          <w:i/>
        </w:rPr>
        <w:t>Enterobacteriaceae</w:t>
      </w:r>
      <w:r w:rsidRPr="00EC65F1">
        <w:rPr>
          <w:rFonts w:ascii="Arial" w:hAnsi="Arial" w:cs="Arial"/>
        </w:rPr>
        <w:t xml:space="preserve"> of the genus </w:t>
      </w:r>
      <w:r w:rsidRPr="00EC65F1">
        <w:rPr>
          <w:rFonts w:ascii="Arial" w:hAnsi="Arial" w:cs="Arial"/>
          <w:i/>
        </w:rPr>
        <w:t>Citrobacter</w:t>
      </w:r>
      <w:r w:rsidRPr="00EC65F1">
        <w:rPr>
          <w:rFonts w:ascii="Arial" w:hAnsi="Arial" w:cs="Arial"/>
        </w:rPr>
        <w:t xml:space="preserve"> [5]. Once considered low-pathogenic colonizers, </w:t>
      </w:r>
      <w:r w:rsidRPr="00EC65F1">
        <w:rPr>
          <w:rFonts w:ascii="Arial" w:hAnsi="Arial" w:cs="Arial"/>
          <w:i/>
        </w:rPr>
        <w:t>Citrobacter</w:t>
      </w:r>
      <w:r w:rsidRPr="00EC65F1">
        <w:rPr>
          <w:rFonts w:ascii="Arial" w:hAnsi="Arial" w:cs="Arial"/>
        </w:rPr>
        <w:t xml:space="preserve"> are now recognized as responsible for various infections, often of nosocomial or iatrogenic origin [6]. According to Aguirre-Sánchez et al. [7], </w:t>
      </w:r>
      <w:r w:rsidRPr="00EC65F1">
        <w:rPr>
          <w:rFonts w:ascii="Arial" w:hAnsi="Arial" w:cs="Arial"/>
          <w:i/>
        </w:rPr>
        <w:t>Citrobacter</w:t>
      </w:r>
      <w:r w:rsidRPr="00EC65F1">
        <w:rPr>
          <w:rFonts w:ascii="Arial" w:hAnsi="Arial" w:cs="Arial"/>
        </w:rPr>
        <w:t xml:space="preserve"> infections account for between 3% and 6% of all </w:t>
      </w:r>
      <w:r w:rsidRPr="00EC65F1">
        <w:rPr>
          <w:rFonts w:ascii="Arial" w:hAnsi="Arial" w:cs="Arial"/>
          <w:i/>
        </w:rPr>
        <w:t>Enterobacteriaceae</w:t>
      </w:r>
      <w:r w:rsidRPr="00EC65F1">
        <w:rPr>
          <w:rFonts w:ascii="Arial" w:hAnsi="Arial" w:cs="Arial"/>
        </w:rPr>
        <w:t xml:space="preserve"> isolates. These infections may be associated with mortality rates ranging from 6.8% to 56% [8].</w:t>
      </w:r>
    </w:p>
    <w:p w14:paraId="3B39A353" w14:textId="77777777" w:rsidR="00BF0D40" w:rsidRPr="00EC65F1" w:rsidRDefault="00BF0D40" w:rsidP="00BF0D40">
      <w:pPr>
        <w:spacing w:line="480" w:lineRule="auto"/>
        <w:jc w:val="both"/>
        <w:rPr>
          <w:rFonts w:ascii="Arial" w:hAnsi="Arial" w:cs="Arial"/>
        </w:rPr>
      </w:pPr>
      <w:r w:rsidRPr="00EC65F1">
        <w:rPr>
          <w:rFonts w:ascii="Arial" w:hAnsi="Arial" w:cs="Arial"/>
        </w:rPr>
        <w:t>Antimicrobial resistance has become a global public health problem with regard to UTIs [9]. This resistance is generally due to mobile genetic elements such as plasmids and transposons, which facilitate the spread of resistance genes through horizontal transfer, similar to genetic engineering techniques used in laboratories [10]. As has been widely demonstrated in many bacterial species (</w:t>
      </w:r>
      <w:r w:rsidRPr="00EC65F1">
        <w:rPr>
          <w:rFonts w:ascii="Arial" w:hAnsi="Arial" w:cs="Arial"/>
          <w:i/>
        </w:rPr>
        <w:t>Klebsiella, Salmonella, Staphylococcus</w:t>
      </w:r>
      <w:r w:rsidRPr="00EC65F1">
        <w:rPr>
          <w:rFonts w:ascii="Arial" w:hAnsi="Arial" w:cs="Arial"/>
        </w:rPr>
        <w:t xml:space="preserve"> [11]), antimicrobial resistance is also observed in </w:t>
      </w:r>
      <w:r w:rsidRPr="00EC65F1">
        <w:rPr>
          <w:rFonts w:ascii="Arial" w:hAnsi="Arial" w:cs="Arial"/>
          <w:i/>
        </w:rPr>
        <w:t>Citrobacter</w:t>
      </w:r>
      <w:r w:rsidRPr="00EC65F1">
        <w:rPr>
          <w:rFonts w:ascii="Arial" w:hAnsi="Arial" w:cs="Arial"/>
        </w:rPr>
        <w:t xml:space="preserve">. Indeed, studies conducted in the United States between 2000 and 2018 showed that resistance of </w:t>
      </w:r>
      <w:r w:rsidRPr="00EC65F1">
        <w:rPr>
          <w:rFonts w:ascii="Arial" w:hAnsi="Arial" w:cs="Arial"/>
          <w:i/>
        </w:rPr>
        <w:t>Citrobacter</w:t>
      </w:r>
      <w:r w:rsidRPr="00EC65F1">
        <w:rPr>
          <w:rFonts w:ascii="Arial" w:hAnsi="Arial" w:cs="Arial"/>
        </w:rPr>
        <w:t xml:space="preserve"> to carbapenems increased from 4% to 10% [12]. Furthermore, between 2017 and 2019, these bacteria accounted for 10% to 17% of all carbapenemase-producing strains in Germany [13].</w:t>
      </w:r>
    </w:p>
    <w:p w14:paraId="2D3B8856" w14:textId="77777777" w:rsidR="00BF0D40" w:rsidRPr="00EC65F1" w:rsidRDefault="00BF0D40" w:rsidP="00BF0D40">
      <w:pPr>
        <w:spacing w:line="480" w:lineRule="auto"/>
        <w:jc w:val="both"/>
        <w:rPr>
          <w:rFonts w:ascii="Arial" w:hAnsi="Arial" w:cs="Arial"/>
        </w:rPr>
      </w:pPr>
      <w:r w:rsidRPr="00EC65F1">
        <w:rPr>
          <w:rFonts w:ascii="Arial" w:hAnsi="Arial" w:cs="Arial"/>
        </w:rPr>
        <w:t xml:space="preserve">In Côte d’Ivoire, few data are available on antimicrobial resistance in </w:t>
      </w:r>
      <w:r w:rsidRPr="00EC65F1">
        <w:rPr>
          <w:rFonts w:ascii="Arial" w:hAnsi="Arial" w:cs="Arial"/>
          <w:i/>
        </w:rPr>
        <w:t>Citrobacter</w:t>
      </w:r>
      <w:r w:rsidRPr="00EC65F1">
        <w:rPr>
          <w:rFonts w:ascii="Arial" w:hAnsi="Arial" w:cs="Arial"/>
        </w:rPr>
        <w:t xml:space="preserve"> urinary tract infections. It is therefore essential to determine the level of resistance expressed by </w:t>
      </w:r>
      <w:r w:rsidRPr="00EC65F1">
        <w:rPr>
          <w:rFonts w:ascii="Arial" w:hAnsi="Arial" w:cs="Arial"/>
          <w:i/>
        </w:rPr>
        <w:t>Citrobacter</w:t>
      </w:r>
      <w:r w:rsidRPr="00EC65F1">
        <w:rPr>
          <w:rFonts w:ascii="Arial" w:hAnsi="Arial" w:cs="Arial"/>
        </w:rPr>
        <w:t xml:space="preserve"> </w:t>
      </w:r>
      <w:r w:rsidRPr="00EC65F1">
        <w:rPr>
          <w:rFonts w:ascii="Arial" w:hAnsi="Arial" w:cs="Arial"/>
        </w:rPr>
        <w:lastRenderedPageBreak/>
        <w:t xml:space="preserve">strains implicated in UTIs in the country. The objective of this study is to examine the antibiotic resistance of </w:t>
      </w:r>
      <w:r w:rsidRPr="00EC65F1">
        <w:rPr>
          <w:rFonts w:ascii="Arial" w:hAnsi="Arial" w:cs="Arial"/>
          <w:i/>
        </w:rPr>
        <w:t>Citrobacter</w:t>
      </w:r>
      <w:r w:rsidRPr="00EC65F1">
        <w:rPr>
          <w:rFonts w:ascii="Arial" w:hAnsi="Arial" w:cs="Arial"/>
        </w:rPr>
        <w:t xml:space="preserve"> isolates causing urinary tract infections in elderly patients in Côte d’Ivoire, where few studies have been carried out on this issue.</w:t>
      </w:r>
    </w:p>
    <w:p w14:paraId="5FEA1545" w14:textId="77777777" w:rsidR="00BF0D40" w:rsidRPr="00EC65F1" w:rsidRDefault="005D704B" w:rsidP="00BF0D40">
      <w:pPr>
        <w:spacing w:line="480" w:lineRule="auto"/>
        <w:jc w:val="both"/>
        <w:rPr>
          <w:rFonts w:ascii="Arial" w:hAnsi="Arial" w:cs="Arial"/>
          <w:b/>
        </w:rPr>
      </w:pPr>
      <w:r w:rsidRPr="00EC65F1">
        <w:rPr>
          <w:rFonts w:ascii="Arial" w:hAnsi="Arial" w:cs="Arial"/>
          <w:b/>
        </w:rPr>
        <w:t xml:space="preserve">2. </w:t>
      </w:r>
      <w:r w:rsidR="00BF0D40" w:rsidRPr="00EC65F1">
        <w:rPr>
          <w:rFonts w:ascii="Arial" w:hAnsi="Arial" w:cs="Arial"/>
          <w:b/>
        </w:rPr>
        <w:t>MATERIALS AND METHODS</w:t>
      </w:r>
    </w:p>
    <w:p w14:paraId="323EE397" w14:textId="77777777" w:rsidR="00BF0D40" w:rsidRPr="00EC65F1" w:rsidRDefault="00BF0D40" w:rsidP="00BF0D40">
      <w:pPr>
        <w:spacing w:line="480" w:lineRule="auto"/>
        <w:jc w:val="both"/>
        <w:rPr>
          <w:rFonts w:ascii="Arial" w:hAnsi="Arial" w:cs="Arial"/>
          <w:b/>
          <w:sz w:val="24"/>
        </w:rPr>
      </w:pPr>
      <w:r w:rsidRPr="00EC65F1">
        <w:rPr>
          <w:rFonts w:ascii="Arial" w:hAnsi="Arial" w:cs="Arial"/>
          <w:b/>
          <w:sz w:val="24"/>
        </w:rPr>
        <w:t>2.1. Biological material</w:t>
      </w:r>
    </w:p>
    <w:p w14:paraId="31ADE46F"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t xml:space="preserve">The biological material consisted of 47 </w:t>
      </w:r>
      <w:r w:rsidRPr="00EC65F1">
        <w:rPr>
          <w:rFonts w:ascii="Arial" w:hAnsi="Arial" w:cs="Arial"/>
          <w:i/>
          <w:sz w:val="20"/>
          <w:szCs w:val="20"/>
        </w:rPr>
        <w:t>Citrobacter</w:t>
      </w:r>
      <w:r w:rsidRPr="00EC65F1">
        <w:rPr>
          <w:rFonts w:ascii="Arial" w:hAnsi="Arial" w:cs="Arial"/>
          <w:sz w:val="20"/>
          <w:szCs w:val="20"/>
        </w:rPr>
        <w:t xml:space="preserve"> strains of human origin. These strains were isolated from blood, urine (obtained by direct voiding or collected from catheter tips), and suppurations</w:t>
      </w:r>
      <w:r w:rsidR="005D704B" w:rsidRPr="00EC65F1">
        <w:rPr>
          <w:rFonts w:ascii="Arial" w:hAnsi="Arial" w:cs="Arial"/>
          <w:sz w:val="20"/>
          <w:szCs w:val="20"/>
        </w:rPr>
        <w:t xml:space="preserve"> sampled from elderly patients.</w:t>
      </w:r>
    </w:p>
    <w:p w14:paraId="77214239" w14:textId="77777777" w:rsidR="00BF0D40" w:rsidRPr="00EC65F1" w:rsidRDefault="00BF0D40" w:rsidP="00BF0D40">
      <w:pPr>
        <w:spacing w:line="480" w:lineRule="auto"/>
        <w:jc w:val="both"/>
        <w:rPr>
          <w:rFonts w:ascii="Arial" w:hAnsi="Arial" w:cs="Arial"/>
          <w:b/>
        </w:rPr>
      </w:pPr>
      <w:r w:rsidRPr="00EC65F1">
        <w:rPr>
          <w:rFonts w:ascii="Arial" w:hAnsi="Arial" w:cs="Arial"/>
          <w:b/>
        </w:rPr>
        <w:t>2.2. Collection of ba</w:t>
      </w:r>
      <w:r w:rsidR="005D704B" w:rsidRPr="00EC65F1">
        <w:rPr>
          <w:rFonts w:ascii="Arial" w:hAnsi="Arial" w:cs="Arial"/>
          <w:b/>
        </w:rPr>
        <w:t>cterial strains</w:t>
      </w:r>
    </w:p>
    <w:p w14:paraId="51F684FC"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t xml:space="preserve">The bacteria were collected from the Biocollection of the National Reference Center for Antibiotics (CNR) at the Institut Pasteur of Côte d’Ivoire (IPCI). The strains were preserved at −80 °C in brain–heart infusion broth supplemented with 1% glycerol at the Biological Resource Center (CeReB) of the IPCI. Strain identifiers were defined based on information relating to the hospital department (urology, general medicine, nephrology, neurology), the biological sample type (blood, urine by direct voiding, urine from catheter tips, suppuration), as well as </w:t>
      </w:r>
      <w:r w:rsidR="005D704B" w:rsidRPr="00EC65F1">
        <w:rPr>
          <w:rFonts w:ascii="Arial" w:hAnsi="Arial" w:cs="Arial"/>
          <w:sz w:val="20"/>
          <w:szCs w:val="20"/>
        </w:rPr>
        <w:t>the age and sex of the patient.</w:t>
      </w:r>
    </w:p>
    <w:p w14:paraId="7958902F" w14:textId="77777777" w:rsidR="00BF0D40" w:rsidRPr="00EC65F1" w:rsidRDefault="00BF0D40" w:rsidP="00BF0D40">
      <w:pPr>
        <w:spacing w:line="480" w:lineRule="auto"/>
        <w:jc w:val="both"/>
        <w:rPr>
          <w:rFonts w:ascii="Arial" w:hAnsi="Arial" w:cs="Arial"/>
          <w:b/>
        </w:rPr>
      </w:pPr>
      <w:r w:rsidRPr="00EC65F1">
        <w:rPr>
          <w:rFonts w:ascii="Arial" w:hAnsi="Arial" w:cs="Arial"/>
          <w:b/>
        </w:rPr>
        <w:t xml:space="preserve">2.3. Phenotypic </w:t>
      </w:r>
      <w:r w:rsidR="005D704B" w:rsidRPr="00EC65F1">
        <w:rPr>
          <w:rFonts w:ascii="Arial" w:hAnsi="Arial" w:cs="Arial"/>
          <w:b/>
        </w:rPr>
        <w:t>characterization of the strains</w:t>
      </w:r>
    </w:p>
    <w:p w14:paraId="55A056B4" w14:textId="77777777" w:rsidR="00BF0D40" w:rsidRPr="00EC65F1" w:rsidRDefault="005D704B" w:rsidP="00BF0D40">
      <w:pPr>
        <w:spacing w:line="480" w:lineRule="auto"/>
        <w:jc w:val="both"/>
        <w:rPr>
          <w:rFonts w:ascii="Arial" w:hAnsi="Arial" w:cs="Arial"/>
          <w:b/>
          <w:i/>
          <w:sz w:val="20"/>
          <w:szCs w:val="20"/>
        </w:rPr>
      </w:pPr>
      <w:r w:rsidRPr="00EC65F1">
        <w:rPr>
          <w:rFonts w:ascii="Arial" w:hAnsi="Arial" w:cs="Arial"/>
          <w:b/>
          <w:i/>
          <w:sz w:val="20"/>
          <w:szCs w:val="20"/>
        </w:rPr>
        <w:t>2.2.1. Revival of bacterial strains</w:t>
      </w:r>
    </w:p>
    <w:p w14:paraId="032B2C82"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t xml:space="preserve">Brain–heart infusion (BHI) broth was used to revive the bacterial strains. A 10 µL sample from the agar medium containing the strains was inoculated into BHI broth and incubated at 37 °C for 24 hours. Subsequently, the BHI broth was streaked with a sterile Pasteur pipette onto Eosin Methylene Blue (EMB) agar to select </w:t>
      </w:r>
      <w:r w:rsidRPr="00EC65F1">
        <w:rPr>
          <w:rFonts w:ascii="Arial" w:hAnsi="Arial" w:cs="Arial"/>
          <w:i/>
          <w:sz w:val="20"/>
          <w:szCs w:val="20"/>
        </w:rPr>
        <w:t>Enterobacteriaceae</w:t>
      </w:r>
      <w:r w:rsidRPr="00EC65F1">
        <w:rPr>
          <w:rFonts w:ascii="Arial" w:hAnsi="Arial" w:cs="Arial"/>
          <w:sz w:val="20"/>
          <w:szCs w:val="20"/>
        </w:rPr>
        <w:t>. The EMB plates were also incubated at 37 °C for 24 hours.</w:t>
      </w:r>
    </w:p>
    <w:p w14:paraId="2A572708" w14:textId="77777777" w:rsidR="00BF0D40" w:rsidRPr="00EC65F1" w:rsidRDefault="005D704B" w:rsidP="00BF0D40">
      <w:pPr>
        <w:spacing w:line="480" w:lineRule="auto"/>
        <w:jc w:val="both"/>
        <w:rPr>
          <w:rFonts w:ascii="Arial" w:hAnsi="Arial" w:cs="Arial"/>
          <w:b/>
          <w:i/>
          <w:sz w:val="20"/>
          <w:szCs w:val="20"/>
        </w:rPr>
      </w:pPr>
      <w:r w:rsidRPr="00EC65F1">
        <w:rPr>
          <w:rFonts w:ascii="Arial" w:hAnsi="Arial" w:cs="Arial"/>
          <w:b/>
          <w:i/>
          <w:sz w:val="20"/>
          <w:szCs w:val="20"/>
        </w:rPr>
        <w:t>2.2.2. Re</w:t>
      </w:r>
      <w:r w:rsidR="00BF0D40" w:rsidRPr="00EC65F1">
        <w:rPr>
          <w:rFonts w:ascii="Arial" w:hAnsi="Arial" w:cs="Arial"/>
          <w:b/>
          <w:i/>
          <w:sz w:val="20"/>
          <w:szCs w:val="20"/>
        </w:rPr>
        <w:t>identification of Enterobacteriaceae strains</w:t>
      </w:r>
    </w:p>
    <w:p w14:paraId="6C813366"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t xml:space="preserve">Identification of the strains was carried out in two steps. First, the </w:t>
      </w:r>
      <w:r w:rsidRPr="00EC65F1">
        <w:rPr>
          <w:rFonts w:ascii="Arial" w:hAnsi="Arial" w:cs="Arial"/>
          <w:i/>
          <w:sz w:val="20"/>
          <w:szCs w:val="20"/>
        </w:rPr>
        <w:t>Enterobacteriaceae</w:t>
      </w:r>
      <w:r w:rsidRPr="00EC65F1">
        <w:rPr>
          <w:rFonts w:ascii="Arial" w:hAnsi="Arial" w:cs="Arial"/>
          <w:sz w:val="20"/>
          <w:szCs w:val="20"/>
        </w:rPr>
        <w:t xml:space="preserve"> nature of the isolates was confirmed using the oxidase test. Second, bacteria belonging to the genus </w:t>
      </w:r>
      <w:r w:rsidRPr="00EC65F1">
        <w:rPr>
          <w:rFonts w:ascii="Arial" w:hAnsi="Arial" w:cs="Arial"/>
          <w:i/>
          <w:sz w:val="20"/>
          <w:szCs w:val="20"/>
        </w:rPr>
        <w:t>Citrobacter</w:t>
      </w:r>
      <w:r w:rsidRPr="00EC65F1">
        <w:rPr>
          <w:rFonts w:ascii="Arial" w:hAnsi="Arial" w:cs="Arial"/>
          <w:sz w:val="20"/>
          <w:szCs w:val="20"/>
        </w:rPr>
        <w:t xml:space="preserve"> were identified </w:t>
      </w:r>
      <w:r w:rsidR="005D704B" w:rsidRPr="00EC65F1">
        <w:rPr>
          <w:rFonts w:ascii="Arial" w:hAnsi="Arial" w:cs="Arial"/>
          <w:sz w:val="20"/>
          <w:szCs w:val="20"/>
        </w:rPr>
        <w:t>through biochemical tests [14].</w:t>
      </w:r>
    </w:p>
    <w:p w14:paraId="339DCA90" w14:textId="77777777" w:rsidR="00BF0D40" w:rsidRPr="00EC65F1" w:rsidRDefault="005D704B" w:rsidP="00BF0D40">
      <w:pPr>
        <w:spacing w:line="480" w:lineRule="auto"/>
        <w:jc w:val="both"/>
        <w:rPr>
          <w:rFonts w:ascii="Arial" w:hAnsi="Arial" w:cs="Arial"/>
          <w:b/>
          <w:i/>
          <w:sz w:val="20"/>
          <w:szCs w:val="20"/>
        </w:rPr>
      </w:pPr>
      <w:r w:rsidRPr="00EC65F1">
        <w:rPr>
          <w:rFonts w:ascii="Arial" w:hAnsi="Arial" w:cs="Arial"/>
          <w:b/>
          <w:i/>
          <w:sz w:val="20"/>
          <w:szCs w:val="20"/>
        </w:rPr>
        <w:t xml:space="preserve">2.2.3. </w:t>
      </w:r>
      <w:r w:rsidR="00BF0D40" w:rsidRPr="00EC65F1">
        <w:rPr>
          <w:rFonts w:ascii="Arial" w:hAnsi="Arial" w:cs="Arial"/>
          <w:b/>
          <w:i/>
          <w:sz w:val="20"/>
          <w:szCs w:val="20"/>
        </w:rPr>
        <w:t>Antibiotic susceptibility testing of Citrobacter</w:t>
      </w:r>
    </w:p>
    <w:p w14:paraId="4770CF8D"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lastRenderedPageBreak/>
        <w:t xml:space="preserve">The disk diffusion method on Mueller–Hinton agar was used to determine the antibiotic susceptibility of the </w:t>
      </w:r>
      <w:r w:rsidRPr="00EC65F1">
        <w:rPr>
          <w:rFonts w:ascii="Arial" w:hAnsi="Arial" w:cs="Arial"/>
          <w:i/>
          <w:sz w:val="20"/>
          <w:szCs w:val="20"/>
        </w:rPr>
        <w:t>Citrobacter</w:t>
      </w:r>
      <w:r w:rsidRPr="00EC65F1">
        <w:rPr>
          <w:rFonts w:ascii="Arial" w:hAnsi="Arial" w:cs="Arial"/>
          <w:sz w:val="20"/>
          <w:szCs w:val="20"/>
        </w:rPr>
        <w:t xml:space="preserve"> strains, in accordance with the guidelines of the Antibiogram Committee of the French Society for Microbiology [15]. Table I summarizes the list of antibiotics tested.</w:t>
      </w:r>
    </w:p>
    <w:p w14:paraId="4DD73AE0" w14:textId="77777777" w:rsidR="003D775A" w:rsidRPr="00EC65F1" w:rsidRDefault="003D775A" w:rsidP="003D775A">
      <w:pPr>
        <w:tabs>
          <w:tab w:val="left" w:pos="1524"/>
        </w:tabs>
        <w:spacing w:line="480" w:lineRule="auto"/>
        <w:jc w:val="both"/>
        <w:rPr>
          <w:rFonts w:ascii="Arial" w:hAnsi="Arial" w:cs="Arial"/>
          <w:sz w:val="20"/>
          <w:szCs w:val="20"/>
        </w:rPr>
      </w:pPr>
      <w:r w:rsidRPr="00EC65F1">
        <w:rPr>
          <w:rFonts w:ascii="Arial" w:hAnsi="Arial" w:cs="Arial"/>
          <w:sz w:val="20"/>
          <w:szCs w:val="20"/>
        </w:rPr>
        <w:t xml:space="preserve">Table </w:t>
      </w:r>
      <w:proofErr w:type="gramStart"/>
      <w:r w:rsidRPr="00EC65F1">
        <w:rPr>
          <w:rFonts w:ascii="Arial" w:hAnsi="Arial" w:cs="Arial"/>
          <w:sz w:val="20"/>
          <w:szCs w:val="20"/>
        </w:rPr>
        <w:t>I:</w:t>
      </w:r>
      <w:proofErr w:type="gramEnd"/>
      <w:r w:rsidRPr="00EC65F1">
        <w:rPr>
          <w:rFonts w:ascii="Arial" w:hAnsi="Arial" w:cs="Arial"/>
          <w:sz w:val="20"/>
          <w:szCs w:val="20"/>
        </w:rPr>
        <w:t xml:space="preserve"> List of antibiotics used in this study</w:t>
      </w:r>
    </w:p>
    <w:tbl>
      <w:tblPr>
        <w:tblW w:w="7744" w:type="dxa"/>
        <w:tblInd w:w="67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249"/>
        <w:gridCol w:w="1912"/>
        <w:gridCol w:w="1579"/>
      </w:tblGrid>
      <w:tr w:rsidR="003D775A" w:rsidRPr="00EC65F1" w14:paraId="2E940AD2" w14:textId="77777777" w:rsidTr="008967C8">
        <w:trPr>
          <w:trHeight w:val="20"/>
        </w:trPr>
        <w:tc>
          <w:tcPr>
            <w:tcW w:w="2004" w:type="dxa"/>
            <w:tcBorders>
              <w:right w:val="nil"/>
            </w:tcBorders>
            <w:vAlign w:val="center"/>
          </w:tcPr>
          <w:p w14:paraId="54FA775E" w14:textId="77777777" w:rsidR="003D775A" w:rsidRPr="00EC65F1" w:rsidRDefault="003D775A" w:rsidP="003D775A">
            <w:pPr>
              <w:spacing w:after="0" w:line="480" w:lineRule="auto"/>
              <w:jc w:val="center"/>
              <w:rPr>
                <w:rFonts w:ascii="Arial" w:hAnsi="Arial" w:cs="Arial"/>
                <w:b/>
                <w:sz w:val="20"/>
                <w:szCs w:val="20"/>
              </w:rPr>
            </w:pPr>
            <w:r w:rsidRPr="00EC65F1">
              <w:rPr>
                <w:rFonts w:ascii="Arial" w:hAnsi="Arial" w:cs="Arial"/>
                <w:b/>
                <w:sz w:val="20"/>
                <w:szCs w:val="20"/>
              </w:rPr>
              <w:t>Familles</w:t>
            </w:r>
          </w:p>
        </w:tc>
        <w:tc>
          <w:tcPr>
            <w:tcW w:w="2249" w:type="dxa"/>
            <w:tcBorders>
              <w:left w:val="nil"/>
              <w:right w:val="nil"/>
            </w:tcBorders>
            <w:vAlign w:val="center"/>
          </w:tcPr>
          <w:p w14:paraId="27C242BE" w14:textId="77777777" w:rsidR="003D775A" w:rsidRPr="00EC65F1" w:rsidRDefault="003D775A" w:rsidP="003D775A">
            <w:pPr>
              <w:spacing w:after="0" w:line="480" w:lineRule="auto"/>
              <w:jc w:val="center"/>
              <w:rPr>
                <w:rFonts w:ascii="Arial" w:hAnsi="Arial" w:cs="Arial"/>
                <w:b/>
                <w:sz w:val="20"/>
                <w:szCs w:val="20"/>
              </w:rPr>
            </w:pPr>
            <w:r w:rsidRPr="00EC65F1">
              <w:rPr>
                <w:rFonts w:ascii="Arial" w:hAnsi="Arial" w:cs="Arial"/>
                <w:b/>
                <w:sz w:val="20"/>
                <w:szCs w:val="20"/>
              </w:rPr>
              <w:t>Antibiotics</w:t>
            </w:r>
          </w:p>
        </w:tc>
        <w:tc>
          <w:tcPr>
            <w:tcW w:w="1912" w:type="dxa"/>
            <w:tcBorders>
              <w:left w:val="nil"/>
              <w:right w:val="nil"/>
            </w:tcBorders>
            <w:vAlign w:val="center"/>
          </w:tcPr>
          <w:p w14:paraId="62873495" w14:textId="77777777" w:rsidR="003D775A" w:rsidRPr="00EC65F1" w:rsidRDefault="003D775A" w:rsidP="003D775A">
            <w:pPr>
              <w:spacing w:after="0" w:line="480" w:lineRule="auto"/>
              <w:jc w:val="center"/>
              <w:rPr>
                <w:rFonts w:ascii="Arial" w:hAnsi="Arial" w:cs="Arial"/>
                <w:b/>
                <w:sz w:val="20"/>
                <w:szCs w:val="20"/>
              </w:rPr>
            </w:pPr>
            <w:r w:rsidRPr="00EC65F1">
              <w:rPr>
                <w:rFonts w:ascii="Arial" w:hAnsi="Arial" w:cs="Arial"/>
                <w:b/>
                <w:sz w:val="20"/>
                <w:szCs w:val="20"/>
              </w:rPr>
              <w:t>Abbreviations</w:t>
            </w:r>
          </w:p>
        </w:tc>
        <w:tc>
          <w:tcPr>
            <w:tcW w:w="1579" w:type="dxa"/>
            <w:tcBorders>
              <w:left w:val="nil"/>
              <w:right w:val="nil"/>
            </w:tcBorders>
            <w:vAlign w:val="center"/>
          </w:tcPr>
          <w:p w14:paraId="77F935DB" w14:textId="77777777" w:rsidR="003D775A" w:rsidRPr="00EC65F1" w:rsidRDefault="003D775A" w:rsidP="003D775A">
            <w:pPr>
              <w:spacing w:after="0" w:line="480" w:lineRule="auto"/>
              <w:jc w:val="center"/>
              <w:rPr>
                <w:rFonts w:ascii="Arial" w:hAnsi="Arial" w:cs="Arial"/>
                <w:b/>
                <w:sz w:val="20"/>
                <w:szCs w:val="20"/>
              </w:rPr>
            </w:pPr>
            <w:r w:rsidRPr="00EC65F1">
              <w:rPr>
                <w:rFonts w:ascii="Arial" w:hAnsi="Arial" w:cs="Arial"/>
                <w:b/>
                <w:sz w:val="20"/>
                <w:szCs w:val="20"/>
              </w:rPr>
              <w:t>Disc loads (µg)</w:t>
            </w:r>
          </w:p>
        </w:tc>
      </w:tr>
      <w:tr w:rsidR="003D775A" w:rsidRPr="00EC65F1" w14:paraId="0BC37709" w14:textId="77777777" w:rsidTr="008967C8">
        <w:trPr>
          <w:trHeight w:val="20"/>
        </w:trPr>
        <w:tc>
          <w:tcPr>
            <w:tcW w:w="2004" w:type="dxa"/>
            <w:tcBorders>
              <w:bottom w:val="nil"/>
              <w:right w:val="nil"/>
            </w:tcBorders>
            <w:vAlign w:val="center"/>
          </w:tcPr>
          <w:p w14:paraId="006FE24D"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Penicillins</w:t>
            </w:r>
          </w:p>
        </w:tc>
        <w:tc>
          <w:tcPr>
            <w:tcW w:w="2249" w:type="dxa"/>
            <w:tcBorders>
              <w:left w:val="nil"/>
              <w:bottom w:val="nil"/>
              <w:right w:val="nil"/>
            </w:tcBorders>
            <w:vAlign w:val="center"/>
          </w:tcPr>
          <w:p w14:paraId="5F494670"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Amoxicillin-clavulanic acid</w:t>
            </w:r>
          </w:p>
        </w:tc>
        <w:tc>
          <w:tcPr>
            <w:tcW w:w="1912" w:type="dxa"/>
            <w:tcBorders>
              <w:left w:val="nil"/>
              <w:bottom w:val="nil"/>
              <w:right w:val="nil"/>
            </w:tcBorders>
            <w:vAlign w:val="center"/>
          </w:tcPr>
          <w:p w14:paraId="192025CF"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AMC</w:t>
            </w:r>
          </w:p>
        </w:tc>
        <w:tc>
          <w:tcPr>
            <w:tcW w:w="1579" w:type="dxa"/>
            <w:tcBorders>
              <w:left w:val="nil"/>
              <w:bottom w:val="nil"/>
              <w:right w:val="nil"/>
            </w:tcBorders>
            <w:vAlign w:val="center"/>
          </w:tcPr>
          <w:p w14:paraId="01574374"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0914C188" w14:textId="77777777" w:rsidTr="008967C8">
        <w:trPr>
          <w:trHeight w:val="20"/>
        </w:trPr>
        <w:tc>
          <w:tcPr>
            <w:tcW w:w="2004" w:type="dxa"/>
            <w:vMerge w:val="restart"/>
            <w:tcBorders>
              <w:top w:val="nil"/>
              <w:bottom w:val="nil"/>
              <w:right w:val="nil"/>
            </w:tcBorders>
            <w:vAlign w:val="center"/>
          </w:tcPr>
          <w:p w14:paraId="64BA4918" w14:textId="77777777" w:rsidR="003D775A" w:rsidRPr="00EC65F1" w:rsidRDefault="003D775A" w:rsidP="003D775A">
            <w:pPr>
              <w:spacing w:after="0" w:line="480" w:lineRule="auto"/>
              <w:rPr>
                <w:rFonts w:ascii="Arial" w:hAnsi="Arial" w:cs="Arial"/>
                <w:sz w:val="20"/>
                <w:szCs w:val="20"/>
              </w:rPr>
            </w:pPr>
            <w:r w:rsidRPr="00EC65F1">
              <w:rPr>
                <w:rFonts w:ascii="Arial" w:hAnsi="Arial" w:cs="Arial"/>
                <w:sz w:val="20"/>
                <w:szCs w:val="20"/>
              </w:rPr>
              <w:t>Cephalosporins</w:t>
            </w:r>
          </w:p>
        </w:tc>
        <w:tc>
          <w:tcPr>
            <w:tcW w:w="2249" w:type="dxa"/>
            <w:tcBorders>
              <w:top w:val="nil"/>
              <w:left w:val="nil"/>
              <w:bottom w:val="nil"/>
              <w:right w:val="nil"/>
            </w:tcBorders>
            <w:vAlign w:val="center"/>
          </w:tcPr>
          <w:p w14:paraId="5993053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Cefotaxime</w:t>
            </w:r>
          </w:p>
        </w:tc>
        <w:tc>
          <w:tcPr>
            <w:tcW w:w="1912" w:type="dxa"/>
            <w:tcBorders>
              <w:top w:val="nil"/>
              <w:left w:val="nil"/>
              <w:bottom w:val="nil"/>
              <w:right w:val="nil"/>
            </w:tcBorders>
            <w:vAlign w:val="center"/>
          </w:tcPr>
          <w:p w14:paraId="783C92F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CTX</w:t>
            </w:r>
          </w:p>
        </w:tc>
        <w:tc>
          <w:tcPr>
            <w:tcW w:w="1579" w:type="dxa"/>
            <w:tcBorders>
              <w:top w:val="nil"/>
              <w:left w:val="nil"/>
              <w:bottom w:val="nil"/>
              <w:right w:val="nil"/>
            </w:tcBorders>
          </w:tcPr>
          <w:p w14:paraId="46DF8C43"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5</w:t>
            </w:r>
          </w:p>
        </w:tc>
      </w:tr>
      <w:tr w:rsidR="003D775A" w:rsidRPr="00EC65F1" w14:paraId="556EC5CC" w14:textId="77777777" w:rsidTr="008967C8">
        <w:trPr>
          <w:trHeight w:val="20"/>
        </w:trPr>
        <w:tc>
          <w:tcPr>
            <w:tcW w:w="2004" w:type="dxa"/>
            <w:vMerge/>
            <w:tcBorders>
              <w:top w:val="nil"/>
              <w:bottom w:val="nil"/>
              <w:right w:val="nil"/>
            </w:tcBorders>
            <w:vAlign w:val="center"/>
          </w:tcPr>
          <w:p w14:paraId="7C51340D"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5246D906"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Ceftriaxone</w:t>
            </w:r>
          </w:p>
        </w:tc>
        <w:tc>
          <w:tcPr>
            <w:tcW w:w="1912" w:type="dxa"/>
            <w:tcBorders>
              <w:top w:val="nil"/>
              <w:left w:val="nil"/>
              <w:bottom w:val="nil"/>
              <w:right w:val="nil"/>
            </w:tcBorders>
            <w:vAlign w:val="center"/>
          </w:tcPr>
          <w:p w14:paraId="0300903A"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CFT</w:t>
            </w:r>
          </w:p>
        </w:tc>
        <w:tc>
          <w:tcPr>
            <w:tcW w:w="1579" w:type="dxa"/>
            <w:tcBorders>
              <w:top w:val="nil"/>
              <w:left w:val="nil"/>
              <w:bottom w:val="nil"/>
              <w:right w:val="nil"/>
            </w:tcBorders>
          </w:tcPr>
          <w:p w14:paraId="47A9BAC4"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456FFD05" w14:textId="77777777" w:rsidTr="008967C8">
        <w:trPr>
          <w:trHeight w:val="20"/>
        </w:trPr>
        <w:tc>
          <w:tcPr>
            <w:tcW w:w="2004" w:type="dxa"/>
            <w:vMerge/>
            <w:tcBorders>
              <w:top w:val="nil"/>
              <w:bottom w:val="nil"/>
              <w:right w:val="nil"/>
            </w:tcBorders>
            <w:vAlign w:val="center"/>
          </w:tcPr>
          <w:p w14:paraId="15A716BA"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461F9B76"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Cefoxitin</w:t>
            </w:r>
          </w:p>
        </w:tc>
        <w:tc>
          <w:tcPr>
            <w:tcW w:w="1912" w:type="dxa"/>
            <w:tcBorders>
              <w:top w:val="nil"/>
              <w:left w:val="nil"/>
              <w:bottom w:val="nil"/>
              <w:right w:val="nil"/>
            </w:tcBorders>
            <w:vAlign w:val="center"/>
          </w:tcPr>
          <w:p w14:paraId="459BD90E"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FOX</w:t>
            </w:r>
          </w:p>
        </w:tc>
        <w:tc>
          <w:tcPr>
            <w:tcW w:w="1579" w:type="dxa"/>
            <w:tcBorders>
              <w:top w:val="nil"/>
              <w:left w:val="nil"/>
              <w:bottom w:val="nil"/>
              <w:right w:val="nil"/>
            </w:tcBorders>
          </w:tcPr>
          <w:p w14:paraId="06E2CA1A"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342A4CC3" w14:textId="77777777" w:rsidTr="008967C8">
        <w:trPr>
          <w:trHeight w:val="20"/>
        </w:trPr>
        <w:tc>
          <w:tcPr>
            <w:tcW w:w="2004" w:type="dxa"/>
            <w:vMerge/>
            <w:tcBorders>
              <w:top w:val="nil"/>
              <w:bottom w:val="nil"/>
              <w:right w:val="nil"/>
            </w:tcBorders>
            <w:vAlign w:val="center"/>
          </w:tcPr>
          <w:p w14:paraId="744A7DC8"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68C8611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Cefixime</w:t>
            </w:r>
          </w:p>
        </w:tc>
        <w:tc>
          <w:tcPr>
            <w:tcW w:w="1912" w:type="dxa"/>
            <w:tcBorders>
              <w:top w:val="nil"/>
              <w:left w:val="nil"/>
              <w:bottom w:val="nil"/>
              <w:right w:val="nil"/>
            </w:tcBorders>
            <w:vAlign w:val="center"/>
          </w:tcPr>
          <w:p w14:paraId="6A4247F6"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CF</w:t>
            </w:r>
          </w:p>
        </w:tc>
        <w:tc>
          <w:tcPr>
            <w:tcW w:w="1579" w:type="dxa"/>
            <w:tcBorders>
              <w:top w:val="nil"/>
              <w:left w:val="nil"/>
              <w:bottom w:val="nil"/>
              <w:right w:val="nil"/>
            </w:tcBorders>
          </w:tcPr>
          <w:p w14:paraId="0BCF8B93"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5</w:t>
            </w:r>
          </w:p>
        </w:tc>
      </w:tr>
      <w:tr w:rsidR="003D775A" w:rsidRPr="00EC65F1" w14:paraId="678CA2BA" w14:textId="77777777" w:rsidTr="008967C8">
        <w:trPr>
          <w:trHeight w:val="20"/>
        </w:trPr>
        <w:tc>
          <w:tcPr>
            <w:tcW w:w="2004" w:type="dxa"/>
            <w:vMerge/>
            <w:tcBorders>
              <w:top w:val="nil"/>
              <w:bottom w:val="nil"/>
              <w:right w:val="nil"/>
            </w:tcBorders>
            <w:vAlign w:val="center"/>
          </w:tcPr>
          <w:p w14:paraId="55CF9DD2"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18E657FC"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Ceftazidime</w:t>
            </w:r>
          </w:p>
        </w:tc>
        <w:tc>
          <w:tcPr>
            <w:tcW w:w="1912" w:type="dxa"/>
            <w:tcBorders>
              <w:top w:val="nil"/>
              <w:left w:val="nil"/>
              <w:bottom w:val="nil"/>
              <w:right w:val="nil"/>
            </w:tcBorders>
            <w:vAlign w:val="center"/>
          </w:tcPr>
          <w:p w14:paraId="57CA1817"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CAZ</w:t>
            </w:r>
          </w:p>
        </w:tc>
        <w:tc>
          <w:tcPr>
            <w:tcW w:w="1579" w:type="dxa"/>
            <w:tcBorders>
              <w:top w:val="nil"/>
              <w:left w:val="nil"/>
              <w:bottom w:val="nil"/>
              <w:right w:val="nil"/>
            </w:tcBorders>
          </w:tcPr>
          <w:p w14:paraId="7F0B175F"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10</w:t>
            </w:r>
          </w:p>
        </w:tc>
      </w:tr>
      <w:tr w:rsidR="003D775A" w:rsidRPr="00EC65F1" w14:paraId="2F4AE769" w14:textId="77777777" w:rsidTr="008967C8">
        <w:trPr>
          <w:trHeight w:val="20"/>
        </w:trPr>
        <w:tc>
          <w:tcPr>
            <w:tcW w:w="2004" w:type="dxa"/>
            <w:vMerge w:val="restart"/>
            <w:tcBorders>
              <w:top w:val="nil"/>
              <w:bottom w:val="nil"/>
              <w:right w:val="nil"/>
            </w:tcBorders>
            <w:vAlign w:val="center"/>
          </w:tcPr>
          <w:p w14:paraId="194BA64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Aminoglycosides</w:t>
            </w:r>
          </w:p>
        </w:tc>
        <w:tc>
          <w:tcPr>
            <w:tcW w:w="2249" w:type="dxa"/>
            <w:tcBorders>
              <w:top w:val="nil"/>
              <w:left w:val="nil"/>
              <w:bottom w:val="nil"/>
              <w:right w:val="nil"/>
            </w:tcBorders>
            <w:vAlign w:val="center"/>
          </w:tcPr>
          <w:p w14:paraId="0637543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Amikacin</w:t>
            </w:r>
          </w:p>
        </w:tc>
        <w:tc>
          <w:tcPr>
            <w:tcW w:w="1912" w:type="dxa"/>
            <w:tcBorders>
              <w:top w:val="nil"/>
              <w:left w:val="nil"/>
              <w:bottom w:val="nil"/>
              <w:right w:val="nil"/>
            </w:tcBorders>
            <w:vAlign w:val="center"/>
          </w:tcPr>
          <w:p w14:paraId="13A70BC4"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AKN</w:t>
            </w:r>
          </w:p>
        </w:tc>
        <w:tc>
          <w:tcPr>
            <w:tcW w:w="1579" w:type="dxa"/>
            <w:tcBorders>
              <w:top w:val="nil"/>
              <w:left w:val="nil"/>
              <w:bottom w:val="nil"/>
              <w:right w:val="nil"/>
            </w:tcBorders>
          </w:tcPr>
          <w:p w14:paraId="0A7B17C0"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792BEEBF" w14:textId="77777777" w:rsidTr="008967C8">
        <w:trPr>
          <w:trHeight w:val="20"/>
        </w:trPr>
        <w:tc>
          <w:tcPr>
            <w:tcW w:w="2004" w:type="dxa"/>
            <w:vMerge/>
            <w:tcBorders>
              <w:top w:val="nil"/>
              <w:bottom w:val="nil"/>
              <w:right w:val="nil"/>
            </w:tcBorders>
            <w:vAlign w:val="center"/>
          </w:tcPr>
          <w:p w14:paraId="679C65A2"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75F3E46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Gentamicin</w:t>
            </w:r>
          </w:p>
        </w:tc>
        <w:tc>
          <w:tcPr>
            <w:tcW w:w="1912" w:type="dxa"/>
            <w:tcBorders>
              <w:top w:val="nil"/>
              <w:left w:val="nil"/>
              <w:bottom w:val="nil"/>
              <w:right w:val="nil"/>
            </w:tcBorders>
            <w:vAlign w:val="center"/>
          </w:tcPr>
          <w:p w14:paraId="288EE4A5"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GEN</w:t>
            </w:r>
          </w:p>
        </w:tc>
        <w:tc>
          <w:tcPr>
            <w:tcW w:w="1579" w:type="dxa"/>
            <w:tcBorders>
              <w:top w:val="nil"/>
              <w:left w:val="nil"/>
              <w:bottom w:val="nil"/>
              <w:right w:val="nil"/>
            </w:tcBorders>
          </w:tcPr>
          <w:p w14:paraId="0CE64684"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10</w:t>
            </w:r>
          </w:p>
        </w:tc>
      </w:tr>
      <w:tr w:rsidR="003D775A" w:rsidRPr="00EC65F1" w14:paraId="78DCB679" w14:textId="77777777" w:rsidTr="008967C8">
        <w:trPr>
          <w:trHeight w:val="20"/>
        </w:trPr>
        <w:tc>
          <w:tcPr>
            <w:tcW w:w="2004" w:type="dxa"/>
            <w:vMerge/>
            <w:tcBorders>
              <w:top w:val="nil"/>
              <w:bottom w:val="nil"/>
              <w:right w:val="nil"/>
            </w:tcBorders>
            <w:vAlign w:val="center"/>
          </w:tcPr>
          <w:p w14:paraId="25730974"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493E688E"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Kanamycin</w:t>
            </w:r>
          </w:p>
        </w:tc>
        <w:tc>
          <w:tcPr>
            <w:tcW w:w="1912" w:type="dxa"/>
            <w:tcBorders>
              <w:top w:val="nil"/>
              <w:left w:val="nil"/>
              <w:bottom w:val="nil"/>
              <w:right w:val="nil"/>
            </w:tcBorders>
            <w:vAlign w:val="center"/>
          </w:tcPr>
          <w:p w14:paraId="7A3DD903"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K</w:t>
            </w:r>
          </w:p>
        </w:tc>
        <w:tc>
          <w:tcPr>
            <w:tcW w:w="1579" w:type="dxa"/>
            <w:tcBorders>
              <w:top w:val="nil"/>
              <w:left w:val="nil"/>
              <w:bottom w:val="nil"/>
              <w:right w:val="nil"/>
            </w:tcBorders>
          </w:tcPr>
          <w:p w14:paraId="31BB4898"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10</w:t>
            </w:r>
          </w:p>
        </w:tc>
      </w:tr>
      <w:tr w:rsidR="003D775A" w:rsidRPr="00EC65F1" w14:paraId="4022EB80" w14:textId="77777777" w:rsidTr="008967C8">
        <w:trPr>
          <w:trHeight w:val="20"/>
        </w:trPr>
        <w:tc>
          <w:tcPr>
            <w:tcW w:w="2004" w:type="dxa"/>
            <w:tcBorders>
              <w:top w:val="nil"/>
              <w:bottom w:val="nil"/>
              <w:right w:val="nil"/>
            </w:tcBorders>
            <w:vAlign w:val="center"/>
          </w:tcPr>
          <w:p w14:paraId="46513632"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Carbapenems</w:t>
            </w:r>
          </w:p>
        </w:tc>
        <w:tc>
          <w:tcPr>
            <w:tcW w:w="2249" w:type="dxa"/>
            <w:tcBorders>
              <w:top w:val="nil"/>
              <w:left w:val="nil"/>
              <w:bottom w:val="nil"/>
              <w:right w:val="nil"/>
            </w:tcBorders>
            <w:vAlign w:val="center"/>
          </w:tcPr>
          <w:p w14:paraId="3498E7E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Imipenem</w:t>
            </w:r>
          </w:p>
        </w:tc>
        <w:tc>
          <w:tcPr>
            <w:tcW w:w="1912" w:type="dxa"/>
            <w:tcBorders>
              <w:top w:val="nil"/>
              <w:left w:val="nil"/>
              <w:bottom w:val="nil"/>
              <w:right w:val="nil"/>
            </w:tcBorders>
            <w:vAlign w:val="center"/>
          </w:tcPr>
          <w:p w14:paraId="6905EE59"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IMP</w:t>
            </w:r>
          </w:p>
        </w:tc>
        <w:tc>
          <w:tcPr>
            <w:tcW w:w="1579" w:type="dxa"/>
            <w:tcBorders>
              <w:top w:val="nil"/>
              <w:left w:val="nil"/>
              <w:bottom w:val="nil"/>
              <w:right w:val="nil"/>
            </w:tcBorders>
          </w:tcPr>
          <w:p w14:paraId="2395AD37"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10</w:t>
            </w:r>
          </w:p>
        </w:tc>
      </w:tr>
      <w:tr w:rsidR="003D775A" w:rsidRPr="00EC65F1" w14:paraId="52EE9110" w14:textId="77777777" w:rsidTr="008967C8">
        <w:trPr>
          <w:trHeight w:val="20"/>
        </w:trPr>
        <w:tc>
          <w:tcPr>
            <w:tcW w:w="2004" w:type="dxa"/>
            <w:vMerge w:val="restart"/>
            <w:tcBorders>
              <w:top w:val="nil"/>
              <w:bottom w:val="nil"/>
              <w:right w:val="nil"/>
            </w:tcBorders>
            <w:vAlign w:val="center"/>
          </w:tcPr>
          <w:p w14:paraId="16B16325"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Quinolones</w:t>
            </w:r>
          </w:p>
        </w:tc>
        <w:tc>
          <w:tcPr>
            <w:tcW w:w="2249" w:type="dxa"/>
            <w:tcBorders>
              <w:top w:val="nil"/>
              <w:left w:val="nil"/>
              <w:bottom w:val="nil"/>
              <w:right w:val="nil"/>
            </w:tcBorders>
            <w:vAlign w:val="center"/>
          </w:tcPr>
          <w:p w14:paraId="2E354D85"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Ciprofloxacin</w:t>
            </w:r>
          </w:p>
        </w:tc>
        <w:tc>
          <w:tcPr>
            <w:tcW w:w="1912" w:type="dxa"/>
            <w:tcBorders>
              <w:top w:val="nil"/>
              <w:left w:val="nil"/>
              <w:bottom w:val="nil"/>
              <w:right w:val="nil"/>
            </w:tcBorders>
            <w:vAlign w:val="center"/>
          </w:tcPr>
          <w:p w14:paraId="4DEBC14E"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CIP</w:t>
            </w:r>
          </w:p>
        </w:tc>
        <w:tc>
          <w:tcPr>
            <w:tcW w:w="1579" w:type="dxa"/>
            <w:tcBorders>
              <w:top w:val="nil"/>
              <w:left w:val="nil"/>
              <w:bottom w:val="nil"/>
              <w:right w:val="nil"/>
            </w:tcBorders>
          </w:tcPr>
          <w:p w14:paraId="6863ACF1"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5</w:t>
            </w:r>
          </w:p>
        </w:tc>
      </w:tr>
      <w:tr w:rsidR="003D775A" w:rsidRPr="00EC65F1" w14:paraId="1101B789" w14:textId="77777777" w:rsidTr="008967C8">
        <w:trPr>
          <w:trHeight w:val="20"/>
        </w:trPr>
        <w:tc>
          <w:tcPr>
            <w:tcW w:w="2004" w:type="dxa"/>
            <w:vMerge/>
            <w:tcBorders>
              <w:top w:val="nil"/>
              <w:bottom w:val="nil"/>
              <w:right w:val="nil"/>
            </w:tcBorders>
            <w:vAlign w:val="center"/>
          </w:tcPr>
          <w:p w14:paraId="253FE1CA"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1EC5C718"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Nalidixic acid</w:t>
            </w:r>
          </w:p>
        </w:tc>
        <w:tc>
          <w:tcPr>
            <w:tcW w:w="1912" w:type="dxa"/>
            <w:tcBorders>
              <w:top w:val="nil"/>
              <w:left w:val="nil"/>
              <w:bottom w:val="nil"/>
              <w:right w:val="nil"/>
            </w:tcBorders>
            <w:vAlign w:val="center"/>
          </w:tcPr>
          <w:p w14:paraId="2473ACDA"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AN</w:t>
            </w:r>
          </w:p>
        </w:tc>
        <w:tc>
          <w:tcPr>
            <w:tcW w:w="1579" w:type="dxa"/>
            <w:tcBorders>
              <w:top w:val="nil"/>
              <w:left w:val="nil"/>
              <w:bottom w:val="nil"/>
              <w:right w:val="nil"/>
            </w:tcBorders>
          </w:tcPr>
          <w:p w14:paraId="04BAE577"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5AC63948" w14:textId="77777777" w:rsidTr="008967C8">
        <w:trPr>
          <w:trHeight w:val="20"/>
        </w:trPr>
        <w:tc>
          <w:tcPr>
            <w:tcW w:w="2004" w:type="dxa"/>
            <w:tcBorders>
              <w:top w:val="nil"/>
              <w:right w:val="nil"/>
            </w:tcBorders>
            <w:vAlign w:val="center"/>
          </w:tcPr>
          <w:p w14:paraId="09EACA2E"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Mono-bactam</w:t>
            </w:r>
          </w:p>
        </w:tc>
        <w:tc>
          <w:tcPr>
            <w:tcW w:w="2249" w:type="dxa"/>
            <w:tcBorders>
              <w:top w:val="nil"/>
              <w:left w:val="nil"/>
              <w:right w:val="nil"/>
            </w:tcBorders>
            <w:vAlign w:val="center"/>
          </w:tcPr>
          <w:p w14:paraId="0F5AFE29"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Aztreonam</w:t>
            </w:r>
          </w:p>
        </w:tc>
        <w:tc>
          <w:tcPr>
            <w:tcW w:w="1912" w:type="dxa"/>
            <w:tcBorders>
              <w:top w:val="nil"/>
              <w:left w:val="nil"/>
              <w:right w:val="nil"/>
            </w:tcBorders>
            <w:vAlign w:val="center"/>
          </w:tcPr>
          <w:p w14:paraId="30D52E42"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ATM</w:t>
            </w:r>
          </w:p>
        </w:tc>
        <w:tc>
          <w:tcPr>
            <w:tcW w:w="1579" w:type="dxa"/>
            <w:tcBorders>
              <w:top w:val="nil"/>
              <w:left w:val="nil"/>
              <w:right w:val="nil"/>
            </w:tcBorders>
          </w:tcPr>
          <w:p w14:paraId="7D5C58C3"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bl>
    <w:p w14:paraId="01907685" w14:textId="77777777" w:rsidR="003D775A" w:rsidRPr="00EC65F1" w:rsidRDefault="003D775A" w:rsidP="00BF0D40">
      <w:pPr>
        <w:spacing w:line="480" w:lineRule="auto"/>
        <w:jc w:val="both"/>
        <w:rPr>
          <w:rFonts w:ascii="Arial" w:hAnsi="Arial" w:cs="Arial"/>
          <w:sz w:val="24"/>
        </w:rPr>
      </w:pPr>
    </w:p>
    <w:p w14:paraId="1E1F8D5B" w14:textId="77777777" w:rsidR="005D704B" w:rsidRPr="00EC65F1" w:rsidRDefault="005D704B" w:rsidP="005D704B">
      <w:pPr>
        <w:spacing w:line="480" w:lineRule="auto"/>
        <w:jc w:val="both"/>
        <w:rPr>
          <w:rFonts w:ascii="Arial" w:hAnsi="Arial" w:cs="Arial"/>
          <w:b/>
          <w:i/>
          <w:sz w:val="20"/>
          <w:szCs w:val="20"/>
        </w:rPr>
      </w:pPr>
      <w:r w:rsidRPr="00EC65F1">
        <w:rPr>
          <w:rFonts w:ascii="Arial" w:hAnsi="Arial" w:cs="Arial"/>
          <w:b/>
          <w:i/>
          <w:sz w:val="20"/>
          <w:szCs w:val="20"/>
        </w:rPr>
        <w:t>2.2.4. Detection of Extended-Spectrum β-Lactamase Production</w:t>
      </w:r>
    </w:p>
    <w:p w14:paraId="3B7EA903" w14:textId="77777777" w:rsidR="005D704B" w:rsidRPr="00EC65F1" w:rsidRDefault="005D704B" w:rsidP="005D704B">
      <w:pPr>
        <w:spacing w:line="480" w:lineRule="auto"/>
        <w:jc w:val="both"/>
        <w:rPr>
          <w:rFonts w:ascii="Arial" w:hAnsi="Arial" w:cs="Arial"/>
          <w:sz w:val="20"/>
          <w:szCs w:val="20"/>
        </w:rPr>
      </w:pPr>
      <w:r w:rsidRPr="00EC65F1">
        <w:rPr>
          <w:rFonts w:ascii="Arial" w:hAnsi="Arial" w:cs="Arial"/>
          <w:sz w:val="20"/>
          <w:szCs w:val="20"/>
        </w:rPr>
        <w:t>Phenotypic confirmation of extended-spectrum β-lactamase (ESBL)–producing strains was performed by observing the formation of “champagne cork” or “funnel-shaped” patterns. These patterns can appear between antibiotic disks of amoxicillin–clavulanic acid, cefotaxime, ceftriaxone, and aztreonam placed on Mueller–Hinton agar previously inoculated with the bacterial strains [16].</w:t>
      </w:r>
    </w:p>
    <w:p w14:paraId="0526ABFA" w14:textId="77777777" w:rsidR="005D704B" w:rsidRPr="00EC65F1" w:rsidRDefault="005D704B" w:rsidP="005D704B">
      <w:pPr>
        <w:spacing w:line="480" w:lineRule="auto"/>
        <w:jc w:val="both"/>
        <w:rPr>
          <w:rFonts w:ascii="Arial" w:hAnsi="Arial" w:cs="Arial"/>
          <w:b/>
        </w:rPr>
      </w:pPr>
      <w:r w:rsidRPr="00EC65F1">
        <w:rPr>
          <w:rFonts w:ascii="Arial" w:hAnsi="Arial" w:cs="Arial"/>
          <w:b/>
        </w:rPr>
        <w:t>2.4. Data Analysis</w:t>
      </w:r>
    </w:p>
    <w:p w14:paraId="37A04361" w14:textId="77777777" w:rsidR="005D704B" w:rsidRPr="00EC65F1" w:rsidRDefault="005D704B" w:rsidP="005D704B">
      <w:pPr>
        <w:spacing w:line="480" w:lineRule="auto"/>
        <w:jc w:val="both"/>
        <w:rPr>
          <w:rFonts w:ascii="Arial" w:hAnsi="Arial" w:cs="Arial"/>
          <w:sz w:val="20"/>
          <w:szCs w:val="20"/>
        </w:rPr>
      </w:pPr>
      <w:r w:rsidRPr="00EC65F1">
        <w:rPr>
          <w:rFonts w:ascii="Arial" w:hAnsi="Arial" w:cs="Arial"/>
          <w:sz w:val="20"/>
          <w:szCs w:val="20"/>
        </w:rPr>
        <w:lastRenderedPageBreak/>
        <w:t xml:space="preserve">The ADAGIO® automated system was used to read and interpret the antibiogram results for each bacterial strain. The susceptibility for each tested antibiotic was classified as S (sensitive) or R (resistant) based on the critical diameters for </w:t>
      </w:r>
      <w:r w:rsidRPr="00EC65F1">
        <w:rPr>
          <w:rFonts w:ascii="Arial" w:hAnsi="Arial" w:cs="Arial"/>
          <w:i/>
          <w:sz w:val="20"/>
          <w:szCs w:val="20"/>
        </w:rPr>
        <w:t>Enterobacteriaceae</w:t>
      </w:r>
      <w:r w:rsidRPr="00EC65F1">
        <w:rPr>
          <w:rFonts w:ascii="Arial" w:hAnsi="Arial" w:cs="Arial"/>
          <w:sz w:val="20"/>
          <w:szCs w:val="20"/>
        </w:rPr>
        <w:t xml:space="preserve"> provided by EUCAST-CASFM [15]. The obtained data were analyzed and presented in graphical form using SPSS version 20. The chi-square test for homogeneity was applied to compare </w:t>
      </w:r>
      <w:r w:rsidRPr="00EC65F1">
        <w:rPr>
          <w:rFonts w:ascii="Arial" w:hAnsi="Arial" w:cs="Arial"/>
          <w:i/>
          <w:sz w:val="20"/>
          <w:szCs w:val="20"/>
        </w:rPr>
        <w:t>Citrobacter</w:t>
      </w:r>
      <w:r w:rsidRPr="00EC65F1">
        <w:rPr>
          <w:rFonts w:ascii="Arial" w:hAnsi="Arial" w:cs="Arial"/>
          <w:sz w:val="20"/>
          <w:szCs w:val="20"/>
        </w:rPr>
        <w:t xml:space="preserve"> isolation rates according to biological sample type, hospital department, and patient sex. This test was performed using Stata version 12.</w:t>
      </w:r>
    </w:p>
    <w:p w14:paraId="1A45A480" w14:textId="77777777" w:rsidR="005D704B" w:rsidRPr="00EC65F1" w:rsidRDefault="005D704B" w:rsidP="005D704B">
      <w:pPr>
        <w:spacing w:line="480" w:lineRule="auto"/>
        <w:jc w:val="both"/>
        <w:rPr>
          <w:rFonts w:ascii="Arial" w:hAnsi="Arial" w:cs="Arial"/>
          <w:b/>
        </w:rPr>
      </w:pPr>
      <w:r w:rsidRPr="00EC65F1">
        <w:rPr>
          <w:rFonts w:ascii="Arial" w:hAnsi="Arial" w:cs="Arial"/>
          <w:b/>
        </w:rPr>
        <w:t>3. RESULTS</w:t>
      </w:r>
      <w:r w:rsidR="00DA0491" w:rsidRPr="00EC65F1">
        <w:rPr>
          <w:rFonts w:ascii="Arial" w:hAnsi="Arial" w:cs="Arial"/>
          <w:b/>
        </w:rPr>
        <w:t xml:space="preserve"> ET DISCUSSION</w:t>
      </w:r>
    </w:p>
    <w:p w14:paraId="7CC4882E" w14:textId="0BDD0AB0" w:rsidR="00DA0491" w:rsidRPr="00EC65F1" w:rsidRDefault="00DA0491" w:rsidP="005D704B">
      <w:pPr>
        <w:spacing w:line="480" w:lineRule="auto"/>
        <w:jc w:val="both"/>
        <w:rPr>
          <w:rFonts w:ascii="Arial" w:hAnsi="Arial" w:cs="Arial"/>
          <w:b/>
          <w:sz w:val="24"/>
        </w:rPr>
      </w:pPr>
      <w:r w:rsidRPr="00EC65F1">
        <w:rPr>
          <w:rFonts w:ascii="Arial" w:hAnsi="Arial" w:cs="Arial"/>
          <w:b/>
        </w:rPr>
        <w:t xml:space="preserve">3.1. </w:t>
      </w:r>
      <w:r w:rsidR="006C34E0" w:rsidRPr="006C34E0">
        <w:rPr>
          <w:rFonts w:ascii="Arial" w:hAnsi="Arial" w:cs="Arial"/>
          <w:b/>
        </w:rPr>
        <w:t>Results</w:t>
      </w:r>
    </w:p>
    <w:p w14:paraId="1AA94A12" w14:textId="77777777" w:rsidR="005D704B" w:rsidRPr="00EC65F1" w:rsidRDefault="00DA0491" w:rsidP="005D704B">
      <w:pPr>
        <w:spacing w:line="480" w:lineRule="auto"/>
        <w:jc w:val="both"/>
        <w:rPr>
          <w:rFonts w:ascii="Arial" w:hAnsi="Arial" w:cs="Arial"/>
          <w:b/>
          <w:sz w:val="20"/>
          <w:szCs w:val="20"/>
        </w:rPr>
      </w:pPr>
      <w:r w:rsidRPr="00EC65F1">
        <w:rPr>
          <w:rFonts w:ascii="Arial" w:hAnsi="Arial" w:cs="Arial"/>
          <w:b/>
          <w:sz w:val="20"/>
          <w:szCs w:val="20"/>
        </w:rPr>
        <w:t>3.1.1</w:t>
      </w:r>
      <w:r w:rsidR="005D704B" w:rsidRPr="00EC65F1">
        <w:rPr>
          <w:rFonts w:ascii="Arial" w:hAnsi="Arial" w:cs="Arial"/>
          <w:b/>
          <w:sz w:val="20"/>
          <w:szCs w:val="20"/>
        </w:rPr>
        <w:t>. Distribution of Isolated Citrobacter Strains</w:t>
      </w:r>
    </w:p>
    <w:p w14:paraId="6B8B43AB" w14:textId="77777777" w:rsidR="005D704B" w:rsidRPr="00EC65F1" w:rsidRDefault="005D704B" w:rsidP="005D704B">
      <w:pPr>
        <w:spacing w:line="480" w:lineRule="auto"/>
        <w:jc w:val="both"/>
        <w:rPr>
          <w:rFonts w:ascii="Arial" w:hAnsi="Arial" w:cs="Arial"/>
          <w:sz w:val="20"/>
          <w:szCs w:val="20"/>
        </w:rPr>
      </w:pPr>
      <w:r w:rsidRPr="00EC65F1">
        <w:rPr>
          <w:rFonts w:ascii="Arial" w:hAnsi="Arial" w:cs="Arial"/>
          <w:sz w:val="20"/>
          <w:szCs w:val="20"/>
        </w:rPr>
        <w:t xml:space="preserve">Analysis of the results revealed that the majority of </w:t>
      </w:r>
      <w:r w:rsidRPr="00EC65F1">
        <w:rPr>
          <w:rFonts w:ascii="Arial" w:hAnsi="Arial" w:cs="Arial"/>
          <w:i/>
          <w:sz w:val="20"/>
          <w:szCs w:val="20"/>
        </w:rPr>
        <w:t>Citrobacter</w:t>
      </w:r>
      <w:r w:rsidRPr="00EC65F1">
        <w:rPr>
          <w:rFonts w:ascii="Arial" w:hAnsi="Arial" w:cs="Arial"/>
          <w:sz w:val="20"/>
          <w:szCs w:val="20"/>
        </w:rPr>
        <w:t xml:space="preserve"> strains (91.48%) were isolated from urine (direct </w:t>
      </w:r>
      <w:proofErr w:type="gramStart"/>
      <w:r w:rsidRPr="00EC65F1">
        <w:rPr>
          <w:rFonts w:ascii="Arial" w:hAnsi="Arial" w:cs="Arial"/>
          <w:sz w:val="20"/>
          <w:szCs w:val="20"/>
        </w:rPr>
        <w:t>voiding:</w:t>
      </w:r>
      <w:proofErr w:type="gramEnd"/>
      <w:r w:rsidRPr="00EC65F1">
        <w:rPr>
          <w:rFonts w:ascii="Arial" w:hAnsi="Arial" w:cs="Arial"/>
          <w:sz w:val="20"/>
          <w:szCs w:val="20"/>
        </w:rPr>
        <w:t xml:space="preserve"> 59.57%; catheter tip samples: 31.91%). The lowest isolation rates (4.25%) were observed in blood and suppuration sample</w:t>
      </w:r>
      <w:r w:rsidR="002408B7" w:rsidRPr="00EC65F1">
        <w:rPr>
          <w:rFonts w:ascii="Arial" w:hAnsi="Arial" w:cs="Arial"/>
          <w:sz w:val="20"/>
          <w:szCs w:val="20"/>
        </w:rPr>
        <w:t>s (χ² = 18.28; p &lt; 0.001; Fig</w:t>
      </w:r>
      <w:r w:rsidRPr="00EC65F1">
        <w:rPr>
          <w:rFonts w:ascii="Arial" w:hAnsi="Arial" w:cs="Arial"/>
          <w:sz w:val="20"/>
          <w:szCs w:val="20"/>
        </w:rPr>
        <w:t xml:space="preserve"> 1). Data also showed that the urology department recorded the highest isolation rate at 57.45%, followed by the general medicine and nephrology departments at 14.9%, while the lowest rates were observed in the emergency and neurology departments (6.38%) (χ² = 13.24; p = 0.01).</w:t>
      </w:r>
    </w:p>
    <w:p w14:paraId="58AFDAA0" w14:textId="77777777" w:rsidR="003D775A" w:rsidRPr="00EC65F1" w:rsidRDefault="003D775A" w:rsidP="005D704B">
      <w:pPr>
        <w:spacing w:line="480" w:lineRule="auto"/>
        <w:jc w:val="both"/>
        <w:rPr>
          <w:rFonts w:ascii="Arial" w:hAnsi="Arial" w:cs="Arial"/>
          <w:sz w:val="24"/>
        </w:rPr>
      </w:pPr>
      <w:r w:rsidRPr="00EC65F1">
        <w:rPr>
          <w:rFonts w:ascii="Arial" w:hAnsi="Arial" w:cs="Arial"/>
          <w:noProof/>
          <w:lang w:eastAsia="fr-FR"/>
        </w:rPr>
        <w:drawing>
          <wp:anchor distT="0" distB="0" distL="114300" distR="114300" simplePos="0" relativeHeight="251659264" behindDoc="1" locked="0" layoutInCell="1" allowOverlap="1" wp14:anchorId="25BF7CD6" wp14:editId="3E24E8D2">
            <wp:simplePos x="0" y="0"/>
            <wp:positionH relativeFrom="margin">
              <wp:posOffset>548005</wp:posOffset>
            </wp:positionH>
            <wp:positionV relativeFrom="paragraph">
              <wp:posOffset>51435</wp:posOffset>
            </wp:positionV>
            <wp:extent cx="4191000" cy="2008505"/>
            <wp:effectExtent l="0" t="0" r="0" b="10795"/>
            <wp:wrapTight wrapText="bothSides">
              <wp:wrapPolygon edited="0">
                <wp:start x="0" y="0"/>
                <wp:lineTo x="0" y="21511"/>
                <wp:lineTo x="21502" y="21511"/>
                <wp:lineTo x="21502" y="0"/>
                <wp:lineTo x="0" y="0"/>
              </wp:wrapPolygon>
            </wp:wrapTight>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6D630E5B" w14:textId="77777777" w:rsidR="003D775A" w:rsidRPr="00EC65F1" w:rsidRDefault="003D775A" w:rsidP="005D704B">
      <w:pPr>
        <w:spacing w:line="480" w:lineRule="auto"/>
        <w:jc w:val="both"/>
        <w:rPr>
          <w:rFonts w:ascii="Arial" w:hAnsi="Arial" w:cs="Arial"/>
          <w:sz w:val="24"/>
        </w:rPr>
      </w:pPr>
    </w:p>
    <w:p w14:paraId="0C2A97EC" w14:textId="77777777" w:rsidR="003D775A" w:rsidRPr="00EC65F1" w:rsidRDefault="003D775A" w:rsidP="005D704B">
      <w:pPr>
        <w:spacing w:line="480" w:lineRule="auto"/>
        <w:jc w:val="both"/>
        <w:rPr>
          <w:rFonts w:ascii="Arial" w:hAnsi="Arial" w:cs="Arial"/>
          <w:sz w:val="24"/>
        </w:rPr>
      </w:pPr>
    </w:p>
    <w:p w14:paraId="5912EAB6" w14:textId="77777777" w:rsidR="003D775A" w:rsidRPr="00EC65F1" w:rsidRDefault="003D775A" w:rsidP="005D704B">
      <w:pPr>
        <w:spacing w:line="480" w:lineRule="auto"/>
        <w:jc w:val="both"/>
        <w:rPr>
          <w:rFonts w:ascii="Arial" w:hAnsi="Arial" w:cs="Arial"/>
          <w:sz w:val="24"/>
        </w:rPr>
      </w:pPr>
    </w:p>
    <w:p w14:paraId="45C327E0" w14:textId="77777777" w:rsidR="003D775A" w:rsidRPr="00EC65F1" w:rsidRDefault="003D775A" w:rsidP="005D704B">
      <w:pPr>
        <w:spacing w:line="480" w:lineRule="auto"/>
        <w:jc w:val="both"/>
        <w:rPr>
          <w:rFonts w:ascii="Arial" w:hAnsi="Arial" w:cs="Arial"/>
          <w:sz w:val="24"/>
        </w:rPr>
      </w:pPr>
    </w:p>
    <w:p w14:paraId="6ADD9B75" w14:textId="77777777" w:rsidR="003D775A" w:rsidRPr="00276B7E" w:rsidRDefault="002408B7" w:rsidP="005D704B">
      <w:pPr>
        <w:spacing w:line="480" w:lineRule="auto"/>
        <w:jc w:val="both"/>
        <w:rPr>
          <w:rFonts w:ascii="Arial" w:hAnsi="Arial" w:cs="Arial"/>
          <w:sz w:val="20"/>
          <w:szCs w:val="20"/>
        </w:rPr>
      </w:pPr>
      <w:r w:rsidRPr="00276B7E">
        <w:rPr>
          <w:rFonts w:ascii="Arial" w:hAnsi="Arial" w:cs="Arial"/>
          <w:sz w:val="20"/>
          <w:szCs w:val="20"/>
        </w:rPr>
        <w:t>Fig</w:t>
      </w:r>
      <w:r w:rsidR="003D775A" w:rsidRPr="00276B7E">
        <w:rPr>
          <w:rFonts w:ascii="Arial" w:hAnsi="Arial" w:cs="Arial"/>
          <w:sz w:val="20"/>
          <w:szCs w:val="20"/>
        </w:rPr>
        <w:t xml:space="preserve"> </w:t>
      </w:r>
      <w:proofErr w:type="gramStart"/>
      <w:r w:rsidR="003D775A" w:rsidRPr="00276B7E">
        <w:rPr>
          <w:rFonts w:ascii="Arial" w:hAnsi="Arial" w:cs="Arial"/>
          <w:sz w:val="20"/>
          <w:szCs w:val="20"/>
        </w:rPr>
        <w:t>1:</w:t>
      </w:r>
      <w:proofErr w:type="gramEnd"/>
      <w:r w:rsidR="003D775A" w:rsidRPr="00276B7E">
        <w:rPr>
          <w:rFonts w:ascii="Arial" w:hAnsi="Arial" w:cs="Arial"/>
          <w:sz w:val="20"/>
          <w:szCs w:val="20"/>
        </w:rPr>
        <w:t xml:space="preserve"> Distribution of Citrobacter sp. </w:t>
      </w:r>
      <w:proofErr w:type="gramStart"/>
      <w:r w:rsidR="003D775A" w:rsidRPr="00276B7E">
        <w:rPr>
          <w:rFonts w:ascii="Arial" w:hAnsi="Arial" w:cs="Arial"/>
          <w:sz w:val="20"/>
          <w:szCs w:val="20"/>
        </w:rPr>
        <w:t>strains</w:t>
      </w:r>
      <w:proofErr w:type="gramEnd"/>
      <w:r w:rsidR="003D775A" w:rsidRPr="00276B7E">
        <w:rPr>
          <w:rFonts w:ascii="Arial" w:hAnsi="Arial" w:cs="Arial"/>
          <w:sz w:val="20"/>
          <w:szCs w:val="20"/>
        </w:rPr>
        <w:t xml:space="preserve"> according to biological samples</w:t>
      </w:r>
    </w:p>
    <w:p w14:paraId="52A1C499" w14:textId="77777777" w:rsidR="00F16879" w:rsidRPr="00276B7E" w:rsidRDefault="00F16879" w:rsidP="00F16879">
      <w:pPr>
        <w:spacing w:line="480" w:lineRule="auto"/>
        <w:jc w:val="both"/>
        <w:rPr>
          <w:rFonts w:ascii="Arial" w:hAnsi="Arial" w:cs="Arial"/>
          <w:b/>
          <w:sz w:val="20"/>
          <w:szCs w:val="20"/>
        </w:rPr>
      </w:pPr>
      <w:r w:rsidRPr="00276B7E">
        <w:rPr>
          <w:rFonts w:ascii="Arial" w:hAnsi="Arial" w:cs="Arial"/>
          <w:b/>
          <w:sz w:val="20"/>
          <w:szCs w:val="20"/>
        </w:rPr>
        <w:t>3.</w:t>
      </w:r>
      <w:r w:rsidR="00DA0491" w:rsidRPr="00276B7E">
        <w:rPr>
          <w:rFonts w:ascii="Arial" w:hAnsi="Arial" w:cs="Arial"/>
          <w:b/>
          <w:sz w:val="20"/>
          <w:szCs w:val="20"/>
        </w:rPr>
        <w:t>1.2</w:t>
      </w:r>
      <w:r w:rsidRPr="00276B7E">
        <w:rPr>
          <w:rFonts w:ascii="Arial" w:hAnsi="Arial" w:cs="Arial"/>
          <w:b/>
          <w:sz w:val="20"/>
          <w:szCs w:val="20"/>
        </w:rPr>
        <w:t>. Distribution of Citrobacter According to Patient Gender</w:t>
      </w:r>
    </w:p>
    <w:p w14:paraId="23000D68"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The infection rate by </w:t>
      </w:r>
      <w:r w:rsidRPr="00276B7E">
        <w:rPr>
          <w:rFonts w:ascii="Arial" w:hAnsi="Arial" w:cs="Arial"/>
          <w:i/>
          <w:sz w:val="20"/>
          <w:szCs w:val="20"/>
        </w:rPr>
        <w:t>Citrobacter</w:t>
      </w:r>
      <w:r w:rsidRPr="00276B7E">
        <w:rPr>
          <w:rFonts w:ascii="Arial" w:hAnsi="Arial" w:cs="Arial"/>
          <w:sz w:val="20"/>
          <w:szCs w:val="20"/>
        </w:rPr>
        <w:t xml:space="preserve"> was 57.14% in men and 42.86% in women. Analysis indicated that there was no significant difference in infection rates according to patient sex (χ² = 0.17; p = 0.678).</w:t>
      </w:r>
    </w:p>
    <w:p w14:paraId="540F10DE" w14:textId="77777777" w:rsidR="00F16879" w:rsidRPr="00276B7E" w:rsidRDefault="00F16879" w:rsidP="00F16879">
      <w:pPr>
        <w:spacing w:line="480" w:lineRule="auto"/>
        <w:jc w:val="both"/>
        <w:rPr>
          <w:rFonts w:ascii="Arial" w:hAnsi="Arial" w:cs="Arial"/>
          <w:b/>
          <w:sz w:val="20"/>
          <w:szCs w:val="20"/>
        </w:rPr>
      </w:pPr>
      <w:r w:rsidRPr="00276B7E">
        <w:rPr>
          <w:rFonts w:ascii="Arial" w:hAnsi="Arial" w:cs="Arial"/>
          <w:b/>
          <w:sz w:val="20"/>
          <w:szCs w:val="20"/>
        </w:rPr>
        <w:t>3.</w:t>
      </w:r>
      <w:r w:rsidR="00DA0491" w:rsidRPr="00276B7E">
        <w:rPr>
          <w:rFonts w:ascii="Arial" w:hAnsi="Arial" w:cs="Arial"/>
          <w:b/>
          <w:sz w:val="20"/>
          <w:szCs w:val="20"/>
        </w:rPr>
        <w:t>1.3</w:t>
      </w:r>
      <w:r w:rsidRPr="00276B7E">
        <w:rPr>
          <w:rFonts w:ascii="Arial" w:hAnsi="Arial" w:cs="Arial"/>
          <w:b/>
          <w:sz w:val="20"/>
          <w:szCs w:val="20"/>
        </w:rPr>
        <w:t>. Antibiotic Resistance Profile of Citrobacter Strains</w:t>
      </w:r>
    </w:p>
    <w:p w14:paraId="6106F66E" w14:textId="77777777" w:rsidR="00F16879" w:rsidRPr="00276B7E" w:rsidRDefault="00F16879" w:rsidP="00F16879">
      <w:pPr>
        <w:spacing w:line="480" w:lineRule="auto"/>
        <w:jc w:val="both"/>
        <w:rPr>
          <w:rFonts w:ascii="Arial" w:hAnsi="Arial" w:cs="Arial"/>
          <w:b/>
          <w:i/>
          <w:sz w:val="20"/>
          <w:szCs w:val="20"/>
        </w:rPr>
      </w:pPr>
      <w:r w:rsidRPr="00276B7E">
        <w:rPr>
          <w:rFonts w:ascii="Arial" w:hAnsi="Arial" w:cs="Arial"/>
          <w:b/>
          <w:i/>
          <w:sz w:val="20"/>
          <w:szCs w:val="20"/>
        </w:rPr>
        <w:lastRenderedPageBreak/>
        <w:t>Resistance to β-lactams</w:t>
      </w:r>
    </w:p>
    <w:p w14:paraId="6328B55F" w14:textId="77777777" w:rsidR="00F16879"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Analysis of the antibiotic susceptibility test results revealed high resistance of </w:t>
      </w:r>
      <w:r w:rsidRPr="00276B7E">
        <w:rPr>
          <w:rFonts w:ascii="Arial" w:hAnsi="Arial" w:cs="Arial"/>
          <w:i/>
          <w:sz w:val="20"/>
          <w:szCs w:val="20"/>
        </w:rPr>
        <w:t>Citrobacter</w:t>
      </w:r>
      <w:r w:rsidRPr="00276B7E">
        <w:rPr>
          <w:rFonts w:ascii="Arial" w:hAnsi="Arial" w:cs="Arial"/>
          <w:sz w:val="20"/>
          <w:szCs w:val="20"/>
        </w:rPr>
        <w:t xml:space="preserve"> strains to cephalosporins, with rates ranging from 32.14% to 89.29%. The bacteria also showed resistance rates of 53.57% to both amoxicillin–clavula</w:t>
      </w:r>
      <w:r w:rsidR="002408B7" w:rsidRPr="00276B7E">
        <w:rPr>
          <w:rFonts w:ascii="Arial" w:hAnsi="Arial" w:cs="Arial"/>
          <w:sz w:val="20"/>
          <w:szCs w:val="20"/>
        </w:rPr>
        <w:t>nic acid and aztreonam (Fig</w:t>
      </w:r>
      <w:r w:rsidR="0032215D" w:rsidRPr="00276B7E">
        <w:rPr>
          <w:rFonts w:ascii="Arial" w:hAnsi="Arial" w:cs="Arial"/>
          <w:sz w:val="20"/>
          <w:szCs w:val="20"/>
        </w:rPr>
        <w:t xml:space="preserve"> 2</w:t>
      </w:r>
      <w:r w:rsidRPr="00276B7E">
        <w:rPr>
          <w:rFonts w:ascii="Arial" w:hAnsi="Arial" w:cs="Arial"/>
          <w:sz w:val="20"/>
          <w:szCs w:val="20"/>
        </w:rPr>
        <w:t>). Resistance to imipenem was 28.57%.</w:t>
      </w:r>
    </w:p>
    <w:p w14:paraId="3D45E737" w14:textId="77777777" w:rsidR="006C34E0" w:rsidRDefault="006C34E0" w:rsidP="00F16879">
      <w:pPr>
        <w:spacing w:line="480" w:lineRule="auto"/>
        <w:jc w:val="both"/>
        <w:rPr>
          <w:rFonts w:ascii="Arial" w:hAnsi="Arial" w:cs="Arial"/>
          <w:sz w:val="20"/>
          <w:szCs w:val="20"/>
        </w:rPr>
      </w:pPr>
    </w:p>
    <w:p w14:paraId="20266C92" w14:textId="77777777" w:rsidR="006C34E0" w:rsidRPr="00276B7E" w:rsidRDefault="006C34E0" w:rsidP="00F16879">
      <w:pPr>
        <w:spacing w:line="480" w:lineRule="auto"/>
        <w:jc w:val="both"/>
        <w:rPr>
          <w:rFonts w:ascii="Arial" w:hAnsi="Arial" w:cs="Arial"/>
          <w:sz w:val="20"/>
          <w:szCs w:val="20"/>
        </w:rPr>
      </w:pPr>
    </w:p>
    <w:p w14:paraId="2BC2EE6E" w14:textId="77777777" w:rsidR="00242D5E" w:rsidRPr="00EC65F1" w:rsidRDefault="00242D5E" w:rsidP="00F16879">
      <w:pPr>
        <w:spacing w:line="480" w:lineRule="auto"/>
        <w:jc w:val="both"/>
        <w:rPr>
          <w:rFonts w:ascii="Arial" w:hAnsi="Arial" w:cs="Arial"/>
          <w:sz w:val="24"/>
        </w:rPr>
      </w:pPr>
      <w:r w:rsidRPr="00EC65F1">
        <w:rPr>
          <w:rFonts w:ascii="Arial" w:hAnsi="Arial" w:cs="Arial"/>
          <w:noProof/>
          <w:lang w:eastAsia="fr-FR"/>
        </w:rPr>
        <w:drawing>
          <wp:anchor distT="0" distB="0" distL="114300" distR="114300" simplePos="0" relativeHeight="251661312" behindDoc="1" locked="0" layoutInCell="1" allowOverlap="1" wp14:anchorId="29049A48" wp14:editId="309F7567">
            <wp:simplePos x="0" y="0"/>
            <wp:positionH relativeFrom="margin">
              <wp:posOffset>374823</wp:posOffset>
            </wp:positionH>
            <wp:positionV relativeFrom="paragraph">
              <wp:posOffset>-6177</wp:posOffset>
            </wp:positionV>
            <wp:extent cx="5328574" cy="2570018"/>
            <wp:effectExtent l="0" t="0" r="5715" b="1905"/>
            <wp:wrapNone/>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041C188" w14:textId="77777777" w:rsidR="00242D5E" w:rsidRPr="00EC65F1" w:rsidRDefault="00242D5E" w:rsidP="00F16879">
      <w:pPr>
        <w:spacing w:line="480" w:lineRule="auto"/>
        <w:jc w:val="both"/>
        <w:rPr>
          <w:rFonts w:ascii="Arial" w:hAnsi="Arial" w:cs="Arial"/>
          <w:sz w:val="24"/>
        </w:rPr>
      </w:pPr>
    </w:p>
    <w:p w14:paraId="25AA7ADD" w14:textId="77777777" w:rsidR="00242D5E" w:rsidRPr="00EC65F1" w:rsidRDefault="00242D5E" w:rsidP="00F16879">
      <w:pPr>
        <w:spacing w:line="480" w:lineRule="auto"/>
        <w:jc w:val="both"/>
        <w:rPr>
          <w:rFonts w:ascii="Arial" w:hAnsi="Arial" w:cs="Arial"/>
          <w:sz w:val="24"/>
        </w:rPr>
      </w:pPr>
    </w:p>
    <w:p w14:paraId="18383EE3" w14:textId="77777777" w:rsidR="00242D5E" w:rsidRPr="00EC65F1" w:rsidRDefault="00242D5E" w:rsidP="00F16879">
      <w:pPr>
        <w:spacing w:line="480" w:lineRule="auto"/>
        <w:jc w:val="both"/>
        <w:rPr>
          <w:rFonts w:ascii="Arial" w:hAnsi="Arial" w:cs="Arial"/>
          <w:sz w:val="24"/>
        </w:rPr>
      </w:pPr>
    </w:p>
    <w:p w14:paraId="40D152B2" w14:textId="77777777" w:rsidR="00242D5E" w:rsidRPr="00EC65F1" w:rsidRDefault="00242D5E" w:rsidP="00F16879">
      <w:pPr>
        <w:spacing w:line="480" w:lineRule="auto"/>
        <w:jc w:val="both"/>
        <w:rPr>
          <w:rFonts w:ascii="Arial" w:hAnsi="Arial" w:cs="Arial"/>
          <w:sz w:val="24"/>
        </w:rPr>
      </w:pPr>
    </w:p>
    <w:p w14:paraId="395E5466" w14:textId="77777777" w:rsidR="00242D5E" w:rsidRPr="00276B7E" w:rsidRDefault="00242D5E" w:rsidP="00F16879">
      <w:pPr>
        <w:spacing w:line="480" w:lineRule="auto"/>
        <w:jc w:val="both"/>
        <w:rPr>
          <w:rFonts w:ascii="Arial" w:hAnsi="Arial" w:cs="Arial"/>
          <w:sz w:val="20"/>
          <w:szCs w:val="20"/>
        </w:rPr>
      </w:pPr>
    </w:p>
    <w:p w14:paraId="72D8AFCF" w14:textId="77777777" w:rsidR="00242D5E" w:rsidRPr="00276B7E" w:rsidRDefault="002408B7" w:rsidP="00F16879">
      <w:pPr>
        <w:spacing w:line="480" w:lineRule="auto"/>
        <w:jc w:val="both"/>
        <w:rPr>
          <w:rFonts w:ascii="Arial" w:hAnsi="Arial" w:cs="Arial"/>
          <w:sz w:val="20"/>
          <w:szCs w:val="20"/>
        </w:rPr>
      </w:pPr>
      <w:r w:rsidRPr="00276B7E">
        <w:rPr>
          <w:rFonts w:ascii="Arial" w:hAnsi="Arial" w:cs="Arial"/>
          <w:sz w:val="20"/>
          <w:szCs w:val="20"/>
        </w:rPr>
        <w:t xml:space="preserve">Fig </w:t>
      </w:r>
      <w:proofErr w:type="gramStart"/>
      <w:r w:rsidRPr="00276B7E">
        <w:rPr>
          <w:rFonts w:ascii="Arial" w:hAnsi="Arial" w:cs="Arial"/>
          <w:sz w:val="20"/>
          <w:szCs w:val="20"/>
        </w:rPr>
        <w:t>2:</w:t>
      </w:r>
      <w:proofErr w:type="gramEnd"/>
      <w:r w:rsidRPr="00276B7E">
        <w:rPr>
          <w:rFonts w:ascii="Arial" w:hAnsi="Arial" w:cs="Arial"/>
          <w:sz w:val="20"/>
          <w:szCs w:val="20"/>
        </w:rPr>
        <w:t xml:space="preserve"> Antibiotic resistance profile of the strains tested</w:t>
      </w:r>
    </w:p>
    <w:p w14:paraId="7DDD8178" w14:textId="77777777" w:rsidR="00F16879" w:rsidRPr="00276B7E" w:rsidRDefault="00F16879" w:rsidP="00F16879">
      <w:pPr>
        <w:spacing w:line="480" w:lineRule="auto"/>
        <w:jc w:val="both"/>
        <w:rPr>
          <w:rFonts w:ascii="Arial" w:hAnsi="Arial" w:cs="Arial"/>
          <w:b/>
          <w:i/>
          <w:sz w:val="20"/>
          <w:szCs w:val="20"/>
        </w:rPr>
      </w:pPr>
      <w:r w:rsidRPr="00276B7E">
        <w:rPr>
          <w:rFonts w:ascii="Arial" w:hAnsi="Arial" w:cs="Arial"/>
          <w:b/>
          <w:i/>
          <w:sz w:val="20"/>
          <w:szCs w:val="20"/>
        </w:rPr>
        <w:t>Resistance to aminoglycosides</w:t>
      </w:r>
    </w:p>
    <w:p w14:paraId="35BCE0BD"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Overall, the bacterial strains exhibited low resistance to aminoglycosides. Resistance rates were 46.43%, 21.43%, and 10.71% for gentamicin, amikacin, and kana</w:t>
      </w:r>
      <w:r w:rsidR="00E32F95" w:rsidRPr="00276B7E">
        <w:rPr>
          <w:rFonts w:ascii="Arial" w:hAnsi="Arial" w:cs="Arial"/>
          <w:sz w:val="20"/>
          <w:szCs w:val="20"/>
        </w:rPr>
        <w:t>mycin, respectively (Fig</w:t>
      </w:r>
      <w:r w:rsidR="0032215D" w:rsidRPr="00276B7E">
        <w:rPr>
          <w:rFonts w:ascii="Arial" w:hAnsi="Arial" w:cs="Arial"/>
          <w:sz w:val="20"/>
          <w:szCs w:val="20"/>
        </w:rPr>
        <w:t xml:space="preserve"> 2</w:t>
      </w:r>
      <w:r w:rsidRPr="00276B7E">
        <w:rPr>
          <w:rFonts w:ascii="Arial" w:hAnsi="Arial" w:cs="Arial"/>
          <w:sz w:val="20"/>
          <w:szCs w:val="20"/>
        </w:rPr>
        <w:t>).</w:t>
      </w:r>
    </w:p>
    <w:p w14:paraId="2A068E26" w14:textId="77777777" w:rsidR="00F16879" w:rsidRPr="00276B7E" w:rsidRDefault="00F16879" w:rsidP="00F16879">
      <w:pPr>
        <w:spacing w:line="480" w:lineRule="auto"/>
        <w:jc w:val="both"/>
        <w:rPr>
          <w:rFonts w:ascii="Arial" w:hAnsi="Arial" w:cs="Arial"/>
          <w:b/>
          <w:i/>
          <w:sz w:val="20"/>
          <w:szCs w:val="20"/>
        </w:rPr>
      </w:pPr>
      <w:r w:rsidRPr="00276B7E">
        <w:rPr>
          <w:rFonts w:ascii="Arial" w:hAnsi="Arial" w:cs="Arial"/>
          <w:b/>
          <w:i/>
          <w:sz w:val="20"/>
          <w:szCs w:val="20"/>
        </w:rPr>
        <w:t>Resistance to fluoroquinolones</w:t>
      </w:r>
    </w:p>
    <w:p w14:paraId="58881953"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Within this class, the bacteria showed high resistance to ciprofloxacin (60.71%). A moderate resistance rate of 53.57% was obser</w:t>
      </w:r>
      <w:r w:rsidR="00E32F95" w:rsidRPr="00276B7E">
        <w:rPr>
          <w:rFonts w:ascii="Arial" w:hAnsi="Arial" w:cs="Arial"/>
          <w:sz w:val="20"/>
          <w:szCs w:val="20"/>
        </w:rPr>
        <w:t>ved for nalidixic acid (Fig</w:t>
      </w:r>
      <w:r w:rsidR="0032215D" w:rsidRPr="00276B7E">
        <w:rPr>
          <w:rFonts w:ascii="Arial" w:hAnsi="Arial" w:cs="Arial"/>
          <w:sz w:val="20"/>
          <w:szCs w:val="20"/>
        </w:rPr>
        <w:t xml:space="preserve"> 2</w:t>
      </w:r>
      <w:r w:rsidRPr="00276B7E">
        <w:rPr>
          <w:rFonts w:ascii="Arial" w:hAnsi="Arial" w:cs="Arial"/>
          <w:sz w:val="20"/>
          <w:szCs w:val="20"/>
        </w:rPr>
        <w:t>).</w:t>
      </w:r>
    </w:p>
    <w:p w14:paraId="784076F7" w14:textId="77777777" w:rsidR="00F16879" w:rsidRPr="00276B7E" w:rsidRDefault="00DA0491" w:rsidP="00F16879">
      <w:pPr>
        <w:spacing w:line="480" w:lineRule="auto"/>
        <w:jc w:val="both"/>
        <w:rPr>
          <w:rFonts w:ascii="Arial" w:hAnsi="Arial" w:cs="Arial"/>
          <w:b/>
          <w:sz w:val="20"/>
          <w:szCs w:val="20"/>
        </w:rPr>
      </w:pPr>
      <w:r w:rsidRPr="00276B7E">
        <w:rPr>
          <w:rFonts w:ascii="Arial" w:hAnsi="Arial" w:cs="Arial"/>
          <w:b/>
          <w:sz w:val="20"/>
          <w:szCs w:val="20"/>
        </w:rPr>
        <w:t>3.1.4</w:t>
      </w:r>
      <w:r w:rsidR="00F16879" w:rsidRPr="00276B7E">
        <w:rPr>
          <w:rFonts w:ascii="Arial" w:hAnsi="Arial" w:cs="Arial"/>
          <w:b/>
          <w:sz w:val="20"/>
          <w:szCs w:val="20"/>
        </w:rPr>
        <w:t>. Presence of Extended-Spectrum β-Lactamases in Tested Strains</w:t>
      </w:r>
    </w:p>
    <w:p w14:paraId="5C20DE8F"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Examination of the results from the synergy test revealed an expansion zone around the antibiotic disks, displaying a “champagne cork”–like pattern between the disks used on the analyzed strains. In this </w:t>
      </w:r>
      <w:r w:rsidRPr="00276B7E">
        <w:rPr>
          <w:rFonts w:ascii="Arial" w:hAnsi="Arial" w:cs="Arial"/>
          <w:sz w:val="20"/>
          <w:szCs w:val="20"/>
        </w:rPr>
        <w:lastRenderedPageBreak/>
        <w:t xml:space="preserve">study, the prevalence of extended-spectrum β-lactamase (ESBL)–producing </w:t>
      </w:r>
      <w:r w:rsidRPr="00276B7E">
        <w:rPr>
          <w:rFonts w:ascii="Arial" w:hAnsi="Arial" w:cs="Arial"/>
          <w:i/>
          <w:sz w:val="20"/>
          <w:szCs w:val="20"/>
        </w:rPr>
        <w:t>Citrobacter</w:t>
      </w:r>
      <w:r w:rsidRPr="00276B7E">
        <w:rPr>
          <w:rFonts w:ascii="Arial" w:hAnsi="Arial" w:cs="Arial"/>
          <w:sz w:val="20"/>
          <w:szCs w:val="20"/>
        </w:rPr>
        <w:t xml:space="preserve"> strains was estimated at 36.17%.</w:t>
      </w:r>
    </w:p>
    <w:p w14:paraId="74070576" w14:textId="77777777" w:rsidR="00F16879" w:rsidRPr="00276B7E" w:rsidRDefault="00DA0491" w:rsidP="00F16879">
      <w:pPr>
        <w:spacing w:line="480" w:lineRule="auto"/>
        <w:jc w:val="both"/>
        <w:rPr>
          <w:rFonts w:ascii="Arial" w:hAnsi="Arial" w:cs="Arial"/>
          <w:b/>
        </w:rPr>
      </w:pPr>
      <w:r w:rsidRPr="00276B7E">
        <w:rPr>
          <w:rFonts w:ascii="Arial" w:hAnsi="Arial" w:cs="Arial"/>
          <w:b/>
        </w:rPr>
        <w:t>3.2</w:t>
      </w:r>
      <w:r w:rsidR="00F16879" w:rsidRPr="00276B7E">
        <w:rPr>
          <w:rFonts w:ascii="Arial" w:hAnsi="Arial" w:cs="Arial"/>
          <w:b/>
        </w:rPr>
        <w:t>. DISCUSSION</w:t>
      </w:r>
    </w:p>
    <w:p w14:paraId="4C698730"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 xml:space="preserve">In this study, uropathogenic </w:t>
      </w:r>
      <w:r w:rsidRPr="00276B7E">
        <w:rPr>
          <w:rFonts w:ascii="Arial" w:hAnsi="Arial" w:cs="Arial"/>
          <w:i/>
          <w:sz w:val="20"/>
          <w:szCs w:val="20"/>
        </w:rPr>
        <w:t>Citrobacter</w:t>
      </w:r>
      <w:r w:rsidRPr="00276B7E">
        <w:rPr>
          <w:rFonts w:ascii="Arial" w:hAnsi="Arial" w:cs="Arial"/>
          <w:sz w:val="20"/>
          <w:szCs w:val="20"/>
        </w:rPr>
        <w:t xml:space="preserve"> was identified in 91.48% of urine samples. This rate is much higher than those reported in China (54.3% [17]) and India (56% [18]). The high prevalence of this bacterial genus in urine may be explained by colonization of the perineal region, followed by migration into the urinary tract [19]. Differences in prevalence rates could be attributed to aggravating factors in Côte d’Ivoire, including inadequate hygiene, insufficient medical care, nosocomial infections, high rates of immunosuppression, and iatrogenic causes [</w:t>
      </w:r>
      <w:proofErr w:type="gramStart"/>
      <w:r w:rsidRPr="00276B7E">
        <w:rPr>
          <w:rFonts w:ascii="Arial" w:hAnsi="Arial" w:cs="Arial"/>
          <w:sz w:val="20"/>
          <w:szCs w:val="20"/>
        </w:rPr>
        <w:t>20;</w:t>
      </w:r>
      <w:proofErr w:type="gramEnd"/>
      <w:r w:rsidRPr="00276B7E">
        <w:rPr>
          <w:rFonts w:ascii="Arial" w:hAnsi="Arial" w:cs="Arial"/>
          <w:sz w:val="20"/>
          <w:szCs w:val="20"/>
        </w:rPr>
        <w:t xml:space="preserve"> 21; 22].</w:t>
      </w:r>
    </w:p>
    <w:p w14:paraId="07741814"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 xml:space="preserve">This study revealed no variation in </w:t>
      </w:r>
      <w:r w:rsidRPr="00276B7E">
        <w:rPr>
          <w:rFonts w:ascii="Arial" w:hAnsi="Arial" w:cs="Arial"/>
          <w:i/>
          <w:sz w:val="20"/>
          <w:szCs w:val="20"/>
        </w:rPr>
        <w:t>Citrobacter</w:t>
      </w:r>
      <w:r w:rsidRPr="00276B7E">
        <w:rPr>
          <w:rFonts w:ascii="Arial" w:hAnsi="Arial" w:cs="Arial"/>
          <w:sz w:val="20"/>
          <w:szCs w:val="20"/>
        </w:rPr>
        <w:t xml:space="preserve"> infection rates according to sex, in contrast to Schmider et al. [23] in Tanzania, who reported a female predominance (71%). The results of the present study may indicate equivalent infection risks between men and women among elderly patients. However, Huang et al. [24] demonstrated that due to the physiological and structural characteristics of the urethra, women will experience at least one urinary tract infection in their lifetime.</w:t>
      </w:r>
    </w:p>
    <w:p w14:paraId="0BCC705D"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 xml:space="preserve">The antibiotic susceptibility study of </w:t>
      </w:r>
      <w:r w:rsidRPr="00276B7E">
        <w:rPr>
          <w:rFonts w:ascii="Arial" w:hAnsi="Arial" w:cs="Arial"/>
          <w:i/>
          <w:sz w:val="20"/>
          <w:szCs w:val="20"/>
        </w:rPr>
        <w:t>Citrobacter</w:t>
      </w:r>
      <w:r w:rsidRPr="00276B7E">
        <w:rPr>
          <w:rFonts w:ascii="Arial" w:hAnsi="Arial" w:cs="Arial"/>
          <w:sz w:val="20"/>
          <w:szCs w:val="20"/>
        </w:rPr>
        <w:t xml:space="preserve"> strains to cephalosporins revealed high resistance to cefixime (89.29%) and to cefotaxime and ceftazidime (60.71%). Our results are comparable to those of Mohammedkheir et al. [25] in Sudan, who reported resistance rates of 85%, 66.4%, and 72%, respectively, for these antibiotics. These resistance rates may be due to inappropriate use of cephalosporins in hospital or community settings, which selects for resistant clones [26]. Resistance mechanisms, such as AmpC β-lactamases that hydrolyze a broad spectrum of cephalosporins, may also be involved.</w:t>
      </w:r>
    </w:p>
    <w:p w14:paraId="3CFF62FF"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Regarding imipenem, a resistance rate of 28.57% was observed. Although low, this rate remains particularly concerning, as carbapenems are considered last-resort antibiotics.</w:t>
      </w:r>
    </w:p>
    <w:p w14:paraId="2C85A7DB"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For aminoglycosides, this study found resistance rates of 46.43% and 10.71% for gentamicin and kanamycin, respectively. These results are consistent with those reported by Zúnigo-Moya et al. [27], who observed similar trends (60.4% and 11.8%, respectively).</w:t>
      </w:r>
    </w:p>
    <w:p w14:paraId="1E854085"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 xml:space="preserve">In this study, </w:t>
      </w:r>
      <w:r w:rsidRPr="00276B7E">
        <w:rPr>
          <w:rFonts w:ascii="Arial" w:hAnsi="Arial" w:cs="Arial"/>
          <w:i/>
          <w:sz w:val="20"/>
          <w:szCs w:val="20"/>
        </w:rPr>
        <w:t>Citrobacter</w:t>
      </w:r>
      <w:r w:rsidRPr="00276B7E">
        <w:rPr>
          <w:rFonts w:ascii="Arial" w:hAnsi="Arial" w:cs="Arial"/>
          <w:sz w:val="20"/>
          <w:szCs w:val="20"/>
        </w:rPr>
        <w:t xml:space="preserve"> showed a resistance rate of 60.71% to ciprofloxacin. This result differs from that reported by Faruk et al. [28], who found a rate of 25%. Additionally, Fenta et </w:t>
      </w:r>
      <w:r w:rsidR="008B038D" w:rsidRPr="00276B7E">
        <w:rPr>
          <w:rFonts w:ascii="Arial" w:hAnsi="Arial" w:cs="Arial"/>
          <w:sz w:val="20"/>
          <w:szCs w:val="20"/>
        </w:rPr>
        <w:t>al. [29]</w:t>
      </w:r>
      <w:r w:rsidRPr="00276B7E">
        <w:rPr>
          <w:rFonts w:ascii="Arial" w:hAnsi="Arial" w:cs="Arial"/>
          <w:sz w:val="20"/>
          <w:szCs w:val="20"/>
        </w:rPr>
        <w:t xml:space="preserve"> and Kotb et al. [30] reported resistance rates of 83.3% and 15.6%, respectively, to ciprofloxacin. Resistance to </w:t>
      </w:r>
      <w:r w:rsidRPr="00276B7E">
        <w:rPr>
          <w:rFonts w:ascii="Arial" w:hAnsi="Arial" w:cs="Arial"/>
          <w:sz w:val="20"/>
          <w:szCs w:val="20"/>
        </w:rPr>
        <w:lastRenderedPageBreak/>
        <w:t>fluoroquinolones is generally due to chromosomal mutations that alter bacterial target enzymes, particularly DNA gyrase and topoisomerase IV [31].</w:t>
      </w:r>
    </w:p>
    <w:p w14:paraId="7908FE7D"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In this study, a prevalence of 36.17% of ESBL-producing </w:t>
      </w:r>
      <w:r w:rsidRPr="00276B7E">
        <w:rPr>
          <w:rFonts w:ascii="Arial" w:hAnsi="Arial" w:cs="Arial"/>
          <w:i/>
          <w:sz w:val="20"/>
          <w:szCs w:val="20"/>
        </w:rPr>
        <w:t>Citrobacter</w:t>
      </w:r>
      <w:r w:rsidRPr="00276B7E">
        <w:rPr>
          <w:rFonts w:ascii="Arial" w:hAnsi="Arial" w:cs="Arial"/>
          <w:sz w:val="20"/>
          <w:szCs w:val="20"/>
        </w:rPr>
        <w:t xml:space="preserve"> strains was observed. This result is consistent with Priyadarshini et al. [32], who reported 35%, but slightly higher than that of Otta et al. [33], who found a rate of 31.37%. Prolonged exposure to antibiotics, particularly broad-spectrum cephalosporins, extended hospital stays, recent surgery, intensive care unit hospitalization, and use of medical devices are factors that may promote the selection of ESBL-producing strains [34].</w:t>
      </w:r>
    </w:p>
    <w:p w14:paraId="6917E8E2" w14:textId="77777777" w:rsidR="00F16879" w:rsidRPr="00276B7E" w:rsidRDefault="002612DA" w:rsidP="00F16879">
      <w:pPr>
        <w:spacing w:line="480" w:lineRule="auto"/>
        <w:jc w:val="both"/>
        <w:rPr>
          <w:rFonts w:ascii="Arial" w:hAnsi="Arial" w:cs="Arial"/>
          <w:b/>
        </w:rPr>
      </w:pPr>
      <w:r w:rsidRPr="00276B7E">
        <w:rPr>
          <w:rFonts w:ascii="Arial" w:hAnsi="Arial" w:cs="Arial"/>
          <w:b/>
        </w:rPr>
        <w:t>4</w:t>
      </w:r>
      <w:r w:rsidR="00F16879" w:rsidRPr="00276B7E">
        <w:rPr>
          <w:rFonts w:ascii="Arial" w:hAnsi="Arial" w:cs="Arial"/>
          <w:b/>
        </w:rPr>
        <w:t>. CONCLUSION</w:t>
      </w:r>
    </w:p>
    <w:p w14:paraId="554E2075"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Antibiotic resistance in </w:t>
      </w:r>
      <w:r w:rsidRPr="00276B7E">
        <w:rPr>
          <w:rFonts w:ascii="Arial" w:hAnsi="Arial" w:cs="Arial"/>
          <w:i/>
          <w:sz w:val="20"/>
          <w:szCs w:val="20"/>
        </w:rPr>
        <w:t>Citrobacter</w:t>
      </w:r>
      <w:r w:rsidRPr="00276B7E">
        <w:rPr>
          <w:rFonts w:ascii="Arial" w:hAnsi="Arial" w:cs="Arial"/>
          <w:sz w:val="20"/>
          <w:szCs w:val="20"/>
        </w:rPr>
        <w:t xml:space="preserve"> represents a major global public health challenge. In this study, uropathogenic </w:t>
      </w:r>
      <w:r w:rsidRPr="00276B7E">
        <w:rPr>
          <w:rFonts w:ascii="Arial" w:hAnsi="Arial" w:cs="Arial"/>
          <w:i/>
          <w:sz w:val="20"/>
          <w:szCs w:val="20"/>
        </w:rPr>
        <w:t>Citrobacter</w:t>
      </w:r>
      <w:r w:rsidRPr="00276B7E">
        <w:rPr>
          <w:rFonts w:ascii="Arial" w:hAnsi="Arial" w:cs="Arial"/>
          <w:sz w:val="20"/>
          <w:szCs w:val="20"/>
        </w:rPr>
        <w:t xml:space="preserve"> was detected in 91.48% of urine samples. Among elderly patients, no difference in infection rates was observed according to sex. ESBL production was detected in 17 of the 47 bacterial strains studied. The resistance profile of the strains to β-lactams, aminoglycosides, and fluoroquinolones showed high resistance to cefixime (89.29%) and to ceftriaxone and cefotaxime (60.71%). Additionally, high resistance to ciprofloxacin (60.71%) was observed. </w:t>
      </w:r>
      <w:r w:rsidRPr="00276B7E">
        <w:rPr>
          <w:rFonts w:ascii="Arial" w:hAnsi="Arial" w:cs="Arial"/>
          <w:i/>
          <w:sz w:val="20"/>
          <w:szCs w:val="20"/>
        </w:rPr>
        <w:t>Citrobacter</w:t>
      </w:r>
      <w:r w:rsidRPr="00276B7E">
        <w:rPr>
          <w:rFonts w:ascii="Arial" w:hAnsi="Arial" w:cs="Arial"/>
          <w:sz w:val="20"/>
          <w:szCs w:val="20"/>
        </w:rPr>
        <w:t xml:space="preserve"> strains remained sensitive to kanamycin. The antibiotic resistance profile revealed in this study highlights the need for rigorous surveillance and continuous adaptation of prescribing policies.</w:t>
      </w:r>
    </w:p>
    <w:p w14:paraId="31401A19" w14:textId="77777777" w:rsidR="00DA0491" w:rsidRPr="00276B7E" w:rsidRDefault="00DA0491" w:rsidP="00DA0491">
      <w:pPr>
        <w:spacing w:line="480" w:lineRule="auto"/>
        <w:jc w:val="both"/>
        <w:rPr>
          <w:rFonts w:ascii="Arial" w:hAnsi="Arial" w:cs="Arial"/>
          <w:b/>
        </w:rPr>
      </w:pPr>
      <w:r w:rsidRPr="00276B7E">
        <w:rPr>
          <w:rFonts w:ascii="Arial" w:hAnsi="Arial" w:cs="Arial"/>
          <w:b/>
        </w:rPr>
        <w:t>ETHICAL APPROVAL</w:t>
      </w:r>
    </w:p>
    <w:p w14:paraId="0335F2A6" w14:textId="77777777" w:rsidR="00DA0491" w:rsidRPr="00276B7E" w:rsidRDefault="00DA0491" w:rsidP="00DA0491">
      <w:pPr>
        <w:spacing w:line="480" w:lineRule="auto"/>
        <w:jc w:val="both"/>
        <w:rPr>
          <w:rFonts w:ascii="Arial" w:hAnsi="Arial" w:cs="Arial"/>
          <w:sz w:val="20"/>
          <w:szCs w:val="20"/>
        </w:rPr>
      </w:pPr>
      <w:r w:rsidRPr="00276B7E">
        <w:rPr>
          <w:rFonts w:ascii="Arial" w:hAnsi="Arial" w:cs="Arial"/>
          <w:sz w:val="20"/>
          <w:szCs w:val="20"/>
        </w:rPr>
        <w:t>As per international standard or university standard written ethical approval has been collected and preserved by the authors.</w:t>
      </w:r>
    </w:p>
    <w:p w14:paraId="7EEEBE97" w14:textId="77777777" w:rsidR="00AC675F" w:rsidRDefault="00AC675F" w:rsidP="00574F5C">
      <w:pPr>
        <w:tabs>
          <w:tab w:val="left" w:pos="1524"/>
        </w:tabs>
        <w:spacing w:before="240" w:line="480" w:lineRule="auto"/>
        <w:jc w:val="both"/>
        <w:rPr>
          <w:rFonts w:ascii="Arial" w:hAnsi="Arial" w:cs="Arial"/>
          <w:b/>
        </w:rPr>
      </w:pPr>
    </w:p>
    <w:p w14:paraId="7FBFE073" w14:textId="7C485B98" w:rsidR="00574F5C" w:rsidRPr="00276B7E" w:rsidRDefault="00574F5C" w:rsidP="00574F5C">
      <w:pPr>
        <w:tabs>
          <w:tab w:val="left" w:pos="1524"/>
        </w:tabs>
        <w:spacing w:before="240" w:line="480" w:lineRule="auto"/>
        <w:jc w:val="both"/>
        <w:rPr>
          <w:rFonts w:ascii="Arial" w:hAnsi="Arial" w:cs="Arial"/>
          <w:b/>
        </w:rPr>
      </w:pPr>
      <w:bookmarkStart w:id="0" w:name="_GoBack"/>
      <w:bookmarkEnd w:id="0"/>
      <w:r w:rsidRPr="00276B7E">
        <w:rPr>
          <w:rFonts w:ascii="Arial" w:hAnsi="Arial" w:cs="Arial"/>
          <w:b/>
        </w:rPr>
        <w:t>REFERENCES</w:t>
      </w:r>
    </w:p>
    <w:p w14:paraId="7F128978"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w:t>
      </w:r>
      <w:r w:rsidRPr="00276B7E">
        <w:rPr>
          <w:rFonts w:ascii="Arial" w:hAnsi="Arial" w:cs="Arial"/>
          <w:sz w:val="20"/>
          <w:szCs w:val="20"/>
        </w:rPr>
        <w:tab/>
        <w:t>Kalambry</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Gaudré</w:t>
      </w:r>
      <w:r w:rsidR="003818E2" w:rsidRPr="00276B7E">
        <w:rPr>
          <w:rFonts w:ascii="Arial" w:hAnsi="Arial" w:cs="Arial"/>
          <w:sz w:val="20"/>
          <w:szCs w:val="20"/>
        </w:rPr>
        <w:t>,</w:t>
      </w:r>
      <w:r w:rsidRPr="00276B7E">
        <w:rPr>
          <w:rFonts w:ascii="Arial" w:hAnsi="Arial" w:cs="Arial"/>
          <w:sz w:val="20"/>
          <w:szCs w:val="20"/>
        </w:rPr>
        <w:t xml:space="preserve"> N</w:t>
      </w:r>
      <w:r w:rsidR="003818E2" w:rsidRPr="00276B7E">
        <w:rPr>
          <w:rFonts w:ascii="Arial" w:hAnsi="Arial" w:cs="Arial"/>
          <w:sz w:val="20"/>
          <w:szCs w:val="20"/>
        </w:rPr>
        <w:t>.</w:t>
      </w:r>
      <w:r w:rsidRPr="00276B7E">
        <w:rPr>
          <w:rFonts w:ascii="Arial" w:hAnsi="Arial" w:cs="Arial"/>
          <w:sz w:val="20"/>
          <w:szCs w:val="20"/>
        </w:rPr>
        <w:t>, Drame</w:t>
      </w:r>
      <w:r w:rsidR="003818E2" w:rsidRPr="00276B7E">
        <w:rPr>
          <w:rFonts w:ascii="Arial" w:hAnsi="Arial" w:cs="Arial"/>
          <w:sz w:val="20"/>
          <w:szCs w:val="20"/>
        </w:rPr>
        <w:t>,</w:t>
      </w:r>
      <w:r w:rsidRPr="00276B7E">
        <w:rPr>
          <w:rFonts w:ascii="Arial" w:hAnsi="Arial" w:cs="Arial"/>
          <w:sz w:val="20"/>
          <w:szCs w:val="20"/>
        </w:rPr>
        <w:t xml:space="preserve"> BS</w:t>
      </w:r>
      <w:r w:rsidR="003818E2" w:rsidRPr="00276B7E">
        <w:rPr>
          <w:rFonts w:ascii="Arial" w:hAnsi="Arial" w:cs="Arial"/>
          <w:sz w:val="20"/>
          <w:szCs w:val="20"/>
        </w:rPr>
        <w:t>.</w:t>
      </w:r>
      <w:r w:rsidRPr="00276B7E">
        <w:rPr>
          <w:rFonts w:ascii="Arial" w:hAnsi="Arial" w:cs="Arial"/>
          <w:sz w:val="20"/>
          <w:szCs w:val="20"/>
        </w:rPr>
        <w:t>, Poudiougo</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Kassogué</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Koné</w:t>
      </w:r>
      <w:r w:rsidR="003818E2" w:rsidRPr="00276B7E">
        <w:rPr>
          <w:rFonts w:ascii="Arial" w:hAnsi="Arial" w:cs="Arial"/>
          <w:sz w:val="20"/>
          <w:szCs w:val="20"/>
        </w:rPr>
        <w:t>, H</w:t>
      </w:r>
      <w:r w:rsidRPr="00276B7E">
        <w:rPr>
          <w:rFonts w:ascii="Arial" w:hAnsi="Arial" w:cs="Arial"/>
          <w:sz w:val="20"/>
          <w:szCs w:val="20"/>
        </w:rPr>
        <w:t xml:space="preserve"> et al. </w:t>
      </w:r>
      <w:r w:rsidR="003818E2" w:rsidRPr="00276B7E">
        <w:rPr>
          <w:rFonts w:ascii="Arial" w:hAnsi="Arial" w:cs="Arial"/>
          <w:sz w:val="20"/>
          <w:szCs w:val="20"/>
        </w:rPr>
        <w:t xml:space="preserve">(2019). </w:t>
      </w:r>
      <w:r w:rsidRPr="00276B7E">
        <w:rPr>
          <w:rFonts w:ascii="Arial" w:hAnsi="Arial" w:cs="Arial"/>
          <w:sz w:val="20"/>
          <w:szCs w:val="20"/>
        </w:rPr>
        <w:t xml:space="preserve">Beta-lactam resistance profile of </w:t>
      </w:r>
      <w:r w:rsidRPr="00276B7E">
        <w:rPr>
          <w:rFonts w:ascii="Arial" w:hAnsi="Arial" w:cs="Arial"/>
          <w:i/>
          <w:sz w:val="20"/>
          <w:szCs w:val="20"/>
        </w:rPr>
        <w:t>Enterobacteriaceae</w:t>
      </w:r>
      <w:r w:rsidRPr="00276B7E">
        <w:rPr>
          <w:rFonts w:ascii="Arial" w:hAnsi="Arial" w:cs="Arial"/>
          <w:sz w:val="20"/>
          <w:szCs w:val="20"/>
        </w:rPr>
        <w:t xml:space="preserve"> isolated from urinary samples at the Hospital of Mali. </w:t>
      </w:r>
      <w:r w:rsidR="00673D7A" w:rsidRPr="00276B7E">
        <w:rPr>
          <w:rFonts w:ascii="Arial" w:hAnsi="Arial" w:cs="Arial"/>
          <w:i/>
          <w:sz w:val="20"/>
          <w:szCs w:val="20"/>
        </w:rPr>
        <w:t xml:space="preserve">Malian Journal of Infectious Diseases and </w:t>
      </w:r>
      <w:proofErr w:type="gramStart"/>
      <w:r w:rsidR="00673D7A" w:rsidRPr="00276B7E">
        <w:rPr>
          <w:rFonts w:ascii="Arial" w:hAnsi="Arial" w:cs="Arial"/>
          <w:i/>
          <w:sz w:val="20"/>
          <w:szCs w:val="20"/>
        </w:rPr>
        <w:t>Microbiology</w:t>
      </w:r>
      <w:r w:rsidR="00B83755" w:rsidRPr="00276B7E">
        <w:rPr>
          <w:rFonts w:ascii="Arial" w:hAnsi="Arial" w:cs="Arial"/>
          <w:sz w:val="20"/>
          <w:szCs w:val="20"/>
        </w:rPr>
        <w:t>;</w:t>
      </w:r>
      <w:proofErr w:type="gramEnd"/>
      <w:r w:rsidR="00B83755" w:rsidRPr="00276B7E">
        <w:rPr>
          <w:rFonts w:ascii="Arial" w:hAnsi="Arial" w:cs="Arial"/>
          <w:sz w:val="20"/>
          <w:szCs w:val="20"/>
        </w:rPr>
        <w:t>14(2):6–13.</w:t>
      </w:r>
    </w:p>
    <w:p w14:paraId="0530BDCE"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w:t>
      </w:r>
      <w:r w:rsidRPr="00276B7E">
        <w:rPr>
          <w:rFonts w:ascii="Arial" w:hAnsi="Arial" w:cs="Arial"/>
          <w:sz w:val="20"/>
          <w:szCs w:val="20"/>
        </w:rPr>
        <w:tab/>
        <w:t>Manseck</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Otto</w:t>
      </w:r>
      <w:r w:rsidR="003818E2" w:rsidRPr="00276B7E">
        <w:rPr>
          <w:rFonts w:ascii="Arial" w:hAnsi="Arial" w:cs="Arial"/>
          <w:sz w:val="20"/>
          <w:szCs w:val="20"/>
        </w:rPr>
        <w:t>,</w:t>
      </w:r>
      <w:r w:rsidRPr="00276B7E">
        <w:rPr>
          <w:rFonts w:ascii="Arial" w:hAnsi="Arial" w:cs="Arial"/>
          <w:sz w:val="20"/>
          <w:szCs w:val="20"/>
        </w:rPr>
        <w:t xml:space="preserve"> W</w:t>
      </w:r>
      <w:r w:rsidR="003818E2" w:rsidRPr="00276B7E">
        <w:rPr>
          <w:rFonts w:ascii="Arial" w:hAnsi="Arial" w:cs="Arial"/>
          <w:sz w:val="20"/>
          <w:szCs w:val="20"/>
        </w:rPr>
        <w:t>.</w:t>
      </w:r>
      <w:r w:rsidRPr="00276B7E">
        <w:rPr>
          <w:rFonts w:ascii="Arial" w:hAnsi="Arial" w:cs="Arial"/>
          <w:sz w:val="20"/>
          <w:szCs w:val="20"/>
        </w:rPr>
        <w:t>, Schnabel</w:t>
      </w:r>
      <w:r w:rsidR="003818E2" w:rsidRPr="00276B7E">
        <w:rPr>
          <w:rFonts w:ascii="Arial" w:hAnsi="Arial" w:cs="Arial"/>
          <w:sz w:val="20"/>
          <w:szCs w:val="20"/>
        </w:rPr>
        <w:t>,</w:t>
      </w:r>
      <w:r w:rsidRPr="00276B7E">
        <w:rPr>
          <w:rFonts w:ascii="Arial" w:hAnsi="Arial" w:cs="Arial"/>
          <w:sz w:val="20"/>
          <w:szCs w:val="20"/>
        </w:rPr>
        <w:t xml:space="preserve"> M</w:t>
      </w:r>
      <w:r w:rsidR="003818E2" w:rsidRPr="00276B7E">
        <w:rPr>
          <w:rFonts w:ascii="Arial" w:hAnsi="Arial" w:cs="Arial"/>
          <w:sz w:val="20"/>
          <w:szCs w:val="20"/>
        </w:rPr>
        <w:t>.</w:t>
      </w:r>
      <w:r w:rsidRPr="00276B7E">
        <w:rPr>
          <w:rFonts w:ascii="Arial" w:hAnsi="Arial" w:cs="Arial"/>
          <w:sz w:val="20"/>
          <w:szCs w:val="20"/>
        </w:rPr>
        <w:t>, Denzinger</w:t>
      </w:r>
      <w:r w:rsidR="003818E2" w:rsidRPr="00276B7E">
        <w:rPr>
          <w:rFonts w:ascii="Arial" w:hAnsi="Arial" w:cs="Arial"/>
          <w:sz w:val="20"/>
          <w:szCs w:val="20"/>
        </w:rPr>
        <w:t>,</w:t>
      </w:r>
      <w:r w:rsidRPr="00276B7E">
        <w:rPr>
          <w:rFonts w:ascii="Arial" w:hAnsi="Arial" w:cs="Arial"/>
          <w:sz w:val="20"/>
          <w:szCs w:val="20"/>
        </w:rPr>
        <w:t xml:space="preserve"> S</w:t>
      </w:r>
      <w:r w:rsidR="003818E2" w:rsidRPr="00276B7E">
        <w:rPr>
          <w:rFonts w:ascii="Arial" w:hAnsi="Arial" w:cs="Arial"/>
          <w:sz w:val="20"/>
          <w:szCs w:val="20"/>
        </w:rPr>
        <w:t>.</w:t>
      </w:r>
      <w:r w:rsidRPr="00276B7E">
        <w:rPr>
          <w:rFonts w:ascii="Arial" w:hAnsi="Arial" w:cs="Arial"/>
          <w:sz w:val="20"/>
          <w:szCs w:val="20"/>
        </w:rPr>
        <w:t>, burger</w:t>
      </w:r>
      <w:r w:rsidR="003818E2" w:rsidRPr="00276B7E">
        <w:rPr>
          <w:rFonts w:ascii="Arial" w:hAnsi="Arial" w:cs="Arial"/>
          <w:sz w:val="20"/>
          <w:szCs w:val="20"/>
        </w:rPr>
        <w:t>, M &amp;</w:t>
      </w:r>
      <w:r w:rsidRPr="00276B7E">
        <w:rPr>
          <w:rFonts w:ascii="Arial" w:hAnsi="Arial" w:cs="Arial"/>
          <w:sz w:val="20"/>
          <w:szCs w:val="20"/>
        </w:rPr>
        <w:t xml:space="preserve"> Spachmann P. </w:t>
      </w:r>
      <w:r w:rsidR="003818E2" w:rsidRPr="00276B7E">
        <w:rPr>
          <w:rFonts w:ascii="Arial" w:hAnsi="Arial" w:cs="Arial"/>
          <w:sz w:val="20"/>
          <w:szCs w:val="20"/>
        </w:rPr>
        <w:t xml:space="preserve">(2022). </w:t>
      </w:r>
      <w:r w:rsidRPr="00276B7E">
        <w:rPr>
          <w:rFonts w:ascii="Arial" w:hAnsi="Arial" w:cs="Arial"/>
          <w:sz w:val="20"/>
          <w:szCs w:val="20"/>
        </w:rPr>
        <w:t xml:space="preserve">Geriatric Patients and Symptomatic Urinary Tract </w:t>
      </w:r>
      <w:proofErr w:type="gramStart"/>
      <w:r w:rsidRPr="00276B7E">
        <w:rPr>
          <w:rFonts w:ascii="Arial" w:hAnsi="Arial" w:cs="Arial"/>
          <w:sz w:val="20"/>
          <w:szCs w:val="20"/>
        </w:rPr>
        <w:t>Infections:</w:t>
      </w:r>
      <w:proofErr w:type="gramEnd"/>
      <w:r w:rsidRPr="00276B7E">
        <w:rPr>
          <w:rFonts w:ascii="Arial" w:hAnsi="Arial" w:cs="Arial"/>
          <w:sz w:val="20"/>
          <w:szCs w:val="20"/>
        </w:rPr>
        <w:t xml:space="preserve"> Analysis of Bacterial Range and Resistance Rates at a 3rd Level of Care Hosp</w:t>
      </w:r>
      <w:r w:rsidR="003818E2" w:rsidRPr="00276B7E">
        <w:rPr>
          <w:rFonts w:ascii="Arial" w:hAnsi="Arial" w:cs="Arial"/>
          <w:sz w:val="20"/>
          <w:szCs w:val="20"/>
        </w:rPr>
        <w:t xml:space="preserve">ital in Germany. </w:t>
      </w:r>
      <w:r w:rsidR="00673D7A" w:rsidRPr="00276B7E">
        <w:rPr>
          <w:rFonts w:ascii="Arial" w:hAnsi="Arial" w:cs="Arial"/>
          <w:i/>
          <w:sz w:val="20"/>
          <w:szCs w:val="20"/>
        </w:rPr>
        <w:t xml:space="preserve">Urologia Internationalis, </w:t>
      </w:r>
      <w:proofErr w:type="gramStart"/>
      <w:r w:rsidRPr="00276B7E">
        <w:rPr>
          <w:rFonts w:ascii="Arial" w:hAnsi="Arial" w:cs="Arial"/>
          <w:sz w:val="20"/>
          <w:szCs w:val="20"/>
        </w:rPr>
        <w:t>106:</w:t>
      </w:r>
      <w:proofErr w:type="gramEnd"/>
      <w:r w:rsidRPr="00276B7E">
        <w:rPr>
          <w:rFonts w:ascii="Arial" w:hAnsi="Arial" w:cs="Arial"/>
          <w:sz w:val="20"/>
          <w:szCs w:val="20"/>
        </w:rPr>
        <w:t xml:space="preserve"> </w:t>
      </w:r>
      <w:r w:rsidR="00B83755" w:rsidRPr="00276B7E">
        <w:rPr>
          <w:rFonts w:ascii="Arial" w:hAnsi="Arial" w:cs="Arial"/>
          <w:sz w:val="20"/>
          <w:szCs w:val="20"/>
        </w:rPr>
        <w:t>298–303.</w:t>
      </w:r>
    </w:p>
    <w:p w14:paraId="39EE2908"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lastRenderedPageBreak/>
        <w:t>3.</w:t>
      </w:r>
      <w:r w:rsidRPr="00276B7E">
        <w:rPr>
          <w:rFonts w:ascii="Arial" w:hAnsi="Arial" w:cs="Arial"/>
          <w:sz w:val="20"/>
          <w:szCs w:val="20"/>
        </w:rPr>
        <w:tab/>
        <w:t>Laborde</w:t>
      </w:r>
      <w:r w:rsidR="003818E2" w:rsidRPr="00276B7E">
        <w:rPr>
          <w:rFonts w:ascii="Arial" w:hAnsi="Arial" w:cs="Arial"/>
          <w:sz w:val="20"/>
          <w:szCs w:val="20"/>
        </w:rPr>
        <w:t>,</w:t>
      </w:r>
      <w:r w:rsidRPr="00276B7E">
        <w:rPr>
          <w:rFonts w:ascii="Arial" w:hAnsi="Arial" w:cs="Arial"/>
          <w:sz w:val="20"/>
          <w:szCs w:val="20"/>
        </w:rPr>
        <w:t xml:space="preserve"> C</w:t>
      </w:r>
      <w:r w:rsidR="003818E2" w:rsidRPr="00276B7E">
        <w:rPr>
          <w:rFonts w:ascii="Arial" w:hAnsi="Arial" w:cs="Arial"/>
          <w:sz w:val="20"/>
          <w:szCs w:val="20"/>
        </w:rPr>
        <w:t>.</w:t>
      </w:r>
      <w:r w:rsidRPr="00276B7E">
        <w:rPr>
          <w:rFonts w:ascii="Arial" w:hAnsi="Arial" w:cs="Arial"/>
          <w:sz w:val="20"/>
          <w:szCs w:val="20"/>
        </w:rPr>
        <w:t>, Bador</w:t>
      </w:r>
      <w:r w:rsidR="003818E2" w:rsidRPr="00276B7E">
        <w:rPr>
          <w:rFonts w:ascii="Arial" w:hAnsi="Arial" w:cs="Arial"/>
          <w:sz w:val="20"/>
          <w:szCs w:val="20"/>
        </w:rPr>
        <w:t>,</w:t>
      </w:r>
      <w:r w:rsidRPr="00276B7E">
        <w:rPr>
          <w:rFonts w:ascii="Arial" w:hAnsi="Arial" w:cs="Arial"/>
          <w:sz w:val="20"/>
          <w:szCs w:val="20"/>
        </w:rPr>
        <w:t xml:space="preserve"> J</w:t>
      </w:r>
      <w:r w:rsidR="003818E2" w:rsidRPr="00276B7E">
        <w:rPr>
          <w:rFonts w:ascii="Arial" w:hAnsi="Arial" w:cs="Arial"/>
          <w:sz w:val="20"/>
          <w:szCs w:val="20"/>
        </w:rPr>
        <w:t>.</w:t>
      </w:r>
      <w:r w:rsidRPr="00276B7E">
        <w:rPr>
          <w:rFonts w:ascii="Arial" w:hAnsi="Arial" w:cs="Arial"/>
          <w:sz w:val="20"/>
          <w:szCs w:val="20"/>
        </w:rPr>
        <w:t>, Hacquin</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Barben</w:t>
      </w:r>
      <w:r w:rsidR="003818E2" w:rsidRPr="00276B7E">
        <w:rPr>
          <w:rFonts w:ascii="Arial" w:hAnsi="Arial" w:cs="Arial"/>
          <w:sz w:val="20"/>
          <w:szCs w:val="20"/>
        </w:rPr>
        <w:t>,</w:t>
      </w:r>
      <w:r w:rsidRPr="00276B7E">
        <w:rPr>
          <w:rFonts w:ascii="Arial" w:hAnsi="Arial" w:cs="Arial"/>
          <w:sz w:val="20"/>
          <w:szCs w:val="20"/>
        </w:rPr>
        <w:t xml:space="preserve"> J</w:t>
      </w:r>
      <w:r w:rsidR="003818E2" w:rsidRPr="00276B7E">
        <w:rPr>
          <w:rFonts w:ascii="Arial" w:hAnsi="Arial" w:cs="Arial"/>
          <w:sz w:val="20"/>
          <w:szCs w:val="20"/>
        </w:rPr>
        <w:t>.</w:t>
      </w:r>
      <w:r w:rsidRPr="00276B7E">
        <w:rPr>
          <w:rFonts w:ascii="Arial" w:hAnsi="Arial" w:cs="Arial"/>
          <w:sz w:val="20"/>
          <w:szCs w:val="20"/>
        </w:rPr>
        <w:t>, Putot</w:t>
      </w:r>
      <w:r w:rsidR="003818E2" w:rsidRPr="00276B7E">
        <w:rPr>
          <w:rFonts w:ascii="Arial" w:hAnsi="Arial" w:cs="Arial"/>
          <w:sz w:val="20"/>
          <w:szCs w:val="20"/>
        </w:rPr>
        <w:t>,</w:t>
      </w:r>
      <w:r w:rsidRPr="00276B7E">
        <w:rPr>
          <w:rFonts w:ascii="Arial" w:hAnsi="Arial" w:cs="Arial"/>
          <w:sz w:val="20"/>
          <w:szCs w:val="20"/>
        </w:rPr>
        <w:t xml:space="preserve"> S</w:t>
      </w:r>
      <w:r w:rsidR="003818E2" w:rsidRPr="00276B7E">
        <w:rPr>
          <w:rFonts w:ascii="Arial" w:hAnsi="Arial" w:cs="Arial"/>
          <w:sz w:val="20"/>
          <w:szCs w:val="20"/>
        </w:rPr>
        <w:t>.</w:t>
      </w:r>
      <w:r w:rsidRPr="00276B7E">
        <w:rPr>
          <w:rFonts w:ascii="Arial" w:hAnsi="Arial" w:cs="Arial"/>
          <w:sz w:val="20"/>
          <w:szCs w:val="20"/>
        </w:rPr>
        <w:t>, Manckoundia</w:t>
      </w:r>
      <w:r w:rsidR="003818E2" w:rsidRPr="00276B7E">
        <w:rPr>
          <w:rFonts w:ascii="Arial" w:hAnsi="Arial" w:cs="Arial"/>
          <w:sz w:val="20"/>
          <w:szCs w:val="20"/>
        </w:rPr>
        <w:t>, P</w:t>
      </w:r>
      <w:r w:rsidRPr="00276B7E">
        <w:rPr>
          <w:rFonts w:ascii="Arial" w:hAnsi="Arial" w:cs="Arial"/>
          <w:sz w:val="20"/>
          <w:szCs w:val="20"/>
        </w:rPr>
        <w:t xml:space="preserve"> et al. </w:t>
      </w:r>
      <w:r w:rsidR="003818E2" w:rsidRPr="00276B7E">
        <w:rPr>
          <w:rFonts w:ascii="Arial" w:hAnsi="Arial" w:cs="Arial"/>
          <w:sz w:val="20"/>
          <w:szCs w:val="20"/>
        </w:rPr>
        <w:t xml:space="preserve">(2021). </w:t>
      </w:r>
      <w:r w:rsidRPr="00276B7E">
        <w:rPr>
          <w:rFonts w:ascii="Arial" w:hAnsi="Arial" w:cs="Arial"/>
          <w:sz w:val="20"/>
          <w:szCs w:val="20"/>
        </w:rPr>
        <w:t xml:space="preserve">Atypical Presentation of Bacteremic Urinary Tract Infection in Older </w:t>
      </w:r>
      <w:proofErr w:type="gramStart"/>
      <w:r w:rsidRPr="00276B7E">
        <w:rPr>
          <w:rFonts w:ascii="Arial" w:hAnsi="Arial" w:cs="Arial"/>
          <w:sz w:val="20"/>
          <w:szCs w:val="20"/>
        </w:rPr>
        <w:t>Patients:</w:t>
      </w:r>
      <w:proofErr w:type="gramEnd"/>
      <w:r w:rsidRPr="00276B7E">
        <w:rPr>
          <w:rFonts w:ascii="Arial" w:hAnsi="Arial" w:cs="Arial"/>
          <w:sz w:val="20"/>
          <w:szCs w:val="20"/>
        </w:rPr>
        <w:t xml:space="preserve"> Frequency and Pr</w:t>
      </w:r>
      <w:r w:rsidR="003818E2" w:rsidRPr="00276B7E">
        <w:rPr>
          <w:rFonts w:ascii="Arial" w:hAnsi="Arial" w:cs="Arial"/>
          <w:sz w:val="20"/>
          <w:szCs w:val="20"/>
        </w:rPr>
        <w:t xml:space="preserve">ognostic Impact. </w:t>
      </w:r>
      <w:r w:rsidR="003818E2" w:rsidRPr="00276B7E">
        <w:rPr>
          <w:rFonts w:ascii="Arial" w:hAnsi="Arial" w:cs="Arial"/>
          <w:i/>
          <w:sz w:val="20"/>
          <w:szCs w:val="20"/>
        </w:rPr>
        <w:t>Diagnostics</w:t>
      </w:r>
      <w:r w:rsidRPr="00276B7E">
        <w:rPr>
          <w:rFonts w:ascii="Arial" w:hAnsi="Arial" w:cs="Arial"/>
          <w:sz w:val="20"/>
          <w:szCs w:val="20"/>
        </w:rPr>
        <w:t>, 11(3</w:t>
      </w:r>
      <w:proofErr w:type="gramStart"/>
      <w:r w:rsidRPr="00276B7E">
        <w:rPr>
          <w:rFonts w:ascii="Arial" w:hAnsi="Arial" w:cs="Arial"/>
          <w:sz w:val="20"/>
          <w:szCs w:val="20"/>
        </w:rPr>
        <w:t>):</w:t>
      </w:r>
      <w:proofErr w:type="gramEnd"/>
      <w:r w:rsidRPr="00276B7E">
        <w:rPr>
          <w:rFonts w:ascii="Arial" w:hAnsi="Arial" w:cs="Arial"/>
          <w:sz w:val="20"/>
          <w:szCs w:val="20"/>
        </w:rPr>
        <w:t xml:space="preserve"> 523-33 : 11(3):523. </w:t>
      </w:r>
    </w:p>
    <w:p w14:paraId="00A8DD4B"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4.</w:t>
      </w:r>
      <w:r w:rsidRPr="00276B7E">
        <w:rPr>
          <w:rFonts w:ascii="Arial" w:hAnsi="Arial" w:cs="Arial"/>
          <w:sz w:val="20"/>
          <w:szCs w:val="20"/>
        </w:rPr>
        <w:tab/>
        <w:t>Crétel</w:t>
      </w:r>
      <w:r w:rsidR="00F53C0F" w:rsidRPr="00276B7E">
        <w:rPr>
          <w:rFonts w:ascii="Arial" w:hAnsi="Arial" w:cs="Arial"/>
          <w:sz w:val="20"/>
          <w:szCs w:val="20"/>
        </w:rPr>
        <w:t>,</w:t>
      </w:r>
      <w:r w:rsidRPr="00276B7E">
        <w:rPr>
          <w:rFonts w:ascii="Arial" w:hAnsi="Arial" w:cs="Arial"/>
          <w:sz w:val="20"/>
          <w:szCs w:val="20"/>
        </w:rPr>
        <w:t xml:space="preserve"> E</w:t>
      </w:r>
      <w:r w:rsidR="00F53C0F" w:rsidRPr="00276B7E">
        <w:rPr>
          <w:rFonts w:ascii="Arial" w:hAnsi="Arial" w:cs="Arial"/>
          <w:sz w:val="20"/>
          <w:szCs w:val="20"/>
        </w:rPr>
        <w:t>.</w:t>
      </w:r>
      <w:r w:rsidRPr="00276B7E">
        <w:rPr>
          <w:rFonts w:ascii="Arial" w:hAnsi="Arial" w:cs="Arial"/>
          <w:sz w:val="20"/>
          <w:szCs w:val="20"/>
        </w:rPr>
        <w:t>, Veen</w:t>
      </w:r>
      <w:r w:rsidR="00F53C0F" w:rsidRPr="00276B7E">
        <w:rPr>
          <w:rFonts w:ascii="Arial" w:hAnsi="Arial" w:cs="Arial"/>
          <w:sz w:val="20"/>
          <w:szCs w:val="20"/>
        </w:rPr>
        <w:t>,</w:t>
      </w:r>
      <w:r w:rsidRPr="00276B7E">
        <w:rPr>
          <w:rFonts w:ascii="Arial" w:hAnsi="Arial" w:cs="Arial"/>
          <w:sz w:val="20"/>
          <w:szCs w:val="20"/>
        </w:rPr>
        <w:t xml:space="preserve"> I</w:t>
      </w:r>
      <w:r w:rsidR="00F53C0F" w:rsidRPr="00276B7E">
        <w:rPr>
          <w:rFonts w:ascii="Arial" w:hAnsi="Arial" w:cs="Arial"/>
          <w:sz w:val="20"/>
          <w:szCs w:val="20"/>
        </w:rPr>
        <w:t>.</w:t>
      </w:r>
      <w:r w:rsidRPr="00276B7E">
        <w:rPr>
          <w:rFonts w:ascii="Arial" w:hAnsi="Arial" w:cs="Arial"/>
          <w:sz w:val="20"/>
          <w:szCs w:val="20"/>
        </w:rPr>
        <w:t>, Pierres</w:t>
      </w:r>
      <w:r w:rsidR="00F53C0F" w:rsidRPr="00276B7E">
        <w:rPr>
          <w:rFonts w:ascii="Arial" w:hAnsi="Arial" w:cs="Arial"/>
          <w:sz w:val="20"/>
          <w:szCs w:val="20"/>
        </w:rPr>
        <w:t>,</w:t>
      </w:r>
      <w:r w:rsidRPr="00276B7E">
        <w:rPr>
          <w:rFonts w:ascii="Arial" w:hAnsi="Arial" w:cs="Arial"/>
          <w:sz w:val="20"/>
          <w:szCs w:val="20"/>
        </w:rPr>
        <w:t xml:space="preserve"> A</w:t>
      </w:r>
      <w:r w:rsidR="00F53C0F" w:rsidRPr="00276B7E">
        <w:rPr>
          <w:rFonts w:ascii="Arial" w:hAnsi="Arial" w:cs="Arial"/>
          <w:sz w:val="20"/>
          <w:szCs w:val="20"/>
        </w:rPr>
        <w:t>.</w:t>
      </w:r>
      <w:r w:rsidRPr="00276B7E">
        <w:rPr>
          <w:rFonts w:ascii="Arial" w:hAnsi="Arial" w:cs="Arial"/>
          <w:sz w:val="20"/>
          <w:szCs w:val="20"/>
        </w:rPr>
        <w:t>, Bongrand</w:t>
      </w:r>
      <w:r w:rsidR="00F53C0F" w:rsidRPr="00276B7E">
        <w:rPr>
          <w:rFonts w:ascii="Arial" w:hAnsi="Arial" w:cs="Arial"/>
          <w:sz w:val="20"/>
          <w:szCs w:val="20"/>
        </w:rPr>
        <w:t>, P &amp; Gavazzi G (2010).</w:t>
      </w:r>
      <w:r w:rsidRPr="00276B7E">
        <w:rPr>
          <w:rFonts w:ascii="Arial" w:hAnsi="Arial" w:cs="Arial"/>
          <w:sz w:val="20"/>
          <w:szCs w:val="20"/>
        </w:rPr>
        <w:t xml:space="preserve"> Immunosenescence and infections, myth or </w:t>
      </w:r>
      <w:proofErr w:type="gramStart"/>
      <w:r w:rsidRPr="00276B7E">
        <w:rPr>
          <w:rFonts w:ascii="Arial" w:hAnsi="Arial" w:cs="Arial"/>
          <w:sz w:val="20"/>
          <w:szCs w:val="20"/>
        </w:rPr>
        <w:t>reality?</w:t>
      </w:r>
      <w:proofErr w:type="gramEnd"/>
      <w:r w:rsidRPr="00276B7E">
        <w:rPr>
          <w:rFonts w:ascii="Arial" w:hAnsi="Arial" w:cs="Arial"/>
          <w:sz w:val="20"/>
          <w:szCs w:val="20"/>
        </w:rPr>
        <w:t xml:space="preserve"> </w:t>
      </w:r>
      <w:r w:rsidR="00FD45B7" w:rsidRPr="00276B7E">
        <w:rPr>
          <w:rFonts w:ascii="Arial" w:hAnsi="Arial" w:cs="Arial"/>
          <w:i/>
          <w:sz w:val="20"/>
          <w:szCs w:val="20"/>
        </w:rPr>
        <w:t>Medicine and Infectious Diseases</w:t>
      </w:r>
      <w:r w:rsidR="00B83755" w:rsidRPr="00276B7E">
        <w:rPr>
          <w:rFonts w:ascii="Arial" w:hAnsi="Arial" w:cs="Arial"/>
          <w:sz w:val="20"/>
          <w:szCs w:val="20"/>
        </w:rPr>
        <w:t xml:space="preserve">, 2010 ; </w:t>
      </w:r>
      <w:proofErr w:type="gramStart"/>
      <w:r w:rsidR="00B83755" w:rsidRPr="00276B7E">
        <w:rPr>
          <w:rFonts w:ascii="Arial" w:hAnsi="Arial" w:cs="Arial"/>
          <w:sz w:val="20"/>
          <w:szCs w:val="20"/>
        </w:rPr>
        <w:t>40:</w:t>
      </w:r>
      <w:proofErr w:type="gramEnd"/>
      <w:r w:rsidR="00B83755" w:rsidRPr="00276B7E">
        <w:rPr>
          <w:rFonts w:ascii="Arial" w:hAnsi="Arial" w:cs="Arial"/>
          <w:sz w:val="20"/>
          <w:szCs w:val="20"/>
        </w:rPr>
        <w:t>307–18.</w:t>
      </w:r>
    </w:p>
    <w:p w14:paraId="693E415D"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5.</w:t>
      </w:r>
      <w:r w:rsidRPr="00276B7E">
        <w:rPr>
          <w:rFonts w:ascii="Arial" w:hAnsi="Arial" w:cs="Arial"/>
          <w:sz w:val="20"/>
          <w:szCs w:val="20"/>
        </w:rPr>
        <w:tab/>
        <w:t>Benrabah</w:t>
      </w:r>
      <w:r w:rsidR="00F53C0F" w:rsidRPr="00276B7E">
        <w:rPr>
          <w:rFonts w:ascii="Arial" w:hAnsi="Arial" w:cs="Arial"/>
          <w:sz w:val="20"/>
          <w:szCs w:val="20"/>
        </w:rPr>
        <w:t>, MMS (2020).</w:t>
      </w:r>
      <w:r w:rsidRPr="00276B7E">
        <w:rPr>
          <w:rFonts w:ascii="Arial" w:hAnsi="Arial" w:cs="Arial"/>
          <w:sz w:val="20"/>
          <w:szCs w:val="20"/>
        </w:rPr>
        <w:t xml:space="preserve"> Epidemiology and antibiotic resistance of Enterobacteriaceae isolated from urinary tract infections in hospitals (HMRUC)</w:t>
      </w:r>
      <w:r w:rsidR="00F53C0F" w:rsidRPr="00276B7E">
        <w:rPr>
          <w:rFonts w:ascii="Arial" w:hAnsi="Arial" w:cs="Arial"/>
          <w:sz w:val="20"/>
          <w:szCs w:val="20"/>
        </w:rPr>
        <w:t>, doctoral thesis</w:t>
      </w:r>
      <w:r w:rsidR="00B83755" w:rsidRPr="00276B7E">
        <w:rPr>
          <w:rFonts w:ascii="Arial" w:hAnsi="Arial" w:cs="Arial"/>
          <w:sz w:val="20"/>
          <w:szCs w:val="20"/>
        </w:rPr>
        <w:t>, p.117.</w:t>
      </w:r>
    </w:p>
    <w:p w14:paraId="145E72B1"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6.</w:t>
      </w:r>
      <w:r w:rsidRPr="00276B7E">
        <w:rPr>
          <w:rFonts w:ascii="Arial" w:hAnsi="Arial" w:cs="Arial"/>
          <w:sz w:val="20"/>
          <w:szCs w:val="20"/>
        </w:rPr>
        <w:tab/>
        <w:t>Fonton</w:t>
      </w:r>
      <w:r w:rsidR="00F53C0F" w:rsidRPr="00276B7E">
        <w:rPr>
          <w:rFonts w:ascii="Arial" w:hAnsi="Arial" w:cs="Arial"/>
          <w:sz w:val="20"/>
          <w:szCs w:val="20"/>
        </w:rPr>
        <w:t>,</w:t>
      </w:r>
      <w:r w:rsidRPr="00276B7E">
        <w:rPr>
          <w:rFonts w:ascii="Arial" w:hAnsi="Arial" w:cs="Arial"/>
          <w:sz w:val="20"/>
          <w:szCs w:val="20"/>
        </w:rPr>
        <w:t xml:space="preserve"> P</w:t>
      </w:r>
      <w:r w:rsidR="00F53C0F" w:rsidRPr="00276B7E">
        <w:rPr>
          <w:rFonts w:ascii="Arial" w:hAnsi="Arial" w:cs="Arial"/>
          <w:sz w:val="20"/>
          <w:szCs w:val="20"/>
        </w:rPr>
        <w:t>.</w:t>
      </w:r>
      <w:r w:rsidRPr="00276B7E">
        <w:rPr>
          <w:rFonts w:ascii="Arial" w:hAnsi="Arial" w:cs="Arial"/>
          <w:sz w:val="20"/>
          <w:szCs w:val="20"/>
        </w:rPr>
        <w:t>, Grant</w:t>
      </w:r>
      <w:r w:rsidR="00F53C0F" w:rsidRPr="00276B7E">
        <w:rPr>
          <w:rFonts w:ascii="Arial" w:hAnsi="Arial" w:cs="Arial"/>
          <w:sz w:val="20"/>
          <w:szCs w:val="20"/>
        </w:rPr>
        <w:t>,</w:t>
      </w:r>
      <w:r w:rsidRPr="00276B7E">
        <w:rPr>
          <w:rFonts w:ascii="Arial" w:hAnsi="Arial" w:cs="Arial"/>
          <w:sz w:val="20"/>
          <w:szCs w:val="20"/>
        </w:rPr>
        <w:t xml:space="preserve"> R</w:t>
      </w:r>
      <w:r w:rsidR="00F53C0F" w:rsidRPr="00276B7E">
        <w:rPr>
          <w:rFonts w:ascii="Arial" w:hAnsi="Arial" w:cs="Arial"/>
          <w:sz w:val="20"/>
          <w:szCs w:val="20"/>
        </w:rPr>
        <w:t>.</w:t>
      </w:r>
      <w:r w:rsidRPr="00276B7E">
        <w:rPr>
          <w:rFonts w:ascii="Arial" w:hAnsi="Arial" w:cs="Arial"/>
          <w:sz w:val="20"/>
          <w:szCs w:val="20"/>
        </w:rPr>
        <w:t>, Gasser</w:t>
      </w:r>
      <w:r w:rsidR="00F53C0F" w:rsidRPr="00276B7E">
        <w:rPr>
          <w:rFonts w:ascii="Arial" w:hAnsi="Arial" w:cs="Arial"/>
          <w:sz w:val="20"/>
          <w:szCs w:val="20"/>
        </w:rPr>
        <w:t>,</w:t>
      </w:r>
      <w:r w:rsidRPr="00276B7E">
        <w:rPr>
          <w:rFonts w:ascii="Arial" w:hAnsi="Arial" w:cs="Arial"/>
          <w:sz w:val="20"/>
          <w:szCs w:val="20"/>
        </w:rPr>
        <w:t xml:space="preserve"> M</w:t>
      </w:r>
      <w:r w:rsidR="00F53C0F" w:rsidRPr="00276B7E">
        <w:rPr>
          <w:rFonts w:ascii="Arial" w:hAnsi="Arial" w:cs="Arial"/>
          <w:sz w:val="20"/>
          <w:szCs w:val="20"/>
        </w:rPr>
        <w:t>.</w:t>
      </w:r>
      <w:r w:rsidRPr="00276B7E">
        <w:rPr>
          <w:rFonts w:ascii="Arial" w:hAnsi="Arial" w:cs="Arial"/>
          <w:sz w:val="20"/>
          <w:szCs w:val="20"/>
        </w:rPr>
        <w:t>, Buetti</w:t>
      </w:r>
      <w:r w:rsidR="00F53C0F" w:rsidRPr="00276B7E">
        <w:rPr>
          <w:rFonts w:ascii="Arial" w:hAnsi="Arial" w:cs="Arial"/>
          <w:sz w:val="20"/>
          <w:szCs w:val="20"/>
        </w:rPr>
        <w:t>,</w:t>
      </w:r>
      <w:r w:rsidRPr="00276B7E">
        <w:rPr>
          <w:rFonts w:ascii="Arial" w:hAnsi="Arial" w:cs="Arial"/>
          <w:sz w:val="20"/>
          <w:szCs w:val="20"/>
        </w:rPr>
        <w:t xml:space="preserve"> N</w:t>
      </w:r>
      <w:r w:rsidR="00F53C0F" w:rsidRPr="00276B7E">
        <w:rPr>
          <w:rFonts w:ascii="Arial" w:hAnsi="Arial" w:cs="Arial"/>
          <w:sz w:val="20"/>
          <w:szCs w:val="20"/>
        </w:rPr>
        <w:t>.</w:t>
      </w:r>
      <w:r w:rsidRPr="00276B7E">
        <w:rPr>
          <w:rFonts w:ascii="Arial" w:hAnsi="Arial" w:cs="Arial"/>
          <w:sz w:val="20"/>
          <w:szCs w:val="20"/>
        </w:rPr>
        <w:t>, Kronenberg</w:t>
      </w:r>
      <w:r w:rsidR="00F53C0F" w:rsidRPr="00276B7E">
        <w:rPr>
          <w:rFonts w:ascii="Arial" w:hAnsi="Arial" w:cs="Arial"/>
          <w:sz w:val="20"/>
          <w:szCs w:val="20"/>
        </w:rPr>
        <w:t>, A &amp;</w:t>
      </w:r>
      <w:r w:rsidRPr="00276B7E">
        <w:rPr>
          <w:rFonts w:ascii="Arial" w:hAnsi="Arial" w:cs="Arial"/>
          <w:sz w:val="20"/>
          <w:szCs w:val="20"/>
        </w:rPr>
        <w:t xml:space="preserve"> Harbarth</w:t>
      </w:r>
      <w:r w:rsidR="00F53C0F" w:rsidRPr="00276B7E">
        <w:rPr>
          <w:rFonts w:ascii="Arial" w:hAnsi="Arial" w:cs="Arial"/>
          <w:sz w:val="20"/>
          <w:szCs w:val="20"/>
        </w:rPr>
        <w:t>, S (2025)</w:t>
      </w:r>
      <w:r w:rsidRPr="00276B7E">
        <w:rPr>
          <w:rFonts w:ascii="Arial" w:hAnsi="Arial" w:cs="Arial"/>
          <w:sz w:val="20"/>
          <w:szCs w:val="20"/>
        </w:rPr>
        <w:t xml:space="preserve"> Incidence and Resistance Patterns of Citrobacter spp. </w:t>
      </w:r>
      <w:proofErr w:type="gramStart"/>
      <w:r w:rsidRPr="00276B7E">
        <w:rPr>
          <w:rFonts w:ascii="Arial" w:hAnsi="Arial" w:cs="Arial"/>
          <w:sz w:val="20"/>
          <w:szCs w:val="20"/>
        </w:rPr>
        <w:t>in</w:t>
      </w:r>
      <w:proofErr w:type="gramEnd"/>
      <w:r w:rsidRPr="00276B7E">
        <w:rPr>
          <w:rFonts w:ascii="Arial" w:hAnsi="Arial" w:cs="Arial"/>
          <w:sz w:val="20"/>
          <w:szCs w:val="20"/>
        </w:rPr>
        <w:t xml:space="preserve"> Switzerland: A Nationwide, Retrospective Surveillance Study (</w:t>
      </w:r>
      <w:r w:rsidR="00F53C0F" w:rsidRPr="00276B7E">
        <w:rPr>
          <w:rFonts w:ascii="Arial" w:hAnsi="Arial" w:cs="Arial"/>
          <w:sz w:val="20"/>
          <w:szCs w:val="20"/>
        </w:rPr>
        <w:t xml:space="preserve">2010-2022). </w:t>
      </w:r>
      <w:r w:rsidR="00F53C0F" w:rsidRPr="00276B7E">
        <w:rPr>
          <w:rFonts w:ascii="Arial" w:hAnsi="Arial" w:cs="Arial"/>
          <w:i/>
          <w:sz w:val="20"/>
          <w:szCs w:val="20"/>
        </w:rPr>
        <w:t>Microorganisms</w:t>
      </w:r>
      <w:r w:rsidRPr="00276B7E">
        <w:rPr>
          <w:rFonts w:ascii="Arial" w:hAnsi="Arial" w:cs="Arial"/>
          <w:sz w:val="20"/>
          <w:szCs w:val="20"/>
        </w:rPr>
        <w:t xml:space="preserve"> ;13(4</w:t>
      </w:r>
      <w:proofErr w:type="gramStart"/>
      <w:r w:rsidRPr="00276B7E">
        <w:rPr>
          <w:rFonts w:ascii="Arial" w:hAnsi="Arial" w:cs="Arial"/>
          <w:sz w:val="20"/>
          <w:szCs w:val="20"/>
        </w:rPr>
        <w:t>):</w:t>
      </w:r>
      <w:proofErr w:type="gramEnd"/>
      <w:r w:rsidRPr="00276B7E">
        <w:rPr>
          <w:rFonts w:ascii="Arial" w:hAnsi="Arial" w:cs="Arial"/>
          <w:sz w:val="20"/>
          <w:szCs w:val="20"/>
        </w:rPr>
        <w:t xml:space="preserve">786. </w:t>
      </w:r>
    </w:p>
    <w:p w14:paraId="0662B071"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7.</w:t>
      </w:r>
      <w:r w:rsidRPr="00276B7E">
        <w:rPr>
          <w:rFonts w:ascii="Arial" w:hAnsi="Arial" w:cs="Arial"/>
          <w:sz w:val="20"/>
          <w:szCs w:val="20"/>
        </w:rPr>
        <w:tab/>
        <w:t>Aguirre-Sánchez</w:t>
      </w:r>
      <w:r w:rsidR="00EC311E" w:rsidRPr="00276B7E">
        <w:rPr>
          <w:rFonts w:ascii="Arial" w:hAnsi="Arial" w:cs="Arial"/>
          <w:sz w:val="20"/>
          <w:szCs w:val="20"/>
        </w:rPr>
        <w:t>,</w:t>
      </w:r>
      <w:r w:rsidRPr="00276B7E">
        <w:rPr>
          <w:rFonts w:ascii="Arial" w:hAnsi="Arial" w:cs="Arial"/>
          <w:sz w:val="20"/>
          <w:szCs w:val="20"/>
        </w:rPr>
        <w:t xml:space="preserve"> JR</w:t>
      </w:r>
      <w:r w:rsidR="00EC311E" w:rsidRPr="00276B7E">
        <w:rPr>
          <w:rFonts w:ascii="Arial" w:hAnsi="Arial" w:cs="Arial"/>
          <w:sz w:val="20"/>
          <w:szCs w:val="20"/>
        </w:rPr>
        <w:t>.</w:t>
      </w:r>
      <w:r w:rsidRPr="00276B7E">
        <w:rPr>
          <w:rFonts w:ascii="Arial" w:hAnsi="Arial" w:cs="Arial"/>
          <w:sz w:val="20"/>
          <w:szCs w:val="20"/>
        </w:rPr>
        <w:t>, Quiñones</w:t>
      </w:r>
      <w:r w:rsidR="00EC311E" w:rsidRPr="00276B7E">
        <w:rPr>
          <w:rFonts w:ascii="Arial" w:hAnsi="Arial" w:cs="Arial"/>
          <w:sz w:val="20"/>
          <w:szCs w:val="20"/>
        </w:rPr>
        <w:t>,</w:t>
      </w:r>
      <w:r w:rsidRPr="00276B7E">
        <w:rPr>
          <w:rFonts w:ascii="Arial" w:hAnsi="Arial" w:cs="Arial"/>
          <w:sz w:val="20"/>
          <w:szCs w:val="20"/>
        </w:rPr>
        <w:t xml:space="preserve"> B</w:t>
      </w:r>
      <w:r w:rsidR="00EC311E" w:rsidRPr="00276B7E">
        <w:rPr>
          <w:rFonts w:ascii="Arial" w:hAnsi="Arial" w:cs="Arial"/>
          <w:sz w:val="20"/>
          <w:szCs w:val="20"/>
        </w:rPr>
        <w:t>.</w:t>
      </w:r>
      <w:r w:rsidRPr="00276B7E">
        <w:rPr>
          <w:rFonts w:ascii="Arial" w:hAnsi="Arial" w:cs="Arial"/>
          <w:sz w:val="20"/>
          <w:szCs w:val="20"/>
        </w:rPr>
        <w:t>, Ortiz-Muñoz</w:t>
      </w:r>
      <w:r w:rsidR="00EC311E" w:rsidRPr="00276B7E">
        <w:rPr>
          <w:rFonts w:ascii="Arial" w:hAnsi="Arial" w:cs="Arial"/>
          <w:sz w:val="20"/>
          <w:szCs w:val="20"/>
        </w:rPr>
        <w:t>,</w:t>
      </w:r>
      <w:r w:rsidRPr="00276B7E">
        <w:rPr>
          <w:rFonts w:ascii="Arial" w:hAnsi="Arial" w:cs="Arial"/>
          <w:sz w:val="20"/>
          <w:szCs w:val="20"/>
        </w:rPr>
        <w:t xml:space="preserve"> JA</w:t>
      </w:r>
      <w:r w:rsidR="00EC311E" w:rsidRPr="00276B7E">
        <w:rPr>
          <w:rFonts w:ascii="Arial" w:hAnsi="Arial" w:cs="Arial"/>
          <w:sz w:val="20"/>
          <w:szCs w:val="20"/>
        </w:rPr>
        <w:t>.</w:t>
      </w:r>
      <w:r w:rsidRPr="00276B7E">
        <w:rPr>
          <w:rFonts w:ascii="Arial" w:hAnsi="Arial" w:cs="Arial"/>
          <w:sz w:val="20"/>
          <w:szCs w:val="20"/>
        </w:rPr>
        <w:t>, Prieto-Alvarado</w:t>
      </w:r>
      <w:r w:rsidR="00EC311E" w:rsidRPr="00276B7E">
        <w:rPr>
          <w:rFonts w:ascii="Arial" w:hAnsi="Arial" w:cs="Arial"/>
          <w:sz w:val="20"/>
          <w:szCs w:val="20"/>
        </w:rPr>
        <w:t>,</w:t>
      </w:r>
      <w:r w:rsidRPr="00276B7E">
        <w:rPr>
          <w:rFonts w:ascii="Arial" w:hAnsi="Arial" w:cs="Arial"/>
          <w:sz w:val="20"/>
          <w:szCs w:val="20"/>
        </w:rPr>
        <w:t xml:space="preserve"> R</w:t>
      </w:r>
      <w:r w:rsidR="00EC311E" w:rsidRPr="00276B7E">
        <w:rPr>
          <w:rFonts w:ascii="Arial" w:hAnsi="Arial" w:cs="Arial"/>
          <w:sz w:val="20"/>
          <w:szCs w:val="20"/>
        </w:rPr>
        <w:t>.</w:t>
      </w:r>
      <w:r w:rsidRPr="00276B7E">
        <w:rPr>
          <w:rFonts w:ascii="Arial" w:hAnsi="Arial" w:cs="Arial"/>
          <w:sz w:val="20"/>
          <w:szCs w:val="20"/>
        </w:rPr>
        <w:t>, VegaLópez</w:t>
      </w:r>
      <w:r w:rsidR="00EC311E" w:rsidRPr="00276B7E">
        <w:rPr>
          <w:rFonts w:ascii="Arial" w:hAnsi="Arial" w:cs="Arial"/>
          <w:sz w:val="20"/>
          <w:szCs w:val="20"/>
        </w:rPr>
        <w:t>,</w:t>
      </w:r>
      <w:r w:rsidRPr="00276B7E">
        <w:rPr>
          <w:rFonts w:ascii="Arial" w:hAnsi="Arial" w:cs="Arial"/>
          <w:sz w:val="20"/>
          <w:szCs w:val="20"/>
        </w:rPr>
        <w:t xml:space="preserve"> IF</w:t>
      </w:r>
      <w:r w:rsidR="00EC311E" w:rsidRPr="00276B7E">
        <w:rPr>
          <w:rFonts w:ascii="Arial" w:hAnsi="Arial" w:cs="Arial"/>
          <w:sz w:val="20"/>
          <w:szCs w:val="20"/>
        </w:rPr>
        <w:t>.</w:t>
      </w:r>
      <w:r w:rsidRPr="00276B7E">
        <w:rPr>
          <w:rFonts w:ascii="Arial" w:hAnsi="Arial" w:cs="Arial"/>
          <w:sz w:val="20"/>
          <w:szCs w:val="20"/>
        </w:rPr>
        <w:t>, Martınez-Urtaza</w:t>
      </w:r>
      <w:r w:rsidR="00EC311E" w:rsidRPr="00276B7E">
        <w:rPr>
          <w:rFonts w:ascii="Arial" w:hAnsi="Arial" w:cs="Arial"/>
          <w:sz w:val="20"/>
          <w:szCs w:val="20"/>
        </w:rPr>
        <w:t>,</w:t>
      </w:r>
      <w:r w:rsidRPr="00276B7E">
        <w:rPr>
          <w:rFonts w:ascii="Arial" w:hAnsi="Arial" w:cs="Arial"/>
          <w:sz w:val="20"/>
          <w:szCs w:val="20"/>
        </w:rPr>
        <w:t xml:space="preserve"> J et al. </w:t>
      </w:r>
      <w:r w:rsidR="00EC311E" w:rsidRPr="00276B7E">
        <w:rPr>
          <w:rFonts w:ascii="Arial" w:hAnsi="Arial" w:cs="Arial"/>
          <w:sz w:val="20"/>
          <w:szCs w:val="20"/>
        </w:rPr>
        <w:t xml:space="preserve">(2023). </w:t>
      </w:r>
      <w:r w:rsidRPr="00276B7E">
        <w:rPr>
          <w:rFonts w:ascii="Arial" w:hAnsi="Arial" w:cs="Arial"/>
          <w:sz w:val="20"/>
          <w:szCs w:val="20"/>
        </w:rPr>
        <w:t xml:space="preserve">Comparative genomic analyses of ́ virulence and antimicrobial resistance in Citrobacter werkmanii, an emerging opportunistic pathogen. </w:t>
      </w:r>
      <w:r w:rsidRPr="00276B7E">
        <w:rPr>
          <w:rFonts w:ascii="Arial" w:hAnsi="Arial" w:cs="Arial"/>
          <w:i/>
          <w:sz w:val="20"/>
          <w:szCs w:val="20"/>
        </w:rPr>
        <w:t>M</w:t>
      </w:r>
      <w:r w:rsidR="00EC311E" w:rsidRPr="00276B7E">
        <w:rPr>
          <w:rFonts w:ascii="Arial" w:hAnsi="Arial" w:cs="Arial"/>
          <w:i/>
          <w:sz w:val="20"/>
          <w:szCs w:val="20"/>
        </w:rPr>
        <w:t>icroorganisms</w:t>
      </w:r>
      <w:r w:rsidR="00EC311E" w:rsidRPr="00276B7E">
        <w:rPr>
          <w:rFonts w:ascii="Arial" w:hAnsi="Arial" w:cs="Arial"/>
          <w:sz w:val="20"/>
          <w:szCs w:val="20"/>
        </w:rPr>
        <w:t>,</w:t>
      </w:r>
      <w:r w:rsidR="00B83755" w:rsidRPr="00276B7E">
        <w:rPr>
          <w:rFonts w:ascii="Arial" w:hAnsi="Arial" w:cs="Arial"/>
          <w:sz w:val="20"/>
          <w:szCs w:val="20"/>
        </w:rPr>
        <w:t xml:space="preserve"> 11, 1–17.</w:t>
      </w:r>
    </w:p>
    <w:p w14:paraId="1317A51D"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8.</w:t>
      </w:r>
      <w:r w:rsidRPr="00276B7E">
        <w:rPr>
          <w:rFonts w:ascii="Arial" w:hAnsi="Arial" w:cs="Arial"/>
          <w:sz w:val="20"/>
          <w:szCs w:val="20"/>
        </w:rPr>
        <w:tab/>
        <w:t>Heljanko</w:t>
      </w:r>
      <w:r w:rsidR="00EC311E" w:rsidRPr="00276B7E">
        <w:rPr>
          <w:rFonts w:ascii="Arial" w:hAnsi="Arial" w:cs="Arial"/>
          <w:sz w:val="20"/>
          <w:szCs w:val="20"/>
        </w:rPr>
        <w:t>,</w:t>
      </w:r>
      <w:r w:rsidRPr="00276B7E">
        <w:rPr>
          <w:rFonts w:ascii="Arial" w:hAnsi="Arial" w:cs="Arial"/>
          <w:sz w:val="20"/>
          <w:szCs w:val="20"/>
        </w:rPr>
        <w:t xml:space="preserve"> V</w:t>
      </w:r>
      <w:r w:rsidR="00EC311E" w:rsidRPr="00276B7E">
        <w:rPr>
          <w:rFonts w:ascii="Arial" w:hAnsi="Arial" w:cs="Arial"/>
          <w:sz w:val="20"/>
          <w:szCs w:val="20"/>
        </w:rPr>
        <w:t>.</w:t>
      </w:r>
      <w:r w:rsidRPr="00276B7E">
        <w:rPr>
          <w:rFonts w:ascii="Arial" w:hAnsi="Arial" w:cs="Arial"/>
          <w:sz w:val="20"/>
          <w:szCs w:val="20"/>
        </w:rPr>
        <w:t>, Johansson</w:t>
      </w:r>
      <w:r w:rsidR="00EC311E" w:rsidRPr="00276B7E">
        <w:rPr>
          <w:rFonts w:ascii="Arial" w:hAnsi="Arial" w:cs="Arial"/>
          <w:sz w:val="20"/>
          <w:szCs w:val="20"/>
        </w:rPr>
        <w:t>,</w:t>
      </w:r>
      <w:r w:rsidRPr="00276B7E">
        <w:rPr>
          <w:rFonts w:ascii="Arial" w:hAnsi="Arial" w:cs="Arial"/>
          <w:sz w:val="20"/>
          <w:szCs w:val="20"/>
        </w:rPr>
        <w:t xml:space="preserve"> V</w:t>
      </w:r>
      <w:r w:rsidR="00EC311E" w:rsidRPr="00276B7E">
        <w:rPr>
          <w:rFonts w:ascii="Arial" w:hAnsi="Arial" w:cs="Arial"/>
          <w:sz w:val="20"/>
          <w:szCs w:val="20"/>
        </w:rPr>
        <w:t>.</w:t>
      </w:r>
      <w:r w:rsidRPr="00276B7E">
        <w:rPr>
          <w:rFonts w:ascii="Arial" w:hAnsi="Arial" w:cs="Arial"/>
          <w:sz w:val="20"/>
          <w:szCs w:val="20"/>
        </w:rPr>
        <w:t>, Räisänen</w:t>
      </w:r>
      <w:r w:rsidR="00EC311E" w:rsidRPr="00276B7E">
        <w:rPr>
          <w:rFonts w:ascii="Arial" w:hAnsi="Arial" w:cs="Arial"/>
          <w:sz w:val="20"/>
          <w:szCs w:val="20"/>
        </w:rPr>
        <w:t>,</w:t>
      </w:r>
      <w:r w:rsidRPr="00276B7E">
        <w:rPr>
          <w:rFonts w:ascii="Arial" w:hAnsi="Arial" w:cs="Arial"/>
          <w:sz w:val="20"/>
          <w:szCs w:val="20"/>
        </w:rPr>
        <w:t xml:space="preserve"> K</w:t>
      </w:r>
      <w:r w:rsidR="00EC311E" w:rsidRPr="00276B7E">
        <w:rPr>
          <w:rFonts w:ascii="Arial" w:hAnsi="Arial" w:cs="Arial"/>
          <w:sz w:val="20"/>
          <w:szCs w:val="20"/>
        </w:rPr>
        <w:t>.</w:t>
      </w:r>
      <w:r w:rsidRPr="00276B7E">
        <w:rPr>
          <w:rFonts w:ascii="Arial" w:hAnsi="Arial" w:cs="Arial"/>
          <w:sz w:val="20"/>
          <w:szCs w:val="20"/>
        </w:rPr>
        <w:t>, Anttila</w:t>
      </w:r>
      <w:r w:rsidR="00EC311E" w:rsidRPr="00276B7E">
        <w:rPr>
          <w:rFonts w:ascii="Arial" w:hAnsi="Arial" w:cs="Arial"/>
          <w:sz w:val="20"/>
          <w:szCs w:val="20"/>
        </w:rPr>
        <w:t>,</w:t>
      </w:r>
      <w:r w:rsidRPr="00276B7E">
        <w:rPr>
          <w:rFonts w:ascii="Arial" w:hAnsi="Arial" w:cs="Arial"/>
          <w:sz w:val="20"/>
          <w:szCs w:val="20"/>
        </w:rPr>
        <w:t xml:space="preserve"> VJ</w:t>
      </w:r>
      <w:r w:rsidR="00EC311E" w:rsidRPr="00276B7E">
        <w:rPr>
          <w:rFonts w:ascii="Arial" w:hAnsi="Arial" w:cs="Arial"/>
          <w:sz w:val="20"/>
          <w:szCs w:val="20"/>
        </w:rPr>
        <w:t>.</w:t>
      </w:r>
      <w:r w:rsidRPr="00276B7E">
        <w:rPr>
          <w:rFonts w:ascii="Arial" w:hAnsi="Arial" w:cs="Arial"/>
          <w:sz w:val="20"/>
          <w:szCs w:val="20"/>
        </w:rPr>
        <w:t>, Lyytikäinen</w:t>
      </w:r>
      <w:r w:rsidR="00EC311E" w:rsidRPr="00276B7E">
        <w:rPr>
          <w:rFonts w:ascii="Arial" w:hAnsi="Arial" w:cs="Arial"/>
          <w:sz w:val="20"/>
          <w:szCs w:val="20"/>
        </w:rPr>
        <w:t>,</w:t>
      </w:r>
      <w:r w:rsidRPr="00276B7E">
        <w:rPr>
          <w:rFonts w:ascii="Arial" w:hAnsi="Arial" w:cs="Arial"/>
          <w:sz w:val="20"/>
          <w:szCs w:val="20"/>
        </w:rPr>
        <w:t xml:space="preserve"> O</w:t>
      </w:r>
      <w:r w:rsidR="00EC311E" w:rsidRPr="00276B7E">
        <w:rPr>
          <w:rFonts w:ascii="Arial" w:hAnsi="Arial" w:cs="Arial"/>
          <w:sz w:val="20"/>
          <w:szCs w:val="20"/>
        </w:rPr>
        <w:t>.</w:t>
      </w:r>
      <w:r w:rsidRPr="00276B7E">
        <w:rPr>
          <w:rFonts w:ascii="Arial" w:hAnsi="Arial" w:cs="Arial"/>
          <w:sz w:val="20"/>
          <w:szCs w:val="20"/>
        </w:rPr>
        <w:t>, Jalava</w:t>
      </w:r>
      <w:r w:rsidR="00EC311E" w:rsidRPr="00276B7E">
        <w:rPr>
          <w:rFonts w:ascii="Arial" w:hAnsi="Arial" w:cs="Arial"/>
          <w:sz w:val="20"/>
          <w:szCs w:val="20"/>
        </w:rPr>
        <w:t>,</w:t>
      </w:r>
      <w:r w:rsidRPr="00276B7E">
        <w:rPr>
          <w:rFonts w:ascii="Arial" w:hAnsi="Arial" w:cs="Arial"/>
          <w:sz w:val="20"/>
          <w:szCs w:val="20"/>
        </w:rPr>
        <w:t xml:space="preserve"> J et al. </w:t>
      </w:r>
      <w:r w:rsidR="00EC311E" w:rsidRPr="00276B7E">
        <w:rPr>
          <w:rFonts w:ascii="Arial" w:hAnsi="Arial" w:cs="Arial"/>
          <w:sz w:val="20"/>
          <w:szCs w:val="20"/>
        </w:rPr>
        <w:t xml:space="preserve">(2023). </w:t>
      </w:r>
      <w:r w:rsidRPr="00276B7E">
        <w:rPr>
          <w:rFonts w:ascii="Arial" w:hAnsi="Arial" w:cs="Arial"/>
          <w:sz w:val="20"/>
          <w:szCs w:val="20"/>
        </w:rPr>
        <w:t>Genomic epidemiology of nosocomial carbapenemase-producing Citrobacter freundii in sewerage systems in the Helsinki metropolitan ar</w:t>
      </w:r>
      <w:r w:rsidR="00EC311E" w:rsidRPr="00276B7E">
        <w:rPr>
          <w:rFonts w:ascii="Arial" w:hAnsi="Arial" w:cs="Arial"/>
          <w:sz w:val="20"/>
          <w:szCs w:val="20"/>
        </w:rPr>
        <w:t xml:space="preserve">ea, Finland. </w:t>
      </w:r>
      <w:r w:rsidR="00FD45B7" w:rsidRPr="00276B7E">
        <w:rPr>
          <w:rFonts w:ascii="Arial" w:hAnsi="Arial" w:cs="Arial"/>
          <w:i/>
          <w:sz w:val="20"/>
          <w:szCs w:val="20"/>
        </w:rPr>
        <w:t>Frontiers in microbiology</w:t>
      </w:r>
      <w:r w:rsidR="00EC311E" w:rsidRPr="00276B7E">
        <w:rPr>
          <w:rFonts w:ascii="Arial" w:hAnsi="Arial" w:cs="Arial"/>
          <w:sz w:val="20"/>
          <w:szCs w:val="20"/>
        </w:rPr>
        <w:t>,</w:t>
      </w:r>
      <w:r w:rsidR="00B83755" w:rsidRPr="00276B7E">
        <w:rPr>
          <w:rFonts w:ascii="Arial" w:hAnsi="Arial" w:cs="Arial"/>
          <w:sz w:val="20"/>
          <w:szCs w:val="20"/>
        </w:rPr>
        <w:t xml:space="preserve"> </w:t>
      </w:r>
      <w:proofErr w:type="gramStart"/>
      <w:r w:rsidR="00B83755" w:rsidRPr="00276B7E">
        <w:rPr>
          <w:rFonts w:ascii="Arial" w:hAnsi="Arial" w:cs="Arial"/>
          <w:sz w:val="20"/>
          <w:szCs w:val="20"/>
        </w:rPr>
        <w:t>14:</w:t>
      </w:r>
      <w:proofErr w:type="gramEnd"/>
      <w:r w:rsidR="00B83755" w:rsidRPr="00276B7E">
        <w:rPr>
          <w:rFonts w:ascii="Arial" w:hAnsi="Arial" w:cs="Arial"/>
          <w:sz w:val="20"/>
          <w:szCs w:val="20"/>
        </w:rPr>
        <w:t>1165751.</w:t>
      </w:r>
    </w:p>
    <w:p w14:paraId="0D25F6A5"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9.</w:t>
      </w:r>
      <w:r w:rsidRPr="00276B7E">
        <w:rPr>
          <w:rFonts w:ascii="Arial" w:hAnsi="Arial" w:cs="Arial"/>
          <w:sz w:val="20"/>
          <w:szCs w:val="20"/>
        </w:rPr>
        <w:tab/>
        <w:t>Pothoven</w:t>
      </w:r>
      <w:r w:rsidR="00EC311E" w:rsidRPr="00276B7E">
        <w:rPr>
          <w:rFonts w:ascii="Arial" w:hAnsi="Arial" w:cs="Arial"/>
          <w:sz w:val="20"/>
          <w:szCs w:val="20"/>
        </w:rPr>
        <w:t>,</w:t>
      </w:r>
      <w:r w:rsidRPr="00276B7E">
        <w:rPr>
          <w:rFonts w:ascii="Arial" w:hAnsi="Arial" w:cs="Arial"/>
          <w:sz w:val="20"/>
          <w:szCs w:val="20"/>
        </w:rPr>
        <w:t xml:space="preserve"> R.</w:t>
      </w:r>
      <w:r w:rsidR="00EC311E" w:rsidRPr="00276B7E">
        <w:rPr>
          <w:rFonts w:ascii="Arial" w:hAnsi="Arial" w:cs="Arial"/>
          <w:sz w:val="20"/>
          <w:szCs w:val="20"/>
        </w:rPr>
        <w:t xml:space="preserve"> (2023).</w:t>
      </w:r>
      <w:r w:rsidRPr="00276B7E">
        <w:rPr>
          <w:rFonts w:ascii="Arial" w:hAnsi="Arial" w:cs="Arial"/>
          <w:sz w:val="20"/>
          <w:szCs w:val="20"/>
        </w:rPr>
        <w:t xml:space="preserve"> Management of urinary tract infections in the era of antimicrobial resistance. </w:t>
      </w:r>
      <w:r w:rsidR="00EC311E" w:rsidRPr="00276B7E">
        <w:rPr>
          <w:rFonts w:ascii="Arial" w:hAnsi="Arial" w:cs="Arial"/>
          <w:i/>
          <w:sz w:val="20"/>
          <w:szCs w:val="20"/>
        </w:rPr>
        <w:t>Drug Target Insights</w:t>
      </w:r>
      <w:r w:rsidR="00EC311E" w:rsidRPr="00276B7E">
        <w:rPr>
          <w:rFonts w:ascii="Arial" w:hAnsi="Arial" w:cs="Arial"/>
          <w:sz w:val="20"/>
          <w:szCs w:val="20"/>
        </w:rPr>
        <w:t xml:space="preserve">., </w:t>
      </w:r>
      <w:proofErr w:type="gramStart"/>
      <w:r w:rsidRPr="00276B7E">
        <w:rPr>
          <w:rFonts w:ascii="Arial" w:hAnsi="Arial" w:cs="Arial"/>
          <w:sz w:val="20"/>
          <w:szCs w:val="20"/>
        </w:rPr>
        <w:t>17:</w:t>
      </w:r>
      <w:proofErr w:type="gramEnd"/>
      <w:r w:rsidRPr="00276B7E">
        <w:rPr>
          <w:rFonts w:ascii="Arial" w:hAnsi="Arial" w:cs="Arial"/>
          <w:sz w:val="20"/>
          <w:szCs w:val="20"/>
        </w:rPr>
        <w:t xml:space="preserve">126-137. </w:t>
      </w:r>
    </w:p>
    <w:p w14:paraId="0473D8C2"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10.</w:t>
      </w:r>
      <w:r w:rsidRPr="00276B7E">
        <w:rPr>
          <w:rFonts w:ascii="Arial" w:hAnsi="Arial" w:cs="Arial"/>
          <w:sz w:val="20"/>
          <w:szCs w:val="20"/>
        </w:rPr>
        <w:tab/>
        <w:t>Chen</w:t>
      </w:r>
      <w:r w:rsidR="00EC311E" w:rsidRPr="00276B7E">
        <w:rPr>
          <w:rFonts w:ascii="Arial" w:hAnsi="Arial" w:cs="Arial"/>
          <w:sz w:val="20"/>
          <w:szCs w:val="20"/>
        </w:rPr>
        <w:t>,</w:t>
      </w:r>
      <w:r w:rsidRPr="00276B7E">
        <w:rPr>
          <w:rFonts w:ascii="Arial" w:hAnsi="Arial" w:cs="Arial"/>
          <w:sz w:val="20"/>
          <w:szCs w:val="20"/>
        </w:rPr>
        <w:t xml:space="preserve"> IC</w:t>
      </w:r>
      <w:r w:rsidR="00EC311E" w:rsidRPr="00276B7E">
        <w:rPr>
          <w:rFonts w:ascii="Arial" w:hAnsi="Arial" w:cs="Arial"/>
          <w:sz w:val="20"/>
          <w:szCs w:val="20"/>
        </w:rPr>
        <w:t>.</w:t>
      </w:r>
      <w:r w:rsidRPr="00276B7E">
        <w:rPr>
          <w:rFonts w:ascii="Arial" w:hAnsi="Arial" w:cs="Arial"/>
          <w:sz w:val="20"/>
          <w:szCs w:val="20"/>
        </w:rPr>
        <w:t>, Hill</w:t>
      </w:r>
      <w:r w:rsidR="00EC311E" w:rsidRPr="00276B7E">
        <w:rPr>
          <w:rFonts w:ascii="Arial" w:hAnsi="Arial" w:cs="Arial"/>
          <w:sz w:val="20"/>
          <w:szCs w:val="20"/>
        </w:rPr>
        <w:t>,</w:t>
      </w:r>
      <w:r w:rsidRPr="00276B7E">
        <w:rPr>
          <w:rFonts w:ascii="Arial" w:hAnsi="Arial" w:cs="Arial"/>
          <w:sz w:val="20"/>
          <w:szCs w:val="20"/>
        </w:rPr>
        <w:t xml:space="preserve"> JK</w:t>
      </w:r>
      <w:r w:rsidR="00EC311E" w:rsidRPr="00276B7E">
        <w:rPr>
          <w:rFonts w:ascii="Arial" w:hAnsi="Arial" w:cs="Arial"/>
          <w:sz w:val="20"/>
          <w:szCs w:val="20"/>
        </w:rPr>
        <w:t>.</w:t>
      </w:r>
      <w:r w:rsidRPr="00276B7E">
        <w:rPr>
          <w:rFonts w:ascii="Arial" w:hAnsi="Arial" w:cs="Arial"/>
          <w:sz w:val="20"/>
          <w:szCs w:val="20"/>
        </w:rPr>
        <w:t>, Ohlemüller</w:t>
      </w:r>
      <w:r w:rsidR="00EC311E" w:rsidRPr="00276B7E">
        <w:rPr>
          <w:rFonts w:ascii="Arial" w:hAnsi="Arial" w:cs="Arial"/>
          <w:sz w:val="20"/>
          <w:szCs w:val="20"/>
        </w:rPr>
        <w:t>,</w:t>
      </w:r>
      <w:r w:rsidRPr="00276B7E">
        <w:rPr>
          <w:rFonts w:ascii="Arial" w:hAnsi="Arial" w:cs="Arial"/>
          <w:sz w:val="20"/>
          <w:szCs w:val="20"/>
        </w:rPr>
        <w:t xml:space="preserve"> R</w:t>
      </w:r>
      <w:r w:rsidR="00EC311E" w:rsidRPr="00276B7E">
        <w:rPr>
          <w:rFonts w:ascii="Arial" w:hAnsi="Arial" w:cs="Arial"/>
          <w:sz w:val="20"/>
          <w:szCs w:val="20"/>
        </w:rPr>
        <w:t>.</w:t>
      </w:r>
      <w:r w:rsidRPr="00276B7E">
        <w:rPr>
          <w:rFonts w:ascii="Arial" w:hAnsi="Arial" w:cs="Arial"/>
          <w:sz w:val="20"/>
          <w:szCs w:val="20"/>
        </w:rPr>
        <w:t>, Roy</w:t>
      </w:r>
      <w:r w:rsidR="00EC311E" w:rsidRPr="00276B7E">
        <w:rPr>
          <w:rFonts w:ascii="Arial" w:hAnsi="Arial" w:cs="Arial"/>
          <w:sz w:val="20"/>
          <w:szCs w:val="20"/>
        </w:rPr>
        <w:t>, DB &amp;</w:t>
      </w:r>
      <w:r w:rsidRPr="00276B7E">
        <w:rPr>
          <w:rFonts w:ascii="Arial" w:hAnsi="Arial" w:cs="Arial"/>
          <w:sz w:val="20"/>
          <w:szCs w:val="20"/>
        </w:rPr>
        <w:t xml:space="preserve"> Thomas</w:t>
      </w:r>
      <w:r w:rsidR="00EC311E" w:rsidRPr="00276B7E">
        <w:rPr>
          <w:rFonts w:ascii="Arial" w:hAnsi="Arial" w:cs="Arial"/>
          <w:sz w:val="20"/>
          <w:szCs w:val="20"/>
        </w:rPr>
        <w:t>,</w:t>
      </w:r>
      <w:r w:rsidRPr="00276B7E">
        <w:rPr>
          <w:rFonts w:ascii="Arial" w:hAnsi="Arial" w:cs="Arial"/>
          <w:sz w:val="20"/>
          <w:szCs w:val="20"/>
        </w:rPr>
        <w:t xml:space="preserve"> CD.</w:t>
      </w:r>
      <w:r w:rsidR="00EC311E" w:rsidRPr="00276B7E">
        <w:rPr>
          <w:rFonts w:ascii="Arial" w:hAnsi="Arial" w:cs="Arial"/>
          <w:sz w:val="20"/>
          <w:szCs w:val="20"/>
        </w:rPr>
        <w:t xml:space="preserve"> (2011).</w:t>
      </w:r>
      <w:r w:rsidRPr="00276B7E">
        <w:rPr>
          <w:rFonts w:ascii="Arial" w:hAnsi="Arial" w:cs="Arial"/>
          <w:sz w:val="20"/>
          <w:szCs w:val="20"/>
        </w:rPr>
        <w:t xml:space="preserve"> Rapid range shifts of species associated with high levels of climate warming.</w:t>
      </w:r>
      <w:r w:rsidR="00EC311E" w:rsidRPr="00276B7E">
        <w:rPr>
          <w:rFonts w:ascii="Arial" w:hAnsi="Arial" w:cs="Arial"/>
          <w:sz w:val="20"/>
          <w:szCs w:val="20"/>
        </w:rPr>
        <w:t xml:space="preserve"> </w:t>
      </w:r>
      <w:r w:rsidR="00EC311E" w:rsidRPr="00276B7E">
        <w:rPr>
          <w:rFonts w:ascii="Arial" w:hAnsi="Arial" w:cs="Arial"/>
          <w:i/>
          <w:sz w:val="20"/>
          <w:szCs w:val="20"/>
        </w:rPr>
        <w:t>Science</w:t>
      </w:r>
      <w:r w:rsidR="00EC311E" w:rsidRPr="00276B7E">
        <w:rPr>
          <w:rFonts w:ascii="Arial" w:hAnsi="Arial" w:cs="Arial"/>
          <w:sz w:val="20"/>
          <w:szCs w:val="20"/>
        </w:rPr>
        <w:t>,</w:t>
      </w:r>
      <w:r w:rsidR="00B83755" w:rsidRPr="00276B7E">
        <w:rPr>
          <w:rFonts w:ascii="Arial" w:hAnsi="Arial" w:cs="Arial"/>
          <w:sz w:val="20"/>
          <w:szCs w:val="20"/>
        </w:rPr>
        <w:t xml:space="preserve"> 333, 1024-1026.</w:t>
      </w:r>
    </w:p>
    <w:p w14:paraId="6B4F4285"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11.</w:t>
      </w:r>
      <w:r w:rsidRPr="00276B7E">
        <w:rPr>
          <w:rFonts w:ascii="Arial" w:hAnsi="Arial" w:cs="Arial"/>
          <w:sz w:val="20"/>
          <w:szCs w:val="20"/>
        </w:rPr>
        <w:tab/>
        <w:t>El-kholy</w:t>
      </w:r>
      <w:r w:rsidR="00EC311E" w:rsidRPr="00276B7E">
        <w:rPr>
          <w:rFonts w:ascii="Arial" w:hAnsi="Arial" w:cs="Arial"/>
          <w:sz w:val="20"/>
          <w:szCs w:val="20"/>
        </w:rPr>
        <w:t>,</w:t>
      </w:r>
      <w:r w:rsidRPr="00276B7E">
        <w:rPr>
          <w:rFonts w:ascii="Arial" w:hAnsi="Arial" w:cs="Arial"/>
          <w:sz w:val="20"/>
          <w:szCs w:val="20"/>
        </w:rPr>
        <w:t xml:space="preserve"> AT</w:t>
      </w:r>
      <w:r w:rsidR="00EC311E" w:rsidRPr="00276B7E">
        <w:rPr>
          <w:rFonts w:ascii="Arial" w:hAnsi="Arial" w:cs="Arial"/>
          <w:sz w:val="20"/>
          <w:szCs w:val="20"/>
        </w:rPr>
        <w:t>.</w:t>
      </w:r>
      <w:r w:rsidRPr="00276B7E">
        <w:rPr>
          <w:rFonts w:ascii="Arial" w:hAnsi="Arial" w:cs="Arial"/>
          <w:sz w:val="20"/>
          <w:szCs w:val="20"/>
        </w:rPr>
        <w:t>, El-Kholy</w:t>
      </w:r>
      <w:r w:rsidR="00EC311E" w:rsidRPr="00276B7E">
        <w:rPr>
          <w:rFonts w:ascii="Arial" w:hAnsi="Arial" w:cs="Arial"/>
          <w:sz w:val="20"/>
          <w:szCs w:val="20"/>
        </w:rPr>
        <w:t>,</w:t>
      </w:r>
      <w:r w:rsidRPr="00276B7E">
        <w:rPr>
          <w:rFonts w:ascii="Arial" w:hAnsi="Arial" w:cs="Arial"/>
          <w:sz w:val="20"/>
          <w:szCs w:val="20"/>
        </w:rPr>
        <w:t xml:space="preserve"> MA</w:t>
      </w:r>
      <w:r w:rsidR="00EC311E" w:rsidRPr="00276B7E">
        <w:rPr>
          <w:rFonts w:ascii="Arial" w:hAnsi="Arial" w:cs="Arial"/>
          <w:sz w:val="20"/>
          <w:szCs w:val="20"/>
        </w:rPr>
        <w:t>.</w:t>
      </w:r>
      <w:r w:rsidRPr="00276B7E">
        <w:rPr>
          <w:rFonts w:ascii="Arial" w:hAnsi="Arial" w:cs="Arial"/>
          <w:sz w:val="20"/>
          <w:szCs w:val="20"/>
        </w:rPr>
        <w:t>, Omar</w:t>
      </w:r>
      <w:r w:rsidR="00EC311E" w:rsidRPr="00276B7E">
        <w:rPr>
          <w:rFonts w:ascii="Arial" w:hAnsi="Arial" w:cs="Arial"/>
          <w:sz w:val="20"/>
          <w:szCs w:val="20"/>
        </w:rPr>
        <w:t>,</w:t>
      </w:r>
      <w:r w:rsidRPr="00276B7E">
        <w:rPr>
          <w:rFonts w:ascii="Arial" w:hAnsi="Arial" w:cs="Arial"/>
          <w:sz w:val="20"/>
          <w:szCs w:val="20"/>
        </w:rPr>
        <w:t xml:space="preserve"> H. et al. </w:t>
      </w:r>
      <w:r w:rsidR="00EC311E" w:rsidRPr="00276B7E">
        <w:rPr>
          <w:rFonts w:ascii="Arial" w:hAnsi="Arial" w:cs="Arial"/>
          <w:sz w:val="20"/>
          <w:szCs w:val="20"/>
        </w:rPr>
        <w:t xml:space="preserve">(2024). </w:t>
      </w:r>
      <w:r w:rsidRPr="00276B7E">
        <w:rPr>
          <w:rFonts w:ascii="Arial" w:hAnsi="Arial" w:cs="Arial"/>
          <w:sz w:val="20"/>
          <w:szCs w:val="20"/>
        </w:rPr>
        <w:t xml:space="preserve">Coexistence de facteurs de résistance aux antibiotiques et de virulence chez des isolats cliniques de Klebsiella pneumoniae résistants aux carbapénèmes d'Alexandrie, </w:t>
      </w:r>
      <w:r w:rsidR="00B83755" w:rsidRPr="00276B7E">
        <w:rPr>
          <w:rFonts w:ascii="Arial" w:hAnsi="Arial" w:cs="Arial"/>
          <w:sz w:val="20"/>
          <w:szCs w:val="20"/>
        </w:rPr>
        <w:t>en Égypt</w:t>
      </w:r>
      <w:r w:rsidR="00EC311E" w:rsidRPr="00276B7E">
        <w:rPr>
          <w:rFonts w:ascii="Arial" w:hAnsi="Arial" w:cs="Arial"/>
          <w:sz w:val="20"/>
          <w:szCs w:val="20"/>
        </w:rPr>
        <w:t xml:space="preserve">e. </w:t>
      </w:r>
      <w:r w:rsidR="00FD45B7" w:rsidRPr="00276B7E">
        <w:rPr>
          <w:rFonts w:ascii="Arial" w:hAnsi="Arial" w:cs="Arial"/>
          <w:i/>
          <w:sz w:val="20"/>
          <w:szCs w:val="20"/>
        </w:rPr>
        <w:t>BMC Microbiology</w:t>
      </w:r>
      <w:r w:rsidR="00B83755" w:rsidRPr="00276B7E">
        <w:rPr>
          <w:rFonts w:ascii="Arial" w:hAnsi="Arial" w:cs="Arial"/>
          <w:sz w:val="20"/>
          <w:szCs w:val="20"/>
        </w:rPr>
        <w:t>.</w:t>
      </w:r>
    </w:p>
    <w:p w14:paraId="5AB7E36C"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lastRenderedPageBreak/>
        <w:t>12.</w:t>
      </w:r>
      <w:r w:rsidRPr="00276B7E">
        <w:rPr>
          <w:rFonts w:ascii="Arial" w:hAnsi="Arial" w:cs="Arial"/>
          <w:sz w:val="20"/>
          <w:szCs w:val="20"/>
        </w:rPr>
        <w:tab/>
        <w:t>Babiker</w:t>
      </w:r>
      <w:r w:rsidR="00EC311E" w:rsidRPr="00276B7E">
        <w:rPr>
          <w:rFonts w:ascii="Arial" w:hAnsi="Arial" w:cs="Arial"/>
          <w:sz w:val="20"/>
          <w:szCs w:val="20"/>
        </w:rPr>
        <w:t>,</w:t>
      </w:r>
      <w:r w:rsidRPr="00276B7E">
        <w:rPr>
          <w:rFonts w:ascii="Arial" w:hAnsi="Arial" w:cs="Arial"/>
          <w:sz w:val="20"/>
          <w:szCs w:val="20"/>
        </w:rPr>
        <w:t xml:space="preserve"> A</w:t>
      </w:r>
      <w:r w:rsidR="00EC311E" w:rsidRPr="00276B7E">
        <w:rPr>
          <w:rFonts w:ascii="Arial" w:hAnsi="Arial" w:cs="Arial"/>
          <w:sz w:val="20"/>
          <w:szCs w:val="20"/>
        </w:rPr>
        <w:t>.</w:t>
      </w:r>
      <w:r w:rsidRPr="00276B7E">
        <w:rPr>
          <w:rFonts w:ascii="Arial" w:hAnsi="Arial" w:cs="Arial"/>
          <w:sz w:val="20"/>
          <w:szCs w:val="20"/>
        </w:rPr>
        <w:t>, Evans</w:t>
      </w:r>
      <w:r w:rsidR="00EC311E" w:rsidRPr="00276B7E">
        <w:rPr>
          <w:rFonts w:ascii="Arial" w:hAnsi="Arial" w:cs="Arial"/>
          <w:sz w:val="20"/>
          <w:szCs w:val="20"/>
        </w:rPr>
        <w:t>,</w:t>
      </w:r>
      <w:r w:rsidRPr="00276B7E">
        <w:rPr>
          <w:rFonts w:ascii="Arial" w:hAnsi="Arial" w:cs="Arial"/>
          <w:sz w:val="20"/>
          <w:szCs w:val="20"/>
        </w:rPr>
        <w:t xml:space="preserve"> DR</w:t>
      </w:r>
      <w:r w:rsidR="00EC311E" w:rsidRPr="00276B7E">
        <w:rPr>
          <w:rFonts w:ascii="Arial" w:hAnsi="Arial" w:cs="Arial"/>
          <w:sz w:val="20"/>
          <w:szCs w:val="20"/>
        </w:rPr>
        <w:t>.</w:t>
      </w:r>
      <w:r w:rsidRPr="00276B7E">
        <w:rPr>
          <w:rFonts w:ascii="Arial" w:hAnsi="Arial" w:cs="Arial"/>
          <w:sz w:val="20"/>
          <w:szCs w:val="20"/>
        </w:rPr>
        <w:t>, Griffith</w:t>
      </w:r>
      <w:r w:rsidR="00EC311E" w:rsidRPr="00276B7E">
        <w:rPr>
          <w:rFonts w:ascii="Arial" w:hAnsi="Arial" w:cs="Arial"/>
          <w:sz w:val="20"/>
          <w:szCs w:val="20"/>
        </w:rPr>
        <w:t>,</w:t>
      </w:r>
      <w:r w:rsidRPr="00276B7E">
        <w:rPr>
          <w:rFonts w:ascii="Arial" w:hAnsi="Arial" w:cs="Arial"/>
          <w:sz w:val="20"/>
          <w:szCs w:val="20"/>
        </w:rPr>
        <w:t xml:space="preserve"> MP</w:t>
      </w:r>
      <w:r w:rsidR="00EC311E" w:rsidRPr="00276B7E">
        <w:rPr>
          <w:rFonts w:ascii="Arial" w:hAnsi="Arial" w:cs="Arial"/>
          <w:sz w:val="20"/>
          <w:szCs w:val="20"/>
        </w:rPr>
        <w:t>.</w:t>
      </w:r>
      <w:r w:rsidRPr="00276B7E">
        <w:rPr>
          <w:rFonts w:ascii="Arial" w:hAnsi="Arial" w:cs="Arial"/>
          <w:sz w:val="20"/>
          <w:szCs w:val="20"/>
        </w:rPr>
        <w:t>, McElheny</w:t>
      </w:r>
      <w:r w:rsidR="00EC311E" w:rsidRPr="00276B7E">
        <w:rPr>
          <w:rFonts w:ascii="Arial" w:hAnsi="Arial" w:cs="Arial"/>
          <w:sz w:val="20"/>
          <w:szCs w:val="20"/>
        </w:rPr>
        <w:t>,</w:t>
      </w:r>
      <w:r w:rsidRPr="00276B7E">
        <w:rPr>
          <w:rFonts w:ascii="Arial" w:hAnsi="Arial" w:cs="Arial"/>
          <w:sz w:val="20"/>
          <w:szCs w:val="20"/>
        </w:rPr>
        <w:t xml:space="preserve"> CL</w:t>
      </w:r>
      <w:r w:rsidR="00EC311E" w:rsidRPr="00276B7E">
        <w:rPr>
          <w:rFonts w:ascii="Arial" w:hAnsi="Arial" w:cs="Arial"/>
          <w:sz w:val="20"/>
          <w:szCs w:val="20"/>
        </w:rPr>
        <w:t>.</w:t>
      </w:r>
      <w:r w:rsidRPr="00276B7E">
        <w:rPr>
          <w:rFonts w:ascii="Arial" w:hAnsi="Arial" w:cs="Arial"/>
          <w:sz w:val="20"/>
          <w:szCs w:val="20"/>
        </w:rPr>
        <w:t>, Hassan</w:t>
      </w:r>
      <w:r w:rsidR="00EC311E" w:rsidRPr="00276B7E">
        <w:rPr>
          <w:rFonts w:ascii="Arial" w:hAnsi="Arial" w:cs="Arial"/>
          <w:sz w:val="20"/>
          <w:szCs w:val="20"/>
        </w:rPr>
        <w:t>,</w:t>
      </w:r>
      <w:r w:rsidRPr="00276B7E">
        <w:rPr>
          <w:rFonts w:ascii="Arial" w:hAnsi="Arial" w:cs="Arial"/>
          <w:sz w:val="20"/>
          <w:szCs w:val="20"/>
        </w:rPr>
        <w:t xml:space="preserve"> M</w:t>
      </w:r>
      <w:r w:rsidR="00EC311E" w:rsidRPr="00276B7E">
        <w:rPr>
          <w:rFonts w:ascii="Arial" w:hAnsi="Arial" w:cs="Arial"/>
          <w:sz w:val="20"/>
          <w:szCs w:val="20"/>
        </w:rPr>
        <w:t>.</w:t>
      </w:r>
      <w:r w:rsidRPr="00276B7E">
        <w:rPr>
          <w:rFonts w:ascii="Arial" w:hAnsi="Arial" w:cs="Arial"/>
          <w:sz w:val="20"/>
          <w:szCs w:val="20"/>
        </w:rPr>
        <w:t>, Clarke</w:t>
      </w:r>
      <w:r w:rsidR="00EC311E" w:rsidRPr="00276B7E">
        <w:rPr>
          <w:rFonts w:ascii="Arial" w:hAnsi="Arial" w:cs="Arial"/>
          <w:sz w:val="20"/>
          <w:szCs w:val="20"/>
        </w:rPr>
        <w:t>,</w:t>
      </w:r>
      <w:r w:rsidRPr="00276B7E">
        <w:rPr>
          <w:rFonts w:ascii="Arial" w:hAnsi="Arial" w:cs="Arial"/>
          <w:sz w:val="20"/>
          <w:szCs w:val="20"/>
        </w:rPr>
        <w:t xml:space="preserve"> LG et al. </w:t>
      </w:r>
      <w:r w:rsidR="00EC311E" w:rsidRPr="00276B7E">
        <w:rPr>
          <w:rFonts w:ascii="Arial" w:hAnsi="Arial" w:cs="Arial"/>
          <w:sz w:val="20"/>
          <w:szCs w:val="20"/>
        </w:rPr>
        <w:t xml:space="preserve">(2020). </w:t>
      </w:r>
      <w:r w:rsidRPr="00276B7E">
        <w:rPr>
          <w:rFonts w:ascii="Arial" w:hAnsi="Arial" w:cs="Arial"/>
          <w:sz w:val="20"/>
          <w:szCs w:val="20"/>
        </w:rPr>
        <w:t xml:space="preserve">Clinical and genomic epidemiology of carbapenem- nonsusceptible </w:t>
      </w:r>
      <w:r w:rsidRPr="00276B7E">
        <w:rPr>
          <w:rFonts w:ascii="Arial" w:hAnsi="Arial" w:cs="Arial"/>
          <w:i/>
          <w:sz w:val="20"/>
          <w:szCs w:val="20"/>
        </w:rPr>
        <w:t>Citrobacter</w:t>
      </w:r>
      <w:r w:rsidRPr="00276B7E">
        <w:rPr>
          <w:rFonts w:ascii="Arial" w:hAnsi="Arial" w:cs="Arial"/>
          <w:sz w:val="20"/>
          <w:szCs w:val="20"/>
        </w:rPr>
        <w:t xml:space="preserve"> </w:t>
      </w:r>
      <w:r w:rsidRPr="00276B7E">
        <w:rPr>
          <w:rFonts w:ascii="Arial" w:hAnsi="Arial" w:cs="Arial"/>
          <w:i/>
          <w:sz w:val="20"/>
          <w:szCs w:val="20"/>
        </w:rPr>
        <w:t>spp</w:t>
      </w:r>
      <w:r w:rsidRPr="00276B7E">
        <w:rPr>
          <w:rFonts w:ascii="Arial" w:hAnsi="Arial" w:cs="Arial"/>
          <w:sz w:val="20"/>
          <w:szCs w:val="20"/>
        </w:rPr>
        <w:t xml:space="preserve">. At a tertiary health care center over 2 decades. </w:t>
      </w:r>
      <w:r w:rsidR="00FD45B7" w:rsidRPr="00276B7E">
        <w:rPr>
          <w:rFonts w:ascii="Arial" w:hAnsi="Arial" w:cs="Arial"/>
          <w:i/>
          <w:sz w:val="20"/>
          <w:szCs w:val="20"/>
        </w:rPr>
        <w:t>Journal of Clinical Microbiology</w:t>
      </w:r>
      <w:r w:rsidR="00EC311E" w:rsidRPr="00276B7E">
        <w:rPr>
          <w:rFonts w:ascii="Arial" w:hAnsi="Arial" w:cs="Arial"/>
          <w:sz w:val="20"/>
          <w:szCs w:val="20"/>
        </w:rPr>
        <w:t>,</w:t>
      </w:r>
      <w:r w:rsidR="00B83755" w:rsidRPr="00276B7E">
        <w:rPr>
          <w:rFonts w:ascii="Arial" w:hAnsi="Arial" w:cs="Arial"/>
          <w:sz w:val="20"/>
          <w:szCs w:val="20"/>
        </w:rPr>
        <w:t xml:space="preserve"> 58, e00275-20.</w:t>
      </w:r>
    </w:p>
    <w:p w14:paraId="5B9C90DB"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13.</w:t>
      </w:r>
      <w:r w:rsidRPr="00276B7E">
        <w:rPr>
          <w:rFonts w:ascii="Arial" w:hAnsi="Arial" w:cs="Arial"/>
          <w:sz w:val="20"/>
          <w:szCs w:val="20"/>
        </w:rPr>
        <w:tab/>
        <w:t>Yao</w:t>
      </w:r>
      <w:r w:rsidR="00EC311E" w:rsidRPr="00276B7E">
        <w:rPr>
          <w:rFonts w:ascii="Arial" w:hAnsi="Arial" w:cs="Arial"/>
          <w:sz w:val="20"/>
          <w:szCs w:val="20"/>
        </w:rPr>
        <w:t>,</w:t>
      </w:r>
      <w:r w:rsidRPr="00276B7E">
        <w:rPr>
          <w:rFonts w:ascii="Arial" w:hAnsi="Arial" w:cs="Arial"/>
          <w:sz w:val="20"/>
          <w:szCs w:val="20"/>
        </w:rPr>
        <w:t xml:space="preserve"> Y</w:t>
      </w:r>
      <w:r w:rsidR="00EC311E" w:rsidRPr="00276B7E">
        <w:rPr>
          <w:rFonts w:ascii="Arial" w:hAnsi="Arial" w:cs="Arial"/>
          <w:sz w:val="20"/>
          <w:szCs w:val="20"/>
        </w:rPr>
        <w:t>.</w:t>
      </w:r>
      <w:r w:rsidRPr="00276B7E">
        <w:rPr>
          <w:rFonts w:ascii="Arial" w:hAnsi="Arial" w:cs="Arial"/>
          <w:sz w:val="20"/>
          <w:szCs w:val="20"/>
        </w:rPr>
        <w:t>, Falgenhauer</w:t>
      </w:r>
      <w:r w:rsidR="00EC311E" w:rsidRPr="00276B7E">
        <w:rPr>
          <w:rFonts w:ascii="Arial" w:hAnsi="Arial" w:cs="Arial"/>
          <w:sz w:val="20"/>
          <w:szCs w:val="20"/>
        </w:rPr>
        <w:t>,</w:t>
      </w:r>
      <w:r w:rsidRPr="00276B7E">
        <w:rPr>
          <w:rFonts w:ascii="Arial" w:hAnsi="Arial" w:cs="Arial"/>
          <w:sz w:val="20"/>
          <w:szCs w:val="20"/>
        </w:rPr>
        <w:t xml:space="preserve"> L</w:t>
      </w:r>
      <w:r w:rsidR="00EC311E" w:rsidRPr="00276B7E">
        <w:rPr>
          <w:rFonts w:ascii="Arial" w:hAnsi="Arial" w:cs="Arial"/>
          <w:sz w:val="20"/>
          <w:szCs w:val="20"/>
        </w:rPr>
        <w:t>.</w:t>
      </w:r>
      <w:r w:rsidRPr="00276B7E">
        <w:rPr>
          <w:rFonts w:ascii="Arial" w:hAnsi="Arial" w:cs="Arial"/>
          <w:sz w:val="20"/>
          <w:szCs w:val="20"/>
        </w:rPr>
        <w:t>, Falgenhauer</w:t>
      </w:r>
      <w:r w:rsidR="00EC311E" w:rsidRPr="00276B7E">
        <w:rPr>
          <w:rFonts w:ascii="Arial" w:hAnsi="Arial" w:cs="Arial"/>
          <w:sz w:val="20"/>
          <w:szCs w:val="20"/>
        </w:rPr>
        <w:t>,</w:t>
      </w:r>
      <w:r w:rsidRPr="00276B7E">
        <w:rPr>
          <w:rFonts w:ascii="Arial" w:hAnsi="Arial" w:cs="Arial"/>
          <w:sz w:val="20"/>
          <w:szCs w:val="20"/>
        </w:rPr>
        <w:t xml:space="preserve"> J</w:t>
      </w:r>
      <w:r w:rsidR="00EC311E" w:rsidRPr="00276B7E">
        <w:rPr>
          <w:rFonts w:ascii="Arial" w:hAnsi="Arial" w:cs="Arial"/>
          <w:sz w:val="20"/>
          <w:szCs w:val="20"/>
        </w:rPr>
        <w:t>.</w:t>
      </w:r>
      <w:r w:rsidRPr="00276B7E">
        <w:rPr>
          <w:rFonts w:ascii="Arial" w:hAnsi="Arial" w:cs="Arial"/>
          <w:sz w:val="20"/>
          <w:szCs w:val="20"/>
        </w:rPr>
        <w:t>, Hauri</w:t>
      </w:r>
      <w:r w:rsidR="00EC311E" w:rsidRPr="00276B7E">
        <w:rPr>
          <w:rFonts w:ascii="Arial" w:hAnsi="Arial" w:cs="Arial"/>
          <w:sz w:val="20"/>
          <w:szCs w:val="20"/>
        </w:rPr>
        <w:t>,</w:t>
      </w:r>
      <w:r w:rsidRPr="00276B7E">
        <w:rPr>
          <w:rFonts w:ascii="Arial" w:hAnsi="Arial" w:cs="Arial"/>
          <w:sz w:val="20"/>
          <w:szCs w:val="20"/>
        </w:rPr>
        <w:t xml:space="preserve"> AM</w:t>
      </w:r>
      <w:r w:rsidR="00EC311E" w:rsidRPr="00276B7E">
        <w:rPr>
          <w:rFonts w:ascii="Arial" w:hAnsi="Arial" w:cs="Arial"/>
          <w:sz w:val="20"/>
          <w:szCs w:val="20"/>
        </w:rPr>
        <w:t>.</w:t>
      </w:r>
      <w:r w:rsidRPr="00276B7E">
        <w:rPr>
          <w:rFonts w:ascii="Arial" w:hAnsi="Arial" w:cs="Arial"/>
          <w:sz w:val="20"/>
          <w:szCs w:val="20"/>
        </w:rPr>
        <w:t>, Heinmüller</w:t>
      </w:r>
      <w:r w:rsidR="00EC311E" w:rsidRPr="00276B7E">
        <w:rPr>
          <w:rFonts w:ascii="Arial" w:hAnsi="Arial" w:cs="Arial"/>
          <w:sz w:val="20"/>
          <w:szCs w:val="20"/>
        </w:rPr>
        <w:t>,</w:t>
      </w:r>
      <w:r w:rsidRPr="00276B7E">
        <w:rPr>
          <w:rFonts w:ascii="Arial" w:hAnsi="Arial" w:cs="Arial"/>
          <w:sz w:val="20"/>
          <w:szCs w:val="20"/>
        </w:rPr>
        <w:t xml:space="preserve"> P</w:t>
      </w:r>
      <w:r w:rsidR="00EC311E" w:rsidRPr="00276B7E">
        <w:rPr>
          <w:rFonts w:ascii="Arial" w:hAnsi="Arial" w:cs="Arial"/>
          <w:sz w:val="20"/>
          <w:szCs w:val="20"/>
        </w:rPr>
        <w:t>.</w:t>
      </w:r>
      <w:r w:rsidRPr="00276B7E">
        <w:rPr>
          <w:rFonts w:ascii="Arial" w:hAnsi="Arial" w:cs="Arial"/>
          <w:sz w:val="20"/>
          <w:szCs w:val="20"/>
        </w:rPr>
        <w:t>, Domann</w:t>
      </w:r>
      <w:r w:rsidR="00EC311E" w:rsidRPr="00276B7E">
        <w:rPr>
          <w:rFonts w:ascii="Arial" w:hAnsi="Arial" w:cs="Arial"/>
          <w:sz w:val="20"/>
          <w:szCs w:val="20"/>
        </w:rPr>
        <w:t>,</w:t>
      </w:r>
      <w:r w:rsidRPr="00276B7E">
        <w:rPr>
          <w:rFonts w:ascii="Arial" w:hAnsi="Arial" w:cs="Arial"/>
          <w:sz w:val="20"/>
          <w:szCs w:val="20"/>
        </w:rPr>
        <w:t xml:space="preserve"> E et al. </w:t>
      </w:r>
      <w:r w:rsidR="00EC311E" w:rsidRPr="00276B7E">
        <w:rPr>
          <w:rFonts w:ascii="Arial" w:hAnsi="Arial" w:cs="Arial"/>
          <w:sz w:val="20"/>
          <w:szCs w:val="20"/>
        </w:rPr>
        <w:t xml:space="preserve">(2021). </w:t>
      </w:r>
      <w:r w:rsidRPr="00276B7E">
        <w:rPr>
          <w:rFonts w:ascii="Arial" w:hAnsi="Arial" w:cs="Arial"/>
          <w:sz w:val="20"/>
          <w:szCs w:val="20"/>
        </w:rPr>
        <w:t xml:space="preserve">Carbapenem-resistant Citrobacter spp. </w:t>
      </w:r>
      <w:proofErr w:type="gramStart"/>
      <w:r w:rsidRPr="00276B7E">
        <w:rPr>
          <w:rFonts w:ascii="Arial" w:hAnsi="Arial" w:cs="Arial"/>
          <w:sz w:val="20"/>
          <w:szCs w:val="20"/>
        </w:rPr>
        <w:t>as</w:t>
      </w:r>
      <w:proofErr w:type="gramEnd"/>
      <w:r w:rsidRPr="00276B7E">
        <w:rPr>
          <w:rFonts w:ascii="Arial" w:hAnsi="Arial" w:cs="Arial"/>
          <w:sz w:val="20"/>
          <w:szCs w:val="20"/>
        </w:rPr>
        <w:t xml:space="preserve"> an emerging concern in the hospital-setting: results from a genome-based regional surveillance study. </w:t>
      </w:r>
      <w:r w:rsidR="00FD45B7" w:rsidRPr="00276B7E">
        <w:rPr>
          <w:rFonts w:ascii="Arial" w:hAnsi="Arial" w:cs="Arial"/>
          <w:i/>
          <w:sz w:val="20"/>
          <w:szCs w:val="20"/>
        </w:rPr>
        <w:t>Frontiers in Cellular and Infection Microbiology</w:t>
      </w:r>
      <w:r w:rsidR="00FD45B7" w:rsidRPr="00276B7E">
        <w:rPr>
          <w:rFonts w:ascii="Arial" w:hAnsi="Arial" w:cs="Arial"/>
          <w:sz w:val="20"/>
          <w:szCs w:val="20"/>
        </w:rPr>
        <w:t>,</w:t>
      </w:r>
      <w:r w:rsidR="00B83755" w:rsidRPr="00276B7E">
        <w:rPr>
          <w:rFonts w:ascii="Arial" w:hAnsi="Arial" w:cs="Arial"/>
          <w:i/>
          <w:sz w:val="20"/>
          <w:szCs w:val="20"/>
        </w:rPr>
        <w:t xml:space="preserve"> </w:t>
      </w:r>
      <w:proofErr w:type="gramStart"/>
      <w:r w:rsidR="00B83755" w:rsidRPr="00276B7E">
        <w:rPr>
          <w:rFonts w:ascii="Arial" w:hAnsi="Arial" w:cs="Arial"/>
          <w:sz w:val="20"/>
          <w:szCs w:val="20"/>
        </w:rPr>
        <w:t>11:</w:t>
      </w:r>
      <w:proofErr w:type="gramEnd"/>
      <w:r w:rsidR="00B83755" w:rsidRPr="00276B7E">
        <w:rPr>
          <w:rFonts w:ascii="Arial" w:hAnsi="Arial" w:cs="Arial"/>
          <w:sz w:val="20"/>
          <w:szCs w:val="20"/>
        </w:rPr>
        <w:t>744431.</w:t>
      </w:r>
    </w:p>
    <w:p w14:paraId="206E0D9C"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14.</w:t>
      </w:r>
      <w:r w:rsidR="00305E97" w:rsidRPr="00276B7E">
        <w:rPr>
          <w:rFonts w:ascii="Arial" w:hAnsi="Arial" w:cs="Arial"/>
          <w:sz w:val="20"/>
          <w:szCs w:val="20"/>
        </w:rPr>
        <w:tab/>
        <w:t>Le Minor, L, &amp; Richard C (1993).</w:t>
      </w:r>
      <w:r w:rsidRPr="00276B7E">
        <w:rPr>
          <w:rFonts w:ascii="Arial" w:hAnsi="Arial" w:cs="Arial"/>
          <w:sz w:val="20"/>
          <w:szCs w:val="20"/>
        </w:rPr>
        <w:t xml:space="preserve"> Méthodes de laboratoire pour l'identification des Entérobactéries. Commission des laboratoires de références et d'expertise de l'institut Pasteur, Instit</w:t>
      </w:r>
      <w:r w:rsidR="00305E97" w:rsidRPr="00276B7E">
        <w:rPr>
          <w:rFonts w:ascii="Arial" w:hAnsi="Arial" w:cs="Arial"/>
          <w:sz w:val="20"/>
          <w:szCs w:val="20"/>
        </w:rPr>
        <w:t>ut Pasteur, Paris, France,</w:t>
      </w:r>
      <w:r w:rsidRPr="00276B7E">
        <w:rPr>
          <w:rFonts w:ascii="Arial" w:hAnsi="Arial" w:cs="Arial"/>
          <w:sz w:val="20"/>
          <w:szCs w:val="20"/>
        </w:rPr>
        <w:t xml:space="preserve"> 218 p. </w:t>
      </w:r>
    </w:p>
    <w:p w14:paraId="390CCA4D" w14:textId="77777777" w:rsidR="007C5967" w:rsidRPr="00276B7E" w:rsidRDefault="007C5967" w:rsidP="004A2163">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15.</w:t>
      </w:r>
      <w:r w:rsidRPr="00276B7E">
        <w:rPr>
          <w:rFonts w:ascii="Arial" w:hAnsi="Arial" w:cs="Arial"/>
          <w:sz w:val="20"/>
          <w:szCs w:val="20"/>
        </w:rPr>
        <w:tab/>
      </w:r>
      <w:r w:rsidR="004A2163" w:rsidRPr="00276B7E">
        <w:rPr>
          <w:rFonts w:ascii="Arial" w:hAnsi="Arial" w:cs="Arial"/>
          <w:sz w:val="20"/>
          <w:szCs w:val="20"/>
        </w:rPr>
        <w:t>European Committee on Antimicrobial Susceptibility Testing-Comité de l'antibiogramme de la société Française de Mi</w:t>
      </w:r>
      <w:r w:rsidR="002F03FE" w:rsidRPr="00276B7E">
        <w:rPr>
          <w:rFonts w:ascii="Arial" w:hAnsi="Arial" w:cs="Arial"/>
          <w:sz w:val="20"/>
          <w:szCs w:val="20"/>
        </w:rPr>
        <w:t>crobiologie (EUCAST-CASFM</w:t>
      </w:r>
      <w:proofErr w:type="gramStart"/>
      <w:r w:rsidR="002F03FE" w:rsidRPr="00276B7E">
        <w:rPr>
          <w:rFonts w:ascii="Arial" w:hAnsi="Arial" w:cs="Arial"/>
          <w:sz w:val="20"/>
          <w:szCs w:val="20"/>
        </w:rPr>
        <w:t>);</w:t>
      </w:r>
      <w:proofErr w:type="gramEnd"/>
      <w:r w:rsidR="002F03FE" w:rsidRPr="00276B7E">
        <w:rPr>
          <w:rFonts w:ascii="Arial" w:hAnsi="Arial" w:cs="Arial"/>
          <w:sz w:val="20"/>
          <w:szCs w:val="20"/>
        </w:rPr>
        <w:t xml:space="preserve"> </w:t>
      </w:r>
      <w:r w:rsidR="00B117E8" w:rsidRPr="00276B7E">
        <w:rPr>
          <w:rFonts w:ascii="Arial" w:hAnsi="Arial" w:cs="Arial"/>
          <w:sz w:val="20"/>
          <w:szCs w:val="20"/>
        </w:rPr>
        <w:t>(</w:t>
      </w:r>
      <w:r w:rsidR="002F03FE" w:rsidRPr="00276B7E">
        <w:rPr>
          <w:rFonts w:ascii="Arial" w:hAnsi="Arial" w:cs="Arial"/>
          <w:sz w:val="20"/>
          <w:szCs w:val="20"/>
        </w:rPr>
        <w:t>2023</w:t>
      </w:r>
      <w:r w:rsidR="00B117E8" w:rsidRPr="00276B7E">
        <w:rPr>
          <w:rFonts w:ascii="Arial" w:hAnsi="Arial" w:cs="Arial"/>
          <w:sz w:val="20"/>
          <w:szCs w:val="20"/>
        </w:rPr>
        <w:t>)</w:t>
      </w:r>
      <w:r w:rsidR="004A2163" w:rsidRPr="00276B7E">
        <w:rPr>
          <w:rFonts w:ascii="Arial" w:hAnsi="Arial" w:cs="Arial"/>
          <w:sz w:val="20"/>
          <w:szCs w:val="20"/>
        </w:rPr>
        <w:t>.</w:t>
      </w:r>
      <w:r w:rsidR="002F03FE" w:rsidRPr="00276B7E">
        <w:rPr>
          <w:rFonts w:ascii="Arial" w:hAnsi="Arial" w:cs="Arial"/>
          <w:sz w:val="20"/>
          <w:szCs w:val="20"/>
        </w:rPr>
        <w:t xml:space="preserve"> </w:t>
      </w:r>
      <w:proofErr w:type="gramStart"/>
      <w:r w:rsidR="004A2163" w:rsidRPr="00276B7E">
        <w:rPr>
          <w:rFonts w:ascii="Arial" w:hAnsi="Arial" w:cs="Arial"/>
          <w:sz w:val="20"/>
          <w:szCs w:val="20"/>
        </w:rPr>
        <w:t>nAvailable:http://bacterioweb.univfcomte.fr</w:t>
      </w:r>
      <w:r w:rsidR="002F03FE" w:rsidRPr="00276B7E">
        <w:rPr>
          <w:rFonts w:ascii="Arial" w:hAnsi="Arial" w:cs="Arial"/>
          <w:sz w:val="20"/>
          <w:szCs w:val="20"/>
        </w:rPr>
        <w:t>/bibliotheque/remic/24-Antib.pdf</w:t>
      </w:r>
      <w:proofErr w:type="gramEnd"/>
      <w:r w:rsidR="002F03FE" w:rsidRPr="00276B7E">
        <w:rPr>
          <w:rFonts w:ascii="Arial" w:hAnsi="Arial" w:cs="Arial"/>
          <w:sz w:val="20"/>
          <w:szCs w:val="20"/>
        </w:rPr>
        <w:t xml:space="preserve"> </w:t>
      </w:r>
    </w:p>
    <w:p w14:paraId="3AB9C164"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16.</w:t>
      </w:r>
      <w:r w:rsidRPr="00276B7E">
        <w:rPr>
          <w:rFonts w:ascii="Arial" w:hAnsi="Arial" w:cs="Arial"/>
          <w:sz w:val="20"/>
          <w:szCs w:val="20"/>
        </w:rPr>
        <w:tab/>
        <w:t>Bouamri</w:t>
      </w:r>
      <w:r w:rsidR="00B117E8" w:rsidRPr="00276B7E">
        <w:rPr>
          <w:rFonts w:ascii="Arial" w:hAnsi="Arial" w:cs="Arial"/>
          <w:sz w:val="20"/>
          <w:szCs w:val="20"/>
        </w:rPr>
        <w:t>,</w:t>
      </w:r>
      <w:r w:rsidRPr="00276B7E">
        <w:rPr>
          <w:rFonts w:ascii="Arial" w:hAnsi="Arial" w:cs="Arial"/>
          <w:sz w:val="20"/>
          <w:szCs w:val="20"/>
        </w:rPr>
        <w:t xml:space="preserve"> MCE</w:t>
      </w:r>
      <w:r w:rsidR="00B117E8" w:rsidRPr="00276B7E">
        <w:rPr>
          <w:rFonts w:ascii="Arial" w:hAnsi="Arial" w:cs="Arial"/>
          <w:sz w:val="20"/>
          <w:szCs w:val="20"/>
        </w:rPr>
        <w:t>.</w:t>
      </w:r>
      <w:r w:rsidRPr="00276B7E">
        <w:rPr>
          <w:rFonts w:ascii="Arial" w:hAnsi="Arial" w:cs="Arial"/>
          <w:sz w:val="20"/>
          <w:szCs w:val="20"/>
        </w:rPr>
        <w:t>, Arsalane</w:t>
      </w:r>
      <w:r w:rsidR="00B117E8" w:rsidRPr="00276B7E">
        <w:rPr>
          <w:rFonts w:ascii="Arial" w:hAnsi="Arial" w:cs="Arial"/>
          <w:sz w:val="20"/>
          <w:szCs w:val="20"/>
        </w:rPr>
        <w:t>,</w:t>
      </w:r>
      <w:r w:rsidRPr="00276B7E">
        <w:rPr>
          <w:rFonts w:ascii="Arial" w:hAnsi="Arial" w:cs="Arial"/>
          <w:sz w:val="20"/>
          <w:szCs w:val="20"/>
        </w:rPr>
        <w:t xml:space="preserve"> L</w:t>
      </w:r>
      <w:r w:rsidR="00B117E8" w:rsidRPr="00276B7E">
        <w:rPr>
          <w:rFonts w:ascii="Arial" w:hAnsi="Arial" w:cs="Arial"/>
          <w:sz w:val="20"/>
          <w:szCs w:val="20"/>
        </w:rPr>
        <w:t>.</w:t>
      </w:r>
      <w:r w:rsidRPr="00276B7E">
        <w:rPr>
          <w:rFonts w:ascii="Arial" w:hAnsi="Arial" w:cs="Arial"/>
          <w:sz w:val="20"/>
          <w:szCs w:val="20"/>
        </w:rPr>
        <w:t>, Kamouni</w:t>
      </w:r>
      <w:r w:rsidR="00B117E8" w:rsidRPr="00276B7E">
        <w:rPr>
          <w:rFonts w:ascii="Arial" w:hAnsi="Arial" w:cs="Arial"/>
          <w:sz w:val="20"/>
          <w:szCs w:val="20"/>
        </w:rPr>
        <w:t>,</w:t>
      </w:r>
      <w:r w:rsidRPr="00276B7E">
        <w:rPr>
          <w:rFonts w:ascii="Arial" w:hAnsi="Arial" w:cs="Arial"/>
          <w:sz w:val="20"/>
          <w:szCs w:val="20"/>
        </w:rPr>
        <w:t xml:space="preserve"> Y</w:t>
      </w:r>
      <w:r w:rsidR="00B117E8" w:rsidRPr="00276B7E">
        <w:rPr>
          <w:rFonts w:ascii="Arial" w:hAnsi="Arial" w:cs="Arial"/>
          <w:sz w:val="20"/>
          <w:szCs w:val="20"/>
        </w:rPr>
        <w:t>.</w:t>
      </w:r>
      <w:r w:rsidRPr="00276B7E">
        <w:rPr>
          <w:rFonts w:ascii="Arial" w:hAnsi="Arial" w:cs="Arial"/>
          <w:sz w:val="20"/>
          <w:szCs w:val="20"/>
        </w:rPr>
        <w:t>, Berraha</w:t>
      </w:r>
      <w:r w:rsidR="00B117E8" w:rsidRPr="00276B7E">
        <w:rPr>
          <w:rFonts w:ascii="Arial" w:hAnsi="Arial" w:cs="Arial"/>
          <w:sz w:val="20"/>
          <w:szCs w:val="20"/>
        </w:rPr>
        <w:t>,</w:t>
      </w:r>
      <w:r w:rsidRPr="00276B7E">
        <w:rPr>
          <w:rFonts w:ascii="Arial" w:hAnsi="Arial" w:cs="Arial"/>
          <w:sz w:val="20"/>
          <w:szCs w:val="20"/>
        </w:rPr>
        <w:t xml:space="preserve"> M</w:t>
      </w:r>
      <w:r w:rsidR="00B117E8" w:rsidRPr="00276B7E">
        <w:rPr>
          <w:rFonts w:ascii="Arial" w:hAnsi="Arial" w:cs="Arial"/>
          <w:sz w:val="20"/>
          <w:szCs w:val="20"/>
        </w:rPr>
        <w:t>, &amp;</w:t>
      </w:r>
      <w:r w:rsidRPr="00276B7E">
        <w:rPr>
          <w:rFonts w:ascii="Arial" w:hAnsi="Arial" w:cs="Arial"/>
          <w:sz w:val="20"/>
          <w:szCs w:val="20"/>
        </w:rPr>
        <w:t xml:space="preserve"> Zouhair</w:t>
      </w:r>
      <w:r w:rsidR="00B117E8" w:rsidRPr="00276B7E">
        <w:rPr>
          <w:rFonts w:ascii="Arial" w:hAnsi="Arial" w:cs="Arial"/>
          <w:sz w:val="20"/>
          <w:szCs w:val="20"/>
        </w:rPr>
        <w:t>,</w:t>
      </w:r>
      <w:r w:rsidRPr="00276B7E">
        <w:rPr>
          <w:rFonts w:ascii="Arial" w:hAnsi="Arial" w:cs="Arial"/>
          <w:sz w:val="20"/>
          <w:szCs w:val="20"/>
        </w:rPr>
        <w:t xml:space="preserve"> S.</w:t>
      </w:r>
      <w:r w:rsidR="00B117E8" w:rsidRPr="00276B7E">
        <w:rPr>
          <w:rFonts w:ascii="Arial" w:hAnsi="Arial" w:cs="Arial"/>
          <w:sz w:val="20"/>
          <w:szCs w:val="20"/>
        </w:rPr>
        <w:t xml:space="preserve"> (2014).</w:t>
      </w:r>
      <w:r w:rsidRPr="00276B7E">
        <w:rPr>
          <w:rFonts w:ascii="Arial" w:hAnsi="Arial" w:cs="Arial"/>
          <w:sz w:val="20"/>
          <w:szCs w:val="20"/>
        </w:rPr>
        <w:t xml:space="preserve"> Recent developments in the epidemiological profile of uropathogenic Enterobacteriaceae producing extended-spectrum beta-lactamases in Marrakech, Morocco.</w:t>
      </w:r>
      <w:r w:rsidR="00B117E8" w:rsidRPr="00276B7E">
        <w:rPr>
          <w:rFonts w:ascii="Arial" w:hAnsi="Arial" w:cs="Arial"/>
          <w:sz w:val="20"/>
          <w:szCs w:val="20"/>
        </w:rPr>
        <w:t xml:space="preserve"> </w:t>
      </w:r>
      <w:r w:rsidR="00FD45B7" w:rsidRPr="00276B7E">
        <w:rPr>
          <w:rFonts w:ascii="Arial" w:hAnsi="Arial" w:cs="Arial"/>
          <w:i/>
          <w:sz w:val="20"/>
          <w:szCs w:val="20"/>
        </w:rPr>
        <w:t>Progress in urology</w:t>
      </w:r>
      <w:r w:rsidR="00B117E8" w:rsidRPr="00276B7E">
        <w:rPr>
          <w:rFonts w:ascii="Arial" w:hAnsi="Arial" w:cs="Arial"/>
          <w:sz w:val="20"/>
          <w:szCs w:val="20"/>
        </w:rPr>
        <w:t>,</w:t>
      </w:r>
      <w:r w:rsidR="00B83755" w:rsidRPr="00276B7E">
        <w:rPr>
          <w:rFonts w:ascii="Arial" w:hAnsi="Arial" w:cs="Arial"/>
          <w:sz w:val="20"/>
          <w:szCs w:val="20"/>
        </w:rPr>
        <w:t xml:space="preserve"> </w:t>
      </w:r>
      <w:proofErr w:type="gramStart"/>
      <w:r w:rsidR="00B83755" w:rsidRPr="00276B7E">
        <w:rPr>
          <w:rFonts w:ascii="Arial" w:hAnsi="Arial" w:cs="Arial"/>
          <w:sz w:val="20"/>
          <w:szCs w:val="20"/>
        </w:rPr>
        <w:t>24;</w:t>
      </w:r>
      <w:proofErr w:type="gramEnd"/>
      <w:r w:rsidR="00B83755" w:rsidRPr="00276B7E">
        <w:rPr>
          <w:rFonts w:ascii="Arial" w:hAnsi="Arial" w:cs="Arial"/>
          <w:sz w:val="20"/>
          <w:szCs w:val="20"/>
        </w:rPr>
        <w:t xml:space="preserve"> 451-455.</w:t>
      </w:r>
    </w:p>
    <w:p w14:paraId="033CF5DE" w14:textId="77777777" w:rsidR="007C5967" w:rsidRPr="00276B7E" w:rsidRDefault="007C5967" w:rsidP="003A4F7B">
      <w:pPr>
        <w:tabs>
          <w:tab w:val="left" w:pos="1524"/>
        </w:tabs>
        <w:spacing w:before="240" w:line="480" w:lineRule="auto"/>
        <w:ind w:left="567" w:hanging="567"/>
        <w:jc w:val="both"/>
        <w:rPr>
          <w:rFonts w:ascii="Arial" w:hAnsi="Arial" w:cs="Arial"/>
          <w:i/>
          <w:sz w:val="20"/>
          <w:szCs w:val="20"/>
        </w:rPr>
      </w:pPr>
      <w:r w:rsidRPr="00276B7E">
        <w:rPr>
          <w:rFonts w:ascii="Arial" w:hAnsi="Arial" w:cs="Arial"/>
          <w:sz w:val="20"/>
          <w:szCs w:val="20"/>
        </w:rPr>
        <w:t>17.</w:t>
      </w:r>
      <w:r w:rsidRPr="00276B7E">
        <w:rPr>
          <w:rFonts w:ascii="Arial" w:hAnsi="Arial" w:cs="Arial"/>
          <w:sz w:val="20"/>
          <w:szCs w:val="20"/>
        </w:rPr>
        <w:tab/>
        <w:t>Mohammadreza</w:t>
      </w:r>
      <w:r w:rsidR="00272FB0" w:rsidRPr="00276B7E">
        <w:rPr>
          <w:rFonts w:ascii="Arial" w:hAnsi="Arial" w:cs="Arial"/>
          <w:sz w:val="20"/>
          <w:szCs w:val="20"/>
        </w:rPr>
        <w:t>,</w:t>
      </w:r>
      <w:r w:rsidRPr="00276B7E">
        <w:rPr>
          <w:rFonts w:ascii="Arial" w:hAnsi="Arial" w:cs="Arial"/>
          <w:sz w:val="20"/>
          <w:szCs w:val="20"/>
        </w:rPr>
        <w:t xml:space="preserve"> S</w:t>
      </w:r>
      <w:r w:rsidR="00272FB0" w:rsidRPr="00276B7E">
        <w:rPr>
          <w:rFonts w:ascii="Arial" w:hAnsi="Arial" w:cs="Arial"/>
          <w:sz w:val="20"/>
          <w:szCs w:val="20"/>
        </w:rPr>
        <w:t>.</w:t>
      </w:r>
      <w:r w:rsidRPr="00276B7E">
        <w:rPr>
          <w:rFonts w:ascii="Arial" w:hAnsi="Arial" w:cs="Arial"/>
          <w:sz w:val="20"/>
          <w:szCs w:val="20"/>
        </w:rPr>
        <w:t>, Dariush</w:t>
      </w:r>
      <w:r w:rsidR="00272FB0" w:rsidRPr="00276B7E">
        <w:rPr>
          <w:rFonts w:ascii="Arial" w:hAnsi="Arial" w:cs="Arial"/>
          <w:sz w:val="20"/>
          <w:szCs w:val="20"/>
        </w:rPr>
        <w:t>,</w:t>
      </w:r>
      <w:r w:rsidRPr="00276B7E">
        <w:rPr>
          <w:rFonts w:ascii="Arial" w:hAnsi="Arial" w:cs="Arial"/>
          <w:sz w:val="20"/>
          <w:szCs w:val="20"/>
        </w:rPr>
        <w:t xml:space="preserve"> R</w:t>
      </w:r>
      <w:r w:rsidR="00272FB0" w:rsidRPr="00276B7E">
        <w:rPr>
          <w:rFonts w:ascii="Arial" w:hAnsi="Arial" w:cs="Arial"/>
          <w:sz w:val="20"/>
          <w:szCs w:val="20"/>
        </w:rPr>
        <w:t>.</w:t>
      </w:r>
      <w:r w:rsidRPr="00276B7E">
        <w:rPr>
          <w:rFonts w:ascii="Arial" w:hAnsi="Arial" w:cs="Arial"/>
          <w:sz w:val="20"/>
          <w:szCs w:val="20"/>
        </w:rPr>
        <w:t>, SeyedAhmad</w:t>
      </w:r>
      <w:r w:rsidR="00272FB0" w:rsidRPr="00276B7E">
        <w:rPr>
          <w:rFonts w:ascii="Arial" w:hAnsi="Arial" w:cs="Arial"/>
          <w:sz w:val="20"/>
          <w:szCs w:val="20"/>
        </w:rPr>
        <w:t>,</w:t>
      </w:r>
      <w:r w:rsidRPr="00276B7E">
        <w:rPr>
          <w:rFonts w:ascii="Arial" w:hAnsi="Arial" w:cs="Arial"/>
          <w:sz w:val="20"/>
          <w:szCs w:val="20"/>
        </w:rPr>
        <w:t xml:space="preserve"> S</w:t>
      </w:r>
      <w:r w:rsidR="00272FB0" w:rsidRPr="00276B7E">
        <w:rPr>
          <w:rFonts w:ascii="Arial" w:hAnsi="Arial" w:cs="Arial"/>
          <w:sz w:val="20"/>
          <w:szCs w:val="20"/>
        </w:rPr>
        <w:t xml:space="preserve">., Arash S, Amir Aliramezani, A., </w:t>
      </w:r>
      <w:r w:rsidRPr="00276B7E">
        <w:rPr>
          <w:rFonts w:ascii="Arial" w:hAnsi="Arial" w:cs="Arial"/>
          <w:sz w:val="20"/>
          <w:szCs w:val="20"/>
        </w:rPr>
        <w:t>Seyed</w:t>
      </w:r>
      <w:r w:rsidR="00272FB0" w:rsidRPr="00276B7E">
        <w:rPr>
          <w:rFonts w:ascii="Arial" w:hAnsi="Arial" w:cs="Arial"/>
          <w:sz w:val="20"/>
          <w:szCs w:val="20"/>
        </w:rPr>
        <w:t>,</w:t>
      </w:r>
      <w:r w:rsidRPr="00276B7E">
        <w:rPr>
          <w:rFonts w:ascii="Arial" w:hAnsi="Arial" w:cs="Arial"/>
          <w:sz w:val="20"/>
          <w:szCs w:val="20"/>
        </w:rPr>
        <w:t xml:space="preserve"> ADM</w:t>
      </w:r>
      <w:r w:rsidR="00272FB0" w:rsidRPr="00276B7E">
        <w:rPr>
          <w:rFonts w:ascii="Arial" w:hAnsi="Arial" w:cs="Arial"/>
          <w:sz w:val="20"/>
          <w:szCs w:val="20"/>
        </w:rPr>
        <w:t>.</w:t>
      </w:r>
      <w:r w:rsidRPr="00276B7E">
        <w:rPr>
          <w:rFonts w:ascii="Arial" w:hAnsi="Arial" w:cs="Arial"/>
          <w:sz w:val="20"/>
          <w:szCs w:val="20"/>
        </w:rPr>
        <w:t xml:space="preserve"> </w:t>
      </w:r>
      <w:proofErr w:type="gramStart"/>
      <w:r w:rsidRPr="00276B7E">
        <w:rPr>
          <w:rFonts w:ascii="Arial" w:hAnsi="Arial" w:cs="Arial"/>
          <w:sz w:val="20"/>
          <w:szCs w:val="20"/>
        </w:rPr>
        <w:t>et</w:t>
      </w:r>
      <w:proofErr w:type="gramEnd"/>
      <w:r w:rsidRPr="00276B7E">
        <w:rPr>
          <w:rFonts w:ascii="Arial" w:hAnsi="Arial" w:cs="Arial"/>
          <w:sz w:val="20"/>
          <w:szCs w:val="20"/>
        </w:rPr>
        <w:t xml:space="preserve"> al. </w:t>
      </w:r>
      <w:r w:rsidR="00272FB0" w:rsidRPr="00276B7E">
        <w:rPr>
          <w:rFonts w:ascii="Arial" w:hAnsi="Arial" w:cs="Arial"/>
          <w:sz w:val="20"/>
          <w:szCs w:val="20"/>
        </w:rPr>
        <w:t xml:space="preserve">(2023). </w:t>
      </w:r>
      <w:r w:rsidRPr="00276B7E">
        <w:rPr>
          <w:rFonts w:ascii="Arial" w:hAnsi="Arial" w:cs="Arial"/>
          <w:sz w:val="20"/>
          <w:szCs w:val="20"/>
        </w:rPr>
        <w:t xml:space="preserve">Clinical and microbiological patterns in critically ill patients with catheter-associated </w:t>
      </w:r>
      <w:proofErr w:type="gramStart"/>
      <w:r w:rsidRPr="00276B7E">
        <w:rPr>
          <w:rFonts w:ascii="Arial" w:hAnsi="Arial" w:cs="Arial"/>
          <w:sz w:val="20"/>
          <w:szCs w:val="20"/>
        </w:rPr>
        <w:t>UTI:</w:t>
      </w:r>
      <w:proofErr w:type="gramEnd"/>
      <w:r w:rsidRPr="00276B7E">
        <w:rPr>
          <w:rFonts w:ascii="Arial" w:hAnsi="Arial" w:cs="Arial"/>
          <w:sz w:val="20"/>
          <w:szCs w:val="20"/>
        </w:rPr>
        <w:t xml:space="preserve"> A report from Iran. </w:t>
      </w:r>
      <w:r w:rsidR="003A4F7B" w:rsidRPr="00276B7E">
        <w:rPr>
          <w:rFonts w:ascii="Arial" w:hAnsi="Arial" w:cs="Arial"/>
          <w:i/>
          <w:sz w:val="20"/>
          <w:szCs w:val="20"/>
        </w:rPr>
        <w:t>Journal of Infection in Developing Countries</w:t>
      </w:r>
      <w:r w:rsidR="00272FB0" w:rsidRPr="00276B7E">
        <w:rPr>
          <w:rFonts w:ascii="Arial" w:hAnsi="Arial" w:cs="Arial"/>
          <w:sz w:val="20"/>
          <w:szCs w:val="20"/>
        </w:rPr>
        <w:t>,</w:t>
      </w:r>
      <w:r w:rsidR="00B83755" w:rsidRPr="00276B7E">
        <w:rPr>
          <w:rFonts w:ascii="Arial" w:hAnsi="Arial" w:cs="Arial"/>
          <w:sz w:val="20"/>
          <w:szCs w:val="20"/>
        </w:rPr>
        <w:t xml:space="preserve"> 17(1</w:t>
      </w:r>
      <w:proofErr w:type="gramStart"/>
      <w:r w:rsidR="00B83755" w:rsidRPr="00276B7E">
        <w:rPr>
          <w:rFonts w:ascii="Arial" w:hAnsi="Arial" w:cs="Arial"/>
          <w:sz w:val="20"/>
          <w:szCs w:val="20"/>
        </w:rPr>
        <w:t>):</w:t>
      </w:r>
      <w:proofErr w:type="gramEnd"/>
      <w:r w:rsidR="00B83755" w:rsidRPr="00276B7E">
        <w:rPr>
          <w:rFonts w:ascii="Arial" w:hAnsi="Arial" w:cs="Arial"/>
          <w:sz w:val="20"/>
          <w:szCs w:val="20"/>
        </w:rPr>
        <w:t>129-134.</w:t>
      </w:r>
    </w:p>
    <w:p w14:paraId="54B105A3"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18.</w:t>
      </w:r>
      <w:r w:rsidRPr="00276B7E">
        <w:rPr>
          <w:rFonts w:ascii="Arial" w:hAnsi="Arial" w:cs="Arial"/>
          <w:sz w:val="20"/>
          <w:szCs w:val="20"/>
        </w:rPr>
        <w:tab/>
        <w:t>Poonam</w:t>
      </w:r>
      <w:r w:rsidR="00272FB0" w:rsidRPr="00276B7E">
        <w:rPr>
          <w:rFonts w:ascii="Arial" w:hAnsi="Arial" w:cs="Arial"/>
          <w:sz w:val="20"/>
          <w:szCs w:val="20"/>
        </w:rPr>
        <w:t>,</w:t>
      </w:r>
      <w:r w:rsidRPr="00276B7E">
        <w:rPr>
          <w:rFonts w:ascii="Arial" w:hAnsi="Arial" w:cs="Arial"/>
          <w:sz w:val="20"/>
          <w:szCs w:val="20"/>
        </w:rPr>
        <w:t xml:space="preserve"> AR</w:t>
      </w:r>
      <w:r w:rsidR="00272FB0" w:rsidRPr="00276B7E">
        <w:rPr>
          <w:rFonts w:ascii="Arial" w:hAnsi="Arial" w:cs="Arial"/>
          <w:sz w:val="20"/>
          <w:szCs w:val="20"/>
        </w:rPr>
        <w:t>.</w:t>
      </w:r>
      <w:r w:rsidRPr="00276B7E">
        <w:rPr>
          <w:rFonts w:ascii="Arial" w:hAnsi="Arial" w:cs="Arial"/>
          <w:sz w:val="20"/>
          <w:szCs w:val="20"/>
        </w:rPr>
        <w:t>, Bilolikar</w:t>
      </w:r>
      <w:r w:rsidR="00272FB0" w:rsidRPr="00276B7E">
        <w:rPr>
          <w:rFonts w:ascii="Arial" w:hAnsi="Arial" w:cs="Arial"/>
          <w:sz w:val="20"/>
          <w:szCs w:val="20"/>
        </w:rPr>
        <w:t>,</w:t>
      </w:r>
      <w:r w:rsidRPr="00276B7E">
        <w:rPr>
          <w:rFonts w:ascii="Arial" w:hAnsi="Arial" w:cs="Arial"/>
          <w:sz w:val="20"/>
          <w:szCs w:val="20"/>
        </w:rPr>
        <w:t xml:space="preserve"> AK</w:t>
      </w:r>
      <w:r w:rsidR="000B5261" w:rsidRPr="00276B7E">
        <w:rPr>
          <w:rFonts w:ascii="Arial" w:hAnsi="Arial" w:cs="Arial"/>
          <w:sz w:val="20"/>
          <w:szCs w:val="20"/>
        </w:rPr>
        <w:t>.</w:t>
      </w:r>
      <w:r w:rsidRPr="00276B7E">
        <w:rPr>
          <w:rFonts w:ascii="Arial" w:hAnsi="Arial" w:cs="Arial"/>
          <w:sz w:val="20"/>
          <w:szCs w:val="20"/>
        </w:rPr>
        <w:t xml:space="preserve">, </w:t>
      </w:r>
      <w:r w:rsidR="00272FB0" w:rsidRPr="00276B7E">
        <w:rPr>
          <w:rFonts w:ascii="Arial" w:hAnsi="Arial" w:cs="Arial"/>
          <w:sz w:val="20"/>
          <w:szCs w:val="20"/>
        </w:rPr>
        <w:t xml:space="preserve">&amp; </w:t>
      </w:r>
      <w:r w:rsidRPr="00276B7E">
        <w:rPr>
          <w:rFonts w:ascii="Arial" w:hAnsi="Arial" w:cs="Arial"/>
          <w:sz w:val="20"/>
          <w:szCs w:val="20"/>
        </w:rPr>
        <w:t>Reddy</w:t>
      </w:r>
      <w:r w:rsidR="00272FB0" w:rsidRPr="00276B7E">
        <w:rPr>
          <w:rFonts w:ascii="Arial" w:hAnsi="Arial" w:cs="Arial"/>
          <w:sz w:val="20"/>
          <w:szCs w:val="20"/>
        </w:rPr>
        <w:t>,</w:t>
      </w:r>
      <w:r w:rsidRPr="00276B7E">
        <w:rPr>
          <w:rFonts w:ascii="Arial" w:hAnsi="Arial" w:cs="Arial"/>
          <w:sz w:val="20"/>
          <w:szCs w:val="20"/>
        </w:rPr>
        <w:t xml:space="preserve"> SG.</w:t>
      </w:r>
      <w:r w:rsidR="00272FB0" w:rsidRPr="00276B7E">
        <w:rPr>
          <w:rFonts w:ascii="Arial" w:hAnsi="Arial" w:cs="Arial"/>
          <w:sz w:val="20"/>
          <w:szCs w:val="20"/>
        </w:rPr>
        <w:t xml:space="preserve"> (2019).</w:t>
      </w:r>
      <w:r w:rsidRPr="00276B7E">
        <w:rPr>
          <w:rFonts w:ascii="Arial" w:hAnsi="Arial" w:cs="Arial"/>
          <w:sz w:val="20"/>
          <w:szCs w:val="20"/>
        </w:rPr>
        <w:t xml:space="preserve"> Prevalence and antimicrobial susceptibility pattern of Citrobacter species in various clinical samples in a tertiary care hospital. </w:t>
      </w:r>
      <w:r w:rsidR="003A4F7B" w:rsidRPr="00276B7E">
        <w:rPr>
          <w:rFonts w:ascii="Arial" w:hAnsi="Arial" w:cs="Arial"/>
          <w:i/>
          <w:sz w:val="20"/>
          <w:szCs w:val="20"/>
        </w:rPr>
        <w:t>Journal of Medical Science &amp; Research</w:t>
      </w:r>
      <w:r w:rsidR="00272FB0" w:rsidRPr="00276B7E">
        <w:rPr>
          <w:rFonts w:ascii="Arial" w:hAnsi="Arial" w:cs="Arial"/>
          <w:sz w:val="20"/>
          <w:szCs w:val="20"/>
        </w:rPr>
        <w:t>.,</w:t>
      </w:r>
      <w:r w:rsidRPr="00276B7E">
        <w:rPr>
          <w:rFonts w:ascii="Arial" w:hAnsi="Arial" w:cs="Arial"/>
          <w:sz w:val="20"/>
          <w:szCs w:val="20"/>
        </w:rPr>
        <w:t xml:space="preserve"> 7(4</w:t>
      </w:r>
      <w:proofErr w:type="gramStart"/>
      <w:r w:rsidRPr="00276B7E">
        <w:rPr>
          <w:rFonts w:ascii="Arial" w:hAnsi="Arial" w:cs="Arial"/>
          <w:sz w:val="20"/>
          <w:szCs w:val="20"/>
        </w:rPr>
        <w:t>):</w:t>
      </w:r>
      <w:proofErr w:type="gramEnd"/>
      <w:r w:rsidRPr="00276B7E">
        <w:rPr>
          <w:rFonts w:ascii="Arial" w:hAnsi="Arial" w:cs="Arial"/>
          <w:sz w:val="20"/>
          <w:szCs w:val="20"/>
        </w:rPr>
        <w:t xml:space="preserve">103-108. </w:t>
      </w:r>
    </w:p>
    <w:p w14:paraId="26321CB4"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19.</w:t>
      </w:r>
      <w:r w:rsidRPr="00276B7E">
        <w:rPr>
          <w:rFonts w:ascii="Arial" w:hAnsi="Arial" w:cs="Arial"/>
          <w:sz w:val="20"/>
          <w:szCs w:val="20"/>
        </w:rPr>
        <w:tab/>
        <w:t>Samonis</w:t>
      </w:r>
      <w:r w:rsidR="000B5261" w:rsidRPr="00276B7E">
        <w:rPr>
          <w:rFonts w:ascii="Arial" w:hAnsi="Arial" w:cs="Arial"/>
          <w:sz w:val="20"/>
          <w:szCs w:val="20"/>
        </w:rPr>
        <w:t>,</w:t>
      </w:r>
      <w:r w:rsidRPr="00276B7E">
        <w:rPr>
          <w:rFonts w:ascii="Arial" w:hAnsi="Arial" w:cs="Arial"/>
          <w:sz w:val="20"/>
          <w:szCs w:val="20"/>
        </w:rPr>
        <w:t xml:space="preserve"> G</w:t>
      </w:r>
      <w:r w:rsidR="000B5261" w:rsidRPr="00276B7E">
        <w:rPr>
          <w:rFonts w:ascii="Arial" w:hAnsi="Arial" w:cs="Arial"/>
          <w:sz w:val="20"/>
          <w:szCs w:val="20"/>
        </w:rPr>
        <w:t>.</w:t>
      </w:r>
      <w:r w:rsidRPr="00276B7E">
        <w:rPr>
          <w:rFonts w:ascii="Arial" w:hAnsi="Arial" w:cs="Arial"/>
          <w:sz w:val="20"/>
          <w:szCs w:val="20"/>
        </w:rPr>
        <w:t>, Karageorgopoulos</w:t>
      </w:r>
      <w:r w:rsidR="000B5261" w:rsidRPr="00276B7E">
        <w:rPr>
          <w:rFonts w:ascii="Arial" w:hAnsi="Arial" w:cs="Arial"/>
          <w:sz w:val="20"/>
          <w:szCs w:val="20"/>
        </w:rPr>
        <w:t>,</w:t>
      </w:r>
      <w:r w:rsidRPr="00276B7E">
        <w:rPr>
          <w:rFonts w:ascii="Arial" w:hAnsi="Arial" w:cs="Arial"/>
          <w:sz w:val="20"/>
          <w:szCs w:val="20"/>
        </w:rPr>
        <w:t xml:space="preserve"> DE</w:t>
      </w:r>
      <w:r w:rsidR="000B5261" w:rsidRPr="00276B7E">
        <w:rPr>
          <w:rFonts w:ascii="Arial" w:hAnsi="Arial" w:cs="Arial"/>
          <w:sz w:val="20"/>
          <w:szCs w:val="20"/>
        </w:rPr>
        <w:t>.</w:t>
      </w:r>
      <w:r w:rsidRPr="00276B7E">
        <w:rPr>
          <w:rFonts w:ascii="Arial" w:hAnsi="Arial" w:cs="Arial"/>
          <w:sz w:val="20"/>
          <w:szCs w:val="20"/>
        </w:rPr>
        <w:t>, Kofteridis</w:t>
      </w:r>
      <w:r w:rsidR="000B5261" w:rsidRPr="00276B7E">
        <w:rPr>
          <w:rFonts w:ascii="Arial" w:hAnsi="Arial" w:cs="Arial"/>
          <w:sz w:val="20"/>
          <w:szCs w:val="20"/>
        </w:rPr>
        <w:t>,</w:t>
      </w:r>
      <w:r w:rsidRPr="00276B7E">
        <w:rPr>
          <w:rFonts w:ascii="Arial" w:hAnsi="Arial" w:cs="Arial"/>
          <w:sz w:val="20"/>
          <w:szCs w:val="20"/>
        </w:rPr>
        <w:t xml:space="preserve"> DP</w:t>
      </w:r>
      <w:r w:rsidR="000B5261" w:rsidRPr="00276B7E">
        <w:rPr>
          <w:rFonts w:ascii="Arial" w:hAnsi="Arial" w:cs="Arial"/>
          <w:sz w:val="20"/>
          <w:szCs w:val="20"/>
        </w:rPr>
        <w:t>.</w:t>
      </w:r>
      <w:r w:rsidRPr="00276B7E">
        <w:rPr>
          <w:rFonts w:ascii="Arial" w:hAnsi="Arial" w:cs="Arial"/>
          <w:sz w:val="20"/>
          <w:szCs w:val="20"/>
        </w:rPr>
        <w:t>, Matthaiou</w:t>
      </w:r>
      <w:r w:rsidR="000B5261" w:rsidRPr="00276B7E">
        <w:rPr>
          <w:rFonts w:ascii="Arial" w:hAnsi="Arial" w:cs="Arial"/>
          <w:sz w:val="20"/>
          <w:szCs w:val="20"/>
        </w:rPr>
        <w:t>,</w:t>
      </w:r>
      <w:r w:rsidRPr="00276B7E">
        <w:rPr>
          <w:rFonts w:ascii="Arial" w:hAnsi="Arial" w:cs="Arial"/>
          <w:sz w:val="20"/>
          <w:szCs w:val="20"/>
        </w:rPr>
        <w:t xml:space="preserve"> DK</w:t>
      </w:r>
      <w:r w:rsidR="000B5261" w:rsidRPr="00276B7E">
        <w:rPr>
          <w:rFonts w:ascii="Arial" w:hAnsi="Arial" w:cs="Arial"/>
          <w:sz w:val="20"/>
          <w:szCs w:val="20"/>
        </w:rPr>
        <w:t>.</w:t>
      </w:r>
      <w:r w:rsidRPr="00276B7E">
        <w:rPr>
          <w:rFonts w:ascii="Arial" w:hAnsi="Arial" w:cs="Arial"/>
          <w:sz w:val="20"/>
          <w:szCs w:val="20"/>
        </w:rPr>
        <w:t>, Sidiropoulou</w:t>
      </w:r>
      <w:r w:rsidR="000B5261" w:rsidRPr="00276B7E">
        <w:rPr>
          <w:rFonts w:ascii="Arial" w:hAnsi="Arial" w:cs="Arial"/>
          <w:sz w:val="20"/>
          <w:szCs w:val="20"/>
        </w:rPr>
        <w:t>,</w:t>
      </w:r>
      <w:r w:rsidRPr="00276B7E">
        <w:rPr>
          <w:rFonts w:ascii="Arial" w:hAnsi="Arial" w:cs="Arial"/>
          <w:sz w:val="20"/>
          <w:szCs w:val="20"/>
        </w:rPr>
        <w:t xml:space="preserve"> V</w:t>
      </w:r>
      <w:r w:rsidR="000B5261" w:rsidRPr="00276B7E">
        <w:rPr>
          <w:rFonts w:ascii="Arial" w:hAnsi="Arial" w:cs="Arial"/>
          <w:sz w:val="20"/>
          <w:szCs w:val="20"/>
        </w:rPr>
        <w:t>.</w:t>
      </w:r>
      <w:r w:rsidRPr="00276B7E">
        <w:rPr>
          <w:rFonts w:ascii="Arial" w:hAnsi="Arial" w:cs="Arial"/>
          <w:sz w:val="20"/>
          <w:szCs w:val="20"/>
        </w:rPr>
        <w:t>, Maraki</w:t>
      </w:r>
      <w:r w:rsidR="000B5261" w:rsidRPr="00276B7E">
        <w:rPr>
          <w:rFonts w:ascii="Arial" w:hAnsi="Arial" w:cs="Arial"/>
          <w:sz w:val="20"/>
          <w:szCs w:val="20"/>
        </w:rPr>
        <w:t>,</w:t>
      </w:r>
      <w:r w:rsidRPr="00276B7E">
        <w:rPr>
          <w:rFonts w:ascii="Arial" w:hAnsi="Arial" w:cs="Arial"/>
          <w:sz w:val="20"/>
          <w:szCs w:val="20"/>
        </w:rPr>
        <w:t xml:space="preserve"> S, </w:t>
      </w:r>
      <w:r w:rsidR="000B5261" w:rsidRPr="00276B7E">
        <w:rPr>
          <w:rFonts w:ascii="Arial" w:hAnsi="Arial" w:cs="Arial"/>
          <w:sz w:val="20"/>
          <w:szCs w:val="20"/>
        </w:rPr>
        <w:t xml:space="preserve">&amp; </w:t>
      </w:r>
      <w:r w:rsidRPr="00276B7E">
        <w:rPr>
          <w:rFonts w:ascii="Arial" w:hAnsi="Arial" w:cs="Arial"/>
          <w:sz w:val="20"/>
          <w:szCs w:val="20"/>
        </w:rPr>
        <w:t>Falagas ME.</w:t>
      </w:r>
      <w:r w:rsidR="000B5261" w:rsidRPr="00276B7E">
        <w:rPr>
          <w:rFonts w:ascii="Arial" w:hAnsi="Arial" w:cs="Arial"/>
          <w:sz w:val="20"/>
          <w:szCs w:val="20"/>
        </w:rPr>
        <w:t xml:space="preserve"> (2009).</w:t>
      </w:r>
      <w:r w:rsidRPr="00276B7E">
        <w:rPr>
          <w:rFonts w:ascii="Arial" w:hAnsi="Arial" w:cs="Arial"/>
          <w:sz w:val="20"/>
          <w:szCs w:val="20"/>
        </w:rPr>
        <w:t xml:space="preserve"> Citrobacter infections in a general </w:t>
      </w:r>
      <w:proofErr w:type="gramStart"/>
      <w:r w:rsidRPr="00276B7E">
        <w:rPr>
          <w:rFonts w:ascii="Arial" w:hAnsi="Arial" w:cs="Arial"/>
          <w:sz w:val="20"/>
          <w:szCs w:val="20"/>
        </w:rPr>
        <w:t>hospital:</w:t>
      </w:r>
      <w:proofErr w:type="gramEnd"/>
      <w:r w:rsidRPr="00276B7E">
        <w:rPr>
          <w:rFonts w:ascii="Arial" w:hAnsi="Arial" w:cs="Arial"/>
          <w:sz w:val="20"/>
          <w:szCs w:val="20"/>
        </w:rPr>
        <w:t xml:space="preserve"> characteristics and outcomes. </w:t>
      </w:r>
      <w:r w:rsidR="003A4F7B" w:rsidRPr="00276B7E">
        <w:rPr>
          <w:rFonts w:ascii="Arial" w:hAnsi="Arial" w:cs="Arial"/>
          <w:i/>
          <w:sz w:val="20"/>
          <w:szCs w:val="20"/>
        </w:rPr>
        <w:t>European Journal of Clinical Microbiology &amp; Infectious Diseases</w:t>
      </w:r>
      <w:r w:rsidR="000B5261" w:rsidRPr="00276B7E">
        <w:rPr>
          <w:rFonts w:ascii="Arial" w:hAnsi="Arial" w:cs="Arial"/>
          <w:sz w:val="20"/>
          <w:szCs w:val="20"/>
        </w:rPr>
        <w:t xml:space="preserve">, </w:t>
      </w:r>
      <w:r w:rsidRPr="00276B7E">
        <w:rPr>
          <w:rFonts w:ascii="Arial" w:hAnsi="Arial" w:cs="Arial"/>
          <w:sz w:val="20"/>
          <w:szCs w:val="20"/>
        </w:rPr>
        <w:t>28(1</w:t>
      </w:r>
      <w:proofErr w:type="gramStart"/>
      <w:r w:rsidRPr="00276B7E">
        <w:rPr>
          <w:rFonts w:ascii="Arial" w:hAnsi="Arial" w:cs="Arial"/>
          <w:sz w:val="20"/>
          <w:szCs w:val="20"/>
        </w:rPr>
        <w:t>):</w:t>
      </w:r>
      <w:proofErr w:type="gramEnd"/>
      <w:r w:rsidRPr="00276B7E">
        <w:rPr>
          <w:rFonts w:ascii="Arial" w:hAnsi="Arial" w:cs="Arial"/>
          <w:sz w:val="20"/>
          <w:szCs w:val="20"/>
        </w:rPr>
        <w:t xml:space="preserve">61-68. </w:t>
      </w:r>
    </w:p>
    <w:p w14:paraId="6B83F1BD"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lastRenderedPageBreak/>
        <w:t>20.</w:t>
      </w:r>
      <w:r w:rsidRPr="00276B7E">
        <w:rPr>
          <w:rFonts w:ascii="Arial" w:hAnsi="Arial" w:cs="Arial"/>
          <w:sz w:val="20"/>
          <w:szCs w:val="20"/>
        </w:rPr>
        <w:tab/>
        <w:t>Kanyangarara</w:t>
      </w:r>
      <w:r w:rsidR="000B5261" w:rsidRPr="00276B7E">
        <w:rPr>
          <w:rFonts w:ascii="Arial" w:hAnsi="Arial" w:cs="Arial"/>
          <w:sz w:val="20"/>
          <w:szCs w:val="20"/>
        </w:rPr>
        <w:t>,</w:t>
      </w:r>
      <w:r w:rsidRPr="00276B7E">
        <w:rPr>
          <w:rFonts w:ascii="Arial" w:hAnsi="Arial" w:cs="Arial"/>
          <w:sz w:val="20"/>
          <w:szCs w:val="20"/>
        </w:rPr>
        <w:t xml:space="preserve"> M</w:t>
      </w:r>
      <w:r w:rsidR="000B5261" w:rsidRPr="00276B7E">
        <w:rPr>
          <w:rFonts w:ascii="Arial" w:hAnsi="Arial" w:cs="Arial"/>
          <w:sz w:val="20"/>
          <w:szCs w:val="20"/>
        </w:rPr>
        <w:t>.</w:t>
      </w:r>
      <w:r w:rsidRPr="00276B7E">
        <w:rPr>
          <w:rFonts w:ascii="Arial" w:hAnsi="Arial" w:cs="Arial"/>
          <w:sz w:val="20"/>
          <w:szCs w:val="20"/>
        </w:rPr>
        <w:t>, Allen</w:t>
      </w:r>
      <w:r w:rsidR="000B5261" w:rsidRPr="00276B7E">
        <w:rPr>
          <w:rFonts w:ascii="Arial" w:hAnsi="Arial" w:cs="Arial"/>
          <w:sz w:val="20"/>
          <w:szCs w:val="20"/>
        </w:rPr>
        <w:t>,</w:t>
      </w:r>
      <w:r w:rsidRPr="00276B7E">
        <w:rPr>
          <w:rFonts w:ascii="Arial" w:hAnsi="Arial" w:cs="Arial"/>
          <w:sz w:val="20"/>
          <w:szCs w:val="20"/>
        </w:rPr>
        <w:t xml:space="preserve"> S</w:t>
      </w:r>
      <w:r w:rsidR="000B5261" w:rsidRPr="00276B7E">
        <w:rPr>
          <w:rFonts w:ascii="Arial" w:hAnsi="Arial" w:cs="Arial"/>
          <w:sz w:val="20"/>
          <w:szCs w:val="20"/>
        </w:rPr>
        <w:t>.</w:t>
      </w:r>
      <w:r w:rsidRPr="00276B7E">
        <w:rPr>
          <w:rFonts w:ascii="Arial" w:hAnsi="Arial" w:cs="Arial"/>
          <w:sz w:val="20"/>
          <w:szCs w:val="20"/>
        </w:rPr>
        <w:t>, Jiwani</w:t>
      </w:r>
      <w:r w:rsidR="000B5261" w:rsidRPr="00276B7E">
        <w:rPr>
          <w:rFonts w:ascii="Arial" w:hAnsi="Arial" w:cs="Arial"/>
          <w:sz w:val="20"/>
          <w:szCs w:val="20"/>
        </w:rPr>
        <w:t>,</w:t>
      </w:r>
      <w:r w:rsidRPr="00276B7E">
        <w:rPr>
          <w:rFonts w:ascii="Arial" w:hAnsi="Arial" w:cs="Arial"/>
          <w:sz w:val="20"/>
          <w:szCs w:val="20"/>
        </w:rPr>
        <w:t xml:space="preserve"> SS</w:t>
      </w:r>
      <w:r w:rsidR="000B5261" w:rsidRPr="00276B7E">
        <w:rPr>
          <w:rFonts w:ascii="Arial" w:hAnsi="Arial" w:cs="Arial"/>
          <w:sz w:val="20"/>
          <w:szCs w:val="20"/>
        </w:rPr>
        <w:t>.</w:t>
      </w:r>
      <w:r w:rsidRPr="00276B7E">
        <w:rPr>
          <w:rFonts w:ascii="Arial" w:hAnsi="Arial" w:cs="Arial"/>
          <w:sz w:val="20"/>
          <w:szCs w:val="20"/>
        </w:rPr>
        <w:t xml:space="preserve">, </w:t>
      </w:r>
      <w:r w:rsidR="000B5261" w:rsidRPr="00276B7E">
        <w:rPr>
          <w:rFonts w:ascii="Arial" w:hAnsi="Arial" w:cs="Arial"/>
          <w:sz w:val="20"/>
          <w:szCs w:val="20"/>
        </w:rPr>
        <w:t xml:space="preserve">&amp; </w:t>
      </w:r>
      <w:r w:rsidRPr="00276B7E">
        <w:rPr>
          <w:rFonts w:ascii="Arial" w:hAnsi="Arial" w:cs="Arial"/>
          <w:sz w:val="20"/>
          <w:szCs w:val="20"/>
        </w:rPr>
        <w:t>Fuente</w:t>
      </w:r>
      <w:r w:rsidR="000B5261" w:rsidRPr="00276B7E">
        <w:rPr>
          <w:rFonts w:ascii="Arial" w:hAnsi="Arial" w:cs="Arial"/>
          <w:sz w:val="20"/>
          <w:szCs w:val="20"/>
        </w:rPr>
        <w:t>,</w:t>
      </w:r>
      <w:r w:rsidRPr="00276B7E">
        <w:rPr>
          <w:rFonts w:ascii="Arial" w:hAnsi="Arial" w:cs="Arial"/>
          <w:sz w:val="20"/>
          <w:szCs w:val="20"/>
        </w:rPr>
        <w:t xml:space="preserve"> D. </w:t>
      </w:r>
      <w:r w:rsidR="000B5261" w:rsidRPr="00276B7E">
        <w:rPr>
          <w:rFonts w:ascii="Arial" w:hAnsi="Arial" w:cs="Arial"/>
          <w:sz w:val="20"/>
          <w:szCs w:val="20"/>
        </w:rPr>
        <w:t xml:space="preserve">(2021). </w:t>
      </w:r>
      <w:r w:rsidRPr="00276B7E">
        <w:rPr>
          <w:rFonts w:ascii="Arial" w:hAnsi="Arial" w:cs="Arial"/>
          <w:sz w:val="20"/>
          <w:szCs w:val="20"/>
        </w:rPr>
        <w:t>Access to water, sanitation and hygiene services in health facilities in sub-Saharan Africa 2013-</w:t>
      </w:r>
      <w:proofErr w:type="gramStart"/>
      <w:r w:rsidRPr="00276B7E">
        <w:rPr>
          <w:rFonts w:ascii="Arial" w:hAnsi="Arial" w:cs="Arial"/>
          <w:sz w:val="20"/>
          <w:szCs w:val="20"/>
        </w:rPr>
        <w:t>2018:</w:t>
      </w:r>
      <w:proofErr w:type="gramEnd"/>
      <w:r w:rsidRPr="00276B7E">
        <w:rPr>
          <w:rFonts w:ascii="Arial" w:hAnsi="Arial" w:cs="Arial"/>
          <w:sz w:val="20"/>
          <w:szCs w:val="20"/>
        </w:rPr>
        <w:t xml:space="preserve"> Results of health facility surveys and implications for COVID-19 transmission. </w:t>
      </w:r>
      <w:r w:rsidR="003A4F7B" w:rsidRPr="00276B7E">
        <w:rPr>
          <w:rFonts w:ascii="Arial" w:hAnsi="Arial" w:cs="Arial"/>
          <w:i/>
          <w:sz w:val="20"/>
          <w:szCs w:val="20"/>
        </w:rPr>
        <w:t>BMC Health Services Research</w:t>
      </w:r>
      <w:r w:rsidR="000B5261" w:rsidRPr="00276B7E">
        <w:rPr>
          <w:rFonts w:ascii="Arial" w:hAnsi="Arial" w:cs="Arial"/>
          <w:i/>
          <w:sz w:val="20"/>
          <w:szCs w:val="20"/>
        </w:rPr>
        <w:t>,</w:t>
      </w:r>
      <w:r w:rsidR="000B5261" w:rsidRPr="00276B7E">
        <w:rPr>
          <w:rFonts w:ascii="Arial" w:hAnsi="Arial" w:cs="Arial"/>
          <w:sz w:val="20"/>
          <w:szCs w:val="20"/>
        </w:rPr>
        <w:t xml:space="preserve"> </w:t>
      </w:r>
      <w:r w:rsidRPr="00276B7E">
        <w:rPr>
          <w:rFonts w:ascii="Arial" w:hAnsi="Arial" w:cs="Arial"/>
          <w:sz w:val="20"/>
          <w:szCs w:val="20"/>
        </w:rPr>
        <w:t>21(1</w:t>
      </w:r>
      <w:proofErr w:type="gramStart"/>
      <w:r w:rsidRPr="00276B7E">
        <w:rPr>
          <w:rFonts w:ascii="Arial" w:hAnsi="Arial" w:cs="Arial"/>
          <w:sz w:val="20"/>
          <w:szCs w:val="20"/>
        </w:rPr>
        <w:t>):</w:t>
      </w:r>
      <w:proofErr w:type="gramEnd"/>
      <w:r w:rsidRPr="00276B7E">
        <w:rPr>
          <w:rFonts w:ascii="Arial" w:hAnsi="Arial" w:cs="Arial"/>
          <w:sz w:val="20"/>
          <w:szCs w:val="20"/>
        </w:rPr>
        <w:t xml:space="preserve">601. </w:t>
      </w:r>
    </w:p>
    <w:p w14:paraId="3FDDE362"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21.</w:t>
      </w:r>
      <w:r w:rsidRPr="00276B7E">
        <w:rPr>
          <w:rFonts w:ascii="Arial" w:hAnsi="Arial" w:cs="Arial"/>
          <w:sz w:val="20"/>
          <w:szCs w:val="20"/>
        </w:rPr>
        <w:tab/>
        <w:t>Cissé</w:t>
      </w:r>
      <w:r w:rsidR="000B5261" w:rsidRPr="00276B7E">
        <w:rPr>
          <w:rFonts w:ascii="Arial" w:hAnsi="Arial" w:cs="Arial"/>
          <w:sz w:val="20"/>
          <w:szCs w:val="20"/>
        </w:rPr>
        <w:t>,</w:t>
      </w:r>
      <w:r w:rsidRPr="00276B7E">
        <w:rPr>
          <w:rFonts w:ascii="Arial" w:hAnsi="Arial" w:cs="Arial"/>
          <w:sz w:val="20"/>
          <w:szCs w:val="20"/>
        </w:rPr>
        <w:t xml:space="preserve"> DM</w:t>
      </w:r>
      <w:r w:rsidR="000B5261" w:rsidRPr="00276B7E">
        <w:rPr>
          <w:rFonts w:ascii="Arial" w:hAnsi="Arial" w:cs="Arial"/>
          <w:sz w:val="20"/>
          <w:szCs w:val="20"/>
        </w:rPr>
        <w:t>.</w:t>
      </w:r>
      <w:r w:rsidRPr="00276B7E">
        <w:rPr>
          <w:rFonts w:ascii="Arial" w:hAnsi="Arial" w:cs="Arial"/>
          <w:sz w:val="20"/>
          <w:szCs w:val="20"/>
        </w:rPr>
        <w:t>, Laure</w:t>
      </w:r>
      <w:r w:rsidR="000B5261" w:rsidRPr="00276B7E">
        <w:rPr>
          <w:rFonts w:ascii="Arial" w:hAnsi="Arial" w:cs="Arial"/>
          <w:sz w:val="20"/>
          <w:szCs w:val="20"/>
        </w:rPr>
        <w:t>,</w:t>
      </w:r>
      <w:r w:rsidRPr="00276B7E">
        <w:rPr>
          <w:rFonts w:ascii="Arial" w:hAnsi="Arial" w:cs="Arial"/>
          <w:sz w:val="20"/>
          <w:szCs w:val="20"/>
        </w:rPr>
        <w:t xml:space="preserve"> EEM</w:t>
      </w:r>
      <w:r w:rsidR="000B5261" w:rsidRPr="00276B7E">
        <w:rPr>
          <w:rFonts w:ascii="Arial" w:hAnsi="Arial" w:cs="Arial"/>
          <w:sz w:val="20"/>
          <w:szCs w:val="20"/>
        </w:rPr>
        <w:t>.</w:t>
      </w:r>
      <w:r w:rsidRPr="00276B7E">
        <w:rPr>
          <w:rFonts w:ascii="Arial" w:hAnsi="Arial" w:cs="Arial"/>
          <w:sz w:val="20"/>
          <w:szCs w:val="20"/>
        </w:rPr>
        <w:t>, Blaise</w:t>
      </w:r>
      <w:r w:rsidR="000B5261" w:rsidRPr="00276B7E">
        <w:rPr>
          <w:rFonts w:ascii="Arial" w:hAnsi="Arial" w:cs="Arial"/>
          <w:sz w:val="20"/>
          <w:szCs w:val="20"/>
        </w:rPr>
        <w:t>,</w:t>
      </w:r>
      <w:r w:rsidRPr="00276B7E">
        <w:rPr>
          <w:rFonts w:ascii="Arial" w:hAnsi="Arial" w:cs="Arial"/>
          <w:sz w:val="20"/>
          <w:szCs w:val="20"/>
        </w:rPr>
        <w:t xml:space="preserve"> KA</w:t>
      </w:r>
      <w:r w:rsidR="000B5261" w:rsidRPr="00276B7E">
        <w:rPr>
          <w:rFonts w:ascii="Arial" w:hAnsi="Arial" w:cs="Arial"/>
          <w:sz w:val="20"/>
          <w:szCs w:val="20"/>
        </w:rPr>
        <w:t>., Jean-</w:t>
      </w:r>
      <w:r w:rsidRPr="00276B7E">
        <w:rPr>
          <w:rFonts w:ascii="Arial" w:hAnsi="Arial" w:cs="Arial"/>
          <w:sz w:val="20"/>
          <w:szCs w:val="20"/>
        </w:rPr>
        <w:t>Paul</w:t>
      </w:r>
      <w:r w:rsidR="000B5261" w:rsidRPr="00276B7E">
        <w:rPr>
          <w:rFonts w:ascii="Arial" w:hAnsi="Arial" w:cs="Arial"/>
          <w:sz w:val="20"/>
          <w:szCs w:val="20"/>
        </w:rPr>
        <w:t>,</w:t>
      </w:r>
      <w:r w:rsidRPr="00276B7E">
        <w:rPr>
          <w:rFonts w:ascii="Arial" w:hAnsi="Arial" w:cs="Arial"/>
          <w:sz w:val="20"/>
          <w:szCs w:val="20"/>
        </w:rPr>
        <w:t xml:space="preserve"> NN</w:t>
      </w:r>
      <w:r w:rsidR="000B5261" w:rsidRPr="00276B7E">
        <w:rPr>
          <w:rFonts w:ascii="Arial" w:hAnsi="Arial" w:cs="Arial"/>
          <w:sz w:val="20"/>
          <w:szCs w:val="20"/>
        </w:rPr>
        <w:t>.</w:t>
      </w:r>
      <w:r w:rsidRPr="00276B7E">
        <w:rPr>
          <w:rFonts w:ascii="Arial" w:hAnsi="Arial" w:cs="Arial"/>
          <w:sz w:val="20"/>
          <w:szCs w:val="20"/>
        </w:rPr>
        <w:t>, Gbonon</w:t>
      </w:r>
      <w:r w:rsidR="000B5261" w:rsidRPr="00276B7E">
        <w:rPr>
          <w:rFonts w:ascii="Arial" w:hAnsi="Arial" w:cs="Arial"/>
          <w:sz w:val="20"/>
          <w:szCs w:val="20"/>
        </w:rPr>
        <w:t>,</w:t>
      </w:r>
      <w:r w:rsidRPr="00276B7E">
        <w:rPr>
          <w:rFonts w:ascii="Arial" w:hAnsi="Arial" w:cs="Arial"/>
          <w:sz w:val="20"/>
          <w:szCs w:val="20"/>
        </w:rPr>
        <w:t xml:space="preserve"> MV</w:t>
      </w:r>
      <w:r w:rsidR="000B5261" w:rsidRPr="00276B7E">
        <w:rPr>
          <w:rFonts w:ascii="Arial" w:hAnsi="Arial" w:cs="Arial"/>
          <w:sz w:val="20"/>
          <w:szCs w:val="20"/>
        </w:rPr>
        <w:t>.</w:t>
      </w:r>
      <w:r w:rsidRPr="00276B7E">
        <w:rPr>
          <w:rFonts w:ascii="Arial" w:hAnsi="Arial" w:cs="Arial"/>
          <w:sz w:val="20"/>
          <w:szCs w:val="20"/>
        </w:rPr>
        <w:t>, Mayaka</w:t>
      </w:r>
      <w:r w:rsidR="000B5261" w:rsidRPr="00276B7E">
        <w:rPr>
          <w:rFonts w:ascii="Arial" w:hAnsi="Arial" w:cs="Arial"/>
          <w:sz w:val="20"/>
          <w:szCs w:val="20"/>
        </w:rPr>
        <w:t>,</w:t>
      </w:r>
      <w:r w:rsidRPr="00276B7E">
        <w:rPr>
          <w:rFonts w:ascii="Arial" w:hAnsi="Arial" w:cs="Arial"/>
          <w:sz w:val="20"/>
          <w:szCs w:val="20"/>
        </w:rPr>
        <w:t xml:space="preserve"> CRA</w:t>
      </w:r>
      <w:r w:rsidR="000B5261" w:rsidRPr="00276B7E">
        <w:rPr>
          <w:rFonts w:ascii="Arial" w:hAnsi="Arial" w:cs="Arial"/>
          <w:sz w:val="20"/>
          <w:szCs w:val="20"/>
        </w:rPr>
        <w:t>.</w:t>
      </w:r>
      <w:r w:rsidRPr="00276B7E">
        <w:rPr>
          <w:rFonts w:ascii="Arial" w:hAnsi="Arial" w:cs="Arial"/>
          <w:sz w:val="20"/>
          <w:szCs w:val="20"/>
        </w:rPr>
        <w:t>, Eugénie</w:t>
      </w:r>
      <w:r w:rsidR="000B5261" w:rsidRPr="00276B7E">
        <w:rPr>
          <w:rFonts w:ascii="Arial" w:hAnsi="Arial" w:cs="Arial"/>
          <w:sz w:val="20"/>
          <w:szCs w:val="20"/>
        </w:rPr>
        <w:t>,</w:t>
      </w:r>
      <w:r w:rsidRPr="00276B7E">
        <w:rPr>
          <w:rFonts w:ascii="Arial" w:hAnsi="Arial" w:cs="Arial"/>
          <w:sz w:val="20"/>
          <w:szCs w:val="20"/>
        </w:rPr>
        <w:t xml:space="preserve"> GD</w:t>
      </w:r>
      <w:r w:rsidR="000B5261" w:rsidRPr="00276B7E">
        <w:rPr>
          <w:rFonts w:ascii="Arial" w:hAnsi="Arial" w:cs="Arial"/>
          <w:sz w:val="20"/>
          <w:szCs w:val="20"/>
        </w:rPr>
        <w:t>.</w:t>
      </w:r>
      <w:r w:rsidRPr="00276B7E">
        <w:rPr>
          <w:rFonts w:ascii="Arial" w:hAnsi="Arial" w:cs="Arial"/>
          <w:sz w:val="20"/>
          <w:szCs w:val="20"/>
        </w:rPr>
        <w:t>, Simplice</w:t>
      </w:r>
      <w:r w:rsidR="000B5261" w:rsidRPr="00276B7E">
        <w:rPr>
          <w:rFonts w:ascii="Arial" w:hAnsi="Arial" w:cs="Arial"/>
          <w:sz w:val="20"/>
          <w:szCs w:val="20"/>
        </w:rPr>
        <w:t>,</w:t>
      </w:r>
      <w:r w:rsidRPr="00276B7E">
        <w:rPr>
          <w:rFonts w:ascii="Arial" w:hAnsi="Arial" w:cs="Arial"/>
          <w:sz w:val="20"/>
          <w:szCs w:val="20"/>
        </w:rPr>
        <w:t xml:space="preserve"> DN</w:t>
      </w:r>
      <w:r w:rsidR="000B5261" w:rsidRPr="00276B7E">
        <w:rPr>
          <w:rFonts w:ascii="Arial" w:hAnsi="Arial" w:cs="Arial"/>
          <w:sz w:val="20"/>
          <w:szCs w:val="20"/>
        </w:rPr>
        <w:t>.</w:t>
      </w:r>
      <w:r w:rsidRPr="00276B7E">
        <w:rPr>
          <w:rFonts w:ascii="Arial" w:hAnsi="Arial" w:cs="Arial"/>
          <w:sz w:val="20"/>
          <w:szCs w:val="20"/>
        </w:rPr>
        <w:t>, Philippe KL</w:t>
      </w:r>
      <w:r w:rsidR="009A54EA" w:rsidRPr="00276B7E">
        <w:rPr>
          <w:rFonts w:ascii="Arial" w:hAnsi="Arial" w:cs="Arial"/>
          <w:sz w:val="20"/>
          <w:szCs w:val="20"/>
        </w:rPr>
        <w:t>.</w:t>
      </w:r>
      <w:r w:rsidRPr="00276B7E">
        <w:rPr>
          <w:rFonts w:ascii="Arial" w:hAnsi="Arial" w:cs="Arial"/>
          <w:sz w:val="20"/>
          <w:szCs w:val="20"/>
        </w:rPr>
        <w:t xml:space="preserve">, </w:t>
      </w:r>
      <w:r w:rsidR="009A54EA" w:rsidRPr="00276B7E">
        <w:rPr>
          <w:rFonts w:ascii="Arial" w:hAnsi="Arial" w:cs="Arial"/>
          <w:sz w:val="20"/>
          <w:szCs w:val="20"/>
        </w:rPr>
        <w:t xml:space="preserve">&amp; </w:t>
      </w:r>
      <w:r w:rsidRPr="00276B7E">
        <w:rPr>
          <w:rFonts w:ascii="Arial" w:hAnsi="Arial" w:cs="Arial"/>
          <w:sz w:val="20"/>
          <w:szCs w:val="20"/>
        </w:rPr>
        <w:t>Mamadou</w:t>
      </w:r>
      <w:r w:rsidR="009A54EA" w:rsidRPr="00276B7E">
        <w:rPr>
          <w:rFonts w:ascii="Arial" w:hAnsi="Arial" w:cs="Arial"/>
          <w:sz w:val="20"/>
          <w:szCs w:val="20"/>
        </w:rPr>
        <w:t>,</w:t>
      </w:r>
      <w:r w:rsidRPr="00276B7E">
        <w:rPr>
          <w:rFonts w:ascii="Arial" w:hAnsi="Arial" w:cs="Arial"/>
          <w:sz w:val="20"/>
          <w:szCs w:val="20"/>
        </w:rPr>
        <w:t xml:space="preserve"> S. </w:t>
      </w:r>
      <w:r w:rsidR="009A54EA" w:rsidRPr="00276B7E">
        <w:rPr>
          <w:rFonts w:ascii="Arial" w:hAnsi="Arial" w:cs="Arial"/>
          <w:sz w:val="20"/>
          <w:szCs w:val="20"/>
        </w:rPr>
        <w:t xml:space="preserve">(2023). </w:t>
      </w:r>
      <w:r w:rsidRPr="00276B7E">
        <w:rPr>
          <w:rFonts w:ascii="Arial" w:hAnsi="Arial" w:cs="Arial"/>
          <w:sz w:val="20"/>
          <w:szCs w:val="20"/>
        </w:rPr>
        <w:t xml:space="preserve">Evaluation of the implementation of hospital hygiene components in 30 health-care facilities in the autonomous district of Abidjan (Côte d'Ivoire) with the WHO Infection Prevention and Control Assessment Framework (IPCAF). </w:t>
      </w:r>
      <w:r w:rsidR="003A4F7B" w:rsidRPr="00276B7E">
        <w:rPr>
          <w:rFonts w:ascii="Arial" w:hAnsi="Arial" w:cs="Arial"/>
          <w:i/>
          <w:sz w:val="20"/>
          <w:szCs w:val="20"/>
        </w:rPr>
        <w:t>BMC Health Services Research</w:t>
      </w:r>
      <w:r w:rsidR="009A54EA" w:rsidRPr="00276B7E">
        <w:rPr>
          <w:rFonts w:ascii="Arial" w:hAnsi="Arial" w:cs="Arial"/>
          <w:sz w:val="20"/>
          <w:szCs w:val="20"/>
        </w:rPr>
        <w:t>,</w:t>
      </w:r>
      <w:r w:rsidRPr="00276B7E">
        <w:rPr>
          <w:rFonts w:ascii="Arial" w:hAnsi="Arial" w:cs="Arial"/>
          <w:sz w:val="20"/>
          <w:szCs w:val="20"/>
        </w:rPr>
        <w:t xml:space="preserve"> 23(1</w:t>
      </w:r>
      <w:proofErr w:type="gramStart"/>
      <w:r w:rsidRPr="00276B7E">
        <w:rPr>
          <w:rFonts w:ascii="Arial" w:hAnsi="Arial" w:cs="Arial"/>
          <w:sz w:val="20"/>
          <w:szCs w:val="20"/>
        </w:rPr>
        <w:t>):</w:t>
      </w:r>
      <w:proofErr w:type="gramEnd"/>
      <w:r w:rsidRPr="00276B7E">
        <w:rPr>
          <w:rFonts w:ascii="Arial" w:hAnsi="Arial" w:cs="Arial"/>
          <w:sz w:val="20"/>
          <w:szCs w:val="20"/>
        </w:rPr>
        <w:t xml:space="preserve">870. </w:t>
      </w:r>
    </w:p>
    <w:p w14:paraId="3E690D07"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22.</w:t>
      </w:r>
      <w:r w:rsidRPr="00276B7E">
        <w:rPr>
          <w:rFonts w:ascii="Arial" w:hAnsi="Arial" w:cs="Arial"/>
          <w:sz w:val="20"/>
          <w:szCs w:val="20"/>
        </w:rPr>
        <w:tab/>
        <w:t>Gbegbe</w:t>
      </w:r>
      <w:r w:rsidR="007E4F7D" w:rsidRPr="00276B7E">
        <w:rPr>
          <w:rFonts w:ascii="Arial" w:hAnsi="Arial" w:cs="Arial"/>
          <w:sz w:val="20"/>
          <w:szCs w:val="20"/>
        </w:rPr>
        <w:t>,</w:t>
      </w:r>
      <w:r w:rsidRPr="00276B7E">
        <w:rPr>
          <w:rFonts w:ascii="Arial" w:hAnsi="Arial" w:cs="Arial"/>
          <w:sz w:val="20"/>
          <w:szCs w:val="20"/>
        </w:rPr>
        <w:t xml:space="preserve"> Da</w:t>
      </w:r>
      <w:r w:rsidR="007E4F7D" w:rsidRPr="00276B7E">
        <w:rPr>
          <w:rFonts w:ascii="Arial" w:hAnsi="Arial" w:cs="Arial"/>
          <w:sz w:val="20"/>
          <w:szCs w:val="20"/>
        </w:rPr>
        <w:t>.</w:t>
      </w:r>
      <w:r w:rsidRPr="00276B7E">
        <w:rPr>
          <w:rFonts w:ascii="Arial" w:hAnsi="Arial" w:cs="Arial"/>
          <w:sz w:val="20"/>
          <w:szCs w:val="20"/>
        </w:rPr>
        <w:t>, N’zi</w:t>
      </w:r>
      <w:r w:rsidR="007E4F7D" w:rsidRPr="00276B7E">
        <w:rPr>
          <w:rFonts w:ascii="Arial" w:hAnsi="Arial" w:cs="Arial"/>
          <w:sz w:val="20"/>
          <w:szCs w:val="20"/>
        </w:rPr>
        <w:t>,</w:t>
      </w:r>
      <w:r w:rsidRPr="00276B7E">
        <w:rPr>
          <w:rFonts w:ascii="Arial" w:hAnsi="Arial" w:cs="Arial"/>
          <w:sz w:val="20"/>
          <w:szCs w:val="20"/>
        </w:rPr>
        <w:t xml:space="preserve"> NP</w:t>
      </w:r>
      <w:r w:rsidR="007E4F7D" w:rsidRPr="00276B7E">
        <w:rPr>
          <w:rFonts w:ascii="Arial" w:hAnsi="Arial" w:cs="Arial"/>
          <w:sz w:val="20"/>
          <w:szCs w:val="20"/>
        </w:rPr>
        <w:t>.</w:t>
      </w:r>
      <w:r w:rsidRPr="00276B7E">
        <w:rPr>
          <w:rFonts w:ascii="Arial" w:hAnsi="Arial" w:cs="Arial"/>
          <w:sz w:val="20"/>
          <w:szCs w:val="20"/>
        </w:rPr>
        <w:t>, Monthaut</w:t>
      </w:r>
      <w:r w:rsidR="007E4F7D" w:rsidRPr="00276B7E">
        <w:rPr>
          <w:rFonts w:ascii="Arial" w:hAnsi="Arial" w:cs="Arial"/>
          <w:sz w:val="20"/>
          <w:szCs w:val="20"/>
        </w:rPr>
        <w:t>,</w:t>
      </w:r>
      <w:r w:rsidRPr="00276B7E">
        <w:rPr>
          <w:rFonts w:ascii="Arial" w:hAnsi="Arial" w:cs="Arial"/>
          <w:sz w:val="20"/>
          <w:szCs w:val="20"/>
        </w:rPr>
        <w:t xml:space="preserve"> S</w:t>
      </w:r>
      <w:r w:rsidR="007E4F7D" w:rsidRPr="00276B7E">
        <w:rPr>
          <w:rFonts w:ascii="Arial" w:hAnsi="Arial" w:cs="Arial"/>
          <w:sz w:val="20"/>
          <w:szCs w:val="20"/>
        </w:rPr>
        <w:t>.</w:t>
      </w:r>
      <w:r w:rsidRPr="00276B7E">
        <w:rPr>
          <w:rFonts w:ascii="Arial" w:hAnsi="Arial" w:cs="Arial"/>
          <w:sz w:val="20"/>
          <w:szCs w:val="20"/>
        </w:rPr>
        <w:t>, Alle</w:t>
      </w:r>
      <w:r w:rsidR="007E4F7D" w:rsidRPr="00276B7E">
        <w:rPr>
          <w:rFonts w:ascii="Arial" w:hAnsi="Arial" w:cs="Arial"/>
          <w:sz w:val="20"/>
          <w:szCs w:val="20"/>
        </w:rPr>
        <w:t>,</w:t>
      </w:r>
      <w:r w:rsidRPr="00276B7E">
        <w:rPr>
          <w:rFonts w:ascii="Arial" w:hAnsi="Arial" w:cs="Arial"/>
          <w:sz w:val="20"/>
          <w:szCs w:val="20"/>
        </w:rPr>
        <w:t xml:space="preserve"> AP</w:t>
      </w:r>
      <w:r w:rsidR="007E4F7D" w:rsidRPr="00276B7E">
        <w:rPr>
          <w:rFonts w:ascii="Arial" w:hAnsi="Arial" w:cs="Arial"/>
          <w:sz w:val="20"/>
          <w:szCs w:val="20"/>
        </w:rPr>
        <w:t>.</w:t>
      </w:r>
      <w:r w:rsidRPr="00276B7E">
        <w:rPr>
          <w:rFonts w:ascii="Arial" w:hAnsi="Arial" w:cs="Arial"/>
          <w:sz w:val="20"/>
          <w:szCs w:val="20"/>
        </w:rPr>
        <w:t xml:space="preserve">, </w:t>
      </w:r>
      <w:r w:rsidR="007E4F7D" w:rsidRPr="00276B7E">
        <w:rPr>
          <w:rFonts w:ascii="Arial" w:hAnsi="Arial" w:cs="Arial"/>
          <w:sz w:val="20"/>
          <w:szCs w:val="20"/>
        </w:rPr>
        <w:t xml:space="preserve">&amp; </w:t>
      </w:r>
      <w:r w:rsidRPr="00276B7E">
        <w:rPr>
          <w:rFonts w:ascii="Arial" w:hAnsi="Arial" w:cs="Arial"/>
          <w:sz w:val="20"/>
          <w:szCs w:val="20"/>
        </w:rPr>
        <w:t>Angaman</w:t>
      </w:r>
      <w:r w:rsidR="007E4F7D" w:rsidRPr="00276B7E">
        <w:rPr>
          <w:rFonts w:ascii="Arial" w:hAnsi="Arial" w:cs="Arial"/>
          <w:sz w:val="20"/>
          <w:szCs w:val="20"/>
        </w:rPr>
        <w:t>,</w:t>
      </w:r>
      <w:r w:rsidRPr="00276B7E">
        <w:rPr>
          <w:rFonts w:ascii="Arial" w:hAnsi="Arial" w:cs="Arial"/>
          <w:sz w:val="20"/>
          <w:szCs w:val="20"/>
        </w:rPr>
        <w:t xml:space="preserve"> DM. </w:t>
      </w:r>
      <w:r w:rsidR="007E4F7D" w:rsidRPr="00276B7E">
        <w:rPr>
          <w:rFonts w:ascii="Arial" w:hAnsi="Arial" w:cs="Arial"/>
          <w:sz w:val="20"/>
          <w:szCs w:val="20"/>
        </w:rPr>
        <w:t xml:space="preserve">(2023). </w:t>
      </w:r>
      <w:r w:rsidRPr="00276B7E">
        <w:rPr>
          <w:rFonts w:ascii="Arial" w:hAnsi="Arial" w:cs="Arial"/>
          <w:sz w:val="20"/>
          <w:szCs w:val="20"/>
        </w:rPr>
        <w:t xml:space="preserve">Prévalence et écologie microbienne des infections des voies urinaires au CHR de Daloa (Côte d’Ivoire) </w:t>
      </w:r>
      <w:r w:rsidR="003A4F7B" w:rsidRPr="00276B7E">
        <w:rPr>
          <w:rFonts w:ascii="Arial" w:hAnsi="Arial" w:cs="Arial"/>
          <w:i/>
          <w:sz w:val="20"/>
          <w:szCs w:val="20"/>
        </w:rPr>
        <w:t>Journal of Applied Biosciences</w:t>
      </w:r>
      <w:r w:rsidR="007E4F7D" w:rsidRPr="00276B7E">
        <w:rPr>
          <w:rFonts w:ascii="Arial" w:hAnsi="Arial" w:cs="Arial"/>
          <w:sz w:val="20"/>
          <w:szCs w:val="20"/>
        </w:rPr>
        <w:t>,</w:t>
      </w:r>
      <w:r w:rsidR="00B83755" w:rsidRPr="00276B7E">
        <w:rPr>
          <w:rFonts w:ascii="Arial" w:hAnsi="Arial" w:cs="Arial"/>
          <w:sz w:val="20"/>
          <w:szCs w:val="20"/>
        </w:rPr>
        <w:t xml:space="preserve"> </w:t>
      </w:r>
      <w:proofErr w:type="gramStart"/>
      <w:r w:rsidR="00B83755" w:rsidRPr="00276B7E">
        <w:rPr>
          <w:rFonts w:ascii="Arial" w:hAnsi="Arial" w:cs="Arial"/>
          <w:sz w:val="20"/>
          <w:szCs w:val="20"/>
        </w:rPr>
        <w:t>192:</w:t>
      </w:r>
      <w:proofErr w:type="gramEnd"/>
      <w:r w:rsidR="00B83755" w:rsidRPr="00276B7E">
        <w:rPr>
          <w:rFonts w:ascii="Arial" w:hAnsi="Arial" w:cs="Arial"/>
          <w:sz w:val="20"/>
          <w:szCs w:val="20"/>
        </w:rPr>
        <w:t xml:space="preserve"> 20319-20330.</w:t>
      </w:r>
    </w:p>
    <w:p w14:paraId="5F25AAFF"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23.</w:t>
      </w:r>
      <w:r w:rsidRPr="00276B7E">
        <w:rPr>
          <w:rFonts w:ascii="Arial" w:hAnsi="Arial" w:cs="Arial"/>
          <w:sz w:val="20"/>
          <w:szCs w:val="20"/>
        </w:rPr>
        <w:tab/>
        <w:t>Schmider</w:t>
      </w:r>
      <w:r w:rsidR="003913E6" w:rsidRPr="00276B7E">
        <w:rPr>
          <w:rFonts w:ascii="Arial" w:hAnsi="Arial" w:cs="Arial"/>
          <w:sz w:val="20"/>
          <w:szCs w:val="20"/>
        </w:rPr>
        <w:t>,</w:t>
      </w:r>
      <w:r w:rsidRPr="00276B7E">
        <w:rPr>
          <w:rFonts w:ascii="Arial" w:hAnsi="Arial" w:cs="Arial"/>
          <w:sz w:val="20"/>
          <w:szCs w:val="20"/>
        </w:rPr>
        <w:t xml:space="preserve"> J.</w:t>
      </w:r>
      <w:r w:rsidR="003913E6" w:rsidRPr="00276B7E">
        <w:rPr>
          <w:rFonts w:ascii="Arial" w:hAnsi="Arial" w:cs="Arial"/>
          <w:sz w:val="20"/>
          <w:szCs w:val="20"/>
        </w:rPr>
        <w:t>,</w:t>
      </w:r>
      <w:r w:rsidRPr="00276B7E">
        <w:rPr>
          <w:rFonts w:ascii="Arial" w:hAnsi="Arial" w:cs="Arial"/>
          <w:sz w:val="20"/>
          <w:szCs w:val="20"/>
        </w:rPr>
        <w:t xml:space="preserve"> Bühler</w:t>
      </w:r>
      <w:r w:rsidR="003913E6" w:rsidRPr="00276B7E">
        <w:rPr>
          <w:rFonts w:ascii="Arial" w:hAnsi="Arial" w:cs="Arial"/>
          <w:sz w:val="20"/>
          <w:szCs w:val="20"/>
        </w:rPr>
        <w:t>,</w:t>
      </w:r>
      <w:r w:rsidRPr="00276B7E">
        <w:rPr>
          <w:rFonts w:ascii="Arial" w:hAnsi="Arial" w:cs="Arial"/>
          <w:sz w:val="20"/>
          <w:szCs w:val="20"/>
        </w:rPr>
        <w:t xml:space="preserve"> N.</w:t>
      </w:r>
      <w:r w:rsidR="003913E6" w:rsidRPr="00276B7E">
        <w:rPr>
          <w:rFonts w:ascii="Arial" w:hAnsi="Arial" w:cs="Arial"/>
          <w:sz w:val="20"/>
          <w:szCs w:val="20"/>
        </w:rPr>
        <w:t>,</w:t>
      </w:r>
      <w:r w:rsidRPr="00276B7E">
        <w:rPr>
          <w:rFonts w:ascii="Arial" w:hAnsi="Arial" w:cs="Arial"/>
          <w:sz w:val="20"/>
          <w:szCs w:val="20"/>
        </w:rPr>
        <w:t xml:space="preserve"> Mkwatta</w:t>
      </w:r>
      <w:r w:rsidR="003913E6" w:rsidRPr="00276B7E">
        <w:rPr>
          <w:rFonts w:ascii="Arial" w:hAnsi="Arial" w:cs="Arial"/>
          <w:sz w:val="20"/>
          <w:szCs w:val="20"/>
        </w:rPr>
        <w:t>,</w:t>
      </w:r>
      <w:r w:rsidRPr="00276B7E">
        <w:rPr>
          <w:rFonts w:ascii="Arial" w:hAnsi="Arial" w:cs="Arial"/>
          <w:sz w:val="20"/>
          <w:szCs w:val="20"/>
        </w:rPr>
        <w:t xml:space="preserve"> H.</w:t>
      </w:r>
      <w:r w:rsidR="003913E6" w:rsidRPr="00276B7E">
        <w:rPr>
          <w:rFonts w:ascii="Arial" w:hAnsi="Arial" w:cs="Arial"/>
          <w:sz w:val="20"/>
          <w:szCs w:val="20"/>
        </w:rPr>
        <w:t>,</w:t>
      </w:r>
      <w:r w:rsidRPr="00276B7E">
        <w:rPr>
          <w:rFonts w:ascii="Arial" w:hAnsi="Arial" w:cs="Arial"/>
          <w:sz w:val="20"/>
          <w:szCs w:val="20"/>
        </w:rPr>
        <w:t xml:space="preserve"> Lechleiter</w:t>
      </w:r>
      <w:r w:rsidR="003913E6" w:rsidRPr="00276B7E">
        <w:rPr>
          <w:rFonts w:ascii="Arial" w:hAnsi="Arial" w:cs="Arial"/>
          <w:sz w:val="20"/>
          <w:szCs w:val="20"/>
        </w:rPr>
        <w:t>,</w:t>
      </w:r>
      <w:r w:rsidRPr="00276B7E">
        <w:rPr>
          <w:rFonts w:ascii="Arial" w:hAnsi="Arial" w:cs="Arial"/>
          <w:sz w:val="20"/>
          <w:szCs w:val="20"/>
        </w:rPr>
        <w:t xml:space="preserve"> A.</w:t>
      </w:r>
      <w:r w:rsidR="003913E6" w:rsidRPr="00276B7E">
        <w:rPr>
          <w:rFonts w:ascii="Arial" w:hAnsi="Arial" w:cs="Arial"/>
          <w:sz w:val="20"/>
          <w:szCs w:val="20"/>
        </w:rPr>
        <w:t>,</w:t>
      </w:r>
      <w:r w:rsidRPr="00276B7E">
        <w:rPr>
          <w:rFonts w:ascii="Arial" w:hAnsi="Arial" w:cs="Arial"/>
          <w:sz w:val="20"/>
          <w:szCs w:val="20"/>
        </w:rPr>
        <w:t xml:space="preserve"> Mlaganile</w:t>
      </w:r>
      <w:r w:rsidR="003913E6" w:rsidRPr="00276B7E">
        <w:rPr>
          <w:rFonts w:ascii="Arial" w:hAnsi="Arial" w:cs="Arial"/>
          <w:sz w:val="20"/>
          <w:szCs w:val="20"/>
        </w:rPr>
        <w:t>,</w:t>
      </w:r>
      <w:r w:rsidRPr="00276B7E">
        <w:rPr>
          <w:rFonts w:ascii="Arial" w:hAnsi="Arial" w:cs="Arial"/>
          <w:sz w:val="20"/>
          <w:szCs w:val="20"/>
        </w:rPr>
        <w:t xml:space="preserve"> T.</w:t>
      </w:r>
      <w:r w:rsidR="003913E6" w:rsidRPr="00276B7E">
        <w:rPr>
          <w:rFonts w:ascii="Arial" w:hAnsi="Arial" w:cs="Arial"/>
          <w:sz w:val="20"/>
          <w:szCs w:val="20"/>
        </w:rPr>
        <w:t>,</w:t>
      </w:r>
      <w:r w:rsidRPr="00276B7E">
        <w:rPr>
          <w:rFonts w:ascii="Arial" w:hAnsi="Arial" w:cs="Arial"/>
          <w:sz w:val="20"/>
          <w:szCs w:val="20"/>
        </w:rPr>
        <w:t xml:space="preserve"> Utzinger</w:t>
      </w:r>
      <w:r w:rsidR="003913E6" w:rsidRPr="00276B7E">
        <w:rPr>
          <w:rFonts w:ascii="Arial" w:hAnsi="Arial" w:cs="Arial"/>
          <w:sz w:val="20"/>
          <w:szCs w:val="20"/>
        </w:rPr>
        <w:t>,</w:t>
      </w:r>
      <w:r w:rsidRPr="00276B7E">
        <w:rPr>
          <w:rFonts w:ascii="Arial" w:hAnsi="Arial" w:cs="Arial"/>
          <w:sz w:val="20"/>
          <w:szCs w:val="20"/>
        </w:rPr>
        <w:t xml:space="preserve"> J</w:t>
      </w:r>
      <w:r w:rsidR="003913E6" w:rsidRPr="00276B7E">
        <w:rPr>
          <w:rFonts w:ascii="Arial" w:hAnsi="Arial" w:cs="Arial"/>
          <w:sz w:val="20"/>
          <w:szCs w:val="20"/>
        </w:rPr>
        <w:t>.</w:t>
      </w:r>
      <w:r w:rsidRPr="00276B7E">
        <w:rPr>
          <w:rFonts w:ascii="Arial" w:hAnsi="Arial" w:cs="Arial"/>
          <w:sz w:val="20"/>
          <w:szCs w:val="20"/>
        </w:rPr>
        <w:t xml:space="preserve">, et al. </w:t>
      </w:r>
      <w:r w:rsidR="003913E6" w:rsidRPr="00276B7E">
        <w:rPr>
          <w:rFonts w:ascii="Arial" w:hAnsi="Arial" w:cs="Arial"/>
          <w:sz w:val="20"/>
          <w:szCs w:val="20"/>
        </w:rPr>
        <w:t xml:space="preserve">(2022). </w:t>
      </w:r>
      <w:r w:rsidRPr="00276B7E">
        <w:rPr>
          <w:rFonts w:ascii="Arial" w:hAnsi="Arial" w:cs="Arial"/>
          <w:sz w:val="20"/>
          <w:szCs w:val="20"/>
        </w:rPr>
        <w:t xml:space="preserve">Microbiological Characterisation of Community-Acquired Urinary Tract Infections in Bagamoyo, </w:t>
      </w:r>
      <w:proofErr w:type="gramStart"/>
      <w:r w:rsidRPr="00276B7E">
        <w:rPr>
          <w:rFonts w:ascii="Arial" w:hAnsi="Arial" w:cs="Arial"/>
          <w:sz w:val="20"/>
          <w:szCs w:val="20"/>
        </w:rPr>
        <w:t>Tanzania:</w:t>
      </w:r>
      <w:proofErr w:type="gramEnd"/>
      <w:r w:rsidRPr="00276B7E">
        <w:rPr>
          <w:rFonts w:ascii="Arial" w:hAnsi="Arial" w:cs="Arial"/>
          <w:sz w:val="20"/>
          <w:szCs w:val="20"/>
        </w:rPr>
        <w:t xml:space="preserve"> A Prospective Stud</w:t>
      </w:r>
      <w:r w:rsidR="003913E6" w:rsidRPr="00276B7E">
        <w:rPr>
          <w:rFonts w:ascii="Arial" w:hAnsi="Arial" w:cs="Arial"/>
          <w:sz w:val="20"/>
          <w:szCs w:val="20"/>
        </w:rPr>
        <w:t xml:space="preserve">y. </w:t>
      </w:r>
      <w:r w:rsidR="003A4F7B" w:rsidRPr="00276B7E">
        <w:rPr>
          <w:rFonts w:ascii="Arial" w:hAnsi="Arial" w:cs="Arial"/>
          <w:i/>
          <w:sz w:val="20"/>
          <w:szCs w:val="20"/>
        </w:rPr>
        <w:t>Tropical Medicine and Infectious Disease</w:t>
      </w:r>
      <w:r w:rsidR="003913E6" w:rsidRPr="00276B7E">
        <w:rPr>
          <w:rFonts w:ascii="Arial" w:hAnsi="Arial" w:cs="Arial"/>
          <w:sz w:val="20"/>
          <w:szCs w:val="20"/>
        </w:rPr>
        <w:t>,</w:t>
      </w:r>
      <w:r w:rsidRPr="00276B7E">
        <w:rPr>
          <w:rFonts w:ascii="Arial" w:hAnsi="Arial" w:cs="Arial"/>
          <w:sz w:val="20"/>
          <w:szCs w:val="20"/>
        </w:rPr>
        <w:t xml:space="preserve"> </w:t>
      </w:r>
      <w:proofErr w:type="gramStart"/>
      <w:r w:rsidRPr="00276B7E">
        <w:rPr>
          <w:rFonts w:ascii="Arial" w:hAnsi="Arial" w:cs="Arial"/>
          <w:sz w:val="20"/>
          <w:szCs w:val="20"/>
        </w:rPr>
        <w:t>7:</w:t>
      </w:r>
      <w:proofErr w:type="gramEnd"/>
      <w:r w:rsidRPr="00276B7E">
        <w:rPr>
          <w:rFonts w:ascii="Arial" w:hAnsi="Arial" w:cs="Arial"/>
          <w:sz w:val="20"/>
          <w:szCs w:val="20"/>
        </w:rPr>
        <w:t xml:space="preserve"> 100-910. </w:t>
      </w:r>
    </w:p>
    <w:p w14:paraId="431DD03A"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24.</w:t>
      </w:r>
      <w:r w:rsidRPr="00276B7E">
        <w:rPr>
          <w:rFonts w:ascii="Arial" w:hAnsi="Arial" w:cs="Arial"/>
          <w:sz w:val="20"/>
          <w:szCs w:val="20"/>
        </w:rPr>
        <w:tab/>
        <w:t>Huang</w:t>
      </w:r>
      <w:r w:rsidR="003913E6" w:rsidRPr="00276B7E">
        <w:rPr>
          <w:rFonts w:ascii="Arial" w:hAnsi="Arial" w:cs="Arial"/>
          <w:sz w:val="20"/>
          <w:szCs w:val="20"/>
        </w:rPr>
        <w:t>,</w:t>
      </w:r>
      <w:r w:rsidRPr="00276B7E">
        <w:rPr>
          <w:rFonts w:ascii="Arial" w:hAnsi="Arial" w:cs="Arial"/>
          <w:sz w:val="20"/>
          <w:szCs w:val="20"/>
        </w:rPr>
        <w:t xml:space="preserve"> L</w:t>
      </w:r>
      <w:r w:rsidR="003913E6" w:rsidRPr="00276B7E">
        <w:rPr>
          <w:rFonts w:ascii="Arial" w:hAnsi="Arial" w:cs="Arial"/>
          <w:sz w:val="20"/>
          <w:szCs w:val="20"/>
        </w:rPr>
        <w:t>.</w:t>
      </w:r>
      <w:r w:rsidRPr="00276B7E">
        <w:rPr>
          <w:rFonts w:ascii="Arial" w:hAnsi="Arial" w:cs="Arial"/>
          <w:sz w:val="20"/>
          <w:szCs w:val="20"/>
        </w:rPr>
        <w:t>, Huang</w:t>
      </w:r>
      <w:r w:rsidR="003913E6" w:rsidRPr="00276B7E">
        <w:rPr>
          <w:rFonts w:ascii="Arial" w:hAnsi="Arial" w:cs="Arial"/>
          <w:sz w:val="20"/>
          <w:szCs w:val="20"/>
        </w:rPr>
        <w:t>,</w:t>
      </w:r>
      <w:r w:rsidRPr="00276B7E">
        <w:rPr>
          <w:rFonts w:ascii="Arial" w:hAnsi="Arial" w:cs="Arial"/>
          <w:sz w:val="20"/>
          <w:szCs w:val="20"/>
        </w:rPr>
        <w:t xml:space="preserve"> C</w:t>
      </w:r>
      <w:r w:rsidR="003913E6" w:rsidRPr="00276B7E">
        <w:rPr>
          <w:rFonts w:ascii="Arial" w:hAnsi="Arial" w:cs="Arial"/>
          <w:sz w:val="20"/>
          <w:szCs w:val="20"/>
        </w:rPr>
        <w:t>.</w:t>
      </w:r>
      <w:r w:rsidRPr="00276B7E">
        <w:rPr>
          <w:rFonts w:ascii="Arial" w:hAnsi="Arial" w:cs="Arial"/>
          <w:sz w:val="20"/>
          <w:szCs w:val="20"/>
        </w:rPr>
        <w:t>, yan</w:t>
      </w:r>
      <w:r w:rsidR="003913E6" w:rsidRPr="00276B7E">
        <w:rPr>
          <w:rFonts w:ascii="Arial" w:hAnsi="Arial" w:cs="Arial"/>
          <w:sz w:val="20"/>
          <w:szCs w:val="20"/>
        </w:rPr>
        <w:t xml:space="preserve">, </w:t>
      </w:r>
      <w:r w:rsidRPr="00276B7E">
        <w:rPr>
          <w:rFonts w:ascii="Arial" w:hAnsi="Arial" w:cs="Arial"/>
          <w:sz w:val="20"/>
          <w:szCs w:val="20"/>
        </w:rPr>
        <w:t>Y</w:t>
      </w:r>
      <w:r w:rsidR="003913E6" w:rsidRPr="00276B7E">
        <w:rPr>
          <w:rFonts w:ascii="Arial" w:hAnsi="Arial" w:cs="Arial"/>
          <w:sz w:val="20"/>
          <w:szCs w:val="20"/>
        </w:rPr>
        <w:t>.</w:t>
      </w:r>
      <w:r w:rsidRPr="00276B7E">
        <w:rPr>
          <w:rFonts w:ascii="Arial" w:hAnsi="Arial" w:cs="Arial"/>
          <w:sz w:val="20"/>
          <w:szCs w:val="20"/>
        </w:rPr>
        <w:t>, Sun</w:t>
      </w:r>
      <w:r w:rsidR="003913E6" w:rsidRPr="00276B7E">
        <w:rPr>
          <w:rFonts w:ascii="Arial" w:hAnsi="Arial" w:cs="Arial"/>
          <w:sz w:val="20"/>
          <w:szCs w:val="20"/>
        </w:rPr>
        <w:t>,</w:t>
      </w:r>
      <w:r w:rsidRPr="00276B7E">
        <w:rPr>
          <w:rFonts w:ascii="Arial" w:hAnsi="Arial" w:cs="Arial"/>
          <w:sz w:val="20"/>
          <w:szCs w:val="20"/>
        </w:rPr>
        <w:t xml:space="preserve"> L</w:t>
      </w:r>
      <w:r w:rsidR="003913E6" w:rsidRPr="00276B7E">
        <w:rPr>
          <w:rFonts w:ascii="Arial" w:hAnsi="Arial" w:cs="Arial"/>
          <w:sz w:val="20"/>
          <w:szCs w:val="20"/>
        </w:rPr>
        <w:t>., &amp;</w:t>
      </w:r>
      <w:r w:rsidRPr="00276B7E">
        <w:rPr>
          <w:rFonts w:ascii="Arial" w:hAnsi="Arial" w:cs="Arial"/>
          <w:sz w:val="20"/>
          <w:szCs w:val="20"/>
        </w:rPr>
        <w:t xml:space="preserve"> Li</w:t>
      </w:r>
      <w:r w:rsidR="003913E6" w:rsidRPr="00276B7E">
        <w:rPr>
          <w:rFonts w:ascii="Arial" w:hAnsi="Arial" w:cs="Arial"/>
          <w:sz w:val="20"/>
          <w:szCs w:val="20"/>
        </w:rPr>
        <w:t>,</w:t>
      </w:r>
      <w:r w:rsidRPr="00276B7E">
        <w:rPr>
          <w:rFonts w:ascii="Arial" w:hAnsi="Arial" w:cs="Arial"/>
          <w:sz w:val="20"/>
          <w:szCs w:val="20"/>
        </w:rPr>
        <w:t xml:space="preserve"> H. </w:t>
      </w:r>
      <w:r w:rsidR="003913E6" w:rsidRPr="00276B7E">
        <w:rPr>
          <w:rFonts w:ascii="Arial" w:hAnsi="Arial" w:cs="Arial"/>
          <w:sz w:val="20"/>
          <w:szCs w:val="20"/>
        </w:rPr>
        <w:t xml:space="preserve">(2021). </w:t>
      </w:r>
      <w:r w:rsidRPr="00276B7E">
        <w:rPr>
          <w:rFonts w:ascii="Arial" w:hAnsi="Arial" w:cs="Arial"/>
          <w:sz w:val="20"/>
          <w:szCs w:val="20"/>
        </w:rPr>
        <w:t xml:space="preserve">Urinary Tract Infection Etiological Profiles and Antibiotic Resistance Patterns Varied Among Different Age </w:t>
      </w:r>
      <w:proofErr w:type="gramStart"/>
      <w:r w:rsidRPr="00276B7E">
        <w:rPr>
          <w:rFonts w:ascii="Arial" w:hAnsi="Arial" w:cs="Arial"/>
          <w:sz w:val="20"/>
          <w:szCs w:val="20"/>
        </w:rPr>
        <w:t>Categories:</w:t>
      </w:r>
      <w:proofErr w:type="gramEnd"/>
      <w:r w:rsidRPr="00276B7E">
        <w:rPr>
          <w:rFonts w:ascii="Arial" w:hAnsi="Arial" w:cs="Arial"/>
          <w:sz w:val="20"/>
          <w:szCs w:val="20"/>
        </w:rPr>
        <w:t xml:space="preserve"> A Retrospective Study From a Tertiary General Hospital During a 12-Year</w:t>
      </w:r>
      <w:r w:rsidR="003913E6" w:rsidRPr="00276B7E">
        <w:rPr>
          <w:rFonts w:ascii="Arial" w:hAnsi="Arial" w:cs="Arial"/>
          <w:sz w:val="20"/>
          <w:szCs w:val="20"/>
        </w:rPr>
        <w:t xml:space="preserve"> Period. </w:t>
      </w:r>
      <w:r w:rsidR="003A4F7B" w:rsidRPr="00276B7E">
        <w:rPr>
          <w:rFonts w:ascii="Arial" w:hAnsi="Arial" w:cs="Arial"/>
          <w:i/>
          <w:sz w:val="20"/>
          <w:szCs w:val="20"/>
        </w:rPr>
        <w:t>Frontiers in Microbiology</w:t>
      </w:r>
      <w:r w:rsidR="003913E6" w:rsidRPr="00276B7E">
        <w:rPr>
          <w:rFonts w:ascii="Arial" w:hAnsi="Arial" w:cs="Arial"/>
          <w:sz w:val="20"/>
          <w:szCs w:val="20"/>
        </w:rPr>
        <w:t>,</w:t>
      </w:r>
      <w:r w:rsidRPr="00276B7E">
        <w:rPr>
          <w:rFonts w:ascii="Arial" w:hAnsi="Arial" w:cs="Arial"/>
          <w:sz w:val="20"/>
          <w:szCs w:val="20"/>
        </w:rPr>
        <w:t xml:space="preserve"> </w:t>
      </w:r>
      <w:proofErr w:type="gramStart"/>
      <w:r w:rsidRPr="00276B7E">
        <w:rPr>
          <w:rFonts w:ascii="Arial" w:hAnsi="Arial" w:cs="Arial"/>
          <w:sz w:val="20"/>
          <w:szCs w:val="20"/>
        </w:rPr>
        <w:t>12:</w:t>
      </w:r>
      <w:proofErr w:type="gramEnd"/>
      <w:r w:rsidRPr="00276B7E">
        <w:rPr>
          <w:rFonts w:ascii="Arial" w:hAnsi="Arial" w:cs="Arial"/>
          <w:sz w:val="20"/>
          <w:szCs w:val="20"/>
        </w:rPr>
        <w:t xml:space="preserve"> 1-10. </w:t>
      </w:r>
    </w:p>
    <w:p w14:paraId="69CA27DF"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25.</w:t>
      </w:r>
      <w:r w:rsidRPr="00276B7E">
        <w:rPr>
          <w:rFonts w:ascii="Arial" w:hAnsi="Arial" w:cs="Arial"/>
          <w:sz w:val="20"/>
          <w:szCs w:val="20"/>
        </w:rPr>
        <w:tab/>
        <w:t>Mohammedkheir</w:t>
      </w:r>
      <w:r w:rsidR="003913E6" w:rsidRPr="00276B7E">
        <w:rPr>
          <w:rFonts w:ascii="Arial" w:hAnsi="Arial" w:cs="Arial"/>
          <w:sz w:val="20"/>
          <w:szCs w:val="20"/>
        </w:rPr>
        <w:t>,</w:t>
      </w:r>
      <w:r w:rsidRPr="00276B7E">
        <w:rPr>
          <w:rFonts w:ascii="Arial" w:hAnsi="Arial" w:cs="Arial"/>
          <w:sz w:val="20"/>
          <w:szCs w:val="20"/>
        </w:rPr>
        <w:t xml:space="preserve"> MIA</w:t>
      </w:r>
      <w:r w:rsidR="003913E6" w:rsidRPr="00276B7E">
        <w:rPr>
          <w:rFonts w:ascii="Arial" w:hAnsi="Arial" w:cs="Arial"/>
          <w:sz w:val="20"/>
          <w:szCs w:val="20"/>
        </w:rPr>
        <w:t>.</w:t>
      </w:r>
      <w:r w:rsidRPr="00276B7E">
        <w:rPr>
          <w:rFonts w:ascii="Arial" w:hAnsi="Arial" w:cs="Arial"/>
          <w:sz w:val="20"/>
          <w:szCs w:val="20"/>
        </w:rPr>
        <w:t>, Gaafar</w:t>
      </w:r>
      <w:r w:rsidR="003913E6" w:rsidRPr="00276B7E">
        <w:rPr>
          <w:rFonts w:ascii="Arial" w:hAnsi="Arial" w:cs="Arial"/>
          <w:sz w:val="20"/>
          <w:szCs w:val="20"/>
        </w:rPr>
        <w:t>,</w:t>
      </w:r>
      <w:r w:rsidRPr="00276B7E">
        <w:rPr>
          <w:rFonts w:ascii="Arial" w:hAnsi="Arial" w:cs="Arial"/>
          <w:sz w:val="20"/>
          <w:szCs w:val="20"/>
        </w:rPr>
        <w:t xml:space="preserve"> EM</w:t>
      </w:r>
      <w:r w:rsidR="003913E6" w:rsidRPr="00276B7E">
        <w:rPr>
          <w:rFonts w:ascii="Arial" w:hAnsi="Arial" w:cs="Arial"/>
          <w:sz w:val="20"/>
          <w:szCs w:val="20"/>
        </w:rPr>
        <w:t>., &amp; AbdAlla,</w:t>
      </w:r>
      <w:r w:rsidRPr="00276B7E">
        <w:rPr>
          <w:rFonts w:ascii="Arial" w:hAnsi="Arial" w:cs="Arial"/>
          <w:sz w:val="20"/>
          <w:szCs w:val="20"/>
        </w:rPr>
        <w:t xml:space="preserve"> EGE.</w:t>
      </w:r>
      <w:r w:rsidR="003913E6" w:rsidRPr="00276B7E">
        <w:rPr>
          <w:rFonts w:ascii="Arial" w:hAnsi="Arial" w:cs="Arial"/>
          <w:sz w:val="20"/>
          <w:szCs w:val="20"/>
        </w:rPr>
        <w:t xml:space="preserve"> (2024).</w:t>
      </w:r>
      <w:r w:rsidRPr="00276B7E">
        <w:rPr>
          <w:rFonts w:ascii="Arial" w:hAnsi="Arial" w:cs="Arial"/>
          <w:sz w:val="20"/>
          <w:szCs w:val="20"/>
        </w:rPr>
        <w:t xml:space="preserve"> Evaluation of </w:t>
      </w:r>
      <w:r w:rsidRPr="00276B7E">
        <w:rPr>
          <w:rFonts w:ascii="Arial" w:hAnsi="Arial" w:cs="Arial"/>
          <w:i/>
          <w:sz w:val="20"/>
          <w:szCs w:val="20"/>
        </w:rPr>
        <w:t>BlaTEM</w:t>
      </w:r>
      <w:r w:rsidRPr="00276B7E">
        <w:rPr>
          <w:rFonts w:ascii="Arial" w:hAnsi="Arial" w:cs="Arial"/>
          <w:sz w:val="20"/>
          <w:szCs w:val="20"/>
        </w:rPr>
        <w:t xml:space="preserve">, </w:t>
      </w:r>
      <w:r w:rsidRPr="00276B7E">
        <w:rPr>
          <w:rFonts w:ascii="Arial" w:hAnsi="Arial" w:cs="Arial"/>
          <w:i/>
          <w:sz w:val="20"/>
          <w:szCs w:val="20"/>
        </w:rPr>
        <w:t>BlaSHV</w:t>
      </w:r>
      <w:r w:rsidRPr="00276B7E">
        <w:rPr>
          <w:rFonts w:ascii="Arial" w:hAnsi="Arial" w:cs="Arial"/>
          <w:sz w:val="20"/>
          <w:szCs w:val="20"/>
        </w:rPr>
        <w:t xml:space="preserve">, and </w:t>
      </w:r>
      <w:r w:rsidRPr="00276B7E">
        <w:rPr>
          <w:rFonts w:ascii="Arial" w:hAnsi="Arial" w:cs="Arial"/>
          <w:i/>
          <w:sz w:val="20"/>
          <w:szCs w:val="20"/>
        </w:rPr>
        <w:t>BlaCTX</w:t>
      </w:r>
      <w:r w:rsidRPr="00276B7E">
        <w:rPr>
          <w:rFonts w:ascii="Arial" w:hAnsi="Arial" w:cs="Arial"/>
          <w:sz w:val="20"/>
          <w:szCs w:val="20"/>
        </w:rPr>
        <w:t xml:space="preserve">-M antibiotic resistance genes in Gram-negative bacilli causing urinary tract infections in Khartoum </w:t>
      </w:r>
      <w:proofErr w:type="gramStart"/>
      <w:r w:rsidRPr="00276B7E">
        <w:rPr>
          <w:rFonts w:ascii="Arial" w:hAnsi="Arial" w:cs="Arial"/>
          <w:sz w:val="20"/>
          <w:szCs w:val="20"/>
        </w:rPr>
        <w:t>State:</w:t>
      </w:r>
      <w:proofErr w:type="gramEnd"/>
      <w:r w:rsidRPr="00276B7E">
        <w:rPr>
          <w:rFonts w:ascii="Arial" w:hAnsi="Arial" w:cs="Arial"/>
          <w:sz w:val="20"/>
          <w:szCs w:val="20"/>
        </w:rPr>
        <w:t xml:space="preserve"> a cross-sectional study. </w:t>
      </w:r>
      <w:r w:rsidR="00622EDB" w:rsidRPr="00276B7E">
        <w:rPr>
          <w:rFonts w:ascii="Arial" w:hAnsi="Arial" w:cs="Arial"/>
          <w:i/>
          <w:sz w:val="20"/>
          <w:szCs w:val="20"/>
        </w:rPr>
        <w:t>BMC Infectious Diseases</w:t>
      </w:r>
      <w:r w:rsidR="003913E6" w:rsidRPr="00276B7E">
        <w:rPr>
          <w:rFonts w:ascii="Arial" w:hAnsi="Arial" w:cs="Arial"/>
          <w:i/>
          <w:sz w:val="20"/>
          <w:szCs w:val="20"/>
        </w:rPr>
        <w:t>,</w:t>
      </w:r>
      <w:r w:rsidR="00B83755" w:rsidRPr="00276B7E">
        <w:rPr>
          <w:rFonts w:ascii="Arial" w:hAnsi="Arial" w:cs="Arial"/>
          <w:sz w:val="20"/>
          <w:szCs w:val="20"/>
        </w:rPr>
        <w:t xml:space="preserve"> 24, 141.</w:t>
      </w:r>
    </w:p>
    <w:p w14:paraId="0B6877F2"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26.</w:t>
      </w:r>
      <w:r w:rsidRPr="00276B7E">
        <w:rPr>
          <w:rFonts w:ascii="Arial" w:hAnsi="Arial" w:cs="Arial"/>
          <w:sz w:val="20"/>
          <w:szCs w:val="20"/>
        </w:rPr>
        <w:tab/>
        <w:t>Yasmine</w:t>
      </w:r>
      <w:r w:rsidR="003913E6" w:rsidRPr="00276B7E">
        <w:rPr>
          <w:rFonts w:ascii="Arial" w:hAnsi="Arial" w:cs="Arial"/>
          <w:sz w:val="20"/>
          <w:szCs w:val="20"/>
        </w:rPr>
        <w:t>,</w:t>
      </w:r>
      <w:r w:rsidRPr="00276B7E">
        <w:rPr>
          <w:rFonts w:ascii="Arial" w:hAnsi="Arial" w:cs="Arial"/>
          <w:sz w:val="20"/>
          <w:szCs w:val="20"/>
        </w:rPr>
        <w:t xml:space="preserve"> E</w:t>
      </w:r>
      <w:r w:rsidR="003913E6" w:rsidRPr="00276B7E">
        <w:rPr>
          <w:rFonts w:ascii="Arial" w:hAnsi="Arial" w:cs="Arial"/>
          <w:sz w:val="20"/>
          <w:szCs w:val="20"/>
        </w:rPr>
        <w:t>.</w:t>
      </w:r>
      <w:r w:rsidRPr="00276B7E">
        <w:rPr>
          <w:rFonts w:ascii="Arial" w:hAnsi="Arial" w:cs="Arial"/>
          <w:sz w:val="20"/>
          <w:szCs w:val="20"/>
        </w:rPr>
        <w:t>, Olivier</w:t>
      </w:r>
      <w:r w:rsidR="003913E6" w:rsidRPr="00276B7E">
        <w:rPr>
          <w:rFonts w:ascii="Arial" w:hAnsi="Arial" w:cs="Arial"/>
          <w:sz w:val="20"/>
          <w:szCs w:val="20"/>
        </w:rPr>
        <w:t>,</w:t>
      </w:r>
      <w:r w:rsidRPr="00276B7E">
        <w:rPr>
          <w:rFonts w:ascii="Arial" w:hAnsi="Arial" w:cs="Arial"/>
          <w:sz w:val="20"/>
          <w:szCs w:val="20"/>
        </w:rPr>
        <w:t xml:space="preserve"> J</w:t>
      </w:r>
      <w:r w:rsidR="003913E6" w:rsidRPr="00276B7E">
        <w:rPr>
          <w:rFonts w:ascii="Arial" w:hAnsi="Arial" w:cs="Arial"/>
          <w:sz w:val="20"/>
          <w:szCs w:val="20"/>
        </w:rPr>
        <w:t>.</w:t>
      </w:r>
      <w:r w:rsidRPr="00276B7E">
        <w:rPr>
          <w:rFonts w:ascii="Arial" w:hAnsi="Arial" w:cs="Arial"/>
          <w:sz w:val="20"/>
          <w:szCs w:val="20"/>
        </w:rPr>
        <w:t>, Matthias</w:t>
      </w:r>
      <w:r w:rsidR="003913E6" w:rsidRPr="00276B7E">
        <w:rPr>
          <w:rFonts w:ascii="Arial" w:hAnsi="Arial" w:cs="Arial"/>
          <w:sz w:val="20"/>
          <w:szCs w:val="20"/>
        </w:rPr>
        <w:t>,</w:t>
      </w:r>
      <w:r w:rsidRPr="00276B7E">
        <w:rPr>
          <w:rFonts w:ascii="Arial" w:hAnsi="Arial" w:cs="Arial"/>
          <w:sz w:val="20"/>
          <w:szCs w:val="20"/>
        </w:rPr>
        <w:t xml:space="preserve"> F</w:t>
      </w:r>
      <w:r w:rsidR="003913E6" w:rsidRPr="00276B7E">
        <w:rPr>
          <w:rFonts w:ascii="Arial" w:hAnsi="Arial" w:cs="Arial"/>
          <w:sz w:val="20"/>
          <w:szCs w:val="20"/>
        </w:rPr>
        <w:t>.</w:t>
      </w:r>
      <w:r w:rsidRPr="00276B7E">
        <w:rPr>
          <w:rFonts w:ascii="Arial" w:hAnsi="Arial" w:cs="Arial"/>
          <w:sz w:val="20"/>
          <w:szCs w:val="20"/>
        </w:rPr>
        <w:t>, Stefanie</w:t>
      </w:r>
      <w:r w:rsidR="003913E6" w:rsidRPr="00276B7E">
        <w:rPr>
          <w:rFonts w:ascii="Arial" w:hAnsi="Arial" w:cs="Arial"/>
          <w:sz w:val="20"/>
          <w:szCs w:val="20"/>
        </w:rPr>
        <w:t>,</w:t>
      </w:r>
      <w:r w:rsidRPr="00276B7E">
        <w:rPr>
          <w:rFonts w:ascii="Arial" w:hAnsi="Arial" w:cs="Arial"/>
          <w:sz w:val="20"/>
          <w:szCs w:val="20"/>
        </w:rPr>
        <w:t xml:space="preserve"> H</w:t>
      </w:r>
      <w:r w:rsidR="003913E6" w:rsidRPr="00276B7E">
        <w:rPr>
          <w:rFonts w:ascii="Arial" w:hAnsi="Arial" w:cs="Arial"/>
          <w:sz w:val="20"/>
          <w:szCs w:val="20"/>
        </w:rPr>
        <w:t>.</w:t>
      </w:r>
      <w:r w:rsidRPr="00276B7E">
        <w:rPr>
          <w:rFonts w:ascii="Arial" w:hAnsi="Arial" w:cs="Arial"/>
          <w:sz w:val="20"/>
          <w:szCs w:val="20"/>
        </w:rPr>
        <w:t>, Marissa</w:t>
      </w:r>
      <w:r w:rsidR="003913E6" w:rsidRPr="00276B7E">
        <w:rPr>
          <w:rFonts w:ascii="Arial" w:hAnsi="Arial" w:cs="Arial"/>
          <w:sz w:val="20"/>
          <w:szCs w:val="20"/>
        </w:rPr>
        <w:t>,</w:t>
      </w:r>
      <w:r w:rsidRPr="00276B7E">
        <w:rPr>
          <w:rFonts w:ascii="Arial" w:hAnsi="Arial" w:cs="Arial"/>
          <w:sz w:val="20"/>
          <w:szCs w:val="20"/>
        </w:rPr>
        <w:t xml:space="preserve"> K</w:t>
      </w:r>
      <w:r w:rsidR="003913E6" w:rsidRPr="00276B7E">
        <w:rPr>
          <w:rFonts w:ascii="Arial" w:hAnsi="Arial" w:cs="Arial"/>
          <w:sz w:val="20"/>
          <w:szCs w:val="20"/>
        </w:rPr>
        <w:t>.</w:t>
      </w:r>
      <w:r w:rsidRPr="00276B7E">
        <w:rPr>
          <w:rFonts w:ascii="Arial" w:hAnsi="Arial" w:cs="Arial"/>
          <w:sz w:val="20"/>
          <w:szCs w:val="20"/>
        </w:rPr>
        <w:t>, Marc-William</w:t>
      </w:r>
      <w:r w:rsidR="003913E6" w:rsidRPr="00276B7E">
        <w:rPr>
          <w:rFonts w:ascii="Arial" w:hAnsi="Arial" w:cs="Arial"/>
          <w:sz w:val="20"/>
          <w:szCs w:val="20"/>
        </w:rPr>
        <w:t>,</w:t>
      </w:r>
      <w:r w:rsidRPr="00276B7E">
        <w:rPr>
          <w:rFonts w:ascii="Arial" w:hAnsi="Arial" w:cs="Arial"/>
          <w:sz w:val="20"/>
          <w:szCs w:val="20"/>
        </w:rPr>
        <w:t xml:space="preserve"> S</w:t>
      </w:r>
      <w:r w:rsidR="003913E6" w:rsidRPr="00276B7E">
        <w:rPr>
          <w:rFonts w:ascii="Arial" w:hAnsi="Arial" w:cs="Arial"/>
          <w:sz w:val="20"/>
          <w:szCs w:val="20"/>
        </w:rPr>
        <w:t>.</w:t>
      </w:r>
      <w:r w:rsidRPr="00276B7E">
        <w:rPr>
          <w:rFonts w:ascii="Arial" w:hAnsi="Arial" w:cs="Arial"/>
          <w:sz w:val="20"/>
          <w:szCs w:val="20"/>
        </w:rPr>
        <w:t xml:space="preserve">, </w:t>
      </w:r>
      <w:r w:rsidR="003913E6" w:rsidRPr="00276B7E">
        <w:rPr>
          <w:rFonts w:ascii="Arial" w:hAnsi="Arial" w:cs="Arial"/>
          <w:sz w:val="20"/>
          <w:szCs w:val="20"/>
        </w:rPr>
        <w:t xml:space="preserve">&amp; </w:t>
      </w:r>
      <w:r w:rsidRPr="00276B7E">
        <w:rPr>
          <w:rFonts w:ascii="Arial" w:hAnsi="Arial" w:cs="Arial"/>
          <w:sz w:val="20"/>
          <w:szCs w:val="20"/>
        </w:rPr>
        <w:t>Peter F.</w:t>
      </w:r>
      <w:r w:rsidR="003913E6" w:rsidRPr="00276B7E">
        <w:rPr>
          <w:rFonts w:ascii="Arial" w:hAnsi="Arial" w:cs="Arial"/>
          <w:sz w:val="20"/>
          <w:szCs w:val="20"/>
        </w:rPr>
        <w:t xml:space="preserve"> (2023).</w:t>
      </w:r>
      <w:r w:rsidRPr="00276B7E">
        <w:rPr>
          <w:rFonts w:ascii="Arial" w:hAnsi="Arial" w:cs="Arial"/>
          <w:sz w:val="20"/>
          <w:szCs w:val="20"/>
        </w:rPr>
        <w:t xml:space="preserve"> Comparative selective pressure potential of antibiotics in the environment, </w:t>
      </w:r>
      <w:r w:rsidRPr="00276B7E">
        <w:rPr>
          <w:rFonts w:ascii="Arial" w:hAnsi="Arial" w:cs="Arial"/>
          <w:i/>
          <w:sz w:val="20"/>
          <w:szCs w:val="20"/>
        </w:rPr>
        <w:t>Environmental</w:t>
      </w:r>
      <w:r w:rsidR="003913E6" w:rsidRPr="00276B7E">
        <w:rPr>
          <w:rFonts w:ascii="Arial" w:hAnsi="Arial" w:cs="Arial"/>
          <w:i/>
          <w:sz w:val="20"/>
          <w:szCs w:val="20"/>
        </w:rPr>
        <w:t xml:space="preserve"> Pollution</w:t>
      </w:r>
      <w:r w:rsidR="003913E6" w:rsidRPr="00276B7E">
        <w:rPr>
          <w:rFonts w:ascii="Arial" w:hAnsi="Arial" w:cs="Arial"/>
          <w:sz w:val="20"/>
          <w:szCs w:val="20"/>
        </w:rPr>
        <w:t>,</w:t>
      </w:r>
      <w:r w:rsidR="00B83755" w:rsidRPr="00276B7E">
        <w:rPr>
          <w:rFonts w:ascii="Arial" w:hAnsi="Arial" w:cs="Arial"/>
          <w:sz w:val="20"/>
          <w:szCs w:val="20"/>
        </w:rPr>
        <w:t xml:space="preserve"> 318 : 120873</w:t>
      </w:r>
      <w:r w:rsidRPr="00276B7E">
        <w:rPr>
          <w:rFonts w:ascii="Arial" w:hAnsi="Arial" w:cs="Arial"/>
          <w:sz w:val="20"/>
          <w:szCs w:val="20"/>
        </w:rPr>
        <w:t xml:space="preserve">. </w:t>
      </w:r>
    </w:p>
    <w:p w14:paraId="41CE41E6"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27.</w:t>
      </w:r>
      <w:r w:rsidRPr="00276B7E">
        <w:rPr>
          <w:rFonts w:ascii="Arial" w:hAnsi="Arial" w:cs="Arial"/>
          <w:sz w:val="20"/>
          <w:szCs w:val="20"/>
        </w:rPr>
        <w:tab/>
        <w:t>Zúniga-Moya</w:t>
      </w:r>
      <w:r w:rsidR="003913E6" w:rsidRPr="00276B7E">
        <w:rPr>
          <w:rFonts w:ascii="Arial" w:hAnsi="Arial" w:cs="Arial"/>
          <w:sz w:val="20"/>
          <w:szCs w:val="20"/>
        </w:rPr>
        <w:t>,</w:t>
      </w:r>
      <w:r w:rsidRPr="00276B7E">
        <w:rPr>
          <w:rFonts w:ascii="Arial" w:hAnsi="Arial" w:cs="Arial"/>
          <w:sz w:val="20"/>
          <w:szCs w:val="20"/>
        </w:rPr>
        <w:t xml:space="preserve"> JC</w:t>
      </w:r>
      <w:r w:rsidR="003913E6" w:rsidRPr="00276B7E">
        <w:rPr>
          <w:rFonts w:ascii="Arial" w:hAnsi="Arial" w:cs="Arial"/>
          <w:sz w:val="20"/>
          <w:szCs w:val="20"/>
        </w:rPr>
        <w:t>.</w:t>
      </w:r>
      <w:r w:rsidRPr="00276B7E">
        <w:rPr>
          <w:rFonts w:ascii="Arial" w:hAnsi="Arial" w:cs="Arial"/>
          <w:sz w:val="20"/>
          <w:szCs w:val="20"/>
        </w:rPr>
        <w:t>, Suyapa</w:t>
      </w:r>
      <w:r w:rsidR="003913E6" w:rsidRPr="00276B7E">
        <w:rPr>
          <w:rFonts w:ascii="Arial" w:hAnsi="Arial" w:cs="Arial"/>
          <w:sz w:val="20"/>
          <w:szCs w:val="20"/>
        </w:rPr>
        <w:t>,</w:t>
      </w:r>
      <w:r w:rsidRPr="00276B7E">
        <w:rPr>
          <w:rFonts w:ascii="Arial" w:hAnsi="Arial" w:cs="Arial"/>
          <w:sz w:val="20"/>
          <w:szCs w:val="20"/>
        </w:rPr>
        <w:t xml:space="preserve"> BC</w:t>
      </w:r>
      <w:r w:rsidR="003913E6" w:rsidRPr="00276B7E">
        <w:rPr>
          <w:rFonts w:ascii="Arial" w:hAnsi="Arial" w:cs="Arial"/>
          <w:sz w:val="20"/>
          <w:szCs w:val="20"/>
        </w:rPr>
        <w:t>.</w:t>
      </w:r>
      <w:r w:rsidRPr="00276B7E">
        <w:rPr>
          <w:rFonts w:ascii="Arial" w:hAnsi="Arial" w:cs="Arial"/>
          <w:sz w:val="20"/>
          <w:szCs w:val="20"/>
        </w:rPr>
        <w:t>, Huber</w:t>
      </w:r>
      <w:r w:rsidR="003913E6" w:rsidRPr="00276B7E">
        <w:rPr>
          <w:rFonts w:ascii="Arial" w:hAnsi="Arial" w:cs="Arial"/>
          <w:sz w:val="20"/>
          <w:szCs w:val="20"/>
        </w:rPr>
        <w:t>,</w:t>
      </w:r>
      <w:r w:rsidRPr="00276B7E">
        <w:rPr>
          <w:rFonts w:ascii="Arial" w:hAnsi="Arial" w:cs="Arial"/>
          <w:sz w:val="20"/>
          <w:szCs w:val="20"/>
        </w:rPr>
        <w:t xml:space="preserve"> VC</w:t>
      </w:r>
      <w:r w:rsidR="003913E6" w:rsidRPr="00276B7E">
        <w:rPr>
          <w:rFonts w:ascii="Arial" w:hAnsi="Arial" w:cs="Arial"/>
          <w:sz w:val="20"/>
          <w:szCs w:val="20"/>
        </w:rPr>
        <w:t>.</w:t>
      </w:r>
      <w:r w:rsidRPr="00276B7E">
        <w:rPr>
          <w:rFonts w:ascii="Arial" w:hAnsi="Arial" w:cs="Arial"/>
          <w:sz w:val="20"/>
          <w:szCs w:val="20"/>
        </w:rPr>
        <w:t>, Simmons</w:t>
      </w:r>
      <w:r w:rsidR="003913E6" w:rsidRPr="00276B7E">
        <w:rPr>
          <w:rFonts w:ascii="Arial" w:hAnsi="Arial" w:cs="Arial"/>
          <w:sz w:val="20"/>
          <w:szCs w:val="20"/>
        </w:rPr>
        <w:t>,</w:t>
      </w:r>
      <w:r w:rsidRPr="00276B7E">
        <w:rPr>
          <w:rFonts w:ascii="Arial" w:hAnsi="Arial" w:cs="Arial"/>
          <w:sz w:val="20"/>
          <w:szCs w:val="20"/>
        </w:rPr>
        <w:t xml:space="preserve"> GC</w:t>
      </w:r>
      <w:r w:rsidR="003913E6" w:rsidRPr="00276B7E">
        <w:rPr>
          <w:rFonts w:ascii="Arial" w:hAnsi="Arial" w:cs="Arial"/>
          <w:sz w:val="20"/>
          <w:szCs w:val="20"/>
        </w:rPr>
        <w:t>.</w:t>
      </w:r>
      <w:r w:rsidRPr="00276B7E">
        <w:rPr>
          <w:rFonts w:ascii="Arial" w:hAnsi="Arial" w:cs="Arial"/>
          <w:sz w:val="20"/>
          <w:szCs w:val="20"/>
        </w:rPr>
        <w:t>, Andy</w:t>
      </w:r>
      <w:r w:rsidR="003913E6" w:rsidRPr="00276B7E">
        <w:rPr>
          <w:rFonts w:ascii="Arial" w:hAnsi="Arial" w:cs="Arial"/>
          <w:sz w:val="20"/>
          <w:szCs w:val="20"/>
        </w:rPr>
        <w:t>,</w:t>
      </w:r>
      <w:r w:rsidRPr="00276B7E">
        <w:rPr>
          <w:rFonts w:ascii="Arial" w:hAnsi="Arial" w:cs="Arial"/>
          <w:sz w:val="20"/>
          <w:szCs w:val="20"/>
        </w:rPr>
        <w:t xml:space="preserve"> CM</w:t>
      </w:r>
      <w:r w:rsidR="003913E6" w:rsidRPr="00276B7E">
        <w:rPr>
          <w:rFonts w:ascii="Arial" w:hAnsi="Arial" w:cs="Arial"/>
          <w:sz w:val="20"/>
          <w:szCs w:val="20"/>
        </w:rPr>
        <w:t>.</w:t>
      </w:r>
      <w:r w:rsidRPr="00276B7E">
        <w:rPr>
          <w:rFonts w:ascii="Arial" w:hAnsi="Arial" w:cs="Arial"/>
          <w:sz w:val="20"/>
          <w:szCs w:val="20"/>
        </w:rPr>
        <w:t>, Carmen</w:t>
      </w:r>
      <w:r w:rsidR="003913E6" w:rsidRPr="00276B7E">
        <w:rPr>
          <w:rFonts w:ascii="Arial" w:hAnsi="Arial" w:cs="Arial"/>
          <w:sz w:val="20"/>
          <w:szCs w:val="20"/>
        </w:rPr>
        <w:t>,</w:t>
      </w:r>
      <w:r w:rsidRPr="00276B7E">
        <w:rPr>
          <w:rFonts w:ascii="Arial" w:hAnsi="Arial" w:cs="Arial"/>
          <w:sz w:val="20"/>
          <w:szCs w:val="20"/>
        </w:rPr>
        <w:t xml:space="preserve"> CL</w:t>
      </w:r>
      <w:r w:rsidR="003913E6" w:rsidRPr="00276B7E">
        <w:rPr>
          <w:rFonts w:ascii="Arial" w:hAnsi="Arial" w:cs="Arial"/>
          <w:sz w:val="20"/>
          <w:szCs w:val="20"/>
        </w:rPr>
        <w:t>.</w:t>
      </w:r>
      <w:r w:rsidRPr="00276B7E">
        <w:rPr>
          <w:rFonts w:ascii="Arial" w:hAnsi="Arial" w:cs="Arial"/>
          <w:sz w:val="20"/>
          <w:szCs w:val="20"/>
        </w:rPr>
        <w:t xml:space="preserve"> </w:t>
      </w:r>
      <w:proofErr w:type="gramStart"/>
      <w:r w:rsidRPr="00276B7E">
        <w:rPr>
          <w:rFonts w:ascii="Arial" w:hAnsi="Arial" w:cs="Arial"/>
          <w:sz w:val="20"/>
          <w:szCs w:val="20"/>
        </w:rPr>
        <w:t>et</w:t>
      </w:r>
      <w:proofErr w:type="gramEnd"/>
      <w:r w:rsidRPr="00276B7E">
        <w:rPr>
          <w:rFonts w:ascii="Arial" w:hAnsi="Arial" w:cs="Arial"/>
          <w:sz w:val="20"/>
          <w:szCs w:val="20"/>
        </w:rPr>
        <w:t xml:space="preserve"> al. </w:t>
      </w:r>
      <w:r w:rsidR="003913E6" w:rsidRPr="00276B7E">
        <w:rPr>
          <w:rFonts w:ascii="Arial" w:hAnsi="Arial" w:cs="Arial"/>
          <w:sz w:val="20"/>
          <w:szCs w:val="20"/>
        </w:rPr>
        <w:t xml:space="preserve">(2016). </w:t>
      </w:r>
      <w:r w:rsidRPr="00276B7E">
        <w:rPr>
          <w:rFonts w:ascii="Arial" w:hAnsi="Arial" w:cs="Arial"/>
          <w:sz w:val="20"/>
          <w:szCs w:val="20"/>
        </w:rPr>
        <w:t xml:space="preserve">Antibiotic sensitivity profile of bacteria in urinary tract infections. </w:t>
      </w:r>
      <w:r w:rsidR="00622EDB" w:rsidRPr="00276B7E">
        <w:rPr>
          <w:rFonts w:ascii="Arial" w:hAnsi="Arial" w:cs="Arial"/>
          <w:i/>
          <w:sz w:val="20"/>
          <w:szCs w:val="20"/>
        </w:rPr>
        <w:t>Acta Médica Costarricense</w:t>
      </w:r>
      <w:r w:rsidR="00622EDB" w:rsidRPr="00276B7E">
        <w:rPr>
          <w:rFonts w:ascii="Arial" w:hAnsi="Arial" w:cs="Arial"/>
          <w:sz w:val="20"/>
          <w:szCs w:val="20"/>
        </w:rPr>
        <w:t xml:space="preserve">, </w:t>
      </w:r>
      <w:r w:rsidR="00B83755" w:rsidRPr="00276B7E">
        <w:rPr>
          <w:rFonts w:ascii="Arial" w:hAnsi="Arial" w:cs="Arial"/>
          <w:sz w:val="20"/>
          <w:szCs w:val="20"/>
        </w:rPr>
        <w:t>58 (4) : 8.</w:t>
      </w:r>
    </w:p>
    <w:p w14:paraId="20C2FD3B"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lastRenderedPageBreak/>
        <w:t>28.</w:t>
      </w:r>
      <w:r w:rsidRPr="00276B7E">
        <w:rPr>
          <w:rFonts w:ascii="Arial" w:hAnsi="Arial" w:cs="Arial"/>
          <w:sz w:val="20"/>
          <w:szCs w:val="20"/>
        </w:rPr>
        <w:tab/>
        <w:t>Faruk</w:t>
      </w:r>
      <w:r w:rsidR="008967C8" w:rsidRPr="00276B7E">
        <w:rPr>
          <w:rFonts w:ascii="Arial" w:hAnsi="Arial" w:cs="Arial"/>
          <w:sz w:val="20"/>
          <w:szCs w:val="20"/>
        </w:rPr>
        <w:t>,</w:t>
      </w:r>
      <w:r w:rsidRPr="00276B7E">
        <w:rPr>
          <w:rFonts w:ascii="Arial" w:hAnsi="Arial" w:cs="Arial"/>
          <w:sz w:val="20"/>
          <w:szCs w:val="20"/>
        </w:rPr>
        <w:t xml:space="preserve"> MD</w:t>
      </w:r>
      <w:r w:rsidR="008967C8" w:rsidRPr="00276B7E">
        <w:rPr>
          <w:rFonts w:ascii="Arial" w:hAnsi="Arial" w:cs="Arial"/>
          <w:sz w:val="20"/>
          <w:szCs w:val="20"/>
        </w:rPr>
        <w:t>.</w:t>
      </w:r>
      <w:r w:rsidRPr="00276B7E">
        <w:rPr>
          <w:rFonts w:ascii="Arial" w:hAnsi="Arial" w:cs="Arial"/>
          <w:sz w:val="20"/>
          <w:szCs w:val="20"/>
        </w:rPr>
        <w:t>, Hasan</w:t>
      </w:r>
      <w:r w:rsidR="008967C8" w:rsidRPr="00276B7E">
        <w:rPr>
          <w:rFonts w:ascii="Arial" w:hAnsi="Arial" w:cs="Arial"/>
          <w:sz w:val="20"/>
          <w:szCs w:val="20"/>
        </w:rPr>
        <w:t>,</w:t>
      </w:r>
      <w:r w:rsidRPr="00276B7E">
        <w:rPr>
          <w:rFonts w:ascii="Arial" w:hAnsi="Arial" w:cs="Arial"/>
          <w:sz w:val="20"/>
          <w:szCs w:val="20"/>
        </w:rPr>
        <w:t xml:space="preserve"> ESO</w:t>
      </w:r>
      <w:r w:rsidR="008967C8" w:rsidRPr="00276B7E">
        <w:rPr>
          <w:rFonts w:ascii="Arial" w:hAnsi="Arial" w:cs="Arial"/>
          <w:sz w:val="20"/>
          <w:szCs w:val="20"/>
        </w:rPr>
        <w:t>.</w:t>
      </w:r>
      <w:r w:rsidRPr="00276B7E">
        <w:rPr>
          <w:rFonts w:ascii="Arial" w:hAnsi="Arial" w:cs="Arial"/>
          <w:sz w:val="20"/>
          <w:szCs w:val="20"/>
        </w:rPr>
        <w:t>, Jubayer</w:t>
      </w:r>
      <w:r w:rsidR="008967C8" w:rsidRPr="00276B7E">
        <w:rPr>
          <w:rFonts w:ascii="Arial" w:hAnsi="Arial" w:cs="Arial"/>
          <w:sz w:val="20"/>
          <w:szCs w:val="20"/>
        </w:rPr>
        <w:t>,</w:t>
      </w:r>
      <w:r w:rsidRPr="00276B7E">
        <w:rPr>
          <w:rFonts w:ascii="Arial" w:hAnsi="Arial" w:cs="Arial"/>
          <w:sz w:val="20"/>
          <w:szCs w:val="20"/>
        </w:rPr>
        <w:t xml:space="preserve"> A</w:t>
      </w:r>
      <w:r w:rsidR="008967C8" w:rsidRPr="00276B7E">
        <w:rPr>
          <w:rFonts w:ascii="Arial" w:hAnsi="Arial" w:cs="Arial"/>
          <w:sz w:val="20"/>
          <w:szCs w:val="20"/>
        </w:rPr>
        <w:t>.</w:t>
      </w:r>
      <w:r w:rsidRPr="00276B7E">
        <w:rPr>
          <w:rFonts w:ascii="Arial" w:hAnsi="Arial" w:cs="Arial"/>
          <w:sz w:val="20"/>
          <w:szCs w:val="20"/>
        </w:rPr>
        <w:t>, Akter</w:t>
      </w:r>
      <w:r w:rsidR="008967C8" w:rsidRPr="00276B7E">
        <w:rPr>
          <w:rFonts w:ascii="Arial" w:hAnsi="Arial" w:cs="Arial"/>
          <w:sz w:val="20"/>
          <w:szCs w:val="20"/>
        </w:rPr>
        <w:t>,</w:t>
      </w:r>
      <w:r w:rsidRPr="00276B7E">
        <w:rPr>
          <w:rFonts w:ascii="Arial" w:hAnsi="Arial" w:cs="Arial"/>
          <w:sz w:val="20"/>
          <w:szCs w:val="20"/>
        </w:rPr>
        <w:t xml:space="preserve"> K</w:t>
      </w:r>
      <w:r w:rsidR="008967C8" w:rsidRPr="00276B7E">
        <w:rPr>
          <w:rFonts w:ascii="Arial" w:hAnsi="Arial" w:cs="Arial"/>
          <w:sz w:val="20"/>
          <w:szCs w:val="20"/>
        </w:rPr>
        <w:t>.</w:t>
      </w:r>
      <w:r w:rsidRPr="00276B7E">
        <w:rPr>
          <w:rFonts w:ascii="Arial" w:hAnsi="Arial" w:cs="Arial"/>
          <w:sz w:val="20"/>
          <w:szCs w:val="20"/>
        </w:rPr>
        <w:t>, Al Shiam</w:t>
      </w:r>
      <w:r w:rsidR="008967C8" w:rsidRPr="00276B7E">
        <w:rPr>
          <w:rFonts w:ascii="Arial" w:hAnsi="Arial" w:cs="Arial"/>
          <w:sz w:val="20"/>
          <w:szCs w:val="20"/>
        </w:rPr>
        <w:t>,</w:t>
      </w:r>
      <w:r w:rsidRPr="00276B7E">
        <w:rPr>
          <w:rFonts w:ascii="Arial" w:hAnsi="Arial" w:cs="Arial"/>
          <w:sz w:val="20"/>
          <w:szCs w:val="20"/>
        </w:rPr>
        <w:t xml:space="preserve"> AS</w:t>
      </w:r>
      <w:r w:rsidR="008967C8" w:rsidRPr="00276B7E">
        <w:rPr>
          <w:rFonts w:ascii="Arial" w:hAnsi="Arial" w:cs="Arial"/>
          <w:sz w:val="20"/>
          <w:szCs w:val="20"/>
        </w:rPr>
        <w:t>.</w:t>
      </w:r>
      <w:r w:rsidRPr="00276B7E">
        <w:rPr>
          <w:rFonts w:ascii="Arial" w:hAnsi="Arial" w:cs="Arial"/>
          <w:sz w:val="20"/>
          <w:szCs w:val="20"/>
        </w:rPr>
        <w:t>, Rahman</w:t>
      </w:r>
      <w:r w:rsidR="008967C8" w:rsidRPr="00276B7E">
        <w:rPr>
          <w:rFonts w:ascii="Arial" w:hAnsi="Arial" w:cs="Arial"/>
          <w:sz w:val="20"/>
          <w:szCs w:val="20"/>
        </w:rPr>
        <w:t>,</w:t>
      </w:r>
      <w:r w:rsidRPr="00276B7E">
        <w:rPr>
          <w:rFonts w:ascii="Arial" w:hAnsi="Arial" w:cs="Arial"/>
          <w:sz w:val="20"/>
          <w:szCs w:val="20"/>
        </w:rPr>
        <w:t xml:space="preserve"> K</w:t>
      </w:r>
      <w:r w:rsidR="008967C8" w:rsidRPr="00276B7E">
        <w:rPr>
          <w:rFonts w:ascii="Arial" w:hAnsi="Arial" w:cs="Arial"/>
          <w:sz w:val="20"/>
          <w:szCs w:val="20"/>
        </w:rPr>
        <w:t>.</w:t>
      </w:r>
      <w:r w:rsidRPr="00276B7E">
        <w:rPr>
          <w:rFonts w:ascii="Arial" w:hAnsi="Arial" w:cs="Arial"/>
          <w:sz w:val="20"/>
          <w:szCs w:val="20"/>
        </w:rPr>
        <w:t xml:space="preserve"> et al. </w:t>
      </w:r>
      <w:r w:rsidR="008967C8" w:rsidRPr="00276B7E">
        <w:rPr>
          <w:rFonts w:ascii="Arial" w:hAnsi="Arial" w:cs="Arial"/>
          <w:sz w:val="20"/>
          <w:szCs w:val="20"/>
        </w:rPr>
        <w:t xml:space="preserve">(2023). </w:t>
      </w:r>
      <w:r w:rsidRPr="00276B7E">
        <w:rPr>
          <w:rFonts w:ascii="Arial" w:hAnsi="Arial" w:cs="Arial"/>
          <w:sz w:val="20"/>
          <w:szCs w:val="20"/>
        </w:rPr>
        <w:t>Microbial Isolates from Urinary Tract Infection and their Antibiotic Resistance Pattern in Dhaka city of Bangl</w:t>
      </w:r>
      <w:r w:rsidR="008967C8" w:rsidRPr="00276B7E">
        <w:rPr>
          <w:rFonts w:ascii="Arial" w:hAnsi="Arial" w:cs="Arial"/>
          <w:sz w:val="20"/>
          <w:szCs w:val="20"/>
        </w:rPr>
        <w:t xml:space="preserve">adesh. </w:t>
      </w:r>
      <w:r w:rsidR="00622EDB" w:rsidRPr="00276B7E">
        <w:rPr>
          <w:rFonts w:ascii="Arial" w:hAnsi="Arial" w:cs="Arial"/>
          <w:i/>
          <w:sz w:val="20"/>
          <w:szCs w:val="20"/>
        </w:rPr>
        <w:t>Journal of Knowledge Learning and Science Technology</w:t>
      </w:r>
      <w:r w:rsidR="008967C8" w:rsidRPr="00276B7E">
        <w:rPr>
          <w:rFonts w:ascii="Arial" w:hAnsi="Arial" w:cs="Arial"/>
          <w:sz w:val="20"/>
          <w:szCs w:val="20"/>
        </w:rPr>
        <w:t>,</w:t>
      </w:r>
      <w:r w:rsidR="00B83755" w:rsidRPr="00276B7E">
        <w:rPr>
          <w:rFonts w:ascii="Arial" w:hAnsi="Arial" w:cs="Arial"/>
          <w:sz w:val="20"/>
          <w:szCs w:val="20"/>
        </w:rPr>
        <w:t xml:space="preserve"> 2(3) : 12.</w:t>
      </w:r>
    </w:p>
    <w:p w14:paraId="737990C1"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29.</w:t>
      </w:r>
      <w:r w:rsidRPr="00276B7E">
        <w:rPr>
          <w:rFonts w:ascii="Arial" w:hAnsi="Arial" w:cs="Arial"/>
          <w:sz w:val="20"/>
          <w:szCs w:val="20"/>
        </w:rPr>
        <w:tab/>
        <w:t>Fenta</w:t>
      </w:r>
      <w:r w:rsidR="008967C8" w:rsidRPr="00276B7E">
        <w:rPr>
          <w:rFonts w:ascii="Arial" w:hAnsi="Arial" w:cs="Arial"/>
          <w:sz w:val="20"/>
          <w:szCs w:val="20"/>
        </w:rPr>
        <w:t>,</w:t>
      </w:r>
      <w:r w:rsidRPr="00276B7E">
        <w:rPr>
          <w:rFonts w:ascii="Arial" w:hAnsi="Arial" w:cs="Arial"/>
          <w:sz w:val="20"/>
          <w:szCs w:val="20"/>
        </w:rPr>
        <w:t xml:space="preserve"> A</w:t>
      </w:r>
      <w:r w:rsidR="008967C8" w:rsidRPr="00276B7E">
        <w:rPr>
          <w:rFonts w:ascii="Arial" w:hAnsi="Arial" w:cs="Arial"/>
          <w:sz w:val="20"/>
          <w:szCs w:val="20"/>
        </w:rPr>
        <w:t>.</w:t>
      </w:r>
      <w:r w:rsidRPr="00276B7E">
        <w:rPr>
          <w:rFonts w:ascii="Arial" w:hAnsi="Arial" w:cs="Arial"/>
          <w:sz w:val="20"/>
          <w:szCs w:val="20"/>
        </w:rPr>
        <w:t>, Dagnew</w:t>
      </w:r>
      <w:r w:rsidR="008967C8" w:rsidRPr="00276B7E">
        <w:rPr>
          <w:rFonts w:ascii="Arial" w:hAnsi="Arial" w:cs="Arial"/>
          <w:sz w:val="20"/>
          <w:szCs w:val="20"/>
        </w:rPr>
        <w:t>,</w:t>
      </w:r>
      <w:r w:rsidRPr="00276B7E">
        <w:rPr>
          <w:rFonts w:ascii="Arial" w:hAnsi="Arial" w:cs="Arial"/>
          <w:sz w:val="20"/>
          <w:szCs w:val="20"/>
        </w:rPr>
        <w:t xml:space="preserve"> M</w:t>
      </w:r>
      <w:r w:rsidR="008967C8" w:rsidRPr="00276B7E">
        <w:rPr>
          <w:rFonts w:ascii="Arial" w:hAnsi="Arial" w:cs="Arial"/>
          <w:sz w:val="20"/>
          <w:szCs w:val="20"/>
        </w:rPr>
        <w:t>.</w:t>
      </w:r>
      <w:r w:rsidRPr="00276B7E">
        <w:rPr>
          <w:rFonts w:ascii="Arial" w:hAnsi="Arial" w:cs="Arial"/>
          <w:sz w:val="20"/>
          <w:szCs w:val="20"/>
        </w:rPr>
        <w:t>, Eshetie</w:t>
      </w:r>
      <w:r w:rsidR="008967C8" w:rsidRPr="00276B7E">
        <w:rPr>
          <w:rFonts w:ascii="Arial" w:hAnsi="Arial" w:cs="Arial"/>
          <w:sz w:val="20"/>
          <w:szCs w:val="20"/>
        </w:rPr>
        <w:t>,</w:t>
      </w:r>
      <w:r w:rsidRPr="00276B7E">
        <w:rPr>
          <w:rFonts w:ascii="Arial" w:hAnsi="Arial" w:cs="Arial"/>
          <w:sz w:val="20"/>
          <w:szCs w:val="20"/>
        </w:rPr>
        <w:t xml:space="preserve"> S</w:t>
      </w:r>
      <w:r w:rsidR="008967C8" w:rsidRPr="00276B7E">
        <w:rPr>
          <w:rFonts w:ascii="Arial" w:hAnsi="Arial" w:cs="Arial"/>
          <w:sz w:val="20"/>
          <w:szCs w:val="20"/>
        </w:rPr>
        <w:t>.</w:t>
      </w:r>
      <w:r w:rsidRPr="00276B7E">
        <w:rPr>
          <w:rFonts w:ascii="Arial" w:hAnsi="Arial" w:cs="Arial"/>
          <w:sz w:val="20"/>
          <w:szCs w:val="20"/>
        </w:rPr>
        <w:t>,</w:t>
      </w:r>
      <w:r w:rsidR="008967C8" w:rsidRPr="00276B7E">
        <w:rPr>
          <w:rFonts w:ascii="Arial" w:hAnsi="Arial" w:cs="Arial"/>
          <w:sz w:val="20"/>
          <w:szCs w:val="20"/>
        </w:rPr>
        <w:t xml:space="preserve"> &amp;</w:t>
      </w:r>
      <w:r w:rsidRPr="00276B7E">
        <w:rPr>
          <w:rFonts w:ascii="Arial" w:hAnsi="Arial" w:cs="Arial"/>
          <w:sz w:val="20"/>
          <w:szCs w:val="20"/>
        </w:rPr>
        <w:t xml:space="preserve"> Belachew</w:t>
      </w:r>
      <w:r w:rsidR="008967C8" w:rsidRPr="00276B7E">
        <w:rPr>
          <w:rFonts w:ascii="Arial" w:hAnsi="Arial" w:cs="Arial"/>
          <w:sz w:val="20"/>
          <w:szCs w:val="20"/>
        </w:rPr>
        <w:t>,</w:t>
      </w:r>
      <w:r w:rsidRPr="00276B7E">
        <w:rPr>
          <w:rFonts w:ascii="Arial" w:hAnsi="Arial" w:cs="Arial"/>
          <w:sz w:val="20"/>
          <w:szCs w:val="20"/>
        </w:rPr>
        <w:t xml:space="preserve"> T. </w:t>
      </w:r>
      <w:r w:rsidR="008967C8" w:rsidRPr="00276B7E">
        <w:rPr>
          <w:rFonts w:ascii="Arial" w:hAnsi="Arial" w:cs="Arial"/>
          <w:sz w:val="20"/>
          <w:szCs w:val="20"/>
        </w:rPr>
        <w:t xml:space="preserve">(2020). </w:t>
      </w:r>
      <w:r w:rsidRPr="00276B7E">
        <w:rPr>
          <w:rFonts w:ascii="Arial" w:hAnsi="Arial" w:cs="Arial"/>
          <w:sz w:val="20"/>
          <w:szCs w:val="20"/>
        </w:rPr>
        <w:t xml:space="preserve">Bacterial profile, antibiotic susceptibility pattern and associated risk factors of urinary tract infection among clinically suspected children attending at Felege-Hiwot comprehensive and specialized hospital, Northwest Ethiopia. A prospective study. </w:t>
      </w:r>
      <w:r w:rsidR="00622EDB" w:rsidRPr="00276B7E">
        <w:rPr>
          <w:rFonts w:ascii="Arial" w:hAnsi="Arial" w:cs="Arial"/>
          <w:i/>
          <w:sz w:val="20"/>
          <w:szCs w:val="20"/>
        </w:rPr>
        <w:t>BMC Infectious Diseases</w:t>
      </w:r>
      <w:r w:rsidR="008967C8" w:rsidRPr="00276B7E">
        <w:rPr>
          <w:rFonts w:ascii="Arial" w:hAnsi="Arial" w:cs="Arial"/>
          <w:sz w:val="20"/>
          <w:szCs w:val="20"/>
        </w:rPr>
        <w:t>,</w:t>
      </w:r>
      <w:r w:rsidR="00B83755" w:rsidRPr="00276B7E">
        <w:rPr>
          <w:rFonts w:ascii="Arial" w:hAnsi="Arial" w:cs="Arial"/>
          <w:sz w:val="20"/>
          <w:szCs w:val="20"/>
        </w:rPr>
        <w:t xml:space="preserve"> 20(1) : 673.</w:t>
      </w:r>
    </w:p>
    <w:p w14:paraId="19B33187"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30.</w:t>
      </w:r>
      <w:r w:rsidRPr="00276B7E">
        <w:rPr>
          <w:rFonts w:ascii="Arial" w:hAnsi="Arial" w:cs="Arial"/>
          <w:sz w:val="20"/>
          <w:szCs w:val="20"/>
        </w:rPr>
        <w:tab/>
        <w:t>Kotb</w:t>
      </w:r>
      <w:r w:rsidR="008967C8" w:rsidRPr="00276B7E">
        <w:rPr>
          <w:rFonts w:ascii="Arial" w:hAnsi="Arial" w:cs="Arial"/>
          <w:sz w:val="20"/>
          <w:szCs w:val="20"/>
        </w:rPr>
        <w:t>,</w:t>
      </w:r>
      <w:r w:rsidRPr="00276B7E">
        <w:rPr>
          <w:rFonts w:ascii="Arial" w:hAnsi="Arial" w:cs="Arial"/>
          <w:sz w:val="20"/>
          <w:szCs w:val="20"/>
        </w:rPr>
        <w:t xml:space="preserve"> DN</w:t>
      </w:r>
      <w:r w:rsidR="008967C8" w:rsidRPr="00276B7E">
        <w:rPr>
          <w:rFonts w:ascii="Arial" w:hAnsi="Arial" w:cs="Arial"/>
          <w:sz w:val="20"/>
          <w:szCs w:val="20"/>
        </w:rPr>
        <w:t>.</w:t>
      </w:r>
      <w:r w:rsidRPr="00276B7E">
        <w:rPr>
          <w:rFonts w:ascii="Arial" w:hAnsi="Arial" w:cs="Arial"/>
          <w:sz w:val="20"/>
          <w:szCs w:val="20"/>
        </w:rPr>
        <w:t>, Wafaa</w:t>
      </w:r>
      <w:r w:rsidR="008967C8" w:rsidRPr="00276B7E">
        <w:rPr>
          <w:rFonts w:ascii="Arial" w:hAnsi="Arial" w:cs="Arial"/>
          <w:sz w:val="20"/>
          <w:szCs w:val="20"/>
        </w:rPr>
        <w:t>,</w:t>
      </w:r>
      <w:r w:rsidRPr="00276B7E">
        <w:rPr>
          <w:rFonts w:ascii="Arial" w:hAnsi="Arial" w:cs="Arial"/>
          <w:sz w:val="20"/>
          <w:szCs w:val="20"/>
        </w:rPr>
        <w:t xml:space="preserve"> KM</w:t>
      </w:r>
      <w:r w:rsidR="008967C8" w:rsidRPr="00276B7E">
        <w:rPr>
          <w:rFonts w:ascii="Arial" w:hAnsi="Arial" w:cs="Arial"/>
          <w:sz w:val="20"/>
          <w:szCs w:val="20"/>
        </w:rPr>
        <w:t>.</w:t>
      </w:r>
      <w:r w:rsidRPr="00276B7E">
        <w:rPr>
          <w:rFonts w:ascii="Arial" w:hAnsi="Arial" w:cs="Arial"/>
          <w:sz w:val="20"/>
          <w:szCs w:val="20"/>
        </w:rPr>
        <w:t>, Mahmoud</w:t>
      </w:r>
      <w:r w:rsidR="008967C8" w:rsidRPr="00276B7E">
        <w:rPr>
          <w:rFonts w:ascii="Arial" w:hAnsi="Arial" w:cs="Arial"/>
          <w:sz w:val="20"/>
          <w:szCs w:val="20"/>
        </w:rPr>
        <w:t>,</w:t>
      </w:r>
      <w:r w:rsidRPr="00276B7E">
        <w:rPr>
          <w:rFonts w:ascii="Arial" w:hAnsi="Arial" w:cs="Arial"/>
          <w:sz w:val="20"/>
          <w:szCs w:val="20"/>
        </w:rPr>
        <w:t xml:space="preserve"> SM</w:t>
      </w:r>
      <w:r w:rsidR="008967C8" w:rsidRPr="00276B7E">
        <w:rPr>
          <w:rFonts w:ascii="Arial" w:hAnsi="Arial" w:cs="Arial"/>
          <w:sz w:val="20"/>
          <w:szCs w:val="20"/>
        </w:rPr>
        <w:t>.</w:t>
      </w:r>
      <w:r w:rsidRPr="00276B7E">
        <w:rPr>
          <w:rFonts w:ascii="Arial" w:hAnsi="Arial" w:cs="Arial"/>
          <w:sz w:val="20"/>
          <w:szCs w:val="20"/>
        </w:rPr>
        <w:t>, Rasha</w:t>
      </w:r>
      <w:r w:rsidR="008967C8" w:rsidRPr="00276B7E">
        <w:rPr>
          <w:rFonts w:ascii="Arial" w:hAnsi="Arial" w:cs="Arial"/>
          <w:sz w:val="20"/>
          <w:szCs w:val="20"/>
        </w:rPr>
        <w:t>,</w:t>
      </w:r>
      <w:r w:rsidRPr="00276B7E">
        <w:rPr>
          <w:rFonts w:ascii="Arial" w:hAnsi="Arial" w:cs="Arial"/>
          <w:sz w:val="20"/>
          <w:szCs w:val="20"/>
        </w:rPr>
        <w:t xml:space="preserve"> MMK.</w:t>
      </w:r>
      <w:r w:rsidR="008967C8" w:rsidRPr="00276B7E">
        <w:rPr>
          <w:rFonts w:ascii="Arial" w:hAnsi="Arial" w:cs="Arial"/>
          <w:sz w:val="20"/>
          <w:szCs w:val="20"/>
        </w:rPr>
        <w:t xml:space="preserve"> (2019).</w:t>
      </w:r>
      <w:r w:rsidRPr="00276B7E">
        <w:rPr>
          <w:rFonts w:ascii="Arial" w:hAnsi="Arial" w:cs="Arial"/>
          <w:sz w:val="20"/>
          <w:szCs w:val="20"/>
        </w:rPr>
        <w:t xml:space="preserve"> Impact of co-existence of PMQR genes and QRDR mutations on fluoroquinolones resistance in Enterobacteriaceae strains isolated from community and hospital acquired UTIs. </w:t>
      </w:r>
      <w:r w:rsidR="00622EDB" w:rsidRPr="00276B7E">
        <w:rPr>
          <w:rFonts w:ascii="Arial" w:hAnsi="Arial" w:cs="Arial"/>
          <w:i/>
          <w:sz w:val="20"/>
          <w:szCs w:val="20"/>
        </w:rPr>
        <w:t xml:space="preserve">BMC Infectious </w:t>
      </w:r>
      <w:proofErr w:type="gramStart"/>
      <w:r w:rsidR="00622EDB" w:rsidRPr="00276B7E">
        <w:rPr>
          <w:rFonts w:ascii="Arial" w:hAnsi="Arial" w:cs="Arial"/>
          <w:i/>
          <w:sz w:val="20"/>
          <w:szCs w:val="20"/>
        </w:rPr>
        <w:t>Diseases</w:t>
      </w:r>
      <w:r w:rsidR="008967C8" w:rsidRPr="00276B7E">
        <w:rPr>
          <w:rFonts w:ascii="Arial" w:hAnsi="Arial" w:cs="Arial"/>
          <w:sz w:val="20"/>
          <w:szCs w:val="20"/>
        </w:rPr>
        <w:t xml:space="preserve"> ,</w:t>
      </w:r>
      <w:proofErr w:type="gramEnd"/>
      <w:r w:rsidR="00B83755" w:rsidRPr="00276B7E">
        <w:rPr>
          <w:rFonts w:ascii="Arial" w:hAnsi="Arial" w:cs="Arial"/>
          <w:sz w:val="20"/>
          <w:szCs w:val="20"/>
        </w:rPr>
        <w:t xml:space="preserve"> 19(1): 979.</w:t>
      </w:r>
    </w:p>
    <w:p w14:paraId="0A7FD3CD"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31.</w:t>
      </w:r>
      <w:r w:rsidRPr="00276B7E">
        <w:rPr>
          <w:rFonts w:ascii="Arial" w:hAnsi="Arial" w:cs="Arial"/>
          <w:sz w:val="20"/>
          <w:szCs w:val="20"/>
        </w:rPr>
        <w:tab/>
        <w:t>Muylaert</w:t>
      </w:r>
      <w:r w:rsidR="008967C8" w:rsidRPr="00276B7E">
        <w:rPr>
          <w:rFonts w:ascii="Arial" w:hAnsi="Arial" w:cs="Arial"/>
          <w:sz w:val="20"/>
          <w:szCs w:val="20"/>
        </w:rPr>
        <w:t>, A. &amp; Mainil, J</w:t>
      </w:r>
      <w:r w:rsidRPr="00276B7E">
        <w:rPr>
          <w:rFonts w:ascii="Arial" w:hAnsi="Arial" w:cs="Arial"/>
          <w:sz w:val="20"/>
          <w:szCs w:val="20"/>
        </w:rPr>
        <w:t xml:space="preserve">G. </w:t>
      </w:r>
      <w:r w:rsidR="008967C8" w:rsidRPr="00276B7E">
        <w:rPr>
          <w:rFonts w:ascii="Arial" w:hAnsi="Arial" w:cs="Arial"/>
          <w:sz w:val="20"/>
          <w:szCs w:val="20"/>
        </w:rPr>
        <w:t xml:space="preserve">(2013). </w:t>
      </w:r>
      <w:r w:rsidRPr="00276B7E">
        <w:rPr>
          <w:rFonts w:ascii="Arial" w:hAnsi="Arial" w:cs="Arial"/>
          <w:sz w:val="20"/>
          <w:szCs w:val="20"/>
        </w:rPr>
        <w:t xml:space="preserve">Resistance to </w:t>
      </w:r>
      <w:proofErr w:type="gramStart"/>
      <w:r w:rsidRPr="00276B7E">
        <w:rPr>
          <w:rFonts w:ascii="Arial" w:hAnsi="Arial" w:cs="Arial"/>
          <w:sz w:val="20"/>
          <w:szCs w:val="20"/>
        </w:rPr>
        <w:t>fluoroquinolones:</w:t>
      </w:r>
      <w:proofErr w:type="gramEnd"/>
      <w:r w:rsidRPr="00276B7E">
        <w:rPr>
          <w:rFonts w:ascii="Arial" w:hAnsi="Arial" w:cs="Arial"/>
          <w:sz w:val="20"/>
          <w:szCs w:val="20"/>
        </w:rPr>
        <w:t xml:space="preserve"> the current situation. </w:t>
      </w:r>
      <w:r w:rsidR="00622EDB" w:rsidRPr="00276B7E">
        <w:rPr>
          <w:rFonts w:ascii="Arial" w:hAnsi="Arial" w:cs="Arial"/>
          <w:i/>
          <w:sz w:val="20"/>
          <w:szCs w:val="20"/>
        </w:rPr>
        <w:t>Annals of Veterinary Medicine</w:t>
      </w:r>
      <w:r w:rsidR="008967C8" w:rsidRPr="00276B7E">
        <w:rPr>
          <w:rFonts w:ascii="Arial" w:hAnsi="Arial" w:cs="Arial"/>
          <w:sz w:val="20"/>
          <w:szCs w:val="20"/>
        </w:rPr>
        <w:t>,</w:t>
      </w:r>
      <w:r w:rsidR="00B83755" w:rsidRPr="00276B7E">
        <w:rPr>
          <w:rFonts w:ascii="Arial" w:hAnsi="Arial" w:cs="Arial"/>
          <w:sz w:val="20"/>
          <w:szCs w:val="20"/>
        </w:rPr>
        <w:t xml:space="preserve"> 157(1</w:t>
      </w:r>
      <w:proofErr w:type="gramStart"/>
      <w:r w:rsidR="00B83755" w:rsidRPr="00276B7E">
        <w:rPr>
          <w:rFonts w:ascii="Arial" w:hAnsi="Arial" w:cs="Arial"/>
          <w:sz w:val="20"/>
          <w:szCs w:val="20"/>
        </w:rPr>
        <w:t>):</w:t>
      </w:r>
      <w:proofErr w:type="gramEnd"/>
      <w:r w:rsidR="00B83755" w:rsidRPr="00276B7E">
        <w:rPr>
          <w:rFonts w:ascii="Arial" w:hAnsi="Arial" w:cs="Arial"/>
          <w:sz w:val="20"/>
          <w:szCs w:val="20"/>
        </w:rPr>
        <w:t xml:space="preserve"> 15-26.</w:t>
      </w:r>
    </w:p>
    <w:p w14:paraId="64ED0516"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32.</w:t>
      </w:r>
      <w:r w:rsidRPr="00276B7E">
        <w:rPr>
          <w:rFonts w:ascii="Arial" w:hAnsi="Arial" w:cs="Arial"/>
          <w:sz w:val="20"/>
          <w:szCs w:val="20"/>
        </w:rPr>
        <w:tab/>
        <w:t>Priyadarshini</w:t>
      </w:r>
      <w:r w:rsidR="008967C8" w:rsidRPr="00276B7E">
        <w:rPr>
          <w:rFonts w:ascii="Arial" w:hAnsi="Arial" w:cs="Arial"/>
          <w:sz w:val="20"/>
          <w:szCs w:val="20"/>
        </w:rPr>
        <w:t>,</w:t>
      </w:r>
      <w:r w:rsidRPr="00276B7E">
        <w:rPr>
          <w:rFonts w:ascii="Arial" w:hAnsi="Arial" w:cs="Arial"/>
          <w:sz w:val="20"/>
          <w:szCs w:val="20"/>
        </w:rPr>
        <w:t xml:space="preserve"> B</w:t>
      </w:r>
      <w:r w:rsidR="008967C8" w:rsidRPr="00276B7E">
        <w:rPr>
          <w:rFonts w:ascii="Arial" w:hAnsi="Arial" w:cs="Arial"/>
          <w:sz w:val="20"/>
          <w:szCs w:val="20"/>
        </w:rPr>
        <w:t>.</w:t>
      </w:r>
      <w:r w:rsidRPr="00276B7E">
        <w:rPr>
          <w:rFonts w:ascii="Arial" w:hAnsi="Arial" w:cs="Arial"/>
          <w:sz w:val="20"/>
          <w:szCs w:val="20"/>
        </w:rPr>
        <w:t>, Rani</w:t>
      </w:r>
      <w:r w:rsidR="008967C8" w:rsidRPr="00276B7E">
        <w:rPr>
          <w:rFonts w:ascii="Arial" w:hAnsi="Arial" w:cs="Arial"/>
          <w:sz w:val="20"/>
          <w:szCs w:val="20"/>
        </w:rPr>
        <w:t>,</w:t>
      </w:r>
      <w:r w:rsidRPr="00276B7E">
        <w:rPr>
          <w:rFonts w:ascii="Arial" w:hAnsi="Arial" w:cs="Arial"/>
          <w:sz w:val="20"/>
          <w:szCs w:val="20"/>
        </w:rPr>
        <w:t xml:space="preserve"> LK</w:t>
      </w:r>
      <w:r w:rsidR="008967C8" w:rsidRPr="00276B7E">
        <w:rPr>
          <w:rFonts w:ascii="Arial" w:hAnsi="Arial" w:cs="Arial"/>
          <w:sz w:val="20"/>
          <w:szCs w:val="20"/>
        </w:rPr>
        <w:t>.</w:t>
      </w:r>
      <w:r w:rsidRPr="00276B7E">
        <w:rPr>
          <w:rFonts w:ascii="Arial" w:hAnsi="Arial" w:cs="Arial"/>
          <w:sz w:val="20"/>
          <w:szCs w:val="20"/>
        </w:rPr>
        <w:t xml:space="preserve">, </w:t>
      </w:r>
      <w:r w:rsidR="008967C8" w:rsidRPr="00276B7E">
        <w:rPr>
          <w:rFonts w:ascii="Arial" w:hAnsi="Arial" w:cs="Arial"/>
          <w:sz w:val="20"/>
          <w:szCs w:val="20"/>
        </w:rPr>
        <w:t xml:space="preserve">&amp; </w:t>
      </w:r>
      <w:r w:rsidRPr="00276B7E">
        <w:rPr>
          <w:rFonts w:ascii="Arial" w:hAnsi="Arial" w:cs="Arial"/>
          <w:sz w:val="20"/>
          <w:szCs w:val="20"/>
        </w:rPr>
        <w:t>Ramaswamy</w:t>
      </w:r>
      <w:r w:rsidR="008967C8" w:rsidRPr="00276B7E">
        <w:rPr>
          <w:rFonts w:ascii="Arial" w:hAnsi="Arial" w:cs="Arial"/>
          <w:sz w:val="20"/>
          <w:szCs w:val="20"/>
        </w:rPr>
        <w:t>,</w:t>
      </w:r>
      <w:r w:rsidRPr="00276B7E">
        <w:rPr>
          <w:rFonts w:ascii="Arial" w:hAnsi="Arial" w:cs="Arial"/>
          <w:sz w:val="20"/>
          <w:szCs w:val="20"/>
        </w:rPr>
        <w:t xml:space="preserve"> R. </w:t>
      </w:r>
      <w:r w:rsidR="008967C8" w:rsidRPr="00276B7E">
        <w:rPr>
          <w:rFonts w:ascii="Arial" w:hAnsi="Arial" w:cs="Arial"/>
          <w:sz w:val="20"/>
          <w:szCs w:val="20"/>
        </w:rPr>
        <w:t xml:space="preserve">(2016). </w:t>
      </w:r>
      <w:r w:rsidRPr="00276B7E">
        <w:rPr>
          <w:rFonts w:ascii="Arial" w:hAnsi="Arial" w:cs="Arial"/>
          <w:sz w:val="20"/>
          <w:szCs w:val="20"/>
        </w:rPr>
        <w:t xml:space="preserve">Isolation and antibiotic sensitivity pattern of citrobacter species with esbl and ampc detection at tertiary care hospital, bangalore. </w:t>
      </w:r>
      <w:r w:rsidR="00622EDB" w:rsidRPr="00276B7E">
        <w:rPr>
          <w:rFonts w:ascii="Arial" w:hAnsi="Arial" w:cs="Arial"/>
          <w:i/>
          <w:sz w:val="20"/>
          <w:szCs w:val="20"/>
        </w:rPr>
        <w:t>Journal of Evolution of Medical and Dental Sciences</w:t>
      </w:r>
      <w:r w:rsidR="008967C8" w:rsidRPr="00276B7E">
        <w:rPr>
          <w:rFonts w:ascii="Arial" w:hAnsi="Arial" w:cs="Arial"/>
          <w:sz w:val="20"/>
          <w:szCs w:val="20"/>
        </w:rPr>
        <w:t>,</w:t>
      </w:r>
      <w:r w:rsidRPr="00276B7E">
        <w:rPr>
          <w:rFonts w:ascii="Arial" w:hAnsi="Arial" w:cs="Arial"/>
          <w:sz w:val="20"/>
          <w:szCs w:val="20"/>
        </w:rPr>
        <w:t xml:space="preserve"> 5(30</w:t>
      </w:r>
      <w:proofErr w:type="gramStart"/>
      <w:r w:rsidRPr="00276B7E">
        <w:rPr>
          <w:rFonts w:ascii="Arial" w:hAnsi="Arial" w:cs="Arial"/>
          <w:sz w:val="20"/>
          <w:szCs w:val="20"/>
        </w:rPr>
        <w:t>):</w:t>
      </w:r>
      <w:proofErr w:type="gramEnd"/>
      <w:r w:rsidRPr="00276B7E">
        <w:rPr>
          <w:rFonts w:ascii="Arial" w:hAnsi="Arial" w:cs="Arial"/>
          <w:sz w:val="20"/>
          <w:szCs w:val="20"/>
        </w:rPr>
        <w:t xml:space="preserve">1553-7. </w:t>
      </w:r>
    </w:p>
    <w:p w14:paraId="73E8FDDF"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33.</w:t>
      </w:r>
      <w:r w:rsidRPr="00276B7E">
        <w:rPr>
          <w:rFonts w:ascii="Arial" w:hAnsi="Arial" w:cs="Arial"/>
          <w:sz w:val="20"/>
          <w:szCs w:val="20"/>
        </w:rPr>
        <w:tab/>
        <w:t>Otta</w:t>
      </w:r>
      <w:r w:rsidR="008967C8" w:rsidRPr="00276B7E">
        <w:rPr>
          <w:rFonts w:ascii="Arial" w:hAnsi="Arial" w:cs="Arial"/>
          <w:sz w:val="20"/>
          <w:szCs w:val="20"/>
        </w:rPr>
        <w:t>,</w:t>
      </w:r>
      <w:r w:rsidRPr="00276B7E">
        <w:rPr>
          <w:rFonts w:ascii="Arial" w:hAnsi="Arial" w:cs="Arial"/>
          <w:sz w:val="20"/>
          <w:szCs w:val="20"/>
        </w:rPr>
        <w:t xml:space="preserve"> S</w:t>
      </w:r>
      <w:r w:rsidR="008967C8" w:rsidRPr="00276B7E">
        <w:rPr>
          <w:rFonts w:ascii="Arial" w:hAnsi="Arial" w:cs="Arial"/>
          <w:sz w:val="20"/>
          <w:szCs w:val="20"/>
        </w:rPr>
        <w:t>.</w:t>
      </w:r>
      <w:r w:rsidRPr="00276B7E">
        <w:rPr>
          <w:rFonts w:ascii="Arial" w:hAnsi="Arial" w:cs="Arial"/>
          <w:sz w:val="20"/>
          <w:szCs w:val="20"/>
        </w:rPr>
        <w:t>, Priyadarshini</w:t>
      </w:r>
      <w:r w:rsidR="008967C8" w:rsidRPr="00276B7E">
        <w:rPr>
          <w:rFonts w:ascii="Arial" w:hAnsi="Arial" w:cs="Arial"/>
          <w:sz w:val="20"/>
          <w:szCs w:val="20"/>
        </w:rPr>
        <w:t>,</w:t>
      </w:r>
      <w:r w:rsidRPr="00276B7E">
        <w:rPr>
          <w:rFonts w:ascii="Arial" w:hAnsi="Arial" w:cs="Arial"/>
          <w:sz w:val="20"/>
          <w:szCs w:val="20"/>
        </w:rPr>
        <w:t xml:space="preserve"> B</w:t>
      </w:r>
      <w:r w:rsidR="008967C8" w:rsidRPr="00276B7E">
        <w:rPr>
          <w:rFonts w:ascii="Arial" w:hAnsi="Arial" w:cs="Arial"/>
          <w:sz w:val="20"/>
          <w:szCs w:val="20"/>
        </w:rPr>
        <w:t>.</w:t>
      </w:r>
      <w:r w:rsidRPr="00276B7E">
        <w:rPr>
          <w:rFonts w:ascii="Arial" w:hAnsi="Arial" w:cs="Arial"/>
          <w:sz w:val="20"/>
          <w:szCs w:val="20"/>
        </w:rPr>
        <w:t>, Rout</w:t>
      </w:r>
      <w:r w:rsidR="008967C8" w:rsidRPr="00276B7E">
        <w:rPr>
          <w:rFonts w:ascii="Arial" w:hAnsi="Arial" w:cs="Arial"/>
          <w:sz w:val="20"/>
          <w:szCs w:val="20"/>
        </w:rPr>
        <w:t>,</w:t>
      </w:r>
      <w:r w:rsidRPr="00276B7E">
        <w:rPr>
          <w:rFonts w:ascii="Arial" w:hAnsi="Arial" w:cs="Arial"/>
          <w:sz w:val="20"/>
          <w:szCs w:val="20"/>
        </w:rPr>
        <w:t xml:space="preserve"> PB</w:t>
      </w:r>
      <w:r w:rsidR="008967C8" w:rsidRPr="00276B7E">
        <w:rPr>
          <w:rFonts w:ascii="Arial" w:hAnsi="Arial" w:cs="Arial"/>
          <w:sz w:val="20"/>
          <w:szCs w:val="20"/>
        </w:rPr>
        <w:t>.</w:t>
      </w:r>
      <w:r w:rsidRPr="00276B7E">
        <w:rPr>
          <w:rFonts w:ascii="Arial" w:hAnsi="Arial" w:cs="Arial"/>
          <w:sz w:val="20"/>
          <w:szCs w:val="20"/>
        </w:rPr>
        <w:t>, Sahu</w:t>
      </w:r>
      <w:r w:rsidR="008967C8" w:rsidRPr="00276B7E">
        <w:rPr>
          <w:rFonts w:ascii="Arial" w:hAnsi="Arial" w:cs="Arial"/>
          <w:sz w:val="20"/>
          <w:szCs w:val="20"/>
        </w:rPr>
        <w:t>,</w:t>
      </w:r>
      <w:r w:rsidRPr="00276B7E">
        <w:rPr>
          <w:rFonts w:ascii="Arial" w:hAnsi="Arial" w:cs="Arial"/>
          <w:sz w:val="20"/>
          <w:szCs w:val="20"/>
        </w:rPr>
        <w:t xml:space="preserve"> KK</w:t>
      </w:r>
      <w:r w:rsidR="008967C8" w:rsidRPr="00276B7E">
        <w:rPr>
          <w:rFonts w:ascii="Arial" w:hAnsi="Arial" w:cs="Arial"/>
          <w:sz w:val="20"/>
          <w:szCs w:val="20"/>
        </w:rPr>
        <w:t>.</w:t>
      </w:r>
      <w:r w:rsidRPr="00276B7E">
        <w:rPr>
          <w:rFonts w:ascii="Arial" w:hAnsi="Arial" w:cs="Arial"/>
          <w:sz w:val="20"/>
          <w:szCs w:val="20"/>
        </w:rPr>
        <w:t xml:space="preserve">, </w:t>
      </w:r>
      <w:r w:rsidR="00527FA8" w:rsidRPr="00276B7E">
        <w:rPr>
          <w:rFonts w:ascii="Arial" w:hAnsi="Arial" w:cs="Arial"/>
          <w:sz w:val="20"/>
          <w:szCs w:val="20"/>
        </w:rPr>
        <w:t xml:space="preserve">&amp; </w:t>
      </w:r>
      <w:r w:rsidRPr="00276B7E">
        <w:rPr>
          <w:rFonts w:ascii="Arial" w:hAnsi="Arial" w:cs="Arial"/>
          <w:sz w:val="20"/>
          <w:szCs w:val="20"/>
        </w:rPr>
        <w:t xml:space="preserve">Swain B. </w:t>
      </w:r>
      <w:r w:rsidR="00527FA8" w:rsidRPr="00276B7E">
        <w:rPr>
          <w:rFonts w:ascii="Arial" w:hAnsi="Arial" w:cs="Arial"/>
          <w:sz w:val="20"/>
          <w:szCs w:val="20"/>
        </w:rPr>
        <w:t xml:space="preserve">(2023). </w:t>
      </w:r>
      <w:r w:rsidRPr="00276B7E">
        <w:rPr>
          <w:rFonts w:ascii="Arial" w:hAnsi="Arial" w:cs="Arial"/>
          <w:sz w:val="20"/>
          <w:szCs w:val="20"/>
        </w:rPr>
        <w:t xml:space="preserve">In vitro resistance pattern of Citrobacter </w:t>
      </w:r>
      <w:proofErr w:type="gramStart"/>
      <w:r w:rsidRPr="00276B7E">
        <w:rPr>
          <w:rFonts w:ascii="Arial" w:hAnsi="Arial" w:cs="Arial"/>
          <w:sz w:val="20"/>
          <w:szCs w:val="20"/>
        </w:rPr>
        <w:t>infections:</w:t>
      </w:r>
      <w:proofErr w:type="gramEnd"/>
      <w:r w:rsidRPr="00276B7E">
        <w:rPr>
          <w:rFonts w:ascii="Arial" w:hAnsi="Arial" w:cs="Arial"/>
          <w:sz w:val="20"/>
          <w:szCs w:val="20"/>
        </w:rPr>
        <w:t xml:space="preserve"> A retrospective study. </w:t>
      </w:r>
      <w:r w:rsidR="00622EDB" w:rsidRPr="00276B7E">
        <w:rPr>
          <w:rFonts w:ascii="Arial" w:hAnsi="Arial" w:cs="Arial"/>
          <w:i/>
          <w:sz w:val="20"/>
          <w:szCs w:val="20"/>
        </w:rPr>
        <w:t xml:space="preserve">The Journal of Associated Medical </w:t>
      </w:r>
      <w:proofErr w:type="gramStart"/>
      <w:r w:rsidR="00622EDB" w:rsidRPr="00276B7E">
        <w:rPr>
          <w:rFonts w:ascii="Arial" w:hAnsi="Arial" w:cs="Arial"/>
          <w:i/>
          <w:sz w:val="20"/>
          <w:szCs w:val="20"/>
        </w:rPr>
        <w:t>Sciences</w:t>
      </w:r>
      <w:r w:rsidR="00527FA8" w:rsidRPr="00276B7E">
        <w:rPr>
          <w:rFonts w:ascii="Arial" w:hAnsi="Arial" w:cs="Arial"/>
          <w:sz w:val="20"/>
          <w:szCs w:val="20"/>
        </w:rPr>
        <w:t>;</w:t>
      </w:r>
      <w:proofErr w:type="gramEnd"/>
      <w:r w:rsidR="00B83755" w:rsidRPr="00276B7E">
        <w:rPr>
          <w:rFonts w:ascii="Arial" w:hAnsi="Arial" w:cs="Arial"/>
          <w:sz w:val="20"/>
          <w:szCs w:val="20"/>
        </w:rPr>
        <w:t xml:space="preserve"> 56(1): 49-53.</w:t>
      </w:r>
    </w:p>
    <w:p w14:paraId="4C604EE5" w14:textId="77777777" w:rsidR="00F16879" w:rsidRPr="00276B7E" w:rsidRDefault="007C5967" w:rsidP="00B83755">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34.</w:t>
      </w:r>
      <w:r w:rsidRPr="00276B7E">
        <w:rPr>
          <w:rFonts w:ascii="Arial" w:hAnsi="Arial" w:cs="Arial"/>
          <w:sz w:val="20"/>
          <w:szCs w:val="20"/>
        </w:rPr>
        <w:tab/>
        <w:t>Sami</w:t>
      </w:r>
      <w:r w:rsidR="00527FA8" w:rsidRPr="00276B7E">
        <w:rPr>
          <w:rFonts w:ascii="Arial" w:hAnsi="Arial" w:cs="Arial"/>
          <w:sz w:val="20"/>
          <w:szCs w:val="20"/>
        </w:rPr>
        <w:t>,</w:t>
      </w:r>
      <w:r w:rsidRPr="00276B7E">
        <w:rPr>
          <w:rFonts w:ascii="Arial" w:hAnsi="Arial" w:cs="Arial"/>
          <w:sz w:val="20"/>
          <w:szCs w:val="20"/>
        </w:rPr>
        <w:t xml:space="preserve"> H</w:t>
      </w:r>
      <w:r w:rsidR="00527FA8" w:rsidRPr="00276B7E">
        <w:rPr>
          <w:rFonts w:ascii="Arial" w:hAnsi="Arial" w:cs="Arial"/>
          <w:sz w:val="20"/>
          <w:szCs w:val="20"/>
        </w:rPr>
        <w:t>.</w:t>
      </w:r>
      <w:r w:rsidRPr="00276B7E">
        <w:rPr>
          <w:rFonts w:ascii="Arial" w:hAnsi="Arial" w:cs="Arial"/>
          <w:sz w:val="20"/>
          <w:szCs w:val="20"/>
        </w:rPr>
        <w:t>, Sultan</w:t>
      </w:r>
      <w:r w:rsidR="00527FA8" w:rsidRPr="00276B7E">
        <w:rPr>
          <w:rFonts w:ascii="Arial" w:hAnsi="Arial" w:cs="Arial"/>
          <w:sz w:val="20"/>
          <w:szCs w:val="20"/>
        </w:rPr>
        <w:t>,</w:t>
      </w:r>
      <w:r w:rsidRPr="00276B7E">
        <w:rPr>
          <w:rFonts w:ascii="Arial" w:hAnsi="Arial" w:cs="Arial"/>
          <w:sz w:val="20"/>
          <w:szCs w:val="20"/>
        </w:rPr>
        <w:t xml:space="preserve"> A</w:t>
      </w:r>
      <w:r w:rsidR="00527FA8" w:rsidRPr="00276B7E">
        <w:rPr>
          <w:rFonts w:ascii="Arial" w:hAnsi="Arial" w:cs="Arial"/>
          <w:sz w:val="20"/>
          <w:szCs w:val="20"/>
        </w:rPr>
        <w:t>.</w:t>
      </w:r>
      <w:r w:rsidRPr="00276B7E">
        <w:rPr>
          <w:rFonts w:ascii="Arial" w:hAnsi="Arial" w:cs="Arial"/>
          <w:sz w:val="20"/>
          <w:szCs w:val="20"/>
        </w:rPr>
        <w:t>, Rizvi</w:t>
      </w:r>
      <w:r w:rsidR="00527FA8" w:rsidRPr="00276B7E">
        <w:rPr>
          <w:rFonts w:ascii="Arial" w:hAnsi="Arial" w:cs="Arial"/>
          <w:sz w:val="20"/>
          <w:szCs w:val="20"/>
        </w:rPr>
        <w:t>,</w:t>
      </w:r>
      <w:r w:rsidRPr="00276B7E">
        <w:rPr>
          <w:rFonts w:ascii="Arial" w:hAnsi="Arial" w:cs="Arial"/>
          <w:sz w:val="20"/>
          <w:szCs w:val="20"/>
        </w:rPr>
        <w:t xml:space="preserve"> M</w:t>
      </w:r>
      <w:r w:rsidR="00527FA8" w:rsidRPr="00276B7E">
        <w:rPr>
          <w:rFonts w:ascii="Arial" w:hAnsi="Arial" w:cs="Arial"/>
          <w:sz w:val="20"/>
          <w:szCs w:val="20"/>
        </w:rPr>
        <w:t>.</w:t>
      </w:r>
      <w:r w:rsidRPr="00276B7E">
        <w:rPr>
          <w:rFonts w:ascii="Arial" w:hAnsi="Arial" w:cs="Arial"/>
          <w:sz w:val="20"/>
          <w:szCs w:val="20"/>
        </w:rPr>
        <w:t>, Khan</w:t>
      </w:r>
      <w:r w:rsidR="00527FA8" w:rsidRPr="00276B7E">
        <w:rPr>
          <w:rFonts w:ascii="Arial" w:hAnsi="Arial" w:cs="Arial"/>
          <w:sz w:val="20"/>
          <w:szCs w:val="20"/>
        </w:rPr>
        <w:t>,</w:t>
      </w:r>
      <w:r w:rsidRPr="00276B7E">
        <w:rPr>
          <w:rFonts w:ascii="Arial" w:hAnsi="Arial" w:cs="Arial"/>
          <w:sz w:val="20"/>
          <w:szCs w:val="20"/>
        </w:rPr>
        <w:t xml:space="preserve"> F</w:t>
      </w:r>
      <w:r w:rsidR="00527FA8" w:rsidRPr="00276B7E">
        <w:rPr>
          <w:rFonts w:ascii="Arial" w:hAnsi="Arial" w:cs="Arial"/>
          <w:sz w:val="20"/>
          <w:szCs w:val="20"/>
        </w:rPr>
        <w:t>.</w:t>
      </w:r>
      <w:r w:rsidRPr="00276B7E">
        <w:rPr>
          <w:rFonts w:ascii="Arial" w:hAnsi="Arial" w:cs="Arial"/>
          <w:sz w:val="20"/>
          <w:szCs w:val="20"/>
        </w:rPr>
        <w:t>, Ahmad</w:t>
      </w:r>
      <w:r w:rsidR="00527FA8" w:rsidRPr="00276B7E">
        <w:rPr>
          <w:rFonts w:ascii="Arial" w:hAnsi="Arial" w:cs="Arial"/>
          <w:sz w:val="20"/>
          <w:szCs w:val="20"/>
        </w:rPr>
        <w:t>,</w:t>
      </w:r>
      <w:r w:rsidRPr="00276B7E">
        <w:rPr>
          <w:rFonts w:ascii="Arial" w:hAnsi="Arial" w:cs="Arial"/>
          <w:sz w:val="20"/>
          <w:szCs w:val="20"/>
        </w:rPr>
        <w:t xml:space="preserve"> S</w:t>
      </w:r>
      <w:r w:rsidR="00527FA8" w:rsidRPr="00276B7E">
        <w:rPr>
          <w:rFonts w:ascii="Arial" w:hAnsi="Arial" w:cs="Arial"/>
          <w:sz w:val="20"/>
          <w:szCs w:val="20"/>
        </w:rPr>
        <w:t>.</w:t>
      </w:r>
      <w:r w:rsidRPr="00276B7E">
        <w:rPr>
          <w:rFonts w:ascii="Arial" w:hAnsi="Arial" w:cs="Arial"/>
          <w:sz w:val="20"/>
          <w:szCs w:val="20"/>
        </w:rPr>
        <w:t xml:space="preserve">, Shukla I et al. </w:t>
      </w:r>
      <w:r w:rsidR="00527FA8" w:rsidRPr="00276B7E">
        <w:rPr>
          <w:rFonts w:ascii="Arial" w:hAnsi="Arial" w:cs="Arial"/>
          <w:sz w:val="20"/>
          <w:szCs w:val="20"/>
        </w:rPr>
        <w:t xml:space="preserve">(2017). </w:t>
      </w:r>
      <w:r w:rsidRPr="00276B7E">
        <w:rPr>
          <w:rFonts w:ascii="Arial" w:hAnsi="Arial" w:cs="Arial"/>
          <w:i/>
          <w:sz w:val="20"/>
          <w:szCs w:val="20"/>
        </w:rPr>
        <w:t>Citrobacter</w:t>
      </w:r>
      <w:r w:rsidRPr="00276B7E">
        <w:rPr>
          <w:rFonts w:ascii="Arial" w:hAnsi="Arial" w:cs="Arial"/>
          <w:sz w:val="20"/>
          <w:szCs w:val="20"/>
        </w:rPr>
        <w:t xml:space="preserve"> as a uropathogen, its prevalence and antibiotics susceptibility pattern. </w:t>
      </w:r>
      <w:r w:rsidR="00622EDB" w:rsidRPr="00276B7E">
        <w:rPr>
          <w:rFonts w:ascii="Arial" w:hAnsi="Arial" w:cs="Arial"/>
          <w:i/>
          <w:sz w:val="20"/>
          <w:szCs w:val="20"/>
        </w:rPr>
        <w:t>CHRISMED Journal of Health and Research</w:t>
      </w:r>
      <w:r w:rsidR="00527FA8" w:rsidRPr="00276B7E">
        <w:rPr>
          <w:rFonts w:ascii="Arial" w:hAnsi="Arial" w:cs="Arial"/>
          <w:i/>
          <w:sz w:val="20"/>
          <w:szCs w:val="20"/>
        </w:rPr>
        <w:t>.</w:t>
      </w:r>
      <w:r w:rsidR="00B83755" w:rsidRPr="00276B7E">
        <w:rPr>
          <w:rFonts w:ascii="Arial" w:hAnsi="Arial" w:cs="Arial"/>
          <w:sz w:val="20"/>
          <w:szCs w:val="20"/>
        </w:rPr>
        <w:t xml:space="preserve"> 4(1) ; 23–26.</w:t>
      </w:r>
    </w:p>
    <w:sectPr w:rsidR="00F16879" w:rsidRPr="00276B7E" w:rsidSect="003D775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FE353" w14:textId="77777777" w:rsidR="00964134" w:rsidRDefault="00964134" w:rsidP="007B7325">
      <w:pPr>
        <w:spacing w:after="0" w:line="240" w:lineRule="auto"/>
      </w:pPr>
      <w:r>
        <w:separator/>
      </w:r>
    </w:p>
  </w:endnote>
  <w:endnote w:type="continuationSeparator" w:id="0">
    <w:p w14:paraId="067A63B4" w14:textId="77777777" w:rsidR="00964134" w:rsidRDefault="00964134" w:rsidP="007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21F4" w14:textId="77777777" w:rsidR="00AC675F" w:rsidRDefault="00AC6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56C9" w14:textId="77777777" w:rsidR="008967C8" w:rsidRDefault="008967C8">
    <w:pPr>
      <w:pStyle w:val="Footer"/>
      <w:jc w:val="right"/>
    </w:pPr>
    <w:r>
      <w:fldChar w:fldCharType="begin"/>
    </w:r>
    <w:r>
      <w:instrText>PAGE   \* MERGEFORMAT</w:instrText>
    </w:r>
    <w:r>
      <w:fldChar w:fldCharType="separate"/>
    </w:r>
    <w:r w:rsidR="00276B7E">
      <w:rPr>
        <w:noProof/>
      </w:rPr>
      <w:t>12</w:t>
    </w:r>
    <w:r>
      <w:fldChar w:fldCharType="end"/>
    </w:r>
  </w:p>
  <w:p w14:paraId="6D672014" w14:textId="77777777" w:rsidR="008967C8" w:rsidRDefault="00896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F6F69" w14:textId="77777777" w:rsidR="00AC675F" w:rsidRDefault="00AC6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79493" w14:textId="77777777" w:rsidR="00964134" w:rsidRDefault="00964134" w:rsidP="007B7325">
      <w:pPr>
        <w:spacing w:after="0" w:line="240" w:lineRule="auto"/>
      </w:pPr>
      <w:r>
        <w:separator/>
      </w:r>
    </w:p>
  </w:footnote>
  <w:footnote w:type="continuationSeparator" w:id="0">
    <w:p w14:paraId="44534D66" w14:textId="77777777" w:rsidR="00964134" w:rsidRDefault="00964134" w:rsidP="007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FA62" w14:textId="02857BD0" w:rsidR="00AC675F" w:rsidRDefault="00AC675F">
    <w:pPr>
      <w:pStyle w:val="Header"/>
    </w:pPr>
    <w:r>
      <w:rPr>
        <w:noProof/>
      </w:rPr>
      <w:pict w14:anchorId="0943A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564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03A0" w14:textId="53C9D36D" w:rsidR="00AC675F" w:rsidRDefault="00AC675F">
    <w:pPr>
      <w:pStyle w:val="Header"/>
    </w:pPr>
    <w:r>
      <w:rPr>
        <w:noProof/>
      </w:rPr>
      <w:pict w14:anchorId="24650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564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5B7B7" w14:textId="67E830F9" w:rsidR="00AC675F" w:rsidRDefault="00AC675F">
    <w:pPr>
      <w:pStyle w:val="Header"/>
    </w:pPr>
    <w:r>
      <w:rPr>
        <w:noProof/>
      </w:rPr>
      <w:pict w14:anchorId="15012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564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D2B0D"/>
    <w:multiLevelType w:val="hybridMultilevel"/>
    <w:tmpl w:val="7E6EC9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F1"/>
    <w:rsid w:val="000540F3"/>
    <w:rsid w:val="000B5261"/>
    <w:rsid w:val="000B563B"/>
    <w:rsid w:val="001D6F01"/>
    <w:rsid w:val="0020277D"/>
    <w:rsid w:val="002408B7"/>
    <w:rsid w:val="00242D5E"/>
    <w:rsid w:val="002612DA"/>
    <w:rsid w:val="00266F0F"/>
    <w:rsid w:val="00272FB0"/>
    <w:rsid w:val="00276B7E"/>
    <w:rsid w:val="002E79BF"/>
    <w:rsid w:val="002F03FE"/>
    <w:rsid w:val="00305E97"/>
    <w:rsid w:val="0032215D"/>
    <w:rsid w:val="0037033D"/>
    <w:rsid w:val="003818E2"/>
    <w:rsid w:val="00384EA9"/>
    <w:rsid w:val="003913E6"/>
    <w:rsid w:val="003A4F7B"/>
    <w:rsid w:val="003D3CF1"/>
    <w:rsid w:val="003D4E06"/>
    <w:rsid w:val="003D775A"/>
    <w:rsid w:val="004065B7"/>
    <w:rsid w:val="004A2163"/>
    <w:rsid w:val="004A75AA"/>
    <w:rsid w:val="004D15F4"/>
    <w:rsid w:val="004D6DD4"/>
    <w:rsid w:val="00527FA8"/>
    <w:rsid w:val="00534372"/>
    <w:rsid w:val="00574F5C"/>
    <w:rsid w:val="005D704B"/>
    <w:rsid w:val="00622EDB"/>
    <w:rsid w:val="00673D7A"/>
    <w:rsid w:val="006C34E0"/>
    <w:rsid w:val="006F6A61"/>
    <w:rsid w:val="007B7325"/>
    <w:rsid w:val="007C0278"/>
    <w:rsid w:val="007C5967"/>
    <w:rsid w:val="007D5B18"/>
    <w:rsid w:val="007E4F7D"/>
    <w:rsid w:val="007E4FDA"/>
    <w:rsid w:val="008967C8"/>
    <w:rsid w:val="008B038D"/>
    <w:rsid w:val="009152FF"/>
    <w:rsid w:val="00951A39"/>
    <w:rsid w:val="00961237"/>
    <w:rsid w:val="00964134"/>
    <w:rsid w:val="009A54EA"/>
    <w:rsid w:val="009B7CA6"/>
    <w:rsid w:val="00A44965"/>
    <w:rsid w:val="00AA71D4"/>
    <w:rsid w:val="00AC675F"/>
    <w:rsid w:val="00B117E8"/>
    <w:rsid w:val="00B27C85"/>
    <w:rsid w:val="00B83755"/>
    <w:rsid w:val="00BF0D40"/>
    <w:rsid w:val="00C746C6"/>
    <w:rsid w:val="00D525A8"/>
    <w:rsid w:val="00DA0491"/>
    <w:rsid w:val="00DF0FD7"/>
    <w:rsid w:val="00E32F95"/>
    <w:rsid w:val="00E87DC6"/>
    <w:rsid w:val="00EC311E"/>
    <w:rsid w:val="00EC65F1"/>
    <w:rsid w:val="00ED3314"/>
    <w:rsid w:val="00F16879"/>
    <w:rsid w:val="00F40A61"/>
    <w:rsid w:val="00F53C0F"/>
    <w:rsid w:val="00F83145"/>
    <w:rsid w:val="00FD45B7"/>
    <w:rsid w:val="00FF2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9282B5"/>
  <w15:chartTrackingRefBased/>
  <w15:docId w15:val="{71B7D27D-0DAB-44A7-BE97-B8FA89A6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278"/>
    <w:rPr>
      <w:color w:val="0563C1" w:themeColor="hyperlink"/>
      <w:u w:val="single"/>
    </w:rPr>
  </w:style>
  <w:style w:type="paragraph" w:styleId="ListParagraph">
    <w:name w:val="List Paragraph"/>
    <w:basedOn w:val="Normal"/>
    <w:uiPriority w:val="34"/>
    <w:qFormat/>
    <w:rsid w:val="00BF0D40"/>
    <w:pPr>
      <w:ind w:left="720"/>
      <w:contextualSpacing/>
    </w:pPr>
  </w:style>
  <w:style w:type="paragraph" w:styleId="Header">
    <w:name w:val="header"/>
    <w:basedOn w:val="Normal"/>
    <w:link w:val="HeaderChar"/>
    <w:uiPriority w:val="99"/>
    <w:unhideWhenUsed/>
    <w:rsid w:val="007B73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7325"/>
  </w:style>
  <w:style w:type="paragraph" w:styleId="Footer">
    <w:name w:val="footer"/>
    <w:basedOn w:val="Normal"/>
    <w:link w:val="FooterChar"/>
    <w:uiPriority w:val="99"/>
    <w:unhideWhenUsed/>
    <w:rsid w:val="007B73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7325"/>
  </w:style>
  <w:style w:type="character" w:styleId="UnresolvedMention">
    <w:name w:val="Unresolved Mention"/>
    <w:basedOn w:val="DefaultParagraphFont"/>
    <w:uiPriority w:val="99"/>
    <w:semiHidden/>
    <w:unhideWhenUsed/>
    <w:rsid w:val="006C3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Feuil1!$B$36:$B$39</c:f>
              <c:strCache>
                <c:ptCount val="4"/>
                <c:pt idx="0">
                  <c:v>Urine à miction directe</c:v>
                </c:pt>
                <c:pt idx="1">
                  <c:v>Urine contenue dans le bout de sonde</c:v>
                </c:pt>
                <c:pt idx="2">
                  <c:v>Suppuration</c:v>
                </c:pt>
                <c:pt idx="3">
                  <c:v>sang</c:v>
                </c:pt>
              </c:strCache>
            </c:strRef>
          </c:cat>
          <c:val>
            <c:numRef>
              <c:f>Feuil1!$C$36:$C$39</c:f>
              <c:numCache>
                <c:formatCode>General</c:formatCode>
                <c:ptCount val="4"/>
              </c:numCache>
            </c:numRef>
          </c:val>
          <c:extLst>
            <c:ext xmlns:c16="http://schemas.microsoft.com/office/drawing/2014/chart" uri="{C3380CC4-5D6E-409C-BE32-E72D297353CC}">
              <c16:uniqueId val="{00000000-2DD6-46A7-B6FA-609468DB0B23}"/>
            </c:ext>
          </c:extLst>
        </c:ser>
        <c:ser>
          <c:idx val="1"/>
          <c:order val="1"/>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Feuil1!$B$36:$B$39</c:f>
              <c:strCache>
                <c:ptCount val="4"/>
                <c:pt idx="0">
                  <c:v>Urine à miction directe</c:v>
                </c:pt>
                <c:pt idx="1">
                  <c:v>Urine contenue dans le bout de sonde</c:v>
                </c:pt>
                <c:pt idx="2">
                  <c:v>Suppuration</c:v>
                </c:pt>
                <c:pt idx="3">
                  <c:v>sang</c:v>
                </c:pt>
              </c:strCache>
            </c:strRef>
          </c:cat>
          <c:val>
            <c:numRef>
              <c:f>Feuil1!$D$36:$D$39</c:f>
              <c:numCache>
                <c:formatCode>General</c:formatCode>
                <c:ptCount val="4"/>
              </c:numCache>
            </c:numRef>
          </c:val>
          <c:extLst>
            <c:ext xmlns:c16="http://schemas.microsoft.com/office/drawing/2014/chart" uri="{C3380CC4-5D6E-409C-BE32-E72D297353CC}">
              <c16:uniqueId val="{00000001-2DD6-46A7-B6FA-609468DB0B23}"/>
            </c:ext>
          </c:extLst>
        </c:ser>
        <c:ser>
          <c:idx val="2"/>
          <c:order val="2"/>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Feuil1!$B$36:$B$39</c:f>
              <c:strCache>
                <c:ptCount val="4"/>
                <c:pt idx="0">
                  <c:v>Urine à miction directe</c:v>
                </c:pt>
                <c:pt idx="1">
                  <c:v>Urine contenue dans le bout de sonde</c:v>
                </c:pt>
                <c:pt idx="2">
                  <c:v>Suppuration</c:v>
                </c:pt>
                <c:pt idx="3">
                  <c:v>sang</c:v>
                </c:pt>
              </c:strCache>
            </c:strRef>
          </c:cat>
          <c:val>
            <c:numRef>
              <c:f>Feuil1!$E$36:$E$39</c:f>
              <c:numCache>
                <c:formatCode>0.00%</c:formatCode>
                <c:ptCount val="4"/>
                <c:pt idx="0">
                  <c:v>0.59599999999999997</c:v>
                </c:pt>
                <c:pt idx="1">
                  <c:v>0.31900000000000001</c:v>
                </c:pt>
                <c:pt idx="2">
                  <c:v>4.2500000000000003E-2</c:v>
                </c:pt>
                <c:pt idx="3">
                  <c:v>4.2500000000000003E-2</c:v>
                </c:pt>
              </c:numCache>
            </c:numRef>
          </c:val>
          <c:extLst>
            <c:ext xmlns:c16="http://schemas.microsoft.com/office/drawing/2014/chart" uri="{C3380CC4-5D6E-409C-BE32-E72D297353CC}">
              <c16:uniqueId val="{00000002-2DD6-46A7-B6FA-609468DB0B23}"/>
            </c:ext>
          </c:extLst>
        </c:ser>
        <c:dLbls>
          <c:showLegendKey val="0"/>
          <c:showVal val="1"/>
          <c:showCatName val="0"/>
          <c:showSerName val="0"/>
          <c:showPercent val="0"/>
          <c:showBubbleSize val="0"/>
        </c:dLbls>
        <c:gapWidth val="79"/>
        <c:shape val="box"/>
        <c:axId val="1712411231"/>
        <c:axId val="1712412895"/>
        <c:axId val="0"/>
      </c:bar3DChart>
      <c:catAx>
        <c:axId val="1712411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712412895"/>
        <c:crosses val="autoZero"/>
        <c:auto val="1"/>
        <c:lblAlgn val="ctr"/>
        <c:lblOffset val="100"/>
        <c:noMultiLvlLbl val="0"/>
      </c:catAx>
      <c:valAx>
        <c:axId val="1712412895"/>
        <c:scaling>
          <c:orientation val="minMax"/>
        </c:scaling>
        <c:delete val="1"/>
        <c:axPos val="b"/>
        <c:numFmt formatCode="General" sourceLinked="1"/>
        <c:majorTickMark val="none"/>
        <c:minorTickMark val="none"/>
        <c:tickLblPos val="nextTo"/>
        <c:crossAx val="1712411231"/>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43197755960729"/>
          <c:y val="5.3912219305920092E-2"/>
          <c:w val="0.83985507246376812"/>
          <c:h val="0.61897491980169139"/>
        </c:manualLayout>
      </c:layout>
      <c:barChart>
        <c:barDir val="col"/>
        <c:grouping val="clustered"/>
        <c:varyColors val="0"/>
        <c:ser>
          <c:idx val="0"/>
          <c:order val="0"/>
          <c:spPr>
            <a:solidFill>
              <a:schemeClr val="accent6"/>
            </a:solidFill>
            <a:ln>
              <a:noFill/>
            </a:ln>
            <a:effectLst/>
          </c:spPr>
          <c:invertIfNegative val="0"/>
          <c:cat>
            <c:strRef>
              <c:f>Feuil1!$B$2:$B$14</c:f>
              <c:strCache>
                <c:ptCount val="13"/>
                <c:pt idx="0">
                  <c:v>AMC</c:v>
                </c:pt>
                <c:pt idx="1">
                  <c:v>Cefotaxime</c:v>
                </c:pt>
                <c:pt idx="2">
                  <c:v>Ceftriaxone</c:v>
                </c:pt>
                <c:pt idx="3">
                  <c:v>Cefoxitin</c:v>
                </c:pt>
                <c:pt idx="4">
                  <c:v>Cefixime</c:v>
                </c:pt>
                <c:pt idx="5">
                  <c:v>Ceftazidime</c:v>
                </c:pt>
                <c:pt idx="6">
                  <c:v>Amikacin</c:v>
                </c:pt>
                <c:pt idx="7">
                  <c:v>Gentamicin</c:v>
                </c:pt>
                <c:pt idx="8">
                  <c:v>Kanamycin</c:v>
                </c:pt>
                <c:pt idx="9">
                  <c:v>Imipenem</c:v>
                </c:pt>
                <c:pt idx="10">
                  <c:v>Ciprofloxacin</c:v>
                </c:pt>
                <c:pt idx="11">
                  <c:v>Nalidixic acid</c:v>
                </c:pt>
                <c:pt idx="12">
                  <c:v>Aztreonam</c:v>
                </c:pt>
              </c:strCache>
            </c:strRef>
          </c:cat>
          <c:val>
            <c:numRef>
              <c:f>Feuil1!$C$2:$C$14</c:f>
              <c:numCache>
                <c:formatCode>General</c:formatCode>
                <c:ptCount val="13"/>
                <c:pt idx="0">
                  <c:v>54.36</c:v>
                </c:pt>
                <c:pt idx="1">
                  <c:v>60.71</c:v>
                </c:pt>
                <c:pt idx="2">
                  <c:v>60.71</c:v>
                </c:pt>
                <c:pt idx="3">
                  <c:v>32.14</c:v>
                </c:pt>
                <c:pt idx="4">
                  <c:v>89.29</c:v>
                </c:pt>
                <c:pt idx="5">
                  <c:v>50</c:v>
                </c:pt>
                <c:pt idx="6">
                  <c:v>21.43</c:v>
                </c:pt>
                <c:pt idx="7">
                  <c:v>46.43</c:v>
                </c:pt>
                <c:pt idx="8">
                  <c:v>10.71</c:v>
                </c:pt>
                <c:pt idx="9">
                  <c:v>28.57</c:v>
                </c:pt>
                <c:pt idx="10">
                  <c:v>60.71</c:v>
                </c:pt>
                <c:pt idx="11">
                  <c:v>53.57</c:v>
                </c:pt>
                <c:pt idx="12">
                  <c:v>54.67</c:v>
                </c:pt>
              </c:numCache>
            </c:numRef>
          </c:val>
          <c:extLst>
            <c:ext xmlns:c16="http://schemas.microsoft.com/office/drawing/2014/chart" uri="{C3380CC4-5D6E-409C-BE32-E72D297353CC}">
              <c16:uniqueId val="{00000000-3B4D-4625-9684-BA8AFADEAD14}"/>
            </c:ext>
          </c:extLst>
        </c:ser>
        <c:dLbls>
          <c:showLegendKey val="0"/>
          <c:showVal val="0"/>
          <c:showCatName val="0"/>
          <c:showSerName val="0"/>
          <c:showPercent val="0"/>
          <c:showBubbleSize val="0"/>
        </c:dLbls>
        <c:gapWidth val="267"/>
        <c:overlap val="-43"/>
        <c:axId val="1874055168"/>
        <c:axId val="1874056000"/>
      </c:barChart>
      <c:catAx>
        <c:axId val="187405516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r>
                  <a:rPr lang="fr-FR" sz="1000" b="0">
                    <a:latin typeface="Arial" panose="020B0604020202020204" pitchFamily="34" charset="0"/>
                    <a:cs typeface="Arial" panose="020B0604020202020204" pitchFamily="34" charset="0"/>
                  </a:rPr>
                  <a:t>Antibiotics</a:t>
                </a:r>
              </a:p>
            </c:rich>
          </c:tx>
          <c:layout>
            <c:manualLayout>
              <c:xMode val="edge"/>
              <c:yMode val="edge"/>
              <c:x val="0.84420050579231598"/>
              <c:y val="0.917592592592592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1874056000"/>
        <c:crosses val="autoZero"/>
        <c:auto val="1"/>
        <c:lblAlgn val="ctr"/>
        <c:lblOffset val="100"/>
        <c:noMultiLvlLbl val="0"/>
      </c:catAx>
      <c:valAx>
        <c:axId val="187405600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r>
                  <a:rPr lang="fr-FR" sz="1000" b="0">
                    <a:latin typeface="Arial" panose="020B0604020202020204" pitchFamily="34" charset="0"/>
                    <a:cs typeface="Arial" panose="020B0604020202020204" pitchFamily="34" charset="0"/>
                  </a:rPr>
                  <a:t>Percentages (%)</a:t>
                </a:r>
              </a:p>
            </c:rich>
          </c:tx>
          <c:layout>
            <c:manualLayout>
              <c:xMode val="edge"/>
              <c:yMode val="edge"/>
              <c:x val="1.6362786348761104E-2"/>
              <c:y val="0.168295421405657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18740551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922</TotalTime>
  <Pages>12</Pages>
  <Words>3357</Words>
  <Characters>19140</Characters>
  <Application>Microsoft Office Word</Application>
  <DocSecurity>0</DocSecurity>
  <Lines>159</Lines>
  <Paragraphs>44</Paragraphs>
  <ScaleCrop>false</ScaleCrop>
  <HeadingPairs>
    <vt:vector size="2" baseType="variant">
      <vt:variant>
        <vt:lpstr>Titre</vt:lpstr>
      </vt:variant>
      <vt:variant>
        <vt:i4>1</vt:i4>
      </vt:variant>
    </vt:vector>
  </HeadingPairs>
  <TitlesOfParts>
    <vt:vector size="1" baseType="lpstr">
      <vt:lpstr/>
    </vt:vector>
  </TitlesOfParts>
  <Company>SACC</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Gouli Gnanazan</dc:creator>
  <cp:keywords/>
  <dc:description/>
  <cp:lastModifiedBy>SDI 1084</cp:lastModifiedBy>
  <cp:revision>38</cp:revision>
  <dcterms:created xsi:type="dcterms:W3CDTF">2025-09-10T13:19:00Z</dcterms:created>
  <dcterms:modified xsi:type="dcterms:W3CDTF">2025-11-04T11:55:00Z</dcterms:modified>
</cp:coreProperties>
</file>