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57C2" w14:textId="77777777" w:rsidR="005A6AB4" w:rsidRDefault="005A6AB4" w:rsidP="005843E4">
      <w:pPr>
        <w:pStyle w:val="MainTitle"/>
        <w:rPr>
          <w:rStyle w:val="TitleChar"/>
          <w:rFonts w:ascii="Arial" w:hAnsi="Arial" w:cs="Arial"/>
          <w:sz w:val="20"/>
          <w:szCs w:val="20"/>
        </w:rPr>
      </w:pPr>
      <w:r w:rsidRPr="005A6AB4">
        <w:rPr>
          <w:rStyle w:val="TitleChar"/>
          <w:rFonts w:ascii="Arial" w:hAnsi="Arial" w:cs="Arial"/>
          <w:sz w:val="20"/>
          <w:szCs w:val="20"/>
        </w:rPr>
        <w:t>Original Research Article</w:t>
      </w:r>
    </w:p>
    <w:p w14:paraId="4A81F33B" w14:textId="77777777" w:rsidR="005A6AB4" w:rsidRDefault="005A6AB4" w:rsidP="005843E4">
      <w:pPr>
        <w:pStyle w:val="MainTitle"/>
        <w:rPr>
          <w:rStyle w:val="TitleChar"/>
          <w:rFonts w:ascii="Arial" w:hAnsi="Arial" w:cs="Arial"/>
          <w:sz w:val="20"/>
          <w:szCs w:val="20"/>
        </w:rPr>
      </w:pPr>
    </w:p>
    <w:p w14:paraId="46F9BEFB" w14:textId="5238076E" w:rsidR="005843E4" w:rsidRPr="00D44004" w:rsidRDefault="005843E4" w:rsidP="005843E4">
      <w:pPr>
        <w:pStyle w:val="MainTitle"/>
        <w:rPr>
          <w:rStyle w:val="TitleChar"/>
          <w:rFonts w:ascii="Arial" w:hAnsi="Arial" w:cs="Arial"/>
          <w:sz w:val="20"/>
          <w:szCs w:val="20"/>
        </w:rPr>
      </w:pPr>
      <w:r w:rsidRPr="00D44004">
        <w:rPr>
          <w:rStyle w:val="TitleChar"/>
          <w:rFonts w:ascii="Arial" w:hAnsi="Arial" w:cs="Arial"/>
          <w:sz w:val="20"/>
          <w:szCs w:val="20"/>
        </w:rPr>
        <w:t>Exposure to Organic Volatile Substances as an Independent Cause of Nonalcoholic Fatty Liver Disease in Workers who are in Direct Contact with the Coke Production Process and the Purification of Raw Coke Gas</w:t>
      </w:r>
    </w:p>
    <w:p w14:paraId="76208DA7" w14:textId="77777777" w:rsidR="00A258C3" w:rsidRPr="00D44004" w:rsidRDefault="00A258C3" w:rsidP="00441B6F">
      <w:pPr>
        <w:pStyle w:val="Author"/>
        <w:spacing w:line="240" w:lineRule="auto"/>
        <w:jc w:val="both"/>
        <w:rPr>
          <w:rFonts w:ascii="Arial" w:hAnsi="Arial" w:cs="Arial"/>
          <w:sz w:val="20"/>
          <w:lang w:val="bs-Latn-BA"/>
        </w:rPr>
      </w:pPr>
    </w:p>
    <w:p w14:paraId="56B6E4D8" w14:textId="77777777" w:rsidR="00AD0438" w:rsidRPr="00D44004" w:rsidRDefault="00AD0438" w:rsidP="00AD0438">
      <w:pPr>
        <w:pStyle w:val="Affiliation"/>
        <w:spacing w:after="0"/>
        <w:rPr>
          <w:rFonts w:ascii="Arial" w:hAnsi="Arial" w:cs="Arial"/>
          <w:i/>
          <w:lang w:val="bs-Latn-BA"/>
        </w:rPr>
      </w:pPr>
    </w:p>
    <w:p w14:paraId="41762137" w14:textId="77777777" w:rsidR="00B01FCD" w:rsidRPr="00D44004" w:rsidRDefault="007D1B4A" w:rsidP="00441B6F">
      <w:pPr>
        <w:pStyle w:val="Copyright"/>
        <w:spacing w:after="0" w:line="240" w:lineRule="auto"/>
        <w:jc w:val="both"/>
        <w:rPr>
          <w:rFonts w:ascii="Arial" w:hAnsi="Arial" w:cs="Arial"/>
          <w:sz w:val="20"/>
          <w:lang w:val="bs-Latn-BA"/>
        </w:rPr>
        <w:sectPr w:rsidR="00B01FCD" w:rsidRPr="00D44004" w:rsidSect="00B973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lang w:val="bs-Latn-BA"/>
        </w:rPr>
      </w:r>
      <w:r>
        <w:rPr>
          <w:rFonts w:ascii="Arial" w:hAnsi="Arial" w:cs="Arial"/>
          <w:sz w:val="20"/>
          <w:lang w:val="bs-Latn-BA"/>
        </w:rPr>
        <w:pict w14:anchorId="3BB7650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44004">
        <w:rPr>
          <w:rFonts w:ascii="Arial" w:hAnsi="Arial" w:cs="Arial"/>
          <w:sz w:val="20"/>
          <w:lang w:val="bs-Latn-BA"/>
        </w:rPr>
        <w:t>.</w:t>
      </w:r>
    </w:p>
    <w:p w14:paraId="6BE50049" w14:textId="77777777" w:rsidR="00B01FCD" w:rsidRPr="00D44004" w:rsidRDefault="00B01FCD" w:rsidP="00441B6F">
      <w:pPr>
        <w:pStyle w:val="AbstHead"/>
        <w:spacing w:after="0"/>
        <w:jc w:val="both"/>
        <w:rPr>
          <w:rFonts w:ascii="Arial" w:hAnsi="Arial" w:cs="Arial"/>
          <w:sz w:val="20"/>
          <w:lang w:val="bs-Latn-BA"/>
        </w:rPr>
      </w:pPr>
      <w:r w:rsidRPr="00D44004">
        <w:rPr>
          <w:rFonts w:ascii="Arial" w:hAnsi="Arial" w:cs="Arial"/>
          <w:sz w:val="20"/>
          <w:lang w:val="bs-Latn-BA"/>
        </w:rPr>
        <w:t>ABSTRACT</w:t>
      </w:r>
      <w:r w:rsidR="00C70DBC" w:rsidRPr="00D44004">
        <w:rPr>
          <w:rFonts w:ascii="Arial" w:hAnsi="Arial" w:cs="Arial"/>
          <w:sz w:val="20"/>
          <w:lang w:val="bs-Latn-BA"/>
        </w:rPr>
        <w:t xml:space="preserve"> </w:t>
      </w:r>
    </w:p>
    <w:p w14:paraId="4B48F165" w14:textId="77777777" w:rsidR="00790ADA" w:rsidRPr="00D44004" w:rsidRDefault="00790ADA" w:rsidP="00441B6F">
      <w:pPr>
        <w:pStyle w:val="AbstHead"/>
        <w:spacing w:after="0"/>
        <w:jc w:val="both"/>
        <w:rPr>
          <w:rFonts w:ascii="Arial" w:hAnsi="Arial" w:cs="Arial"/>
          <w:sz w:val="20"/>
          <w:lang w:val="bs-Latn-B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D44004" w14:paraId="19609BC8" w14:textId="77777777" w:rsidTr="008C3931">
        <w:trPr>
          <w:trHeight w:val="4436"/>
          <w:jc w:val="right"/>
        </w:trPr>
        <w:tc>
          <w:tcPr>
            <w:tcW w:w="8316" w:type="dxa"/>
            <w:shd w:val="clear" w:color="auto" w:fill="F2F2F2"/>
            <w:vAlign w:val="center"/>
          </w:tcPr>
          <w:p w14:paraId="486199B7" w14:textId="77777777" w:rsidR="009E3506" w:rsidRPr="00D44004" w:rsidRDefault="00C0333F" w:rsidP="00C0333F">
            <w:pPr>
              <w:pStyle w:val="paragraph"/>
              <w:spacing w:before="0" w:beforeAutospacing="0" w:after="0" w:afterAutospacing="0"/>
              <w:jc w:val="both"/>
              <w:textAlignment w:val="baseline"/>
              <w:rPr>
                <w:rStyle w:val="normaltextrun"/>
                <w:rFonts w:ascii="Arial" w:hAnsi="Arial" w:cs="Arial"/>
                <w:sz w:val="20"/>
                <w:szCs w:val="20"/>
              </w:rPr>
            </w:pPr>
            <w:r w:rsidRPr="00D44004">
              <w:rPr>
                <w:rFonts w:ascii="Arial" w:eastAsia="Calibri" w:hAnsi="Arial" w:cs="Arial"/>
                <w:b/>
                <w:bCs/>
                <w:sz w:val="20"/>
                <w:szCs w:val="20"/>
                <w:lang w:val="bs-Latn-BA"/>
              </w:rPr>
              <w:t>Background</w:t>
            </w:r>
            <w:r w:rsidRPr="00D44004">
              <w:rPr>
                <w:rFonts w:ascii="Arial" w:eastAsia="Calibri" w:hAnsi="Arial" w:cs="Arial"/>
                <w:sz w:val="20"/>
                <w:szCs w:val="20"/>
                <w:lang w:val="bs-Latn-BA"/>
              </w:rPr>
              <w:t>:</w:t>
            </w:r>
            <w:r w:rsidRPr="00D44004">
              <w:rPr>
                <w:rStyle w:val="normaltextrun"/>
                <w:rFonts w:ascii="Arial" w:hAnsi="Arial" w:cs="Arial"/>
                <w:sz w:val="20"/>
                <w:szCs w:val="20"/>
              </w:rPr>
              <w:t xml:space="preserve">The doubt that occupational medicine specialists face is whether exposure to solvents is an independent risk factor for non-alcoholic fatty liver disease. </w:t>
            </w:r>
          </w:p>
          <w:p w14:paraId="6352DC24" w14:textId="77777777" w:rsidR="009E3506" w:rsidRPr="00D44004" w:rsidRDefault="009E3506" w:rsidP="00C0333F">
            <w:pPr>
              <w:pStyle w:val="paragraph"/>
              <w:spacing w:before="0" w:beforeAutospacing="0" w:after="0" w:afterAutospacing="0"/>
              <w:jc w:val="both"/>
              <w:textAlignment w:val="baseline"/>
              <w:rPr>
                <w:rStyle w:val="normaltextrun"/>
                <w:rFonts w:ascii="Arial" w:hAnsi="Arial" w:cs="Arial"/>
                <w:sz w:val="20"/>
                <w:szCs w:val="20"/>
              </w:rPr>
            </w:pPr>
            <w:r w:rsidRPr="00D44004">
              <w:rPr>
                <w:rFonts w:ascii="Arial" w:eastAsia="Calibri" w:hAnsi="Arial" w:cs="Arial"/>
                <w:b/>
                <w:bCs/>
                <w:sz w:val="20"/>
                <w:szCs w:val="20"/>
                <w:lang w:val="bs-Latn-BA"/>
              </w:rPr>
              <w:t>Methods:</w:t>
            </w:r>
            <w:r w:rsidR="00C0333F" w:rsidRPr="00D44004">
              <w:rPr>
                <w:rStyle w:val="normaltextrun"/>
                <w:rFonts w:ascii="Arial" w:hAnsi="Arial" w:cs="Arial"/>
                <w:sz w:val="20"/>
                <w:szCs w:val="20"/>
              </w:rPr>
              <w:t xml:space="preserve">A prospective study was conducted from January to April 2023. and included 61 coke industry workers who were divided into two groups of 31 workers each (experimental with workers exposed to organic volatile substances at the workplace and control with workers who not exposed). Laboratory parameters of liver function were monitored, as well as ultrasound findings of liver parenchyma in coke industry workers undergoing examination. Exclusion criteria were known history of liver disease, blood transfusion, alcohol consumption and diabetes mellitus. </w:t>
            </w:r>
          </w:p>
          <w:p w14:paraId="7CD44909" w14:textId="77777777" w:rsidR="00C0333F" w:rsidRPr="00D44004" w:rsidRDefault="009E3506" w:rsidP="00C0333F">
            <w:pPr>
              <w:pStyle w:val="paragraph"/>
              <w:spacing w:before="0" w:beforeAutospacing="0" w:after="0" w:afterAutospacing="0"/>
              <w:jc w:val="both"/>
              <w:textAlignment w:val="baseline"/>
              <w:rPr>
                <w:rFonts w:ascii="Arial" w:hAnsi="Arial" w:cs="Arial"/>
                <w:sz w:val="20"/>
                <w:szCs w:val="20"/>
              </w:rPr>
            </w:pPr>
            <w:r w:rsidRPr="00D44004">
              <w:rPr>
                <w:rFonts w:ascii="Arial" w:eastAsia="Calibri" w:hAnsi="Arial" w:cs="Arial"/>
                <w:b/>
                <w:bCs/>
                <w:sz w:val="20"/>
                <w:szCs w:val="20"/>
                <w:lang w:val="bs-Latn-BA"/>
              </w:rPr>
              <w:t>Results:</w:t>
            </w:r>
            <w:r w:rsidR="00C0333F" w:rsidRPr="00D44004">
              <w:rPr>
                <w:rStyle w:val="normaltextrun"/>
                <w:rFonts w:ascii="Arial" w:hAnsi="Arial" w:cs="Arial"/>
                <w:sz w:val="20"/>
                <w:szCs w:val="20"/>
              </w:rPr>
              <w:t xml:space="preserve">Changes in laboratory parameters of liver function and ultrasound findings of liver steatosis were found with high statistical significance in the workers of the experimental group, for which no statistically significant association with elevated values of lipid status was found. With diabetes as an exclusion factor and the insignificant prevalence of hypertension in the examined workers, it can be concluded that metabolic syndrome is not related to our results. During the correlation analysis it can be concluded that organic volatile substances are an independent cause and trigger for fatty infiltration of the parenchyma liver and changes in the laboratory findings of liver function parameters. </w:t>
            </w:r>
            <w:r w:rsidR="00C0333F" w:rsidRPr="00C56EA0">
              <w:rPr>
                <w:rStyle w:val="normaltextrun"/>
                <w:rFonts w:ascii="Arial" w:hAnsi="Arial" w:cs="Arial"/>
                <w:b/>
                <w:sz w:val="20"/>
                <w:szCs w:val="20"/>
              </w:rPr>
              <w:t>Conclusions:</w:t>
            </w:r>
            <w:r w:rsidR="00C0333F" w:rsidRPr="00D44004">
              <w:rPr>
                <w:rStyle w:val="normaltextrun"/>
                <w:rFonts w:ascii="Arial" w:hAnsi="Arial" w:cs="Arial"/>
                <w:sz w:val="20"/>
                <w:szCs w:val="20"/>
              </w:rPr>
              <w:t xml:space="preserve"> Exposure to organic volatile substances at the workplace as an independent factor causes liver steatosis with elevated values of laboratory parameters of liver function and it can be said that it is an independent cause of non-alcoholic fatty liver disease.</w:t>
            </w:r>
            <w:r w:rsidR="00C0333F" w:rsidRPr="00D44004">
              <w:rPr>
                <w:rStyle w:val="eop"/>
                <w:rFonts w:ascii="Arial" w:hAnsi="Arial" w:cs="Arial"/>
                <w:sz w:val="20"/>
                <w:szCs w:val="20"/>
              </w:rPr>
              <w:t> </w:t>
            </w:r>
          </w:p>
          <w:p w14:paraId="7702D70D" w14:textId="77777777" w:rsidR="00C0333F" w:rsidRPr="00D44004" w:rsidRDefault="00C0333F" w:rsidP="00C0333F">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w:t>
            </w:r>
          </w:p>
          <w:p w14:paraId="4301066F" w14:textId="77777777" w:rsidR="008C3931" w:rsidRPr="00D44004" w:rsidRDefault="008C3931" w:rsidP="008C3931">
            <w:pPr>
              <w:pStyle w:val="Body"/>
              <w:spacing w:after="0"/>
              <w:rPr>
                <w:rFonts w:ascii="Arial" w:eastAsia="Calibri" w:hAnsi="Arial" w:cs="Arial"/>
                <w:lang w:val="bs-Latn-BA"/>
              </w:rPr>
            </w:pPr>
          </w:p>
        </w:tc>
      </w:tr>
    </w:tbl>
    <w:p w14:paraId="2A44F7C3" w14:textId="77777777" w:rsidR="00636EB2" w:rsidRPr="00D44004" w:rsidRDefault="00636EB2" w:rsidP="00441B6F">
      <w:pPr>
        <w:pStyle w:val="Body"/>
        <w:spacing w:after="0"/>
        <w:rPr>
          <w:rFonts w:ascii="Arial" w:hAnsi="Arial" w:cs="Arial"/>
          <w:i/>
          <w:lang w:val="bs-Latn-BA"/>
        </w:rPr>
      </w:pPr>
    </w:p>
    <w:p w14:paraId="32E1BED8" w14:textId="77777777" w:rsidR="00505F06" w:rsidRPr="00D44004" w:rsidRDefault="00C70DBC" w:rsidP="00441B6F">
      <w:pPr>
        <w:pStyle w:val="Body"/>
        <w:spacing w:after="0"/>
        <w:rPr>
          <w:rFonts w:ascii="Arial" w:hAnsi="Arial" w:cs="Arial"/>
          <w:i/>
          <w:lang w:val="bs-Latn-BA"/>
        </w:rPr>
      </w:pPr>
      <w:r w:rsidRPr="00D44004">
        <w:rPr>
          <w:rFonts w:ascii="Arial" w:hAnsi="Arial" w:cs="Arial"/>
          <w:i/>
          <w:lang w:val="bs-Latn-BA"/>
        </w:rPr>
        <w:t xml:space="preserve">Keywords: </w:t>
      </w:r>
      <w:r w:rsidR="0071373D" w:rsidRPr="00D44004">
        <w:rPr>
          <w:rFonts w:ascii="Arial" w:hAnsi="Arial" w:cs="Arial"/>
        </w:rPr>
        <w:t>coke industry, occupational exposure, non-alcoholic fatty liver disease</w:t>
      </w:r>
      <w:r w:rsidR="0071373D" w:rsidRPr="00D44004">
        <w:rPr>
          <w:rFonts w:ascii="Arial" w:hAnsi="Arial" w:cs="Arial"/>
          <w:i/>
          <w:lang w:val="bs-Latn-BA"/>
        </w:rPr>
        <w:t xml:space="preserve"> </w:t>
      </w:r>
    </w:p>
    <w:p w14:paraId="1963377E" w14:textId="77777777" w:rsidR="005E58FF" w:rsidRPr="00D44004" w:rsidRDefault="005E58FF" w:rsidP="00441B6F">
      <w:pPr>
        <w:pStyle w:val="AbstHead"/>
        <w:spacing w:after="0"/>
        <w:jc w:val="both"/>
        <w:rPr>
          <w:rFonts w:ascii="Arial" w:hAnsi="Arial" w:cs="Arial"/>
          <w:sz w:val="20"/>
          <w:lang w:val="bs-Latn-BA"/>
        </w:rPr>
      </w:pPr>
    </w:p>
    <w:p w14:paraId="0E549A25" w14:textId="77777777" w:rsidR="007F7B32" w:rsidRPr="00D44004" w:rsidRDefault="00902823" w:rsidP="00441B6F">
      <w:pPr>
        <w:pStyle w:val="AbstHead"/>
        <w:spacing w:after="0"/>
        <w:jc w:val="both"/>
        <w:rPr>
          <w:rFonts w:ascii="Arial" w:hAnsi="Arial" w:cs="Arial"/>
          <w:sz w:val="20"/>
          <w:lang w:val="bs-Latn-BA"/>
        </w:rPr>
      </w:pPr>
      <w:r w:rsidRPr="00D44004">
        <w:rPr>
          <w:rFonts w:ascii="Arial" w:hAnsi="Arial" w:cs="Arial"/>
          <w:sz w:val="20"/>
          <w:lang w:val="bs-Latn-BA"/>
        </w:rPr>
        <w:t xml:space="preserve">1. </w:t>
      </w:r>
      <w:r w:rsidR="00B01FCD" w:rsidRPr="00D44004">
        <w:rPr>
          <w:rFonts w:ascii="Arial" w:hAnsi="Arial" w:cs="Arial"/>
          <w:sz w:val="20"/>
          <w:lang w:val="bs-Latn-BA"/>
        </w:rPr>
        <w:t>INTRODUCTION</w:t>
      </w:r>
    </w:p>
    <w:p w14:paraId="5EAA27D9" w14:textId="77777777" w:rsidR="00790ADA" w:rsidRPr="00D44004" w:rsidRDefault="00790ADA" w:rsidP="00441B6F">
      <w:pPr>
        <w:pStyle w:val="AbstHead"/>
        <w:spacing w:after="0"/>
        <w:jc w:val="both"/>
        <w:rPr>
          <w:rFonts w:ascii="Arial" w:hAnsi="Arial" w:cs="Arial"/>
          <w:sz w:val="20"/>
          <w:lang w:val="bs-Latn-BA"/>
        </w:rPr>
      </w:pPr>
    </w:p>
    <w:p w14:paraId="40C7A8B1" w14:textId="77777777" w:rsidR="003C13AA" w:rsidRPr="00D44004" w:rsidRDefault="003C13AA" w:rsidP="003C13AA">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Possible toxic damage to the liver due to exposure to organic solvents at the workplace is a question that occupational medicine specialists and experts in the field of occupational safety often encounter and to which it is difficult to give a simple answer [1]. In addition to being a diagnostic problem due to numerous environmental factors and lifestyle habits that simultaneously affect liver function, it also has a public health aspect because organic solvents are still one of the most common chemical factors of occupational exposure in the world, including in Bosnia and Herzegovina. Evidence that organic solvents can have hepatotoxic effects under conditions of occupational exposure is based on biochemical, epidemiological and experimental evidence. Most solvents, after entering the body, are subject to intensive metabolism in the liver, where high concentrations of solvents and their metabolites can be observed. </w:t>
      </w:r>
      <w:r w:rsidRPr="00D44004">
        <w:rPr>
          <w:rStyle w:val="eop"/>
          <w:rFonts w:ascii="Arial" w:hAnsi="Arial" w:cs="Arial"/>
          <w:sz w:val="20"/>
          <w:szCs w:val="20"/>
        </w:rPr>
        <w:t> </w:t>
      </w:r>
    </w:p>
    <w:p w14:paraId="469F679D" w14:textId="77777777" w:rsidR="003C13AA" w:rsidRPr="00D44004" w:rsidRDefault="003C13AA"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As a substitute, various aromatic and aliphatic hydrocarbons are in use today, mostly benzene derivatives, usually in a mixture with alcohols, ketones and esters, depending on the purpose of the product, or the required technical characteristics of a particular technological process. In recent times, these solvents are increasingly being replaced by water or hydrophilic compounds, but complete replacement is not always possible due to production requirements. </w:t>
      </w:r>
      <w:r w:rsidRPr="00D44004">
        <w:rPr>
          <w:rStyle w:val="eop"/>
          <w:rFonts w:ascii="Arial" w:hAnsi="Arial" w:cs="Arial"/>
          <w:sz w:val="20"/>
          <w:szCs w:val="20"/>
        </w:rPr>
        <w:t> </w:t>
      </w:r>
    </w:p>
    <w:p w14:paraId="6C56DFA7"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Although it is considered that the above indicators are primarily a reflection of recent exposure, according to some scientists, elevated values of liver enzymes may also indicate previous exposure to hepatotoxic substances from the work </w:t>
      </w:r>
      <w:r w:rsidRPr="00D44004">
        <w:rPr>
          <w:rStyle w:val="normaltextrun"/>
          <w:rFonts w:ascii="Arial" w:hAnsi="Arial" w:cs="Arial"/>
          <w:sz w:val="20"/>
          <w:szCs w:val="20"/>
        </w:rPr>
        <w:lastRenderedPageBreak/>
        <w:t>environment, which has since stopped or greatly decreased [2]. However, the question is whether with long-term exposure to solvents in concentrations that do not significantly exceed the GVI, these tests can detect subtle cholestatic and metabolic changes that may be early signs of toxic liver damage [3]. </w:t>
      </w:r>
      <w:r w:rsidRPr="00D44004">
        <w:rPr>
          <w:rStyle w:val="eop"/>
          <w:rFonts w:ascii="Arial" w:hAnsi="Arial" w:cs="Arial"/>
          <w:sz w:val="20"/>
          <w:szCs w:val="20"/>
        </w:rPr>
        <w:t> </w:t>
      </w:r>
    </w:p>
    <w:p w14:paraId="5BCEFFE7"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As one of the possible early indicators of liver damage, it has been proposed to determine the concentration of bile acids in the serum, which could be particularly significant in detecting people who, for several reasons, are particularly sensitive to the hepatotoxic effect of solvents [4]. For several years, exposure to hepatotoxic substances from the work and living environment has been associated with a newer clinical entity called "non-alcoholic steatohepatitis" (NASH) [5]. </w:t>
      </w:r>
      <w:r w:rsidRPr="00D44004">
        <w:rPr>
          <w:rStyle w:val="eop"/>
          <w:rFonts w:ascii="Arial" w:hAnsi="Arial" w:cs="Arial"/>
          <w:sz w:val="20"/>
          <w:szCs w:val="20"/>
        </w:rPr>
        <w:t> </w:t>
      </w:r>
    </w:p>
    <w:p w14:paraId="2F3C3309"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Twelve years ago, more intensive research began on the previously noted similarities of clinical, laboratory and histological features of NASH and liver damage described in workers chronically exposed to organic solvents [6]. Chronic occupational exposure to solvents is very often accompanied by an asymptomatic increase in the activity of liver enzymes and as in NASH, also with higher values of ALT compared to AST, in contrast to liver damage caused by alcohol consumption [7]. Common histopathological features are </w:t>
      </w:r>
      <w:proofErr w:type="spellStart"/>
      <w:r w:rsidRPr="00D44004">
        <w:rPr>
          <w:rStyle w:val="normaltextrun"/>
          <w:rFonts w:ascii="Arial" w:hAnsi="Arial" w:cs="Arial"/>
          <w:sz w:val="20"/>
          <w:szCs w:val="20"/>
        </w:rPr>
        <w:t>macrovesicular</w:t>
      </w:r>
      <w:proofErr w:type="spellEnd"/>
      <w:r w:rsidRPr="00D44004">
        <w:rPr>
          <w:rStyle w:val="normaltextrun"/>
          <w:rFonts w:ascii="Arial" w:hAnsi="Arial" w:cs="Arial"/>
          <w:sz w:val="20"/>
          <w:szCs w:val="20"/>
        </w:rPr>
        <w:t xml:space="preserve"> fatty changes, hepatocyte degeneration and different levels of inflammatory changes [8,9]. However, it is not known whether, even with exposure to solvents, the changes can progress to fibrosis and cirrhosis of the liver, which is possible in NASH. </w:t>
      </w:r>
      <w:r w:rsidRPr="00D44004">
        <w:rPr>
          <w:rStyle w:val="eop"/>
          <w:rFonts w:ascii="Arial" w:hAnsi="Arial" w:cs="Arial"/>
          <w:sz w:val="20"/>
          <w:szCs w:val="20"/>
        </w:rPr>
        <w:t> </w:t>
      </w:r>
    </w:p>
    <w:p w14:paraId="337EAC3F"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The aim of the work was to investigate whether there is a connection between exposure to organic volatile substances at the workplace with morphological changes in the liver parenchyma and elevated values of liver enzymes and parameters of liver function (steatosis/NAFLD), to investigate the connection between the length of work experience (exposure) at workplaces that are exposed organic volatile substances with eventual changes in the morphological structure of the liver parenchyma or laboratory parameters of liver function, and to investigate whether organic volatile substances as an independent factor can lead to liver steatosis or changes in laboratory parameters of liver function.</w:t>
      </w:r>
      <w:r w:rsidRPr="00D44004">
        <w:rPr>
          <w:rStyle w:val="eop"/>
          <w:rFonts w:ascii="Arial" w:hAnsi="Arial" w:cs="Arial"/>
          <w:sz w:val="20"/>
          <w:szCs w:val="20"/>
        </w:rPr>
        <w:t> </w:t>
      </w:r>
    </w:p>
    <w:p w14:paraId="1DA2CDC5" w14:textId="77777777" w:rsidR="005E58FF" w:rsidRPr="00D44004" w:rsidRDefault="005E58FF" w:rsidP="005E58FF">
      <w:pPr>
        <w:pStyle w:val="Text"/>
        <w:rPr>
          <w:rFonts w:ascii="Arial" w:hAnsi="Arial" w:cs="Arial"/>
          <w:sz w:val="20"/>
        </w:rPr>
      </w:pPr>
    </w:p>
    <w:p w14:paraId="09BCD317" w14:textId="77777777" w:rsidR="0071148D" w:rsidRDefault="0071148D" w:rsidP="00C56EA0">
      <w:pPr>
        <w:pStyle w:val="AbstHead"/>
        <w:spacing w:after="0"/>
        <w:jc w:val="both"/>
        <w:rPr>
          <w:rFonts w:ascii="Arial" w:hAnsi="Arial" w:cs="Arial"/>
          <w:lang w:val="bs-Latn-BA"/>
        </w:rPr>
      </w:pPr>
    </w:p>
    <w:p w14:paraId="2BFAC8A3" w14:textId="77777777" w:rsidR="00C56EA0" w:rsidRPr="0092486A" w:rsidRDefault="00C56EA0" w:rsidP="00C56EA0">
      <w:pPr>
        <w:pStyle w:val="AbstHead"/>
        <w:spacing w:after="0"/>
        <w:jc w:val="both"/>
        <w:rPr>
          <w:rFonts w:ascii="Arial" w:hAnsi="Arial" w:cs="Arial"/>
          <w:lang w:val="bs-Latn-BA"/>
        </w:rPr>
      </w:pPr>
      <w:r w:rsidRPr="0092486A">
        <w:rPr>
          <w:rFonts w:ascii="Arial" w:hAnsi="Arial" w:cs="Arial"/>
          <w:lang w:val="bs-Latn-BA"/>
        </w:rPr>
        <w:t>2. material and methods</w:t>
      </w:r>
    </w:p>
    <w:p w14:paraId="4EEFE04B" w14:textId="77777777" w:rsidR="00C56EA0" w:rsidRDefault="00C56EA0" w:rsidP="005E58FF">
      <w:pPr>
        <w:pStyle w:val="paragraph"/>
        <w:spacing w:before="0" w:beforeAutospacing="0" w:after="0" w:afterAutospacing="0"/>
        <w:jc w:val="both"/>
        <w:textAlignment w:val="baseline"/>
        <w:rPr>
          <w:rStyle w:val="normaltextrun"/>
          <w:rFonts w:ascii="Arial" w:hAnsi="Arial" w:cs="Arial"/>
          <w:sz w:val="20"/>
          <w:szCs w:val="20"/>
        </w:rPr>
      </w:pPr>
    </w:p>
    <w:p w14:paraId="637C773C" w14:textId="77777777" w:rsidR="005E58FF" w:rsidRPr="00D44004" w:rsidRDefault="005E58FF" w:rsidP="005E58FF">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The research was conducted in the period from January to April 2023 during the periodical examination of workers working in the coke industry. The data used were taken from the worker's medical record. 62 workers were included in the prospective study, divided into two groups, experimental and control. </w:t>
      </w:r>
      <w:r w:rsidRPr="00D44004">
        <w:rPr>
          <w:rStyle w:val="eop"/>
          <w:rFonts w:ascii="Arial" w:hAnsi="Arial" w:cs="Arial"/>
          <w:sz w:val="20"/>
          <w:szCs w:val="20"/>
        </w:rPr>
        <w:t> </w:t>
      </w:r>
    </w:p>
    <w:p w14:paraId="38F71868"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The experimental group (31) consisted of workers who are in direct contact with the process of coke production and purification of raw coke gas. These are the jobs of crude benzene distiller, tube furnace and scrubber operator, coke oven door operator, coke ramp operator, coke and coal dumper, maintenance locksmith and gas condensation analyst), and the second control group (31) consisted of workers who during the work process, they had no contact with the production of coke and the purification of raw coke gas. </w:t>
      </w:r>
      <w:r w:rsidRPr="00D44004">
        <w:rPr>
          <w:rStyle w:val="eop"/>
          <w:rFonts w:ascii="Arial" w:hAnsi="Arial" w:cs="Arial"/>
          <w:sz w:val="20"/>
          <w:szCs w:val="20"/>
        </w:rPr>
        <w:t> </w:t>
      </w:r>
    </w:p>
    <w:p w14:paraId="7A701EED"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The age of the workers in the experimental group ranged from 24 to 59 years. Their mean age was 37 years. In the control group, the age of the workers was between 21 and 60 years, and the average age was 32 years. </w:t>
      </w:r>
      <w:r w:rsidRPr="00D44004">
        <w:rPr>
          <w:rStyle w:val="eop"/>
          <w:rFonts w:ascii="Arial" w:hAnsi="Arial" w:cs="Arial"/>
          <w:sz w:val="20"/>
          <w:szCs w:val="20"/>
        </w:rPr>
        <w:t> </w:t>
      </w:r>
    </w:p>
    <w:p w14:paraId="3A5F5F70"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All participants in the experimental group were male, while there were 5 female workers in the control group. The selection of study participants was random and was not conditioned by age, years of service, obesity, or lifestyle. Exclusion criteria were known history of liver disease, blood transfusion, alcohol consumption, diabetes mellitus. </w:t>
      </w:r>
      <w:r w:rsidRPr="00D44004">
        <w:rPr>
          <w:rStyle w:val="eop"/>
          <w:rFonts w:ascii="Arial" w:hAnsi="Arial" w:cs="Arial"/>
          <w:sz w:val="20"/>
          <w:szCs w:val="20"/>
        </w:rPr>
        <w:t> </w:t>
      </w:r>
    </w:p>
    <w:p w14:paraId="77DD108B"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In addition to a complete medical history on occupational diseases and a physical examination, the parameters that were monitored included: ultrasound findings (US) of the parenchyma of the liver, pancreas, gall bladder and bile ducts and laboratory markers of liver function (aspartate aminotransferase (AST), alanine aminotransferase (ALT), gamma glutamyl transpeptidase (GGT), total bilirubin, lipid status - cholesterol and triglycerides) in serum. </w:t>
      </w:r>
      <w:r w:rsidRPr="00D44004">
        <w:rPr>
          <w:rStyle w:val="eop"/>
          <w:rFonts w:ascii="Arial" w:hAnsi="Arial" w:cs="Arial"/>
          <w:sz w:val="20"/>
          <w:szCs w:val="20"/>
        </w:rPr>
        <w:t> </w:t>
      </w:r>
    </w:p>
    <w:p w14:paraId="76D0A1EC"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Research data were processed using the method of non-parametric statistics. The basic statistical parameters of frequency and percentages were calculated, and the results were presented tabularly and graphically. To verify the research objectives, the chi-square test was applied, as well as the regression analysis of optimal scaling. Fi and Kramer's correlation coefficient were used to verify the association between steatosis liver and lipid status. Research data were processed in the statistical package SPSS 25 for Windows.</w:t>
      </w:r>
      <w:r w:rsidRPr="00D44004">
        <w:rPr>
          <w:rStyle w:val="eop"/>
          <w:rFonts w:ascii="Arial" w:hAnsi="Arial" w:cs="Arial"/>
          <w:sz w:val="20"/>
          <w:szCs w:val="20"/>
        </w:rPr>
        <w:t> </w:t>
      </w:r>
    </w:p>
    <w:p w14:paraId="3CE0DDA2" w14:textId="77777777" w:rsidR="005E58FF" w:rsidRPr="00D44004" w:rsidRDefault="005E58FF" w:rsidP="005E58FF">
      <w:pPr>
        <w:pStyle w:val="Text"/>
        <w:rPr>
          <w:rFonts w:ascii="Arial" w:hAnsi="Arial" w:cs="Arial"/>
          <w:sz w:val="20"/>
        </w:rPr>
      </w:pPr>
    </w:p>
    <w:p w14:paraId="19A37648" w14:textId="77777777" w:rsidR="00C56EA0" w:rsidRPr="0092486A" w:rsidRDefault="00C56EA0" w:rsidP="00C56EA0">
      <w:pPr>
        <w:pStyle w:val="Head1"/>
        <w:spacing w:after="0"/>
        <w:jc w:val="both"/>
        <w:rPr>
          <w:rFonts w:ascii="Arial" w:hAnsi="Arial" w:cs="Arial"/>
          <w:lang w:val="bs-Latn-BA"/>
        </w:rPr>
      </w:pPr>
      <w:r w:rsidRPr="0092486A">
        <w:rPr>
          <w:rFonts w:ascii="Arial" w:hAnsi="Arial" w:cs="Arial"/>
          <w:lang w:val="bs-Latn-BA"/>
        </w:rPr>
        <w:t>3. results</w:t>
      </w:r>
    </w:p>
    <w:p w14:paraId="2EFD673F" w14:textId="77777777" w:rsidR="00D44004" w:rsidRPr="00D44004" w:rsidRDefault="00D44004" w:rsidP="005E58FF">
      <w:pPr>
        <w:rPr>
          <w:rFonts w:ascii="Arial" w:hAnsi="Arial" w:cs="Arial"/>
          <w:b/>
          <w:bCs/>
        </w:rPr>
      </w:pPr>
    </w:p>
    <w:p w14:paraId="4A6EB37A" w14:textId="77777777" w:rsidR="005E58FF" w:rsidRPr="00D44004" w:rsidRDefault="005E58FF" w:rsidP="005E58FF">
      <w:pPr>
        <w:rPr>
          <w:rFonts w:ascii="Arial" w:hAnsi="Arial" w:cs="Arial"/>
        </w:rPr>
      </w:pPr>
      <w:r w:rsidRPr="00D44004">
        <w:rPr>
          <w:rFonts w:ascii="Arial" w:hAnsi="Arial" w:cs="Arial"/>
        </w:rPr>
        <w:t>The obtained results indicate that the research was conducted on a total sample of 62 participants. The overall sample was divided into an experimental group of 31 (50%) participants and a control group of 31 (50%) participants. The majority, 51.6% of the participants, have work experience between 5-10 years, 32.3% have 10 or more years of experience, while 16.1% of the participants have 1-5 years of work experience. Table 1 displays the ratio of the control and experimental group participants concerning variables (transaminases, GGT, total bilirubin, lipid status, and liver status). </w:t>
      </w:r>
    </w:p>
    <w:p w14:paraId="13E83620" w14:textId="77777777" w:rsidR="005E58FF" w:rsidRPr="00D44004" w:rsidRDefault="005E58FF" w:rsidP="005E58FF">
      <w:pPr>
        <w:spacing w:before="120"/>
        <w:ind w:left="420" w:right="420"/>
        <w:textAlignment w:val="baseline"/>
        <w:rPr>
          <w:rFonts w:ascii="Arial" w:hAnsi="Arial" w:cs="Arial"/>
          <w:color w:val="000000"/>
        </w:rPr>
      </w:pPr>
      <w:r w:rsidRPr="00D44004">
        <w:rPr>
          <w:rFonts w:ascii="Arial" w:hAnsi="Arial" w:cs="Arial"/>
          <w:color w:val="000000"/>
        </w:rPr>
        <w:t> </w:t>
      </w:r>
    </w:p>
    <w:p w14:paraId="4E712531" w14:textId="77777777" w:rsidR="005E58FF" w:rsidRPr="00D44004" w:rsidRDefault="005E58FF" w:rsidP="005E58FF">
      <w:pPr>
        <w:spacing w:line="360" w:lineRule="auto"/>
        <w:ind w:right="420"/>
        <w:textAlignment w:val="baseline"/>
        <w:rPr>
          <w:rFonts w:ascii="Arial" w:hAnsi="Arial" w:cs="Arial"/>
          <w:color w:val="000000"/>
        </w:rPr>
      </w:pPr>
      <w:r w:rsidRPr="00D44004">
        <w:rPr>
          <w:rFonts w:ascii="Arial" w:hAnsi="Arial" w:cs="Arial"/>
          <w:b/>
          <w:bCs/>
          <w:color w:val="000000"/>
        </w:rPr>
        <w:t>Table 1.</w:t>
      </w:r>
      <w:r w:rsidRPr="00D44004">
        <w:rPr>
          <w:rFonts w:ascii="Arial" w:hAnsi="Arial" w:cs="Arial"/>
          <w:color w:val="000000"/>
        </w:rPr>
        <w:t xml:space="preserve"> Distribution of respondents in relation to variables. </w:t>
      </w:r>
    </w:p>
    <w:tbl>
      <w:tblPr>
        <w:tblW w:w="9766"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0"/>
        <w:gridCol w:w="1431"/>
        <w:gridCol w:w="1129"/>
        <w:gridCol w:w="1415"/>
        <w:gridCol w:w="1417"/>
        <w:gridCol w:w="1418"/>
        <w:gridCol w:w="1416"/>
      </w:tblGrid>
      <w:tr w:rsidR="005E58FF" w:rsidRPr="00D44004" w14:paraId="3EF9D3E3" w14:textId="77777777" w:rsidTr="005E58FF">
        <w:trPr>
          <w:trHeight w:val="224"/>
          <w:jc w:val="center"/>
        </w:trPr>
        <w:tc>
          <w:tcPr>
            <w:tcW w:w="1542" w:type="dxa"/>
            <w:tcBorders>
              <w:top w:val="single" w:sz="6" w:space="0" w:color="auto"/>
              <w:left w:val="nil"/>
              <w:bottom w:val="single" w:sz="6" w:space="0" w:color="auto"/>
              <w:right w:val="nil"/>
            </w:tcBorders>
            <w:vAlign w:val="center"/>
            <w:hideMark/>
          </w:tcPr>
          <w:p w14:paraId="65ACB226"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Group </w:t>
            </w:r>
          </w:p>
        </w:tc>
        <w:tc>
          <w:tcPr>
            <w:tcW w:w="1406" w:type="dxa"/>
            <w:tcBorders>
              <w:top w:val="single" w:sz="6" w:space="0" w:color="auto"/>
              <w:left w:val="nil"/>
              <w:bottom w:val="single" w:sz="6" w:space="0" w:color="auto"/>
              <w:right w:val="nil"/>
            </w:tcBorders>
            <w:vAlign w:val="center"/>
            <w:hideMark/>
          </w:tcPr>
          <w:p w14:paraId="2D3B447B"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Transaminase</w:t>
            </w:r>
            <w:r w:rsidRPr="00D44004">
              <w:rPr>
                <w:rFonts w:ascii="Arial" w:hAnsi="Arial" w:cs="Arial"/>
                <w:color w:val="000000"/>
              </w:rPr>
              <w:t> </w:t>
            </w:r>
          </w:p>
        </w:tc>
        <w:tc>
          <w:tcPr>
            <w:tcW w:w="1134" w:type="dxa"/>
            <w:tcBorders>
              <w:top w:val="single" w:sz="6" w:space="0" w:color="auto"/>
              <w:left w:val="nil"/>
              <w:bottom w:val="single" w:sz="6" w:space="0" w:color="auto"/>
              <w:right w:val="nil"/>
            </w:tcBorders>
            <w:vAlign w:val="center"/>
            <w:hideMark/>
          </w:tcPr>
          <w:p w14:paraId="55BEF301"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GGT-a </w:t>
            </w:r>
            <w:r w:rsidRPr="00D44004">
              <w:rPr>
                <w:rFonts w:ascii="Arial" w:hAnsi="Arial" w:cs="Arial"/>
                <w:color w:val="000000"/>
              </w:rPr>
              <w:t> </w:t>
            </w:r>
          </w:p>
        </w:tc>
        <w:tc>
          <w:tcPr>
            <w:tcW w:w="1421" w:type="dxa"/>
            <w:tcBorders>
              <w:top w:val="single" w:sz="6" w:space="0" w:color="auto"/>
              <w:left w:val="nil"/>
              <w:bottom w:val="single" w:sz="6" w:space="0" w:color="auto"/>
              <w:right w:val="nil"/>
            </w:tcBorders>
            <w:vAlign w:val="center"/>
            <w:hideMark/>
          </w:tcPr>
          <w:p w14:paraId="197D62C7"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Lipid status</w:t>
            </w:r>
            <w:r w:rsidRPr="00D44004">
              <w:rPr>
                <w:rFonts w:ascii="Arial" w:hAnsi="Arial" w:cs="Arial"/>
                <w:color w:val="000000"/>
              </w:rPr>
              <w:t> </w:t>
            </w:r>
          </w:p>
        </w:tc>
        <w:tc>
          <w:tcPr>
            <w:tcW w:w="1421" w:type="dxa"/>
            <w:tcBorders>
              <w:top w:val="single" w:sz="6" w:space="0" w:color="auto"/>
              <w:left w:val="nil"/>
              <w:bottom w:val="single" w:sz="6" w:space="0" w:color="auto"/>
              <w:right w:val="nil"/>
            </w:tcBorders>
            <w:vAlign w:val="center"/>
            <w:hideMark/>
          </w:tcPr>
          <w:p w14:paraId="7A4337F8"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Total bilirubin </w:t>
            </w:r>
            <w:r w:rsidRPr="00D44004">
              <w:rPr>
                <w:rFonts w:ascii="Arial" w:hAnsi="Arial" w:cs="Arial"/>
                <w:color w:val="000000"/>
              </w:rPr>
              <w:t> </w:t>
            </w:r>
          </w:p>
        </w:tc>
        <w:tc>
          <w:tcPr>
            <w:tcW w:w="1421" w:type="dxa"/>
            <w:tcBorders>
              <w:top w:val="single" w:sz="6" w:space="0" w:color="auto"/>
              <w:left w:val="nil"/>
              <w:bottom w:val="single" w:sz="6" w:space="0" w:color="auto"/>
              <w:right w:val="nil"/>
            </w:tcBorders>
            <w:vAlign w:val="center"/>
            <w:hideMark/>
          </w:tcPr>
          <w:p w14:paraId="7FC71076"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Liver steatosis </w:t>
            </w:r>
            <w:r w:rsidRPr="00D44004">
              <w:rPr>
                <w:rFonts w:ascii="Arial" w:hAnsi="Arial" w:cs="Arial"/>
                <w:color w:val="000000"/>
              </w:rPr>
              <w:t> </w:t>
            </w:r>
          </w:p>
        </w:tc>
        <w:tc>
          <w:tcPr>
            <w:tcW w:w="1421" w:type="dxa"/>
            <w:tcBorders>
              <w:top w:val="single" w:sz="6" w:space="0" w:color="auto"/>
              <w:left w:val="nil"/>
              <w:bottom w:val="single" w:sz="6" w:space="0" w:color="auto"/>
              <w:right w:val="nil"/>
            </w:tcBorders>
            <w:vAlign w:val="center"/>
            <w:hideMark/>
          </w:tcPr>
          <w:p w14:paraId="12CF8A50"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TOTAL</w:t>
            </w:r>
            <w:r w:rsidRPr="00D44004">
              <w:rPr>
                <w:rFonts w:ascii="Arial" w:hAnsi="Arial" w:cs="Arial"/>
                <w:color w:val="000000"/>
              </w:rPr>
              <w:t> </w:t>
            </w:r>
          </w:p>
        </w:tc>
      </w:tr>
      <w:tr w:rsidR="005E58FF" w:rsidRPr="00D44004" w14:paraId="749B15C6" w14:textId="77777777" w:rsidTr="005E58FF">
        <w:trPr>
          <w:trHeight w:val="224"/>
          <w:jc w:val="center"/>
        </w:trPr>
        <w:tc>
          <w:tcPr>
            <w:tcW w:w="1542" w:type="dxa"/>
            <w:tcBorders>
              <w:top w:val="single" w:sz="6" w:space="0" w:color="auto"/>
              <w:left w:val="nil"/>
              <w:bottom w:val="nil"/>
              <w:right w:val="nil"/>
            </w:tcBorders>
            <w:vAlign w:val="center"/>
            <w:hideMark/>
          </w:tcPr>
          <w:p w14:paraId="1142877B"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lastRenderedPageBreak/>
              <w:t>Control</w:t>
            </w:r>
          </w:p>
        </w:tc>
        <w:tc>
          <w:tcPr>
            <w:tcW w:w="1406" w:type="dxa"/>
            <w:tcBorders>
              <w:top w:val="nil"/>
              <w:left w:val="nil"/>
              <w:bottom w:val="nil"/>
              <w:right w:val="nil"/>
            </w:tcBorders>
            <w:vAlign w:val="center"/>
            <w:hideMark/>
          </w:tcPr>
          <w:p w14:paraId="40542F42"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c>
          <w:tcPr>
            <w:tcW w:w="1134" w:type="dxa"/>
            <w:tcBorders>
              <w:top w:val="nil"/>
              <w:left w:val="nil"/>
              <w:bottom w:val="nil"/>
              <w:right w:val="nil"/>
            </w:tcBorders>
            <w:vAlign w:val="center"/>
            <w:hideMark/>
          </w:tcPr>
          <w:p w14:paraId="78A5CBF1"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tc>
        <w:tc>
          <w:tcPr>
            <w:tcW w:w="1421" w:type="dxa"/>
            <w:tcBorders>
              <w:top w:val="nil"/>
              <w:left w:val="nil"/>
              <w:bottom w:val="nil"/>
              <w:right w:val="nil"/>
            </w:tcBorders>
            <w:vAlign w:val="center"/>
            <w:hideMark/>
          </w:tcPr>
          <w:p w14:paraId="0B8DDC02"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8 </w:t>
            </w:r>
          </w:p>
        </w:tc>
        <w:tc>
          <w:tcPr>
            <w:tcW w:w="1421" w:type="dxa"/>
            <w:tcBorders>
              <w:top w:val="nil"/>
              <w:left w:val="nil"/>
              <w:bottom w:val="nil"/>
              <w:right w:val="nil"/>
            </w:tcBorders>
            <w:vAlign w:val="center"/>
            <w:hideMark/>
          </w:tcPr>
          <w:p w14:paraId="5C3DEB27"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8 </w:t>
            </w:r>
          </w:p>
        </w:tc>
        <w:tc>
          <w:tcPr>
            <w:tcW w:w="1421" w:type="dxa"/>
            <w:tcBorders>
              <w:top w:val="nil"/>
              <w:left w:val="nil"/>
              <w:bottom w:val="nil"/>
              <w:right w:val="nil"/>
            </w:tcBorders>
            <w:vAlign w:val="center"/>
            <w:hideMark/>
          </w:tcPr>
          <w:p w14:paraId="4E731A5F"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11 </w:t>
            </w:r>
          </w:p>
        </w:tc>
        <w:tc>
          <w:tcPr>
            <w:tcW w:w="1421" w:type="dxa"/>
            <w:tcBorders>
              <w:top w:val="nil"/>
              <w:left w:val="nil"/>
              <w:bottom w:val="nil"/>
              <w:right w:val="nil"/>
            </w:tcBorders>
            <w:vAlign w:val="center"/>
            <w:hideMark/>
          </w:tcPr>
          <w:p w14:paraId="30C79B3C"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31 </w:t>
            </w:r>
          </w:p>
        </w:tc>
      </w:tr>
      <w:tr w:rsidR="005E58FF" w:rsidRPr="00D44004" w14:paraId="31B7A390" w14:textId="77777777" w:rsidTr="005E58FF">
        <w:trPr>
          <w:trHeight w:val="224"/>
          <w:jc w:val="center"/>
        </w:trPr>
        <w:tc>
          <w:tcPr>
            <w:tcW w:w="1542" w:type="dxa"/>
            <w:tcBorders>
              <w:top w:val="nil"/>
              <w:left w:val="nil"/>
              <w:bottom w:val="single" w:sz="6" w:space="0" w:color="auto"/>
              <w:right w:val="nil"/>
            </w:tcBorders>
            <w:vAlign w:val="center"/>
            <w:hideMark/>
          </w:tcPr>
          <w:p w14:paraId="7C9F49FB"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Experimental</w:t>
            </w:r>
          </w:p>
        </w:tc>
        <w:tc>
          <w:tcPr>
            <w:tcW w:w="1406" w:type="dxa"/>
            <w:tcBorders>
              <w:top w:val="nil"/>
              <w:left w:val="nil"/>
              <w:bottom w:val="single" w:sz="6" w:space="0" w:color="auto"/>
              <w:right w:val="nil"/>
            </w:tcBorders>
            <w:vAlign w:val="center"/>
            <w:hideMark/>
          </w:tcPr>
          <w:p w14:paraId="05E62889"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18 </w:t>
            </w:r>
          </w:p>
        </w:tc>
        <w:tc>
          <w:tcPr>
            <w:tcW w:w="1134" w:type="dxa"/>
            <w:tcBorders>
              <w:top w:val="nil"/>
              <w:left w:val="nil"/>
              <w:bottom w:val="single" w:sz="6" w:space="0" w:color="auto"/>
              <w:right w:val="nil"/>
            </w:tcBorders>
            <w:vAlign w:val="center"/>
            <w:hideMark/>
          </w:tcPr>
          <w:p w14:paraId="69ADB71B"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9 </w:t>
            </w:r>
          </w:p>
        </w:tc>
        <w:tc>
          <w:tcPr>
            <w:tcW w:w="1421" w:type="dxa"/>
            <w:tcBorders>
              <w:top w:val="nil"/>
              <w:left w:val="nil"/>
              <w:bottom w:val="single" w:sz="6" w:space="0" w:color="auto"/>
              <w:right w:val="nil"/>
            </w:tcBorders>
            <w:vAlign w:val="center"/>
            <w:hideMark/>
          </w:tcPr>
          <w:p w14:paraId="48566E82"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14 </w:t>
            </w:r>
          </w:p>
        </w:tc>
        <w:tc>
          <w:tcPr>
            <w:tcW w:w="1421" w:type="dxa"/>
            <w:tcBorders>
              <w:top w:val="nil"/>
              <w:left w:val="nil"/>
              <w:bottom w:val="single" w:sz="6" w:space="0" w:color="auto"/>
              <w:right w:val="nil"/>
            </w:tcBorders>
            <w:vAlign w:val="center"/>
            <w:hideMark/>
          </w:tcPr>
          <w:p w14:paraId="36DA5A0D"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17 </w:t>
            </w:r>
          </w:p>
        </w:tc>
        <w:tc>
          <w:tcPr>
            <w:tcW w:w="1421" w:type="dxa"/>
            <w:tcBorders>
              <w:top w:val="nil"/>
              <w:left w:val="nil"/>
              <w:bottom w:val="single" w:sz="6" w:space="0" w:color="auto"/>
              <w:right w:val="nil"/>
            </w:tcBorders>
            <w:vAlign w:val="center"/>
            <w:hideMark/>
          </w:tcPr>
          <w:p w14:paraId="71BD82FB"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24 </w:t>
            </w:r>
          </w:p>
        </w:tc>
        <w:tc>
          <w:tcPr>
            <w:tcW w:w="1421" w:type="dxa"/>
            <w:tcBorders>
              <w:top w:val="nil"/>
              <w:left w:val="nil"/>
              <w:bottom w:val="single" w:sz="6" w:space="0" w:color="auto"/>
              <w:right w:val="nil"/>
            </w:tcBorders>
            <w:vAlign w:val="center"/>
            <w:hideMark/>
          </w:tcPr>
          <w:p w14:paraId="0E56C45C"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31 </w:t>
            </w:r>
          </w:p>
        </w:tc>
      </w:tr>
    </w:tbl>
    <w:p w14:paraId="6D0A903E" w14:textId="77777777" w:rsidR="005E58FF" w:rsidRPr="00D44004" w:rsidRDefault="005E58FF" w:rsidP="005E58FF">
      <w:pPr>
        <w:pStyle w:val="paragraph"/>
        <w:spacing w:before="0" w:beforeAutospacing="0" w:after="0" w:afterAutospacing="0"/>
        <w:ind w:firstLine="799"/>
        <w:jc w:val="both"/>
        <w:textAlignment w:val="baseline"/>
        <w:rPr>
          <w:rStyle w:val="normaltextrun"/>
          <w:rFonts w:ascii="Arial" w:hAnsi="Arial" w:cs="Arial"/>
          <w:sz w:val="20"/>
          <w:szCs w:val="20"/>
        </w:rPr>
      </w:pPr>
    </w:p>
    <w:p w14:paraId="494C9EEC"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In the control group of 31 participants, four had elevated transaminase values, and five had elevated GGT values. Eight participants had elevated lipid status and total bilirubin values, while 11 participants had ultrasound-confirmed liver steatosis. </w:t>
      </w:r>
      <w:r w:rsidRPr="00D44004">
        <w:rPr>
          <w:rStyle w:val="eop"/>
          <w:rFonts w:ascii="Arial" w:hAnsi="Arial" w:cs="Arial"/>
          <w:sz w:val="20"/>
          <w:szCs w:val="20"/>
        </w:rPr>
        <w:t> </w:t>
      </w:r>
    </w:p>
    <w:p w14:paraId="3086BCF0" w14:textId="77777777" w:rsidR="00A612A3" w:rsidRDefault="005E58FF" w:rsidP="00D44004">
      <w:pPr>
        <w:pStyle w:val="paragraph"/>
        <w:spacing w:before="0" w:beforeAutospacing="0" w:after="0" w:afterAutospacing="0"/>
        <w:jc w:val="both"/>
        <w:textAlignment w:val="baseline"/>
        <w:rPr>
          <w:rStyle w:val="normaltextrun"/>
          <w:rFonts w:ascii="Arial" w:hAnsi="Arial" w:cs="Arial"/>
          <w:sz w:val="20"/>
          <w:szCs w:val="20"/>
        </w:rPr>
      </w:pPr>
      <w:r w:rsidRPr="00D44004">
        <w:rPr>
          <w:rStyle w:val="normaltextrun"/>
          <w:rFonts w:ascii="Arial" w:hAnsi="Arial" w:cs="Arial"/>
          <w:sz w:val="20"/>
          <w:szCs w:val="20"/>
        </w:rPr>
        <w:t>In the experimental group of 31 participants, eighteen had elevated transaminase values, and nine had elevated GGT values. Fourteen participants had elevated lipid status, seventeen had elevated total bilirubin values, and 24 participants had confirmed liver steatosis based on ultrasound findings. In the experimental group of workers, four had hypertension. All four workers with hypertension had positive findings (liver steatosis in four participants, elevated transaminases, lipid status, and bilirubin in three participants, and one of them had positive results for all tested variables and 38 years of work experience).</w:t>
      </w:r>
    </w:p>
    <w:p w14:paraId="73541DAC" w14:textId="77777777" w:rsidR="00A612A3" w:rsidRDefault="00A612A3" w:rsidP="00D44004">
      <w:pPr>
        <w:pStyle w:val="paragraph"/>
        <w:spacing w:before="0" w:beforeAutospacing="0" w:after="0" w:afterAutospacing="0"/>
        <w:jc w:val="both"/>
        <w:textAlignment w:val="baseline"/>
        <w:rPr>
          <w:rStyle w:val="normaltextrun"/>
          <w:rFonts w:ascii="Arial" w:hAnsi="Arial" w:cs="Arial"/>
          <w:sz w:val="20"/>
          <w:szCs w:val="20"/>
        </w:rPr>
      </w:pPr>
    </w:p>
    <w:p w14:paraId="1B799C14" w14:textId="5CF9B9A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 </w:t>
      </w:r>
      <w:r w:rsidRPr="00D44004">
        <w:rPr>
          <w:rFonts w:ascii="Arial" w:hAnsi="Arial" w:cs="Arial"/>
          <w:sz w:val="20"/>
          <w:szCs w:val="20"/>
        </w:rPr>
        <w:t>Table 2 presents a comparison of total work experience and the requested variables for the experimental and control groups.  </w:t>
      </w:r>
    </w:p>
    <w:p w14:paraId="236564AA" w14:textId="77777777" w:rsidR="005E58FF" w:rsidRPr="00D44004" w:rsidRDefault="005E58FF" w:rsidP="005E58FF">
      <w:pPr>
        <w:pStyle w:val="paragraph"/>
        <w:spacing w:before="0" w:beforeAutospacing="0" w:after="0" w:afterAutospacing="0"/>
        <w:ind w:firstLine="799"/>
        <w:jc w:val="both"/>
        <w:textAlignment w:val="baseline"/>
        <w:rPr>
          <w:rFonts w:ascii="Arial" w:hAnsi="Arial" w:cs="Arial"/>
          <w:sz w:val="20"/>
          <w:szCs w:val="20"/>
        </w:rPr>
      </w:pPr>
    </w:p>
    <w:tbl>
      <w:tblPr>
        <w:tblW w:w="9752" w:type="dxa"/>
        <w:jc w:val="center"/>
        <w:tblCellMar>
          <w:top w:w="15" w:type="dxa"/>
          <w:left w:w="15" w:type="dxa"/>
          <w:bottom w:w="15" w:type="dxa"/>
          <w:right w:w="15" w:type="dxa"/>
        </w:tblCellMar>
        <w:tblLook w:val="04A0" w:firstRow="1" w:lastRow="0" w:firstColumn="1" w:lastColumn="0" w:noHBand="0" w:noVBand="1"/>
      </w:tblPr>
      <w:tblGrid>
        <w:gridCol w:w="3686"/>
        <w:gridCol w:w="1984"/>
        <w:gridCol w:w="2268"/>
        <w:gridCol w:w="1814"/>
      </w:tblGrid>
      <w:tr w:rsidR="005E58FF" w:rsidRPr="00D44004" w14:paraId="0E7AD884" w14:textId="77777777" w:rsidTr="005E58FF">
        <w:trPr>
          <w:trHeight w:val="236"/>
          <w:jc w:val="center"/>
        </w:trPr>
        <w:tc>
          <w:tcPr>
            <w:tcW w:w="3686" w:type="dxa"/>
            <w:tcBorders>
              <w:top w:val="single" w:sz="4" w:space="0" w:color="auto"/>
              <w:bottom w:val="single" w:sz="4" w:space="0" w:color="auto"/>
            </w:tcBorders>
            <w:vAlign w:val="center"/>
            <w:hideMark/>
          </w:tcPr>
          <w:p w14:paraId="03D3867C"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Total length of service</w:t>
            </w:r>
            <w:r w:rsidRPr="00D44004">
              <w:rPr>
                <w:rFonts w:ascii="Arial" w:hAnsi="Arial" w:cs="Arial"/>
                <w:color w:val="000000"/>
              </w:rPr>
              <w:t> </w:t>
            </w:r>
          </w:p>
        </w:tc>
        <w:tc>
          <w:tcPr>
            <w:tcW w:w="1984" w:type="dxa"/>
            <w:tcBorders>
              <w:top w:val="single" w:sz="4" w:space="0" w:color="auto"/>
              <w:bottom w:val="single" w:sz="4" w:space="0" w:color="auto"/>
            </w:tcBorders>
            <w:vAlign w:val="center"/>
            <w:hideMark/>
          </w:tcPr>
          <w:p w14:paraId="64DAE36A"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up to 5 years</w:t>
            </w:r>
            <w:r w:rsidRPr="00D44004">
              <w:rPr>
                <w:rFonts w:ascii="Arial" w:hAnsi="Arial" w:cs="Arial"/>
                <w:color w:val="000000"/>
              </w:rPr>
              <w:t> </w:t>
            </w:r>
          </w:p>
        </w:tc>
        <w:tc>
          <w:tcPr>
            <w:tcW w:w="2268" w:type="dxa"/>
            <w:tcBorders>
              <w:top w:val="single" w:sz="4" w:space="0" w:color="auto"/>
              <w:bottom w:val="single" w:sz="4" w:space="0" w:color="auto"/>
            </w:tcBorders>
            <w:vAlign w:val="center"/>
            <w:hideMark/>
          </w:tcPr>
          <w:p w14:paraId="3C534555"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5 to 10 years </w:t>
            </w:r>
            <w:r w:rsidRPr="00D44004">
              <w:rPr>
                <w:rFonts w:ascii="Arial" w:hAnsi="Arial" w:cs="Arial"/>
                <w:color w:val="000000"/>
              </w:rPr>
              <w:t> </w:t>
            </w:r>
          </w:p>
        </w:tc>
        <w:tc>
          <w:tcPr>
            <w:tcW w:w="1814" w:type="dxa"/>
            <w:tcBorders>
              <w:top w:val="single" w:sz="4" w:space="0" w:color="auto"/>
              <w:bottom w:val="single" w:sz="4" w:space="0" w:color="auto"/>
            </w:tcBorders>
            <w:vAlign w:val="center"/>
            <w:hideMark/>
          </w:tcPr>
          <w:p w14:paraId="61978FF7" w14:textId="77777777"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over 10 years</w:t>
            </w:r>
            <w:r w:rsidRPr="00D44004">
              <w:rPr>
                <w:rFonts w:ascii="Arial" w:hAnsi="Arial" w:cs="Arial"/>
                <w:color w:val="000000"/>
              </w:rPr>
              <w:t> </w:t>
            </w:r>
          </w:p>
        </w:tc>
      </w:tr>
      <w:tr w:rsidR="005E58FF" w:rsidRPr="00D44004" w14:paraId="0BE17E0C" w14:textId="77777777" w:rsidTr="005E58FF">
        <w:trPr>
          <w:trHeight w:val="236"/>
          <w:jc w:val="center"/>
        </w:trPr>
        <w:tc>
          <w:tcPr>
            <w:tcW w:w="3686" w:type="dxa"/>
            <w:vMerge w:val="restart"/>
            <w:tcBorders>
              <w:top w:val="single" w:sz="4" w:space="0" w:color="auto"/>
            </w:tcBorders>
            <w:vAlign w:val="center"/>
            <w:hideMark/>
          </w:tcPr>
          <w:p w14:paraId="19D0F501"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 xml:space="preserve">Experimental group </w:t>
            </w:r>
          </w:p>
          <w:p w14:paraId="0053F1EC"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Control group  </w:t>
            </w:r>
          </w:p>
        </w:tc>
        <w:tc>
          <w:tcPr>
            <w:tcW w:w="1984" w:type="dxa"/>
            <w:tcBorders>
              <w:top w:val="single" w:sz="4" w:space="0" w:color="auto"/>
            </w:tcBorders>
            <w:vAlign w:val="center"/>
            <w:hideMark/>
          </w:tcPr>
          <w:p w14:paraId="2F7493F2"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tc>
        <w:tc>
          <w:tcPr>
            <w:tcW w:w="2268" w:type="dxa"/>
            <w:tcBorders>
              <w:top w:val="single" w:sz="4" w:space="0" w:color="auto"/>
            </w:tcBorders>
            <w:vAlign w:val="center"/>
            <w:hideMark/>
          </w:tcPr>
          <w:p w14:paraId="265C8103"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16 </w:t>
            </w:r>
          </w:p>
        </w:tc>
        <w:tc>
          <w:tcPr>
            <w:tcW w:w="1814" w:type="dxa"/>
            <w:tcBorders>
              <w:top w:val="single" w:sz="4" w:space="0" w:color="auto"/>
            </w:tcBorders>
            <w:vAlign w:val="center"/>
            <w:hideMark/>
          </w:tcPr>
          <w:p w14:paraId="45CE06A3"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10 </w:t>
            </w:r>
          </w:p>
        </w:tc>
      </w:tr>
      <w:tr w:rsidR="005E58FF" w:rsidRPr="00D44004" w14:paraId="7C7EF7BC" w14:textId="77777777" w:rsidTr="005E58FF">
        <w:trPr>
          <w:trHeight w:val="236"/>
          <w:jc w:val="center"/>
        </w:trPr>
        <w:tc>
          <w:tcPr>
            <w:tcW w:w="3686" w:type="dxa"/>
            <w:vMerge/>
            <w:vAlign w:val="center"/>
            <w:hideMark/>
          </w:tcPr>
          <w:p w14:paraId="64AD5C3D" w14:textId="77777777" w:rsidR="005E58FF" w:rsidRPr="00D44004" w:rsidRDefault="005E58FF" w:rsidP="005E58FF">
            <w:pPr>
              <w:rPr>
                <w:rFonts w:ascii="Arial" w:hAnsi="Arial" w:cs="Arial"/>
                <w:color w:val="000000"/>
              </w:rPr>
            </w:pPr>
          </w:p>
        </w:tc>
        <w:tc>
          <w:tcPr>
            <w:tcW w:w="1984" w:type="dxa"/>
            <w:vAlign w:val="center"/>
            <w:hideMark/>
          </w:tcPr>
          <w:p w14:paraId="69B86DBE"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c>
          <w:tcPr>
            <w:tcW w:w="2268" w:type="dxa"/>
            <w:vAlign w:val="center"/>
            <w:hideMark/>
          </w:tcPr>
          <w:p w14:paraId="63570D34"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12 </w:t>
            </w:r>
          </w:p>
        </w:tc>
        <w:tc>
          <w:tcPr>
            <w:tcW w:w="1814" w:type="dxa"/>
            <w:vAlign w:val="center"/>
            <w:hideMark/>
          </w:tcPr>
          <w:p w14:paraId="1DA27569"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15 </w:t>
            </w:r>
          </w:p>
        </w:tc>
      </w:tr>
      <w:tr w:rsidR="005E58FF" w:rsidRPr="00D44004" w14:paraId="46079792" w14:textId="77777777" w:rsidTr="005E58FF">
        <w:trPr>
          <w:trHeight w:val="196"/>
          <w:jc w:val="center"/>
        </w:trPr>
        <w:tc>
          <w:tcPr>
            <w:tcW w:w="3686" w:type="dxa"/>
            <w:vAlign w:val="center"/>
            <w:hideMark/>
          </w:tcPr>
          <w:p w14:paraId="2DF2E926"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Liver steatosis  </w:t>
            </w:r>
          </w:p>
        </w:tc>
        <w:tc>
          <w:tcPr>
            <w:tcW w:w="1984" w:type="dxa"/>
            <w:vAlign w:val="center"/>
            <w:hideMark/>
          </w:tcPr>
          <w:p w14:paraId="5AE72866"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p w14:paraId="7105C9D6"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c>
          <w:tcPr>
            <w:tcW w:w="2268" w:type="dxa"/>
            <w:vAlign w:val="center"/>
            <w:hideMark/>
          </w:tcPr>
          <w:p w14:paraId="061D0F75"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13 </w:t>
            </w:r>
          </w:p>
          <w:p w14:paraId="23E6A098"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c>
          <w:tcPr>
            <w:tcW w:w="1814" w:type="dxa"/>
            <w:vAlign w:val="center"/>
            <w:hideMark/>
          </w:tcPr>
          <w:p w14:paraId="61ABBDAF"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6 </w:t>
            </w:r>
          </w:p>
          <w:p w14:paraId="1498D3F2"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r>
      <w:tr w:rsidR="005E58FF" w:rsidRPr="00D44004" w14:paraId="6A3811C9" w14:textId="77777777" w:rsidTr="005E58FF">
        <w:trPr>
          <w:trHeight w:val="91"/>
          <w:jc w:val="center"/>
        </w:trPr>
        <w:tc>
          <w:tcPr>
            <w:tcW w:w="3686" w:type="dxa"/>
            <w:vAlign w:val="center"/>
            <w:hideMark/>
          </w:tcPr>
          <w:p w14:paraId="2C4E9FC5"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Lipid status </w:t>
            </w:r>
          </w:p>
        </w:tc>
        <w:tc>
          <w:tcPr>
            <w:tcW w:w="1984" w:type="dxa"/>
            <w:vAlign w:val="center"/>
            <w:hideMark/>
          </w:tcPr>
          <w:p w14:paraId="5F541956"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p w14:paraId="385CF11A"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2 </w:t>
            </w:r>
          </w:p>
        </w:tc>
        <w:tc>
          <w:tcPr>
            <w:tcW w:w="2268" w:type="dxa"/>
            <w:vAlign w:val="center"/>
            <w:hideMark/>
          </w:tcPr>
          <w:p w14:paraId="609A4BC2"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7 </w:t>
            </w:r>
          </w:p>
          <w:p w14:paraId="1A593F19"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c>
          <w:tcPr>
            <w:tcW w:w="1814" w:type="dxa"/>
            <w:vAlign w:val="center"/>
            <w:hideMark/>
          </w:tcPr>
          <w:p w14:paraId="6CD671F4"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6 </w:t>
            </w:r>
          </w:p>
          <w:p w14:paraId="79DE8F9A"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r>
      <w:tr w:rsidR="005E58FF" w:rsidRPr="00D44004" w14:paraId="09A86F46" w14:textId="77777777" w:rsidTr="005E58FF">
        <w:trPr>
          <w:trHeight w:val="27"/>
          <w:jc w:val="center"/>
        </w:trPr>
        <w:tc>
          <w:tcPr>
            <w:tcW w:w="3686" w:type="dxa"/>
            <w:vAlign w:val="center"/>
            <w:hideMark/>
          </w:tcPr>
          <w:p w14:paraId="040F3C31"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Transaminase </w:t>
            </w:r>
          </w:p>
        </w:tc>
        <w:tc>
          <w:tcPr>
            <w:tcW w:w="1984" w:type="dxa"/>
            <w:vAlign w:val="center"/>
            <w:hideMark/>
          </w:tcPr>
          <w:p w14:paraId="5784D40E"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268" w:type="dxa"/>
            <w:vAlign w:val="center"/>
            <w:hideMark/>
          </w:tcPr>
          <w:p w14:paraId="1DC7F607"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1814" w:type="dxa"/>
            <w:vAlign w:val="center"/>
            <w:hideMark/>
          </w:tcPr>
          <w:p w14:paraId="1B363553"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r>
      <w:tr w:rsidR="005E58FF" w:rsidRPr="00D44004" w14:paraId="674E76C5" w14:textId="77777777" w:rsidTr="005E58FF">
        <w:trPr>
          <w:trHeight w:val="236"/>
          <w:jc w:val="center"/>
        </w:trPr>
        <w:tc>
          <w:tcPr>
            <w:tcW w:w="3686" w:type="dxa"/>
            <w:vAlign w:val="center"/>
            <w:hideMark/>
          </w:tcPr>
          <w:p w14:paraId="1DC173CC"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GGT </w:t>
            </w:r>
          </w:p>
        </w:tc>
        <w:tc>
          <w:tcPr>
            <w:tcW w:w="1984" w:type="dxa"/>
            <w:vAlign w:val="center"/>
            <w:hideMark/>
          </w:tcPr>
          <w:p w14:paraId="218428C3"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2268" w:type="dxa"/>
            <w:vAlign w:val="center"/>
            <w:hideMark/>
          </w:tcPr>
          <w:p w14:paraId="661C7789"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1814" w:type="dxa"/>
            <w:vAlign w:val="center"/>
            <w:hideMark/>
          </w:tcPr>
          <w:p w14:paraId="6D22B389"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r>
      <w:tr w:rsidR="005E58FF" w:rsidRPr="00D44004" w14:paraId="3F4CC2BF" w14:textId="77777777" w:rsidTr="005E58FF">
        <w:trPr>
          <w:trHeight w:val="236"/>
          <w:jc w:val="center"/>
        </w:trPr>
        <w:tc>
          <w:tcPr>
            <w:tcW w:w="3686" w:type="dxa"/>
            <w:vAlign w:val="center"/>
            <w:hideMark/>
          </w:tcPr>
          <w:p w14:paraId="482F41E7"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Bilirubin </w:t>
            </w:r>
          </w:p>
        </w:tc>
        <w:tc>
          <w:tcPr>
            <w:tcW w:w="1984" w:type="dxa"/>
            <w:vAlign w:val="center"/>
            <w:hideMark/>
          </w:tcPr>
          <w:p w14:paraId="580008B1"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268" w:type="dxa"/>
            <w:vAlign w:val="center"/>
            <w:hideMark/>
          </w:tcPr>
          <w:p w14:paraId="145A5CF9"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c>
          <w:tcPr>
            <w:tcW w:w="1814" w:type="dxa"/>
            <w:vAlign w:val="center"/>
            <w:hideMark/>
          </w:tcPr>
          <w:p w14:paraId="69AD7ACC"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tc>
      </w:tr>
      <w:tr w:rsidR="005E58FF" w:rsidRPr="00D44004" w14:paraId="4098C9D2" w14:textId="77777777" w:rsidTr="005E58FF">
        <w:trPr>
          <w:trHeight w:val="27"/>
          <w:jc w:val="center"/>
        </w:trPr>
        <w:tc>
          <w:tcPr>
            <w:tcW w:w="3686" w:type="dxa"/>
            <w:vMerge w:val="restart"/>
            <w:vAlign w:val="center"/>
            <w:hideMark/>
          </w:tcPr>
          <w:p w14:paraId="7ED7DCAB"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Negative finding  </w:t>
            </w:r>
          </w:p>
          <w:p w14:paraId="3A3990AC"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Experimental group </w:t>
            </w:r>
          </w:p>
          <w:p w14:paraId="4D6FD666"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Control group </w:t>
            </w:r>
          </w:p>
        </w:tc>
        <w:tc>
          <w:tcPr>
            <w:tcW w:w="1984" w:type="dxa"/>
            <w:vAlign w:val="center"/>
            <w:hideMark/>
          </w:tcPr>
          <w:p w14:paraId="5680DE92"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 </w:t>
            </w:r>
          </w:p>
          <w:p w14:paraId="28E766E0"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268" w:type="dxa"/>
            <w:vAlign w:val="center"/>
            <w:hideMark/>
          </w:tcPr>
          <w:p w14:paraId="50625F10"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 </w:t>
            </w:r>
          </w:p>
          <w:p w14:paraId="68E5D1C9"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1814" w:type="dxa"/>
            <w:vAlign w:val="center"/>
            <w:hideMark/>
          </w:tcPr>
          <w:p w14:paraId="53ADF837"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 </w:t>
            </w:r>
          </w:p>
          <w:p w14:paraId="54183AE8"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r>
      <w:tr w:rsidR="005E58FF" w:rsidRPr="00D44004" w14:paraId="61236AC3" w14:textId="77777777" w:rsidTr="005E58FF">
        <w:trPr>
          <w:trHeight w:val="236"/>
          <w:jc w:val="center"/>
        </w:trPr>
        <w:tc>
          <w:tcPr>
            <w:tcW w:w="3686" w:type="dxa"/>
            <w:vMerge/>
            <w:tcBorders>
              <w:bottom w:val="single" w:sz="4" w:space="0" w:color="auto"/>
            </w:tcBorders>
            <w:vAlign w:val="center"/>
            <w:hideMark/>
          </w:tcPr>
          <w:p w14:paraId="40835A93" w14:textId="77777777" w:rsidR="005E58FF" w:rsidRPr="00D44004" w:rsidRDefault="005E58FF" w:rsidP="005E58FF">
            <w:pPr>
              <w:rPr>
                <w:rFonts w:ascii="Arial" w:hAnsi="Arial" w:cs="Arial"/>
                <w:color w:val="000000"/>
              </w:rPr>
            </w:pPr>
          </w:p>
        </w:tc>
        <w:tc>
          <w:tcPr>
            <w:tcW w:w="1984" w:type="dxa"/>
            <w:tcBorders>
              <w:bottom w:val="single" w:sz="4" w:space="0" w:color="auto"/>
            </w:tcBorders>
            <w:vAlign w:val="center"/>
            <w:hideMark/>
          </w:tcPr>
          <w:p w14:paraId="0A3698B7"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268" w:type="dxa"/>
            <w:tcBorders>
              <w:bottom w:val="single" w:sz="4" w:space="0" w:color="auto"/>
            </w:tcBorders>
            <w:vAlign w:val="center"/>
            <w:hideMark/>
          </w:tcPr>
          <w:p w14:paraId="6B8D59C1"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1814" w:type="dxa"/>
            <w:tcBorders>
              <w:bottom w:val="single" w:sz="4" w:space="0" w:color="auto"/>
            </w:tcBorders>
            <w:vAlign w:val="center"/>
            <w:hideMark/>
          </w:tcPr>
          <w:p w14:paraId="28B92093" w14:textId="77777777"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r>
    </w:tbl>
    <w:p w14:paraId="26C39FFF" w14:textId="77777777" w:rsidR="005E58FF" w:rsidRPr="00D44004" w:rsidRDefault="005E58FF" w:rsidP="005E58FF">
      <w:pPr>
        <w:textAlignment w:val="baseline"/>
        <w:rPr>
          <w:rFonts w:ascii="Arial" w:hAnsi="Arial" w:cs="Arial"/>
        </w:rPr>
      </w:pPr>
      <w:r w:rsidRPr="00D44004">
        <w:rPr>
          <w:rFonts w:ascii="Arial" w:hAnsi="Arial" w:cs="Arial"/>
          <w:color w:val="000000"/>
        </w:rPr>
        <w:t> </w:t>
      </w:r>
    </w:p>
    <w:p w14:paraId="39DDB55B" w14:textId="77777777" w:rsidR="005E58FF" w:rsidRPr="00D44004" w:rsidRDefault="005E58FF" w:rsidP="00D44004">
      <w:pPr>
        <w:textAlignment w:val="baseline"/>
        <w:rPr>
          <w:rFonts w:ascii="Arial" w:hAnsi="Arial" w:cs="Arial"/>
        </w:rPr>
      </w:pPr>
      <w:r w:rsidRPr="00D44004">
        <w:rPr>
          <w:rFonts w:ascii="Arial" w:hAnsi="Arial" w:cs="Arial"/>
        </w:rPr>
        <w:t>5 participants had work experience up to 5 years, 16 participants had 5 to 10 years of experience, and 10 participants had over 10 years of experience. All 5 workers with work experience up to 5 years had a positive finding. The majority of participants (5) had liver steatosis, three participants had elevated transaminases and lipid status, two participants had elevated GGT values, while bilirubin was not elevated.  </w:t>
      </w:r>
    </w:p>
    <w:p w14:paraId="098334FC" w14:textId="77777777" w:rsidR="005E58FF" w:rsidRPr="00D44004" w:rsidRDefault="005E58FF" w:rsidP="00D44004">
      <w:pPr>
        <w:textAlignment w:val="baseline"/>
        <w:rPr>
          <w:rFonts w:ascii="Arial" w:hAnsi="Arial" w:cs="Arial"/>
        </w:rPr>
      </w:pPr>
      <w:r w:rsidRPr="00D44004">
        <w:rPr>
          <w:rFonts w:ascii="Arial" w:hAnsi="Arial" w:cs="Arial"/>
        </w:rPr>
        <w:t>Among participants with 5 to 10 years of work experience, one participant had a negative finding, while 13 participants had liver steatosis, nine participants had elevated transaminases and bilirubin, seven participants had elevated lipid status, and elevated GGT values were found in three participants. All 10 participants with work experience over 10 years had a positive finding. Six participants had liver steatosis, 6 participants had elevated transaminase values, 8 participants had elevated bilirubin values, four participants had elevated lipid status, and 5 participants had elevated GGT values.  </w:t>
      </w:r>
    </w:p>
    <w:p w14:paraId="0994619F" w14:textId="77777777" w:rsidR="005E58FF" w:rsidRPr="00D44004" w:rsidRDefault="005E58FF" w:rsidP="00D44004">
      <w:pPr>
        <w:textAlignment w:val="baseline"/>
        <w:rPr>
          <w:rFonts w:ascii="Arial" w:hAnsi="Arial" w:cs="Arial"/>
        </w:rPr>
      </w:pPr>
      <w:r w:rsidRPr="00D44004">
        <w:rPr>
          <w:rFonts w:ascii="Arial" w:hAnsi="Arial" w:cs="Arial"/>
        </w:rPr>
        <w:t>Table 3 shows the results of the chi-square test between the experimental and control groups regarding the variables: "Fatty Liver," "Transaminases," "Bilirubin," "GGT," and "Lipid Status." The results indicate that a higher percentage of participants in the experimental group have fatty liver (77.4%), elevated transaminases (58.1%), bilirubin (54.8%), lipid status (45.2%), and GGT (32.3%). The chi-square test results showed that participants in the experimental group have a statistically significant higher prevalence of fatty liver and elevated transaminases at a significance level of 0.01 compared to the control group. Additionally, participants in the experimental group have statistically significantly higher bilirubin, GGT, and lipid status at a significance level of 0.05 compared to the control group. </w:t>
      </w:r>
    </w:p>
    <w:p w14:paraId="1C71BB79" w14:textId="77777777" w:rsidR="005E58FF" w:rsidRPr="00D44004" w:rsidRDefault="005E58FF" w:rsidP="005E58FF">
      <w:pPr>
        <w:ind w:firstLine="799"/>
        <w:textAlignment w:val="baseline"/>
        <w:rPr>
          <w:rFonts w:ascii="Arial" w:hAnsi="Arial" w:cs="Arial"/>
        </w:rPr>
      </w:pPr>
    </w:p>
    <w:p w14:paraId="5231D8F6" w14:textId="77777777" w:rsidR="005E58FF" w:rsidRPr="00D44004" w:rsidRDefault="005E58FF" w:rsidP="005E58FF">
      <w:pPr>
        <w:ind w:firstLine="799"/>
        <w:textAlignment w:val="baseline"/>
        <w:rPr>
          <w:rFonts w:ascii="Arial" w:hAnsi="Arial" w:cs="Arial"/>
        </w:rPr>
      </w:pPr>
    </w:p>
    <w:p w14:paraId="5D5D448F" w14:textId="77777777" w:rsidR="005E58FF" w:rsidRPr="00D44004" w:rsidRDefault="005E58FF" w:rsidP="005E58FF">
      <w:pPr>
        <w:ind w:firstLine="799"/>
        <w:textAlignment w:val="baseline"/>
        <w:rPr>
          <w:rFonts w:ascii="Arial" w:hAnsi="Arial" w:cs="Arial"/>
        </w:rPr>
      </w:pPr>
    </w:p>
    <w:p w14:paraId="5E1C1111" w14:textId="77777777" w:rsidR="005E58FF" w:rsidRPr="00D44004" w:rsidRDefault="005E58FF" w:rsidP="005E58FF">
      <w:pPr>
        <w:ind w:firstLine="799"/>
        <w:textAlignment w:val="baseline"/>
        <w:rPr>
          <w:rFonts w:ascii="Arial" w:hAnsi="Arial" w:cs="Arial"/>
        </w:rPr>
      </w:pPr>
    </w:p>
    <w:p w14:paraId="75C7A153" w14:textId="77777777" w:rsidR="005E58FF" w:rsidRPr="00D44004" w:rsidRDefault="005E58FF" w:rsidP="005E58FF">
      <w:pPr>
        <w:rPr>
          <w:rFonts w:ascii="Arial" w:hAnsi="Arial" w:cs="Arial"/>
        </w:rPr>
      </w:pPr>
    </w:p>
    <w:p w14:paraId="0684D96D" w14:textId="77777777" w:rsidR="005E58FF" w:rsidRPr="00D44004" w:rsidRDefault="005E58FF" w:rsidP="005E58FF">
      <w:pPr>
        <w:spacing w:line="360" w:lineRule="auto"/>
        <w:rPr>
          <w:rFonts w:ascii="Arial" w:hAnsi="Arial" w:cs="Arial"/>
        </w:rPr>
      </w:pPr>
      <w:r w:rsidRPr="00D44004">
        <w:rPr>
          <w:rFonts w:ascii="Arial" w:hAnsi="Arial" w:cs="Arial"/>
          <w:b/>
          <w:bCs/>
        </w:rPr>
        <w:t xml:space="preserve">Table 3. </w:t>
      </w:r>
      <w:r w:rsidRPr="00D44004">
        <w:rPr>
          <w:rFonts w:ascii="Arial" w:hAnsi="Arial" w:cs="Arial"/>
        </w:rPr>
        <w:t>Hi-square test results.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3"/>
        <w:gridCol w:w="2446"/>
        <w:gridCol w:w="820"/>
        <w:gridCol w:w="1467"/>
        <w:gridCol w:w="1344"/>
        <w:gridCol w:w="1267"/>
        <w:gridCol w:w="1269"/>
      </w:tblGrid>
      <w:tr w:rsidR="005E58FF" w:rsidRPr="00D44004" w14:paraId="08C5C008" w14:textId="77777777" w:rsidTr="005E58FF">
        <w:trPr>
          <w:trHeight w:val="300"/>
          <w:jc w:val="center"/>
        </w:trPr>
        <w:tc>
          <w:tcPr>
            <w:tcW w:w="2573" w:type="pct"/>
            <w:gridSpan w:val="3"/>
            <w:tcBorders>
              <w:top w:val="single" w:sz="4" w:space="0" w:color="auto"/>
              <w:bottom w:val="single" w:sz="4" w:space="0" w:color="auto"/>
            </w:tcBorders>
            <w:vAlign w:val="center"/>
            <w:hideMark/>
          </w:tcPr>
          <w:p w14:paraId="3195F035"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Variables</w:t>
            </w:r>
          </w:p>
        </w:tc>
        <w:tc>
          <w:tcPr>
            <w:tcW w:w="666" w:type="pct"/>
            <w:tcBorders>
              <w:top w:val="single" w:sz="4" w:space="0" w:color="auto"/>
              <w:bottom w:val="single" w:sz="4" w:space="0" w:color="auto"/>
            </w:tcBorders>
            <w:vAlign w:val="center"/>
            <w:hideMark/>
          </w:tcPr>
          <w:p w14:paraId="602CF147"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Yes</w:t>
            </w:r>
          </w:p>
        </w:tc>
        <w:tc>
          <w:tcPr>
            <w:tcW w:w="610" w:type="pct"/>
            <w:tcBorders>
              <w:top w:val="single" w:sz="4" w:space="0" w:color="auto"/>
              <w:bottom w:val="single" w:sz="4" w:space="0" w:color="auto"/>
            </w:tcBorders>
            <w:vAlign w:val="center"/>
          </w:tcPr>
          <w:p w14:paraId="37310A55"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No</w:t>
            </w:r>
          </w:p>
        </w:tc>
        <w:tc>
          <w:tcPr>
            <w:tcW w:w="575" w:type="pct"/>
            <w:tcBorders>
              <w:top w:val="single" w:sz="4" w:space="0" w:color="auto"/>
              <w:bottom w:val="single" w:sz="4" w:space="0" w:color="auto"/>
            </w:tcBorders>
            <w:vAlign w:val="center"/>
            <w:hideMark/>
          </w:tcPr>
          <w:p w14:paraId="6F663B0A"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h</w:t>
            </w:r>
            <w:r w:rsidRPr="00D44004">
              <w:rPr>
                <w:rFonts w:ascii="Arial" w:hAnsi="Arial" w:cs="Arial"/>
                <w:b/>
                <w:bCs/>
                <w:sz w:val="20"/>
                <w:szCs w:val="20"/>
                <w:vertAlign w:val="superscript"/>
              </w:rPr>
              <w:t>2</w:t>
            </w:r>
          </w:p>
        </w:tc>
        <w:tc>
          <w:tcPr>
            <w:tcW w:w="576" w:type="pct"/>
            <w:tcBorders>
              <w:top w:val="single" w:sz="4" w:space="0" w:color="auto"/>
              <w:bottom w:val="single" w:sz="4" w:space="0" w:color="auto"/>
            </w:tcBorders>
            <w:vAlign w:val="center"/>
          </w:tcPr>
          <w:p w14:paraId="3FF3D882"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p</w:t>
            </w:r>
          </w:p>
        </w:tc>
      </w:tr>
      <w:tr w:rsidR="005E58FF" w:rsidRPr="00D44004" w14:paraId="7B9D0ABD" w14:textId="77777777" w:rsidTr="005E58FF">
        <w:trPr>
          <w:trHeight w:val="300"/>
          <w:jc w:val="center"/>
        </w:trPr>
        <w:tc>
          <w:tcPr>
            <w:tcW w:w="1091" w:type="pct"/>
            <w:vMerge w:val="restart"/>
            <w:tcBorders>
              <w:top w:val="single" w:sz="4" w:space="0" w:color="auto"/>
            </w:tcBorders>
            <w:vAlign w:val="center"/>
            <w:hideMark/>
          </w:tcPr>
          <w:p w14:paraId="2564AD5A" w14:textId="77777777" w:rsidR="005E58FF" w:rsidRPr="00D44004" w:rsidRDefault="005E58FF" w:rsidP="005E58FF">
            <w:pPr>
              <w:jc w:val="both"/>
              <w:rPr>
                <w:rFonts w:ascii="Arial" w:hAnsi="Arial" w:cs="Arial"/>
                <w:b/>
                <w:bCs/>
                <w:sz w:val="20"/>
                <w:szCs w:val="20"/>
              </w:rPr>
            </w:pPr>
            <w:r w:rsidRPr="00D44004">
              <w:rPr>
                <w:rFonts w:ascii="Arial" w:hAnsi="Arial" w:cs="Arial"/>
                <w:sz w:val="20"/>
                <w:szCs w:val="20"/>
              </w:rPr>
              <w:t>Fatty liver</w:t>
            </w:r>
          </w:p>
          <w:p w14:paraId="225B2340" w14:textId="77777777" w:rsidR="005E58FF" w:rsidRPr="00D44004" w:rsidRDefault="005E58FF" w:rsidP="005E58FF">
            <w:pPr>
              <w:jc w:val="both"/>
              <w:rPr>
                <w:rFonts w:ascii="Arial" w:hAnsi="Arial" w:cs="Arial"/>
                <w:sz w:val="20"/>
                <w:szCs w:val="20"/>
              </w:rPr>
            </w:pPr>
          </w:p>
        </w:tc>
        <w:tc>
          <w:tcPr>
            <w:tcW w:w="1110" w:type="pct"/>
            <w:vMerge w:val="restart"/>
            <w:tcBorders>
              <w:top w:val="single" w:sz="4" w:space="0" w:color="auto"/>
            </w:tcBorders>
            <w:vAlign w:val="center"/>
            <w:hideMark/>
          </w:tcPr>
          <w:p w14:paraId="1D6401A7"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14:paraId="20A02E60" w14:textId="77777777" w:rsidR="005E58FF" w:rsidRPr="00D44004" w:rsidRDefault="005E58FF" w:rsidP="005E58FF">
            <w:pPr>
              <w:jc w:val="both"/>
              <w:rPr>
                <w:rFonts w:ascii="Arial" w:hAnsi="Arial" w:cs="Arial"/>
                <w:sz w:val="20"/>
                <w:szCs w:val="20"/>
              </w:rPr>
            </w:pPr>
          </w:p>
        </w:tc>
        <w:tc>
          <w:tcPr>
            <w:tcW w:w="372" w:type="pct"/>
            <w:tcBorders>
              <w:top w:val="single" w:sz="4" w:space="0" w:color="auto"/>
            </w:tcBorders>
            <w:vAlign w:val="center"/>
            <w:hideMark/>
          </w:tcPr>
          <w:p w14:paraId="3C1FD00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tcBorders>
              <w:top w:val="single" w:sz="4" w:space="0" w:color="auto"/>
            </w:tcBorders>
            <w:noWrap/>
            <w:vAlign w:val="center"/>
          </w:tcPr>
          <w:p w14:paraId="2B7C4408"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610" w:type="pct"/>
            <w:tcBorders>
              <w:top w:val="single" w:sz="4" w:space="0" w:color="auto"/>
            </w:tcBorders>
            <w:noWrap/>
            <w:vAlign w:val="center"/>
          </w:tcPr>
          <w:p w14:paraId="594AB62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7</w:t>
            </w:r>
          </w:p>
        </w:tc>
        <w:tc>
          <w:tcPr>
            <w:tcW w:w="575" w:type="pct"/>
            <w:vMerge w:val="restart"/>
            <w:tcBorders>
              <w:top w:val="single" w:sz="4" w:space="0" w:color="auto"/>
            </w:tcBorders>
            <w:noWrap/>
            <w:vAlign w:val="center"/>
          </w:tcPr>
          <w:p w14:paraId="223BE34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16,53</w:t>
            </w:r>
          </w:p>
        </w:tc>
        <w:tc>
          <w:tcPr>
            <w:tcW w:w="576" w:type="pct"/>
            <w:vMerge w:val="restart"/>
            <w:tcBorders>
              <w:top w:val="single" w:sz="4" w:space="0" w:color="auto"/>
            </w:tcBorders>
            <w:vAlign w:val="center"/>
          </w:tcPr>
          <w:p w14:paraId="6E8B9341" w14:textId="77777777" w:rsidR="005E58FF" w:rsidRPr="00D44004" w:rsidRDefault="005E58FF" w:rsidP="005E58FF">
            <w:pPr>
              <w:jc w:val="center"/>
              <w:rPr>
                <w:rFonts w:ascii="Arial" w:hAnsi="Arial" w:cs="Arial"/>
                <w:b/>
                <w:sz w:val="20"/>
                <w:szCs w:val="20"/>
              </w:rPr>
            </w:pPr>
            <w:r w:rsidRPr="00D44004">
              <w:rPr>
                <w:rFonts w:ascii="Arial" w:hAnsi="Arial" w:cs="Arial"/>
                <w:b/>
                <w:sz w:val="20"/>
                <w:szCs w:val="20"/>
              </w:rPr>
              <w:t>.000</w:t>
            </w:r>
          </w:p>
        </w:tc>
      </w:tr>
      <w:tr w:rsidR="005E58FF" w:rsidRPr="00D44004" w14:paraId="06772F2C" w14:textId="77777777" w:rsidTr="005E58FF">
        <w:trPr>
          <w:trHeight w:val="125"/>
          <w:jc w:val="center"/>
        </w:trPr>
        <w:tc>
          <w:tcPr>
            <w:tcW w:w="1091" w:type="pct"/>
            <w:vMerge/>
            <w:vAlign w:val="center"/>
            <w:hideMark/>
          </w:tcPr>
          <w:p w14:paraId="52B1E4AD" w14:textId="77777777" w:rsidR="005E58FF" w:rsidRPr="00D44004" w:rsidRDefault="005E58FF" w:rsidP="005E58FF">
            <w:pPr>
              <w:jc w:val="both"/>
              <w:rPr>
                <w:rFonts w:ascii="Arial" w:hAnsi="Arial" w:cs="Arial"/>
                <w:sz w:val="20"/>
                <w:szCs w:val="20"/>
              </w:rPr>
            </w:pPr>
          </w:p>
        </w:tc>
        <w:tc>
          <w:tcPr>
            <w:tcW w:w="1110" w:type="pct"/>
            <w:vMerge/>
            <w:vAlign w:val="center"/>
            <w:hideMark/>
          </w:tcPr>
          <w:p w14:paraId="0D9EAFF8" w14:textId="77777777" w:rsidR="005E58FF" w:rsidRPr="00D44004" w:rsidRDefault="005E58FF" w:rsidP="005E58FF">
            <w:pPr>
              <w:jc w:val="both"/>
              <w:rPr>
                <w:rFonts w:ascii="Arial" w:hAnsi="Arial" w:cs="Arial"/>
                <w:sz w:val="20"/>
                <w:szCs w:val="20"/>
              </w:rPr>
            </w:pPr>
          </w:p>
        </w:tc>
        <w:tc>
          <w:tcPr>
            <w:tcW w:w="372" w:type="pct"/>
            <w:vAlign w:val="center"/>
            <w:hideMark/>
          </w:tcPr>
          <w:p w14:paraId="1BD17EE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4EFD6A0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77.4%</w:t>
            </w:r>
          </w:p>
        </w:tc>
        <w:tc>
          <w:tcPr>
            <w:tcW w:w="610" w:type="pct"/>
            <w:noWrap/>
            <w:vAlign w:val="center"/>
          </w:tcPr>
          <w:p w14:paraId="6AD8BA9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22.6%</w:t>
            </w:r>
          </w:p>
        </w:tc>
        <w:tc>
          <w:tcPr>
            <w:tcW w:w="575" w:type="pct"/>
            <w:vMerge/>
            <w:noWrap/>
            <w:vAlign w:val="center"/>
          </w:tcPr>
          <w:p w14:paraId="177C552F" w14:textId="77777777" w:rsidR="005E58FF" w:rsidRPr="00D44004" w:rsidRDefault="005E58FF" w:rsidP="005E58FF">
            <w:pPr>
              <w:jc w:val="center"/>
              <w:rPr>
                <w:rFonts w:ascii="Arial" w:hAnsi="Arial" w:cs="Arial"/>
                <w:sz w:val="20"/>
                <w:szCs w:val="20"/>
              </w:rPr>
            </w:pPr>
          </w:p>
        </w:tc>
        <w:tc>
          <w:tcPr>
            <w:tcW w:w="576" w:type="pct"/>
            <w:vMerge/>
            <w:vAlign w:val="center"/>
          </w:tcPr>
          <w:p w14:paraId="17DCA373" w14:textId="77777777" w:rsidR="005E58FF" w:rsidRPr="00D44004" w:rsidRDefault="005E58FF" w:rsidP="005E58FF">
            <w:pPr>
              <w:jc w:val="center"/>
              <w:rPr>
                <w:rFonts w:ascii="Arial" w:hAnsi="Arial" w:cs="Arial"/>
                <w:b/>
                <w:sz w:val="20"/>
                <w:szCs w:val="20"/>
              </w:rPr>
            </w:pPr>
          </w:p>
        </w:tc>
      </w:tr>
      <w:tr w:rsidR="005E58FF" w:rsidRPr="00D44004" w14:paraId="612DE277" w14:textId="77777777" w:rsidTr="005E58FF">
        <w:trPr>
          <w:trHeight w:val="288"/>
          <w:jc w:val="center"/>
        </w:trPr>
        <w:tc>
          <w:tcPr>
            <w:tcW w:w="1091" w:type="pct"/>
            <w:vMerge/>
            <w:vAlign w:val="center"/>
            <w:hideMark/>
          </w:tcPr>
          <w:p w14:paraId="25596DE6"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72D9CBE5"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14:paraId="28700B00" w14:textId="77777777" w:rsidR="005E58FF" w:rsidRPr="00D44004" w:rsidRDefault="005E58FF" w:rsidP="005E58FF">
            <w:pPr>
              <w:jc w:val="both"/>
              <w:rPr>
                <w:rFonts w:ascii="Arial" w:hAnsi="Arial" w:cs="Arial"/>
                <w:sz w:val="20"/>
                <w:szCs w:val="20"/>
              </w:rPr>
            </w:pPr>
          </w:p>
        </w:tc>
        <w:tc>
          <w:tcPr>
            <w:tcW w:w="372" w:type="pct"/>
            <w:vAlign w:val="center"/>
            <w:hideMark/>
          </w:tcPr>
          <w:p w14:paraId="6D62CDB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027C14E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8</w:t>
            </w:r>
          </w:p>
        </w:tc>
        <w:tc>
          <w:tcPr>
            <w:tcW w:w="610" w:type="pct"/>
            <w:noWrap/>
            <w:vAlign w:val="center"/>
          </w:tcPr>
          <w:p w14:paraId="6D3B510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23</w:t>
            </w:r>
          </w:p>
        </w:tc>
        <w:tc>
          <w:tcPr>
            <w:tcW w:w="575" w:type="pct"/>
            <w:vMerge/>
            <w:noWrap/>
            <w:vAlign w:val="center"/>
          </w:tcPr>
          <w:p w14:paraId="179FD189" w14:textId="77777777" w:rsidR="005E58FF" w:rsidRPr="00D44004" w:rsidRDefault="005E58FF" w:rsidP="005E58FF">
            <w:pPr>
              <w:jc w:val="center"/>
              <w:rPr>
                <w:rFonts w:ascii="Arial" w:hAnsi="Arial" w:cs="Arial"/>
                <w:sz w:val="20"/>
                <w:szCs w:val="20"/>
              </w:rPr>
            </w:pPr>
          </w:p>
        </w:tc>
        <w:tc>
          <w:tcPr>
            <w:tcW w:w="576" w:type="pct"/>
            <w:vMerge/>
            <w:vAlign w:val="center"/>
          </w:tcPr>
          <w:p w14:paraId="69363F79" w14:textId="77777777" w:rsidR="005E58FF" w:rsidRPr="00D44004" w:rsidRDefault="005E58FF" w:rsidP="005E58FF">
            <w:pPr>
              <w:jc w:val="center"/>
              <w:rPr>
                <w:rFonts w:ascii="Arial" w:hAnsi="Arial" w:cs="Arial"/>
                <w:b/>
                <w:sz w:val="20"/>
                <w:szCs w:val="20"/>
              </w:rPr>
            </w:pPr>
          </w:p>
        </w:tc>
      </w:tr>
      <w:tr w:rsidR="005E58FF" w:rsidRPr="00D44004" w14:paraId="1293FED1" w14:textId="77777777" w:rsidTr="005E58FF">
        <w:trPr>
          <w:trHeight w:val="68"/>
          <w:jc w:val="center"/>
        </w:trPr>
        <w:tc>
          <w:tcPr>
            <w:tcW w:w="1091" w:type="pct"/>
            <w:vMerge/>
            <w:vAlign w:val="center"/>
            <w:hideMark/>
          </w:tcPr>
          <w:p w14:paraId="3855E372" w14:textId="77777777" w:rsidR="005E58FF" w:rsidRPr="00D44004" w:rsidRDefault="005E58FF" w:rsidP="005E58FF">
            <w:pPr>
              <w:jc w:val="both"/>
              <w:rPr>
                <w:rFonts w:ascii="Arial" w:hAnsi="Arial" w:cs="Arial"/>
                <w:sz w:val="20"/>
                <w:szCs w:val="20"/>
              </w:rPr>
            </w:pPr>
          </w:p>
        </w:tc>
        <w:tc>
          <w:tcPr>
            <w:tcW w:w="1110" w:type="pct"/>
            <w:vMerge/>
            <w:vAlign w:val="center"/>
            <w:hideMark/>
          </w:tcPr>
          <w:p w14:paraId="52035BB0" w14:textId="77777777" w:rsidR="005E58FF" w:rsidRPr="00D44004" w:rsidRDefault="005E58FF" w:rsidP="005E58FF">
            <w:pPr>
              <w:jc w:val="both"/>
              <w:rPr>
                <w:rFonts w:ascii="Arial" w:hAnsi="Arial" w:cs="Arial"/>
                <w:sz w:val="20"/>
                <w:szCs w:val="20"/>
              </w:rPr>
            </w:pPr>
          </w:p>
        </w:tc>
        <w:tc>
          <w:tcPr>
            <w:tcW w:w="372" w:type="pct"/>
            <w:vAlign w:val="center"/>
            <w:hideMark/>
          </w:tcPr>
          <w:p w14:paraId="65E14F8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0FB48054"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25.8%</w:t>
            </w:r>
          </w:p>
        </w:tc>
        <w:tc>
          <w:tcPr>
            <w:tcW w:w="610" w:type="pct"/>
            <w:noWrap/>
            <w:vAlign w:val="center"/>
          </w:tcPr>
          <w:p w14:paraId="1AABD648"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74.2%</w:t>
            </w:r>
          </w:p>
        </w:tc>
        <w:tc>
          <w:tcPr>
            <w:tcW w:w="575" w:type="pct"/>
            <w:vMerge/>
            <w:noWrap/>
            <w:vAlign w:val="center"/>
          </w:tcPr>
          <w:p w14:paraId="4D4851BC" w14:textId="77777777" w:rsidR="005E58FF" w:rsidRPr="00D44004" w:rsidRDefault="005E58FF" w:rsidP="005E58FF">
            <w:pPr>
              <w:jc w:val="center"/>
              <w:rPr>
                <w:rFonts w:ascii="Arial" w:hAnsi="Arial" w:cs="Arial"/>
                <w:sz w:val="20"/>
                <w:szCs w:val="20"/>
              </w:rPr>
            </w:pPr>
          </w:p>
        </w:tc>
        <w:tc>
          <w:tcPr>
            <w:tcW w:w="576" w:type="pct"/>
            <w:vMerge/>
            <w:vAlign w:val="center"/>
          </w:tcPr>
          <w:p w14:paraId="6A74815F" w14:textId="77777777" w:rsidR="005E58FF" w:rsidRPr="00D44004" w:rsidRDefault="005E58FF" w:rsidP="005E58FF">
            <w:pPr>
              <w:jc w:val="center"/>
              <w:rPr>
                <w:rFonts w:ascii="Arial" w:hAnsi="Arial" w:cs="Arial"/>
                <w:b/>
                <w:sz w:val="20"/>
                <w:szCs w:val="20"/>
              </w:rPr>
            </w:pPr>
          </w:p>
        </w:tc>
      </w:tr>
      <w:tr w:rsidR="005E58FF" w:rsidRPr="00D44004" w14:paraId="2C70BAB2" w14:textId="77777777" w:rsidTr="005E58FF">
        <w:trPr>
          <w:trHeight w:val="300"/>
          <w:jc w:val="center"/>
        </w:trPr>
        <w:tc>
          <w:tcPr>
            <w:tcW w:w="1091" w:type="pct"/>
            <w:vMerge w:val="restart"/>
            <w:vAlign w:val="center"/>
          </w:tcPr>
          <w:p w14:paraId="52A36194" w14:textId="77777777" w:rsidR="005E58FF" w:rsidRPr="00D44004" w:rsidRDefault="005E58FF" w:rsidP="005E58FF">
            <w:pPr>
              <w:jc w:val="both"/>
              <w:rPr>
                <w:rFonts w:ascii="Arial" w:hAnsi="Arial" w:cs="Arial"/>
                <w:b/>
                <w:bCs/>
                <w:sz w:val="20"/>
                <w:szCs w:val="20"/>
              </w:rPr>
            </w:pPr>
            <w:r w:rsidRPr="00D44004">
              <w:rPr>
                <w:rFonts w:ascii="Arial" w:hAnsi="Arial" w:cs="Arial"/>
                <w:sz w:val="20"/>
                <w:szCs w:val="20"/>
              </w:rPr>
              <w:lastRenderedPageBreak/>
              <w:t>Transaminases</w:t>
            </w:r>
          </w:p>
          <w:p w14:paraId="60E359CF"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0CF93B62"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14:paraId="5067E8A1" w14:textId="77777777" w:rsidR="005E58FF" w:rsidRPr="00D44004" w:rsidRDefault="005E58FF" w:rsidP="005E58FF">
            <w:pPr>
              <w:jc w:val="both"/>
              <w:rPr>
                <w:rFonts w:ascii="Arial" w:hAnsi="Arial" w:cs="Arial"/>
                <w:sz w:val="20"/>
                <w:szCs w:val="20"/>
              </w:rPr>
            </w:pPr>
          </w:p>
        </w:tc>
        <w:tc>
          <w:tcPr>
            <w:tcW w:w="372" w:type="pct"/>
            <w:vAlign w:val="center"/>
            <w:hideMark/>
          </w:tcPr>
          <w:p w14:paraId="3D54540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6727C3AA"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18</w:t>
            </w:r>
          </w:p>
        </w:tc>
        <w:tc>
          <w:tcPr>
            <w:tcW w:w="610" w:type="pct"/>
            <w:noWrap/>
            <w:vAlign w:val="center"/>
          </w:tcPr>
          <w:p w14:paraId="7B8A430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13</w:t>
            </w:r>
          </w:p>
        </w:tc>
        <w:tc>
          <w:tcPr>
            <w:tcW w:w="575" w:type="pct"/>
            <w:vMerge w:val="restart"/>
            <w:noWrap/>
            <w:vAlign w:val="center"/>
          </w:tcPr>
          <w:p w14:paraId="023A171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16,20</w:t>
            </w:r>
          </w:p>
        </w:tc>
        <w:tc>
          <w:tcPr>
            <w:tcW w:w="576" w:type="pct"/>
            <w:vMerge w:val="restart"/>
            <w:vAlign w:val="center"/>
          </w:tcPr>
          <w:p w14:paraId="0994CC5D" w14:textId="77777777" w:rsidR="005E58FF" w:rsidRPr="00D44004" w:rsidRDefault="005E58FF" w:rsidP="005E58FF">
            <w:pPr>
              <w:jc w:val="center"/>
              <w:rPr>
                <w:rFonts w:ascii="Arial" w:hAnsi="Arial" w:cs="Arial"/>
                <w:b/>
                <w:sz w:val="20"/>
                <w:szCs w:val="20"/>
              </w:rPr>
            </w:pPr>
            <w:r w:rsidRPr="00D44004">
              <w:rPr>
                <w:rFonts w:ascii="Arial" w:hAnsi="Arial" w:cs="Arial"/>
                <w:b/>
                <w:sz w:val="20"/>
                <w:szCs w:val="20"/>
              </w:rPr>
              <w:t>.000</w:t>
            </w:r>
          </w:p>
        </w:tc>
      </w:tr>
      <w:tr w:rsidR="005E58FF" w:rsidRPr="00D44004" w14:paraId="4D7BF725" w14:textId="77777777" w:rsidTr="005E58FF">
        <w:trPr>
          <w:trHeight w:val="38"/>
          <w:jc w:val="center"/>
        </w:trPr>
        <w:tc>
          <w:tcPr>
            <w:tcW w:w="1091" w:type="pct"/>
            <w:vMerge/>
            <w:vAlign w:val="center"/>
          </w:tcPr>
          <w:p w14:paraId="7BB6FDE4" w14:textId="77777777" w:rsidR="005E58FF" w:rsidRPr="00D44004" w:rsidRDefault="005E58FF" w:rsidP="005E58FF">
            <w:pPr>
              <w:jc w:val="both"/>
              <w:rPr>
                <w:rFonts w:ascii="Arial" w:hAnsi="Arial" w:cs="Arial"/>
                <w:sz w:val="20"/>
                <w:szCs w:val="20"/>
              </w:rPr>
            </w:pPr>
          </w:p>
        </w:tc>
        <w:tc>
          <w:tcPr>
            <w:tcW w:w="1110" w:type="pct"/>
            <w:vMerge/>
            <w:vAlign w:val="center"/>
            <w:hideMark/>
          </w:tcPr>
          <w:p w14:paraId="36371079" w14:textId="77777777" w:rsidR="005E58FF" w:rsidRPr="00D44004" w:rsidRDefault="005E58FF" w:rsidP="005E58FF">
            <w:pPr>
              <w:jc w:val="both"/>
              <w:rPr>
                <w:rFonts w:ascii="Arial" w:hAnsi="Arial" w:cs="Arial"/>
                <w:sz w:val="20"/>
                <w:szCs w:val="20"/>
              </w:rPr>
            </w:pPr>
          </w:p>
        </w:tc>
        <w:tc>
          <w:tcPr>
            <w:tcW w:w="372" w:type="pct"/>
            <w:vAlign w:val="center"/>
            <w:hideMark/>
          </w:tcPr>
          <w:p w14:paraId="797FBEC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34C5F94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58.1%</w:t>
            </w:r>
          </w:p>
        </w:tc>
        <w:tc>
          <w:tcPr>
            <w:tcW w:w="610" w:type="pct"/>
            <w:noWrap/>
            <w:vAlign w:val="center"/>
          </w:tcPr>
          <w:p w14:paraId="29F9331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41.9%</w:t>
            </w:r>
          </w:p>
        </w:tc>
        <w:tc>
          <w:tcPr>
            <w:tcW w:w="575" w:type="pct"/>
            <w:vMerge/>
            <w:noWrap/>
            <w:vAlign w:val="center"/>
          </w:tcPr>
          <w:p w14:paraId="5829134D" w14:textId="77777777" w:rsidR="005E58FF" w:rsidRPr="00D44004" w:rsidRDefault="005E58FF" w:rsidP="005E58FF">
            <w:pPr>
              <w:jc w:val="center"/>
              <w:rPr>
                <w:rFonts w:ascii="Arial" w:hAnsi="Arial" w:cs="Arial"/>
                <w:sz w:val="20"/>
                <w:szCs w:val="20"/>
              </w:rPr>
            </w:pPr>
          </w:p>
        </w:tc>
        <w:tc>
          <w:tcPr>
            <w:tcW w:w="576" w:type="pct"/>
            <w:vMerge/>
            <w:vAlign w:val="center"/>
          </w:tcPr>
          <w:p w14:paraId="3AD6620A" w14:textId="77777777" w:rsidR="005E58FF" w:rsidRPr="00D44004" w:rsidRDefault="005E58FF" w:rsidP="005E58FF">
            <w:pPr>
              <w:jc w:val="center"/>
              <w:rPr>
                <w:rFonts w:ascii="Arial" w:hAnsi="Arial" w:cs="Arial"/>
                <w:b/>
                <w:sz w:val="20"/>
                <w:szCs w:val="20"/>
              </w:rPr>
            </w:pPr>
          </w:p>
        </w:tc>
      </w:tr>
      <w:tr w:rsidR="005E58FF" w:rsidRPr="00D44004" w14:paraId="7B3C11FF" w14:textId="77777777" w:rsidTr="005E58FF">
        <w:trPr>
          <w:trHeight w:val="288"/>
          <w:jc w:val="center"/>
        </w:trPr>
        <w:tc>
          <w:tcPr>
            <w:tcW w:w="1091" w:type="pct"/>
            <w:vMerge/>
            <w:vAlign w:val="center"/>
          </w:tcPr>
          <w:p w14:paraId="27C5144B"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4EA85085"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14:paraId="2A25DEE7" w14:textId="77777777" w:rsidR="005E58FF" w:rsidRPr="00D44004" w:rsidRDefault="005E58FF" w:rsidP="005E58FF">
            <w:pPr>
              <w:jc w:val="both"/>
              <w:rPr>
                <w:rFonts w:ascii="Arial" w:hAnsi="Arial" w:cs="Arial"/>
                <w:sz w:val="20"/>
                <w:szCs w:val="20"/>
              </w:rPr>
            </w:pPr>
          </w:p>
        </w:tc>
        <w:tc>
          <w:tcPr>
            <w:tcW w:w="372" w:type="pct"/>
            <w:vAlign w:val="center"/>
            <w:hideMark/>
          </w:tcPr>
          <w:p w14:paraId="09E4FC9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30BA067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3</w:t>
            </w:r>
          </w:p>
        </w:tc>
        <w:tc>
          <w:tcPr>
            <w:tcW w:w="610" w:type="pct"/>
            <w:noWrap/>
            <w:vAlign w:val="center"/>
          </w:tcPr>
          <w:p w14:paraId="6B95E6A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28</w:t>
            </w:r>
          </w:p>
        </w:tc>
        <w:tc>
          <w:tcPr>
            <w:tcW w:w="575" w:type="pct"/>
            <w:vMerge/>
            <w:noWrap/>
            <w:vAlign w:val="center"/>
          </w:tcPr>
          <w:p w14:paraId="70BD9690" w14:textId="77777777" w:rsidR="005E58FF" w:rsidRPr="00D44004" w:rsidRDefault="005E58FF" w:rsidP="005E58FF">
            <w:pPr>
              <w:jc w:val="center"/>
              <w:rPr>
                <w:rFonts w:ascii="Arial" w:hAnsi="Arial" w:cs="Arial"/>
                <w:sz w:val="20"/>
                <w:szCs w:val="20"/>
              </w:rPr>
            </w:pPr>
          </w:p>
        </w:tc>
        <w:tc>
          <w:tcPr>
            <w:tcW w:w="576" w:type="pct"/>
            <w:vMerge/>
            <w:vAlign w:val="center"/>
          </w:tcPr>
          <w:p w14:paraId="3445F7B1" w14:textId="77777777" w:rsidR="005E58FF" w:rsidRPr="00D44004" w:rsidRDefault="005E58FF" w:rsidP="005E58FF">
            <w:pPr>
              <w:jc w:val="center"/>
              <w:rPr>
                <w:rFonts w:ascii="Arial" w:hAnsi="Arial" w:cs="Arial"/>
                <w:b/>
                <w:sz w:val="20"/>
                <w:szCs w:val="20"/>
              </w:rPr>
            </w:pPr>
          </w:p>
        </w:tc>
      </w:tr>
      <w:tr w:rsidR="005E58FF" w:rsidRPr="00D44004" w14:paraId="54FCB2BB" w14:textId="77777777" w:rsidTr="005E58FF">
        <w:trPr>
          <w:trHeight w:val="38"/>
          <w:jc w:val="center"/>
        </w:trPr>
        <w:tc>
          <w:tcPr>
            <w:tcW w:w="1091" w:type="pct"/>
            <w:vMerge/>
            <w:vAlign w:val="center"/>
          </w:tcPr>
          <w:p w14:paraId="4A8B5587" w14:textId="77777777" w:rsidR="005E58FF" w:rsidRPr="00D44004" w:rsidRDefault="005E58FF" w:rsidP="005E58FF">
            <w:pPr>
              <w:jc w:val="both"/>
              <w:rPr>
                <w:rFonts w:ascii="Arial" w:hAnsi="Arial" w:cs="Arial"/>
                <w:sz w:val="20"/>
                <w:szCs w:val="20"/>
              </w:rPr>
            </w:pPr>
          </w:p>
        </w:tc>
        <w:tc>
          <w:tcPr>
            <w:tcW w:w="1110" w:type="pct"/>
            <w:vMerge/>
            <w:vAlign w:val="center"/>
            <w:hideMark/>
          </w:tcPr>
          <w:p w14:paraId="5E5CF97A" w14:textId="77777777" w:rsidR="005E58FF" w:rsidRPr="00D44004" w:rsidRDefault="005E58FF" w:rsidP="005E58FF">
            <w:pPr>
              <w:jc w:val="both"/>
              <w:rPr>
                <w:rFonts w:ascii="Arial" w:hAnsi="Arial" w:cs="Arial"/>
                <w:sz w:val="20"/>
                <w:szCs w:val="20"/>
              </w:rPr>
            </w:pPr>
          </w:p>
        </w:tc>
        <w:tc>
          <w:tcPr>
            <w:tcW w:w="372" w:type="pct"/>
            <w:vAlign w:val="center"/>
            <w:hideMark/>
          </w:tcPr>
          <w:p w14:paraId="2FDBAA9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192B501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9.7%</w:t>
            </w:r>
          </w:p>
        </w:tc>
        <w:tc>
          <w:tcPr>
            <w:tcW w:w="610" w:type="pct"/>
            <w:noWrap/>
            <w:vAlign w:val="center"/>
          </w:tcPr>
          <w:p w14:paraId="2DABA2C0"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90.3%</w:t>
            </w:r>
          </w:p>
        </w:tc>
        <w:tc>
          <w:tcPr>
            <w:tcW w:w="575" w:type="pct"/>
            <w:vMerge/>
            <w:noWrap/>
            <w:vAlign w:val="center"/>
          </w:tcPr>
          <w:p w14:paraId="2C8F5BEB" w14:textId="77777777" w:rsidR="005E58FF" w:rsidRPr="00D44004" w:rsidRDefault="005E58FF" w:rsidP="005E58FF">
            <w:pPr>
              <w:jc w:val="center"/>
              <w:rPr>
                <w:rFonts w:ascii="Arial" w:hAnsi="Arial" w:cs="Arial"/>
                <w:sz w:val="20"/>
                <w:szCs w:val="20"/>
              </w:rPr>
            </w:pPr>
          </w:p>
        </w:tc>
        <w:tc>
          <w:tcPr>
            <w:tcW w:w="576" w:type="pct"/>
            <w:vMerge/>
            <w:vAlign w:val="center"/>
          </w:tcPr>
          <w:p w14:paraId="12C61ABE" w14:textId="77777777" w:rsidR="005E58FF" w:rsidRPr="00D44004" w:rsidRDefault="005E58FF" w:rsidP="005E58FF">
            <w:pPr>
              <w:jc w:val="center"/>
              <w:rPr>
                <w:rFonts w:ascii="Arial" w:hAnsi="Arial" w:cs="Arial"/>
                <w:b/>
                <w:sz w:val="20"/>
                <w:szCs w:val="20"/>
              </w:rPr>
            </w:pPr>
          </w:p>
        </w:tc>
      </w:tr>
      <w:tr w:rsidR="005E58FF" w:rsidRPr="00D44004" w14:paraId="52B7DFBB" w14:textId="77777777" w:rsidTr="005E58FF">
        <w:trPr>
          <w:trHeight w:val="300"/>
          <w:jc w:val="center"/>
        </w:trPr>
        <w:tc>
          <w:tcPr>
            <w:tcW w:w="1091" w:type="pct"/>
            <w:vMerge w:val="restart"/>
            <w:vAlign w:val="center"/>
          </w:tcPr>
          <w:p w14:paraId="7D618340" w14:textId="77777777" w:rsidR="005E58FF" w:rsidRPr="00D44004" w:rsidRDefault="005E58FF" w:rsidP="005E58FF">
            <w:pPr>
              <w:jc w:val="both"/>
              <w:rPr>
                <w:rFonts w:ascii="Arial" w:hAnsi="Arial" w:cs="Arial"/>
                <w:b/>
                <w:bCs/>
                <w:sz w:val="20"/>
                <w:szCs w:val="20"/>
              </w:rPr>
            </w:pPr>
            <w:r w:rsidRPr="00D44004">
              <w:rPr>
                <w:rFonts w:ascii="Arial" w:hAnsi="Arial" w:cs="Arial"/>
                <w:sz w:val="20"/>
                <w:szCs w:val="20"/>
              </w:rPr>
              <w:t>Bilirubin</w:t>
            </w:r>
          </w:p>
          <w:p w14:paraId="20F52DDB"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78ECEAEB"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14:paraId="33FD3AB3" w14:textId="77777777" w:rsidR="005E58FF" w:rsidRPr="00D44004" w:rsidRDefault="005E58FF" w:rsidP="005E58FF">
            <w:pPr>
              <w:jc w:val="both"/>
              <w:rPr>
                <w:rFonts w:ascii="Arial" w:hAnsi="Arial" w:cs="Arial"/>
                <w:sz w:val="20"/>
                <w:szCs w:val="20"/>
              </w:rPr>
            </w:pPr>
          </w:p>
        </w:tc>
        <w:tc>
          <w:tcPr>
            <w:tcW w:w="372" w:type="pct"/>
            <w:vAlign w:val="center"/>
            <w:hideMark/>
          </w:tcPr>
          <w:p w14:paraId="14C1AC4A"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64FB3C64"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17</w:t>
            </w:r>
          </w:p>
        </w:tc>
        <w:tc>
          <w:tcPr>
            <w:tcW w:w="610" w:type="pct"/>
            <w:noWrap/>
            <w:vAlign w:val="center"/>
          </w:tcPr>
          <w:p w14:paraId="1548BA4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14</w:t>
            </w:r>
          </w:p>
        </w:tc>
        <w:tc>
          <w:tcPr>
            <w:tcW w:w="575" w:type="pct"/>
            <w:vMerge w:val="restart"/>
            <w:noWrap/>
            <w:vAlign w:val="center"/>
          </w:tcPr>
          <w:p w14:paraId="221FB3A7"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5,42</w:t>
            </w:r>
          </w:p>
        </w:tc>
        <w:tc>
          <w:tcPr>
            <w:tcW w:w="576" w:type="pct"/>
            <w:vMerge w:val="restart"/>
            <w:vAlign w:val="center"/>
          </w:tcPr>
          <w:p w14:paraId="353BD06E" w14:textId="77777777" w:rsidR="005E58FF" w:rsidRPr="00D44004" w:rsidRDefault="005E58FF" w:rsidP="005E58FF">
            <w:pPr>
              <w:jc w:val="center"/>
              <w:rPr>
                <w:rFonts w:ascii="Arial" w:hAnsi="Arial" w:cs="Arial"/>
                <w:b/>
                <w:sz w:val="20"/>
                <w:szCs w:val="20"/>
              </w:rPr>
            </w:pPr>
            <w:r w:rsidRPr="00D44004">
              <w:rPr>
                <w:rFonts w:ascii="Arial" w:hAnsi="Arial" w:cs="Arial"/>
                <w:b/>
                <w:sz w:val="20"/>
                <w:szCs w:val="20"/>
              </w:rPr>
              <w:t>.020</w:t>
            </w:r>
          </w:p>
        </w:tc>
      </w:tr>
      <w:tr w:rsidR="005E58FF" w:rsidRPr="00D44004" w14:paraId="1F778CCE" w14:textId="77777777" w:rsidTr="005E58FF">
        <w:trPr>
          <w:trHeight w:val="38"/>
          <w:jc w:val="center"/>
        </w:trPr>
        <w:tc>
          <w:tcPr>
            <w:tcW w:w="1091" w:type="pct"/>
            <w:vMerge/>
            <w:vAlign w:val="center"/>
          </w:tcPr>
          <w:p w14:paraId="730EE59E" w14:textId="77777777" w:rsidR="005E58FF" w:rsidRPr="00D44004" w:rsidRDefault="005E58FF" w:rsidP="005E58FF">
            <w:pPr>
              <w:jc w:val="both"/>
              <w:rPr>
                <w:rFonts w:ascii="Arial" w:hAnsi="Arial" w:cs="Arial"/>
                <w:sz w:val="20"/>
                <w:szCs w:val="20"/>
              </w:rPr>
            </w:pPr>
          </w:p>
        </w:tc>
        <w:tc>
          <w:tcPr>
            <w:tcW w:w="1110" w:type="pct"/>
            <w:vMerge/>
            <w:vAlign w:val="center"/>
            <w:hideMark/>
          </w:tcPr>
          <w:p w14:paraId="1D8BD2B1" w14:textId="77777777" w:rsidR="005E58FF" w:rsidRPr="00D44004" w:rsidRDefault="005E58FF" w:rsidP="005E58FF">
            <w:pPr>
              <w:jc w:val="both"/>
              <w:rPr>
                <w:rFonts w:ascii="Arial" w:hAnsi="Arial" w:cs="Arial"/>
                <w:sz w:val="20"/>
                <w:szCs w:val="20"/>
              </w:rPr>
            </w:pPr>
          </w:p>
        </w:tc>
        <w:tc>
          <w:tcPr>
            <w:tcW w:w="372" w:type="pct"/>
            <w:vAlign w:val="center"/>
            <w:hideMark/>
          </w:tcPr>
          <w:p w14:paraId="181E802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6528412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54.8%</w:t>
            </w:r>
          </w:p>
        </w:tc>
        <w:tc>
          <w:tcPr>
            <w:tcW w:w="610" w:type="pct"/>
            <w:noWrap/>
            <w:vAlign w:val="center"/>
          </w:tcPr>
          <w:p w14:paraId="5459145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45.2%</w:t>
            </w:r>
          </w:p>
        </w:tc>
        <w:tc>
          <w:tcPr>
            <w:tcW w:w="575" w:type="pct"/>
            <w:vMerge/>
            <w:noWrap/>
            <w:vAlign w:val="center"/>
          </w:tcPr>
          <w:p w14:paraId="786F3CC0" w14:textId="77777777" w:rsidR="005E58FF" w:rsidRPr="00D44004" w:rsidRDefault="005E58FF" w:rsidP="005E58FF">
            <w:pPr>
              <w:jc w:val="center"/>
              <w:rPr>
                <w:rFonts w:ascii="Arial" w:hAnsi="Arial" w:cs="Arial"/>
                <w:sz w:val="20"/>
                <w:szCs w:val="20"/>
              </w:rPr>
            </w:pPr>
          </w:p>
        </w:tc>
        <w:tc>
          <w:tcPr>
            <w:tcW w:w="576" w:type="pct"/>
            <w:vMerge/>
            <w:vAlign w:val="center"/>
          </w:tcPr>
          <w:p w14:paraId="5E7A9373" w14:textId="77777777" w:rsidR="005E58FF" w:rsidRPr="00D44004" w:rsidRDefault="005E58FF" w:rsidP="005E58FF">
            <w:pPr>
              <w:jc w:val="center"/>
              <w:rPr>
                <w:rFonts w:ascii="Arial" w:hAnsi="Arial" w:cs="Arial"/>
                <w:b/>
                <w:sz w:val="20"/>
                <w:szCs w:val="20"/>
              </w:rPr>
            </w:pPr>
          </w:p>
        </w:tc>
      </w:tr>
      <w:tr w:rsidR="005E58FF" w:rsidRPr="00D44004" w14:paraId="3E328483" w14:textId="77777777" w:rsidTr="005E58FF">
        <w:trPr>
          <w:trHeight w:val="288"/>
          <w:jc w:val="center"/>
        </w:trPr>
        <w:tc>
          <w:tcPr>
            <w:tcW w:w="1091" w:type="pct"/>
            <w:vMerge/>
            <w:vAlign w:val="center"/>
          </w:tcPr>
          <w:p w14:paraId="48616F23"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5CF1634F"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14:paraId="337BC67C" w14:textId="77777777" w:rsidR="005E58FF" w:rsidRPr="00D44004" w:rsidRDefault="005E58FF" w:rsidP="005E58FF">
            <w:pPr>
              <w:jc w:val="both"/>
              <w:rPr>
                <w:rFonts w:ascii="Arial" w:hAnsi="Arial" w:cs="Arial"/>
                <w:sz w:val="20"/>
                <w:szCs w:val="20"/>
              </w:rPr>
            </w:pPr>
          </w:p>
        </w:tc>
        <w:tc>
          <w:tcPr>
            <w:tcW w:w="372" w:type="pct"/>
            <w:vAlign w:val="center"/>
            <w:hideMark/>
          </w:tcPr>
          <w:p w14:paraId="2E7A556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262ACF1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8</w:t>
            </w:r>
          </w:p>
        </w:tc>
        <w:tc>
          <w:tcPr>
            <w:tcW w:w="610" w:type="pct"/>
            <w:noWrap/>
            <w:vAlign w:val="center"/>
          </w:tcPr>
          <w:p w14:paraId="5356B50A"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23</w:t>
            </w:r>
          </w:p>
        </w:tc>
        <w:tc>
          <w:tcPr>
            <w:tcW w:w="575" w:type="pct"/>
            <w:vMerge/>
            <w:noWrap/>
            <w:vAlign w:val="center"/>
          </w:tcPr>
          <w:p w14:paraId="406C0FC2" w14:textId="77777777" w:rsidR="005E58FF" w:rsidRPr="00D44004" w:rsidRDefault="005E58FF" w:rsidP="005E58FF">
            <w:pPr>
              <w:jc w:val="center"/>
              <w:rPr>
                <w:rFonts w:ascii="Arial" w:hAnsi="Arial" w:cs="Arial"/>
                <w:sz w:val="20"/>
                <w:szCs w:val="20"/>
              </w:rPr>
            </w:pPr>
          </w:p>
        </w:tc>
        <w:tc>
          <w:tcPr>
            <w:tcW w:w="576" w:type="pct"/>
            <w:vMerge/>
            <w:vAlign w:val="center"/>
          </w:tcPr>
          <w:p w14:paraId="0CA55820" w14:textId="77777777" w:rsidR="005E58FF" w:rsidRPr="00D44004" w:rsidRDefault="005E58FF" w:rsidP="005E58FF">
            <w:pPr>
              <w:jc w:val="center"/>
              <w:rPr>
                <w:rFonts w:ascii="Arial" w:hAnsi="Arial" w:cs="Arial"/>
                <w:b/>
                <w:sz w:val="20"/>
                <w:szCs w:val="20"/>
              </w:rPr>
            </w:pPr>
          </w:p>
        </w:tc>
      </w:tr>
      <w:tr w:rsidR="005E58FF" w:rsidRPr="00D44004" w14:paraId="37444997" w14:textId="77777777" w:rsidTr="005E58FF">
        <w:trPr>
          <w:trHeight w:val="38"/>
          <w:jc w:val="center"/>
        </w:trPr>
        <w:tc>
          <w:tcPr>
            <w:tcW w:w="1091" w:type="pct"/>
            <w:vMerge/>
            <w:vAlign w:val="center"/>
          </w:tcPr>
          <w:p w14:paraId="33127AF8" w14:textId="77777777" w:rsidR="005E58FF" w:rsidRPr="00D44004" w:rsidRDefault="005E58FF" w:rsidP="005E58FF">
            <w:pPr>
              <w:jc w:val="both"/>
              <w:rPr>
                <w:rFonts w:ascii="Arial" w:hAnsi="Arial" w:cs="Arial"/>
                <w:sz w:val="20"/>
                <w:szCs w:val="20"/>
              </w:rPr>
            </w:pPr>
          </w:p>
        </w:tc>
        <w:tc>
          <w:tcPr>
            <w:tcW w:w="1110" w:type="pct"/>
            <w:vMerge/>
            <w:vAlign w:val="center"/>
            <w:hideMark/>
          </w:tcPr>
          <w:p w14:paraId="67044CB7" w14:textId="77777777" w:rsidR="005E58FF" w:rsidRPr="00D44004" w:rsidRDefault="005E58FF" w:rsidP="005E58FF">
            <w:pPr>
              <w:jc w:val="both"/>
              <w:rPr>
                <w:rFonts w:ascii="Arial" w:hAnsi="Arial" w:cs="Arial"/>
                <w:sz w:val="20"/>
                <w:szCs w:val="20"/>
              </w:rPr>
            </w:pPr>
          </w:p>
        </w:tc>
        <w:tc>
          <w:tcPr>
            <w:tcW w:w="372" w:type="pct"/>
            <w:vAlign w:val="center"/>
            <w:hideMark/>
          </w:tcPr>
          <w:p w14:paraId="2AFFF368"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382997FA"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25.8%</w:t>
            </w:r>
          </w:p>
        </w:tc>
        <w:tc>
          <w:tcPr>
            <w:tcW w:w="610" w:type="pct"/>
            <w:noWrap/>
            <w:vAlign w:val="center"/>
          </w:tcPr>
          <w:p w14:paraId="2EB81854"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74.2%</w:t>
            </w:r>
          </w:p>
        </w:tc>
        <w:tc>
          <w:tcPr>
            <w:tcW w:w="575" w:type="pct"/>
            <w:vMerge/>
            <w:noWrap/>
            <w:vAlign w:val="center"/>
          </w:tcPr>
          <w:p w14:paraId="678A256E" w14:textId="77777777" w:rsidR="005E58FF" w:rsidRPr="00D44004" w:rsidRDefault="005E58FF" w:rsidP="005E58FF">
            <w:pPr>
              <w:jc w:val="center"/>
              <w:rPr>
                <w:rFonts w:ascii="Arial" w:hAnsi="Arial" w:cs="Arial"/>
                <w:sz w:val="20"/>
                <w:szCs w:val="20"/>
              </w:rPr>
            </w:pPr>
          </w:p>
        </w:tc>
        <w:tc>
          <w:tcPr>
            <w:tcW w:w="576" w:type="pct"/>
            <w:vMerge/>
            <w:vAlign w:val="center"/>
          </w:tcPr>
          <w:p w14:paraId="39CAE1C6" w14:textId="77777777" w:rsidR="005E58FF" w:rsidRPr="00D44004" w:rsidRDefault="005E58FF" w:rsidP="005E58FF">
            <w:pPr>
              <w:jc w:val="center"/>
              <w:rPr>
                <w:rFonts w:ascii="Arial" w:hAnsi="Arial" w:cs="Arial"/>
                <w:b/>
                <w:sz w:val="20"/>
                <w:szCs w:val="20"/>
              </w:rPr>
            </w:pPr>
          </w:p>
        </w:tc>
      </w:tr>
      <w:tr w:rsidR="005E58FF" w:rsidRPr="00D44004" w14:paraId="3551105A" w14:textId="77777777" w:rsidTr="005E58FF">
        <w:trPr>
          <w:trHeight w:val="300"/>
          <w:jc w:val="center"/>
        </w:trPr>
        <w:tc>
          <w:tcPr>
            <w:tcW w:w="1091" w:type="pct"/>
            <w:vMerge w:val="restart"/>
            <w:vAlign w:val="center"/>
          </w:tcPr>
          <w:p w14:paraId="51C7E578" w14:textId="77777777" w:rsidR="005E58FF" w:rsidRPr="00D44004" w:rsidRDefault="005E58FF" w:rsidP="005E58FF">
            <w:pPr>
              <w:jc w:val="both"/>
              <w:rPr>
                <w:rFonts w:ascii="Arial" w:hAnsi="Arial" w:cs="Arial"/>
                <w:b/>
                <w:bCs/>
                <w:sz w:val="20"/>
                <w:szCs w:val="20"/>
              </w:rPr>
            </w:pPr>
            <w:proofErr w:type="spellStart"/>
            <w:r w:rsidRPr="00D44004">
              <w:rPr>
                <w:rFonts w:ascii="Arial" w:hAnsi="Arial" w:cs="Arial"/>
                <w:sz w:val="20"/>
                <w:szCs w:val="20"/>
              </w:rPr>
              <w:t>gGT</w:t>
            </w:r>
            <w:proofErr w:type="spellEnd"/>
          </w:p>
          <w:p w14:paraId="7CBB0E99"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2F2BF3E7"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14:paraId="4438A32F" w14:textId="77777777" w:rsidR="005E58FF" w:rsidRPr="00D44004" w:rsidRDefault="005E58FF" w:rsidP="005E58FF">
            <w:pPr>
              <w:jc w:val="both"/>
              <w:rPr>
                <w:rFonts w:ascii="Arial" w:hAnsi="Arial" w:cs="Arial"/>
                <w:sz w:val="20"/>
                <w:szCs w:val="20"/>
              </w:rPr>
            </w:pPr>
          </w:p>
        </w:tc>
        <w:tc>
          <w:tcPr>
            <w:tcW w:w="372" w:type="pct"/>
            <w:vAlign w:val="center"/>
            <w:hideMark/>
          </w:tcPr>
          <w:p w14:paraId="4BD919BD"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62BD556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10</w:t>
            </w:r>
          </w:p>
        </w:tc>
        <w:tc>
          <w:tcPr>
            <w:tcW w:w="610" w:type="pct"/>
            <w:noWrap/>
            <w:vAlign w:val="center"/>
          </w:tcPr>
          <w:p w14:paraId="14833AC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21</w:t>
            </w:r>
          </w:p>
        </w:tc>
        <w:tc>
          <w:tcPr>
            <w:tcW w:w="575" w:type="pct"/>
            <w:vMerge w:val="restart"/>
            <w:noWrap/>
            <w:vAlign w:val="center"/>
          </w:tcPr>
          <w:p w14:paraId="0972814B"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4,75</w:t>
            </w:r>
          </w:p>
        </w:tc>
        <w:tc>
          <w:tcPr>
            <w:tcW w:w="576" w:type="pct"/>
            <w:vMerge w:val="restart"/>
            <w:vAlign w:val="center"/>
          </w:tcPr>
          <w:p w14:paraId="08D6D90A" w14:textId="77777777" w:rsidR="005E58FF" w:rsidRPr="00D44004" w:rsidRDefault="005E58FF" w:rsidP="005E58FF">
            <w:pPr>
              <w:jc w:val="center"/>
              <w:rPr>
                <w:rFonts w:ascii="Arial" w:hAnsi="Arial" w:cs="Arial"/>
                <w:b/>
                <w:sz w:val="20"/>
                <w:szCs w:val="20"/>
              </w:rPr>
            </w:pPr>
            <w:r w:rsidRPr="00D44004">
              <w:rPr>
                <w:rFonts w:ascii="Arial" w:hAnsi="Arial" w:cs="Arial"/>
                <w:b/>
                <w:sz w:val="20"/>
                <w:szCs w:val="20"/>
              </w:rPr>
              <w:t>.029</w:t>
            </w:r>
          </w:p>
        </w:tc>
      </w:tr>
      <w:tr w:rsidR="005E58FF" w:rsidRPr="00D44004" w14:paraId="0E7BBCFB" w14:textId="77777777" w:rsidTr="005E58FF">
        <w:trPr>
          <w:trHeight w:val="38"/>
          <w:jc w:val="center"/>
        </w:trPr>
        <w:tc>
          <w:tcPr>
            <w:tcW w:w="1091" w:type="pct"/>
            <w:vMerge/>
            <w:vAlign w:val="center"/>
          </w:tcPr>
          <w:p w14:paraId="01ED1D9F" w14:textId="77777777" w:rsidR="005E58FF" w:rsidRPr="00D44004" w:rsidRDefault="005E58FF" w:rsidP="005E58FF">
            <w:pPr>
              <w:jc w:val="both"/>
              <w:rPr>
                <w:rFonts w:ascii="Arial" w:hAnsi="Arial" w:cs="Arial"/>
                <w:sz w:val="20"/>
                <w:szCs w:val="20"/>
              </w:rPr>
            </w:pPr>
          </w:p>
        </w:tc>
        <w:tc>
          <w:tcPr>
            <w:tcW w:w="1110" w:type="pct"/>
            <w:vMerge/>
            <w:vAlign w:val="center"/>
            <w:hideMark/>
          </w:tcPr>
          <w:p w14:paraId="009616D6" w14:textId="77777777" w:rsidR="005E58FF" w:rsidRPr="00D44004" w:rsidRDefault="005E58FF" w:rsidP="005E58FF">
            <w:pPr>
              <w:jc w:val="both"/>
              <w:rPr>
                <w:rFonts w:ascii="Arial" w:hAnsi="Arial" w:cs="Arial"/>
                <w:sz w:val="20"/>
                <w:szCs w:val="20"/>
              </w:rPr>
            </w:pPr>
          </w:p>
        </w:tc>
        <w:tc>
          <w:tcPr>
            <w:tcW w:w="372" w:type="pct"/>
            <w:vAlign w:val="center"/>
            <w:hideMark/>
          </w:tcPr>
          <w:p w14:paraId="18F6BA7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4C5BD32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32.3%</w:t>
            </w:r>
          </w:p>
        </w:tc>
        <w:tc>
          <w:tcPr>
            <w:tcW w:w="610" w:type="pct"/>
            <w:noWrap/>
            <w:vAlign w:val="center"/>
          </w:tcPr>
          <w:p w14:paraId="79C0057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67.7%</w:t>
            </w:r>
          </w:p>
        </w:tc>
        <w:tc>
          <w:tcPr>
            <w:tcW w:w="575" w:type="pct"/>
            <w:vMerge/>
            <w:noWrap/>
            <w:vAlign w:val="center"/>
          </w:tcPr>
          <w:p w14:paraId="569DABA6" w14:textId="77777777" w:rsidR="005E58FF" w:rsidRPr="00D44004" w:rsidRDefault="005E58FF" w:rsidP="005E58FF">
            <w:pPr>
              <w:jc w:val="center"/>
              <w:rPr>
                <w:rFonts w:ascii="Arial" w:hAnsi="Arial" w:cs="Arial"/>
                <w:sz w:val="20"/>
                <w:szCs w:val="20"/>
              </w:rPr>
            </w:pPr>
          </w:p>
        </w:tc>
        <w:tc>
          <w:tcPr>
            <w:tcW w:w="576" w:type="pct"/>
            <w:vMerge/>
            <w:vAlign w:val="center"/>
          </w:tcPr>
          <w:p w14:paraId="79CED2D9" w14:textId="77777777" w:rsidR="005E58FF" w:rsidRPr="00D44004" w:rsidRDefault="005E58FF" w:rsidP="005E58FF">
            <w:pPr>
              <w:jc w:val="center"/>
              <w:rPr>
                <w:rFonts w:ascii="Arial" w:hAnsi="Arial" w:cs="Arial"/>
                <w:b/>
                <w:sz w:val="20"/>
                <w:szCs w:val="20"/>
              </w:rPr>
            </w:pPr>
          </w:p>
        </w:tc>
      </w:tr>
      <w:tr w:rsidR="005E58FF" w:rsidRPr="00D44004" w14:paraId="27D75400" w14:textId="77777777" w:rsidTr="005E58FF">
        <w:trPr>
          <w:trHeight w:val="288"/>
          <w:jc w:val="center"/>
        </w:trPr>
        <w:tc>
          <w:tcPr>
            <w:tcW w:w="1091" w:type="pct"/>
            <w:vMerge/>
            <w:vAlign w:val="center"/>
          </w:tcPr>
          <w:p w14:paraId="3C0D9D42"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7156D007"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14:paraId="2A77A1B1" w14:textId="77777777" w:rsidR="005E58FF" w:rsidRPr="00D44004" w:rsidRDefault="005E58FF" w:rsidP="005E58FF">
            <w:pPr>
              <w:jc w:val="both"/>
              <w:rPr>
                <w:rFonts w:ascii="Arial" w:hAnsi="Arial" w:cs="Arial"/>
                <w:sz w:val="20"/>
                <w:szCs w:val="20"/>
              </w:rPr>
            </w:pPr>
          </w:p>
        </w:tc>
        <w:tc>
          <w:tcPr>
            <w:tcW w:w="372" w:type="pct"/>
            <w:vAlign w:val="center"/>
            <w:hideMark/>
          </w:tcPr>
          <w:p w14:paraId="4A82D49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1822CE7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3</w:t>
            </w:r>
          </w:p>
        </w:tc>
        <w:tc>
          <w:tcPr>
            <w:tcW w:w="610" w:type="pct"/>
            <w:noWrap/>
            <w:vAlign w:val="center"/>
          </w:tcPr>
          <w:p w14:paraId="0A589A9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28</w:t>
            </w:r>
          </w:p>
        </w:tc>
        <w:tc>
          <w:tcPr>
            <w:tcW w:w="575" w:type="pct"/>
            <w:vMerge/>
            <w:noWrap/>
            <w:vAlign w:val="center"/>
          </w:tcPr>
          <w:p w14:paraId="042FF631" w14:textId="77777777" w:rsidR="005E58FF" w:rsidRPr="00D44004" w:rsidRDefault="005E58FF" w:rsidP="005E58FF">
            <w:pPr>
              <w:jc w:val="center"/>
              <w:rPr>
                <w:rFonts w:ascii="Arial" w:hAnsi="Arial" w:cs="Arial"/>
                <w:sz w:val="20"/>
                <w:szCs w:val="20"/>
              </w:rPr>
            </w:pPr>
          </w:p>
        </w:tc>
        <w:tc>
          <w:tcPr>
            <w:tcW w:w="576" w:type="pct"/>
            <w:vMerge/>
            <w:vAlign w:val="center"/>
          </w:tcPr>
          <w:p w14:paraId="3F046D06" w14:textId="77777777" w:rsidR="005E58FF" w:rsidRPr="00D44004" w:rsidRDefault="005E58FF" w:rsidP="005E58FF">
            <w:pPr>
              <w:jc w:val="center"/>
              <w:rPr>
                <w:rFonts w:ascii="Arial" w:hAnsi="Arial" w:cs="Arial"/>
                <w:b/>
                <w:sz w:val="20"/>
                <w:szCs w:val="20"/>
              </w:rPr>
            </w:pPr>
          </w:p>
        </w:tc>
      </w:tr>
      <w:tr w:rsidR="005E58FF" w:rsidRPr="00D44004" w14:paraId="5D02D41D" w14:textId="77777777" w:rsidTr="005E58FF">
        <w:trPr>
          <w:trHeight w:val="38"/>
          <w:jc w:val="center"/>
        </w:trPr>
        <w:tc>
          <w:tcPr>
            <w:tcW w:w="1091" w:type="pct"/>
            <w:vMerge/>
            <w:vAlign w:val="center"/>
          </w:tcPr>
          <w:p w14:paraId="0ABE4F28" w14:textId="77777777" w:rsidR="005E58FF" w:rsidRPr="00D44004" w:rsidRDefault="005E58FF" w:rsidP="005E58FF">
            <w:pPr>
              <w:jc w:val="both"/>
              <w:rPr>
                <w:rFonts w:ascii="Arial" w:hAnsi="Arial" w:cs="Arial"/>
                <w:sz w:val="20"/>
                <w:szCs w:val="20"/>
              </w:rPr>
            </w:pPr>
          </w:p>
        </w:tc>
        <w:tc>
          <w:tcPr>
            <w:tcW w:w="1110" w:type="pct"/>
            <w:vMerge/>
            <w:vAlign w:val="center"/>
            <w:hideMark/>
          </w:tcPr>
          <w:p w14:paraId="41EF6C20" w14:textId="77777777" w:rsidR="005E58FF" w:rsidRPr="00D44004" w:rsidRDefault="005E58FF" w:rsidP="005E58FF">
            <w:pPr>
              <w:jc w:val="both"/>
              <w:rPr>
                <w:rFonts w:ascii="Arial" w:hAnsi="Arial" w:cs="Arial"/>
                <w:sz w:val="20"/>
                <w:szCs w:val="20"/>
              </w:rPr>
            </w:pPr>
          </w:p>
        </w:tc>
        <w:tc>
          <w:tcPr>
            <w:tcW w:w="372" w:type="pct"/>
            <w:vAlign w:val="center"/>
            <w:hideMark/>
          </w:tcPr>
          <w:p w14:paraId="1913E31D"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2AFCA10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9.7%</w:t>
            </w:r>
          </w:p>
        </w:tc>
        <w:tc>
          <w:tcPr>
            <w:tcW w:w="610" w:type="pct"/>
            <w:noWrap/>
            <w:vAlign w:val="center"/>
          </w:tcPr>
          <w:p w14:paraId="38BB87E7"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90.3%</w:t>
            </w:r>
          </w:p>
        </w:tc>
        <w:tc>
          <w:tcPr>
            <w:tcW w:w="575" w:type="pct"/>
            <w:vMerge/>
            <w:noWrap/>
            <w:vAlign w:val="center"/>
          </w:tcPr>
          <w:p w14:paraId="0D597F63" w14:textId="77777777" w:rsidR="005E58FF" w:rsidRPr="00D44004" w:rsidRDefault="005E58FF" w:rsidP="005E58FF">
            <w:pPr>
              <w:jc w:val="center"/>
              <w:rPr>
                <w:rFonts w:ascii="Arial" w:hAnsi="Arial" w:cs="Arial"/>
                <w:sz w:val="20"/>
                <w:szCs w:val="20"/>
              </w:rPr>
            </w:pPr>
          </w:p>
        </w:tc>
        <w:tc>
          <w:tcPr>
            <w:tcW w:w="576" w:type="pct"/>
            <w:vMerge/>
            <w:vAlign w:val="center"/>
          </w:tcPr>
          <w:p w14:paraId="3D78C3F8" w14:textId="77777777" w:rsidR="005E58FF" w:rsidRPr="00D44004" w:rsidRDefault="005E58FF" w:rsidP="005E58FF">
            <w:pPr>
              <w:jc w:val="center"/>
              <w:rPr>
                <w:rFonts w:ascii="Arial" w:hAnsi="Arial" w:cs="Arial"/>
                <w:b/>
                <w:sz w:val="20"/>
                <w:szCs w:val="20"/>
              </w:rPr>
            </w:pPr>
          </w:p>
        </w:tc>
      </w:tr>
      <w:tr w:rsidR="005E58FF" w:rsidRPr="00D44004" w14:paraId="5DE4741C" w14:textId="77777777" w:rsidTr="005E58FF">
        <w:trPr>
          <w:trHeight w:val="187"/>
          <w:jc w:val="center"/>
        </w:trPr>
        <w:tc>
          <w:tcPr>
            <w:tcW w:w="1091" w:type="pct"/>
            <w:vMerge w:val="restart"/>
            <w:vAlign w:val="center"/>
          </w:tcPr>
          <w:p w14:paraId="50904044"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Lipid status</w:t>
            </w:r>
          </w:p>
        </w:tc>
        <w:tc>
          <w:tcPr>
            <w:tcW w:w="1110" w:type="pct"/>
            <w:vMerge w:val="restart"/>
            <w:vAlign w:val="center"/>
            <w:hideMark/>
          </w:tcPr>
          <w:p w14:paraId="48FE417A"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14:paraId="5D22B7D1" w14:textId="77777777" w:rsidR="005E58FF" w:rsidRPr="00D44004" w:rsidRDefault="005E58FF" w:rsidP="005E58FF">
            <w:pPr>
              <w:jc w:val="both"/>
              <w:rPr>
                <w:rFonts w:ascii="Arial" w:hAnsi="Arial" w:cs="Arial"/>
                <w:sz w:val="20"/>
                <w:szCs w:val="20"/>
              </w:rPr>
            </w:pPr>
          </w:p>
        </w:tc>
        <w:tc>
          <w:tcPr>
            <w:tcW w:w="372" w:type="pct"/>
            <w:vAlign w:val="center"/>
            <w:hideMark/>
          </w:tcPr>
          <w:p w14:paraId="17F2A63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52E05FC8"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14</w:t>
            </w:r>
          </w:p>
        </w:tc>
        <w:tc>
          <w:tcPr>
            <w:tcW w:w="610" w:type="pct"/>
            <w:noWrap/>
            <w:vAlign w:val="center"/>
          </w:tcPr>
          <w:p w14:paraId="04C74B8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17</w:t>
            </w:r>
          </w:p>
        </w:tc>
        <w:tc>
          <w:tcPr>
            <w:tcW w:w="575" w:type="pct"/>
            <w:vMerge w:val="restart"/>
            <w:noWrap/>
            <w:vAlign w:val="center"/>
          </w:tcPr>
          <w:p w14:paraId="6CA96C0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4,72</w:t>
            </w:r>
          </w:p>
        </w:tc>
        <w:tc>
          <w:tcPr>
            <w:tcW w:w="576" w:type="pct"/>
            <w:vMerge w:val="restart"/>
            <w:vAlign w:val="center"/>
          </w:tcPr>
          <w:p w14:paraId="3AA16D22" w14:textId="77777777" w:rsidR="005E58FF" w:rsidRPr="00D44004" w:rsidRDefault="005E58FF" w:rsidP="005E58FF">
            <w:pPr>
              <w:jc w:val="center"/>
              <w:rPr>
                <w:rFonts w:ascii="Arial" w:hAnsi="Arial" w:cs="Arial"/>
                <w:b/>
                <w:sz w:val="20"/>
                <w:szCs w:val="20"/>
              </w:rPr>
            </w:pPr>
            <w:r w:rsidRPr="00D44004">
              <w:rPr>
                <w:rFonts w:ascii="Arial" w:hAnsi="Arial" w:cs="Arial"/>
                <w:b/>
                <w:sz w:val="20"/>
                <w:szCs w:val="20"/>
              </w:rPr>
              <w:t>.030</w:t>
            </w:r>
          </w:p>
        </w:tc>
      </w:tr>
      <w:tr w:rsidR="005E58FF" w:rsidRPr="00D44004" w14:paraId="537C2C82" w14:textId="77777777" w:rsidTr="005E58FF">
        <w:trPr>
          <w:trHeight w:val="202"/>
          <w:jc w:val="center"/>
        </w:trPr>
        <w:tc>
          <w:tcPr>
            <w:tcW w:w="1091" w:type="pct"/>
            <w:vMerge/>
            <w:vAlign w:val="center"/>
          </w:tcPr>
          <w:p w14:paraId="2047504F" w14:textId="77777777" w:rsidR="005E58FF" w:rsidRPr="00D44004" w:rsidRDefault="005E58FF" w:rsidP="005E58FF">
            <w:pPr>
              <w:jc w:val="both"/>
              <w:rPr>
                <w:rFonts w:ascii="Arial" w:hAnsi="Arial" w:cs="Arial"/>
                <w:sz w:val="20"/>
                <w:szCs w:val="20"/>
              </w:rPr>
            </w:pPr>
          </w:p>
        </w:tc>
        <w:tc>
          <w:tcPr>
            <w:tcW w:w="1110" w:type="pct"/>
            <w:vMerge/>
            <w:vAlign w:val="center"/>
            <w:hideMark/>
          </w:tcPr>
          <w:p w14:paraId="6AE09D05" w14:textId="77777777" w:rsidR="005E58FF" w:rsidRPr="00D44004" w:rsidRDefault="005E58FF" w:rsidP="005E58FF">
            <w:pPr>
              <w:jc w:val="both"/>
              <w:rPr>
                <w:rFonts w:ascii="Arial" w:hAnsi="Arial" w:cs="Arial"/>
                <w:sz w:val="20"/>
                <w:szCs w:val="20"/>
              </w:rPr>
            </w:pPr>
          </w:p>
        </w:tc>
        <w:tc>
          <w:tcPr>
            <w:tcW w:w="372" w:type="pct"/>
            <w:vAlign w:val="center"/>
            <w:hideMark/>
          </w:tcPr>
          <w:p w14:paraId="45F4BD1B"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14:paraId="59078B0D"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45.2%</w:t>
            </w:r>
          </w:p>
        </w:tc>
        <w:tc>
          <w:tcPr>
            <w:tcW w:w="610" w:type="pct"/>
            <w:noWrap/>
            <w:vAlign w:val="center"/>
          </w:tcPr>
          <w:p w14:paraId="116E4E30"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54.8%</w:t>
            </w:r>
          </w:p>
        </w:tc>
        <w:tc>
          <w:tcPr>
            <w:tcW w:w="575" w:type="pct"/>
            <w:vMerge/>
            <w:noWrap/>
            <w:vAlign w:val="center"/>
          </w:tcPr>
          <w:p w14:paraId="4FBA4075" w14:textId="77777777" w:rsidR="005E58FF" w:rsidRPr="00D44004" w:rsidRDefault="005E58FF" w:rsidP="005E58FF">
            <w:pPr>
              <w:jc w:val="center"/>
              <w:rPr>
                <w:rFonts w:ascii="Arial" w:hAnsi="Arial" w:cs="Arial"/>
                <w:sz w:val="20"/>
                <w:szCs w:val="20"/>
              </w:rPr>
            </w:pPr>
          </w:p>
        </w:tc>
        <w:tc>
          <w:tcPr>
            <w:tcW w:w="576" w:type="pct"/>
            <w:vMerge/>
            <w:vAlign w:val="center"/>
          </w:tcPr>
          <w:p w14:paraId="3747AB1C" w14:textId="77777777" w:rsidR="005E58FF" w:rsidRPr="00D44004" w:rsidRDefault="005E58FF" w:rsidP="005E58FF">
            <w:pPr>
              <w:jc w:val="center"/>
              <w:rPr>
                <w:rFonts w:ascii="Arial" w:hAnsi="Arial" w:cs="Arial"/>
                <w:sz w:val="20"/>
                <w:szCs w:val="20"/>
              </w:rPr>
            </w:pPr>
          </w:p>
        </w:tc>
      </w:tr>
      <w:tr w:rsidR="005E58FF" w:rsidRPr="00D44004" w14:paraId="484900EB" w14:textId="77777777" w:rsidTr="005E58FF">
        <w:trPr>
          <w:trHeight w:val="300"/>
          <w:jc w:val="center"/>
        </w:trPr>
        <w:tc>
          <w:tcPr>
            <w:tcW w:w="1091" w:type="pct"/>
            <w:vMerge/>
            <w:vAlign w:val="center"/>
          </w:tcPr>
          <w:p w14:paraId="5DC4612C" w14:textId="77777777" w:rsidR="005E58FF" w:rsidRPr="00D44004" w:rsidRDefault="005E58FF" w:rsidP="005E58FF">
            <w:pPr>
              <w:jc w:val="both"/>
              <w:rPr>
                <w:rFonts w:ascii="Arial" w:hAnsi="Arial" w:cs="Arial"/>
                <w:sz w:val="20"/>
                <w:szCs w:val="20"/>
              </w:rPr>
            </w:pPr>
          </w:p>
        </w:tc>
        <w:tc>
          <w:tcPr>
            <w:tcW w:w="1110" w:type="pct"/>
            <w:vMerge w:val="restart"/>
            <w:vAlign w:val="center"/>
            <w:hideMark/>
          </w:tcPr>
          <w:p w14:paraId="51D0CF0B" w14:textId="77777777"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tc>
        <w:tc>
          <w:tcPr>
            <w:tcW w:w="372" w:type="pct"/>
            <w:vAlign w:val="center"/>
            <w:hideMark/>
          </w:tcPr>
          <w:p w14:paraId="52A3AEB7"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14:paraId="6C72748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6</w:t>
            </w:r>
          </w:p>
        </w:tc>
        <w:tc>
          <w:tcPr>
            <w:tcW w:w="610" w:type="pct"/>
            <w:noWrap/>
            <w:vAlign w:val="center"/>
          </w:tcPr>
          <w:p w14:paraId="7DED34E8"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25</w:t>
            </w:r>
          </w:p>
        </w:tc>
        <w:tc>
          <w:tcPr>
            <w:tcW w:w="575" w:type="pct"/>
            <w:vMerge/>
            <w:noWrap/>
            <w:vAlign w:val="center"/>
          </w:tcPr>
          <w:p w14:paraId="1013AEC8" w14:textId="77777777" w:rsidR="005E58FF" w:rsidRPr="00D44004" w:rsidRDefault="005E58FF" w:rsidP="005E58FF">
            <w:pPr>
              <w:jc w:val="center"/>
              <w:rPr>
                <w:rFonts w:ascii="Arial" w:hAnsi="Arial" w:cs="Arial"/>
                <w:sz w:val="20"/>
                <w:szCs w:val="20"/>
              </w:rPr>
            </w:pPr>
          </w:p>
        </w:tc>
        <w:tc>
          <w:tcPr>
            <w:tcW w:w="576" w:type="pct"/>
            <w:vMerge/>
            <w:vAlign w:val="center"/>
          </w:tcPr>
          <w:p w14:paraId="5E24E3EE" w14:textId="77777777" w:rsidR="005E58FF" w:rsidRPr="00D44004" w:rsidRDefault="005E58FF" w:rsidP="005E58FF">
            <w:pPr>
              <w:jc w:val="center"/>
              <w:rPr>
                <w:rFonts w:ascii="Arial" w:hAnsi="Arial" w:cs="Arial"/>
                <w:sz w:val="20"/>
                <w:szCs w:val="20"/>
              </w:rPr>
            </w:pPr>
          </w:p>
        </w:tc>
      </w:tr>
      <w:tr w:rsidR="005E58FF" w:rsidRPr="00D44004" w14:paraId="52947AD6" w14:textId="77777777" w:rsidTr="005E58FF">
        <w:trPr>
          <w:trHeight w:val="38"/>
          <w:jc w:val="center"/>
        </w:trPr>
        <w:tc>
          <w:tcPr>
            <w:tcW w:w="1091" w:type="pct"/>
            <w:vMerge/>
            <w:tcBorders>
              <w:bottom w:val="single" w:sz="4" w:space="0" w:color="auto"/>
            </w:tcBorders>
            <w:vAlign w:val="center"/>
          </w:tcPr>
          <w:p w14:paraId="33B520F2" w14:textId="77777777" w:rsidR="005E58FF" w:rsidRPr="00D44004" w:rsidRDefault="005E58FF" w:rsidP="005E58FF">
            <w:pPr>
              <w:jc w:val="both"/>
              <w:rPr>
                <w:rFonts w:ascii="Arial" w:hAnsi="Arial" w:cs="Arial"/>
                <w:sz w:val="20"/>
                <w:szCs w:val="20"/>
              </w:rPr>
            </w:pPr>
          </w:p>
        </w:tc>
        <w:tc>
          <w:tcPr>
            <w:tcW w:w="1110" w:type="pct"/>
            <w:vMerge/>
            <w:tcBorders>
              <w:bottom w:val="single" w:sz="4" w:space="0" w:color="auto"/>
            </w:tcBorders>
            <w:vAlign w:val="center"/>
            <w:hideMark/>
          </w:tcPr>
          <w:p w14:paraId="46BDBB21" w14:textId="77777777" w:rsidR="005E58FF" w:rsidRPr="00D44004" w:rsidRDefault="005E58FF" w:rsidP="005E58FF">
            <w:pPr>
              <w:jc w:val="both"/>
              <w:rPr>
                <w:rFonts w:ascii="Arial" w:hAnsi="Arial" w:cs="Arial"/>
                <w:sz w:val="20"/>
                <w:szCs w:val="20"/>
              </w:rPr>
            </w:pPr>
          </w:p>
        </w:tc>
        <w:tc>
          <w:tcPr>
            <w:tcW w:w="372" w:type="pct"/>
            <w:tcBorders>
              <w:bottom w:val="single" w:sz="4" w:space="0" w:color="auto"/>
            </w:tcBorders>
            <w:vAlign w:val="center"/>
            <w:hideMark/>
          </w:tcPr>
          <w:p w14:paraId="77C0CB4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tcBorders>
              <w:bottom w:val="single" w:sz="4" w:space="0" w:color="auto"/>
            </w:tcBorders>
            <w:noWrap/>
            <w:vAlign w:val="center"/>
          </w:tcPr>
          <w:p w14:paraId="3A448C3D"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19.4%</w:t>
            </w:r>
          </w:p>
        </w:tc>
        <w:tc>
          <w:tcPr>
            <w:tcW w:w="610" w:type="pct"/>
            <w:tcBorders>
              <w:bottom w:val="single" w:sz="4" w:space="0" w:color="auto"/>
            </w:tcBorders>
            <w:noWrap/>
            <w:vAlign w:val="center"/>
          </w:tcPr>
          <w:p w14:paraId="72C4C16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80.6%</w:t>
            </w:r>
          </w:p>
        </w:tc>
        <w:tc>
          <w:tcPr>
            <w:tcW w:w="575" w:type="pct"/>
            <w:vMerge/>
            <w:tcBorders>
              <w:bottom w:val="single" w:sz="4" w:space="0" w:color="auto"/>
            </w:tcBorders>
            <w:noWrap/>
            <w:vAlign w:val="center"/>
          </w:tcPr>
          <w:p w14:paraId="013D2E18" w14:textId="77777777" w:rsidR="005E58FF" w:rsidRPr="00D44004" w:rsidRDefault="005E58FF" w:rsidP="005E58FF">
            <w:pPr>
              <w:jc w:val="center"/>
              <w:rPr>
                <w:rFonts w:ascii="Arial" w:hAnsi="Arial" w:cs="Arial"/>
                <w:sz w:val="20"/>
                <w:szCs w:val="20"/>
              </w:rPr>
            </w:pPr>
          </w:p>
        </w:tc>
        <w:tc>
          <w:tcPr>
            <w:tcW w:w="576" w:type="pct"/>
            <w:vMerge/>
            <w:tcBorders>
              <w:bottom w:val="single" w:sz="4" w:space="0" w:color="auto"/>
            </w:tcBorders>
            <w:vAlign w:val="center"/>
          </w:tcPr>
          <w:p w14:paraId="231E0AE3" w14:textId="77777777" w:rsidR="005E58FF" w:rsidRPr="00D44004" w:rsidRDefault="005E58FF" w:rsidP="005E58FF">
            <w:pPr>
              <w:jc w:val="center"/>
              <w:rPr>
                <w:rFonts w:ascii="Arial" w:hAnsi="Arial" w:cs="Arial"/>
                <w:sz w:val="20"/>
                <w:szCs w:val="20"/>
              </w:rPr>
            </w:pPr>
          </w:p>
        </w:tc>
      </w:tr>
    </w:tbl>
    <w:p w14:paraId="253936F4" w14:textId="77777777" w:rsidR="005E58FF" w:rsidRPr="00D44004" w:rsidRDefault="005E58FF" w:rsidP="005E58FF">
      <w:pPr>
        <w:rPr>
          <w:rFonts w:ascii="Arial" w:hAnsi="Arial" w:cs="Arial"/>
        </w:rPr>
      </w:pPr>
    </w:p>
    <w:p w14:paraId="1EFDEA49" w14:textId="77777777" w:rsidR="005E58FF" w:rsidRPr="00D44004" w:rsidRDefault="005E58FF" w:rsidP="00D44004">
      <w:pPr>
        <w:rPr>
          <w:rFonts w:ascii="Arial" w:eastAsia="Calibri" w:hAnsi="Arial" w:cs="Arial"/>
          <w:lang w:val="hr-BA"/>
        </w:rPr>
      </w:pPr>
      <w:r w:rsidRPr="00D44004">
        <w:rPr>
          <w:rFonts w:ascii="Arial" w:eastAsia="Calibri" w:hAnsi="Arial" w:cs="Arial"/>
          <w:lang w:val="hr-BA"/>
        </w:rPr>
        <w:t>In order to assess the impact of years of work experience on the variables "Fatty Liver," "Transaminases," "Bilirubin," "GGT," and "Lipid Status," logistic regression analysis was applied, and the results of beta coefficients are presented in Table 4. Beta coefficients in logistic regression indicate the size and direction of the predictor's effect on the outcome variable (in this case, variables related to the liver).</w:t>
      </w:r>
    </w:p>
    <w:p w14:paraId="0E11BC7A" w14:textId="77777777" w:rsidR="005E58FF" w:rsidRPr="00D44004" w:rsidRDefault="005E58FF" w:rsidP="005E58FF">
      <w:pPr>
        <w:rPr>
          <w:rFonts w:ascii="Arial" w:eastAsia="Calibri" w:hAnsi="Arial" w:cs="Arial"/>
          <w:lang w:val="hr-BA"/>
        </w:rPr>
      </w:pPr>
    </w:p>
    <w:p w14:paraId="59785282" w14:textId="77777777" w:rsidR="005E58FF" w:rsidRPr="00D44004" w:rsidRDefault="005E58FF" w:rsidP="005E58FF">
      <w:pPr>
        <w:spacing w:line="360" w:lineRule="auto"/>
        <w:rPr>
          <w:rFonts w:ascii="Arial" w:eastAsia="Calibri" w:hAnsi="Arial" w:cs="Arial"/>
          <w:lang w:val="hr-BA"/>
        </w:rPr>
      </w:pPr>
      <w:r w:rsidRPr="00D44004">
        <w:rPr>
          <w:rFonts w:ascii="Arial" w:eastAsia="Calibri" w:hAnsi="Arial" w:cs="Arial"/>
          <w:b/>
          <w:bCs/>
          <w:lang w:val="hr-BA"/>
        </w:rPr>
        <w:t>Table 4.</w:t>
      </w:r>
      <w:r w:rsidRPr="00D44004">
        <w:rPr>
          <w:rFonts w:ascii="Arial" w:eastAsia="Calibri" w:hAnsi="Arial" w:cs="Arial"/>
          <w:lang w:val="hr-BA"/>
        </w:rPr>
        <w:t xml:space="preserve"> Beta coefficient results.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1304"/>
        <w:gridCol w:w="1304"/>
        <w:gridCol w:w="1141"/>
        <w:gridCol w:w="1141"/>
        <w:gridCol w:w="1108"/>
      </w:tblGrid>
      <w:tr w:rsidR="005E58FF" w:rsidRPr="00D44004" w14:paraId="4EB79D25" w14:textId="77777777" w:rsidTr="005E58FF">
        <w:trPr>
          <w:trHeight w:val="300"/>
          <w:jc w:val="center"/>
        </w:trPr>
        <w:tc>
          <w:tcPr>
            <w:tcW w:w="2277" w:type="pct"/>
            <w:tcBorders>
              <w:top w:val="single" w:sz="4" w:space="0" w:color="auto"/>
              <w:bottom w:val="single" w:sz="4" w:space="0" w:color="auto"/>
            </w:tcBorders>
            <w:vAlign w:val="center"/>
            <w:hideMark/>
          </w:tcPr>
          <w:p w14:paraId="78023C49"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Variables</w:t>
            </w:r>
          </w:p>
        </w:tc>
        <w:tc>
          <w:tcPr>
            <w:tcW w:w="592" w:type="pct"/>
            <w:tcBorders>
              <w:top w:val="single" w:sz="4" w:space="0" w:color="auto"/>
              <w:bottom w:val="single" w:sz="4" w:space="0" w:color="auto"/>
            </w:tcBorders>
            <w:vAlign w:val="center"/>
            <w:hideMark/>
          </w:tcPr>
          <w:p w14:paraId="08CFAE6A"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Beta</w:t>
            </w:r>
          </w:p>
        </w:tc>
        <w:tc>
          <w:tcPr>
            <w:tcW w:w="592" w:type="pct"/>
            <w:tcBorders>
              <w:top w:val="single" w:sz="4" w:space="0" w:color="auto"/>
              <w:bottom w:val="single" w:sz="4" w:space="0" w:color="auto"/>
            </w:tcBorders>
            <w:vAlign w:val="center"/>
            <w:hideMark/>
          </w:tcPr>
          <w:p w14:paraId="2262CF95"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SG</w:t>
            </w:r>
          </w:p>
        </w:tc>
        <w:tc>
          <w:tcPr>
            <w:tcW w:w="518" w:type="pct"/>
            <w:tcBorders>
              <w:top w:val="single" w:sz="4" w:space="0" w:color="auto"/>
              <w:bottom w:val="single" w:sz="4" w:space="0" w:color="auto"/>
            </w:tcBorders>
            <w:vAlign w:val="center"/>
            <w:hideMark/>
          </w:tcPr>
          <w:p w14:paraId="43C24E03"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df</w:t>
            </w:r>
          </w:p>
        </w:tc>
        <w:tc>
          <w:tcPr>
            <w:tcW w:w="518" w:type="pct"/>
            <w:tcBorders>
              <w:top w:val="single" w:sz="4" w:space="0" w:color="auto"/>
              <w:bottom w:val="single" w:sz="4" w:space="0" w:color="auto"/>
            </w:tcBorders>
            <w:vAlign w:val="center"/>
            <w:hideMark/>
          </w:tcPr>
          <w:p w14:paraId="10379C7D"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F</w:t>
            </w:r>
          </w:p>
        </w:tc>
        <w:tc>
          <w:tcPr>
            <w:tcW w:w="503" w:type="pct"/>
            <w:tcBorders>
              <w:top w:val="single" w:sz="4" w:space="0" w:color="auto"/>
              <w:bottom w:val="single" w:sz="4" w:space="0" w:color="auto"/>
            </w:tcBorders>
            <w:vAlign w:val="center"/>
            <w:hideMark/>
          </w:tcPr>
          <w:p w14:paraId="407B2141"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p</w:t>
            </w:r>
          </w:p>
        </w:tc>
      </w:tr>
      <w:tr w:rsidR="005E58FF" w:rsidRPr="00D44004" w14:paraId="4D8A595F" w14:textId="77777777" w:rsidTr="005E58FF">
        <w:trPr>
          <w:trHeight w:val="61"/>
          <w:jc w:val="center"/>
        </w:trPr>
        <w:tc>
          <w:tcPr>
            <w:tcW w:w="2277" w:type="pct"/>
            <w:tcBorders>
              <w:top w:val="single" w:sz="4" w:space="0" w:color="auto"/>
            </w:tcBorders>
            <w:vAlign w:val="center"/>
            <w:hideMark/>
          </w:tcPr>
          <w:p w14:paraId="751468C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Fatty liver (liver steatosis)</w:t>
            </w:r>
          </w:p>
        </w:tc>
        <w:tc>
          <w:tcPr>
            <w:tcW w:w="592" w:type="pct"/>
            <w:tcBorders>
              <w:top w:val="single" w:sz="4" w:space="0" w:color="auto"/>
            </w:tcBorders>
            <w:noWrap/>
            <w:vAlign w:val="center"/>
            <w:hideMark/>
          </w:tcPr>
          <w:p w14:paraId="2B05BB4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.32</w:t>
            </w:r>
          </w:p>
        </w:tc>
        <w:tc>
          <w:tcPr>
            <w:tcW w:w="592" w:type="pct"/>
            <w:tcBorders>
              <w:top w:val="single" w:sz="4" w:space="0" w:color="auto"/>
            </w:tcBorders>
            <w:noWrap/>
            <w:vAlign w:val="center"/>
            <w:hideMark/>
          </w:tcPr>
          <w:p w14:paraId="15EE1977"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.15</w:t>
            </w:r>
          </w:p>
        </w:tc>
        <w:tc>
          <w:tcPr>
            <w:tcW w:w="518" w:type="pct"/>
            <w:tcBorders>
              <w:top w:val="single" w:sz="4" w:space="0" w:color="auto"/>
            </w:tcBorders>
            <w:noWrap/>
            <w:vAlign w:val="center"/>
            <w:hideMark/>
          </w:tcPr>
          <w:p w14:paraId="6A53A41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w:t>
            </w:r>
          </w:p>
        </w:tc>
        <w:tc>
          <w:tcPr>
            <w:tcW w:w="518" w:type="pct"/>
            <w:tcBorders>
              <w:top w:val="single" w:sz="4" w:space="0" w:color="auto"/>
            </w:tcBorders>
            <w:noWrap/>
            <w:vAlign w:val="center"/>
            <w:hideMark/>
          </w:tcPr>
          <w:p w14:paraId="25CA4F6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4.68</w:t>
            </w:r>
          </w:p>
        </w:tc>
        <w:tc>
          <w:tcPr>
            <w:tcW w:w="503" w:type="pct"/>
            <w:tcBorders>
              <w:top w:val="single" w:sz="4" w:space="0" w:color="auto"/>
            </w:tcBorders>
            <w:noWrap/>
            <w:vAlign w:val="center"/>
            <w:hideMark/>
          </w:tcPr>
          <w:p w14:paraId="5D5629B1" w14:textId="77777777" w:rsidR="005E58FF" w:rsidRPr="00D44004" w:rsidRDefault="005E58FF" w:rsidP="005E58FF">
            <w:pPr>
              <w:jc w:val="center"/>
              <w:rPr>
                <w:rFonts w:ascii="Arial" w:hAnsi="Arial" w:cs="Arial"/>
                <w:b/>
                <w:sz w:val="20"/>
                <w:szCs w:val="20"/>
              </w:rPr>
            </w:pPr>
            <w:r w:rsidRPr="00D44004">
              <w:rPr>
                <w:rFonts w:ascii="Arial" w:hAnsi="Arial" w:cs="Arial"/>
                <w:b/>
                <w:sz w:val="20"/>
                <w:szCs w:val="20"/>
              </w:rPr>
              <w:t>.018</w:t>
            </w:r>
          </w:p>
        </w:tc>
      </w:tr>
      <w:tr w:rsidR="005E58FF" w:rsidRPr="00D44004" w14:paraId="62265698" w14:textId="77777777" w:rsidTr="005E58FF">
        <w:trPr>
          <w:trHeight w:val="71"/>
          <w:jc w:val="center"/>
        </w:trPr>
        <w:tc>
          <w:tcPr>
            <w:tcW w:w="2277" w:type="pct"/>
            <w:vAlign w:val="center"/>
            <w:hideMark/>
          </w:tcPr>
          <w:p w14:paraId="4F9364D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Transaminases</w:t>
            </w:r>
          </w:p>
        </w:tc>
        <w:tc>
          <w:tcPr>
            <w:tcW w:w="592" w:type="pct"/>
            <w:noWrap/>
            <w:vAlign w:val="center"/>
            <w:hideMark/>
          </w:tcPr>
          <w:p w14:paraId="6490189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-.02</w:t>
            </w:r>
          </w:p>
        </w:tc>
        <w:tc>
          <w:tcPr>
            <w:tcW w:w="592" w:type="pct"/>
            <w:noWrap/>
            <w:vAlign w:val="center"/>
            <w:hideMark/>
          </w:tcPr>
          <w:p w14:paraId="070D4C0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518" w:type="pct"/>
            <w:noWrap/>
            <w:vAlign w:val="center"/>
            <w:hideMark/>
          </w:tcPr>
          <w:p w14:paraId="242B62B8"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w:t>
            </w:r>
          </w:p>
        </w:tc>
        <w:tc>
          <w:tcPr>
            <w:tcW w:w="518" w:type="pct"/>
            <w:noWrap/>
            <w:vAlign w:val="center"/>
            <w:hideMark/>
          </w:tcPr>
          <w:p w14:paraId="2F76F81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.01</w:t>
            </w:r>
          </w:p>
        </w:tc>
        <w:tc>
          <w:tcPr>
            <w:tcW w:w="503" w:type="pct"/>
            <w:noWrap/>
            <w:vAlign w:val="center"/>
            <w:hideMark/>
          </w:tcPr>
          <w:p w14:paraId="0217B278"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.911</w:t>
            </w:r>
          </w:p>
        </w:tc>
      </w:tr>
      <w:tr w:rsidR="005E58FF" w:rsidRPr="00D44004" w14:paraId="53D2B2F0" w14:textId="77777777" w:rsidTr="005E58FF">
        <w:trPr>
          <w:trHeight w:val="71"/>
          <w:jc w:val="center"/>
        </w:trPr>
        <w:tc>
          <w:tcPr>
            <w:tcW w:w="2277" w:type="pct"/>
            <w:vAlign w:val="center"/>
            <w:hideMark/>
          </w:tcPr>
          <w:p w14:paraId="73D4FD7A"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Bilirubin</w:t>
            </w:r>
          </w:p>
        </w:tc>
        <w:tc>
          <w:tcPr>
            <w:tcW w:w="592" w:type="pct"/>
            <w:noWrap/>
            <w:vAlign w:val="center"/>
            <w:hideMark/>
          </w:tcPr>
          <w:p w14:paraId="4D0D369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-.52</w:t>
            </w:r>
          </w:p>
        </w:tc>
        <w:tc>
          <w:tcPr>
            <w:tcW w:w="592" w:type="pct"/>
            <w:noWrap/>
            <w:vAlign w:val="center"/>
            <w:hideMark/>
          </w:tcPr>
          <w:p w14:paraId="0EF52AA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.11</w:t>
            </w:r>
          </w:p>
        </w:tc>
        <w:tc>
          <w:tcPr>
            <w:tcW w:w="518" w:type="pct"/>
            <w:noWrap/>
            <w:vAlign w:val="center"/>
            <w:hideMark/>
          </w:tcPr>
          <w:p w14:paraId="6E715D8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w:t>
            </w:r>
          </w:p>
        </w:tc>
        <w:tc>
          <w:tcPr>
            <w:tcW w:w="518" w:type="pct"/>
            <w:noWrap/>
            <w:vAlign w:val="center"/>
            <w:hideMark/>
          </w:tcPr>
          <w:p w14:paraId="0E1D9AE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22.48</w:t>
            </w:r>
          </w:p>
        </w:tc>
        <w:tc>
          <w:tcPr>
            <w:tcW w:w="503" w:type="pct"/>
            <w:noWrap/>
            <w:vAlign w:val="center"/>
            <w:hideMark/>
          </w:tcPr>
          <w:p w14:paraId="20CC2C78" w14:textId="77777777" w:rsidR="005E58FF" w:rsidRPr="00D44004" w:rsidRDefault="005E58FF" w:rsidP="005E58FF">
            <w:pPr>
              <w:jc w:val="center"/>
              <w:rPr>
                <w:rFonts w:ascii="Arial" w:hAnsi="Arial" w:cs="Arial"/>
                <w:b/>
                <w:sz w:val="20"/>
                <w:szCs w:val="20"/>
              </w:rPr>
            </w:pPr>
            <w:r w:rsidRPr="00D44004">
              <w:rPr>
                <w:rFonts w:ascii="Arial" w:hAnsi="Arial" w:cs="Arial"/>
                <w:b/>
                <w:sz w:val="20"/>
                <w:szCs w:val="20"/>
              </w:rPr>
              <w:t>.000</w:t>
            </w:r>
          </w:p>
        </w:tc>
      </w:tr>
      <w:tr w:rsidR="005E58FF" w:rsidRPr="00D44004" w14:paraId="7170B0CE" w14:textId="77777777" w:rsidTr="005E58FF">
        <w:trPr>
          <w:trHeight w:val="71"/>
          <w:jc w:val="center"/>
        </w:trPr>
        <w:tc>
          <w:tcPr>
            <w:tcW w:w="2277" w:type="pct"/>
            <w:vAlign w:val="center"/>
            <w:hideMark/>
          </w:tcPr>
          <w:p w14:paraId="552775A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GGT</w:t>
            </w:r>
          </w:p>
        </w:tc>
        <w:tc>
          <w:tcPr>
            <w:tcW w:w="592" w:type="pct"/>
            <w:noWrap/>
            <w:vAlign w:val="center"/>
            <w:hideMark/>
          </w:tcPr>
          <w:p w14:paraId="65D8968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-.26</w:t>
            </w:r>
          </w:p>
        </w:tc>
        <w:tc>
          <w:tcPr>
            <w:tcW w:w="592" w:type="pct"/>
            <w:noWrap/>
            <w:vAlign w:val="center"/>
            <w:hideMark/>
          </w:tcPr>
          <w:p w14:paraId="4113883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.28</w:t>
            </w:r>
          </w:p>
        </w:tc>
        <w:tc>
          <w:tcPr>
            <w:tcW w:w="518" w:type="pct"/>
            <w:noWrap/>
            <w:vAlign w:val="center"/>
            <w:hideMark/>
          </w:tcPr>
          <w:p w14:paraId="255E8C24"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w:t>
            </w:r>
          </w:p>
        </w:tc>
        <w:tc>
          <w:tcPr>
            <w:tcW w:w="518" w:type="pct"/>
            <w:noWrap/>
            <w:vAlign w:val="center"/>
            <w:hideMark/>
          </w:tcPr>
          <w:p w14:paraId="3732FDD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.82</w:t>
            </w:r>
          </w:p>
        </w:tc>
        <w:tc>
          <w:tcPr>
            <w:tcW w:w="503" w:type="pct"/>
            <w:noWrap/>
            <w:vAlign w:val="center"/>
            <w:hideMark/>
          </w:tcPr>
          <w:p w14:paraId="3A412D3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.371</w:t>
            </w:r>
          </w:p>
        </w:tc>
      </w:tr>
      <w:tr w:rsidR="005E58FF" w:rsidRPr="00D44004" w14:paraId="4C45190A" w14:textId="77777777" w:rsidTr="005E58FF">
        <w:trPr>
          <w:trHeight w:val="92"/>
          <w:jc w:val="center"/>
        </w:trPr>
        <w:tc>
          <w:tcPr>
            <w:tcW w:w="2277" w:type="pct"/>
            <w:tcBorders>
              <w:bottom w:val="single" w:sz="4" w:space="0" w:color="auto"/>
            </w:tcBorders>
            <w:vAlign w:val="center"/>
            <w:hideMark/>
          </w:tcPr>
          <w:p w14:paraId="0B3BCB8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Lipid status</w:t>
            </w:r>
          </w:p>
        </w:tc>
        <w:tc>
          <w:tcPr>
            <w:tcW w:w="592" w:type="pct"/>
            <w:tcBorders>
              <w:bottom w:val="single" w:sz="4" w:space="0" w:color="auto"/>
            </w:tcBorders>
            <w:noWrap/>
            <w:vAlign w:val="center"/>
            <w:hideMark/>
          </w:tcPr>
          <w:p w14:paraId="0FFB6A6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.13</w:t>
            </w:r>
          </w:p>
        </w:tc>
        <w:tc>
          <w:tcPr>
            <w:tcW w:w="592" w:type="pct"/>
            <w:tcBorders>
              <w:bottom w:val="single" w:sz="4" w:space="0" w:color="auto"/>
            </w:tcBorders>
            <w:noWrap/>
            <w:vAlign w:val="center"/>
            <w:hideMark/>
          </w:tcPr>
          <w:p w14:paraId="3B2D0CDD"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.23</w:t>
            </w:r>
          </w:p>
        </w:tc>
        <w:tc>
          <w:tcPr>
            <w:tcW w:w="518" w:type="pct"/>
            <w:tcBorders>
              <w:bottom w:val="single" w:sz="4" w:space="0" w:color="auto"/>
            </w:tcBorders>
            <w:noWrap/>
            <w:vAlign w:val="center"/>
            <w:hideMark/>
          </w:tcPr>
          <w:p w14:paraId="4A535D44"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w:t>
            </w:r>
          </w:p>
        </w:tc>
        <w:tc>
          <w:tcPr>
            <w:tcW w:w="518" w:type="pct"/>
            <w:tcBorders>
              <w:bottom w:val="single" w:sz="4" w:space="0" w:color="auto"/>
            </w:tcBorders>
            <w:noWrap/>
            <w:vAlign w:val="center"/>
            <w:hideMark/>
          </w:tcPr>
          <w:p w14:paraId="7B2DD184"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.33</w:t>
            </w:r>
          </w:p>
        </w:tc>
        <w:tc>
          <w:tcPr>
            <w:tcW w:w="503" w:type="pct"/>
            <w:tcBorders>
              <w:bottom w:val="single" w:sz="4" w:space="0" w:color="auto"/>
            </w:tcBorders>
            <w:noWrap/>
            <w:vAlign w:val="center"/>
            <w:hideMark/>
          </w:tcPr>
          <w:p w14:paraId="27CBB0A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.718</w:t>
            </w:r>
          </w:p>
        </w:tc>
      </w:tr>
    </w:tbl>
    <w:p w14:paraId="11DE5FB7" w14:textId="77777777" w:rsidR="005E58FF" w:rsidRPr="00D44004" w:rsidRDefault="005E58FF" w:rsidP="005E58FF">
      <w:pPr>
        <w:pStyle w:val="Figurecaption"/>
        <w:spacing w:before="0" w:after="0"/>
        <w:ind w:left="0"/>
        <w:rPr>
          <w:rFonts w:ascii="Arial" w:hAnsi="Arial" w:cs="Arial"/>
          <w:sz w:val="20"/>
        </w:rPr>
      </w:pPr>
    </w:p>
    <w:p w14:paraId="1B0AA31C" w14:textId="77777777" w:rsidR="005E58FF" w:rsidRPr="00D44004" w:rsidRDefault="005E58FF" w:rsidP="00D44004">
      <w:pPr>
        <w:spacing w:after="200" w:line="276" w:lineRule="auto"/>
        <w:rPr>
          <w:rFonts w:ascii="Arial" w:eastAsia="Calibri" w:hAnsi="Arial" w:cs="Arial"/>
        </w:rPr>
      </w:pPr>
      <w:r w:rsidRPr="00D44004">
        <w:rPr>
          <w:rFonts w:ascii="Arial" w:eastAsia="Calibri" w:hAnsi="Arial" w:cs="Arial"/>
        </w:rPr>
        <w:t>Based on the beta coefficient results, it can be concluded that at a significance level of 0.05, with an increase in years of work experience in the experimental group of participants, the values of fatty liver increase. Regarding the dependent variable bilirubin, the beta coefficient results are negative. This result can be interpreted as, at a significance level of 0.05, an increase in years of work experience in the experimental group of participants is associated with a decrease in bilirubin values.</w:t>
      </w:r>
    </w:p>
    <w:p w14:paraId="0220226C" w14:textId="77777777" w:rsidR="005E58FF" w:rsidRPr="00D44004" w:rsidRDefault="005E58FF" w:rsidP="005E58FF">
      <w:pPr>
        <w:adjustRightInd w:val="0"/>
        <w:spacing w:line="360" w:lineRule="auto"/>
        <w:rPr>
          <w:rFonts w:ascii="Arial" w:eastAsia="Calibri" w:hAnsi="Arial" w:cs="Arial"/>
        </w:rPr>
      </w:pPr>
      <w:r w:rsidRPr="00D44004">
        <w:rPr>
          <w:rFonts w:ascii="Arial" w:eastAsia="Calibri" w:hAnsi="Arial" w:cs="Arial"/>
          <w:b/>
          <w:bCs/>
        </w:rPr>
        <w:t xml:space="preserve">Table 5. </w:t>
      </w:r>
      <w:r w:rsidRPr="00D44004">
        <w:rPr>
          <w:rFonts w:ascii="Arial" w:eastAsia="Calibri" w:hAnsi="Arial" w:cs="Arial"/>
        </w:rPr>
        <w:t>Correlation analysis.</w:t>
      </w:r>
    </w:p>
    <w:tbl>
      <w:tblPr>
        <w:tblStyle w:val="TableGrid"/>
        <w:tblW w:w="498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000"/>
        <w:gridCol w:w="2428"/>
        <w:gridCol w:w="2219"/>
        <w:gridCol w:w="2329"/>
      </w:tblGrid>
      <w:tr w:rsidR="005E58FF" w:rsidRPr="00D44004" w14:paraId="41A5BBEE" w14:textId="77777777" w:rsidTr="005E58FF">
        <w:trPr>
          <w:jc w:val="center"/>
        </w:trPr>
        <w:tc>
          <w:tcPr>
            <w:tcW w:w="2928" w:type="pct"/>
            <w:gridSpan w:val="2"/>
            <w:tcBorders>
              <w:top w:val="single" w:sz="4" w:space="0" w:color="auto"/>
              <w:bottom w:val="single" w:sz="4" w:space="0" w:color="auto"/>
            </w:tcBorders>
            <w:vAlign w:val="center"/>
          </w:tcPr>
          <w:p w14:paraId="25D53405"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Variable</w:t>
            </w:r>
          </w:p>
        </w:tc>
        <w:tc>
          <w:tcPr>
            <w:tcW w:w="1011" w:type="pct"/>
            <w:tcBorders>
              <w:top w:val="single" w:sz="4" w:space="0" w:color="auto"/>
              <w:bottom w:val="single" w:sz="4" w:space="0" w:color="auto"/>
            </w:tcBorders>
            <w:vAlign w:val="center"/>
          </w:tcPr>
          <w:p w14:paraId="7F3972CA"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r</w:t>
            </w:r>
          </w:p>
        </w:tc>
        <w:tc>
          <w:tcPr>
            <w:tcW w:w="1061" w:type="pct"/>
            <w:tcBorders>
              <w:top w:val="single" w:sz="4" w:space="0" w:color="auto"/>
              <w:bottom w:val="single" w:sz="4" w:space="0" w:color="auto"/>
            </w:tcBorders>
            <w:vAlign w:val="center"/>
          </w:tcPr>
          <w:p w14:paraId="59F5B175" w14:textId="77777777"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P</w:t>
            </w:r>
          </w:p>
        </w:tc>
      </w:tr>
      <w:tr w:rsidR="005E58FF" w:rsidRPr="00D44004" w14:paraId="31CEC1CA" w14:textId="77777777" w:rsidTr="005E58FF">
        <w:trPr>
          <w:jc w:val="center"/>
        </w:trPr>
        <w:tc>
          <w:tcPr>
            <w:tcW w:w="1822" w:type="pct"/>
            <w:vMerge w:val="restart"/>
            <w:tcBorders>
              <w:top w:val="single" w:sz="4" w:space="0" w:color="auto"/>
            </w:tcBorders>
            <w:vAlign w:val="center"/>
          </w:tcPr>
          <w:p w14:paraId="0E277EEB"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Fat sly – Lipid status</w:t>
            </w:r>
          </w:p>
          <w:p w14:paraId="1C3CAE9A" w14:textId="77777777" w:rsidR="005E58FF" w:rsidRPr="00D44004" w:rsidRDefault="005E58FF" w:rsidP="005E58FF">
            <w:pPr>
              <w:jc w:val="center"/>
              <w:rPr>
                <w:rFonts w:ascii="Arial" w:hAnsi="Arial" w:cs="Arial"/>
                <w:sz w:val="20"/>
                <w:szCs w:val="20"/>
              </w:rPr>
            </w:pPr>
          </w:p>
        </w:tc>
        <w:tc>
          <w:tcPr>
            <w:tcW w:w="1106" w:type="pct"/>
            <w:tcBorders>
              <w:top w:val="single" w:sz="4" w:space="0" w:color="auto"/>
            </w:tcBorders>
            <w:vAlign w:val="center"/>
          </w:tcPr>
          <w:p w14:paraId="5F030A6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tcBorders>
              <w:top w:val="single" w:sz="4" w:space="0" w:color="auto"/>
            </w:tcBorders>
            <w:vAlign w:val="center"/>
          </w:tcPr>
          <w:p w14:paraId="12B2338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.02</w:t>
            </w:r>
          </w:p>
        </w:tc>
        <w:tc>
          <w:tcPr>
            <w:tcW w:w="1061" w:type="pct"/>
            <w:tcBorders>
              <w:top w:val="single" w:sz="4" w:space="0" w:color="auto"/>
            </w:tcBorders>
            <w:vAlign w:val="center"/>
          </w:tcPr>
          <w:p w14:paraId="596FD1C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.889</w:t>
            </w:r>
          </w:p>
        </w:tc>
      </w:tr>
      <w:tr w:rsidR="005E58FF" w:rsidRPr="00D44004" w14:paraId="5A12905F" w14:textId="77777777" w:rsidTr="005E58FF">
        <w:trPr>
          <w:jc w:val="center"/>
        </w:trPr>
        <w:tc>
          <w:tcPr>
            <w:tcW w:w="1822" w:type="pct"/>
            <w:vMerge/>
            <w:vAlign w:val="center"/>
          </w:tcPr>
          <w:p w14:paraId="63ED32B4" w14:textId="77777777" w:rsidR="005E58FF" w:rsidRPr="00D44004" w:rsidRDefault="005E58FF" w:rsidP="005E58FF">
            <w:pPr>
              <w:jc w:val="center"/>
              <w:rPr>
                <w:rFonts w:ascii="Arial" w:hAnsi="Arial" w:cs="Arial"/>
                <w:sz w:val="20"/>
                <w:szCs w:val="20"/>
              </w:rPr>
            </w:pPr>
          </w:p>
        </w:tc>
        <w:tc>
          <w:tcPr>
            <w:tcW w:w="1106" w:type="pct"/>
            <w:vAlign w:val="center"/>
          </w:tcPr>
          <w:p w14:paraId="1DBF18C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vAlign w:val="center"/>
          </w:tcPr>
          <w:p w14:paraId="4727628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.02</w:t>
            </w:r>
          </w:p>
        </w:tc>
        <w:tc>
          <w:tcPr>
            <w:tcW w:w="1061" w:type="pct"/>
            <w:vAlign w:val="center"/>
          </w:tcPr>
          <w:p w14:paraId="4CFB26F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.889</w:t>
            </w:r>
          </w:p>
        </w:tc>
      </w:tr>
      <w:tr w:rsidR="005E58FF" w:rsidRPr="00D44004" w14:paraId="1779F170" w14:textId="77777777" w:rsidTr="005E58FF">
        <w:trPr>
          <w:jc w:val="center"/>
        </w:trPr>
        <w:tc>
          <w:tcPr>
            <w:tcW w:w="1822" w:type="pct"/>
            <w:vMerge w:val="restart"/>
            <w:vAlign w:val="center"/>
          </w:tcPr>
          <w:p w14:paraId="153960A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Transaminase - Lipid status</w:t>
            </w:r>
          </w:p>
          <w:p w14:paraId="553DE632" w14:textId="77777777" w:rsidR="005E58FF" w:rsidRPr="00D44004" w:rsidRDefault="005E58FF" w:rsidP="005E58FF">
            <w:pPr>
              <w:jc w:val="center"/>
              <w:rPr>
                <w:rFonts w:ascii="Arial" w:hAnsi="Arial" w:cs="Arial"/>
                <w:sz w:val="20"/>
                <w:szCs w:val="20"/>
              </w:rPr>
            </w:pPr>
          </w:p>
        </w:tc>
        <w:tc>
          <w:tcPr>
            <w:tcW w:w="1106" w:type="pct"/>
            <w:vAlign w:val="center"/>
          </w:tcPr>
          <w:p w14:paraId="42B4EBD9"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vAlign w:val="center"/>
          </w:tcPr>
          <w:p w14:paraId="31C8BBF3"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-.08</w:t>
            </w:r>
          </w:p>
        </w:tc>
        <w:tc>
          <w:tcPr>
            <w:tcW w:w="1061" w:type="pct"/>
            <w:vAlign w:val="center"/>
          </w:tcPr>
          <w:p w14:paraId="7CDF2421"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.623</w:t>
            </w:r>
          </w:p>
        </w:tc>
      </w:tr>
      <w:tr w:rsidR="005E58FF" w:rsidRPr="00D44004" w14:paraId="12C8F606" w14:textId="77777777" w:rsidTr="005E58FF">
        <w:trPr>
          <w:jc w:val="center"/>
        </w:trPr>
        <w:tc>
          <w:tcPr>
            <w:tcW w:w="1822" w:type="pct"/>
            <w:vMerge/>
            <w:vAlign w:val="center"/>
          </w:tcPr>
          <w:p w14:paraId="3C301B72" w14:textId="77777777" w:rsidR="005E58FF" w:rsidRPr="00D44004" w:rsidRDefault="005E58FF" w:rsidP="005E58FF">
            <w:pPr>
              <w:jc w:val="center"/>
              <w:rPr>
                <w:rFonts w:ascii="Arial" w:hAnsi="Arial" w:cs="Arial"/>
                <w:sz w:val="20"/>
                <w:szCs w:val="20"/>
              </w:rPr>
            </w:pPr>
          </w:p>
        </w:tc>
        <w:tc>
          <w:tcPr>
            <w:tcW w:w="1106" w:type="pct"/>
            <w:vAlign w:val="center"/>
          </w:tcPr>
          <w:p w14:paraId="1C99C260"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vAlign w:val="center"/>
          </w:tcPr>
          <w:p w14:paraId="51C2AE2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.08</w:t>
            </w:r>
          </w:p>
        </w:tc>
        <w:tc>
          <w:tcPr>
            <w:tcW w:w="1061" w:type="pct"/>
            <w:vAlign w:val="center"/>
          </w:tcPr>
          <w:p w14:paraId="34A0AAE5"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.623</w:t>
            </w:r>
          </w:p>
        </w:tc>
      </w:tr>
      <w:tr w:rsidR="005E58FF" w:rsidRPr="00D44004" w14:paraId="78EDA06E" w14:textId="77777777" w:rsidTr="005E58FF">
        <w:trPr>
          <w:jc w:val="center"/>
        </w:trPr>
        <w:tc>
          <w:tcPr>
            <w:tcW w:w="1822" w:type="pct"/>
            <w:vMerge w:val="restart"/>
            <w:vAlign w:val="center"/>
          </w:tcPr>
          <w:p w14:paraId="42930E0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Bilirubin – Lipid status</w:t>
            </w:r>
          </w:p>
          <w:p w14:paraId="1E8F3309" w14:textId="77777777" w:rsidR="005E58FF" w:rsidRPr="00D44004" w:rsidRDefault="005E58FF" w:rsidP="005E58FF">
            <w:pPr>
              <w:jc w:val="center"/>
              <w:rPr>
                <w:rFonts w:ascii="Arial" w:hAnsi="Arial" w:cs="Arial"/>
                <w:sz w:val="20"/>
                <w:szCs w:val="20"/>
              </w:rPr>
            </w:pPr>
          </w:p>
        </w:tc>
        <w:tc>
          <w:tcPr>
            <w:tcW w:w="1106" w:type="pct"/>
            <w:vAlign w:val="center"/>
          </w:tcPr>
          <w:p w14:paraId="76A5B51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vAlign w:val="center"/>
          </w:tcPr>
          <w:p w14:paraId="4E20FE8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1061" w:type="pct"/>
            <w:vAlign w:val="center"/>
          </w:tcPr>
          <w:p w14:paraId="62D0A242"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.171</w:t>
            </w:r>
          </w:p>
        </w:tc>
      </w:tr>
      <w:tr w:rsidR="005E58FF" w:rsidRPr="00D44004" w14:paraId="17195BF0" w14:textId="77777777" w:rsidTr="005E58FF">
        <w:trPr>
          <w:jc w:val="center"/>
        </w:trPr>
        <w:tc>
          <w:tcPr>
            <w:tcW w:w="1822" w:type="pct"/>
            <w:vMerge/>
            <w:vAlign w:val="center"/>
          </w:tcPr>
          <w:p w14:paraId="4F308FB9" w14:textId="77777777" w:rsidR="005E58FF" w:rsidRPr="00D44004" w:rsidRDefault="005E58FF" w:rsidP="005E58FF">
            <w:pPr>
              <w:jc w:val="center"/>
              <w:rPr>
                <w:rFonts w:ascii="Arial" w:hAnsi="Arial" w:cs="Arial"/>
                <w:sz w:val="20"/>
                <w:szCs w:val="20"/>
              </w:rPr>
            </w:pPr>
          </w:p>
        </w:tc>
        <w:tc>
          <w:tcPr>
            <w:tcW w:w="1106" w:type="pct"/>
            <w:vAlign w:val="center"/>
          </w:tcPr>
          <w:p w14:paraId="15069E7A"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vAlign w:val="center"/>
          </w:tcPr>
          <w:p w14:paraId="39FA61DF"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1061" w:type="pct"/>
            <w:vAlign w:val="center"/>
          </w:tcPr>
          <w:p w14:paraId="558980A7"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.171</w:t>
            </w:r>
          </w:p>
        </w:tc>
      </w:tr>
      <w:tr w:rsidR="005E58FF" w:rsidRPr="00D44004" w14:paraId="3CBAB402" w14:textId="77777777" w:rsidTr="005E58FF">
        <w:trPr>
          <w:jc w:val="center"/>
        </w:trPr>
        <w:tc>
          <w:tcPr>
            <w:tcW w:w="1822" w:type="pct"/>
            <w:vMerge w:val="restart"/>
            <w:vAlign w:val="center"/>
          </w:tcPr>
          <w:p w14:paraId="42E8D4CA"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Gamma GT – Lipid status</w:t>
            </w:r>
          </w:p>
        </w:tc>
        <w:tc>
          <w:tcPr>
            <w:tcW w:w="1106" w:type="pct"/>
            <w:vAlign w:val="center"/>
          </w:tcPr>
          <w:p w14:paraId="7938119C"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vAlign w:val="center"/>
          </w:tcPr>
          <w:p w14:paraId="770891C4"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.06</w:t>
            </w:r>
          </w:p>
        </w:tc>
        <w:tc>
          <w:tcPr>
            <w:tcW w:w="1061" w:type="pct"/>
            <w:vAlign w:val="center"/>
          </w:tcPr>
          <w:p w14:paraId="1ECD156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.709</w:t>
            </w:r>
          </w:p>
        </w:tc>
      </w:tr>
      <w:tr w:rsidR="005E58FF" w:rsidRPr="00D44004" w14:paraId="141613D9" w14:textId="77777777" w:rsidTr="005E58FF">
        <w:trPr>
          <w:jc w:val="center"/>
        </w:trPr>
        <w:tc>
          <w:tcPr>
            <w:tcW w:w="1822" w:type="pct"/>
            <w:vMerge/>
            <w:tcBorders>
              <w:bottom w:val="single" w:sz="4" w:space="0" w:color="auto"/>
            </w:tcBorders>
            <w:vAlign w:val="center"/>
          </w:tcPr>
          <w:p w14:paraId="61989547" w14:textId="77777777" w:rsidR="005E58FF" w:rsidRPr="00D44004" w:rsidRDefault="005E58FF" w:rsidP="005E58FF">
            <w:pPr>
              <w:jc w:val="both"/>
              <w:rPr>
                <w:rFonts w:ascii="Arial" w:hAnsi="Arial" w:cs="Arial"/>
                <w:sz w:val="20"/>
                <w:szCs w:val="20"/>
              </w:rPr>
            </w:pPr>
          </w:p>
        </w:tc>
        <w:tc>
          <w:tcPr>
            <w:tcW w:w="1106" w:type="pct"/>
            <w:tcBorders>
              <w:bottom w:val="single" w:sz="4" w:space="0" w:color="auto"/>
            </w:tcBorders>
            <w:vAlign w:val="center"/>
          </w:tcPr>
          <w:p w14:paraId="35A3BBDB"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tcBorders>
              <w:bottom w:val="single" w:sz="4" w:space="0" w:color="auto"/>
            </w:tcBorders>
            <w:vAlign w:val="center"/>
          </w:tcPr>
          <w:p w14:paraId="656A8C16"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.06</w:t>
            </w:r>
          </w:p>
        </w:tc>
        <w:tc>
          <w:tcPr>
            <w:tcW w:w="1061" w:type="pct"/>
            <w:tcBorders>
              <w:bottom w:val="single" w:sz="4" w:space="0" w:color="auto"/>
            </w:tcBorders>
            <w:vAlign w:val="center"/>
          </w:tcPr>
          <w:p w14:paraId="438D056E" w14:textId="77777777" w:rsidR="005E58FF" w:rsidRPr="00D44004" w:rsidRDefault="005E58FF" w:rsidP="005E58FF">
            <w:pPr>
              <w:jc w:val="center"/>
              <w:rPr>
                <w:rFonts w:ascii="Arial" w:hAnsi="Arial" w:cs="Arial"/>
                <w:sz w:val="20"/>
                <w:szCs w:val="20"/>
              </w:rPr>
            </w:pPr>
            <w:r w:rsidRPr="00D44004">
              <w:rPr>
                <w:rFonts w:ascii="Arial" w:hAnsi="Arial" w:cs="Arial"/>
                <w:sz w:val="20"/>
                <w:szCs w:val="20"/>
              </w:rPr>
              <w:t>.709</w:t>
            </w:r>
          </w:p>
        </w:tc>
      </w:tr>
    </w:tbl>
    <w:p w14:paraId="2E0418DE" w14:textId="77777777" w:rsidR="005E58FF" w:rsidRPr="00D44004" w:rsidRDefault="005E58FF" w:rsidP="00D44004">
      <w:pPr>
        <w:rPr>
          <w:rFonts w:ascii="Arial" w:hAnsi="Arial" w:cs="Arial"/>
        </w:rPr>
      </w:pPr>
      <w:r w:rsidRPr="00D44004">
        <w:rPr>
          <w:rFonts w:ascii="Arial" w:hAnsi="Arial" w:cs="Arial"/>
        </w:rPr>
        <w:t>Benzene is metabolized in the liver to phenol, which is conjugated with sulfuric and glucuronic acids and excreted in the urine. A smaller part is eliminated unchanged through the lungs. Damage to the liver, kidneys and nervous system is caused by the effect of benzene peroxide, which is created during the metabolism of benzene and which, as a free radical, causes damage to various tissues and organs in the body. During the metabolism of benzene, sulfur is consumed, which is necessary for the synthesis of glutathione. Glutathione is needed for the regeneration of ascorbic acid, so there is a lack of vitamin C. Hypoxia occurs due to the intensive oxidation of benzene and intermediate products, which consumes O2 in the blood.</w:t>
      </w:r>
    </w:p>
    <w:p w14:paraId="6E3AB67E" w14:textId="77777777" w:rsidR="005E58FF" w:rsidRPr="00D44004" w:rsidRDefault="005E58FF" w:rsidP="00D44004">
      <w:pPr>
        <w:rPr>
          <w:rFonts w:ascii="Arial" w:hAnsi="Arial" w:cs="Arial"/>
        </w:rPr>
      </w:pPr>
      <w:r w:rsidRPr="00D44004">
        <w:rPr>
          <w:rFonts w:ascii="Arial" w:hAnsi="Arial" w:cs="Arial"/>
        </w:rPr>
        <w:t xml:space="preserve">The activation of benzene and its metabolites culminates in the damage of lipids, proteins and carbohydrates by various chemical reactions such as oxidation, nitration and halogenation, which leads to functional changes in various tissues. Inhalation of benzene leads to serious dysfunction of organ systems. Current results show that inhalation of benzene at </w:t>
      </w:r>
      <w:r w:rsidRPr="00D44004">
        <w:rPr>
          <w:rFonts w:ascii="Arial" w:hAnsi="Arial" w:cs="Arial"/>
        </w:rPr>
        <w:lastRenderedPageBreak/>
        <w:t>different concentrations (for 10, 30 and 50 ppm) for 14 days causes a significant increase in lipid peroxidation (LPO) in serum and liver, and this effect increases with increasing benzene concentration. LPO is known to disrupt the integrity of cell membranes, and is associated with the pathogenesis of various liver and kidney damage. Reactive oxygen species (ROS) and LPO are hypothesized to serve as common mediators of apoptosis in response to many toxic substances and pathological conditions.</w:t>
      </w:r>
    </w:p>
    <w:p w14:paraId="5D77E24D" w14:textId="77777777" w:rsidR="00D44004" w:rsidRPr="00D44004" w:rsidRDefault="005E58FF" w:rsidP="005E58FF">
      <w:pPr>
        <w:rPr>
          <w:rFonts w:ascii="Arial" w:hAnsi="Arial" w:cs="Arial"/>
          <w:b/>
          <w:bCs/>
        </w:rPr>
      </w:pPr>
      <w:r w:rsidRPr="00D44004">
        <w:rPr>
          <w:rFonts w:ascii="Arial" w:hAnsi="Arial" w:cs="Arial"/>
          <w:b/>
          <w:bCs/>
        </w:rPr>
        <w:t xml:space="preserve"> </w:t>
      </w:r>
    </w:p>
    <w:p w14:paraId="5B319EC7" w14:textId="77777777" w:rsidR="00D44004" w:rsidRPr="008F3E20" w:rsidRDefault="00D44004" w:rsidP="00D44004">
      <w:pPr>
        <w:jc w:val="both"/>
        <w:rPr>
          <w:rFonts w:ascii="Arial" w:hAnsi="Arial" w:cs="Arial"/>
          <w:b/>
          <w:bCs/>
          <w:sz w:val="22"/>
          <w:szCs w:val="22"/>
          <w:lang w:val="bs-Latn-BA"/>
        </w:rPr>
      </w:pPr>
      <w:r w:rsidRPr="008F3E20">
        <w:rPr>
          <w:rFonts w:ascii="Arial" w:hAnsi="Arial" w:cs="Arial"/>
          <w:b/>
          <w:bCs/>
          <w:sz w:val="22"/>
          <w:szCs w:val="22"/>
          <w:lang w:val="bs-Latn-BA"/>
        </w:rPr>
        <w:t>4. DISCUSSION</w:t>
      </w:r>
    </w:p>
    <w:p w14:paraId="19A52D55" w14:textId="77777777" w:rsidR="00D44004" w:rsidRDefault="00D44004" w:rsidP="00D44004">
      <w:pPr>
        <w:pStyle w:val="Body"/>
        <w:spacing w:after="0"/>
        <w:rPr>
          <w:rFonts w:ascii="Arial" w:hAnsi="Arial" w:cs="Arial"/>
          <w:lang w:val="bs-Latn-BA"/>
        </w:rPr>
      </w:pPr>
    </w:p>
    <w:p w14:paraId="70C8E513" w14:textId="77777777" w:rsidR="005E58FF" w:rsidRPr="00D44004" w:rsidRDefault="005E58FF" w:rsidP="005E58FF">
      <w:pPr>
        <w:rPr>
          <w:rFonts w:ascii="Arial" w:hAnsi="Arial" w:cs="Arial"/>
        </w:rPr>
      </w:pPr>
      <w:r w:rsidRPr="00D44004">
        <w:rPr>
          <w:rFonts w:ascii="Arial" w:hAnsi="Arial" w:cs="Arial"/>
        </w:rPr>
        <w:t xml:space="preserve">Exposure to benzene causes a significant increase in nitric oxide (NO) levels in serum and liver. Elevated values of NO can contribute to the development of protein damage, since NO directly reacts with the tyrosyl radical and forms 3-nitro-tyrosine. In addition, in high concentrations, NO together with superoxide anion </w:t>
      </w:r>
      <w:proofErr w:type="gramStart"/>
      <w:r w:rsidRPr="00D44004">
        <w:rPr>
          <w:rFonts w:ascii="Arial" w:hAnsi="Arial" w:cs="Arial"/>
        </w:rPr>
        <w:t>( O</w:t>
      </w:r>
      <w:proofErr w:type="gramEnd"/>
      <w:r w:rsidRPr="00D44004">
        <w:rPr>
          <w:rFonts w:ascii="Arial" w:hAnsi="Arial" w:cs="Arial"/>
        </w:rPr>
        <w:t xml:space="preserve">2•− ) forms </w:t>
      </w:r>
      <w:proofErr w:type="spellStart"/>
      <w:r w:rsidRPr="00D44004">
        <w:rPr>
          <w:rFonts w:ascii="Arial" w:hAnsi="Arial" w:cs="Arial"/>
        </w:rPr>
        <w:t>peroxynitrite</w:t>
      </w:r>
      <w:proofErr w:type="spellEnd"/>
      <w:r w:rsidRPr="00D44004">
        <w:rPr>
          <w:rFonts w:ascii="Arial" w:hAnsi="Arial" w:cs="Arial"/>
        </w:rPr>
        <w:t xml:space="preserve"> ( ONOO− ), which is the main nitrating agent. In addition to protein nitration, </w:t>
      </w:r>
      <w:proofErr w:type="spellStart"/>
      <w:r w:rsidRPr="00D44004">
        <w:rPr>
          <w:rFonts w:ascii="Arial" w:hAnsi="Arial" w:cs="Arial"/>
        </w:rPr>
        <w:t>peroxynitrite</w:t>
      </w:r>
      <w:proofErr w:type="spellEnd"/>
      <w:r w:rsidRPr="00D44004">
        <w:rPr>
          <w:rFonts w:ascii="Arial" w:hAnsi="Arial" w:cs="Arial"/>
        </w:rPr>
        <w:t xml:space="preserve"> can also induce protein carbonylation, a common oxidative damage to proteins. Both types of protein damage can lead to changes in protein function and subsequent changes in biological responses [10,11].</w:t>
      </w:r>
    </w:p>
    <w:p w14:paraId="660909E1" w14:textId="77777777" w:rsidR="005E58FF" w:rsidRPr="00D44004" w:rsidRDefault="005E58FF" w:rsidP="00D44004">
      <w:pPr>
        <w:rPr>
          <w:rFonts w:ascii="Arial" w:hAnsi="Arial" w:cs="Arial"/>
        </w:rPr>
      </w:pPr>
      <w:r w:rsidRPr="00D44004">
        <w:rPr>
          <w:rFonts w:ascii="Arial" w:hAnsi="Arial" w:cs="Arial"/>
        </w:rPr>
        <w:t>Glutathione (GSH) is an important intracellular scavenger of radicals that regulates the redox status of many other cellular substances and plays an important role in detoxification processes, especially those involved in the biotransformation of benzene.</w:t>
      </w:r>
    </w:p>
    <w:p w14:paraId="03CCDFDF" w14:textId="77777777" w:rsidR="005E58FF" w:rsidRPr="00D44004" w:rsidRDefault="005E58FF" w:rsidP="00D44004">
      <w:pPr>
        <w:rPr>
          <w:rFonts w:ascii="Arial" w:hAnsi="Arial" w:cs="Arial"/>
        </w:rPr>
      </w:pPr>
      <w:r w:rsidRPr="00D44004">
        <w:rPr>
          <w:rFonts w:ascii="Arial" w:hAnsi="Arial" w:cs="Arial"/>
        </w:rPr>
        <w:t>Previous studies have indicated that GSH depletion is one of the important consequences of toxic damage and have established the key role of GSH in tissue protection from the toxic effects of the accumulation of reactive intermediates.</w:t>
      </w:r>
    </w:p>
    <w:p w14:paraId="65B52D66" w14:textId="77777777" w:rsidR="005E58FF" w:rsidRPr="00D44004" w:rsidRDefault="005E58FF" w:rsidP="00D44004">
      <w:pPr>
        <w:rPr>
          <w:rFonts w:ascii="Arial" w:hAnsi="Arial" w:cs="Arial"/>
        </w:rPr>
      </w:pPr>
      <w:r w:rsidRPr="00D44004">
        <w:rPr>
          <w:rFonts w:ascii="Arial" w:hAnsi="Arial" w:cs="Arial"/>
        </w:rPr>
        <w:t>GSH is involved in the biotransformation of benzene in the liver. In the first step, benzene is oxidized to benzene-oxide in a reaction catalyzed by cytochrome P450 2E1; rearrangement generates phenol; the reaction with GSH catalyzed by GST produces less toxic metabolites, such as S-phenylmercapturic acid, which is excreted in the urine.</w:t>
      </w:r>
    </w:p>
    <w:p w14:paraId="729B9584" w14:textId="77777777" w:rsidR="005E58FF" w:rsidRPr="00D44004" w:rsidRDefault="005E58FF" w:rsidP="00D44004">
      <w:pPr>
        <w:rPr>
          <w:rFonts w:ascii="Arial" w:hAnsi="Arial" w:cs="Arial"/>
        </w:rPr>
      </w:pPr>
      <w:r w:rsidRPr="00D44004">
        <w:rPr>
          <w:rFonts w:ascii="Arial" w:hAnsi="Arial" w:cs="Arial"/>
        </w:rPr>
        <w:t>In our research, out of a total of 31 subjects in the experimental group, only one of them had a negative finding on the examined parameters. The largest number of subjects in the experimental group, 51.6%, had 5 to 10 years of work experience.</w:t>
      </w:r>
    </w:p>
    <w:p w14:paraId="55C3E5A2" w14:textId="77777777" w:rsidR="005E58FF" w:rsidRPr="00D44004" w:rsidRDefault="005E58FF" w:rsidP="00D44004">
      <w:pPr>
        <w:rPr>
          <w:rFonts w:ascii="Arial" w:hAnsi="Arial" w:cs="Arial"/>
        </w:rPr>
      </w:pPr>
      <w:r w:rsidRPr="00D44004">
        <w:rPr>
          <w:rFonts w:ascii="Arial" w:hAnsi="Arial" w:cs="Arial"/>
        </w:rPr>
        <w:t>One of the first studies of the incidence of NASH in industrial workers was conducted in Brazil, in the highly industrialized northeastern region, during 1994, and included, among other things, the determination of markers of viral hepatitis and levels of liver enzymes and lipids in the serum of 1,500 petrochemical workers. industries that have been exposed to numerous solvents for 5 years or more, including confirmed hepatotoxic substances such as vinyl chloride and chlorinated hydrocarbons. Of the 112 workers who were found to have elevated AST and/or ALT values, no other etiological causes were found in 32 (alcohol, viral liver disease, diabetes, increased body weight), and after a liver biopsy was performed, a diagnosis of NASH was made in 20 workers. Ten workers with a confirmed diagnosis of NASH were then relocated outside that industrial region and employed in workplaces where they were not exposed to solvents. The aforementioned ten workers had their liver enzymes checked monthly, and the liver biopsy was repeated after 8-14 months. In all ten workers, there was a gradual lowering of aminotransferase and GGT values in the serum and an improvement in the histological findings, primarily the withdrawal of steatosis and the reduction of portal inflammation and fibrosis. The authors concluded that NASH may occur as a consequence of exposure to volatile compounds in the petrochemical industry [12].</w:t>
      </w:r>
    </w:p>
    <w:p w14:paraId="574D5B48" w14:textId="77777777" w:rsidR="005E58FF" w:rsidRPr="00D44004" w:rsidRDefault="005E58FF" w:rsidP="00D44004">
      <w:pPr>
        <w:rPr>
          <w:rFonts w:ascii="Arial" w:hAnsi="Arial" w:cs="Arial"/>
        </w:rPr>
      </w:pPr>
      <w:r w:rsidRPr="00D44004">
        <w:rPr>
          <w:rFonts w:ascii="Arial" w:hAnsi="Arial" w:cs="Arial"/>
        </w:rPr>
        <w:t>Cotrim et al also conducted a comparative study of the clinical and pathological profile of NASH in 84 patients who were diagnosed with NASH, divided into three groups. The first group included 31 patients with more than 5 years of professional exposure to solvents (benzene, xylene, ethylene, dimethylformamide, vinyl chloride, etc.), the second group included 30 patients who were also exposed to solvents in their work history, but also suffered from diabetes, hyperlipidemia and were overweight, while the third group consisted of 23 patients with the same metabolic status as the patients of the second group, but without established professional exposure to solvents. Although it was a relatively small number of subjects, the results indicate that exposure to solvents is an independent risk factor for the development of NASH. In 2005, the same group of authors published a preliminary study of the association between insulin resistance and the occurrence of NAFLD in workers exposed to solvents in the petrochemical industry. Insulin resistance was determined in 40 workers exposed to solvents for 5 or more years who were diagnosed with NAFLD. Of the 22 patients (out of a total of 32 who were examined) who were diagnosed with steatohepatitis with fibrosis by liver biopsy, 17 of them did not have insulin resistance. The results indicate that NAFLD in workers in the petrochemical industry does not have to be based on insulin resistance, which may explain why histological changes in exposed workers resolve after cessation of exposure [13,14].</w:t>
      </w:r>
    </w:p>
    <w:p w14:paraId="4DB3B46B" w14:textId="77777777" w:rsidR="005E58FF" w:rsidRPr="00D44004" w:rsidRDefault="005E58FF" w:rsidP="00D44004">
      <w:pPr>
        <w:rPr>
          <w:rFonts w:ascii="Arial" w:hAnsi="Arial" w:cs="Arial"/>
        </w:rPr>
      </w:pPr>
      <w:r w:rsidRPr="00D44004">
        <w:rPr>
          <w:rFonts w:ascii="Arial" w:hAnsi="Arial" w:cs="Arial"/>
        </w:rPr>
        <w:t>In our research, the most common positive parameter in the experimental group was fatty liver in 24 or 77.4% of them and transaminases in 18 or 58.1% of them, which is with a statistical significance of 0.01 more than in the control group. Also with statistical significance of 0.05 were elevated values of bilirubin, GGT and lipid status.</w:t>
      </w:r>
    </w:p>
    <w:p w14:paraId="021D4FDB" w14:textId="77777777" w:rsidR="005E58FF" w:rsidRPr="00D44004" w:rsidRDefault="005E58FF" w:rsidP="00D44004">
      <w:pPr>
        <w:rPr>
          <w:rFonts w:ascii="Arial" w:hAnsi="Arial" w:cs="Arial"/>
        </w:rPr>
      </w:pPr>
      <w:r w:rsidRPr="00D44004">
        <w:rPr>
          <w:rFonts w:ascii="Arial" w:hAnsi="Arial" w:cs="Arial"/>
        </w:rPr>
        <w:t>Out of a total of 31 respondents, 4 of them had hypertension, diabetes was an exclusion factor, and our results, similarly to the aforementioned studies, indicated that there is no association between elevated values of lipid status and steatosis of the liver, transaminases and other monitored parameters (in the sense of excluding metabolic syndrome as a basis for changes in the structure of the liver parenchyma and changes in laboratory parameters of liver function).</w:t>
      </w:r>
    </w:p>
    <w:p w14:paraId="398D3603" w14:textId="77777777" w:rsidR="005E58FF" w:rsidRPr="00D44004" w:rsidRDefault="005E58FF" w:rsidP="00D44004">
      <w:pPr>
        <w:rPr>
          <w:rFonts w:ascii="Arial" w:hAnsi="Arial" w:cs="Arial"/>
        </w:rPr>
      </w:pPr>
      <w:r w:rsidRPr="00D44004">
        <w:rPr>
          <w:rFonts w:ascii="Arial" w:hAnsi="Arial" w:cs="Arial"/>
        </w:rPr>
        <w:lastRenderedPageBreak/>
        <w:t>A study conducted in a group of more than 600 workers in the petrochemical industry also linked exposure to solvents (benzene, xylene, ethylene, ethylene oxide, acetonitrile, butadiene, etc., in concentrations up to ten times higher than the then GVI values) for a duration of 10 and several years with an increase in liver transaminases (prevalence 18%), hyperlipidemia (up to 25%) accompanied by an enlarged liver [15]. Therefore, it has been proven that professional exposure to solvents in concentrations that multiple times exceed the GVI increases the risk of liver damage.</w:t>
      </w:r>
    </w:p>
    <w:p w14:paraId="795DE66F" w14:textId="77777777" w:rsidR="005E58FF" w:rsidRPr="00D44004" w:rsidRDefault="005E58FF" w:rsidP="00D44004">
      <w:pPr>
        <w:rPr>
          <w:rFonts w:ascii="Arial" w:hAnsi="Arial" w:cs="Arial"/>
        </w:rPr>
      </w:pPr>
      <w:r w:rsidRPr="00D44004">
        <w:rPr>
          <w:rFonts w:ascii="Arial" w:hAnsi="Arial" w:cs="Arial"/>
        </w:rPr>
        <w:t>Analyzing the influence of length of service (exposure) on liver steatosis and changes in liver function parameters in our study, we came to the result that the appearance of steatosis in relation to the length of service increases with a statistical significance of 0.05.</w:t>
      </w:r>
    </w:p>
    <w:p w14:paraId="225E1CE6" w14:textId="77777777" w:rsidR="005E58FF" w:rsidRPr="00D44004" w:rsidRDefault="005E58FF" w:rsidP="00D44004">
      <w:pPr>
        <w:rPr>
          <w:rFonts w:ascii="Arial" w:hAnsi="Arial" w:cs="Arial"/>
        </w:rPr>
      </w:pPr>
      <w:r w:rsidRPr="00D44004">
        <w:rPr>
          <w:rFonts w:ascii="Arial" w:hAnsi="Arial" w:cs="Arial"/>
        </w:rPr>
        <w:t xml:space="preserve">A study conducted in an oil refinery with the aim of linking the occurrence of </w:t>
      </w:r>
      <w:proofErr w:type="spellStart"/>
      <w:r w:rsidRPr="00D44004">
        <w:rPr>
          <w:rFonts w:ascii="Arial" w:hAnsi="Arial" w:cs="Arial"/>
        </w:rPr>
        <w:t>hypertransaminasemia</w:t>
      </w:r>
      <w:proofErr w:type="spellEnd"/>
      <w:r w:rsidRPr="00D44004">
        <w:rPr>
          <w:rFonts w:ascii="Arial" w:hAnsi="Arial" w:cs="Arial"/>
        </w:rPr>
        <w:t xml:space="preserve"> with exposure to aromatic hydrocarbons included 167 industrial employees, 95 with exposure to hydrocarbons. Twenty-seven employees of both groups (29.4%) and 1 from the control group (1.4%) had </w:t>
      </w:r>
      <w:proofErr w:type="spellStart"/>
      <w:r w:rsidRPr="00D44004">
        <w:rPr>
          <w:rFonts w:ascii="Arial" w:hAnsi="Arial" w:cs="Arial"/>
        </w:rPr>
        <w:t>htamsemia</w:t>
      </w:r>
      <w:proofErr w:type="spellEnd"/>
      <w:r w:rsidRPr="00D44004">
        <w:rPr>
          <w:rFonts w:ascii="Arial" w:hAnsi="Arial" w:cs="Arial"/>
        </w:rPr>
        <w:t xml:space="preserve"> (p = 0.001). The remaining biochemical tests and measured parameters did not show significant differences between the two groups. Of the 27 workers with </w:t>
      </w:r>
      <w:proofErr w:type="spellStart"/>
      <w:r w:rsidRPr="00D44004">
        <w:rPr>
          <w:rFonts w:ascii="Arial" w:hAnsi="Arial" w:cs="Arial"/>
        </w:rPr>
        <w:t>htamsemia</w:t>
      </w:r>
      <w:proofErr w:type="spellEnd"/>
      <w:r w:rsidRPr="00D44004">
        <w:rPr>
          <w:rFonts w:ascii="Arial" w:hAnsi="Arial" w:cs="Arial"/>
        </w:rPr>
        <w:t>, 14 (51.9%) showed ultrasound images compatible with fatty liver. Ambient levels of BTX during the 9 months of the study remained below the maximum values allowed by law in Argentina (benzene, 1.5 ppm., toluene 10 ppm and xylene 18.5 ppm). Based on the study, it was concluded that occupational exposure to aromatic hydrocarbons can cause liver damage [16].</w:t>
      </w:r>
    </w:p>
    <w:p w14:paraId="0F875EAD" w14:textId="77777777" w:rsidR="005E58FF" w:rsidRPr="00D44004" w:rsidRDefault="005E58FF" w:rsidP="00D44004">
      <w:pPr>
        <w:rPr>
          <w:rFonts w:ascii="Arial" w:hAnsi="Arial" w:cs="Arial"/>
        </w:rPr>
      </w:pPr>
      <w:r w:rsidRPr="00D44004">
        <w:rPr>
          <w:rFonts w:ascii="Arial" w:hAnsi="Arial" w:cs="Arial"/>
        </w:rPr>
        <w:t>As previously stated, organic volatile substances, their metabolites and intermediate substances have numerous toxic effects on our body and, among other things, on the liver. Mostly these effects occur when exposed to higher concentrations than those permitted, however, chronic exposure to limit values and poor use of personal protective equipment cannot be excluded as a trigger [17].</w:t>
      </w:r>
    </w:p>
    <w:p w14:paraId="5747D263" w14:textId="77777777" w:rsidR="005E58FF" w:rsidRPr="00D44004" w:rsidRDefault="005E58FF" w:rsidP="00D44004">
      <w:pPr>
        <w:rPr>
          <w:rFonts w:ascii="Arial" w:hAnsi="Arial" w:cs="Arial"/>
        </w:rPr>
      </w:pPr>
      <w:r w:rsidRPr="00D44004">
        <w:rPr>
          <w:rFonts w:ascii="Arial" w:hAnsi="Arial" w:cs="Arial"/>
        </w:rPr>
        <w:t>In the case of evaluating the cause of liver damage, we are rarely able to make a decision that it is an occupational liver disease, i.e. that occupational exposure to hepatotoxic substances is the only factor in the development of liver disease. Careful processing should, however, consider whether it is a work-related liver disease, i.e. whether occupational exposure is one of the possible causative factors in the occurrence of this disorder. A key role in this treatment is the clinical-toxicological analysis/assessment of possible health effects of the chemicals in question, which will answer two key questions: are the chemicals in question hepatotoxic and at what level of exposure. Given that the hepatotoxicity of a chemical depends on its structure and especially its metabolism, it is necessary to evaluate each chemical separately [18].</w:t>
      </w:r>
    </w:p>
    <w:p w14:paraId="795EFB00" w14:textId="77777777" w:rsidR="005E58FF" w:rsidRPr="00D44004" w:rsidRDefault="005E58FF" w:rsidP="00D44004">
      <w:pPr>
        <w:rPr>
          <w:rFonts w:ascii="Arial" w:hAnsi="Arial" w:cs="Arial"/>
        </w:rPr>
      </w:pPr>
      <w:r w:rsidRPr="00D44004">
        <w:rPr>
          <w:rFonts w:ascii="Arial" w:hAnsi="Arial" w:cs="Arial"/>
        </w:rPr>
        <w:t xml:space="preserve">The composition of raw coke gas and its processing is very complex, and in addition to its basic ingredients (ammonia, benzene, sulfur, carbonic water and raw tar), there are also a number of other compounds that represent very dangerous pollutants for all ecosystems, such as hydrogen sulfide, cyanides, </w:t>
      </w:r>
      <w:proofErr w:type="spellStart"/>
      <w:r w:rsidRPr="00D44004">
        <w:rPr>
          <w:rFonts w:ascii="Arial" w:hAnsi="Arial" w:cs="Arial"/>
        </w:rPr>
        <w:t>triocyanides</w:t>
      </w:r>
      <w:proofErr w:type="spellEnd"/>
      <w:r w:rsidRPr="00D44004">
        <w:rPr>
          <w:rFonts w:ascii="Arial" w:hAnsi="Arial" w:cs="Arial"/>
        </w:rPr>
        <w:t>, hydrogen, but also over 70 other organic compounds in different concentration ranges.</w:t>
      </w:r>
    </w:p>
    <w:p w14:paraId="4BD02370" w14:textId="77777777" w:rsidR="005E58FF" w:rsidRPr="00D44004" w:rsidRDefault="005E58FF" w:rsidP="00D44004">
      <w:pPr>
        <w:rPr>
          <w:rFonts w:ascii="Arial" w:hAnsi="Arial" w:cs="Arial"/>
        </w:rPr>
      </w:pPr>
      <w:r w:rsidRPr="00D44004">
        <w:rPr>
          <w:rFonts w:ascii="Arial" w:hAnsi="Arial" w:cs="Arial"/>
        </w:rPr>
        <w:t>In our study, neither ambient nor biological monitoring was followed. It is true that workers in the coke industry are exposed to numerous organic volatile substances and not only aromatic hydrocarbons. In our study, we did not provide an answer as to whether the results we obtained were a consequence of worker exposure to permitted values of organically volatile substances at the workplace or those values were above the permitted, as well as whether the results we obtained were a consequence of exposure to aromatic hydrocarbons or a consequence of synergistic effects of numerous organic volatile substances to which workers in the coke industry are exposed. Answers to these questions can be obtained with continuous environmental and biological monitoring.</w:t>
      </w:r>
    </w:p>
    <w:p w14:paraId="0AEC6405" w14:textId="77777777" w:rsidR="005E58FF" w:rsidRPr="00D44004" w:rsidRDefault="005E58FF" w:rsidP="00D44004">
      <w:pPr>
        <w:rPr>
          <w:rFonts w:ascii="Arial" w:hAnsi="Arial" w:cs="Arial"/>
        </w:rPr>
      </w:pPr>
      <w:r w:rsidRPr="00D44004">
        <w:rPr>
          <w:rFonts w:ascii="Arial" w:hAnsi="Arial" w:cs="Arial"/>
        </w:rPr>
        <w:t>Based on the results we obtained, it can be concluded with great certainty that organic volatile substances are the cause of morphological and functional changes in the liver.</w:t>
      </w:r>
    </w:p>
    <w:p w14:paraId="29C5CF9C" w14:textId="77777777" w:rsidR="005E58FF" w:rsidRPr="00D44004" w:rsidRDefault="005E58FF" w:rsidP="005E58FF">
      <w:pPr>
        <w:rPr>
          <w:rFonts w:ascii="Arial" w:hAnsi="Arial" w:cs="Arial"/>
        </w:rPr>
      </w:pPr>
    </w:p>
    <w:p w14:paraId="24BA6B91" w14:textId="77777777" w:rsidR="00D44004" w:rsidRPr="0092486A" w:rsidRDefault="00D44004" w:rsidP="00D44004">
      <w:pPr>
        <w:pStyle w:val="ConcHead"/>
        <w:spacing w:after="0"/>
        <w:jc w:val="both"/>
        <w:rPr>
          <w:rFonts w:ascii="Arial" w:hAnsi="Arial" w:cs="Arial"/>
          <w:lang w:val="bs-Latn-BA"/>
        </w:rPr>
      </w:pPr>
      <w:r w:rsidRPr="00D44004">
        <w:rPr>
          <w:rFonts w:ascii="Arial" w:hAnsi="Arial" w:cs="Arial"/>
          <w:b w:val="0"/>
          <w:bCs/>
          <w:sz w:val="20"/>
        </w:rPr>
        <w:t>5.</w:t>
      </w:r>
      <w:r w:rsidRPr="00D44004">
        <w:rPr>
          <w:rFonts w:ascii="Arial" w:hAnsi="Arial" w:cs="Arial"/>
          <w:lang w:val="bs-Latn-BA"/>
        </w:rPr>
        <w:t xml:space="preserve"> </w:t>
      </w:r>
      <w:r w:rsidRPr="0092486A">
        <w:rPr>
          <w:rFonts w:ascii="Arial" w:hAnsi="Arial" w:cs="Arial"/>
          <w:lang w:val="bs-Latn-BA"/>
        </w:rPr>
        <w:t>Conclusion</w:t>
      </w:r>
    </w:p>
    <w:p w14:paraId="1EBD4FA0" w14:textId="77777777" w:rsidR="00D44004" w:rsidRDefault="00D44004" w:rsidP="00D44004">
      <w:pPr>
        <w:pStyle w:val="paragraph"/>
        <w:spacing w:before="0" w:beforeAutospacing="0" w:after="0" w:afterAutospacing="0"/>
        <w:jc w:val="both"/>
        <w:textAlignment w:val="baseline"/>
        <w:rPr>
          <w:rStyle w:val="normaltextrun"/>
          <w:rFonts w:ascii="Arial" w:hAnsi="Arial" w:cs="Arial"/>
          <w:sz w:val="20"/>
          <w:szCs w:val="20"/>
        </w:rPr>
      </w:pPr>
    </w:p>
    <w:p w14:paraId="5FA47E92"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Exposure of workers to organic volatile substances in the workplace leads to changes in the morphological structure of the liver parenchyma in terms of fatty infiltration and causes changes in laboratory parameters of liver function (primarily transaminase, total bilirubin and lipid status). The length of service (exposure) at a workplace exposed to organic volatile substances affects the frequency of occurrence of </w:t>
      </w:r>
      <w:proofErr w:type="spellStart"/>
      <w:r w:rsidRPr="00D44004">
        <w:rPr>
          <w:rStyle w:val="normaltextrun"/>
          <w:rFonts w:ascii="Arial" w:hAnsi="Arial" w:cs="Arial"/>
          <w:sz w:val="20"/>
          <w:szCs w:val="20"/>
        </w:rPr>
        <w:t>steatotic</w:t>
      </w:r>
      <w:proofErr w:type="spellEnd"/>
      <w:r w:rsidRPr="00D44004">
        <w:rPr>
          <w:rStyle w:val="normaltextrun"/>
          <w:rFonts w:ascii="Arial" w:hAnsi="Arial" w:cs="Arial"/>
          <w:sz w:val="20"/>
          <w:szCs w:val="20"/>
        </w:rPr>
        <w:t xml:space="preserve"> changes in the liver parenchyma. </w:t>
      </w:r>
      <w:r w:rsidRPr="00D44004">
        <w:rPr>
          <w:rStyle w:val="eop"/>
          <w:rFonts w:ascii="Arial" w:hAnsi="Arial" w:cs="Arial"/>
          <w:sz w:val="20"/>
          <w:szCs w:val="20"/>
        </w:rPr>
        <w:t> </w:t>
      </w:r>
    </w:p>
    <w:p w14:paraId="449891E3"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Changes in the structure of the liver parenchyma and elevated values of transaminases do not have a metabolic syndrome in the background (diabetes mellitus was an exclusion factor for participation in the study, the presence of hypertension in the experimental group was not statistically significant, the research shows that there is no association of lipid status with liver steatosis and elevated values transaminase). </w:t>
      </w:r>
      <w:r w:rsidRPr="00D44004">
        <w:rPr>
          <w:rStyle w:val="eop"/>
          <w:rFonts w:ascii="Arial" w:hAnsi="Arial" w:cs="Arial"/>
          <w:sz w:val="20"/>
          <w:szCs w:val="20"/>
        </w:rPr>
        <w:t> </w:t>
      </w:r>
    </w:p>
    <w:p w14:paraId="2C218C0E" w14:textId="77777777"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Exposure to organic volatile substances at the workplace as an independent factor causes liver steatosis with elevated values of laboratory parameters of liver function, that is, it can be said that it is an independent cause of non-alcoholic fatty liver disease (NAFLD). </w:t>
      </w:r>
      <w:r w:rsidRPr="00D44004">
        <w:rPr>
          <w:rStyle w:val="eop"/>
          <w:rFonts w:ascii="Arial" w:hAnsi="Arial" w:cs="Arial"/>
          <w:sz w:val="20"/>
          <w:szCs w:val="20"/>
        </w:rPr>
        <w:t> </w:t>
      </w:r>
    </w:p>
    <w:p w14:paraId="1E06BFB8" w14:textId="77777777" w:rsidR="005E58FF" w:rsidRPr="00D44004" w:rsidRDefault="005E58FF" w:rsidP="00D44004">
      <w:pPr>
        <w:pStyle w:val="paragraph"/>
        <w:spacing w:before="0" w:beforeAutospacing="0" w:after="0" w:afterAutospacing="0"/>
        <w:jc w:val="both"/>
        <w:textAlignment w:val="baseline"/>
        <w:rPr>
          <w:rStyle w:val="eop"/>
          <w:rFonts w:ascii="Arial" w:hAnsi="Arial" w:cs="Arial"/>
          <w:sz w:val="20"/>
          <w:szCs w:val="20"/>
        </w:rPr>
      </w:pPr>
      <w:r w:rsidRPr="00D44004">
        <w:rPr>
          <w:rStyle w:val="normaltextrun"/>
          <w:rFonts w:ascii="Arial" w:hAnsi="Arial" w:cs="Arial"/>
          <w:sz w:val="20"/>
          <w:szCs w:val="20"/>
        </w:rPr>
        <w:t xml:space="preserve">It is extremely important to implement occupational safety measures prescribed by the Occupational Safety Act as a measure to prevent health disorders, but also as a significant measure in the diagnosis of occupational and work-related diseases. Regarding occupational safety measures, we highlight the importance of risk assessment, regular periodic measurement of the concentration of pollution in the working environment, regular previous and periodic health examinations of exposed workers, and keeping documentation of the aforementioned measures. Special attention to the </w:t>
      </w:r>
      <w:r w:rsidRPr="00D44004">
        <w:rPr>
          <w:rStyle w:val="normaltextrun"/>
          <w:rFonts w:ascii="Arial" w:hAnsi="Arial" w:cs="Arial"/>
          <w:sz w:val="20"/>
          <w:szCs w:val="20"/>
        </w:rPr>
        <w:lastRenderedPageBreak/>
        <w:t>need to protect exposed workers with personal protective equipment for the respiratory tract and exposed parts of the skin.</w:t>
      </w:r>
      <w:r w:rsidRPr="00D44004">
        <w:rPr>
          <w:rStyle w:val="eop"/>
          <w:rFonts w:ascii="Arial" w:hAnsi="Arial" w:cs="Arial"/>
          <w:sz w:val="20"/>
          <w:szCs w:val="20"/>
        </w:rPr>
        <w:t> </w:t>
      </w:r>
    </w:p>
    <w:p w14:paraId="03F5A607" w14:textId="77777777" w:rsidR="005E58FF" w:rsidRPr="00D44004" w:rsidRDefault="005E58FF" w:rsidP="005E58FF">
      <w:pPr>
        <w:pStyle w:val="Body"/>
        <w:spacing w:after="0"/>
        <w:rPr>
          <w:rFonts w:ascii="Arial" w:hAnsi="Arial" w:cs="Arial"/>
          <w:b/>
          <w:lang w:val="bs-Latn-BA"/>
        </w:rPr>
      </w:pPr>
    </w:p>
    <w:p w14:paraId="40D4382C" w14:textId="77777777" w:rsidR="005E58FF" w:rsidRPr="00D44004" w:rsidRDefault="005E58FF" w:rsidP="005E58FF">
      <w:pPr>
        <w:pStyle w:val="ReferHead"/>
        <w:spacing w:after="0"/>
        <w:jc w:val="both"/>
        <w:rPr>
          <w:rFonts w:ascii="Arial" w:hAnsi="Arial" w:cs="Arial"/>
          <w:sz w:val="20"/>
          <w:lang w:val="bs-Latn-BA"/>
        </w:rPr>
      </w:pPr>
      <w:bookmarkStart w:id="0" w:name="_GoBack"/>
      <w:bookmarkEnd w:id="0"/>
    </w:p>
    <w:p w14:paraId="287BC913" w14:textId="77777777" w:rsidR="005E58FF" w:rsidRPr="00D44004" w:rsidRDefault="005E58FF" w:rsidP="005E58FF">
      <w:pPr>
        <w:snapToGrid w:val="0"/>
        <w:rPr>
          <w:rFonts w:ascii="Arial" w:hAnsi="Arial" w:cs="Arial"/>
        </w:rPr>
      </w:pPr>
    </w:p>
    <w:p w14:paraId="2FDDB69E" w14:textId="77777777" w:rsidR="005E58FF" w:rsidRPr="00D44004" w:rsidRDefault="005E58FF" w:rsidP="005E58FF">
      <w:pPr>
        <w:pStyle w:val="MDPI61Supplementary"/>
        <w:spacing w:before="0" w:line="240" w:lineRule="auto"/>
        <w:rPr>
          <w:rFonts w:ascii="Arial" w:eastAsiaTheme="minorEastAsia" w:hAnsi="Arial" w:cs="Arial"/>
          <w:b/>
          <w:bCs/>
          <w:sz w:val="20"/>
          <w:lang w:eastAsia="ko-KR"/>
        </w:rPr>
      </w:pPr>
      <w:r w:rsidRPr="00D44004">
        <w:rPr>
          <w:rFonts w:ascii="Arial" w:eastAsiaTheme="minorEastAsia" w:hAnsi="Arial" w:cs="Arial"/>
          <w:b/>
          <w:bCs/>
          <w:sz w:val="20"/>
          <w:lang w:eastAsia="ko-KR"/>
        </w:rPr>
        <w:t>R</w:t>
      </w:r>
      <w:r w:rsidR="00A113BF">
        <w:rPr>
          <w:rFonts w:ascii="Arial" w:eastAsiaTheme="minorEastAsia" w:hAnsi="Arial" w:cs="Arial"/>
          <w:b/>
          <w:bCs/>
          <w:sz w:val="20"/>
          <w:lang w:eastAsia="ko-KR"/>
        </w:rPr>
        <w:t>EFERENCES</w:t>
      </w:r>
    </w:p>
    <w:p w14:paraId="67B3A7A2" w14:textId="77777777" w:rsidR="005E58FF" w:rsidRPr="00D44004" w:rsidRDefault="005E58FF" w:rsidP="005E58FF">
      <w:pPr>
        <w:pStyle w:val="MDPI61Supplementary"/>
        <w:spacing w:before="0" w:line="240" w:lineRule="auto"/>
        <w:rPr>
          <w:rFonts w:ascii="Arial" w:eastAsiaTheme="minorEastAsia" w:hAnsi="Arial" w:cs="Arial"/>
          <w:b/>
          <w:bCs/>
          <w:sz w:val="20"/>
          <w:lang w:eastAsia="ko-KR"/>
        </w:rPr>
      </w:pPr>
    </w:p>
    <w:p w14:paraId="7232E2B1" w14:textId="77777777" w:rsidR="005E58FF" w:rsidRPr="00D44004" w:rsidRDefault="005E58FF" w:rsidP="00D44004">
      <w:pPr>
        <w:pStyle w:val="References"/>
        <w:ind w:left="300" w:hanging="300"/>
        <w:rPr>
          <w:rFonts w:ascii="Arial" w:hAnsi="Arial" w:cs="Arial"/>
          <w:sz w:val="20"/>
          <w:szCs w:val="20"/>
        </w:rPr>
      </w:pPr>
      <w:r w:rsidRPr="00D44004">
        <w:rPr>
          <w:rStyle w:val="normaltextrun"/>
          <w:rFonts w:ascii="Arial" w:hAnsi="Arial" w:cs="Arial"/>
          <w:sz w:val="20"/>
          <w:szCs w:val="20"/>
        </w:rPr>
        <w:t xml:space="preserve">Turk R, Macan J. Nonalcoholic fatty liver disease as a result of occupational exposure to organic solvents. </w:t>
      </w:r>
      <w:proofErr w:type="spellStart"/>
      <w:r w:rsidRPr="00D44004">
        <w:rPr>
          <w:rStyle w:val="normaltextrun"/>
          <w:rFonts w:ascii="Arial" w:hAnsi="Arial" w:cs="Arial"/>
          <w:sz w:val="20"/>
          <w:szCs w:val="20"/>
        </w:rPr>
        <w:t>Sigurnost</w:t>
      </w:r>
      <w:proofErr w:type="spellEnd"/>
      <w:r w:rsidRPr="00D44004">
        <w:rPr>
          <w:rStyle w:val="normaltextrun"/>
          <w:rFonts w:ascii="Arial" w:hAnsi="Arial" w:cs="Arial"/>
          <w:sz w:val="20"/>
          <w:szCs w:val="20"/>
        </w:rPr>
        <w:t>. 2010;52:245-250</w:t>
      </w:r>
      <w:r w:rsidRPr="00D44004">
        <w:rPr>
          <w:rStyle w:val="eop"/>
          <w:rFonts w:ascii="Arial" w:hAnsi="Arial" w:cs="Arial"/>
          <w:sz w:val="20"/>
          <w:szCs w:val="20"/>
        </w:rPr>
        <w:t> </w:t>
      </w:r>
    </w:p>
    <w:p w14:paraId="252F8F46" w14:textId="10676D35" w:rsidR="005E58FF" w:rsidRPr="00D44004" w:rsidRDefault="00C420C3" w:rsidP="00D44004">
      <w:pPr>
        <w:pStyle w:val="References"/>
        <w:ind w:left="300" w:hanging="300"/>
        <w:rPr>
          <w:rFonts w:ascii="Arial" w:hAnsi="Arial" w:cs="Arial"/>
          <w:sz w:val="20"/>
          <w:szCs w:val="20"/>
        </w:rPr>
      </w:pPr>
      <w:proofErr w:type="spellStart"/>
      <w:r w:rsidRPr="00C420C3">
        <w:rPr>
          <w:rStyle w:val="normaltextrun"/>
          <w:rFonts w:ascii="Arial" w:hAnsi="Arial" w:cs="Arial"/>
          <w:sz w:val="20"/>
          <w:szCs w:val="20"/>
        </w:rPr>
        <w:t>Kaukiainen</w:t>
      </w:r>
      <w:proofErr w:type="spellEnd"/>
      <w:r w:rsidRPr="00C420C3">
        <w:rPr>
          <w:rStyle w:val="normaltextrun"/>
          <w:rFonts w:ascii="Arial" w:hAnsi="Arial" w:cs="Arial"/>
          <w:sz w:val="20"/>
          <w:szCs w:val="20"/>
        </w:rPr>
        <w:t xml:space="preserve">, A., </w:t>
      </w:r>
      <w:proofErr w:type="spellStart"/>
      <w:r w:rsidRPr="00C420C3">
        <w:rPr>
          <w:rStyle w:val="normaltextrun"/>
          <w:rFonts w:ascii="Arial" w:hAnsi="Arial" w:cs="Arial"/>
          <w:sz w:val="20"/>
          <w:szCs w:val="20"/>
        </w:rPr>
        <w:t>Vehmas</w:t>
      </w:r>
      <w:proofErr w:type="spellEnd"/>
      <w:r w:rsidRPr="00C420C3">
        <w:rPr>
          <w:rStyle w:val="normaltextrun"/>
          <w:rFonts w:ascii="Arial" w:hAnsi="Arial" w:cs="Arial"/>
          <w:sz w:val="20"/>
          <w:szCs w:val="20"/>
        </w:rPr>
        <w:t xml:space="preserve">, T., Rantala, K., </w:t>
      </w:r>
      <w:proofErr w:type="spellStart"/>
      <w:r w:rsidRPr="00C420C3">
        <w:rPr>
          <w:rStyle w:val="normaltextrun"/>
          <w:rFonts w:ascii="Arial" w:hAnsi="Arial" w:cs="Arial"/>
          <w:sz w:val="20"/>
          <w:szCs w:val="20"/>
        </w:rPr>
        <w:t>Nurminen</w:t>
      </w:r>
      <w:proofErr w:type="spellEnd"/>
      <w:r w:rsidRPr="00C420C3">
        <w:rPr>
          <w:rStyle w:val="normaltextrun"/>
          <w:rFonts w:ascii="Arial" w:hAnsi="Arial" w:cs="Arial"/>
          <w:sz w:val="20"/>
          <w:szCs w:val="20"/>
        </w:rPr>
        <w:t xml:space="preserve">, M., </w:t>
      </w:r>
      <w:proofErr w:type="spellStart"/>
      <w:r w:rsidRPr="00C420C3">
        <w:rPr>
          <w:rStyle w:val="normaltextrun"/>
          <w:rFonts w:ascii="Arial" w:hAnsi="Arial" w:cs="Arial"/>
          <w:sz w:val="20"/>
          <w:szCs w:val="20"/>
        </w:rPr>
        <w:t>Martikainen</w:t>
      </w:r>
      <w:proofErr w:type="spellEnd"/>
      <w:r w:rsidRPr="00C420C3">
        <w:rPr>
          <w:rStyle w:val="normaltextrun"/>
          <w:rFonts w:ascii="Arial" w:hAnsi="Arial" w:cs="Arial"/>
          <w:sz w:val="20"/>
          <w:szCs w:val="20"/>
        </w:rPr>
        <w:t xml:space="preserve">, R., &amp; </w:t>
      </w:r>
      <w:proofErr w:type="spellStart"/>
      <w:r w:rsidRPr="00C420C3">
        <w:rPr>
          <w:rStyle w:val="normaltextrun"/>
          <w:rFonts w:ascii="Arial" w:hAnsi="Arial" w:cs="Arial"/>
          <w:sz w:val="20"/>
          <w:szCs w:val="20"/>
        </w:rPr>
        <w:t>Taskinen</w:t>
      </w:r>
      <w:proofErr w:type="spellEnd"/>
      <w:r w:rsidRPr="00C420C3">
        <w:rPr>
          <w:rStyle w:val="normaltextrun"/>
          <w:rFonts w:ascii="Arial" w:hAnsi="Arial" w:cs="Arial"/>
          <w:sz w:val="20"/>
          <w:szCs w:val="20"/>
        </w:rPr>
        <w:t xml:space="preserve">, T. (2004). Results of common laboratory tests in solvent-exposed workers. International Archives of Occupational and Environmental Health. </w:t>
      </w:r>
      <w:hyperlink r:id="rId14" w:history="1">
        <w:r w:rsidRPr="000D5FD9">
          <w:rPr>
            <w:rStyle w:val="Hyperlink"/>
            <w:rFonts w:ascii="Arial" w:hAnsi="Arial" w:cs="Arial"/>
            <w:sz w:val="20"/>
            <w:szCs w:val="20"/>
          </w:rPr>
          <w:t>https://doi.org/10.1007/s00420-003-0476-z</w:t>
        </w:r>
      </w:hyperlink>
      <w:r>
        <w:rPr>
          <w:rStyle w:val="normaltextrun"/>
          <w:rFonts w:ascii="Arial" w:hAnsi="Arial" w:cs="Arial"/>
          <w:sz w:val="20"/>
          <w:szCs w:val="20"/>
        </w:rPr>
        <w:t xml:space="preserve"> </w:t>
      </w:r>
      <w:r w:rsidR="005E58FF" w:rsidRPr="00D44004">
        <w:rPr>
          <w:rStyle w:val="eop"/>
          <w:rFonts w:ascii="Arial" w:hAnsi="Arial" w:cs="Arial"/>
          <w:color w:val="auto"/>
          <w:sz w:val="20"/>
          <w:szCs w:val="20"/>
        </w:rPr>
        <w:t> </w:t>
      </w:r>
    </w:p>
    <w:p w14:paraId="2C98245B" w14:textId="46D7496C" w:rsidR="005E58FF" w:rsidRPr="00D44004" w:rsidRDefault="00896717" w:rsidP="00D44004">
      <w:pPr>
        <w:pStyle w:val="References"/>
        <w:ind w:left="300" w:hanging="300"/>
        <w:rPr>
          <w:rFonts w:ascii="Arial" w:hAnsi="Arial" w:cs="Arial"/>
          <w:sz w:val="20"/>
          <w:szCs w:val="20"/>
        </w:rPr>
      </w:pPr>
      <w:r w:rsidRPr="00896717">
        <w:rPr>
          <w:rStyle w:val="normaltextrun"/>
          <w:rFonts w:ascii="Arial" w:hAnsi="Arial" w:cs="Arial"/>
          <w:sz w:val="20"/>
          <w:szCs w:val="20"/>
          <w:lang w:val="bs-Latn-BA"/>
        </w:rPr>
        <w:t xml:space="preserve">Chen, J.-D., Wang, J.-D., Tsai, S.-Y., &amp; Chao, W.-I. (1997). Effects of occupational and nonoccupational factors on liver function tests in workers exposed to solvent mixtures. Archives of Environmental Health, 52(4), 270–274. </w:t>
      </w:r>
      <w:r>
        <w:rPr>
          <w:rStyle w:val="normaltextrun"/>
          <w:rFonts w:ascii="Arial" w:hAnsi="Arial" w:cs="Arial"/>
          <w:sz w:val="20"/>
          <w:szCs w:val="20"/>
          <w:lang w:val="bs-Latn-BA"/>
        </w:rPr>
        <w:fldChar w:fldCharType="begin"/>
      </w:r>
      <w:r>
        <w:rPr>
          <w:rStyle w:val="normaltextrun"/>
          <w:rFonts w:ascii="Arial" w:hAnsi="Arial" w:cs="Arial"/>
          <w:sz w:val="20"/>
          <w:szCs w:val="20"/>
          <w:lang w:val="bs-Latn-BA"/>
        </w:rPr>
        <w:instrText xml:space="preserve"> HYPERLINK "</w:instrText>
      </w:r>
      <w:r w:rsidRPr="00896717">
        <w:rPr>
          <w:rStyle w:val="normaltextrun"/>
          <w:rFonts w:ascii="Arial" w:hAnsi="Arial" w:cs="Arial"/>
          <w:sz w:val="20"/>
          <w:szCs w:val="20"/>
          <w:lang w:val="bs-Latn-BA"/>
        </w:rPr>
        <w:instrText>https://doi.org/10.1080/00039899709602197</w:instrText>
      </w:r>
      <w:r>
        <w:rPr>
          <w:rStyle w:val="normaltextrun"/>
          <w:rFonts w:ascii="Arial" w:hAnsi="Arial" w:cs="Arial"/>
          <w:sz w:val="20"/>
          <w:szCs w:val="20"/>
          <w:lang w:val="bs-Latn-BA"/>
        </w:rPr>
        <w:instrText xml:space="preserve">" </w:instrText>
      </w:r>
      <w:r>
        <w:rPr>
          <w:rStyle w:val="normaltextrun"/>
          <w:rFonts w:ascii="Arial" w:hAnsi="Arial" w:cs="Arial"/>
          <w:sz w:val="20"/>
          <w:szCs w:val="20"/>
          <w:lang w:val="bs-Latn-BA"/>
        </w:rPr>
        <w:fldChar w:fldCharType="separate"/>
      </w:r>
      <w:r w:rsidRPr="000D5FD9">
        <w:rPr>
          <w:rStyle w:val="Hyperlink"/>
          <w:rFonts w:ascii="Arial" w:hAnsi="Arial" w:cs="Arial"/>
          <w:sz w:val="20"/>
          <w:szCs w:val="20"/>
          <w:lang w:val="bs-Latn-BA"/>
        </w:rPr>
        <w:t>https://doi.org/10.1080/00039899709602197</w:t>
      </w:r>
      <w:r>
        <w:rPr>
          <w:rStyle w:val="normaltextrun"/>
          <w:rFonts w:ascii="Arial" w:hAnsi="Arial" w:cs="Arial"/>
          <w:sz w:val="20"/>
          <w:szCs w:val="20"/>
          <w:lang w:val="bs-Latn-BA"/>
        </w:rPr>
        <w:fldChar w:fldCharType="end"/>
      </w:r>
      <w:r>
        <w:rPr>
          <w:rStyle w:val="normaltextrun"/>
          <w:rFonts w:ascii="Arial" w:hAnsi="Arial" w:cs="Arial"/>
          <w:sz w:val="20"/>
          <w:szCs w:val="20"/>
          <w:lang w:val="bs-Latn-BA"/>
        </w:rPr>
        <w:t xml:space="preserve"> </w:t>
      </w:r>
    </w:p>
    <w:p w14:paraId="63B78C2D" w14:textId="469CD034" w:rsidR="005E58FF" w:rsidRPr="00D44004" w:rsidRDefault="0095522A" w:rsidP="00D44004">
      <w:pPr>
        <w:pStyle w:val="References"/>
        <w:ind w:left="300" w:hanging="300"/>
        <w:rPr>
          <w:rFonts w:ascii="Arial" w:hAnsi="Arial" w:cs="Arial"/>
          <w:sz w:val="20"/>
          <w:szCs w:val="20"/>
        </w:rPr>
      </w:pPr>
      <w:proofErr w:type="spellStart"/>
      <w:r w:rsidRPr="0095522A">
        <w:rPr>
          <w:rStyle w:val="normaltextrun"/>
          <w:rFonts w:ascii="Arial" w:hAnsi="Arial" w:cs="Arial"/>
          <w:sz w:val="20"/>
          <w:szCs w:val="20"/>
        </w:rPr>
        <w:t>Brautbar</w:t>
      </w:r>
      <w:proofErr w:type="spellEnd"/>
      <w:r w:rsidRPr="0095522A">
        <w:rPr>
          <w:rStyle w:val="normaltextrun"/>
          <w:rFonts w:ascii="Arial" w:hAnsi="Arial" w:cs="Arial"/>
          <w:sz w:val="20"/>
          <w:szCs w:val="20"/>
        </w:rPr>
        <w:t xml:space="preserve">, N., &amp; Williams, J. (2002). Industrial solvents and liver toxicity: risk assessment, risk factors and mechanisms. International Journal of Hygiene and Environmental Health, 205(6), 479-491. </w:t>
      </w:r>
      <w:hyperlink r:id="rId15" w:history="1">
        <w:r w:rsidRPr="000D5FD9">
          <w:rPr>
            <w:rStyle w:val="Hyperlink"/>
            <w:rFonts w:ascii="Arial" w:hAnsi="Arial" w:cs="Arial"/>
            <w:sz w:val="20"/>
            <w:szCs w:val="20"/>
          </w:rPr>
          <w:t>https://doi.org/10.1078/1438-4639-00175</w:t>
        </w:r>
      </w:hyperlink>
      <w:r>
        <w:rPr>
          <w:rStyle w:val="normaltextrun"/>
          <w:rFonts w:ascii="Arial" w:hAnsi="Arial" w:cs="Arial"/>
          <w:sz w:val="20"/>
          <w:szCs w:val="20"/>
        </w:rPr>
        <w:t xml:space="preserve"> </w:t>
      </w:r>
    </w:p>
    <w:p w14:paraId="13898161" w14:textId="71FE3C02" w:rsidR="005E58FF" w:rsidRPr="00D44004" w:rsidRDefault="00400610" w:rsidP="00D44004">
      <w:pPr>
        <w:pStyle w:val="References"/>
        <w:ind w:left="300" w:hanging="300"/>
        <w:rPr>
          <w:rFonts w:ascii="Arial" w:hAnsi="Arial" w:cs="Arial"/>
          <w:sz w:val="20"/>
          <w:szCs w:val="20"/>
        </w:rPr>
      </w:pPr>
      <w:proofErr w:type="spellStart"/>
      <w:r w:rsidRPr="00400610">
        <w:rPr>
          <w:rStyle w:val="normaltextrun"/>
          <w:rFonts w:ascii="Arial" w:hAnsi="Arial" w:cs="Arial"/>
          <w:sz w:val="20"/>
          <w:szCs w:val="20"/>
        </w:rPr>
        <w:t>Neuschwander-Tetri</w:t>
      </w:r>
      <w:proofErr w:type="spellEnd"/>
      <w:r w:rsidRPr="00400610">
        <w:rPr>
          <w:rStyle w:val="normaltextrun"/>
          <w:rFonts w:ascii="Arial" w:hAnsi="Arial" w:cs="Arial"/>
          <w:sz w:val="20"/>
          <w:szCs w:val="20"/>
        </w:rPr>
        <w:t xml:space="preserve">, B. A., &amp; Bacon, B. R. (1996). Nonalcoholic steatohepatitis. Medical Clinics of North America, 80(5), 1147-1166. </w:t>
      </w:r>
      <w:hyperlink r:id="rId16" w:history="1">
        <w:r w:rsidRPr="000D5FD9">
          <w:rPr>
            <w:rStyle w:val="Hyperlink"/>
            <w:rFonts w:ascii="Arial" w:hAnsi="Arial" w:cs="Arial"/>
            <w:sz w:val="20"/>
            <w:szCs w:val="20"/>
          </w:rPr>
          <w:t>https://doi.org/10.1016/s0025-7125(05)70483-1</w:t>
        </w:r>
      </w:hyperlink>
      <w:r>
        <w:rPr>
          <w:rStyle w:val="normaltextrun"/>
          <w:rFonts w:ascii="Arial" w:hAnsi="Arial" w:cs="Arial"/>
          <w:sz w:val="20"/>
          <w:szCs w:val="20"/>
        </w:rPr>
        <w:t xml:space="preserve"> </w:t>
      </w:r>
      <w:r w:rsidR="005E58FF" w:rsidRPr="00D44004">
        <w:rPr>
          <w:rStyle w:val="eop"/>
          <w:rFonts w:ascii="Arial" w:hAnsi="Arial" w:cs="Arial"/>
          <w:sz w:val="20"/>
          <w:szCs w:val="20"/>
        </w:rPr>
        <w:t> </w:t>
      </w:r>
    </w:p>
    <w:p w14:paraId="1D35105A" w14:textId="3382BED7" w:rsidR="005E58FF" w:rsidRPr="00D44004" w:rsidRDefault="002333B4" w:rsidP="00D44004">
      <w:pPr>
        <w:pStyle w:val="References"/>
        <w:ind w:left="300" w:hanging="300"/>
        <w:rPr>
          <w:rFonts w:ascii="Arial" w:hAnsi="Arial" w:cs="Arial"/>
          <w:sz w:val="20"/>
          <w:szCs w:val="20"/>
        </w:rPr>
      </w:pPr>
      <w:r w:rsidRPr="002333B4">
        <w:rPr>
          <w:rStyle w:val="normaltextrun"/>
          <w:rFonts w:ascii="Arial" w:hAnsi="Arial" w:cs="Arial"/>
          <w:sz w:val="20"/>
          <w:szCs w:val="20"/>
          <w:lang w:val="bs-Latn-BA"/>
        </w:rPr>
        <w:t xml:space="preserve">Redlich, C. A., &amp; Cullen, M. R. (1997). Nonalcoholic steatohepatitis [Letter to the editor]. Annals of Internal Medicine, 127(5), 410. </w:t>
      </w:r>
      <w:r>
        <w:rPr>
          <w:rStyle w:val="normaltextrun"/>
          <w:rFonts w:ascii="Arial" w:hAnsi="Arial" w:cs="Arial"/>
          <w:sz w:val="20"/>
          <w:szCs w:val="20"/>
          <w:lang w:val="bs-Latn-BA"/>
        </w:rPr>
        <w:fldChar w:fldCharType="begin"/>
      </w:r>
      <w:r>
        <w:rPr>
          <w:rStyle w:val="normaltextrun"/>
          <w:rFonts w:ascii="Arial" w:hAnsi="Arial" w:cs="Arial"/>
          <w:sz w:val="20"/>
          <w:szCs w:val="20"/>
          <w:lang w:val="bs-Latn-BA"/>
        </w:rPr>
        <w:instrText xml:space="preserve"> HYPERLINK "</w:instrText>
      </w:r>
      <w:r w:rsidRPr="002333B4">
        <w:rPr>
          <w:rStyle w:val="normaltextrun"/>
          <w:rFonts w:ascii="Arial" w:hAnsi="Arial" w:cs="Arial"/>
          <w:sz w:val="20"/>
          <w:szCs w:val="20"/>
          <w:lang w:val="bs-Latn-BA"/>
        </w:rPr>
        <w:instrText>https://doi.org/10.7326/0003-4819-127-5-199709010-00014</w:instrText>
      </w:r>
      <w:r>
        <w:rPr>
          <w:rStyle w:val="normaltextrun"/>
          <w:rFonts w:ascii="Arial" w:hAnsi="Arial" w:cs="Arial"/>
          <w:sz w:val="20"/>
          <w:szCs w:val="20"/>
          <w:lang w:val="bs-Latn-BA"/>
        </w:rPr>
        <w:instrText xml:space="preserve">" </w:instrText>
      </w:r>
      <w:r>
        <w:rPr>
          <w:rStyle w:val="normaltextrun"/>
          <w:rFonts w:ascii="Arial" w:hAnsi="Arial" w:cs="Arial"/>
          <w:sz w:val="20"/>
          <w:szCs w:val="20"/>
          <w:lang w:val="bs-Latn-BA"/>
        </w:rPr>
        <w:fldChar w:fldCharType="separate"/>
      </w:r>
      <w:r w:rsidRPr="000D5FD9">
        <w:rPr>
          <w:rStyle w:val="Hyperlink"/>
          <w:rFonts w:ascii="Arial" w:hAnsi="Arial" w:cs="Arial"/>
          <w:sz w:val="20"/>
          <w:szCs w:val="20"/>
          <w:lang w:val="bs-Latn-BA"/>
        </w:rPr>
        <w:t>https://doi.org/10.7326/0003-4819-127-5-199709010-00014</w:t>
      </w:r>
      <w:r>
        <w:rPr>
          <w:rStyle w:val="normaltextrun"/>
          <w:rFonts w:ascii="Arial" w:hAnsi="Arial" w:cs="Arial"/>
          <w:sz w:val="20"/>
          <w:szCs w:val="20"/>
          <w:lang w:val="bs-Latn-BA"/>
        </w:rPr>
        <w:fldChar w:fldCharType="end"/>
      </w:r>
      <w:r>
        <w:rPr>
          <w:rStyle w:val="normaltextrun"/>
          <w:rFonts w:ascii="Arial" w:hAnsi="Arial" w:cs="Arial"/>
          <w:sz w:val="20"/>
          <w:szCs w:val="20"/>
          <w:lang w:val="bs-Latn-BA"/>
        </w:rPr>
        <w:t xml:space="preserve"> </w:t>
      </w:r>
      <w:r w:rsidR="005E58FF" w:rsidRPr="00D44004">
        <w:rPr>
          <w:rStyle w:val="eop"/>
          <w:rFonts w:ascii="Arial" w:hAnsi="Arial" w:cs="Arial"/>
          <w:sz w:val="20"/>
          <w:szCs w:val="20"/>
        </w:rPr>
        <w:t> </w:t>
      </w:r>
    </w:p>
    <w:p w14:paraId="17C10352" w14:textId="77777777" w:rsidR="005E58FF" w:rsidRPr="00D44004" w:rsidRDefault="005E58FF" w:rsidP="00D44004">
      <w:pPr>
        <w:pStyle w:val="References"/>
        <w:ind w:left="300" w:hanging="300"/>
        <w:rPr>
          <w:rFonts w:ascii="Arial" w:hAnsi="Arial" w:cs="Arial"/>
          <w:color w:val="auto"/>
          <w:sz w:val="20"/>
          <w:szCs w:val="20"/>
        </w:rPr>
      </w:pPr>
      <w:r w:rsidRPr="00D44004">
        <w:rPr>
          <w:rStyle w:val="normaltextrun"/>
          <w:rFonts w:ascii="Arial" w:hAnsi="Arial" w:cs="Arial"/>
          <w:color w:val="auto"/>
          <w:sz w:val="20"/>
          <w:szCs w:val="20"/>
        </w:rPr>
        <w:t>Redlich CA, Brodkin D. Occupational liver disease, In: Rosenstock, L., Cullen, M.R. (Eds), Clinical Occupational and Environmental Medicine, Philadelphia: WB Saunders, 1994., 423-436.</w:t>
      </w:r>
      <w:r w:rsidRPr="00D44004">
        <w:rPr>
          <w:rStyle w:val="eop"/>
          <w:rFonts w:ascii="Arial" w:hAnsi="Arial" w:cs="Arial"/>
          <w:color w:val="auto"/>
          <w:sz w:val="20"/>
          <w:szCs w:val="20"/>
        </w:rPr>
        <w:t> </w:t>
      </w:r>
    </w:p>
    <w:p w14:paraId="62A92439" w14:textId="366D01ED" w:rsidR="005E58FF" w:rsidRPr="00D44004" w:rsidRDefault="002333B4" w:rsidP="00D44004">
      <w:pPr>
        <w:pStyle w:val="References"/>
        <w:ind w:left="300" w:hanging="300"/>
        <w:rPr>
          <w:rFonts w:ascii="Arial" w:hAnsi="Arial" w:cs="Arial"/>
          <w:sz w:val="20"/>
          <w:szCs w:val="20"/>
        </w:rPr>
      </w:pPr>
      <w:r w:rsidRPr="002333B4">
        <w:rPr>
          <w:rStyle w:val="normaltextrun"/>
          <w:rFonts w:ascii="Arial" w:hAnsi="Arial" w:cs="Arial"/>
          <w:sz w:val="20"/>
          <w:szCs w:val="20"/>
        </w:rPr>
        <w:t xml:space="preserve">Angulo, P. (2002). Nonalcoholic fatty liver disease. New England Journal of Medicine, 346(16), 1221–1231. </w:t>
      </w:r>
      <w:hyperlink r:id="rId17" w:history="1">
        <w:r w:rsidRPr="000D5FD9">
          <w:rPr>
            <w:rStyle w:val="Hyperlink"/>
            <w:rFonts w:ascii="Arial" w:hAnsi="Arial" w:cs="Arial"/>
            <w:sz w:val="20"/>
            <w:szCs w:val="20"/>
          </w:rPr>
          <w:t>https://doi.org/10.1056/NEJMra011775</w:t>
        </w:r>
      </w:hyperlink>
      <w:r>
        <w:rPr>
          <w:rStyle w:val="normaltextrun"/>
          <w:rFonts w:ascii="Arial" w:hAnsi="Arial" w:cs="Arial"/>
          <w:sz w:val="20"/>
          <w:szCs w:val="20"/>
        </w:rPr>
        <w:t xml:space="preserve"> </w:t>
      </w:r>
      <w:r w:rsidR="005E58FF" w:rsidRPr="00D44004">
        <w:rPr>
          <w:rStyle w:val="normaltextrun"/>
          <w:rFonts w:ascii="Arial" w:hAnsi="Arial" w:cs="Arial"/>
          <w:sz w:val="20"/>
          <w:szCs w:val="20"/>
        </w:rPr>
        <w:t>.</w:t>
      </w:r>
      <w:r w:rsidR="005E58FF" w:rsidRPr="00D44004">
        <w:rPr>
          <w:rStyle w:val="eop"/>
          <w:rFonts w:ascii="Arial" w:hAnsi="Arial" w:cs="Arial"/>
          <w:sz w:val="20"/>
          <w:szCs w:val="20"/>
        </w:rPr>
        <w:t> </w:t>
      </w:r>
    </w:p>
    <w:p w14:paraId="0DDF8AD5" w14:textId="180FAF6A" w:rsidR="005E58FF" w:rsidRPr="00D44004" w:rsidRDefault="0059698C" w:rsidP="00D44004">
      <w:pPr>
        <w:pStyle w:val="References"/>
        <w:ind w:left="300" w:hanging="300"/>
        <w:rPr>
          <w:rFonts w:ascii="Arial" w:hAnsi="Arial" w:cs="Arial"/>
          <w:sz w:val="20"/>
          <w:szCs w:val="20"/>
        </w:rPr>
      </w:pPr>
      <w:r w:rsidRPr="0059698C">
        <w:rPr>
          <w:rStyle w:val="normaltextrun"/>
          <w:rFonts w:ascii="Arial" w:hAnsi="Arial" w:cs="Arial"/>
          <w:color w:val="222222"/>
          <w:sz w:val="20"/>
          <w:szCs w:val="20"/>
        </w:rPr>
        <w:t xml:space="preserve">Pérez, C. A., </w:t>
      </w:r>
      <w:proofErr w:type="spellStart"/>
      <w:r w:rsidRPr="0059698C">
        <w:rPr>
          <w:rStyle w:val="normaltextrun"/>
          <w:rFonts w:ascii="Arial" w:hAnsi="Arial" w:cs="Arial"/>
          <w:color w:val="222222"/>
          <w:sz w:val="20"/>
          <w:szCs w:val="20"/>
        </w:rPr>
        <w:t>Bosia</w:t>
      </w:r>
      <w:proofErr w:type="spellEnd"/>
      <w:r w:rsidRPr="0059698C">
        <w:rPr>
          <w:rStyle w:val="normaltextrun"/>
          <w:rFonts w:ascii="Arial" w:hAnsi="Arial" w:cs="Arial"/>
          <w:color w:val="222222"/>
          <w:sz w:val="20"/>
          <w:szCs w:val="20"/>
        </w:rPr>
        <w:t xml:space="preserve">, J. D., Cantore, M. S., </w:t>
      </w:r>
      <w:proofErr w:type="spellStart"/>
      <w:r w:rsidRPr="0059698C">
        <w:rPr>
          <w:rStyle w:val="normaltextrun"/>
          <w:rFonts w:ascii="Arial" w:hAnsi="Arial" w:cs="Arial"/>
          <w:color w:val="222222"/>
          <w:sz w:val="20"/>
          <w:szCs w:val="20"/>
        </w:rPr>
        <w:t>Chiera</w:t>
      </w:r>
      <w:proofErr w:type="spellEnd"/>
      <w:r w:rsidRPr="0059698C">
        <w:rPr>
          <w:rStyle w:val="normaltextrun"/>
          <w:rFonts w:ascii="Arial" w:hAnsi="Arial" w:cs="Arial"/>
          <w:color w:val="222222"/>
          <w:sz w:val="20"/>
          <w:szCs w:val="20"/>
        </w:rPr>
        <w:t xml:space="preserve">, A., </w:t>
      </w:r>
      <w:proofErr w:type="spellStart"/>
      <w:r w:rsidRPr="0059698C">
        <w:rPr>
          <w:rStyle w:val="normaltextrun"/>
          <w:rFonts w:ascii="Arial" w:hAnsi="Arial" w:cs="Arial"/>
          <w:color w:val="222222"/>
          <w:sz w:val="20"/>
          <w:szCs w:val="20"/>
        </w:rPr>
        <w:t>Cocozzella</w:t>
      </w:r>
      <w:proofErr w:type="spellEnd"/>
      <w:r w:rsidRPr="0059698C">
        <w:rPr>
          <w:rStyle w:val="normaltextrun"/>
          <w:rFonts w:ascii="Arial" w:hAnsi="Arial" w:cs="Arial"/>
          <w:color w:val="222222"/>
          <w:sz w:val="20"/>
          <w:szCs w:val="20"/>
        </w:rPr>
        <w:t xml:space="preserve">, D. R., </w:t>
      </w:r>
      <w:proofErr w:type="spellStart"/>
      <w:r w:rsidRPr="0059698C">
        <w:rPr>
          <w:rStyle w:val="normaltextrun"/>
          <w:rFonts w:ascii="Arial" w:hAnsi="Arial" w:cs="Arial"/>
          <w:color w:val="222222"/>
          <w:sz w:val="20"/>
          <w:szCs w:val="20"/>
        </w:rPr>
        <w:t>Adrover</w:t>
      </w:r>
      <w:proofErr w:type="spellEnd"/>
      <w:r w:rsidRPr="0059698C">
        <w:rPr>
          <w:rStyle w:val="normaltextrun"/>
          <w:rFonts w:ascii="Arial" w:hAnsi="Arial" w:cs="Arial"/>
          <w:color w:val="222222"/>
          <w:sz w:val="20"/>
          <w:szCs w:val="20"/>
        </w:rPr>
        <w:t xml:space="preserve">, R. E., </w:t>
      </w:r>
      <w:proofErr w:type="spellStart"/>
      <w:r w:rsidRPr="0059698C">
        <w:rPr>
          <w:rStyle w:val="normaltextrun"/>
          <w:rFonts w:ascii="Arial" w:hAnsi="Arial" w:cs="Arial"/>
          <w:color w:val="222222"/>
          <w:sz w:val="20"/>
          <w:szCs w:val="20"/>
        </w:rPr>
        <w:t>Borzi</w:t>
      </w:r>
      <w:proofErr w:type="spellEnd"/>
      <w:r w:rsidRPr="0059698C">
        <w:rPr>
          <w:rStyle w:val="normaltextrun"/>
          <w:rFonts w:ascii="Arial" w:hAnsi="Arial" w:cs="Arial"/>
          <w:color w:val="222222"/>
          <w:sz w:val="20"/>
          <w:szCs w:val="20"/>
        </w:rPr>
        <w:t xml:space="preserve">, S., &amp; </w:t>
      </w:r>
      <w:proofErr w:type="spellStart"/>
      <w:r w:rsidRPr="0059698C">
        <w:rPr>
          <w:rStyle w:val="normaltextrun"/>
          <w:rFonts w:ascii="Arial" w:hAnsi="Arial" w:cs="Arial"/>
          <w:color w:val="222222"/>
          <w:sz w:val="20"/>
          <w:szCs w:val="20"/>
        </w:rPr>
        <w:t>Curciarello</w:t>
      </w:r>
      <w:proofErr w:type="spellEnd"/>
      <w:r w:rsidRPr="0059698C">
        <w:rPr>
          <w:rStyle w:val="normaltextrun"/>
          <w:rFonts w:ascii="Arial" w:hAnsi="Arial" w:cs="Arial"/>
          <w:color w:val="222222"/>
          <w:sz w:val="20"/>
          <w:szCs w:val="20"/>
        </w:rPr>
        <w:t xml:space="preserve">, J. O. (2006). Liver damage in workers exposed to hydrocarbons. </w:t>
      </w:r>
      <w:proofErr w:type="spellStart"/>
      <w:r w:rsidRPr="0059698C">
        <w:rPr>
          <w:rStyle w:val="normaltextrun"/>
          <w:rFonts w:ascii="Arial" w:hAnsi="Arial" w:cs="Arial"/>
          <w:color w:val="222222"/>
          <w:sz w:val="20"/>
          <w:szCs w:val="20"/>
        </w:rPr>
        <w:t>Gastroenterología</w:t>
      </w:r>
      <w:proofErr w:type="spellEnd"/>
      <w:r w:rsidRPr="0059698C">
        <w:rPr>
          <w:rStyle w:val="normaltextrun"/>
          <w:rFonts w:ascii="Arial" w:hAnsi="Arial" w:cs="Arial"/>
          <w:color w:val="222222"/>
          <w:sz w:val="20"/>
          <w:szCs w:val="20"/>
        </w:rPr>
        <w:t xml:space="preserve"> y </w:t>
      </w:r>
      <w:proofErr w:type="spellStart"/>
      <w:r w:rsidRPr="0059698C">
        <w:rPr>
          <w:rStyle w:val="normaltextrun"/>
          <w:rFonts w:ascii="Arial" w:hAnsi="Arial" w:cs="Arial"/>
          <w:color w:val="222222"/>
          <w:sz w:val="20"/>
          <w:szCs w:val="20"/>
        </w:rPr>
        <w:t>hepatología</w:t>
      </w:r>
      <w:proofErr w:type="spellEnd"/>
      <w:r w:rsidRPr="0059698C">
        <w:rPr>
          <w:rStyle w:val="normaltextrun"/>
          <w:rFonts w:ascii="Arial" w:hAnsi="Arial" w:cs="Arial"/>
          <w:color w:val="222222"/>
          <w:sz w:val="20"/>
          <w:szCs w:val="20"/>
        </w:rPr>
        <w:t xml:space="preserve">, 29(6), 334-337. </w:t>
      </w:r>
      <w:hyperlink r:id="rId18" w:history="1">
        <w:r w:rsidRPr="000D5FD9">
          <w:rPr>
            <w:rStyle w:val="Hyperlink"/>
            <w:rFonts w:ascii="Arial" w:hAnsi="Arial" w:cs="Arial"/>
            <w:sz w:val="20"/>
            <w:szCs w:val="20"/>
          </w:rPr>
          <w:t>https://doi.org/10.1157/13089716</w:t>
        </w:r>
      </w:hyperlink>
      <w:r>
        <w:rPr>
          <w:rStyle w:val="normaltextrun"/>
          <w:rFonts w:ascii="Arial" w:hAnsi="Arial" w:cs="Arial"/>
          <w:color w:val="222222"/>
          <w:sz w:val="20"/>
          <w:szCs w:val="20"/>
        </w:rPr>
        <w:t xml:space="preserve"> </w:t>
      </w:r>
    </w:p>
    <w:p w14:paraId="53DDC4FA" w14:textId="5CF84D8E" w:rsidR="005E58FF" w:rsidRPr="00D44004" w:rsidRDefault="007075AD" w:rsidP="00D44004">
      <w:pPr>
        <w:pStyle w:val="References"/>
        <w:ind w:left="300" w:hanging="300"/>
        <w:rPr>
          <w:rFonts w:ascii="Arial" w:hAnsi="Arial" w:cs="Arial"/>
          <w:sz w:val="20"/>
          <w:szCs w:val="20"/>
        </w:rPr>
      </w:pPr>
      <w:r w:rsidRPr="007075AD">
        <w:rPr>
          <w:rStyle w:val="normaltextrun"/>
          <w:rFonts w:ascii="Arial" w:hAnsi="Arial" w:cs="Arial"/>
          <w:sz w:val="20"/>
          <w:szCs w:val="20"/>
        </w:rPr>
        <w:t xml:space="preserve">Cave, M., </w:t>
      </w:r>
      <w:proofErr w:type="spellStart"/>
      <w:r w:rsidRPr="007075AD">
        <w:rPr>
          <w:rStyle w:val="normaltextrun"/>
          <w:rFonts w:ascii="Arial" w:hAnsi="Arial" w:cs="Arial"/>
          <w:sz w:val="20"/>
          <w:szCs w:val="20"/>
        </w:rPr>
        <w:t>Deaciuc</w:t>
      </w:r>
      <w:proofErr w:type="spellEnd"/>
      <w:r w:rsidRPr="007075AD">
        <w:rPr>
          <w:rStyle w:val="normaltextrun"/>
          <w:rFonts w:ascii="Arial" w:hAnsi="Arial" w:cs="Arial"/>
          <w:sz w:val="20"/>
          <w:szCs w:val="20"/>
        </w:rPr>
        <w:t>, I., Mendez, C., Song, Z., Joshi-</w:t>
      </w:r>
      <w:proofErr w:type="spellStart"/>
      <w:r w:rsidRPr="007075AD">
        <w:rPr>
          <w:rStyle w:val="normaltextrun"/>
          <w:rFonts w:ascii="Arial" w:hAnsi="Arial" w:cs="Arial"/>
          <w:sz w:val="20"/>
          <w:szCs w:val="20"/>
        </w:rPr>
        <w:t>Barve</w:t>
      </w:r>
      <w:proofErr w:type="spellEnd"/>
      <w:r w:rsidRPr="007075AD">
        <w:rPr>
          <w:rStyle w:val="normaltextrun"/>
          <w:rFonts w:ascii="Arial" w:hAnsi="Arial" w:cs="Arial"/>
          <w:sz w:val="20"/>
          <w:szCs w:val="20"/>
        </w:rPr>
        <w:t xml:space="preserve">, S., </w:t>
      </w:r>
      <w:proofErr w:type="spellStart"/>
      <w:r w:rsidRPr="007075AD">
        <w:rPr>
          <w:rStyle w:val="normaltextrun"/>
          <w:rFonts w:ascii="Arial" w:hAnsi="Arial" w:cs="Arial"/>
          <w:sz w:val="20"/>
          <w:szCs w:val="20"/>
        </w:rPr>
        <w:t>Barve</w:t>
      </w:r>
      <w:proofErr w:type="spellEnd"/>
      <w:r w:rsidRPr="007075AD">
        <w:rPr>
          <w:rStyle w:val="normaltextrun"/>
          <w:rFonts w:ascii="Arial" w:hAnsi="Arial" w:cs="Arial"/>
          <w:sz w:val="20"/>
          <w:szCs w:val="20"/>
        </w:rPr>
        <w:t xml:space="preserve">, S., &amp; McClain, C. (2007). Nonalcoholic fatty liver disease: predisposing factors and the role of nutrition. Journal of Nutritional Biochemistry, 18(3), 184–195. </w:t>
      </w:r>
      <w:hyperlink r:id="rId19" w:history="1">
        <w:r w:rsidRPr="000D5FD9">
          <w:rPr>
            <w:rStyle w:val="Hyperlink"/>
            <w:rFonts w:ascii="Arial" w:hAnsi="Arial" w:cs="Arial"/>
            <w:sz w:val="20"/>
            <w:szCs w:val="20"/>
          </w:rPr>
          <w:t>https://doi.org/10.1016/j.jnutbio.2006.12.006</w:t>
        </w:r>
      </w:hyperlink>
      <w:r>
        <w:rPr>
          <w:rStyle w:val="normaltextrun"/>
          <w:rFonts w:ascii="Arial" w:hAnsi="Arial" w:cs="Arial"/>
          <w:sz w:val="20"/>
          <w:szCs w:val="20"/>
        </w:rPr>
        <w:t xml:space="preserve"> </w:t>
      </w:r>
      <w:r w:rsidR="005E58FF" w:rsidRPr="00D44004">
        <w:rPr>
          <w:rStyle w:val="eop"/>
          <w:rFonts w:ascii="Arial" w:hAnsi="Arial" w:cs="Arial"/>
          <w:sz w:val="20"/>
          <w:szCs w:val="20"/>
        </w:rPr>
        <w:t xml:space="preserve"> </w:t>
      </w:r>
    </w:p>
    <w:p w14:paraId="7DDA7C1D" w14:textId="1D217D4E" w:rsidR="005E58FF" w:rsidRPr="00D44004" w:rsidRDefault="00E15A71" w:rsidP="00D44004">
      <w:pPr>
        <w:pStyle w:val="References"/>
        <w:ind w:left="300" w:hanging="300"/>
        <w:rPr>
          <w:rFonts w:ascii="Arial" w:hAnsi="Arial" w:cs="Arial"/>
          <w:sz w:val="20"/>
          <w:szCs w:val="20"/>
        </w:rPr>
      </w:pPr>
      <w:r w:rsidRPr="00E15A71">
        <w:rPr>
          <w:rStyle w:val="normaltextrun"/>
          <w:rFonts w:ascii="Arial" w:hAnsi="Arial" w:cs="Arial"/>
          <w:sz w:val="20"/>
          <w:szCs w:val="20"/>
        </w:rPr>
        <w:t>El-</w:t>
      </w:r>
      <w:proofErr w:type="spellStart"/>
      <w:r w:rsidRPr="00E15A71">
        <w:rPr>
          <w:rStyle w:val="normaltextrun"/>
          <w:rFonts w:ascii="Arial" w:hAnsi="Arial" w:cs="Arial"/>
          <w:sz w:val="20"/>
          <w:szCs w:val="20"/>
        </w:rPr>
        <w:t>Shakour</w:t>
      </w:r>
      <w:proofErr w:type="spellEnd"/>
      <w:r w:rsidRPr="00E15A71">
        <w:rPr>
          <w:rStyle w:val="normaltextrun"/>
          <w:rFonts w:ascii="Arial" w:hAnsi="Arial" w:cs="Arial"/>
          <w:sz w:val="20"/>
          <w:szCs w:val="20"/>
        </w:rPr>
        <w:t>, A. A., El-</w:t>
      </w:r>
      <w:proofErr w:type="spellStart"/>
      <w:r w:rsidRPr="00E15A71">
        <w:rPr>
          <w:rStyle w:val="normaltextrun"/>
          <w:rFonts w:ascii="Arial" w:hAnsi="Arial" w:cs="Arial"/>
          <w:sz w:val="20"/>
          <w:szCs w:val="20"/>
        </w:rPr>
        <w:t>Ebiarie</w:t>
      </w:r>
      <w:proofErr w:type="spellEnd"/>
      <w:r w:rsidRPr="00E15A71">
        <w:rPr>
          <w:rStyle w:val="normaltextrun"/>
          <w:rFonts w:ascii="Arial" w:hAnsi="Arial" w:cs="Arial"/>
          <w:sz w:val="20"/>
          <w:szCs w:val="20"/>
        </w:rPr>
        <w:t xml:space="preserve">, A. S., Ibrahim, Y. H., Abdel </w:t>
      </w:r>
      <w:proofErr w:type="spellStart"/>
      <w:r w:rsidRPr="00E15A71">
        <w:rPr>
          <w:rStyle w:val="normaltextrun"/>
          <w:rFonts w:ascii="Arial" w:hAnsi="Arial" w:cs="Arial"/>
          <w:sz w:val="20"/>
          <w:szCs w:val="20"/>
        </w:rPr>
        <w:t>Moneim</w:t>
      </w:r>
      <w:proofErr w:type="spellEnd"/>
      <w:r w:rsidRPr="00E15A71">
        <w:rPr>
          <w:rStyle w:val="normaltextrun"/>
          <w:rFonts w:ascii="Arial" w:hAnsi="Arial" w:cs="Arial"/>
          <w:sz w:val="20"/>
          <w:szCs w:val="20"/>
        </w:rPr>
        <w:t>, A. E., &amp; El-</w:t>
      </w:r>
      <w:proofErr w:type="spellStart"/>
      <w:r w:rsidRPr="00E15A71">
        <w:rPr>
          <w:rStyle w:val="normaltextrun"/>
          <w:rFonts w:ascii="Arial" w:hAnsi="Arial" w:cs="Arial"/>
          <w:sz w:val="20"/>
          <w:szCs w:val="20"/>
        </w:rPr>
        <w:t>Mekawy</w:t>
      </w:r>
      <w:proofErr w:type="spellEnd"/>
      <w:r w:rsidRPr="00E15A71">
        <w:rPr>
          <w:rStyle w:val="normaltextrun"/>
          <w:rFonts w:ascii="Arial" w:hAnsi="Arial" w:cs="Arial"/>
          <w:sz w:val="20"/>
          <w:szCs w:val="20"/>
        </w:rPr>
        <w:t xml:space="preserve">, A. M. (2015). Effect of benzene on oxidative stress and the functions of liver and kidney in rats. Journal of Environmental and Occupational Health, 4, 34-39. </w:t>
      </w:r>
      <w:hyperlink r:id="rId20" w:history="1">
        <w:r w:rsidRPr="000D5FD9">
          <w:rPr>
            <w:rStyle w:val="Hyperlink"/>
            <w:rFonts w:ascii="Arial" w:hAnsi="Arial" w:cs="Arial"/>
            <w:sz w:val="20"/>
            <w:szCs w:val="20"/>
          </w:rPr>
          <w:t>https://doi.org/10.5455/jeos.20141223050552</w:t>
        </w:r>
      </w:hyperlink>
      <w:r>
        <w:rPr>
          <w:rStyle w:val="normaltextrun"/>
          <w:rFonts w:ascii="Arial" w:hAnsi="Arial" w:cs="Arial"/>
          <w:sz w:val="20"/>
          <w:szCs w:val="20"/>
        </w:rPr>
        <w:t xml:space="preserve"> </w:t>
      </w:r>
      <w:r w:rsidR="005E58FF" w:rsidRPr="00D44004">
        <w:rPr>
          <w:rStyle w:val="eop"/>
          <w:rFonts w:ascii="Arial" w:hAnsi="Arial" w:cs="Arial"/>
          <w:sz w:val="20"/>
          <w:szCs w:val="20"/>
        </w:rPr>
        <w:t> </w:t>
      </w:r>
    </w:p>
    <w:p w14:paraId="41D867CF" w14:textId="07426203" w:rsidR="005E58FF" w:rsidRPr="00D44004" w:rsidRDefault="003E0204" w:rsidP="00D44004">
      <w:pPr>
        <w:pStyle w:val="References"/>
        <w:ind w:left="300" w:hanging="300"/>
        <w:rPr>
          <w:rFonts w:ascii="Arial" w:hAnsi="Arial" w:cs="Arial"/>
          <w:sz w:val="20"/>
          <w:szCs w:val="20"/>
        </w:rPr>
      </w:pPr>
      <w:proofErr w:type="spellStart"/>
      <w:r w:rsidRPr="003E0204">
        <w:rPr>
          <w:rStyle w:val="normaltextrun"/>
          <w:rFonts w:ascii="Arial" w:hAnsi="Arial" w:cs="Arial"/>
          <w:sz w:val="20"/>
          <w:szCs w:val="20"/>
        </w:rPr>
        <w:t>Cotrim</w:t>
      </w:r>
      <w:proofErr w:type="spellEnd"/>
      <w:r w:rsidRPr="003E0204">
        <w:rPr>
          <w:rStyle w:val="normaltextrun"/>
          <w:rFonts w:ascii="Arial" w:hAnsi="Arial" w:cs="Arial"/>
          <w:sz w:val="20"/>
          <w:szCs w:val="20"/>
        </w:rPr>
        <w:t xml:space="preserve">, H. P., Andrade, Z. A., Parana, R., Portugal, M., Lyra, L. G., &amp; Freitas, L. A. (1999). Nonalcoholic steatohepatitis: A toxic liver disease in industrial workers. Liver, 19(4), 299-304. </w:t>
      </w:r>
      <w:hyperlink r:id="rId21" w:history="1">
        <w:r w:rsidRPr="000D5FD9">
          <w:rPr>
            <w:rStyle w:val="Hyperlink"/>
            <w:rFonts w:ascii="Arial" w:hAnsi="Arial" w:cs="Arial"/>
            <w:sz w:val="20"/>
            <w:szCs w:val="20"/>
          </w:rPr>
          <w:t>https://doi.org/10.1111/j.1478-3231.1999.tb00053.x</w:t>
        </w:r>
      </w:hyperlink>
      <w:r>
        <w:rPr>
          <w:rStyle w:val="normaltextrun"/>
          <w:rFonts w:ascii="Arial" w:hAnsi="Arial" w:cs="Arial"/>
          <w:sz w:val="20"/>
          <w:szCs w:val="20"/>
        </w:rPr>
        <w:t xml:space="preserve"> </w:t>
      </w:r>
    </w:p>
    <w:p w14:paraId="26135308" w14:textId="7E718819" w:rsidR="005E58FF" w:rsidRPr="00D44004" w:rsidRDefault="003E0204" w:rsidP="00D44004">
      <w:pPr>
        <w:pStyle w:val="References"/>
        <w:ind w:left="300" w:hanging="300"/>
        <w:rPr>
          <w:rFonts w:ascii="Arial" w:hAnsi="Arial" w:cs="Arial"/>
          <w:sz w:val="20"/>
          <w:szCs w:val="20"/>
        </w:rPr>
      </w:pPr>
      <w:proofErr w:type="spellStart"/>
      <w:r w:rsidRPr="003E0204">
        <w:rPr>
          <w:rStyle w:val="normaltextrun"/>
          <w:rFonts w:ascii="Arial" w:hAnsi="Arial" w:cs="Arial"/>
          <w:sz w:val="20"/>
          <w:szCs w:val="20"/>
        </w:rPr>
        <w:t>Cotrim</w:t>
      </w:r>
      <w:proofErr w:type="spellEnd"/>
      <w:r w:rsidRPr="003E0204">
        <w:rPr>
          <w:rStyle w:val="normaltextrun"/>
          <w:rFonts w:ascii="Arial" w:hAnsi="Arial" w:cs="Arial"/>
          <w:sz w:val="20"/>
          <w:szCs w:val="20"/>
        </w:rPr>
        <w:t xml:space="preserve">, H. P., De Freitas, L. A., Freitas, C., Braga, L., Sousa, R., Carvalho, F., Parana, R., et al. (2004). Clinical and histopathological features of NASH in workers exposed to chemicals with or without associated metabolic conditions. Liver International, 24, 131–135. </w:t>
      </w:r>
      <w:hyperlink r:id="rId22" w:history="1">
        <w:r w:rsidRPr="000D5FD9">
          <w:rPr>
            <w:rStyle w:val="Hyperlink"/>
            <w:rFonts w:ascii="Arial" w:hAnsi="Arial" w:cs="Arial"/>
            <w:sz w:val="20"/>
            <w:szCs w:val="20"/>
          </w:rPr>
          <w:t>https://doi.org/10.1111/j.1478-3231.2004.0897.x</w:t>
        </w:r>
      </w:hyperlink>
      <w:r>
        <w:rPr>
          <w:rStyle w:val="normaltextrun"/>
          <w:rFonts w:ascii="Arial" w:hAnsi="Arial" w:cs="Arial"/>
          <w:sz w:val="20"/>
          <w:szCs w:val="20"/>
        </w:rPr>
        <w:t xml:space="preserve"> </w:t>
      </w:r>
    </w:p>
    <w:p w14:paraId="4E6523C9" w14:textId="78CBB99B" w:rsidR="005E58FF" w:rsidRPr="00D44004" w:rsidRDefault="003E0204" w:rsidP="00D44004">
      <w:pPr>
        <w:pStyle w:val="References"/>
        <w:ind w:left="300" w:hanging="300"/>
        <w:rPr>
          <w:rFonts w:ascii="Arial" w:hAnsi="Arial" w:cs="Arial"/>
          <w:sz w:val="20"/>
          <w:szCs w:val="20"/>
        </w:rPr>
      </w:pPr>
      <w:r w:rsidRPr="003E0204">
        <w:rPr>
          <w:rStyle w:val="normaltextrun"/>
          <w:rFonts w:ascii="Arial" w:hAnsi="Arial" w:cs="Arial"/>
          <w:sz w:val="20"/>
          <w:szCs w:val="20"/>
          <w:lang w:val="bs-Latn-BA"/>
        </w:rPr>
        <w:t xml:space="preserve">Cotrim, H. P., Carvalho, F., &amp; De Freitas, L. A. R. (2005). Nonalcoholic fatty liver and insulin resistance among petrochemical workers. JAMA, 294(13), 1618-1620. </w:t>
      </w:r>
      <w:r>
        <w:rPr>
          <w:rStyle w:val="normaltextrun"/>
          <w:rFonts w:ascii="Arial" w:hAnsi="Arial" w:cs="Arial"/>
          <w:sz w:val="20"/>
          <w:szCs w:val="20"/>
          <w:lang w:val="bs-Latn-BA"/>
        </w:rPr>
        <w:fldChar w:fldCharType="begin"/>
      </w:r>
      <w:r>
        <w:rPr>
          <w:rStyle w:val="normaltextrun"/>
          <w:rFonts w:ascii="Arial" w:hAnsi="Arial" w:cs="Arial"/>
          <w:sz w:val="20"/>
          <w:szCs w:val="20"/>
          <w:lang w:val="bs-Latn-BA"/>
        </w:rPr>
        <w:instrText xml:space="preserve"> HYPERLINK "</w:instrText>
      </w:r>
      <w:r w:rsidRPr="003E0204">
        <w:rPr>
          <w:rStyle w:val="normaltextrun"/>
          <w:rFonts w:ascii="Arial" w:hAnsi="Arial" w:cs="Arial"/>
          <w:sz w:val="20"/>
          <w:szCs w:val="20"/>
          <w:lang w:val="bs-Latn-BA"/>
        </w:rPr>
        <w:instrText>https://doi.org/10.1001/jama.294.13.1618-b</w:instrText>
      </w:r>
      <w:r>
        <w:rPr>
          <w:rStyle w:val="normaltextrun"/>
          <w:rFonts w:ascii="Arial" w:hAnsi="Arial" w:cs="Arial"/>
          <w:sz w:val="20"/>
          <w:szCs w:val="20"/>
          <w:lang w:val="bs-Latn-BA"/>
        </w:rPr>
        <w:instrText xml:space="preserve">" </w:instrText>
      </w:r>
      <w:r>
        <w:rPr>
          <w:rStyle w:val="normaltextrun"/>
          <w:rFonts w:ascii="Arial" w:hAnsi="Arial" w:cs="Arial"/>
          <w:sz w:val="20"/>
          <w:szCs w:val="20"/>
          <w:lang w:val="bs-Latn-BA"/>
        </w:rPr>
        <w:fldChar w:fldCharType="separate"/>
      </w:r>
      <w:r w:rsidRPr="000D5FD9">
        <w:rPr>
          <w:rStyle w:val="Hyperlink"/>
          <w:rFonts w:ascii="Arial" w:hAnsi="Arial" w:cs="Arial"/>
          <w:sz w:val="20"/>
          <w:szCs w:val="20"/>
          <w:lang w:val="bs-Latn-BA"/>
        </w:rPr>
        <w:t>https://doi.org/10.1001/jama.294.13.1618-b</w:t>
      </w:r>
      <w:r>
        <w:rPr>
          <w:rStyle w:val="normaltextrun"/>
          <w:rFonts w:ascii="Arial" w:hAnsi="Arial" w:cs="Arial"/>
          <w:sz w:val="20"/>
          <w:szCs w:val="20"/>
          <w:lang w:val="bs-Latn-BA"/>
        </w:rPr>
        <w:fldChar w:fldCharType="end"/>
      </w:r>
      <w:r>
        <w:rPr>
          <w:rStyle w:val="normaltextrun"/>
          <w:rFonts w:ascii="Arial" w:hAnsi="Arial" w:cs="Arial"/>
          <w:sz w:val="20"/>
          <w:szCs w:val="20"/>
          <w:lang w:val="bs-Latn-BA"/>
        </w:rPr>
        <w:t xml:space="preserve"> </w:t>
      </w:r>
    </w:p>
    <w:p w14:paraId="191AB39C" w14:textId="39CC0E61" w:rsidR="005E58FF" w:rsidRPr="00D44004" w:rsidRDefault="00015500" w:rsidP="00D44004">
      <w:pPr>
        <w:pStyle w:val="References"/>
        <w:ind w:left="300" w:hanging="300"/>
        <w:rPr>
          <w:rFonts w:ascii="Arial" w:hAnsi="Arial" w:cs="Arial"/>
          <w:sz w:val="20"/>
          <w:szCs w:val="20"/>
        </w:rPr>
      </w:pPr>
      <w:proofErr w:type="spellStart"/>
      <w:r w:rsidRPr="00015500">
        <w:rPr>
          <w:rStyle w:val="normaltextrun"/>
          <w:rFonts w:ascii="Arial" w:hAnsi="Arial" w:cs="Arial"/>
          <w:sz w:val="20"/>
          <w:szCs w:val="20"/>
        </w:rPr>
        <w:t>Michailova</w:t>
      </w:r>
      <w:proofErr w:type="spellEnd"/>
      <w:r w:rsidRPr="00015500">
        <w:rPr>
          <w:rStyle w:val="normaltextrun"/>
          <w:rFonts w:ascii="Arial" w:hAnsi="Arial" w:cs="Arial"/>
          <w:sz w:val="20"/>
          <w:szCs w:val="20"/>
        </w:rPr>
        <w:t xml:space="preserve">, A., </w:t>
      </w:r>
      <w:proofErr w:type="spellStart"/>
      <w:r w:rsidRPr="00015500">
        <w:rPr>
          <w:rStyle w:val="normaltextrun"/>
          <w:rFonts w:ascii="Arial" w:hAnsi="Arial" w:cs="Arial"/>
          <w:sz w:val="20"/>
          <w:szCs w:val="20"/>
        </w:rPr>
        <w:t>Kuneva</w:t>
      </w:r>
      <w:proofErr w:type="spellEnd"/>
      <w:r w:rsidRPr="00015500">
        <w:rPr>
          <w:rStyle w:val="normaltextrun"/>
          <w:rFonts w:ascii="Arial" w:hAnsi="Arial" w:cs="Arial"/>
          <w:sz w:val="20"/>
          <w:szCs w:val="20"/>
        </w:rPr>
        <w:t xml:space="preserve">, T., &amp; Popov, T. (1998). A comparative assessment of liver function in workers in the petroleum industry. International Archives of Occupational and Environmental Health, 71(Suppl), S46–S49. </w:t>
      </w:r>
      <w:hyperlink r:id="rId23" w:history="1">
        <w:r w:rsidRPr="000D5FD9">
          <w:rPr>
            <w:rStyle w:val="Hyperlink"/>
            <w:rFonts w:ascii="Arial" w:hAnsi="Arial" w:cs="Arial"/>
            <w:sz w:val="20"/>
            <w:szCs w:val="20"/>
          </w:rPr>
          <w:t>https://pubmed.ncbi.nlm.nih.gov/9827880/</w:t>
        </w:r>
      </w:hyperlink>
      <w:r>
        <w:rPr>
          <w:rStyle w:val="normaltextrun"/>
          <w:rFonts w:ascii="Arial" w:hAnsi="Arial" w:cs="Arial"/>
          <w:sz w:val="20"/>
          <w:szCs w:val="20"/>
        </w:rPr>
        <w:t xml:space="preserve"> </w:t>
      </w:r>
    </w:p>
    <w:p w14:paraId="30691621" w14:textId="19E71B75" w:rsidR="005E58FF" w:rsidRPr="00D44004" w:rsidRDefault="007C58E7" w:rsidP="00D44004">
      <w:pPr>
        <w:pStyle w:val="References"/>
        <w:ind w:left="300" w:hanging="300"/>
        <w:rPr>
          <w:rFonts w:ascii="Arial" w:hAnsi="Arial" w:cs="Arial"/>
          <w:sz w:val="20"/>
          <w:szCs w:val="20"/>
        </w:rPr>
      </w:pPr>
      <w:r w:rsidRPr="007C58E7">
        <w:rPr>
          <w:rStyle w:val="normaltextrun"/>
          <w:rFonts w:ascii="Arial" w:hAnsi="Arial" w:cs="Arial"/>
          <w:color w:val="222222"/>
          <w:sz w:val="20"/>
          <w:szCs w:val="20"/>
        </w:rPr>
        <w:lastRenderedPageBreak/>
        <w:t>Fernández-</w:t>
      </w:r>
      <w:proofErr w:type="spellStart"/>
      <w:r w:rsidRPr="007C58E7">
        <w:rPr>
          <w:rStyle w:val="normaltextrun"/>
          <w:rFonts w:ascii="Arial" w:hAnsi="Arial" w:cs="Arial"/>
          <w:color w:val="222222"/>
          <w:sz w:val="20"/>
          <w:szCs w:val="20"/>
        </w:rPr>
        <w:t>D'Pool</w:t>
      </w:r>
      <w:proofErr w:type="spellEnd"/>
      <w:r w:rsidRPr="007C58E7">
        <w:rPr>
          <w:rStyle w:val="normaltextrun"/>
          <w:rFonts w:ascii="Arial" w:hAnsi="Arial" w:cs="Arial"/>
          <w:color w:val="222222"/>
          <w:sz w:val="20"/>
          <w:szCs w:val="20"/>
        </w:rPr>
        <w:t xml:space="preserve">, J., &amp; </w:t>
      </w:r>
      <w:proofErr w:type="spellStart"/>
      <w:r w:rsidRPr="007C58E7">
        <w:rPr>
          <w:rStyle w:val="normaltextrun"/>
          <w:rFonts w:ascii="Arial" w:hAnsi="Arial" w:cs="Arial"/>
          <w:color w:val="222222"/>
          <w:sz w:val="20"/>
          <w:szCs w:val="20"/>
        </w:rPr>
        <w:t>Oroño</w:t>
      </w:r>
      <w:proofErr w:type="spellEnd"/>
      <w:r w:rsidRPr="007C58E7">
        <w:rPr>
          <w:rStyle w:val="normaltextrun"/>
          <w:rFonts w:ascii="Arial" w:hAnsi="Arial" w:cs="Arial"/>
          <w:color w:val="222222"/>
          <w:sz w:val="20"/>
          <w:szCs w:val="20"/>
        </w:rPr>
        <w:t xml:space="preserve">-Osorio, A. (2001). Liver function of workers occupationally exposed to mixed organic solvents in a petrochemical industry. </w:t>
      </w:r>
      <w:proofErr w:type="spellStart"/>
      <w:r w:rsidRPr="007C58E7">
        <w:rPr>
          <w:rStyle w:val="normaltextrun"/>
          <w:rFonts w:ascii="Arial" w:hAnsi="Arial" w:cs="Arial"/>
          <w:color w:val="222222"/>
          <w:sz w:val="20"/>
          <w:szCs w:val="20"/>
        </w:rPr>
        <w:t>Investigación</w:t>
      </w:r>
      <w:proofErr w:type="spellEnd"/>
      <w:r w:rsidRPr="007C58E7">
        <w:rPr>
          <w:rStyle w:val="normaltextrun"/>
          <w:rFonts w:ascii="Arial" w:hAnsi="Arial" w:cs="Arial"/>
          <w:color w:val="222222"/>
          <w:sz w:val="20"/>
          <w:szCs w:val="20"/>
        </w:rPr>
        <w:t xml:space="preserve"> </w:t>
      </w:r>
      <w:proofErr w:type="spellStart"/>
      <w:r w:rsidRPr="007C58E7">
        <w:rPr>
          <w:rStyle w:val="normaltextrun"/>
          <w:rFonts w:ascii="Arial" w:hAnsi="Arial" w:cs="Arial"/>
          <w:color w:val="222222"/>
          <w:sz w:val="20"/>
          <w:szCs w:val="20"/>
        </w:rPr>
        <w:t>Clínica</w:t>
      </w:r>
      <w:proofErr w:type="spellEnd"/>
      <w:r w:rsidRPr="007C58E7">
        <w:rPr>
          <w:rStyle w:val="normaltextrun"/>
          <w:rFonts w:ascii="Arial" w:hAnsi="Arial" w:cs="Arial"/>
          <w:color w:val="222222"/>
          <w:sz w:val="20"/>
          <w:szCs w:val="20"/>
        </w:rPr>
        <w:t xml:space="preserve">, 42(2), 87-106. </w:t>
      </w:r>
      <w:hyperlink r:id="rId24" w:history="1">
        <w:r w:rsidRPr="000D5FD9">
          <w:rPr>
            <w:rStyle w:val="Hyperlink"/>
            <w:rFonts w:ascii="Arial" w:hAnsi="Arial" w:cs="Arial"/>
            <w:sz w:val="20"/>
            <w:szCs w:val="20"/>
          </w:rPr>
          <w:t>https://www.scielo.org.ve/scielo.php?script=sci_arttext&amp;pid=S0535-51332001000200002</w:t>
        </w:r>
      </w:hyperlink>
      <w:r>
        <w:rPr>
          <w:rStyle w:val="normaltextrun"/>
          <w:rFonts w:ascii="Arial" w:hAnsi="Arial" w:cs="Arial"/>
          <w:color w:val="222222"/>
          <w:sz w:val="20"/>
          <w:szCs w:val="20"/>
        </w:rPr>
        <w:t xml:space="preserve"> </w:t>
      </w:r>
      <w:r w:rsidR="005E58FF" w:rsidRPr="00D44004">
        <w:rPr>
          <w:rStyle w:val="eop"/>
          <w:rFonts w:ascii="Arial" w:hAnsi="Arial" w:cs="Arial"/>
          <w:color w:val="222222"/>
          <w:sz w:val="20"/>
          <w:szCs w:val="20"/>
        </w:rPr>
        <w:t> </w:t>
      </w:r>
    </w:p>
    <w:p w14:paraId="4A82BB24" w14:textId="77777777" w:rsidR="005E58FF" w:rsidRPr="00D44004" w:rsidRDefault="005E58FF" w:rsidP="00D44004">
      <w:pPr>
        <w:pStyle w:val="References"/>
        <w:ind w:left="300" w:hanging="300"/>
        <w:rPr>
          <w:rFonts w:ascii="Arial" w:hAnsi="Arial" w:cs="Arial"/>
          <w:color w:val="auto"/>
          <w:sz w:val="20"/>
          <w:szCs w:val="20"/>
        </w:rPr>
      </w:pPr>
      <w:r w:rsidRPr="00D44004">
        <w:rPr>
          <w:rStyle w:val="normaltextrun"/>
          <w:rFonts w:ascii="Arial" w:hAnsi="Arial" w:cs="Arial"/>
          <w:color w:val="auto"/>
          <w:sz w:val="20"/>
          <w:szCs w:val="20"/>
          <w:lang w:val="bs-Latn-BA"/>
        </w:rPr>
        <w:t>Mirjana Aranđelović, Jovica Jovanović: Occupational medicine, Faculty of Medicine, Niš, 2007.</w:t>
      </w:r>
      <w:r w:rsidRPr="00D44004">
        <w:rPr>
          <w:rStyle w:val="eop"/>
          <w:rFonts w:ascii="Arial" w:hAnsi="Arial" w:cs="Arial"/>
          <w:color w:val="auto"/>
          <w:sz w:val="20"/>
          <w:szCs w:val="20"/>
        </w:rPr>
        <w:t> </w:t>
      </w:r>
    </w:p>
    <w:p w14:paraId="1452350A" w14:textId="77777777" w:rsidR="005E58FF" w:rsidRPr="00D44004" w:rsidRDefault="005E58FF" w:rsidP="00D44004">
      <w:pPr>
        <w:pStyle w:val="References"/>
        <w:ind w:left="300" w:hanging="300"/>
        <w:rPr>
          <w:rFonts w:ascii="Arial" w:hAnsi="Arial" w:cs="Arial"/>
          <w:color w:val="auto"/>
          <w:sz w:val="20"/>
          <w:szCs w:val="20"/>
        </w:rPr>
      </w:pPr>
      <w:r w:rsidRPr="00D44004">
        <w:rPr>
          <w:rStyle w:val="normaltextrun"/>
          <w:rFonts w:ascii="Arial" w:hAnsi="Arial" w:cs="Arial"/>
          <w:color w:val="auto"/>
          <w:sz w:val="20"/>
          <w:szCs w:val="20"/>
          <w:lang w:val="bs-Latn-BA"/>
        </w:rPr>
        <w:t>Marko Šarić, Eugenija Šuškin: Occupational and environmental medicine, medical publishing house, Zagreb 2002.</w:t>
      </w:r>
      <w:r w:rsidRPr="00D44004">
        <w:rPr>
          <w:rStyle w:val="eop"/>
          <w:rFonts w:ascii="Arial" w:hAnsi="Arial" w:cs="Arial"/>
          <w:color w:val="auto"/>
          <w:sz w:val="20"/>
          <w:szCs w:val="20"/>
        </w:rPr>
        <w:t> </w:t>
      </w:r>
    </w:p>
    <w:sectPr w:rsidR="005E58FF" w:rsidRPr="00D44004" w:rsidSect="00B97307">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EBAB2" w14:textId="77777777" w:rsidR="007D1B4A" w:rsidRDefault="007D1B4A" w:rsidP="00C37E61">
      <w:r>
        <w:separator/>
      </w:r>
    </w:p>
  </w:endnote>
  <w:endnote w:type="continuationSeparator" w:id="0">
    <w:p w14:paraId="2800337D" w14:textId="77777777" w:rsidR="007D1B4A" w:rsidRDefault="007D1B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Brabo">
    <w:altName w:val="Times New Roman"/>
    <w:charset w:val="00"/>
    <w:family w:val="roman"/>
    <w:pitch w:val="variable"/>
  </w:font>
  <w:font w:name="Sitka Heading">
    <w:panose1 w:val="02000505000000020004"/>
    <w:charset w:val="00"/>
    <w:family w:val="auto"/>
    <w:pitch w:val="variable"/>
    <w:sig w:usb0="A00002EF" w:usb1="4000204B" w:usb2="00000000" w:usb3="00000000" w:csb0="0000019F" w:csb1="00000000"/>
  </w:font>
  <w:font w:name="Microsoft GothicNeo">
    <w:charset w:val="81"/>
    <w:family w:val="swiss"/>
    <w:pitch w:val="variable"/>
    <w:sig w:usb0="800002BF" w:usb1="29D7A47B" w:usb2="00000010" w:usb3="00000000" w:csb0="0029009F" w:csb1="00000000"/>
  </w:font>
  <w:font w:name="Shonar Bangla">
    <w:charset w:val="00"/>
    <w:family w:val="roman"/>
    <w:pitch w:val="variable"/>
    <w:sig w:usb0="0001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7AAA" w14:textId="77777777" w:rsidR="00B97307" w:rsidRDefault="00B97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BB94" w14:textId="77777777" w:rsidR="00B97307" w:rsidRDefault="00B97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6972" w14:textId="77777777" w:rsidR="005E58FF" w:rsidRDefault="005E58FF">
    <w:pPr>
      <w:pStyle w:val="Footer"/>
      <w:rPr>
        <w:rFonts w:ascii="Arial" w:hAnsi="Arial" w:cs="Arial"/>
        <w:sz w:val="16"/>
      </w:rPr>
    </w:pPr>
  </w:p>
  <w:p w14:paraId="06EA1EF9" w14:textId="77777777" w:rsidR="005E58FF" w:rsidRDefault="005E58F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EB2E0F1" w14:textId="77777777" w:rsidR="005E58FF" w:rsidRDefault="005E58FF">
    <w:pPr>
      <w:pStyle w:val="Footer"/>
      <w:rPr>
        <w:rFonts w:ascii="Arial" w:hAnsi="Arial" w:cs="Arial"/>
        <w:sz w:val="16"/>
      </w:rPr>
    </w:pPr>
  </w:p>
  <w:p w14:paraId="0F6C5705" w14:textId="77777777" w:rsidR="005E58FF" w:rsidRPr="009E048A" w:rsidRDefault="005E58F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ECEF" w14:textId="77777777" w:rsidR="005E58FF" w:rsidRPr="00C37E61" w:rsidRDefault="005E58F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27F4C" w14:textId="77777777" w:rsidR="007D1B4A" w:rsidRDefault="007D1B4A" w:rsidP="00C37E61">
      <w:r>
        <w:separator/>
      </w:r>
    </w:p>
  </w:footnote>
  <w:footnote w:type="continuationSeparator" w:id="0">
    <w:p w14:paraId="6784D48F" w14:textId="77777777" w:rsidR="007D1B4A" w:rsidRDefault="007D1B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987E" w14:textId="5EB28417" w:rsidR="00B97307" w:rsidRDefault="00B97307">
    <w:pPr>
      <w:pStyle w:val="Header"/>
    </w:pPr>
    <w:r>
      <w:rPr>
        <w:noProof/>
      </w:rPr>
      <w:pict w14:anchorId="6F9C6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2558" w14:textId="13E1672F" w:rsidR="00B97307" w:rsidRDefault="00B97307">
    <w:pPr>
      <w:pStyle w:val="Header"/>
    </w:pPr>
    <w:r>
      <w:rPr>
        <w:noProof/>
      </w:rPr>
      <w:pict w14:anchorId="1DD1C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E030" w14:textId="26C0B807" w:rsidR="005E58FF" w:rsidRPr="00296529" w:rsidRDefault="00B97307" w:rsidP="00296529">
    <w:pPr>
      <w:ind w:left="2160"/>
      <w:jc w:val="center"/>
      <w:rPr>
        <w:rFonts w:ascii="Times New Roman" w:eastAsia="Calibri" w:hAnsi="Times New Roman"/>
        <w:i/>
        <w:sz w:val="18"/>
        <w:szCs w:val="22"/>
      </w:rPr>
    </w:pPr>
    <w:r>
      <w:rPr>
        <w:noProof/>
      </w:rPr>
      <w:pict w14:anchorId="5A8B2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744810" w14:textId="77777777" w:rsidR="005E58FF" w:rsidRPr="00296529" w:rsidRDefault="005E58F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FD5140" w14:textId="77777777" w:rsidR="005E58FF" w:rsidRPr="00296529" w:rsidRDefault="005E58F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22CA02" w14:textId="77777777" w:rsidR="005E58FF" w:rsidRPr="00296529" w:rsidRDefault="005E58F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AC8CB0" w14:textId="77777777" w:rsidR="005E58FF" w:rsidRDefault="005E58F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9E0D3C" w14:textId="77777777" w:rsidR="005E58FF" w:rsidRDefault="005E58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6E93B4" w14:textId="77777777" w:rsidR="005E58FF" w:rsidRDefault="005E58F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7C78" w14:textId="51FD6022" w:rsidR="00B97307" w:rsidRDefault="00B97307">
    <w:pPr>
      <w:pStyle w:val="Header"/>
    </w:pPr>
    <w:r>
      <w:rPr>
        <w:noProof/>
      </w:rPr>
      <w:pict w14:anchorId="20680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D3DD" w14:textId="0A92C6D6" w:rsidR="00B97307" w:rsidRDefault="00B97307">
    <w:pPr>
      <w:pStyle w:val="Header"/>
    </w:pPr>
    <w:r>
      <w:rPr>
        <w:noProof/>
      </w:rPr>
      <w:pict w14:anchorId="5809C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331C" w14:textId="11B1E41E" w:rsidR="00B97307" w:rsidRDefault="00B97307">
    <w:pPr>
      <w:pStyle w:val="Header"/>
    </w:pPr>
    <w:r>
      <w:rPr>
        <w:noProof/>
      </w:rPr>
      <w:pict w14:anchorId="2CE61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F125B"/>
    <w:multiLevelType w:val="hybridMultilevel"/>
    <w:tmpl w:val="65BEA85A"/>
    <w:lvl w:ilvl="0" w:tplc="10F867A2">
      <w:start w:val="1"/>
      <w:numFmt w:val="decimal"/>
      <w:lvlText w:val="%1."/>
      <w:lvlJc w:val="left"/>
      <w:pPr>
        <w:ind w:left="720" w:hanging="360"/>
      </w:pPr>
      <w:rPr>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071BCD"/>
    <w:multiLevelType w:val="hybridMultilevel"/>
    <w:tmpl w:val="256266E4"/>
    <w:lvl w:ilvl="0" w:tplc="AE84710C">
      <w:start w:val="1"/>
      <w:numFmt w:val="decimal"/>
      <w:lvlText w:val="%1."/>
      <w:lvlJc w:val="left"/>
      <w:pPr>
        <w:ind w:left="720" w:hanging="360"/>
      </w:pPr>
      <w:rPr>
        <w:rFonts w:ascii="Times New Roman" w:hAnsi="Times New Roman" w:cs="Times New Roman" w:hint="default"/>
        <w:sz w:val="24"/>
        <w:szCs w:val="24"/>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A4D6561"/>
    <w:multiLevelType w:val="hybridMultilevel"/>
    <w:tmpl w:val="E458C204"/>
    <w:lvl w:ilvl="0" w:tplc="9A08BB88">
      <w:start w:val="1"/>
      <w:numFmt w:val="decimal"/>
      <w:pStyle w:val="References"/>
      <w:suff w:val="space"/>
      <w:lvlText w:val="[%1]"/>
      <w:lvlJc w:val="left"/>
      <w:pPr>
        <w:ind w:left="0" w:firstLine="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9"/>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500"/>
    <w:rsid w:val="00021885"/>
    <w:rsid w:val="00030174"/>
    <w:rsid w:val="0004579C"/>
    <w:rsid w:val="000708A3"/>
    <w:rsid w:val="000A47FA"/>
    <w:rsid w:val="000A65D3"/>
    <w:rsid w:val="000B0F85"/>
    <w:rsid w:val="000B13E0"/>
    <w:rsid w:val="000B1E33"/>
    <w:rsid w:val="000D689F"/>
    <w:rsid w:val="000E7B7B"/>
    <w:rsid w:val="000E7D62"/>
    <w:rsid w:val="00103357"/>
    <w:rsid w:val="00123C9F"/>
    <w:rsid w:val="00126190"/>
    <w:rsid w:val="00130F17"/>
    <w:rsid w:val="001320BF"/>
    <w:rsid w:val="0014704A"/>
    <w:rsid w:val="00163BC4"/>
    <w:rsid w:val="00191062"/>
    <w:rsid w:val="00192B72"/>
    <w:rsid w:val="001A29D8"/>
    <w:rsid w:val="001A5CAA"/>
    <w:rsid w:val="001B0427"/>
    <w:rsid w:val="001C052C"/>
    <w:rsid w:val="001D3A51"/>
    <w:rsid w:val="001E10D2"/>
    <w:rsid w:val="001E25B4"/>
    <w:rsid w:val="001E44FE"/>
    <w:rsid w:val="00200595"/>
    <w:rsid w:val="00204835"/>
    <w:rsid w:val="00231920"/>
    <w:rsid w:val="0023195C"/>
    <w:rsid w:val="002326DC"/>
    <w:rsid w:val="002333B4"/>
    <w:rsid w:val="0024282C"/>
    <w:rsid w:val="002460DC"/>
    <w:rsid w:val="00250985"/>
    <w:rsid w:val="00251DBD"/>
    <w:rsid w:val="002556F6"/>
    <w:rsid w:val="00280C22"/>
    <w:rsid w:val="00283105"/>
    <w:rsid w:val="00284C4C"/>
    <w:rsid w:val="00296529"/>
    <w:rsid w:val="002B03C7"/>
    <w:rsid w:val="002B27FB"/>
    <w:rsid w:val="002B57DA"/>
    <w:rsid w:val="002B685A"/>
    <w:rsid w:val="002C57D2"/>
    <w:rsid w:val="002E0D56"/>
    <w:rsid w:val="002E2D25"/>
    <w:rsid w:val="002F71D2"/>
    <w:rsid w:val="00315186"/>
    <w:rsid w:val="00332E05"/>
    <w:rsid w:val="0033343E"/>
    <w:rsid w:val="003512C2"/>
    <w:rsid w:val="00351D7E"/>
    <w:rsid w:val="00353474"/>
    <w:rsid w:val="00371FB6"/>
    <w:rsid w:val="003763C1"/>
    <w:rsid w:val="00376BBE"/>
    <w:rsid w:val="003811B3"/>
    <w:rsid w:val="0039224F"/>
    <w:rsid w:val="003A43A4"/>
    <w:rsid w:val="003A7E18"/>
    <w:rsid w:val="003B1BA6"/>
    <w:rsid w:val="003C13AA"/>
    <w:rsid w:val="003C4C86"/>
    <w:rsid w:val="003C6258"/>
    <w:rsid w:val="003E0204"/>
    <w:rsid w:val="003E2904"/>
    <w:rsid w:val="00400610"/>
    <w:rsid w:val="00401927"/>
    <w:rsid w:val="0041027F"/>
    <w:rsid w:val="00412475"/>
    <w:rsid w:val="00423789"/>
    <w:rsid w:val="00440F43"/>
    <w:rsid w:val="00441B6F"/>
    <w:rsid w:val="00446221"/>
    <w:rsid w:val="004475ED"/>
    <w:rsid w:val="00450DB5"/>
    <w:rsid w:val="00450E62"/>
    <w:rsid w:val="004539DB"/>
    <w:rsid w:val="0046153A"/>
    <w:rsid w:val="00471A80"/>
    <w:rsid w:val="004D305E"/>
    <w:rsid w:val="004D4277"/>
    <w:rsid w:val="00502516"/>
    <w:rsid w:val="00505F06"/>
    <w:rsid w:val="00506828"/>
    <w:rsid w:val="0053056E"/>
    <w:rsid w:val="00554FDA"/>
    <w:rsid w:val="005843E4"/>
    <w:rsid w:val="0059698C"/>
    <w:rsid w:val="005A60F5"/>
    <w:rsid w:val="005A6AB4"/>
    <w:rsid w:val="005B0D7D"/>
    <w:rsid w:val="005C784C"/>
    <w:rsid w:val="005D17F6"/>
    <w:rsid w:val="005E5539"/>
    <w:rsid w:val="005E58FF"/>
    <w:rsid w:val="00602BF5"/>
    <w:rsid w:val="00617FDD"/>
    <w:rsid w:val="00633614"/>
    <w:rsid w:val="00633F68"/>
    <w:rsid w:val="00636EB2"/>
    <w:rsid w:val="006375B8"/>
    <w:rsid w:val="0066510A"/>
    <w:rsid w:val="00673F9F"/>
    <w:rsid w:val="0068200D"/>
    <w:rsid w:val="00686953"/>
    <w:rsid w:val="00687DEA"/>
    <w:rsid w:val="00687E67"/>
    <w:rsid w:val="006967F7"/>
    <w:rsid w:val="006A250C"/>
    <w:rsid w:val="006B21D3"/>
    <w:rsid w:val="006B57D0"/>
    <w:rsid w:val="006D30FF"/>
    <w:rsid w:val="006D6940"/>
    <w:rsid w:val="006F11EC"/>
    <w:rsid w:val="006F6483"/>
    <w:rsid w:val="0070082C"/>
    <w:rsid w:val="007075AD"/>
    <w:rsid w:val="0071148D"/>
    <w:rsid w:val="0071373D"/>
    <w:rsid w:val="00716F0D"/>
    <w:rsid w:val="007369E6"/>
    <w:rsid w:val="00746E59"/>
    <w:rsid w:val="00754C9A"/>
    <w:rsid w:val="0075599A"/>
    <w:rsid w:val="00761D52"/>
    <w:rsid w:val="0077749E"/>
    <w:rsid w:val="00790ADA"/>
    <w:rsid w:val="00792786"/>
    <w:rsid w:val="007C58E7"/>
    <w:rsid w:val="007D1B4A"/>
    <w:rsid w:val="007D2288"/>
    <w:rsid w:val="007E088F"/>
    <w:rsid w:val="007F7B32"/>
    <w:rsid w:val="00804BC2"/>
    <w:rsid w:val="00804E43"/>
    <w:rsid w:val="0081431A"/>
    <w:rsid w:val="008169E9"/>
    <w:rsid w:val="0083216F"/>
    <w:rsid w:val="008352CE"/>
    <w:rsid w:val="00842239"/>
    <w:rsid w:val="00857413"/>
    <w:rsid w:val="00860000"/>
    <w:rsid w:val="00863BD3"/>
    <w:rsid w:val="00863E2C"/>
    <w:rsid w:val="00866D66"/>
    <w:rsid w:val="008671C6"/>
    <w:rsid w:val="00875803"/>
    <w:rsid w:val="0088562C"/>
    <w:rsid w:val="00896717"/>
    <w:rsid w:val="008A5C92"/>
    <w:rsid w:val="008B459E"/>
    <w:rsid w:val="008C3931"/>
    <w:rsid w:val="008D6236"/>
    <w:rsid w:val="008E13AE"/>
    <w:rsid w:val="008E1506"/>
    <w:rsid w:val="008E2AA7"/>
    <w:rsid w:val="008E710C"/>
    <w:rsid w:val="008F3E20"/>
    <w:rsid w:val="008F69D6"/>
    <w:rsid w:val="00902823"/>
    <w:rsid w:val="00912058"/>
    <w:rsid w:val="00915CA6"/>
    <w:rsid w:val="0092486A"/>
    <w:rsid w:val="00927834"/>
    <w:rsid w:val="00942288"/>
    <w:rsid w:val="009500A6"/>
    <w:rsid w:val="0095522A"/>
    <w:rsid w:val="00957C18"/>
    <w:rsid w:val="009659BA"/>
    <w:rsid w:val="00983040"/>
    <w:rsid w:val="00991A6F"/>
    <w:rsid w:val="009A0647"/>
    <w:rsid w:val="009B3FB9"/>
    <w:rsid w:val="009C2465"/>
    <w:rsid w:val="009D35A0"/>
    <w:rsid w:val="009D7EB7"/>
    <w:rsid w:val="009E048A"/>
    <w:rsid w:val="009E08E9"/>
    <w:rsid w:val="009E3506"/>
    <w:rsid w:val="009E3DB9"/>
    <w:rsid w:val="009E6E35"/>
    <w:rsid w:val="009F0EDA"/>
    <w:rsid w:val="00A00F9B"/>
    <w:rsid w:val="00A03B96"/>
    <w:rsid w:val="00A05B19"/>
    <w:rsid w:val="00A1134E"/>
    <w:rsid w:val="00A113BF"/>
    <w:rsid w:val="00A24E7E"/>
    <w:rsid w:val="00A258C3"/>
    <w:rsid w:val="00A347C0"/>
    <w:rsid w:val="00A51431"/>
    <w:rsid w:val="00A539AD"/>
    <w:rsid w:val="00A612A3"/>
    <w:rsid w:val="00A620C2"/>
    <w:rsid w:val="00A66FF6"/>
    <w:rsid w:val="00A94063"/>
    <w:rsid w:val="00AA6219"/>
    <w:rsid w:val="00AA74E0"/>
    <w:rsid w:val="00AB703F"/>
    <w:rsid w:val="00AC6BB8"/>
    <w:rsid w:val="00AD0438"/>
    <w:rsid w:val="00AE008F"/>
    <w:rsid w:val="00AE169B"/>
    <w:rsid w:val="00B01FCD"/>
    <w:rsid w:val="00B1776C"/>
    <w:rsid w:val="00B5046F"/>
    <w:rsid w:val="00B52896"/>
    <w:rsid w:val="00B71522"/>
    <w:rsid w:val="00B95236"/>
    <w:rsid w:val="00B96BD9"/>
    <w:rsid w:val="00B97307"/>
    <w:rsid w:val="00BA1B01"/>
    <w:rsid w:val="00BA2641"/>
    <w:rsid w:val="00BB37AA"/>
    <w:rsid w:val="00BB3F1D"/>
    <w:rsid w:val="00BC53A0"/>
    <w:rsid w:val="00BE62AD"/>
    <w:rsid w:val="00BF121F"/>
    <w:rsid w:val="00BF1F80"/>
    <w:rsid w:val="00C0333F"/>
    <w:rsid w:val="00C042EC"/>
    <w:rsid w:val="00C166EF"/>
    <w:rsid w:val="00C17EB0"/>
    <w:rsid w:val="00C27F5F"/>
    <w:rsid w:val="00C30A0F"/>
    <w:rsid w:val="00C37E61"/>
    <w:rsid w:val="00C420C3"/>
    <w:rsid w:val="00C56424"/>
    <w:rsid w:val="00C56EA0"/>
    <w:rsid w:val="00C70DBC"/>
    <w:rsid w:val="00C70F1B"/>
    <w:rsid w:val="00C71A47"/>
    <w:rsid w:val="00C7464C"/>
    <w:rsid w:val="00C85588"/>
    <w:rsid w:val="00C87A69"/>
    <w:rsid w:val="00CA5306"/>
    <w:rsid w:val="00CD6755"/>
    <w:rsid w:val="00CD6856"/>
    <w:rsid w:val="00CE0089"/>
    <w:rsid w:val="00CE4E9B"/>
    <w:rsid w:val="00CE793C"/>
    <w:rsid w:val="00D173F1"/>
    <w:rsid w:val="00D27E17"/>
    <w:rsid w:val="00D44004"/>
    <w:rsid w:val="00D75108"/>
    <w:rsid w:val="00D8295D"/>
    <w:rsid w:val="00D94610"/>
    <w:rsid w:val="00D97CB7"/>
    <w:rsid w:val="00DA5DE0"/>
    <w:rsid w:val="00DA6EA8"/>
    <w:rsid w:val="00DB3789"/>
    <w:rsid w:val="00DC2A65"/>
    <w:rsid w:val="00DE015C"/>
    <w:rsid w:val="00DE15F0"/>
    <w:rsid w:val="00DE5663"/>
    <w:rsid w:val="00DE78AA"/>
    <w:rsid w:val="00DF5A8E"/>
    <w:rsid w:val="00E053D0"/>
    <w:rsid w:val="00E15994"/>
    <w:rsid w:val="00E15A71"/>
    <w:rsid w:val="00E3114E"/>
    <w:rsid w:val="00E31A70"/>
    <w:rsid w:val="00E35B02"/>
    <w:rsid w:val="00E54477"/>
    <w:rsid w:val="00E66496"/>
    <w:rsid w:val="00E66B35"/>
    <w:rsid w:val="00E66E10"/>
    <w:rsid w:val="00E67FB5"/>
    <w:rsid w:val="00E768E7"/>
    <w:rsid w:val="00E769F6"/>
    <w:rsid w:val="00E8407C"/>
    <w:rsid w:val="00E84F3C"/>
    <w:rsid w:val="00EA012C"/>
    <w:rsid w:val="00ED0288"/>
    <w:rsid w:val="00EE52CB"/>
    <w:rsid w:val="00EF581D"/>
    <w:rsid w:val="00EF7FD8"/>
    <w:rsid w:val="00F06F59"/>
    <w:rsid w:val="00F17988"/>
    <w:rsid w:val="00F469F0"/>
    <w:rsid w:val="00F53273"/>
    <w:rsid w:val="00F755E4"/>
    <w:rsid w:val="00F77D02"/>
    <w:rsid w:val="00F84449"/>
    <w:rsid w:val="00F84F61"/>
    <w:rsid w:val="00FA5A18"/>
    <w:rsid w:val="00FB3A86"/>
    <w:rsid w:val="00FC12AB"/>
    <w:rsid w:val="00FC5012"/>
    <w:rsid w:val="00FD36C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23E5A00"/>
  <w15:docId w15:val="{E30EEB3E-5623-49D8-A68F-D2CA8CF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E768E7"/>
    <w:pPr>
      <w:ind w:left="720"/>
      <w:contextualSpacing/>
    </w:pPr>
  </w:style>
  <w:style w:type="character" w:customStyle="1" w:styleId="html-italic">
    <w:name w:val="html-italic"/>
    <w:basedOn w:val="DefaultParagraphFont"/>
    <w:rsid w:val="00CA5306"/>
  </w:style>
  <w:style w:type="character" w:customStyle="1" w:styleId="topic-highlight">
    <w:name w:val="topic-highlight"/>
    <w:basedOn w:val="DefaultParagraphFont"/>
    <w:rsid w:val="00B71522"/>
  </w:style>
  <w:style w:type="character" w:customStyle="1" w:styleId="HeaderChar">
    <w:name w:val="Header Char"/>
    <w:basedOn w:val="DefaultParagraphFont"/>
    <w:link w:val="Header"/>
    <w:uiPriority w:val="99"/>
    <w:rsid w:val="00FC12AB"/>
    <w:rPr>
      <w:rFonts w:ascii="Helvetica" w:hAnsi="Helvetica"/>
    </w:rPr>
  </w:style>
  <w:style w:type="character" w:customStyle="1" w:styleId="BodyTextIntechOpenChar">
    <w:name w:val="Body Text IntechOpen Char"/>
    <w:basedOn w:val="DefaultParagraphFont"/>
    <w:link w:val="BodyTextIntechOpen"/>
    <w:qFormat/>
    <w:locked/>
    <w:rsid w:val="00DE015C"/>
    <w:rPr>
      <w:rFonts w:ascii="FS Brabo" w:hAnsi="FS Brabo"/>
    </w:rPr>
  </w:style>
  <w:style w:type="paragraph" w:customStyle="1" w:styleId="BodyTextIntechOpen">
    <w:name w:val="Body Text IntechOpen"/>
    <w:link w:val="BodyTextIntechOpenChar"/>
    <w:qFormat/>
    <w:rsid w:val="00DE015C"/>
    <w:pPr>
      <w:ind w:firstLine="284"/>
    </w:pPr>
    <w:rPr>
      <w:rFonts w:ascii="FS Brabo" w:hAnsi="FS Brabo"/>
    </w:rPr>
  </w:style>
  <w:style w:type="table" w:customStyle="1" w:styleId="TableGridLight1">
    <w:name w:val="Table Grid Light1"/>
    <w:basedOn w:val="TableNormal"/>
    <w:uiPriority w:val="40"/>
    <w:rsid w:val="00DE015C"/>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DE01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eChar">
    <w:name w:val="Title Char"/>
    <w:basedOn w:val="DefaultParagraphFont"/>
    <w:link w:val="1"/>
    <w:rsid w:val="005843E4"/>
    <w:rPr>
      <w:rFonts w:ascii="Sitka Heading" w:eastAsia="Microsoft GothicNeo" w:hAnsi="Sitka Heading" w:cs="Shonar Bangla"/>
      <w:b/>
      <w:bCs/>
      <w:sz w:val="32"/>
      <w:szCs w:val="36"/>
    </w:rPr>
  </w:style>
  <w:style w:type="paragraph" w:customStyle="1" w:styleId="1">
    <w:name w:val="제목1"/>
    <w:basedOn w:val="Normal"/>
    <w:link w:val="TitleChar"/>
    <w:rsid w:val="005843E4"/>
    <w:pPr>
      <w:widowControl w:val="0"/>
      <w:wordWrap w:val="0"/>
      <w:autoSpaceDE w:val="0"/>
      <w:autoSpaceDN w:val="0"/>
      <w:spacing w:after="160" w:line="259" w:lineRule="auto"/>
      <w:jc w:val="both"/>
    </w:pPr>
    <w:rPr>
      <w:rFonts w:ascii="Sitka Heading" w:eastAsia="Microsoft GothicNeo" w:hAnsi="Sitka Heading" w:cs="Shonar Bangla"/>
      <w:b/>
      <w:bCs/>
      <w:sz w:val="32"/>
      <w:szCs w:val="36"/>
    </w:rPr>
  </w:style>
  <w:style w:type="paragraph" w:customStyle="1" w:styleId="MainTitle">
    <w:name w:val="Main Title"/>
    <w:basedOn w:val="Normal"/>
    <w:link w:val="MainTitleChar"/>
    <w:qFormat/>
    <w:rsid w:val="005843E4"/>
    <w:pPr>
      <w:widowControl w:val="0"/>
      <w:wordWrap w:val="0"/>
      <w:autoSpaceDE w:val="0"/>
      <w:autoSpaceDN w:val="0"/>
      <w:spacing w:after="160" w:line="259" w:lineRule="auto"/>
      <w:jc w:val="both"/>
    </w:pPr>
    <w:rPr>
      <w:rFonts w:asciiTheme="minorHAnsi" w:eastAsia="Microsoft GothicNeo" w:hAnsiTheme="minorHAnsi" w:cstheme="minorBidi"/>
      <w:kern w:val="2"/>
      <w:szCs w:val="22"/>
      <w:lang w:eastAsia="ko-KR"/>
    </w:rPr>
  </w:style>
  <w:style w:type="character" w:customStyle="1" w:styleId="MainTitleChar">
    <w:name w:val="Main Title Char"/>
    <w:basedOn w:val="DefaultParagraphFont"/>
    <w:link w:val="MainTitle"/>
    <w:rsid w:val="005843E4"/>
    <w:rPr>
      <w:rFonts w:asciiTheme="minorHAnsi" w:eastAsia="Microsoft GothicNeo" w:hAnsiTheme="minorHAnsi" w:cstheme="minorBidi"/>
      <w:kern w:val="2"/>
      <w:szCs w:val="22"/>
      <w:lang w:eastAsia="ko-KR"/>
    </w:rPr>
  </w:style>
  <w:style w:type="paragraph" w:customStyle="1" w:styleId="paragraph">
    <w:name w:val="paragraph"/>
    <w:basedOn w:val="Normal"/>
    <w:rsid w:val="00804E4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04E43"/>
  </w:style>
  <w:style w:type="character" w:customStyle="1" w:styleId="eop">
    <w:name w:val="eop"/>
    <w:basedOn w:val="DefaultParagraphFont"/>
    <w:rsid w:val="00804E43"/>
  </w:style>
  <w:style w:type="paragraph" w:customStyle="1" w:styleId="Heading10">
    <w:name w:val="Heading1"/>
    <w:basedOn w:val="Normal"/>
    <w:link w:val="Heading1Char"/>
    <w:qFormat/>
    <w:rsid w:val="00C0333F"/>
    <w:pPr>
      <w:widowControl w:val="0"/>
      <w:wordWrap w:val="0"/>
      <w:autoSpaceDE w:val="0"/>
      <w:autoSpaceDN w:val="0"/>
      <w:jc w:val="both"/>
    </w:pPr>
    <w:rPr>
      <w:rFonts w:ascii="Palatino Linotype" w:eastAsia="Microsoft GothicNeo" w:hAnsi="Palatino Linotype" w:cs="Shonar Bangla"/>
      <w:b/>
      <w:bCs/>
      <w:kern w:val="2"/>
      <w:sz w:val="24"/>
      <w:szCs w:val="24"/>
      <w:lang w:eastAsia="ko-KR"/>
    </w:rPr>
  </w:style>
  <w:style w:type="character" w:customStyle="1" w:styleId="Heading1Char">
    <w:name w:val="Heading1 Char"/>
    <w:basedOn w:val="DefaultParagraphFont"/>
    <w:link w:val="Heading10"/>
    <w:rsid w:val="00C0333F"/>
    <w:rPr>
      <w:rFonts w:ascii="Palatino Linotype" w:eastAsia="Microsoft GothicNeo" w:hAnsi="Palatino Linotype" w:cs="Shonar Bangla"/>
      <w:b/>
      <w:bCs/>
      <w:kern w:val="2"/>
      <w:sz w:val="24"/>
      <w:szCs w:val="24"/>
      <w:lang w:eastAsia="ko-KR"/>
    </w:rPr>
  </w:style>
  <w:style w:type="paragraph" w:customStyle="1" w:styleId="Figurecaption">
    <w:name w:val="Figure caption"/>
    <w:basedOn w:val="Normal"/>
    <w:qFormat/>
    <w:rsid w:val="005E58FF"/>
    <w:pPr>
      <w:snapToGrid w:val="0"/>
      <w:spacing w:before="120" w:after="240" w:line="260" w:lineRule="atLeast"/>
      <w:ind w:left="425" w:right="425"/>
      <w:jc w:val="both"/>
    </w:pPr>
    <w:rPr>
      <w:rFonts w:ascii="Palatino Linotype" w:hAnsi="Palatino Linotype"/>
      <w:color w:val="000000"/>
      <w:sz w:val="18"/>
      <w:lang w:eastAsia="de-DE" w:bidi="en-US"/>
    </w:rPr>
  </w:style>
  <w:style w:type="paragraph" w:customStyle="1" w:styleId="MDPI61Supplementary">
    <w:name w:val="MDPI_6.1_Supplementary"/>
    <w:basedOn w:val="Normal"/>
    <w:rsid w:val="005E58FF"/>
    <w:pPr>
      <w:snapToGrid w:val="0"/>
      <w:spacing w:before="240" w:line="200" w:lineRule="atLeast"/>
      <w:jc w:val="both"/>
    </w:pPr>
    <w:rPr>
      <w:rFonts w:ascii="Palatino Linotype" w:hAnsi="Palatino Linotype"/>
      <w:snapToGrid w:val="0"/>
      <w:color w:val="000000"/>
      <w:sz w:val="18"/>
      <w:lang w:bidi="en-US"/>
    </w:rPr>
  </w:style>
  <w:style w:type="paragraph" w:customStyle="1" w:styleId="Text">
    <w:name w:val="Text"/>
    <w:basedOn w:val="MDPI61Supplementary"/>
    <w:link w:val="TextChar"/>
    <w:qFormat/>
    <w:rsid w:val="005E58FF"/>
    <w:pPr>
      <w:spacing w:before="0" w:line="240" w:lineRule="auto"/>
    </w:pPr>
    <w:rPr>
      <w:rFonts w:eastAsiaTheme="minorEastAsia"/>
      <w:lang w:eastAsia="ko-KR"/>
    </w:rPr>
  </w:style>
  <w:style w:type="paragraph" w:customStyle="1" w:styleId="References">
    <w:name w:val="References"/>
    <w:basedOn w:val="Text"/>
    <w:link w:val="ReferencesChar"/>
    <w:qFormat/>
    <w:rsid w:val="005E58FF"/>
    <w:pPr>
      <w:numPr>
        <w:numId w:val="33"/>
      </w:numPr>
      <w:spacing w:after="120" w:line="260" w:lineRule="atLeast"/>
      <w:ind w:left="270" w:hangingChars="150" w:hanging="270"/>
    </w:pPr>
    <w:rPr>
      <w:rFonts w:eastAsia="Times New Roman"/>
      <w:szCs w:val="22"/>
      <w:lang w:eastAsia="de-DE"/>
    </w:rPr>
  </w:style>
  <w:style w:type="character" w:customStyle="1" w:styleId="TextChar">
    <w:name w:val="Text Char"/>
    <w:basedOn w:val="DefaultParagraphFont"/>
    <w:link w:val="Text"/>
    <w:rsid w:val="005E58FF"/>
    <w:rPr>
      <w:rFonts w:ascii="Palatino Linotype" w:eastAsiaTheme="minorEastAsia" w:hAnsi="Palatino Linotype"/>
      <w:snapToGrid w:val="0"/>
      <w:color w:val="000000"/>
      <w:sz w:val="18"/>
      <w:lang w:eastAsia="ko-KR" w:bidi="en-US"/>
    </w:rPr>
  </w:style>
  <w:style w:type="character" w:customStyle="1" w:styleId="ReferencesChar">
    <w:name w:val="References Char"/>
    <w:basedOn w:val="TextChar"/>
    <w:link w:val="References"/>
    <w:rsid w:val="005E58FF"/>
    <w:rPr>
      <w:rFonts w:ascii="Palatino Linotype" w:eastAsiaTheme="minorEastAsia" w:hAnsi="Palatino Linotype"/>
      <w:snapToGrid w:val="0"/>
      <w:color w:val="000000"/>
      <w:sz w:val="18"/>
      <w:szCs w:val="22"/>
      <w:lang w:eastAsia="de-DE" w:bidi="en-US"/>
    </w:rPr>
  </w:style>
  <w:style w:type="character" w:styleId="UnresolvedMention">
    <w:name w:val="Unresolved Mention"/>
    <w:basedOn w:val="DefaultParagraphFont"/>
    <w:uiPriority w:val="99"/>
    <w:semiHidden/>
    <w:unhideWhenUsed/>
    <w:rsid w:val="005A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8175272">
      <w:bodyDiv w:val="1"/>
      <w:marLeft w:val="0"/>
      <w:marRight w:val="0"/>
      <w:marTop w:val="0"/>
      <w:marBottom w:val="0"/>
      <w:divBdr>
        <w:top w:val="none" w:sz="0" w:space="0" w:color="auto"/>
        <w:left w:val="none" w:sz="0" w:space="0" w:color="auto"/>
        <w:bottom w:val="none" w:sz="0" w:space="0" w:color="auto"/>
        <w:right w:val="none" w:sz="0" w:space="0" w:color="auto"/>
      </w:divBdr>
      <w:divsChild>
        <w:div w:id="1150251093">
          <w:marLeft w:val="0"/>
          <w:marRight w:val="0"/>
          <w:marTop w:val="0"/>
          <w:marBottom w:val="0"/>
          <w:divBdr>
            <w:top w:val="none" w:sz="0" w:space="0" w:color="auto"/>
            <w:left w:val="none" w:sz="0" w:space="0" w:color="auto"/>
            <w:bottom w:val="none" w:sz="0" w:space="0" w:color="auto"/>
            <w:right w:val="none" w:sz="0" w:space="0" w:color="auto"/>
          </w:divBdr>
        </w:div>
      </w:divsChild>
    </w:div>
    <w:div w:id="179394656">
      <w:bodyDiv w:val="1"/>
      <w:marLeft w:val="0"/>
      <w:marRight w:val="0"/>
      <w:marTop w:val="0"/>
      <w:marBottom w:val="0"/>
      <w:divBdr>
        <w:top w:val="none" w:sz="0" w:space="0" w:color="auto"/>
        <w:left w:val="none" w:sz="0" w:space="0" w:color="auto"/>
        <w:bottom w:val="none" w:sz="0" w:space="0" w:color="auto"/>
        <w:right w:val="none" w:sz="0" w:space="0" w:color="auto"/>
      </w:divBdr>
      <w:divsChild>
        <w:div w:id="77218798">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397710">
      <w:bodyDiv w:val="1"/>
      <w:marLeft w:val="0"/>
      <w:marRight w:val="0"/>
      <w:marTop w:val="0"/>
      <w:marBottom w:val="0"/>
      <w:divBdr>
        <w:top w:val="none" w:sz="0" w:space="0" w:color="auto"/>
        <w:left w:val="none" w:sz="0" w:space="0" w:color="auto"/>
        <w:bottom w:val="none" w:sz="0" w:space="0" w:color="auto"/>
        <w:right w:val="none" w:sz="0" w:space="0" w:color="auto"/>
      </w:divBdr>
      <w:divsChild>
        <w:div w:id="201368344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27828">
      <w:bodyDiv w:val="1"/>
      <w:marLeft w:val="0"/>
      <w:marRight w:val="0"/>
      <w:marTop w:val="0"/>
      <w:marBottom w:val="0"/>
      <w:divBdr>
        <w:top w:val="none" w:sz="0" w:space="0" w:color="auto"/>
        <w:left w:val="none" w:sz="0" w:space="0" w:color="auto"/>
        <w:bottom w:val="none" w:sz="0" w:space="0" w:color="auto"/>
        <w:right w:val="none" w:sz="0" w:space="0" w:color="auto"/>
      </w:divBdr>
      <w:divsChild>
        <w:div w:id="697244875">
          <w:marLeft w:val="0"/>
          <w:marRight w:val="0"/>
          <w:marTop w:val="0"/>
          <w:marBottom w:val="0"/>
          <w:divBdr>
            <w:top w:val="none" w:sz="0" w:space="0" w:color="auto"/>
            <w:left w:val="none" w:sz="0" w:space="0" w:color="auto"/>
            <w:bottom w:val="none" w:sz="0" w:space="0" w:color="auto"/>
            <w:right w:val="none" w:sz="0" w:space="0" w:color="auto"/>
          </w:divBdr>
        </w:div>
      </w:divsChild>
    </w:div>
    <w:div w:id="755248457">
      <w:bodyDiv w:val="1"/>
      <w:marLeft w:val="0"/>
      <w:marRight w:val="0"/>
      <w:marTop w:val="0"/>
      <w:marBottom w:val="0"/>
      <w:divBdr>
        <w:top w:val="none" w:sz="0" w:space="0" w:color="auto"/>
        <w:left w:val="none" w:sz="0" w:space="0" w:color="auto"/>
        <w:bottom w:val="none" w:sz="0" w:space="0" w:color="auto"/>
        <w:right w:val="none" w:sz="0" w:space="0" w:color="auto"/>
      </w:divBdr>
      <w:divsChild>
        <w:div w:id="294485973">
          <w:marLeft w:val="0"/>
          <w:marRight w:val="0"/>
          <w:marTop w:val="0"/>
          <w:marBottom w:val="0"/>
          <w:divBdr>
            <w:top w:val="none" w:sz="0" w:space="0" w:color="auto"/>
            <w:left w:val="none" w:sz="0" w:space="0" w:color="auto"/>
            <w:bottom w:val="none" w:sz="0" w:space="0" w:color="auto"/>
            <w:right w:val="none" w:sz="0" w:space="0" w:color="auto"/>
          </w:divBdr>
        </w:div>
      </w:divsChild>
    </w:div>
    <w:div w:id="789514265">
      <w:bodyDiv w:val="1"/>
      <w:marLeft w:val="0"/>
      <w:marRight w:val="0"/>
      <w:marTop w:val="0"/>
      <w:marBottom w:val="0"/>
      <w:divBdr>
        <w:top w:val="none" w:sz="0" w:space="0" w:color="auto"/>
        <w:left w:val="none" w:sz="0" w:space="0" w:color="auto"/>
        <w:bottom w:val="none" w:sz="0" w:space="0" w:color="auto"/>
        <w:right w:val="none" w:sz="0" w:space="0" w:color="auto"/>
      </w:divBdr>
      <w:divsChild>
        <w:div w:id="155654390">
          <w:marLeft w:val="0"/>
          <w:marRight w:val="0"/>
          <w:marTop w:val="0"/>
          <w:marBottom w:val="0"/>
          <w:divBdr>
            <w:top w:val="none" w:sz="0" w:space="0" w:color="auto"/>
            <w:left w:val="none" w:sz="0" w:space="0" w:color="auto"/>
            <w:bottom w:val="none" w:sz="0" w:space="0" w:color="auto"/>
            <w:right w:val="none" w:sz="0" w:space="0" w:color="auto"/>
          </w:divBdr>
        </w:div>
      </w:divsChild>
    </w:div>
    <w:div w:id="904144911">
      <w:bodyDiv w:val="1"/>
      <w:marLeft w:val="0"/>
      <w:marRight w:val="0"/>
      <w:marTop w:val="0"/>
      <w:marBottom w:val="0"/>
      <w:divBdr>
        <w:top w:val="none" w:sz="0" w:space="0" w:color="auto"/>
        <w:left w:val="none" w:sz="0" w:space="0" w:color="auto"/>
        <w:bottom w:val="none" w:sz="0" w:space="0" w:color="auto"/>
        <w:right w:val="none" w:sz="0" w:space="0" w:color="auto"/>
      </w:divBdr>
      <w:divsChild>
        <w:div w:id="191682004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84719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20720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144793">
      <w:bodyDiv w:val="1"/>
      <w:marLeft w:val="0"/>
      <w:marRight w:val="0"/>
      <w:marTop w:val="0"/>
      <w:marBottom w:val="0"/>
      <w:divBdr>
        <w:top w:val="none" w:sz="0" w:space="0" w:color="auto"/>
        <w:left w:val="none" w:sz="0" w:space="0" w:color="auto"/>
        <w:bottom w:val="none" w:sz="0" w:space="0" w:color="auto"/>
        <w:right w:val="none" w:sz="0" w:space="0" w:color="auto"/>
      </w:divBdr>
      <w:divsChild>
        <w:div w:id="687172148">
          <w:marLeft w:val="0"/>
          <w:marRight w:val="0"/>
          <w:marTop w:val="0"/>
          <w:marBottom w:val="0"/>
          <w:divBdr>
            <w:top w:val="none" w:sz="0" w:space="0" w:color="auto"/>
            <w:left w:val="none" w:sz="0" w:space="0" w:color="auto"/>
            <w:bottom w:val="none" w:sz="0" w:space="0" w:color="auto"/>
            <w:right w:val="none" w:sz="0" w:space="0" w:color="auto"/>
          </w:divBdr>
        </w:div>
      </w:divsChild>
    </w:div>
    <w:div w:id="1892693168">
      <w:bodyDiv w:val="1"/>
      <w:marLeft w:val="0"/>
      <w:marRight w:val="0"/>
      <w:marTop w:val="0"/>
      <w:marBottom w:val="0"/>
      <w:divBdr>
        <w:top w:val="none" w:sz="0" w:space="0" w:color="auto"/>
        <w:left w:val="none" w:sz="0" w:space="0" w:color="auto"/>
        <w:bottom w:val="none" w:sz="0" w:space="0" w:color="auto"/>
        <w:right w:val="none" w:sz="0" w:space="0" w:color="auto"/>
      </w:divBdr>
      <w:divsChild>
        <w:div w:id="1202596773">
          <w:marLeft w:val="0"/>
          <w:marRight w:val="0"/>
          <w:marTop w:val="0"/>
          <w:marBottom w:val="0"/>
          <w:divBdr>
            <w:top w:val="none" w:sz="0" w:space="0" w:color="auto"/>
            <w:left w:val="none" w:sz="0" w:space="0" w:color="auto"/>
            <w:bottom w:val="none" w:sz="0" w:space="0" w:color="auto"/>
            <w:right w:val="none" w:sz="0" w:space="0" w:color="auto"/>
          </w:divBdr>
        </w:div>
      </w:divsChild>
    </w:div>
    <w:div w:id="1959558681">
      <w:bodyDiv w:val="1"/>
      <w:marLeft w:val="0"/>
      <w:marRight w:val="0"/>
      <w:marTop w:val="0"/>
      <w:marBottom w:val="0"/>
      <w:divBdr>
        <w:top w:val="none" w:sz="0" w:space="0" w:color="auto"/>
        <w:left w:val="none" w:sz="0" w:space="0" w:color="auto"/>
        <w:bottom w:val="none" w:sz="0" w:space="0" w:color="auto"/>
        <w:right w:val="none" w:sz="0" w:space="0" w:color="auto"/>
      </w:divBdr>
      <w:divsChild>
        <w:div w:id="2146117474">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285573904">
          <w:marLeft w:val="0"/>
          <w:marRight w:val="0"/>
          <w:marTop w:val="0"/>
          <w:marBottom w:val="0"/>
          <w:divBdr>
            <w:top w:val="none" w:sz="0" w:space="0" w:color="auto"/>
            <w:left w:val="none" w:sz="0" w:space="0" w:color="auto"/>
            <w:bottom w:val="none" w:sz="0" w:space="0" w:color="auto"/>
            <w:right w:val="none" w:sz="0" w:space="0" w:color="auto"/>
          </w:divBdr>
        </w:div>
      </w:divsChild>
    </w:div>
    <w:div w:id="20216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57/13089716"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11/j.1478-3231.1999.tb00053.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56/NEJMra011775"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s0025-7125(05)70483-1" TargetMode="External"/><Relationship Id="rId20" Type="http://schemas.openxmlformats.org/officeDocument/2006/relationships/hyperlink" Target="https://doi.org/10.5455/jeos.201412230505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lo.org.ve/scielo.php?script=sci_arttext&amp;pid=S0535-51332001000200002" TargetMode="External"/><Relationship Id="rId5" Type="http://schemas.openxmlformats.org/officeDocument/2006/relationships/webSettings" Target="webSettings.xml"/><Relationship Id="rId15" Type="http://schemas.openxmlformats.org/officeDocument/2006/relationships/hyperlink" Target="https://doi.org/10.1078/1438-4639-00175" TargetMode="External"/><Relationship Id="rId23" Type="http://schemas.openxmlformats.org/officeDocument/2006/relationships/hyperlink" Target="https://pubmed.ncbi.nlm.nih.gov/9827880/"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jnutbio.2006.12.00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00420-003-0476-z" TargetMode="External"/><Relationship Id="rId22" Type="http://schemas.openxmlformats.org/officeDocument/2006/relationships/hyperlink" Target="https://doi.org/10.1111/j.1478-3231.2004.0897.x"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E9905-E2CF-4C84-96E5-619B0A2B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TotalTime>
  <Pages>8</Pages>
  <Words>4868</Words>
  <Characters>27750</Characters>
  <Application>Microsoft Office Word</Application>
  <DocSecurity>0</DocSecurity>
  <Lines>231</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Paper Template</vt:lpstr>
      <vt:lpstr>Paper Template</vt:lpstr>
    </vt:vector>
  </TitlesOfParts>
  <Company>aaaa</Company>
  <LinksUpToDate>false</LinksUpToDate>
  <CharactersWithSpaces>32553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2025-12-09T20:12:00Z</dcterms:created>
  <dcterms:modified xsi:type="dcterms:W3CDTF">2025-12-10T12:54:00Z</dcterms:modified>
</cp:coreProperties>
</file>