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4D647" w14:textId="77777777" w:rsidR="009B3EEA" w:rsidRPr="009B3EEA" w:rsidRDefault="009B3EEA" w:rsidP="009B3EEA">
      <w:pPr>
        <w:spacing w:line="360" w:lineRule="auto"/>
        <w:ind w:right="-330"/>
        <w:jc w:val="right"/>
        <w:rPr>
          <w:rFonts w:ascii="Arial" w:hAnsi="Arial" w:cs="Arial"/>
          <w:b/>
          <w:bCs/>
          <w:sz w:val="36"/>
          <w:szCs w:val="36"/>
          <w:lang w:val="en-US"/>
        </w:rPr>
      </w:pPr>
      <w:r w:rsidRPr="009B3EEA">
        <w:rPr>
          <w:rFonts w:ascii="Arial" w:hAnsi="Arial" w:cs="Arial"/>
          <w:b/>
          <w:bCs/>
          <w:sz w:val="36"/>
          <w:szCs w:val="36"/>
          <w:lang w:val="en-US"/>
        </w:rPr>
        <w:t xml:space="preserve">Improving Yield and Economic Returns in </w:t>
      </w:r>
      <w:proofErr w:type="spellStart"/>
      <w:r w:rsidRPr="009B3EEA">
        <w:rPr>
          <w:rFonts w:ascii="Arial" w:hAnsi="Arial" w:cs="Arial"/>
          <w:b/>
          <w:bCs/>
          <w:sz w:val="36"/>
          <w:szCs w:val="36"/>
          <w:lang w:val="en-US"/>
        </w:rPr>
        <w:t>Blackgram</w:t>
      </w:r>
      <w:proofErr w:type="spellEnd"/>
      <w:r w:rsidRPr="009B3EEA">
        <w:rPr>
          <w:rFonts w:ascii="Arial" w:hAnsi="Arial" w:cs="Arial"/>
          <w:b/>
          <w:bCs/>
          <w:sz w:val="36"/>
          <w:szCs w:val="36"/>
          <w:lang w:val="en-US"/>
        </w:rPr>
        <w:t xml:space="preserve"> Through Balanced Phosphorus Management with Nano-DAP</w:t>
      </w:r>
    </w:p>
    <w:p w14:paraId="5C637251" w14:textId="10EDF3F5" w:rsidR="00E64A8B" w:rsidRDefault="00E64A8B" w:rsidP="009B3EEA">
      <w:pPr>
        <w:spacing w:after="0" w:line="360" w:lineRule="auto"/>
        <w:rPr>
          <w:rFonts w:ascii="Arial" w:hAnsi="Arial" w:cs="Arial"/>
          <w:b/>
          <w:bCs/>
          <w:sz w:val="20"/>
          <w:szCs w:val="20"/>
        </w:rPr>
      </w:pPr>
    </w:p>
    <w:p w14:paraId="01BBF35A" w14:textId="77777777" w:rsidR="00ED79FF" w:rsidRDefault="00ED79FF" w:rsidP="009B3EEA">
      <w:pPr>
        <w:spacing w:after="0" w:line="360" w:lineRule="auto"/>
        <w:rPr>
          <w:rFonts w:ascii="Arial" w:hAnsi="Arial" w:cs="Arial"/>
          <w:b/>
          <w:bCs/>
          <w:sz w:val="20"/>
          <w:szCs w:val="20"/>
        </w:rPr>
      </w:pPr>
    </w:p>
    <w:p w14:paraId="478EB303" w14:textId="29824365" w:rsidR="00DD0445" w:rsidRPr="003227EC" w:rsidRDefault="00DD0445" w:rsidP="009B3EEA">
      <w:pPr>
        <w:spacing w:after="0" w:line="360" w:lineRule="auto"/>
        <w:rPr>
          <w:rFonts w:ascii="Arial" w:hAnsi="Arial" w:cs="Arial"/>
          <w:b/>
          <w:bCs/>
          <w:sz w:val="22"/>
          <w:szCs w:val="22"/>
        </w:rPr>
      </w:pPr>
      <w:r w:rsidRPr="003227EC">
        <w:rPr>
          <w:rFonts w:ascii="Arial" w:hAnsi="Arial" w:cs="Arial"/>
          <w:b/>
          <w:bCs/>
          <w:sz w:val="22"/>
          <w:szCs w:val="22"/>
        </w:rPr>
        <w:t>Abstract</w:t>
      </w:r>
    </w:p>
    <w:p w14:paraId="4AE86F57" w14:textId="0346DA11" w:rsidR="00DD0445" w:rsidRPr="003227EC" w:rsidRDefault="00DD0445" w:rsidP="009B3EEA">
      <w:pPr>
        <w:spacing w:line="360" w:lineRule="auto"/>
        <w:jc w:val="both"/>
        <w:rPr>
          <w:rFonts w:ascii="Arial" w:hAnsi="Arial" w:cs="Arial"/>
          <w:sz w:val="20"/>
          <w:szCs w:val="20"/>
        </w:rPr>
      </w:pPr>
      <w:r w:rsidRPr="003227EC">
        <w:rPr>
          <w:rFonts w:ascii="Arial" w:hAnsi="Arial" w:cs="Arial"/>
          <w:sz w:val="20"/>
          <w:szCs w:val="20"/>
        </w:rPr>
        <w:t xml:space="preserve">A field experiment was conducted during the </w:t>
      </w:r>
      <w:r w:rsidRPr="003227EC">
        <w:rPr>
          <w:rFonts w:ascii="Arial" w:hAnsi="Arial" w:cs="Arial"/>
          <w:i/>
          <w:iCs/>
          <w:sz w:val="20"/>
          <w:szCs w:val="20"/>
        </w:rPr>
        <w:t>kharif</w:t>
      </w:r>
      <w:r w:rsidRPr="003227EC">
        <w:rPr>
          <w:rFonts w:ascii="Arial" w:hAnsi="Arial" w:cs="Arial"/>
          <w:sz w:val="20"/>
          <w:szCs w:val="20"/>
        </w:rPr>
        <w:t xml:space="preserve"> season of 2023 at the </w:t>
      </w:r>
      <w:r w:rsidR="00865CE2" w:rsidRPr="003227EC">
        <w:rPr>
          <w:rFonts w:ascii="Arial" w:hAnsi="Arial" w:cs="Arial"/>
          <w:sz w:val="20"/>
          <w:szCs w:val="20"/>
        </w:rPr>
        <w:t>Research Farm</w:t>
      </w:r>
      <w:r w:rsidRPr="003227EC">
        <w:rPr>
          <w:rFonts w:ascii="Arial" w:hAnsi="Arial" w:cs="Arial"/>
          <w:sz w:val="20"/>
          <w:szCs w:val="20"/>
        </w:rPr>
        <w:t xml:space="preserve">, College of Agriculture, OUAT, </w:t>
      </w:r>
      <w:proofErr w:type="spellStart"/>
      <w:r w:rsidRPr="003227EC">
        <w:rPr>
          <w:rFonts w:ascii="Arial" w:hAnsi="Arial" w:cs="Arial"/>
          <w:sz w:val="20"/>
          <w:szCs w:val="20"/>
        </w:rPr>
        <w:t>Bhawanipatna</w:t>
      </w:r>
      <w:proofErr w:type="spellEnd"/>
      <w:r w:rsidRPr="003227EC">
        <w:rPr>
          <w:rFonts w:ascii="Arial" w:hAnsi="Arial" w:cs="Arial"/>
          <w:sz w:val="20"/>
          <w:szCs w:val="20"/>
        </w:rPr>
        <w:t xml:space="preserve">, to evaluate the effects of nano-DAP in combination with conventional phosphorus fertilization on growth, yield, and economic returns of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w:t>
      </w:r>
      <w:r w:rsidRPr="003227EC">
        <w:rPr>
          <w:rFonts w:ascii="Arial" w:hAnsi="Arial" w:cs="Arial"/>
          <w:i/>
          <w:iCs/>
          <w:sz w:val="20"/>
          <w:szCs w:val="20"/>
        </w:rPr>
        <w:t>Vigna mungo</w:t>
      </w:r>
      <w:r w:rsidRPr="003227EC">
        <w:rPr>
          <w:rFonts w:ascii="Arial" w:hAnsi="Arial" w:cs="Arial"/>
          <w:sz w:val="20"/>
          <w:szCs w:val="20"/>
        </w:rPr>
        <w:t xml:space="preserve"> L.). The study was laid out in a randomized complete block design with three replications, comprising eight treatments: T</w:t>
      </w:r>
      <w:r w:rsidRPr="003227EC">
        <w:rPr>
          <w:rFonts w:ascii="Arial" w:hAnsi="Arial" w:cs="Arial"/>
          <w:sz w:val="20"/>
          <w:szCs w:val="20"/>
          <w:vertAlign w:val="subscript"/>
        </w:rPr>
        <w:t>1</w:t>
      </w:r>
      <w:r w:rsidRPr="003227EC">
        <w:rPr>
          <w:rFonts w:ascii="Arial" w:hAnsi="Arial" w:cs="Arial"/>
          <w:sz w:val="20"/>
          <w:szCs w:val="20"/>
        </w:rPr>
        <w:t>—control; T</w:t>
      </w:r>
      <w:r w:rsidRPr="003227EC">
        <w:rPr>
          <w:rFonts w:ascii="Arial" w:hAnsi="Arial" w:cs="Arial"/>
          <w:sz w:val="20"/>
          <w:szCs w:val="20"/>
          <w:vertAlign w:val="subscript"/>
        </w:rPr>
        <w:t>2</w:t>
      </w:r>
      <w:r w:rsidRPr="003227EC">
        <w:rPr>
          <w:rFonts w:ascii="Arial" w:hAnsi="Arial" w:cs="Arial"/>
          <w:sz w:val="20"/>
          <w:szCs w:val="20"/>
        </w:rPr>
        <w:t>—100% RDF (20:40:20 N:P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:K</w:t>
      </w:r>
      <w:r w:rsidRPr="003227EC">
        <w:rPr>
          <w:rFonts w:ascii="Cambria Math" w:hAnsi="Cambria Math" w:cs="Cambria Math"/>
          <w:sz w:val="20"/>
          <w:szCs w:val="20"/>
        </w:rPr>
        <w:t>₂</w:t>
      </w:r>
      <w:r w:rsidRPr="003227EC">
        <w:rPr>
          <w:rFonts w:ascii="Arial" w:hAnsi="Arial" w:cs="Arial"/>
          <w:sz w:val="20"/>
          <w:szCs w:val="20"/>
        </w:rPr>
        <w:t>O kg/ha); T</w:t>
      </w:r>
      <w:r w:rsidRPr="003227EC">
        <w:rPr>
          <w:rFonts w:ascii="Arial" w:hAnsi="Arial" w:cs="Arial"/>
          <w:sz w:val="20"/>
          <w:szCs w:val="20"/>
          <w:vertAlign w:val="subscript"/>
        </w:rPr>
        <w:t>3</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 at 25 DAS; T</w:t>
      </w:r>
      <w:r w:rsidRPr="003227EC">
        <w:rPr>
          <w:rFonts w:ascii="Arial" w:hAnsi="Arial" w:cs="Arial"/>
          <w:sz w:val="20"/>
          <w:szCs w:val="20"/>
          <w:vertAlign w:val="subscript"/>
        </w:rPr>
        <w:t>4</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and 40 DAS; T</w:t>
      </w:r>
      <w:r w:rsidRPr="003227EC">
        <w:rPr>
          <w:rFonts w:ascii="Arial" w:hAnsi="Arial" w:cs="Arial"/>
          <w:sz w:val="20"/>
          <w:szCs w:val="20"/>
          <w:vertAlign w:val="subscript"/>
        </w:rPr>
        <w:t>5</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through DAP + nano-DAP sprays at 25, 40, and 55 DAS; T</w:t>
      </w:r>
      <w:r w:rsidRPr="003227EC">
        <w:rPr>
          <w:rFonts w:ascii="Arial" w:hAnsi="Arial" w:cs="Arial"/>
          <w:sz w:val="20"/>
          <w:szCs w:val="20"/>
          <w:vertAlign w:val="subscript"/>
        </w:rPr>
        <w:t>6</w:t>
      </w:r>
      <w:r w:rsidRPr="003227EC">
        <w:rPr>
          <w:rFonts w:ascii="Arial" w:hAnsi="Arial" w:cs="Arial"/>
          <w:sz w:val="20"/>
          <w:szCs w:val="20"/>
        </w:rPr>
        <w:t>—75%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with nano-DAP; T</w:t>
      </w:r>
      <w:r w:rsidRPr="003227EC">
        <w:rPr>
          <w:rFonts w:ascii="Arial" w:hAnsi="Arial" w:cs="Arial"/>
          <w:sz w:val="20"/>
          <w:szCs w:val="20"/>
          <w:vertAlign w:val="subscript"/>
        </w:rPr>
        <w:t>7</w:t>
      </w:r>
      <w:r w:rsidRPr="003227EC">
        <w:rPr>
          <w:rFonts w:ascii="Arial" w:hAnsi="Arial" w:cs="Arial"/>
          <w:sz w:val="20"/>
          <w:szCs w:val="20"/>
        </w:rPr>
        <w:t>—50%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 at 25 DAS; and T</w:t>
      </w:r>
      <w:r w:rsidRPr="003227EC">
        <w:rPr>
          <w:rFonts w:ascii="Arial" w:hAnsi="Arial" w:cs="Arial"/>
          <w:sz w:val="20"/>
          <w:szCs w:val="20"/>
          <w:vertAlign w:val="subscript"/>
        </w:rPr>
        <w:t>8</w:t>
      </w:r>
      <w:r w:rsidRPr="003227EC">
        <w:rPr>
          <w:rFonts w:ascii="Arial" w:hAnsi="Arial" w:cs="Arial"/>
          <w:sz w:val="20"/>
          <w:szCs w:val="20"/>
        </w:rPr>
        <w:t>—25% RD P</w:t>
      </w:r>
      <w:r w:rsidRPr="003227EC">
        <w:rPr>
          <w:rFonts w:ascii="Cambria Math" w:hAnsi="Cambria Math" w:cs="Cambria Math"/>
          <w:sz w:val="20"/>
          <w:szCs w:val="20"/>
        </w:rPr>
        <w:t>₂</w:t>
      </w:r>
      <w:r w:rsidRPr="003227EC">
        <w:rPr>
          <w:rFonts w:ascii="Arial" w:hAnsi="Arial" w:cs="Arial"/>
          <w:sz w:val="20"/>
          <w:szCs w:val="20"/>
        </w:rPr>
        <w:t>O</w:t>
      </w:r>
      <w:r w:rsidRPr="003227EC">
        <w:rPr>
          <w:rFonts w:ascii="Cambria Math" w:hAnsi="Cambria Math" w:cs="Cambria Math"/>
          <w:sz w:val="20"/>
          <w:szCs w:val="20"/>
        </w:rPr>
        <w:t>₅</w:t>
      </w:r>
      <w:r w:rsidRPr="003227EC">
        <w:rPr>
          <w:rFonts w:ascii="Arial" w:hAnsi="Arial" w:cs="Arial"/>
          <w:sz w:val="20"/>
          <w:szCs w:val="20"/>
        </w:rPr>
        <w:t xml:space="preserve"> + seed treatment + nano-DAP sprays at 25 and 40 DAS. Growth parameters were highest in T</w:t>
      </w:r>
      <w:r w:rsidRPr="003227EC">
        <w:rPr>
          <w:rFonts w:ascii="Arial" w:hAnsi="Arial" w:cs="Arial"/>
          <w:sz w:val="20"/>
          <w:szCs w:val="20"/>
          <w:vertAlign w:val="subscript"/>
        </w:rPr>
        <w:t>2</w:t>
      </w:r>
      <w:r w:rsidRPr="003227EC">
        <w:rPr>
          <w:rFonts w:ascii="Arial" w:hAnsi="Arial" w:cs="Arial"/>
          <w:sz w:val="20"/>
          <w:szCs w:val="20"/>
        </w:rPr>
        <w:t>, with plant height of 47.07 cm, branches per plant at harvest of 9.04, and dry matter accumulation of 17.75 g/plant. Seed yield (1240 kg/ha) and stover yield (1958 kg/ha) were also maximum in T</w:t>
      </w:r>
      <w:r w:rsidRPr="003227EC">
        <w:rPr>
          <w:rFonts w:ascii="Arial" w:hAnsi="Arial" w:cs="Arial"/>
          <w:sz w:val="20"/>
          <w:szCs w:val="20"/>
          <w:vertAlign w:val="subscript"/>
        </w:rPr>
        <w:t>2</w:t>
      </w:r>
      <w:r w:rsidRPr="003227EC">
        <w:rPr>
          <w:rFonts w:ascii="Arial" w:hAnsi="Arial" w:cs="Arial"/>
          <w:sz w:val="20"/>
          <w:szCs w:val="20"/>
        </w:rPr>
        <w:t>, with the highest benefit-cost ratio (2.47). Treatments integrating reduced soil-applied phosphorus with one or two foliar nano-DAP sprays (T</w:t>
      </w:r>
      <w:r w:rsidRPr="003227EC">
        <w:rPr>
          <w:rFonts w:ascii="Arial" w:hAnsi="Arial" w:cs="Arial"/>
          <w:sz w:val="20"/>
          <w:szCs w:val="20"/>
          <w:vertAlign w:val="subscript"/>
        </w:rPr>
        <w:t>3</w:t>
      </w:r>
      <w:r w:rsidRPr="003227EC">
        <w:rPr>
          <w:rFonts w:ascii="Arial" w:hAnsi="Arial" w:cs="Arial"/>
          <w:sz w:val="20"/>
          <w:szCs w:val="20"/>
        </w:rPr>
        <w:t xml:space="preserve"> and T</w:t>
      </w:r>
      <w:r w:rsidRPr="003227EC">
        <w:rPr>
          <w:rFonts w:ascii="Arial" w:hAnsi="Arial" w:cs="Arial"/>
          <w:sz w:val="20"/>
          <w:szCs w:val="20"/>
          <w:vertAlign w:val="subscript"/>
        </w:rPr>
        <w:t>4</w:t>
      </w:r>
      <w:r w:rsidRPr="003227EC">
        <w:rPr>
          <w:rFonts w:ascii="Arial" w:hAnsi="Arial" w:cs="Arial"/>
          <w:sz w:val="20"/>
          <w:szCs w:val="20"/>
        </w:rPr>
        <w:t xml:space="preserve">) produced statistically comparable growth and yield, indicating enhanced phosphorus use efficiency. These findings demonstrate that nano-DAP can partially substitute conventional phosphorus fertilization, maintaining high productivity and economic returns, and offer a sustainable nutrient management strategy for P-deficient or P-fixing soils in </w:t>
      </w:r>
      <w:proofErr w:type="spellStart"/>
      <w:r w:rsidRPr="003227EC">
        <w:rPr>
          <w:rFonts w:ascii="Arial" w:hAnsi="Arial" w:cs="Arial"/>
          <w:sz w:val="20"/>
          <w:szCs w:val="20"/>
        </w:rPr>
        <w:t>blackgram</w:t>
      </w:r>
      <w:proofErr w:type="spellEnd"/>
      <w:r w:rsidRPr="003227EC">
        <w:rPr>
          <w:rFonts w:ascii="Arial" w:hAnsi="Arial" w:cs="Arial"/>
          <w:sz w:val="20"/>
          <w:szCs w:val="20"/>
        </w:rPr>
        <w:t xml:space="preserve"> cultivation.</w:t>
      </w:r>
    </w:p>
    <w:p w14:paraId="1407267C" w14:textId="4698A15C" w:rsidR="00865CE2" w:rsidRPr="003227EC" w:rsidRDefault="00865CE2" w:rsidP="009B3EEA">
      <w:pPr>
        <w:spacing w:line="360" w:lineRule="auto"/>
        <w:jc w:val="both"/>
        <w:rPr>
          <w:rFonts w:ascii="Arial" w:hAnsi="Arial" w:cs="Arial"/>
          <w:sz w:val="20"/>
          <w:szCs w:val="20"/>
        </w:rPr>
      </w:pPr>
      <w:r w:rsidRPr="003227EC">
        <w:rPr>
          <w:rFonts w:ascii="Arial" w:hAnsi="Arial" w:cs="Arial"/>
          <w:b/>
          <w:bCs/>
          <w:sz w:val="20"/>
          <w:szCs w:val="20"/>
        </w:rPr>
        <w:t>Keywords:</w:t>
      </w:r>
      <w:r w:rsidRPr="003227EC">
        <w:rPr>
          <w:rFonts w:ascii="Arial" w:hAnsi="Arial" w:cs="Arial"/>
          <w:sz w:val="20"/>
          <w:szCs w:val="20"/>
        </w:rPr>
        <w:t xml:space="preserve"> Dry matter accumulation, Economic analysis, Nutrient management, Foliar nutrient application, Yield </w:t>
      </w:r>
    </w:p>
    <w:p w14:paraId="20FEF63B" w14:textId="243FE235" w:rsidR="001555B1" w:rsidRPr="003227EC" w:rsidRDefault="00DD0445" w:rsidP="009B3EEA">
      <w:pPr>
        <w:pStyle w:val="ListParagraph"/>
        <w:numPr>
          <w:ilvl w:val="0"/>
          <w:numId w:val="5"/>
        </w:numPr>
        <w:spacing w:after="0" w:line="360" w:lineRule="auto"/>
        <w:ind w:left="360"/>
        <w:jc w:val="both"/>
        <w:rPr>
          <w:rFonts w:ascii="Arial" w:hAnsi="Arial" w:cs="Arial"/>
          <w:b/>
          <w:bCs/>
          <w:sz w:val="22"/>
          <w:szCs w:val="22"/>
        </w:rPr>
      </w:pPr>
      <w:r w:rsidRPr="003227EC">
        <w:rPr>
          <w:rFonts w:ascii="Arial" w:hAnsi="Arial" w:cs="Arial"/>
          <w:b/>
          <w:bCs/>
          <w:sz w:val="22"/>
          <w:szCs w:val="22"/>
        </w:rPr>
        <w:t>Introduction</w:t>
      </w:r>
    </w:p>
    <w:p w14:paraId="173F25BD" w14:textId="77777777" w:rsidR="00DD0445" w:rsidRPr="003227EC" w:rsidRDefault="00DD0445" w:rsidP="009B3EEA">
      <w:pPr>
        <w:spacing w:after="0" w:line="360" w:lineRule="auto"/>
        <w:jc w:val="both"/>
        <w:rPr>
          <w:rFonts w:ascii="Arial" w:eastAsia="Times New Roman" w:hAnsi="Arial" w:cs="Arial"/>
          <w:kern w:val="0"/>
          <w:sz w:val="20"/>
          <w:szCs w:val="20"/>
          <w:lang w:eastAsia="en-GB"/>
          <w14:ligatures w14:val="none"/>
        </w:rPr>
      </w:pP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i/>
          <w:iCs/>
          <w:kern w:val="0"/>
          <w:sz w:val="20"/>
          <w:szCs w:val="20"/>
          <w:lang w:eastAsia="en-GB"/>
          <w14:ligatures w14:val="none"/>
        </w:rPr>
        <w:t>Vigna mungo</w:t>
      </w:r>
      <w:r w:rsidRPr="003227EC">
        <w:rPr>
          <w:rFonts w:ascii="Arial" w:eastAsia="Times New Roman" w:hAnsi="Arial" w:cs="Arial"/>
          <w:kern w:val="0"/>
          <w:sz w:val="20"/>
          <w:szCs w:val="20"/>
          <w:lang w:eastAsia="en-GB"/>
          <w14:ligatures w14:val="none"/>
        </w:rPr>
        <w:t xml:space="preserve"> L.) is a nutritionally dense pulse crop of major dietary and economic importance in South Asia, particularly India. It provides a rich source of plant-based protein (24–26%), carbohydrates, essential amino acids, minerals, and vitamins, making it a critical component of diets in predominantly vegetarian populations (Singh et al., 2013). Its ability to fix atmospheric nitrogen, improve soil fertility, and fit well into diverse cropping systems further strengthens its role in sustainable agriculture. India remains the largest global producer and consumer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cultivating over three million hectares annually (FAO, 2023). Despite its nutritional significance and expanding demand, productivity remains low and variable across regions, largely due to suboptimal nutrient management and inherent soil constraints. In many pulse-growing areas, particularly in eastern India, average </w:t>
      </w:r>
      <w:proofErr w:type="spellStart"/>
      <w:r w:rsidRPr="003227EC">
        <w:rPr>
          <w:rFonts w:ascii="Arial" w:eastAsia="Times New Roman" w:hAnsi="Arial" w:cs="Arial"/>
          <w:kern w:val="0"/>
          <w:sz w:val="20"/>
          <w:szCs w:val="20"/>
          <w:lang w:eastAsia="en-GB"/>
          <w14:ligatures w14:val="none"/>
        </w:rPr>
        <w:lastRenderedPageBreak/>
        <w:t>blackgram</w:t>
      </w:r>
      <w:proofErr w:type="spellEnd"/>
      <w:r w:rsidRPr="003227EC">
        <w:rPr>
          <w:rFonts w:ascii="Arial" w:eastAsia="Times New Roman" w:hAnsi="Arial" w:cs="Arial"/>
          <w:kern w:val="0"/>
          <w:sz w:val="20"/>
          <w:szCs w:val="20"/>
          <w:lang w:eastAsia="en-GB"/>
          <w14:ligatures w14:val="none"/>
        </w:rPr>
        <w:t xml:space="preserve"> yields continue to lag behind potential levels, reflecting the need for improved nutrient-use efficiency and balanced fertilization strategies.</w:t>
      </w:r>
    </w:p>
    <w:p w14:paraId="6C9774E3" w14:textId="57153C10"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Phosphorus (P) is a key macronutrient required for energy transfer, root development, nodulation, and reproductive growth in legumes. However, its efficient management remains a persistent challenge. More than 70–90% of applied phosphorus becomes immobilized through fixation with calcium, iron, and </w:t>
      </w:r>
      <w:r w:rsidR="00AA7E85" w:rsidRPr="003227EC">
        <w:rPr>
          <w:rFonts w:ascii="Arial" w:eastAsia="Times New Roman" w:hAnsi="Arial" w:cs="Arial"/>
          <w:kern w:val="0"/>
          <w:sz w:val="20"/>
          <w:szCs w:val="20"/>
          <w:lang w:eastAsia="en-GB"/>
          <w14:ligatures w14:val="none"/>
        </w:rPr>
        <w:t>aluminium</w:t>
      </w:r>
      <w:r w:rsidRPr="003227EC">
        <w:rPr>
          <w:rFonts w:ascii="Arial" w:eastAsia="Times New Roman" w:hAnsi="Arial" w:cs="Arial"/>
          <w:kern w:val="0"/>
          <w:sz w:val="20"/>
          <w:szCs w:val="20"/>
          <w:lang w:eastAsia="en-GB"/>
          <w14:ligatures w14:val="none"/>
        </w:rPr>
        <w:t xml:space="preserve"> compounds in soil, leaving only a small fraction available for crop uptake (Shen et al., 2011). Consequently, P-use efficiency in most Indian soils rarely exceeds 10–25%, compelling farmers to increase fertilizer doses to maintain yields. Such practices have led to nutrient imbalances, elevated production costs, and environmental concerns without proportionate improvements in productivity (Roy et al., 2016). Improving the bioavailability and recovery of applied P is thus central to enhancing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yield and sustaining soil fertility in the long term.</w:t>
      </w:r>
    </w:p>
    <w:p w14:paraId="096C0F45" w14:textId="7777777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Nanotechnology offers new opportunities to overcome constraints associated with conventional fertilizers. </w:t>
      </w:r>
      <w:proofErr w:type="spellStart"/>
      <w:r w:rsidRPr="003227EC">
        <w:rPr>
          <w:rFonts w:ascii="Arial" w:eastAsia="Times New Roman" w:hAnsi="Arial" w:cs="Arial"/>
          <w:kern w:val="0"/>
          <w:sz w:val="20"/>
          <w:szCs w:val="20"/>
          <w:lang w:eastAsia="en-GB"/>
          <w14:ligatures w14:val="none"/>
        </w:rPr>
        <w:t>Nanofertilizers</w:t>
      </w:r>
      <w:proofErr w:type="spellEnd"/>
      <w:r w:rsidRPr="003227EC">
        <w:rPr>
          <w:rFonts w:ascii="Arial" w:eastAsia="Times New Roman" w:hAnsi="Arial" w:cs="Arial"/>
          <w:kern w:val="0"/>
          <w:sz w:val="20"/>
          <w:szCs w:val="20"/>
          <w:lang w:eastAsia="en-GB"/>
          <w14:ligatures w14:val="none"/>
        </w:rPr>
        <w:t>, due to their extremely small particle size, high surface area, and enhanced reactivity, promote superior nutrient absorption, controlled release, and targeted delivery within plant tissues (Liu &amp; Lal, 2015). These properties can improve nutrient uptake efficiency while reducing losses through leaching or fixation. Among emerging nano-formulations, nano–di-ammonium phosphate (nano-DAP) has gained considerable attention. Developed as a liquid fertilizer containing 8% N and 16%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nano-DAP aims to complement or partially substitute conventional DAP by providing readily absorbable phosphorus through foliar or seed-priming applications. Its nanoscale characteristics facilitate penetration through stomata and cuticular pathways, ensuring rapid translocation to metabolically active tissues and enhancing reproductive efficiency (Raliya et al., 2015).</w:t>
      </w:r>
    </w:p>
    <w:p w14:paraId="119285A3" w14:textId="77777777"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Previous research suggests that nano-P fertilizers can improve biomass accumulation, photosynthesis, nodulation, and grain formation in legumes, especially under reduced soil P supply (Rastogi et al., 2019). The potential to achieve comparable yields with lower fertilizer inputs presents both economic and ecological advantages. However, the effectiveness of nano-DAP can vary depending on the timing of application, concentration, and the proportion of soil-applied phosphorus replaced. Particularly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where reproductive stages are highly sensitive to nutrient limitations, foliar nano-DAP applied at appropriate crop growth stages may enhance pod set, grain filling, and assimilate partitioning more efficiently than seed treatment alone.</w:t>
      </w:r>
    </w:p>
    <w:p w14:paraId="01E11D38" w14:textId="5F100FF5" w:rsidR="00DD0445" w:rsidRPr="003227EC" w:rsidRDefault="00DD0445"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Given these perspectives, balanced phosphorus management integrating conventional DAP with nano-DAP could represent a cost-effective and sustainable strategy for improving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productivity. Yet, empirical evidence on optimal nano-DAP integration, its agronomic benefits, and associated economic returns remains limited. Therefore, the present</w:t>
      </w:r>
      <w:r w:rsidRPr="003227EC">
        <w:rPr>
          <w:rFonts w:ascii="Arial" w:eastAsia="Times New Roman" w:hAnsi="Arial" w:cs="Arial"/>
          <w:b/>
          <w:bCs/>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study evaluates the influence of combined nano-DAP and DAP applications on growth, yield, and profitability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to determine whether nano-DAP can partially substitute soil-applied phosphorus without compromising performance. It was hypothesized that foliar application of nano-DAP, in combination with reduced doses of soil-applied </w:t>
      </w:r>
      <w:r w:rsidRPr="003227EC">
        <w:rPr>
          <w:rFonts w:ascii="Arial" w:eastAsia="Times New Roman" w:hAnsi="Arial" w:cs="Arial"/>
          <w:kern w:val="0"/>
          <w:sz w:val="20"/>
          <w:szCs w:val="20"/>
          <w:lang w:eastAsia="en-GB"/>
          <w14:ligatures w14:val="none"/>
        </w:rPr>
        <w:lastRenderedPageBreak/>
        <w:t>phosphorus, would enhance phosphorus-use efficiency, increase yield attributes and yield, and improve economic returns compared with the sole application of conventional DAP.</w:t>
      </w:r>
    </w:p>
    <w:p w14:paraId="62919A56" w14:textId="77777777" w:rsidR="00865CE2" w:rsidRPr="003227EC" w:rsidRDefault="00865CE2" w:rsidP="009B3EEA">
      <w:pPr>
        <w:pStyle w:val="ListParagraph"/>
        <w:numPr>
          <w:ilvl w:val="0"/>
          <w:numId w:val="1"/>
        </w:numPr>
        <w:spacing w:line="360" w:lineRule="auto"/>
        <w:jc w:val="both"/>
        <w:rPr>
          <w:rFonts w:ascii="Arial" w:hAnsi="Arial" w:cs="Arial"/>
          <w:b/>
          <w:bCs/>
          <w:sz w:val="22"/>
          <w:szCs w:val="22"/>
        </w:rPr>
      </w:pPr>
      <w:r w:rsidRPr="003227EC">
        <w:rPr>
          <w:rFonts w:ascii="Arial" w:hAnsi="Arial" w:cs="Arial"/>
          <w:b/>
          <w:bCs/>
          <w:sz w:val="22"/>
          <w:szCs w:val="22"/>
        </w:rPr>
        <w:t>MATERIALS AND METHODS</w:t>
      </w:r>
    </w:p>
    <w:p w14:paraId="38D6A288"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A field experiment was conducted during the kharif season of 2023 at the Student Plot (Instructional Farm-I), College of Agriculture, Odisha University of Agriculture and Technology, </w:t>
      </w:r>
      <w:proofErr w:type="spellStart"/>
      <w:r w:rsidRPr="003227EC">
        <w:rPr>
          <w:rFonts w:ascii="Arial" w:eastAsia="Times New Roman" w:hAnsi="Arial" w:cs="Arial"/>
          <w:kern w:val="0"/>
          <w:sz w:val="20"/>
          <w:szCs w:val="20"/>
          <w:lang w:eastAsia="en-IN"/>
          <w14:ligatures w14:val="none"/>
        </w:rPr>
        <w:t>Bhawanipatna</w:t>
      </w:r>
      <w:proofErr w:type="spellEnd"/>
      <w:r w:rsidRPr="003227EC">
        <w:rPr>
          <w:rFonts w:ascii="Arial" w:eastAsia="Times New Roman" w:hAnsi="Arial" w:cs="Arial"/>
          <w:kern w:val="0"/>
          <w:sz w:val="20"/>
          <w:szCs w:val="20"/>
          <w:lang w:eastAsia="en-IN"/>
          <w14:ligatures w14:val="none"/>
        </w:rPr>
        <w:t xml:space="preserve">, situated at 19°55′ N latitude and 83°9′ E longitude, at an elevation of 248 meters above mean sea level. The site falls under the Western Undulating Agro-climatic Zone of Odisha. Preliminary soil analysis revealed a pH of 6.51, electrical conductivity of 0.23 </w:t>
      </w:r>
      <w:proofErr w:type="spellStart"/>
      <w:r w:rsidRPr="003227EC">
        <w:rPr>
          <w:rFonts w:ascii="Arial" w:eastAsia="Times New Roman" w:hAnsi="Arial" w:cs="Arial"/>
          <w:kern w:val="0"/>
          <w:sz w:val="20"/>
          <w:szCs w:val="20"/>
          <w:lang w:eastAsia="en-IN"/>
          <w14:ligatures w14:val="none"/>
        </w:rPr>
        <w:t>dS</w:t>
      </w:r>
      <w:proofErr w:type="spellEnd"/>
      <w:r w:rsidRPr="003227EC">
        <w:rPr>
          <w:rFonts w:ascii="Arial" w:eastAsia="Times New Roman" w:hAnsi="Arial" w:cs="Arial"/>
          <w:kern w:val="0"/>
          <w:sz w:val="20"/>
          <w:szCs w:val="20"/>
          <w:lang w:eastAsia="en-IN"/>
          <w14:ligatures w14:val="none"/>
        </w:rPr>
        <w:t>/m, organic carbon content of 0.67%, and available nitrogen, phosphorus, and potassium at 263.42, 11.37, and 200.60 kg/ha, respectively.</w:t>
      </w:r>
    </w:p>
    <w:p w14:paraId="5A2676C1" w14:textId="5E53409B"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experiment was laid out in a randomized complete block design (RCBD) with three replications, comprising eight treatments: T</w:t>
      </w:r>
      <w:r w:rsidRPr="003227EC">
        <w:rPr>
          <w:rFonts w:ascii="Arial" w:eastAsia="Times New Roman" w:hAnsi="Arial" w:cs="Arial"/>
          <w:kern w:val="0"/>
          <w:sz w:val="20"/>
          <w:szCs w:val="20"/>
          <w:vertAlign w:val="subscript"/>
          <w:lang w:eastAsia="en-IN"/>
          <w14:ligatures w14:val="none"/>
        </w:rPr>
        <w:t>1</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control; T</w:t>
      </w:r>
      <w:r w:rsidRPr="003227EC">
        <w:rPr>
          <w:rFonts w:ascii="Arial" w:eastAsia="Times New Roman" w:hAnsi="Arial" w:cs="Arial"/>
          <w:kern w:val="0"/>
          <w:sz w:val="20"/>
          <w:szCs w:val="20"/>
          <w:vertAlign w:val="subscript"/>
          <w:lang w:eastAsia="en-IN"/>
          <w14:ligatures w14:val="none"/>
        </w:rPr>
        <w:t>2</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100% RDF (20:40:20 N:P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:K</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 kg/ha); T</w:t>
      </w:r>
      <w:r w:rsidRPr="003227EC">
        <w:rPr>
          <w:rFonts w:ascii="Arial" w:eastAsia="Times New Roman" w:hAnsi="Arial" w:cs="Arial"/>
          <w:kern w:val="0"/>
          <w:sz w:val="20"/>
          <w:szCs w:val="20"/>
          <w:vertAlign w:val="subscript"/>
          <w:lang w:eastAsia="en-IN"/>
          <w14:ligatures w14:val="none"/>
        </w:rPr>
        <w:t>3</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foliar spray at 25 DAS; T</w:t>
      </w:r>
      <w:r w:rsidRPr="003227EC">
        <w:rPr>
          <w:rFonts w:ascii="Arial" w:eastAsia="Times New Roman" w:hAnsi="Arial" w:cs="Arial"/>
          <w:kern w:val="0"/>
          <w:sz w:val="20"/>
          <w:szCs w:val="20"/>
          <w:vertAlign w:val="subscript"/>
          <w:lang w:eastAsia="en-IN"/>
          <w14:ligatures w14:val="none"/>
        </w:rPr>
        <w:t>4</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and 40 DAS; T</w:t>
      </w:r>
      <w:r w:rsidRPr="003227EC">
        <w:rPr>
          <w:rFonts w:ascii="Arial" w:eastAsia="Times New Roman" w:hAnsi="Arial" w:cs="Arial"/>
          <w:kern w:val="0"/>
          <w:sz w:val="20"/>
          <w:szCs w:val="20"/>
          <w:vertAlign w:val="subscript"/>
          <w:lang w:eastAsia="en-IN"/>
          <w14:ligatures w14:val="none"/>
        </w:rPr>
        <w:t>5</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through DAP + nano-DAP sprays at 25, 40, and 55 DAS; T</w:t>
      </w:r>
      <w:r w:rsidRPr="003227EC">
        <w:rPr>
          <w:rFonts w:ascii="Arial" w:eastAsia="Times New Roman" w:hAnsi="Arial" w:cs="Arial"/>
          <w:kern w:val="0"/>
          <w:sz w:val="20"/>
          <w:szCs w:val="20"/>
          <w:vertAlign w:val="subscript"/>
          <w:lang w:eastAsia="en-IN"/>
          <w14:ligatures w14:val="none"/>
        </w:rPr>
        <w:t>6</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75%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nano-DAP seed treatment; T</w:t>
      </w:r>
      <w:r w:rsidRPr="003227EC">
        <w:rPr>
          <w:rFonts w:ascii="Arial" w:eastAsia="Times New Roman" w:hAnsi="Arial" w:cs="Arial"/>
          <w:kern w:val="0"/>
          <w:sz w:val="20"/>
          <w:szCs w:val="20"/>
          <w:vertAlign w:val="subscript"/>
          <w:lang w:eastAsia="en-IN"/>
          <w14:ligatures w14:val="none"/>
        </w:rPr>
        <w:t>7</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50%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 at 25 DAS; and T</w:t>
      </w:r>
      <w:r w:rsidRPr="003227EC">
        <w:rPr>
          <w:rFonts w:ascii="Arial" w:eastAsia="Times New Roman" w:hAnsi="Arial" w:cs="Arial"/>
          <w:kern w:val="0"/>
          <w:sz w:val="20"/>
          <w:szCs w:val="20"/>
          <w:vertAlign w:val="subscript"/>
          <w:lang w:eastAsia="en-IN"/>
          <w14:ligatures w14:val="none"/>
        </w:rPr>
        <w:t>8</w:t>
      </w:r>
      <w:r w:rsidR="00F5123A"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25% RD P</w:t>
      </w:r>
      <w:r w:rsidRPr="003227EC">
        <w:rPr>
          <w:rFonts w:ascii="Cambria Math" w:eastAsia="Times New Roman" w:hAnsi="Cambria Math" w:cs="Cambria Math"/>
          <w:kern w:val="0"/>
          <w:sz w:val="20"/>
          <w:szCs w:val="20"/>
          <w:lang w:eastAsia="en-IN"/>
          <w14:ligatures w14:val="none"/>
        </w:rPr>
        <w:t>₂</w:t>
      </w:r>
      <w:r w:rsidRPr="003227EC">
        <w:rPr>
          <w:rFonts w:ascii="Arial" w:eastAsia="Times New Roman" w:hAnsi="Arial" w:cs="Arial"/>
          <w:kern w:val="0"/>
          <w:sz w:val="20"/>
          <w:szCs w:val="20"/>
          <w:lang w:eastAsia="en-IN"/>
          <w14:ligatures w14:val="none"/>
        </w:rPr>
        <w:t>O</w:t>
      </w:r>
      <w:r w:rsidRPr="003227EC">
        <w:rPr>
          <w:rFonts w:ascii="Cambria Math" w:eastAsia="Times New Roman" w:hAnsi="Cambria Math" w:cs="Cambria Math"/>
          <w:kern w:val="0"/>
          <w:sz w:val="20"/>
          <w:szCs w:val="20"/>
          <w:lang w:eastAsia="en-IN"/>
          <w14:ligatures w14:val="none"/>
        </w:rPr>
        <w:t>₅</w:t>
      </w:r>
      <w:r w:rsidRPr="003227EC">
        <w:rPr>
          <w:rFonts w:ascii="Arial" w:eastAsia="Times New Roman" w:hAnsi="Arial" w:cs="Arial"/>
          <w:kern w:val="0"/>
          <w:sz w:val="20"/>
          <w:szCs w:val="20"/>
          <w:lang w:eastAsia="en-IN"/>
          <w14:ligatures w14:val="none"/>
        </w:rPr>
        <w:t xml:space="preserve"> + seed treatment + nano-DAP sprays at 25 and 40 DAS.</w:t>
      </w:r>
    </w:p>
    <w:p w14:paraId="65F4E1E7" w14:textId="77777777"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w:t>
      </w:r>
      <w:proofErr w:type="spellStart"/>
      <w:r w:rsidRPr="003227EC">
        <w:rPr>
          <w:rFonts w:ascii="Arial" w:eastAsia="Times New Roman" w:hAnsi="Arial" w:cs="Arial"/>
          <w:kern w:val="0"/>
          <w:sz w:val="20"/>
          <w:szCs w:val="20"/>
          <w:lang w:eastAsia="en-IN"/>
          <w14:ligatures w14:val="none"/>
        </w:rPr>
        <w:t>blackgram</w:t>
      </w:r>
      <w:proofErr w:type="spellEnd"/>
      <w:r w:rsidRPr="003227EC">
        <w:rPr>
          <w:rFonts w:ascii="Arial" w:eastAsia="Times New Roman" w:hAnsi="Arial" w:cs="Arial"/>
          <w:kern w:val="0"/>
          <w:sz w:val="20"/>
          <w:szCs w:val="20"/>
          <w:lang w:eastAsia="en-IN"/>
          <w14:ligatures w14:val="none"/>
        </w:rPr>
        <w:t xml:space="preserve"> variety ‘Pant </w:t>
      </w:r>
      <w:proofErr w:type="spellStart"/>
      <w:r w:rsidRPr="003227EC">
        <w:rPr>
          <w:rFonts w:ascii="Arial" w:eastAsia="Times New Roman" w:hAnsi="Arial" w:cs="Arial"/>
          <w:kern w:val="0"/>
          <w:sz w:val="20"/>
          <w:szCs w:val="20"/>
          <w:lang w:eastAsia="en-IN"/>
          <w14:ligatures w14:val="none"/>
        </w:rPr>
        <w:t>Urd</w:t>
      </w:r>
      <w:proofErr w:type="spellEnd"/>
      <w:r w:rsidRPr="003227EC">
        <w:rPr>
          <w:rFonts w:ascii="Arial" w:eastAsia="Times New Roman" w:hAnsi="Arial" w:cs="Arial"/>
          <w:kern w:val="0"/>
          <w:sz w:val="20"/>
          <w:szCs w:val="20"/>
          <w:lang w:eastAsia="en-IN"/>
          <w14:ligatures w14:val="none"/>
        </w:rPr>
        <w:t xml:space="preserve"> 10 (PU 10-23)’ was used. Fertilizer nutrients were applied as per treatment specifications using urea, DAP, and MOP as sources of nitrogen, phosphorus, and potassium, respectively. Seeds for nano-DAP treatments were coated at 4 ml/kg, while untreated seeds received Carbendazim at 2.5 g/kg. Sowing was performed on 26 July 2023 at a seed rate of 25 kg/ha, maintaining a spacing of 30 cm × 10 cm. Standard agronomic practices were followed, and intercultural operations, including weeding and hoeing, were performed three weeks after sowing. Foliar application of IFFCO nano-DAP (2 ml/L) was conducted at 25, 40, and 55 DAS as per treatment schedule using a manual power sprayer.</w:t>
      </w:r>
    </w:p>
    <w:p w14:paraId="25A05C98" w14:textId="4095C41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Ten plants per plot were randomly selected for growth observations at 30, 45, and 60 DAS, and at harvest. Harvesting was done when pods turned black and plants began to desiccate, with border rows and 50 cm from plot ends excluded to avoid edge effects. Net plot yields were harvested, </w:t>
      </w:r>
      <w:proofErr w:type="spellStart"/>
      <w:r w:rsidRPr="003227EC">
        <w:rPr>
          <w:rFonts w:ascii="Arial" w:eastAsia="Times New Roman" w:hAnsi="Arial" w:cs="Arial"/>
          <w:kern w:val="0"/>
          <w:sz w:val="20"/>
          <w:szCs w:val="20"/>
          <w:lang w:eastAsia="en-IN"/>
          <w14:ligatures w14:val="none"/>
        </w:rPr>
        <w:t>labeled</w:t>
      </w:r>
      <w:proofErr w:type="spellEnd"/>
      <w:r w:rsidRPr="003227EC">
        <w:rPr>
          <w:rFonts w:ascii="Arial" w:eastAsia="Times New Roman" w:hAnsi="Arial" w:cs="Arial"/>
          <w:kern w:val="0"/>
          <w:sz w:val="20"/>
          <w:szCs w:val="20"/>
          <w:lang w:eastAsia="en-IN"/>
          <w14:ligatures w14:val="none"/>
        </w:rPr>
        <w:t>, sun-dried for four days, manually threshed, and seeds further dried for three days to attain optimal storage moisture. Biological yield, seed yield, and yield-contributing traits were recorded.</w:t>
      </w:r>
    </w:p>
    <w:p w14:paraId="140CF47C" w14:textId="04585E91"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The harvest index was computed using the formula and represented as a percentage.</w:t>
      </w:r>
    </w:p>
    <w:p w14:paraId="500BF48A" w14:textId="6B6E5FA6" w:rsidR="00865CE2" w:rsidRPr="003227EC" w:rsidRDefault="00865CE2" w:rsidP="009B3EEA">
      <w:pPr>
        <w:tabs>
          <w:tab w:val="left" w:pos="1267"/>
          <w:tab w:val="left" w:pos="1268"/>
          <w:tab w:val="left" w:pos="5350"/>
          <w:tab w:val="left" w:pos="5780"/>
        </w:tabs>
        <w:spacing w:before="240" w:line="360" w:lineRule="auto"/>
        <w:jc w:val="both"/>
        <w:rPr>
          <w:rFonts w:ascii="Arial" w:eastAsiaTheme="minorEastAsia" w:hAnsi="Arial" w:cs="Arial"/>
          <w:bCs/>
          <w:iCs/>
          <w:sz w:val="20"/>
          <w:szCs w:val="20"/>
        </w:rPr>
      </w:pPr>
      <m:oMathPara>
        <m:oMath>
          <m:r>
            <m:rPr>
              <m:sty m:val="p"/>
            </m:rPr>
            <w:rPr>
              <w:rFonts w:ascii="Cambria Math" w:hAnsi="Cambria Math" w:cs="Arial"/>
              <w:sz w:val="20"/>
              <w:szCs w:val="20"/>
            </w:rPr>
            <m:t>Harvest Index (HI)=</m:t>
          </m:r>
          <m:f>
            <m:fPr>
              <m:ctrlPr>
                <w:rPr>
                  <w:rFonts w:ascii="Cambria Math" w:hAnsi="Cambria Math" w:cs="Arial"/>
                  <w:bCs/>
                  <w:iCs/>
                  <w:sz w:val="20"/>
                  <w:szCs w:val="20"/>
                </w:rPr>
              </m:ctrlPr>
            </m:fPr>
            <m:num>
              <m:r>
                <m:rPr>
                  <m:sty m:val="p"/>
                </m:rPr>
                <w:rPr>
                  <w:rFonts w:ascii="Cambria Math" w:hAnsi="Cambria Math" w:cs="Arial"/>
                  <w:sz w:val="20"/>
                  <w:szCs w:val="20"/>
                </w:rPr>
                <m:t>Economic yield</m:t>
              </m:r>
            </m:num>
            <m:den>
              <m:r>
                <m:rPr>
                  <m:sty m:val="p"/>
                </m:rPr>
                <w:rPr>
                  <w:rFonts w:ascii="Cambria Math" w:hAnsi="Cambria Math" w:cs="Arial"/>
                  <w:sz w:val="20"/>
                  <w:szCs w:val="20"/>
                </w:rPr>
                <m:t>Biological yield</m:t>
              </m:r>
            </m:den>
          </m:f>
          <m:r>
            <m:rPr>
              <m:sty m:val="p"/>
            </m:rPr>
            <w:rPr>
              <w:rFonts w:ascii="Cambria Math" w:hAnsi="Cambria Math" w:cs="Arial"/>
              <w:sz w:val="20"/>
              <w:szCs w:val="20"/>
            </w:rPr>
            <m:t xml:space="preserve"> ×100</m:t>
          </m:r>
        </m:oMath>
      </m:oMathPara>
    </w:p>
    <w:p w14:paraId="75B1348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Where, Economic yield = Seed yield (kg/ha)</w:t>
      </w:r>
    </w:p>
    <w:p w14:paraId="2A387263" w14:textId="77777777" w:rsidR="00865CE2" w:rsidRPr="003227EC" w:rsidRDefault="00865CE2" w:rsidP="009B3EEA">
      <w:pPr>
        <w:tabs>
          <w:tab w:val="left" w:pos="1267"/>
          <w:tab w:val="left" w:pos="1268"/>
          <w:tab w:val="left" w:pos="5350"/>
          <w:tab w:val="left" w:pos="5780"/>
        </w:tabs>
        <w:spacing w:after="0" w:line="360" w:lineRule="auto"/>
        <w:jc w:val="both"/>
        <w:rPr>
          <w:rFonts w:ascii="Arial" w:eastAsiaTheme="minorEastAsia" w:hAnsi="Arial" w:cs="Arial"/>
          <w:sz w:val="20"/>
          <w:szCs w:val="20"/>
        </w:rPr>
      </w:pPr>
      <w:r w:rsidRPr="003227EC">
        <w:rPr>
          <w:rFonts w:ascii="Arial" w:eastAsiaTheme="minorEastAsia" w:hAnsi="Arial" w:cs="Arial"/>
          <w:sz w:val="20"/>
          <w:szCs w:val="20"/>
        </w:rPr>
        <w:t xml:space="preserve"> Biological yield = Total (seed + stover) yield (kg/ha)</w:t>
      </w:r>
    </w:p>
    <w:p w14:paraId="52890FEA" w14:textId="435443D8" w:rsidR="00865CE2" w:rsidRPr="003227EC" w:rsidRDefault="00865CE2" w:rsidP="009B3EEA">
      <w:pPr>
        <w:spacing w:before="12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 xml:space="preserve">The cost of cultivation per hectare was calculated based on input prices and </w:t>
      </w:r>
      <w:proofErr w:type="spellStart"/>
      <w:r w:rsidRPr="003227EC">
        <w:rPr>
          <w:rFonts w:ascii="Arial" w:eastAsia="Times New Roman" w:hAnsi="Arial" w:cs="Arial"/>
          <w:kern w:val="0"/>
          <w:sz w:val="20"/>
          <w:szCs w:val="20"/>
          <w:lang w:eastAsia="en-IN"/>
          <w14:ligatures w14:val="none"/>
        </w:rPr>
        <w:t>labor</w:t>
      </w:r>
      <w:proofErr w:type="spellEnd"/>
      <w:r w:rsidRPr="003227EC">
        <w:rPr>
          <w:rFonts w:ascii="Arial" w:eastAsia="Times New Roman" w:hAnsi="Arial" w:cs="Arial"/>
          <w:kern w:val="0"/>
          <w:sz w:val="20"/>
          <w:szCs w:val="20"/>
          <w:lang w:eastAsia="en-IN"/>
          <w14:ligatures w14:val="none"/>
        </w:rPr>
        <w:t xml:space="preserve"> charges, and the benefit-cost ratio (B:C) was computed as gross returns divided by cultivation cost. </w:t>
      </w:r>
    </w:p>
    <w:p w14:paraId="6F345694" w14:textId="1F5FE2E9" w:rsidR="00865CE2" w:rsidRPr="003227EC" w:rsidRDefault="00865CE2" w:rsidP="009B3EEA">
      <w:pPr>
        <w:tabs>
          <w:tab w:val="left" w:pos="1267"/>
          <w:tab w:val="left" w:pos="1268"/>
          <w:tab w:val="left" w:pos="5350"/>
          <w:tab w:val="left" w:pos="5780"/>
        </w:tabs>
        <w:spacing w:before="240" w:line="360" w:lineRule="auto"/>
        <w:jc w:val="both"/>
        <w:rPr>
          <w:rFonts w:ascii="Arial" w:hAnsi="Arial" w:cs="Arial"/>
          <w:bCs/>
          <w:iCs/>
          <w:sz w:val="20"/>
          <w:szCs w:val="20"/>
          <w:lang w:bidi="en-US"/>
        </w:rPr>
      </w:pPr>
      <m:oMathPara>
        <m:oMath>
          <m:r>
            <m:rPr>
              <m:sty m:val="p"/>
            </m:rPr>
            <w:rPr>
              <w:rFonts w:ascii="Cambria Math" w:hAnsi="Cambria Math" w:cs="Arial"/>
              <w:sz w:val="20"/>
              <w:szCs w:val="20"/>
              <w:lang w:bidi="en-US"/>
            </w:rPr>
            <w:lastRenderedPageBreak/>
            <m:t>Benefit:Cost ratio=</m:t>
          </m:r>
          <m:f>
            <m:fPr>
              <m:ctrlPr>
                <w:rPr>
                  <w:rFonts w:ascii="Cambria Math" w:hAnsi="Cambria Math" w:cs="Arial"/>
                  <w:bCs/>
                  <w:iCs/>
                  <w:sz w:val="20"/>
                  <w:szCs w:val="20"/>
                  <w:lang w:bidi="en-US"/>
                </w:rPr>
              </m:ctrlPr>
            </m:fPr>
            <m:num>
              <m:r>
                <m:rPr>
                  <m:sty m:val="p"/>
                </m:rPr>
                <w:rPr>
                  <w:rFonts w:ascii="Cambria Math" w:hAnsi="Cambria Math" w:cs="Arial"/>
                  <w:sz w:val="20"/>
                  <w:szCs w:val="20"/>
                  <w:lang w:bidi="en-US"/>
                </w:rPr>
                <m:t>Gross returns</m:t>
              </m:r>
            </m:num>
            <m:den>
              <m:r>
                <m:rPr>
                  <m:sty m:val="p"/>
                </m:rPr>
                <w:rPr>
                  <w:rFonts w:ascii="Cambria Math" w:hAnsi="Cambria Math" w:cs="Arial"/>
                  <w:sz w:val="20"/>
                  <w:szCs w:val="20"/>
                  <w:lang w:bidi="en-US"/>
                </w:rPr>
                <m:t>Cost of cultivation</m:t>
              </m:r>
            </m:den>
          </m:f>
        </m:oMath>
      </m:oMathPara>
    </w:p>
    <w:p w14:paraId="442535E6" w14:textId="64AE15C4" w:rsidR="00865CE2" w:rsidRPr="003227EC" w:rsidRDefault="00865CE2" w:rsidP="009B3EEA">
      <w:pPr>
        <w:spacing w:before="240" w:after="0" w:line="360" w:lineRule="auto"/>
        <w:jc w:val="both"/>
        <w:rPr>
          <w:rFonts w:ascii="Arial" w:eastAsia="Times New Roman" w:hAnsi="Arial" w:cs="Arial"/>
          <w:kern w:val="0"/>
          <w:sz w:val="20"/>
          <w:szCs w:val="20"/>
          <w:lang w:eastAsia="en-IN"/>
          <w14:ligatures w14:val="none"/>
        </w:rPr>
      </w:pPr>
      <w:r w:rsidRPr="003227EC">
        <w:rPr>
          <w:rFonts w:ascii="Arial" w:eastAsia="Times New Roman" w:hAnsi="Arial" w:cs="Arial"/>
          <w:kern w:val="0"/>
          <w:sz w:val="20"/>
          <w:szCs w:val="20"/>
          <w:lang w:eastAsia="en-IN"/>
          <w14:ligatures w14:val="none"/>
        </w:rPr>
        <w:t>All data were organized in appropriate tables and subjected to statistical analysis using ANOVA for RCBD. Significance of treatment differences was tested using the F-test, and standard error of the mean (</w:t>
      </w:r>
      <w:proofErr w:type="spellStart"/>
      <w:r w:rsidRPr="003227EC">
        <w:rPr>
          <w:rFonts w:ascii="Arial" w:eastAsia="Times New Roman" w:hAnsi="Arial" w:cs="Arial"/>
          <w:kern w:val="0"/>
          <w:sz w:val="20"/>
          <w:szCs w:val="20"/>
          <w:lang w:eastAsia="en-IN"/>
          <w14:ligatures w14:val="none"/>
        </w:rPr>
        <w:t>SEm</w:t>
      </w:r>
      <w:proofErr w:type="spellEnd"/>
      <w:r w:rsidR="00AA7E85" w:rsidRPr="003227EC">
        <w:rPr>
          <w:rFonts w:ascii="Arial" w:eastAsia="Times New Roman" w:hAnsi="Arial" w:cs="Arial"/>
          <w:kern w:val="0"/>
          <w:sz w:val="20"/>
          <w:szCs w:val="20"/>
          <w:lang w:eastAsia="en-IN"/>
          <w14:ligatures w14:val="none"/>
        </w:rPr>
        <w:t>±</w:t>
      </w:r>
      <w:r w:rsidRPr="003227EC">
        <w:rPr>
          <w:rFonts w:ascii="Arial" w:eastAsia="Times New Roman" w:hAnsi="Arial" w:cs="Arial"/>
          <w:kern w:val="0"/>
          <w:sz w:val="20"/>
          <w:szCs w:val="20"/>
          <w:lang w:eastAsia="en-IN"/>
          <w14:ligatures w14:val="none"/>
        </w:rPr>
        <w:t>) and critical difference (CD) at 5% probability (</w:t>
      </w:r>
      <w:r w:rsidRPr="003227EC">
        <w:rPr>
          <w:rFonts w:ascii="Arial" w:eastAsia="Times New Roman" w:hAnsi="Arial" w:cs="Arial"/>
          <w:i/>
          <w:iCs/>
          <w:kern w:val="0"/>
          <w:sz w:val="20"/>
          <w:szCs w:val="20"/>
          <w:lang w:eastAsia="en-IN"/>
          <w14:ligatures w14:val="none"/>
        </w:rPr>
        <w:t xml:space="preserve">P </w:t>
      </w:r>
      <w:r w:rsidRPr="003227EC">
        <w:rPr>
          <w:rFonts w:ascii="Arial" w:eastAsia="Times New Roman" w:hAnsi="Arial" w:cs="Arial"/>
          <w:kern w:val="0"/>
          <w:sz w:val="20"/>
          <w:szCs w:val="20"/>
          <w:lang w:eastAsia="en-IN"/>
          <w14:ligatures w14:val="none"/>
        </w:rPr>
        <w:t>= 0.05) were calculated following Gomez and Gomez (1989).</w:t>
      </w:r>
    </w:p>
    <w:p w14:paraId="6F010345" w14:textId="77777777" w:rsidR="004D47D6" w:rsidRPr="003227EC" w:rsidRDefault="004D47D6" w:rsidP="009B3EEA">
      <w:pPr>
        <w:pStyle w:val="ListParagraph"/>
        <w:numPr>
          <w:ilvl w:val="0"/>
          <w:numId w:val="1"/>
        </w:numPr>
        <w:spacing w:before="240" w:after="120" w:line="360" w:lineRule="auto"/>
        <w:jc w:val="both"/>
        <w:rPr>
          <w:rFonts w:ascii="Arial" w:hAnsi="Arial" w:cs="Arial"/>
          <w:b/>
          <w:bCs/>
          <w:sz w:val="22"/>
          <w:szCs w:val="22"/>
        </w:rPr>
      </w:pPr>
      <w:r w:rsidRPr="003227EC">
        <w:rPr>
          <w:rFonts w:ascii="Arial" w:hAnsi="Arial" w:cs="Arial"/>
          <w:b/>
          <w:bCs/>
          <w:sz w:val="22"/>
          <w:szCs w:val="22"/>
        </w:rPr>
        <w:t>RESULTS AND DISCUSSION</w:t>
      </w:r>
    </w:p>
    <w:p w14:paraId="14E76894" w14:textId="77777777" w:rsidR="004D47D6" w:rsidRPr="003227EC" w:rsidRDefault="004D47D6" w:rsidP="009B3EEA">
      <w:pPr>
        <w:pStyle w:val="ListParagraph"/>
        <w:numPr>
          <w:ilvl w:val="1"/>
          <w:numId w:val="1"/>
        </w:numPr>
        <w:spacing w:after="0" w:line="360" w:lineRule="auto"/>
        <w:jc w:val="both"/>
        <w:rPr>
          <w:rFonts w:ascii="Arial" w:hAnsi="Arial" w:cs="Arial"/>
          <w:b/>
          <w:bCs/>
          <w:sz w:val="20"/>
          <w:szCs w:val="20"/>
        </w:rPr>
      </w:pPr>
      <w:r w:rsidRPr="003227EC">
        <w:rPr>
          <w:rFonts w:ascii="Arial" w:hAnsi="Arial" w:cs="Arial"/>
          <w:b/>
          <w:bCs/>
          <w:sz w:val="20"/>
          <w:szCs w:val="20"/>
        </w:rPr>
        <w:t>Growth Attributes</w:t>
      </w:r>
    </w:p>
    <w:p w14:paraId="03C13177" w14:textId="574B53B5" w:rsidR="004D47D6" w:rsidRPr="003227EC" w:rsidRDefault="004D47D6" w:rsidP="009B3EEA">
      <w:pPr>
        <w:spacing w:after="0"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Marked differences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growth attributes were observed under varying nano-DAP and DAP combinations. The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w:t>
      </w:r>
      <w:r w:rsidR="006A153C"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kg/ha) treatment recorded the greatest plant height (47.07 cm), highest number of branches (9.04), and maximum dry matter accumulation (17.75 g/plant). These values were statistically comparable to treatments receiving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DAS (45.44 cm; 8.95 branches; 17.69 g)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nano-DAP spray at 25 &amp; 40 DAS (45.01 cm; 8.95 branches; 17.61 g). Growth parameters declined sharply in the control and treatments receiving only 25%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indicating a clear response to phosphorus availability. Seed-priming treatments with nano-DAP showed moderate improvement over the control but remained inferior to foliar nano-DAP sprays, highlighting the importance of nutrient supply during mid-vegetative stages (Table 1).</w:t>
      </w:r>
    </w:p>
    <w:p w14:paraId="206318A2" w14:textId="77777777" w:rsidR="00F5123A" w:rsidRPr="003227EC" w:rsidRDefault="00F5123A" w:rsidP="009B3EEA">
      <w:pPr>
        <w:spacing w:after="120"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1. Effect of nano DAP with different combinations of DAP on growth attributes (at harvest) of </w:t>
      </w:r>
      <w:proofErr w:type="spellStart"/>
      <w:r w:rsidRPr="003227EC">
        <w:rPr>
          <w:rFonts w:ascii="Arial" w:hAnsi="Arial" w:cs="Arial"/>
          <w:b/>
          <w:bCs/>
          <w:sz w:val="20"/>
          <w:szCs w:val="20"/>
          <w:lang w:val="en-US"/>
        </w:rPr>
        <w:t>blackgram</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03"/>
        <w:gridCol w:w="1150"/>
        <w:gridCol w:w="1736"/>
        <w:gridCol w:w="1837"/>
      </w:tblGrid>
      <w:tr w:rsidR="00F5123A" w:rsidRPr="003227EC" w14:paraId="102A1F5E" w14:textId="77777777" w:rsidTr="009B3EEA">
        <w:trPr>
          <w:trHeight w:val="462"/>
          <w:jc w:val="center"/>
        </w:trPr>
        <w:tc>
          <w:tcPr>
            <w:tcW w:w="4341" w:type="dxa"/>
            <w:tcBorders>
              <w:top w:val="single" w:sz="4" w:space="0" w:color="auto"/>
              <w:bottom w:val="single" w:sz="4" w:space="0" w:color="auto"/>
            </w:tcBorders>
            <w:vAlign w:val="center"/>
            <w:hideMark/>
          </w:tcPr>
          <w:p w14:paraId="14B4B86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134" w:type="dxa"/>
            <w:tcBorders>
              <w:top w:val="single" w:sz="4" w:space="0" w:color="auto"/>
              <w:bottom w:val="single" w:sz="4" w:space="0" w:color="auto"/>
            </w:tcBorders>
            <w:noWrap/>
          </w:tcPr>
          <w:p w14:paraId="7412E7B6"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height (cm)</w:t>
            </w:r>
          </w:p>
        </w:tc>
        <w:tc>
          <w:tcPr>
            <w:tcW w:w="1720" w:type="dxa"/>
            <w:tcBorders>
              <w:top w:val="single" w:sz="4" w:space="0" w:color="auto"/>
              <w:bottom w:val="single" w:sz="4" w:space="0" w:color="auto"/>
            </w:tcBorders>
            <w:noWrap/>
          </w:tcPr>
          <w:p w14:paraId="145015F9"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No. of branches/</w:t>
            </w:r>
          </w:p>
          <w:p w14:paraId="5F67B7D0"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w:t>
            </w:r>
          </w:p>
        </w:tc>
        <w:tc>
          <w:tcPr>
            <w:tcW w:w="1821" w:type="dxa"/>
            <w:tcBorders>
              <w:top w:val="single" w:sz="4" w:space="0" w:color="auto"/>
              <w:bottom w:val="single" w:sz="4" w:space="0" w:color="auto"/>
            </w:tcBorders>
            <w:noWrap/>
          </w:tcPr>
          <w:p w14:paraId="290395E8"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Dry matter accumulation/</w:t>
            </w:r>
          </w:p>
          <w:p w14:paraId="099ABBFA" w14:textId="77777777" w:rsidR="00F5123A" w:rsidRPr="003227EC" w:rsidRDefault="00F5123A"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plant (g/plant)</w:t>
            </w:r>
          </w:p>
        </w:tc>
      </w:tr>
      <w:tr w:rsidR="00F5123A" w:rsidRPr="003227EC" w14:paraId="24EC5BCA" w14:textId="77777777" w:rsidTr="009B3EEA">
        <w:trPr>
          <w:trHeight w:val="359"/>
          <w:jc w:val="center"/>
        </w:trPr>
        <w:tc>
          <w:tcPr>
            <w:tcW w:w="4341" w:type="dxa"/>
            <w:tcBorders>
              <w:top w:val="single" w:sz="4" w:space="0" w:color="auto"/>
            </w:tcBorders>
            <w:vAlign w:val="center"/>
            <w:hideMark/>
          </w:tcPr>
          <w:p w14:paraId="3B021FCE"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134" w:type="dxa"/>
            <w:tcBorders>
              <w:top w:val="single" w:sz="4" w:space="0" w:color="auto"/>
            </w:tcBorders>
            <w:noWrap/>
            <w:vAlign w:val="center"/>
          </w:tcPr>
          <w:p w14:paraId="5B8B06B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29.38</w:t>
            </w:r>
          </w:p>
        </w:tc>
        <w:tc>
          <w:tcPr>
            <w:tcW w:w="1720" w:type="dxa"/>
            <w:tcBorders>
              <w:top w:val="single" w:sz="4" w:space="0" w:color="auto"/>
            </w:tcBorders>
            <w:noWrap/>
            <w:vAlign w:val="center"/>
          </w:tcPr>
          <w:p w14:paraId="7F8C7A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6.02</w:t>
            </w:r>
          </w:p>
        </w:tc>
        <w:tc>
          <w:tcPr>
            <w:tcW w:w="1821" w:type="dxa"/>
            <w:tcBorders>
              <w:top w:val="single" w:sz="4" w:space="0" w:color="auto"/>
            </w:tcBorders>
            <w:noWrap/>
            <w:vAlign w:val="center"/>
          </w:tcPr>
          <w:p w14:paraId="4B44AEA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11.29</w:t>
            </w:r>
          </w:p>
        </w:tc>
      </w:tr>
      <w:tr w:rsidR="00F5123A" w:rsidRPr="003227EC" w14:paraId="3449F882" w14:textId="77777777" w:rsidTr="009B3EEA">
        <w:trPr>
          <w:trHeight w:val="466"/>
          <w:jc w:val="center"/>
        </w:trPr>
        <w:tc>
          <w:tcPr>
            <w:tcW w:w="4341" w:type="dxa"/>
            <w:vAlign w:val="center"/>
            <w:hideMark/>
          </w:tcPr>
          <w:p w14:paraId="1A8A0D2E" w14:textId="77777777" w:rsidR="00F5123A" w:rsidRPr="003227EC" w:rsidRDefault="00F5123A" w:rsidP="009B3EEA">
            <w:pPr>
              <w:spacing w:line="360" w:lineRule="auto"/>
              <w:ind w:left="144" w:right="144"/>
              <w:jc w:val="both"/>
              <w:rPr>
                <w:rFonts w:ascii="Arial" w:hAnsi="Arial" w:cs="Arial"/>
                <w:sz w:val="20"/>
                <w:szCs w:val="20"/>
                <w:lang w:val="en-US"/>
              </w:rPr>
            </w:pPr>
            <w:bookmarkStart w:id="0" w:name="_Hlk177064726"/>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134" w:type="dxa"/>
            <w:noWrap/>
            <w:vAlign w:val="center"/>
          </w:tcPr>
          <w:p w14:paraId="3D286B69"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47.07</w:t>
            </w:r>
          </w:p>
        </w:tc>
        <w:tc>
          <w:tcPr>
            <w:tcW w:w="1720" w:type="dxa"/>
            <w:noWrap/>
            <w:vAlign w:val="center"/>
          </w:tcPr>
          <w:p w14:paraId="52AD82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9.04</w:t>
            </w:r>
          </w:p>
        </w:tc>
        <w:tc>
          <w:tcPr>
            <w:tcW w:w="1821" w:type="dxa"/>
            <w:noWrap/>
            <w:vAlign w:val="center"/>
          </w:tcPr>
          <w:p w14:paraId="6581814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17.75</w:t>
            </w:r>
          </w:p>
        </w:tc>
        <w:bookmarkEnd w:id="0"/>
      </w:tr>
      <w:tr w:rsidR="00F5123A" w:rsidRPr="003227EC" w14:paraId="419B60B9" w14:textId="77777777" w:rsidTr="009B3EEA">
        <w:trPr>
          <w:trHeight w:val="665"/>
          <w:jc w:val="center"/>
        </w:trPr>
        <w:tc>
          <w:tcPr>
            <w:tcW w:w="4341" w:type="dxa"/>
            <w:vAlign w:val="center"/>
            <w:hideMark/>
          </w:tcPr>
          <w:p w14:paraId="14CF5A0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134" w:type="dxa"/>
            <w:noWrap/>
            <w:vAlign w:val="center"/>
          </w:tcPr>
          <w:p w14:paraId="71BDD7B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45.44</w:t>
            </w:r>
          </w:p>
        </w:tc>
        <w:tc>
          <w:tcPr>
            <w:tcW w:w="1720" w:type="dxa"/>
            <w:noWrap/>
            <w:vAlign w:val="center"/>
          </w:tcPr>
          <w:p w14:paraId="1B08ABF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36BB11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17.69</w:t>
            </w:r>
          </w:p>
        </w:tc>
      </w:tr>
      <w:tr w:rsidR="00F5123A" w:rsidRPr="003227EC" w14:paraId="2E5B5997" w14:textId="77777777" w:rsidTr="009B3EEA">
        <w:trPr>
          <w:trHeight w:val="463"/>
          <w:jc w:val="center"/>
        </w:trPr>
        <w:tc>
          <w:tcPr>
            <w:tcW w:w="4341" w:type="dxa"/>
            <w:vAlign w:val="center"/>
            <w:hideMark/>
          </w:tcPr>
          <w:p w14:paraId="00DA7167"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134" w:type="dxa"/>
            <w:noWrap/>
            <w:vAlign w:val="center"/>
          </w:tcPr>
          <w:p w14:paraId="573D27E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45.01</w:t>
            </w:r>
          </w:p>
        </w:tc>
        <w:tc>
          <w:tcPr>
            <w:tcW w:w="1720" w:type="dxa"/>
            <w:noWrap/>
            <w:vAlign w:val="center"/>
          </w:tcPr>
          <w:p w14:paraId="602FA3B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8.95</w:t>
            </w:r>
          </w:p>
        </w:tc>
        <w:tc>
          <w:tcPr>
            <w:tcW w:w="1821" w:type="dxa"/>
            <w:noWrap/>
            <w:vAlign w:val="center"/>
          </w:tcPr>
          <w:p w14:paraId="1EA801D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17.61</w:t>
            </w:r>
          </w:p>
        </w:tc>
      </w:tr>
      <w:tr w:rsidR="00F5123A" w:rsidRPr="003227EC" w14:paraId="2FDC72AA" w14:textId="77777777" w:rsidTr="009B3EEA">
        <w:trPr>
          <w:trHeight w:val="664"/>
          <w:jc w:val="center"/>
        </w:trPr>
        <w:tc>
          <w:tcPr>
            <w:tcW w:w="4341" w:type="dxa"/>
            <w:vAlign w:val="center"/>
            <w:hideMark/>
          </w:tcPr>
          <w:p w14:paraId="0188D073"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134" w:type="dxa"/>
            <w:noWrap/>
            <w:vAlign w:val="center"/>
          </w:tcPr>
          <w:p w14:paraId="78B1700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33.15</w:t>
            </w:r>
          </w:p>
        </w:tc>
        <w:tc>
          <w:tcPr>
            <w:tcW w:w="1720" w:type="dxa"/>
            <w:noWrap/>
            <w:vAlign w:val="center"/>
          </w:tcPr>
          <w:p w14:paraId="4A242C8A"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6.71</w:t>
            </w:r>
          </w:p>
        </w:tc>
        <w:tc>
          <w:tcPr>
            <w:tcW w:w="1821" w:type="dxa"/>
            <w:noWrap/>
            <w:vAlign w:val="center"/>
          </w:tcPr>
          <w:p w14:paraId="68CD87B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13.18</w:t>
            </w:r>
          </w:p>
        </w:tc>
      </w:tr>
      <w:tr w:rsidR="00F5123A" w:rsidRPr="003227EC" w14:paraId="6989C348" w14:textId="77777777" w:rsidTr="009B3EEA">
        <w:trPr>
          <w:trHeight w:val="345"/>
          <w:jc w:val="center"/>
        </w:trPr>
        <w:tc>
          <w:tcPr>
            <w:tcW w:w="4341" w:type="dxa"/>
            <w:vAlign w:val="center"/>
            <w:hideMark/>
          </w:tcPr>
          <w:p w14:paraId="3727AEE9"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134" w:type="dxa"/>
            <w:noWrap/>
            <w:vAlign w:val="center"/>
          </w:tcPr>
          <w:p w14:paraId="086E019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37.76</w:t>
            </w:r>
          </w:p>
        </w:tc>
        <w:tc>
          <w:tcPr>
            <w:tcW w:w="1720" w:type="dxa"/>
            <w:noWrap/>
            <w:vAlign w:val="center"/>
          </w:tcPr>
          <w:p w14:paraId="7F404C6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7.58</w:t>
            </w:r>
          </w:p>
        </w:tc>
        <w:tc>
          <w:tcPr>
            <w:tcW w:w="1821" w:type="dxa"/>
            <w:noWrap/>
            <w:vAlign w:val="center"/>
          </w:tcPr>
          <w:p w14:paraId="60C10FD8"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14.66</w:t>
            </w:r>
          </w:p>
        </w:tc>
      </w:tr>
      <w:tr w:rsidR="00F5123A" w:rsidRPr="003227EC" w14:paraId="2A233347" w14:textId="77777777" w:rsidTr="009B3EEA">
        <w:trPr>
          <w:trHeight w:val="345"/>
          <w:jc w:val="center"/>
        </w:trPr>
        <w:tc>
          <w:tcPr>
            <w:tcW w:w="4341" w:type="dxa"/>
            <w:vAlign w:val="center"/>
            <w:hideMark/>
          </w:tcPr>
          <w:p w14:paraId="65159DFC"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134" w:type="dxa"/>
            <w:noWrap/>
            <w:vAlign w:val="center"/>
          </w:tcPr>
          <w:p w14:paraId="095ABDE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38.72</w:t>
            </w:r>
          </w:p>
        </w:tc>
        <w:tc>
          <w:tcPr>
            <w:tcW w:w="1720" w:type="dxa"/>
            <w:noWrap/>
            <w:vAlign w:val="center"/>
          </w:tcPr>
          <w:p w14:paraId="79348D06"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8.24</w:t>
            </w:r>
          </w:p>
        </w:tc>
        <w:tc>
          <w:tcPr>
            <w:tcW w:w="1821" w:type="dxa"/>
            <w:noWrap/>
            <w:vAlign w:val="center"/>
          </w:tcPr>
          <w:p w14:paraId="70132945"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16.25</w:t>
            </w:r>
          </w:p>
        </w:tc>
      </w:tr>
      <w:tr w:rsidR="00F5123A" w:rsidRPr="003227EC" w14:paraId="52D4E77B" w14:textId="77777777" w:rsidTr="009B3EEA">
        <w:trPr>
          <w:trHeight w:val="1066"/>
          <w:jc w:val="center"/>
        </w:trPr>
        <w:tc>
          <w:tcPr>
            <w:tcW w:w="4341" w:type="dxa"/>
            <w:vAlign w:val="center"/>
            <w:hideMark/>
          </w:tcPr>
          <w:p w14:paraId="23730456" w14:textId="77777777" w:rsidR="00F5123A" w:rsidRPr="003227EC" w:rsidRDefault="00F5123A"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134" w:type="dxa"/>
            <w:noWrap/>
            <w:vAlign w:val="center"/>
          </w:tcPr>
          <w:p w14:paraId="0E7A0D0B"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33.02</w:t>
            </w:r>
          </w:p>
        </w:tc>
        <w:tc>
          <w:tcPr>
            <w:tcW w:w="1720" w:type="dxa"/>
            <w:noWrap/>
            <w:vAlign w:val="center"/>
          </w:tcPr>
          <w:p w14:paraId="7B532281"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6.60</w:t>
            </w:r>
          </w:p>
        </w:tc>
        <w:tc>
          <w:tcPr>
            <w:tcW w:w="1821" w:type="dxa"/>
            <w:noWrap/>
            <w:vAlign w:val="center"/>
          </w:tcPr>
          <w:p w14:paraId="3F5FA1F4"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12.95</w:t>
            </w:r>
          </w:p>
        </w:tc>
      </w:tr>
      <w:tr w:rsidR="00F5123A" w:rsidRPr="003227EC" w14:paraId="770E95DF" w14:textId="77777777" w:rsidTr="009B3EEA">
        <w:trPr>
          <w:trHeight w:val="376"/>
          <w:jc w:val="center"/>
        </w:trPr>
        <w:tc>
          <w:tcPr>
            <w:tcW w:w="4341" w:type="dxa"/>
            <w:vAlign w:val="center"/>
            <w:hideMark/>
          </w:tcPr>
          <w:p w14:paraId="4CC12B5B" w14:textId="424E56BB" w:rsidR="00F5123A" w:rsidRPr="003227EC" w:rsidRDefault="00F5123A"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134" w:type="dxa"/>
            <w:noWrap/>
            <w:vAlign w:val="center"/>
          </w:tcPr>
          <w:p w14:paraId="29A91B73"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1.10</w:t>
            </w:r>
          </w:p>
        </w:tc>
        <w:tc>
          <w:tcPr>
            <w:tcW w:w="1720" w:type="dxa"/>
            <w:noWrap/>
            <w:vAlign w:val="center"/>
          </w:tcPr>
          <w:p w14:paraId="578ED900"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c>
          <w:tcPr>
            <w:tcW w:w="1821" w:type="dxa"/>
            <w:noWrap/>
            <w:vAlign w:val="center"/>
          </w:tcPr>
          <w:p w14:paraId="1E27C71E"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0.39</w:t>
            </w:r>
          </w:p>
        </w:tc>
      </w:tr>
      <w:tr w:rsidR="00F5123A" w:rsidRPr="003227EC" w14:paraId="4F044D7D" w14:textId="77777777" w:rsidTr="009B3EEA">
        <w:trPr>
          <w:trHeight w:val="303"/>
          <w:jc w:val="center"/>
        </w:trPr>
        <w:tc>
          <w:tcPr>
            <w:tcW w:w="4341" w:type="dxa"/>
            <w:vAlign w:val="center"/>
            <w:hideMark/>
          </w:tcPr>
          <w:p w14:paraId="05989343" w14:textId="77777777" w:rsidR="00F5123A" w:rsidRPr="003227EC" w:rsidRDefault="00F5123A"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134" w:type="dxa"/>
            <w:noWrap/>
            <w:vAlign w:val="center"/>
          </w:tcPr>
          <w:p w14:paraId="49561F92"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3.35</w:t>
            </w:r>
          </w:p>
        </w:tc>
        <w:tc>
          <w:tcPr>
            <w:tcW w:w="1720" w:type="dxa"/>
            <w:noWrap/>
            <w:vAlign w:val="center"/>
          </w:tcPr>
          <w:p w14:paraId="080600A7"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0.58</w:t>
            </w:r>
          </w:p>
        </w:tc>
        <w:tc>
          <w:tcPr>
            <w:tcW w:w="1821" w:type="dxa"/>
            <w:noWrap/>
            <w:vAlign w:val="center"/>
          </w:tcPr>
          <w:p w14:paraId="6953CD9F" w14:textId="77777777" w:rsidR="00F5123A" w:rsidRPr="003227EC" w:rsidRDefault="00F5123A" w:rsidP="009B3EEA">
            <w:pPr>
              <w:spacing w:line="360" w:lineRule="auto"/>
              <w:jc w:val="center"/>
              <w:rPr>
                <w:rFonts w:ascii="Arial" w:hAnsi="Arial" w:cs="Arial"/>
                <w:sz w:val="20"/>
                <w:szCs w:val="20"/>
                <w:lang w:val="en-US"/>
              </w:rPr>
            </w:pPr>
            <w:r w:rsidRPr="003227EC">
              <w:rPr>
                <w:rFonts w:ascii="Arial" w:hAnsi="Arial" w:cs="Arial"/>
                <w:sz w:val="20"/>
                <w:szCs w:val="20"/>
                <w:lang w:val="en-US"/>
              </w:rPr>
              <w:t>1.20</w:t>
            </w:r>
          </w:p>
        </w:tc>
      </w:tr>
    </w:tbl>
    <w:p w14:paraId="259358EE" w14:textId="09AF7EAA"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The comparable performance of nano-DAP foliar spray treatments at reduced phosphorus levels suggests that nanoscale phosphorus improved nutrient absorption and utilization efficiency. Nano-fertilizers are known to exhibit higher surface reactivity, faster dissolution, and better phloem mobility, enhancing nutrient uptake and promoting vigorous growth (</w:t>
      </w:r>
      <w:r w:rsidR="006A153C" w:rsidRPr="003227EC">
        <w:rPr>
          <w:rFonts w:ascii="Arial" w:eastAsia="Times New Roman" w:hAnsi="Arial" w:cs="Arial"/>
          <w:kern w:val="0"/>
          <w:sz w:val="20"/>
          <w:szCs w:val="20"/>
          <w:lang w:eastAsia="en-GB"/>
          <w14:ligatures w14:val="none"/>
        </w:rPr>
        <w:t xml:space="preserve">Misra </w:t>
      </w:r>
      <w:r w:rsidRPr="003227EC">
        <w:rPr>
          <w:rFonts w:ascii="Arial" w:eastAsia="Times New Roman" w:hAnsi="Arial" w:cs="Arial"/>
          <w:kern w:val="0"/>
          <w:sz w:val="20"/>
          <w:szCs w:val="20"/>
          <w:lang w:eastAsia="en-GB"/>
          <w14:ligatures w14:val="none"/>
        </w:rPr>
        <w:t>et al., 201</w:t>
      </w:r>
      <w:r w:rsidR="006A153C" w:rsidRPr="003227EC">
        <w:rPr>
          <w:rFonts w:ascii="Arial" w:eastAsia="Times New Roman" w:hAnsi="Arial" w:cs="Arial"/>
          <w:kern w:val="0"/>
          <w:sz w:val="20"/>
          <w:szCs w:val="20"/>
          <w:lang w:eastAsia="en-GB"/>
          <w14:ligatures w14:val="none"/>
        </w:rPr>
        <w:t>3</w:t>
      </w:r>
      <w:r w:rsidRPr="003227EC">
        <w:rPr>
          <w:rFonts w:ascii="Arial" w:eastAsia="Times New Roman" w:hAnsi="Arial" w:cs="Arial"/>
          <w:kern w:val="0"/>
          <w:sz w:val="20"/>
          <w:szCs w:val="20"/>
          <w:lang w:eastAsia="en-GB"/>
          <w14:ligatures w14:val="none"/>
        </w:rPr>
        <w:t>; Liu &amp; Lal, 2015). Enhanced branching under nano-DAP treatments may be associated with improved nitrogen availability, which is strongly linked to cytokinin-mediated lateral bud activation (Sakakibara, 2006). Increased dry matter accumulation is in line with earlier reports showing that nano-nutrients enhance photosynthetic activity, biomass production, and metabolic efficiency compared with conventional fertilizers (</w:t>
      </w:r>
      <w:proofErr w:type="spellStart"/>
      <w:r w:rsidRPr="003227EC">
        <w:rPr>
          <w:rFonts w:ascii="Arial" w:eastAsia="Times New Roman" w:hAnsi="Arial" w:cs="Arial"/>
          <w:kern w:val="0"/>
          <w:sz w:val="20"/>
          <w:szCs w:val="20"/>
          <w:lang w:eastAsia="en-GB"/>
          <w14:ligatures w14:val="none"/>
        </w:rPr>
        <w:t>Dimkpa</w:t>
      </w:r>
      <w:proofErr w:type="spellEnd"/>
      <w:r w:rsidRPr="003227EC">
        <w:rPr>
          <w:rFonts w:ascii="Arial" w:eastAsia="Times New Roman" w:hAnsi="Arial" w:cs="Arial"/>
          <w:kern w:val="0"/>
          <w:sz w:val="20"/>
          <w:szCs w:val="20"/>
          <w:lang w:eastAsia="en-GB"/>
          <w14:ligatures w14:val="none"/>
        </w:rPr>
        <w:t xml:space="preserve"> &amp; </w:t>
      </w:r>
      <w:proofErr w:type="spellStart"/>
      <w:r w:rsidRPr="003227EC">
        <w:rPr>
          <w:rFonts w:ascii="Arial" w:eastAsia="Times New Roman" w:hAnsi="Arial" w:cs="Arial"/>
          <w:kern w:val="0"/>
          <w:sz w:val="20"/>
          <w:szCs w:val="20"/>
          <w:lang w:eastAsia="en-GB"/>
          <w14:ligatures w14:val="none"/>
        </w:rPr>
        <w:t>Bindraban</w:t>
      </w:r>
      <w:proofErr w:type="spellEnd"/>
      <w:r w:rsidRPr="003227EC">
        <w:rPr>
          <w:rFonts w:ascii="Arial" w:eastAsia="Times New Roman" w:hAnsi="Arial" w:cs="Arial"/>
          <w:kern w:val="0"/>
          <w:sz w:val="20"/>
          <w:szCs w:val="20"/>
          <w:lang w:eastAsia="en-GB"/>
          <w14:ligatures w14:val="none"/>
        </w:rPr>
        <w:t>, 2018). Overall, the findings indicate that foliar nano-DAP can effectively compensate for 25–50% of the recommended phosphorus dose while sustaining growth attributes comparable to full RDF, offering a pathway for reducing P input without compromising vegetative performance.</w:t>
      </w:r>
    </w:p>
    <w:p w14:paraId="20C76CDE" w14:textId="70E0A458" w:rsidR="004D47D6" w:rsidRPr="003227EC" w:rsidRDefault="004D47D6" w:rsidP="009B3EEA">
      <w:pPr>
        <w:pStyle w:val="ListParagraph"/>
        <w:numPr>
          <w:ilvl w:val="1"/>
          <w:numId w:val="1"/>
        </w:numPr>
        <w:spacing w:after="0" w:line="360" w:lineRule="auto"/>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Yield attributes and Yield</w:t>
      </w:r>
    </w:p>
    <w:p w14:paraId="13799D6F" w14:textId="1A627093" w:rsidR="00F5123A"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results demonstrated that yield attributes and yield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responded strongly to integrated applications of DAP and nano-DAP. The highest pods per plant (38.96), seed yield (1240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stover yield (1958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and harvest index (38.78%) were obtained under 100%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001555B1" w:rsidRPr="003227EC">
        <w:rPr>
          <w:rFonts w:ascii="Cambria Math" w:eastAsia="Times New Roman" w:hAnsi="Cambria Math" w:cs="Cambria Math"/>
          <w:kern w:val="0"/>
          <w:sz w:val="20"/>
          <w:szCs w:val="20"/>
          <w:lang w:eastAsia="en-GB"/>
          <w14:ligatures w14:val="none"/>
        </w:rPr>
        <w:t>₅</w:t>
      </w:r>
      <w:r w:rsidR="001555B1" w:rsidRPr="003227EC">
        <w:rPr>
          <w:rFonts w:ascii="Arial" w:eastAsia="Times New Roman" w:hAnsi="Arial" w:cs="Arial"/>
          <w:kern w:val="0"/>
          <w:sz w:val="20"/>
          <w:szCs w:val="20"/>
          <w:lang w:eastAsia="en-GB"/>
          <w14:ligatures w14:val="none"/>
        </w:rPr>
        <w:t>: K</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These were statistically comparable with 75%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one foliar spray of nano-DAP at 25 DAS and 50% RD 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 xml:space="preserve"> + two nano-DAP sprays at 25 and 40 DAS, which produced seed yields of 1219 and 1216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respectively</w:t>
      </w:r>
      <w:r w:rsidR="00F27E3C" w:rsidRPr="003227EC">
        <w:rPr>
          <w:rFonts w:ascii="Arial" w:eastAsia="Times New Roman" w:hAnsi="Arial" w:cs="Arial"/>
          <w:kern w:val="0"/>
          <w:sz w:val="20"/>
          <w:szCs w:val="20"/>
          <w:lang w:eastAsia="en-GB"/>
          <w14:ligatures w14:val="none"/>
        </w:rPr>
        <w:t xml:space="preserve"> (Table 2)</w:t>
      </w:r>
      <w:r w:rsidRPr="003227EC">
        <w:rPr>
          <w:rFonts w:ascii="Arial" w:eastAsia="Times New Roman" w:hAnsi="Arial" w:cs="Arial"/>
          <w:kern w:val="0"/>
          <w:sz w:val="20"/>
          <w:szCs w:val="20"/>
          <w:lang w:eastAsia="en-GB"/>
          <w14:ligatures w14:val="none"/>
        </w:rPr>
        <w:t>.</w:t>
      </w:r>
    </w:p>
    <w:p w14:paraId="1AE319C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2. Effect of nano DAP with different combinations of DAP on yield attributes and yield of </w:t>
      </w:r>
      <w:proofErr w:type="spellStart"/>
      <w:r w:rsidRPr="003227EC">
        <w:rPr>
          <w:rFonts w:ascii="Arial" w:hAnsi="Arial" w:cs="Arial"/>
          <w:b/>
          <w:bCs/>
          <w:sz w:val="20"/>
          <w:szCs w:val="20"/>
          <w:lang w:val="en-US"/>
        </w:rPr>
        <w:t>blackgram</w:t>
      </w:r>
      <w:proofErr w:type="spellEnd"/>
    </w:p>
    <w:tbl>
      <w:tblPr>
        <w:tblStyle w:val="TableGrid"/>
        <w:tblW w:w="10222"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9"/>
        <w:gridCol w:w="1078"/>
        <w:gridCol w:w="1465"/>
        <w:gridCol w:w="1382"/>
        <w:gridCol w:w="1638"/>
      </w:tblGrid>
      <w:tr w:rsidR="00F27E3C" w:rsidRPr="003227EC" w14:paraId="1D5E4493" w14:textId="77777777" w:rsidTr="00B30A3E">
        <w:trPr>
          <w:trHeight w:val="325"/>
          <w:jc w:val="center"/>
        </w:trPr>
        <w:tc>
          <w:tcPr>
            <w:tcW w:w="4699" w:type="dxa"/>
            <w:tcBorders>
              <w:top w:val="single" w:sz="4" w:space="0" w:color="auto"/>
              <w:bottom w:val="single" w:sz="4" w:space="0" w:color="auto"/>
            </w:tcBorders>
            <w:vAlign w:val="center"/>
            <w:hideMark/>
          </w:tcPr>
          <w:p w14:paraId="156122C4"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val="en-US"/>
              </w:rPr>
              <w:t>Treatments</w:t>
            </w:r>
          </w:p>
        </w:tc>
        <w:tc>
          <w:tcPr>
            <w:tcW w:w="1062" w:type="dxa"/>
            <w:tcBorders>
              <w:top w:val="single" w:sz="4" w:space="0" w:color="auto"/>
              <w:bottom w:val="single" w:sz="4" w:space="0" w:color="auto"/>
            </w:tcBorders>
            <w:noWrap/>
          </w:tcPr>
          <w:p w14:paraId="08D4610D" w14:textId="77777777" w:rsidR="00F27E3C" w:rsidRPr="003227EC" w:rsidRDefault="00F27E3C" w:rsidP="009B3EEA">
            <w:pPr>
              <w:spacing w:line="360" w:lineRule="auto"/>
              <w:jc w:val="center"/>
              <w:rPr>
                <w:rFonts w:ascii="Arial" w:hAnsi="Arial" w:cs="Arial"/>
                <w:b/>
                <w:bCs/>
                <w:sz w:val="20"/>
                <w:szCs w:val="20"/>
              </w:rPr>
            </w:pPr>
            <w:r w:rsidRPr="003227EC">
              <w:rPr>
                <w:rFonts w:ascii="Arial" w:hAnsi="Arial" w:cs="Arial"/>
                <w:b/>
                <w:bCs/>
                <w:sz w:val="20"/>
                <w:szCs w:val="20"/>
              </w:rPr>
              <w:t xml:space="preserve">Pods/ </w:t>
            </w:r>
          </w:p>
          <w:p w14:paraId="4A7F7E83" w14:textId="09C5EAFB"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plant</w:t>
            </w:r>
          </w:p>
        </w:tc>
        <w:tc>
          <w:tcPr>
            <w:tcW w:w="1449" w:type="dxa"/>
            <w:tcBorders>
              <w:top w:val="single" w:sz="4" w:space="0" w:color="auto"/>
              <w:bottom w:val="single" w:sz="4" w:space="0" w:color="auto"/>
            </w:tcBorders>
            <w:noWrap/>
          </w:tcPr>
          <w:p w14:paraId="1825421B"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Seed yield (kg/ha)</w:t>
            </w:r>
          </w:p>
        </w:tc>
        <w:tc>
          <w:tcPr>
            <w:tcW w:w="1390" w:type="dxa"/>
            <w:tcBorders>
              <w:top w:val="single" w:sz="4" w:space="0" w:color="auto"/>
              <w:bottom w:val="single" w:sz="4" w:space="0" w:color="auto"/>
            </w:tcBorders>
          </w:tcPr>
          <w:p w14:paraId="6865C977"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Stover yield (kg/ha)</w:t>
            </w:r>
          </w:p>
        </w:tc>
        <w:tc>
          <w:tcPr>
            <w:tcW w:w="1622" w:type="dxa"/>
            <w:tcBorders>
              <w:top w:val="single" w:sz="4" w:space="0" w:color="auto"/>
              <w:bottom w:val="single" w:sz="4" w:space="0" w:color="auto"/>
            </w:tcBorders>
            <w:noWrap/>
          </w:tcPr>
          <w:p w14:paraId="23EEDB42"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rPr>
              <w:t>Harvest index (%)</w:t>
            </w:r>
          </w:p>
        </w:tc>
      </w:tr>
      <w:tr w:rsidR="00F27E3C" w:rsidRPr="003227EC" w14:paraId="3A1CC7AB" w14:textId="77777777" w:rsidTr="00B30A3E">
        <w:trPr>
          <w:trHeight w:val="252"/>
          <w:jc w:val="center"/>
        </w:trPr>
        <w:tc>
          <w:tcPr>
            <w:tcW w:w="4699" w:type="dxa"/>
            <w:tcBorders>
              <w:top w:val="single" w:sz="4" w:space="0" w:color="auto"/>
            </w:tcBorders>
            <w:vAlign w:val="center"/>
            <w:hideMark/>
          </w:tcPr>
          <w:p w14:paraId="44798DD3"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1062" w:type="dxa"/>
            <w:tcBorders>
              <w:top w:val="single" w:sz="4" w:space="0" w:color="auto"/>
            </w:tcBorders>
            <w:noWrap/>
            <w:vAlign w:val="center"/>
          </w:tcPr>
          <w:p w14:paraId="0642AA0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17.65</w:t>
            </w:r>
          </w:p>
        </w:tc>
        <w:tc>
          <w:tcPr>
            <w:tcW w:w="1449" w:type="dxa"/>
            <w:tcBorders>
              <w:top w:val="single" w:sz="4" w:space="0" w:color="auto"/>
            </w:tcBorders>
            <w:noWrap/>
            <w:vAlign w:val="center"/>
          </w:tcPr>
          <w:p w14:paraId="46808D6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500</w:t>
            </w:r>
          </w:p>
        </w:tc>
        <w:tc>
          <w:tcPr>
            <w:tcW w:w="1390" w:type="dxa"/>
            <w:tcBorders>
              <w:top w:val="single" w:sz="4" w:space="0" w:color="auto"/>
            </w:tcBorders>
            <w:vAlign w:val="center"/>
          </w:tcPr>
          <w:p w14:paraId="4CBC91B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1565</w:t>
            </w:r>
          </w:p>
        </w:tc>
        <w:tc>
          <w:tcPr>
            <w:tcW w:w="1622" w:type="dxa"/>
            <w:tcBorders>
              <w:top w:val="single" w:sz="4" w:space="0" w:color="auto"/>
            </w:tcBorders>
            <w:noWrap/>
            <w:vAlign w:val="center"/>
          </w:tcPr>
          <w:p w14:paraId="792FCEC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24.24</w:t>
            </w:r>
          </w:p>
        </w:tc>
      </w:tr>
      <w:tr w:rsidR="00F27E3C" w:rsidRPr="003227EC" w14:paraId="33AE2862" w14:textId="77777777" w:rsidTr="00B30A3E">
        <w:trPr>
          <w:trHeight w:val="327"/>
          <w:jc w:val="center"/>
        </w:trPr>
        <w:tc>
          <w:tcPr>
            <w:tcW w:w="4699" w:type="dxa"/>
            <w:vAlign w:val="center"/>
            <w:hideMark/>
          </w:tcPr>
          <w:p w14:paraId="7D24AC1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1062" w:type="dxa"/>
            <w:noWrap/>
            <w:vAlign w:val="center"/>
          </w:tcPr>
          <w:p w14:paraId="02EA8DF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38.96</w:t>
            </w:r>
          </w:p>
        </w:tc>
        <w:tc>
          <w:tcPr>
            <w:tcW w:w="1449" w:type="dxa"/>
            <w:noWrap/>
            <w:vAlign w:val="center"/>
          </w:tcPr>
          <w:p w14:paraId="7B557C7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1240</w:t>
            </w:r>
          </w:p>
        </w:tc>
        <w:tc>
          <w:tcPr>
            <w:tcW w:w="1390" w:type="dxa"/>
            <w:vAlign w:val="center"/>
          </w:tcPr>
          <w:p w14:paraId="199500D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1958</w:t>
            </w:r>
          </w:p>
        </w:tc>
        <w:tc>
          <w:tcPr>
            <w:tcW w:w="1622" w:type="dxa"/>
            <w:noWrap/>
            <w:vAlign w:val="center"/>
          </w:tcPr>
          <w:p w14:paraId="044DB1E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38.78</w:t>
            </w:r>
          </w:p>
        </w:tc>
      </w:tr>
      <w:tr w:rsidR="00F27E3C" w:rsidRPr="003227EC" w14:paraId="22615CD7" w14:textId="77777777" w:rsidTr="00B30A3E">
        <w:trPr>
          <w:trHeight w:val="467"/>
          <w:jc w:val="center"/>
        </w:trPr>
        <w:tc>
          <w:tcPr>
            <w:tcW w:w="4699" w:type="dxa"/>
            <w:vAlign w:val="center"/>
            <w:hideMark/>
          </w:tcPr>
          <w:p w14:paraId="3B50060D"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1062" w:type="dxa"/>
            <w:noWrap/>
            <w:vAlign w:val="center"/>
          </w:tcPr>
          <w:p w14:paraId="0805016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36.95</w:t>
            </w:r>
          </w:p>
        </w:tc>
        <w:tc>
          <w:tcPr>
            <w:tcW w:w="1449" w:type="dxa"/>
            <w:noWrap/>
            <w:vAlign w:val="center"/>
          </w:tcPr>
          <w:p w14:paraId="4312CC3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1219</w:t>
            </w:r>
          </w:p>
        </w:tc>
        <w:tc>
          <w:tcPr>
            <w:tcW w:w="1390" w:type="dxa"/>
            <w:vAlign w:val="center"/>
          </w:tcPr>
          <w:p w14:paraId="43313BF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1936</w:t>
            </w:r>
          </w:p>
        </w:tc>
        <w:tc>
          <w:tcPr>
            <w:tcW w:w="1622" w:type="dxa"/>
            <w:noWrap/>
            <w:vAlign w:val="center"/>
          </w:tcPr>
          <w:p w14:paraId="52D722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38.64</w:t>
            </w:r>
          </w:p>
        </w:tc>
      </w:tr>
      <w:tr w:rsidR="00F27E3C" w:rsidRPr="003227EC" w14:paraId="05456376" w14:textId="77777777" w:rsidTr="00B30A3E">
        <w:trPr>
          <w:trHeight w:val="325"/>
          <w:jc w:val="center"/>
        </w:trPr>
        <w:tc>
          <w:tcPr>
            <w:tcW w:w="4699" w:type="dxa"/>
            <w:vAlign w:val="center"/>
            <w:hideMark/>
          </w:tcPr>
          <w:p w14:paraId="0C3374CF"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1062" w:type="dxa"/>
            <w:noWrap/>
            <w:vAlign w:val="center"/>
          </w:tcPr>
          <w:p w14:paraId="2D14CE5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36.77</w:t>
            </w:r>
          </w:p>
        </w:tc>
        <w:tc>
          <w:tcPr>
            <w:tcW w:w="1449" w:type="dxa"/>
            <w:noWrap/>
            <w:vAlign w:val="center"/>
          </w:tcPr>
          <w:p w14:paraId="123DA33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1216</w:t>
            </w:r>
          </w:p>
        </w:tc>
        <w:tc>
          <w:tcPr>
            <w:tcW w:w="1390" w:type="dxa"/>
            <w:vAlign w:val="center"/>
          </w:tcPr>
          <w:p w14:paraId="61AB88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1925</w:t>
            </w:r>
          </w:p>
        </w:tc>
        <w:tc>
          <w:tcPr>
            <w:tcW w:w="1622" w:type="dxa"/>
            <w:noWrap/>
            <w:vAlign w:val="center"/>
          </w:tcPr>
          <w:p w14:paraId="0CA3DC4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38.58</w:t>
            </w:r>
          </w:p>
        </w:tc>
      </w:tr>
      <w:tr w:rsidR="00F27E3C" w:rsidRPr="003227EC" w14:paraId="1A129CA0" w14:textId="77777777" w:rsidTr="00B30A3E">
        <w:trPr>
          <w:trHeight w:val="466"/>
          <w:jc w:val="center"/>
        </w:trPr>
        <w:tc>
          <w:tcPr>
            <w:tcW w:w="4699" w:type="dxa"/>
            <w:vAlign w:val="center"/>
            <w:hideMark/>
          </w:tcPr>
          <w:p w14:paraId="52056209"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1062" w:type="dxa"/>
            <w:noWrap/>
            <w:vAlign w:val="center"/>
          </w:tcPr>
          <w:p w14:paraId="338EC7A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22.02</w:t>
            </w:r>
          </w:p>
        </w:tc>
        <w:tc>
          <w:tcPr>
            <w:tcW w:w="1449" w:type="dxa"/>
            <w:noWrap/>
            <w:vAlign w:val="center"/>
          </w:tcPr>
          <w:p w14:paraId="078DA6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753</w:t>
            </w:r>
          </w:p>
        </w:tc>
        <w:tc>
          <w:tcPr>
            <w:tcW w:w="1390" w:type="dxa"/>
            <w:vAlign w:val="center"/>
          </w:tcPr>
          <w:p w14:paraId="603111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1706</w:t>
            </w:r>
          </w:p>
        </w:tc>
        <w:tc>
          <w:tcPr>
            <w:tcW w:w="1622" w:type="dxa"/>
            <w:noWrap/>
            <w:vAlign w:val="center"/>
          </w:tcPr>
          <w:p w14:paraId="55863E5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30.61</w:t>
            </w:r>
          </w:p>
        </w:tc>
      </w:tr>
      <w:tr w:rsidR="00F27E3C" w:rsidRPr="003227EC" w14:paraId="3155162C" w14:textId="77777777" w:rsidTr="00B30A3E">
        <w:trPr>
          <w:trHeight w:val="242"/>
          <w:jc w:val="center"/>
        </w:trPr>
        <w:tc>
          <w:tcPr>
            <w:tcW w:w="4699" w:type="dxa"/>
            <w:vAlign w:val="center"/>
            <w:hideMark/>
          </w:tcPr>
          <w:p w14:paraId="570F53C1"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lastRenderedPageBreak/>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1062" w:type="dxa"/>
            <w:noWrap/>
            <w:vAlign w:val="center"/>
          </w:tcPr>
          <w:p w14:paraId="020D04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26.03</w:t>
            </w:r>
          </w:p>
        </w:tc>
        <w:tc>
          <w:tcPr>
            <w:tcW w:w="1449" w:type="dxa"/>
            <w:noWrap/>
            <w:vAlign w:val="center"/>
          </w:tcPr>
          <w:p w14:paraId="487A555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987</w:t>
            </w:r>
          </w:p>
        </w:tc>
        <w:tc>
          <w:tcPr>
            <w:tcW w:w="1390" w:type="dxa"/>
            <w:vAlign w:val="center"/>
          </w:tcPr>
          <w:p w14:paraId="1827DBC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1785</w:t>
            </w:r>
          </w:p>
        </w:tc>
        <w:tc>
          <w:tcPr>
            <w:tcW w:w="1622" w:type="dxa"/>
            <w:noWrap/>
            <w:vAlign w:val="center"/>
          </w:tcPr>
          <w:p w14:paraId="4C27E3A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35.60</w:t>
            </w:r>
          </w:p>
        </w:tc>
      </w:tr>
      <w:tr w:rsidR="00F27E3C" w:rsidRPr="003227EC" w14:paraId="24208D21" w14:textId="77777777" w:rsidTr="00B30A3E">
        <w:trPr>
          <w:trHeight w:val="242"/>
          <w:jc w:val="center"/>
        </w:trPr>
        <w:tc>
          <w:tcPr>
            <w:tcW w:w="4699" w:type="dxa"/>
            <w:vAlign w:val="center"/>
            <w:hideMark/>
          </w:tcPr>
          <w:p w14:paraId="284058A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1062" w:type="dxa"/>
            <w:noWrap/>
            <w:vAlign w:val="center"/>
          </w:tcPr>
          <w:p w14:paraId="47968B4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30.40</w:t>
            </w:r>
          </w:p>
        </w:tc>
        <w:tc>
          <w:tcPr>
            <w:tcW w:w="1449" w:type="dxa"/>
            <w:noWrap/>
            <w:vAlign w:val="center"/>
          </w:tcPr>
          <w:p w14:paraId="756A5053"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1100</w:t>
            </w:r>
          </w:p>
        </w:tc>
        <w:tc>
          <w:tcPr>
            <w:tcW w:w="1390" w:type="dxa"/>
            <w:vAlign w:val="center"/>
          </w:tcPr>
          <w:p w14:paraId="0A98741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1862</w:t>
            </w:r>
          </w:p>
        </w:tc>
        <w:tc>
          <w:tcPr>
            <w:tcW w:w="1622" w:type="dxa"/>
            <w:noWrap/>
            <w:vAlign w:val="center"/>
          </w:tcPr>
          <w:p w14:paraId="15A98A0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37.06</w:t>
            </w:r>
          </w:p>
        </w:tc>
      </w:tr>
      <w:tr w:rsidR="00F27E3C" w:rsidRPr="003227EC" w14:paraId="186FBBBD" w14:textId="77777777" w:rsidTr="00B30A3E">
        <w:trPr>
          <w:trHeight w:val="750"/>
          <w:jc w:val="center"/>
        </w:trPr>
        <w:tc>
          <w:tcPr>
            <w:tcW w:w="4699" w:type="dxa"/>
            <w:vAlign w:val="center"/>
            <w:hideMark/>
          </w:tcPr>
          <w:p w14:paraId="0FD2DE0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1062" w:type="dxa"/>
            <w:noWrap/>
            <w:vAlign w:val="center"/>
          </w:tcPr>
          <w:p w14:paraId="279C0DA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21.68</w:t>
            </w:r>
          </w:p>
        </w:tc>
        <w:tc>
          <w:tcPr>
            <w:tcW w:w="1449" w:type="dxa"/>
            <w:noWrap/>
            <w:vAlign w:val="center"/>
          </w:tcPr>
          <w:p w14:paraId="28C597F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722</w:t>
            </w:r>
          </w:p>
        </w:tc>
        <w:tc>
          <w:tcPr>
            <w:tcW w:w="1390" w:type="dxa"/>
            <w:vAlign w:val="center"/>
          </w:tcPr>
          <w:p w14:paraId="3F63AAB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1673</w:t>
            </w:r>
          </w:p>
        </w:tc>
        <w:tc>
          <w:tcPr>
            <w:tcW w:w="1622" w:type="dxa"/>
            <w:noWrap/>
            <w:vAlign w:val="center"/>
          </w:tcPr>
          <w:p w14:paraId="6D98C2A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30.16</w:t>
            </w:r>
          </w:p>
        </w:tc>
      </w:tr>
      <w:tr w:rsidR="00F27E3C" w:rsidRPr="003227EC" w14:paraId="2D1CF7A6" w14:textId="77777777" w:rsidTr="00B30A3E">
        <w:trPr>
          <w:trHeight w:val="264"/>
          <w:jc w:val="center"/>
        </w:trPr>
        <w:tc>
          <w:tcPr>
            <w:tcW w:w="4699" w:type="dxa"/>
            <w:vAlign w:val="center"/>
            <w:hideMark/>
          </w:tcPr>
          <w:p w14:paraId="1181F0F1" w14:textId="484D95ED" w:rsidR="00F27E3C" w:rsidRPr="003227EC" w:rsidRDefault="00F27E3C" w:rsidP="009B3EEA">
            <w:pPr>
              <w:spacing w:line="360" w:lineRule="auto"/>
              <w:ind w:left="144" w:right="144"/>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1062" w:type="dxa"/>
            <w:noWrap/>
            <w:vAlign w:val="center"/>
          </w:tcPr>
          <w:p w14:paraId="410518A1"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1.13</w:t>
            </w:r>
          </w:p>
        </w:tc>
        <w:tc>
          <w:tcPr>
            <w:tcW w:w="1449" w:type="dxa"/>
            <w:noWrap/>
            <w:vAlign w:val="center"/>
          </w:tcPr>
          <w:p w14:paraId="7B8EB27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21.0</w:t>
            </w:r>
          </w:p>
        </w:tc>
        <w:tc>
          <w:tcPr>
            <w:tcW w:w="1390" w:type="dxa"/>
            <w:vAlign w:val="center"/>
          </w:tcPr>
          <w:p w14:paraId="2C61D1EE"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101.6</w:t>
            </w:r>
          </w:p>
        </w:tc>
        <w:tc>
          <w:tcPr>
            <w:tcW w:w="1622" w:type="dxa"/>
            <w:noWrap/>
            <w:vAlign w:val="center"/>
          </w:tcPr>
          <w:p w14:paraId="3FBF689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0.65</w:t>
            </w:r>
          </w:p>
        </w:tc>
      </w:tr>
      <w:tr w:rsidR="00F27E3C" w:rsidRPr="003227EC" w14:paraId="2100E0A5" w14:textId="77777777" w:rsidTr="00B30A3E">
        <w:trPr>
          <w:trHeight w:val="212"/>
          <w:jc w:val="center"/>
        </w:trPr>
        <w:tc>
          <w:tcPr>
            <w:tcW w:w="4699" w:type="dxa"/>
            <w:vAlign w:val="center"/>
            <w:hideMark/>
          </w:tcPr>
          <w:p w14:paraId="4B556003" w14:textId="77777777" w:rsidR="00F27E3C" w:rsidRPr="003227EC" w:rsidRDefault="00F27E3C" w:rsidP="009B3EEA">
            <w:pPr>
              <w:spacing w:line="360" w:lineRule="auto"/>
              <w:ind w:left="144" w:right="144"/>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1062" w:type="dxa"/>
            <w:noWrap/>
            <w:vAlign w:val="center"/>
          </w:tcPr>
          <w:p w14:paraId="2551429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w:t>
            </w:r>
          </w:p>
        </w:tc>
        <w:tc>
          <w:tcPr>
            <w:tcW w:w="1449" w:type="dxa"/>
            <w:noWrap/>
            <w:vAlign w:val="center"/>
          </w:tcPr>
          <w:p w14:paraId="397432C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63.7</w:t>
            </w:r>
          </w:p>
        </w:tc>
        <w:tc>
          <w:tcPr>
            <w:tcW w:w="1390" w:type="dxa"/>
            <w:vAlign w:val="center"/>
          </w:tcPr>
          <w:p w14:paraId="39CC1425"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308.1</w:t>
            </w:r>
          </w:p>
        </w:tc>
        <w:tc>
          <w:tcPr>
            <w:tcW w:w="1622" w:type="dxa"/>
            <w:noWrap/>
            <w:vAlign w:val="center"/>
          </w:tcPr>
          <w:p w14:paraId="652D96D9"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1.97</w:t>
            </w:r>
          </w:p>
        </w:tc>
      </w:tr>
    </w:tbl>
    <w:p w14:paraId="701BAD9F" w14:textId="05B9F171" w:rsidR="004D47D6" w:rsidRPr="003227EC" w:rsidRDefault="004D47D6"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This indicates that nano-DAP foliar application can compensate for reduced soil-applied phosphorus. In contrast, the lowest yield (500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in the control reflected severe nutrient limitation. Treatments involving seed coating with nano-DAP (e.g.,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7</w:t>
      </w:r>
      <w:r w:rsidRPr="003227EC">
        <w:rPr>
          <w:rFonts w:ascii="Arial" w:eastAsia="Times New Roman" w:hAnsi="Arial" w:cs="Arial"/>
          <w:kern w:val="0"/>
          <w:sz w:val="20"/>
          <w:szCs w:val="20"/>
          <w:lang w:eastAsia="en-GB"/>
          <w14:ligatures w14:val="none"/>
        </w:rPr>
        <w:t xml:space="preserve">) produced moderate improvements, showing that foliar application during critical reproductive stages was more effective than seed treatment alone. Similar trends have been reported in other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studies where </w:t>
      </w:r>
      <w:proofErr w:type="spellStart"/>
      <w:r w:rsidRPr="003227EC">
        <w:rPr>
          <w:rFonts w:ascii="Arial" w:eastAsia="Times New Roman" w:hAnsi="Arial" w:cs="Arial"/>
          <w:kern w:val="0"/>
          <w:sz w:val="20"/>
          <w:szCs w:val="20"/>
          <w:lang w:eastAsia="en-GB"/>
          <w14:ligatures w14:val="none"/>
        </w:rPr>
        <w:t>nano</w:t>
      </w:r>
      <w:proofErr w:type="spellEnd"/>
      <w:r w:rsidRPr="003227EC">
        <w:rPr>
          <w:rFonts w:ascii="Arial" w:eastAsia="Times New Roman" w:hAnsi="Arial" w:cs="Arial"/>
          <w:kern w:val="0"/>
          <w:sz w:val="20"/>
          <w:szCs w:val="20"/>
          <w:lang w:eastAsia="en-GB"/>
          <w14:ligatures w14:val="none"/>
        </w:rPr>
        <w:t>-DAP significantly enhanced pod set, grain filling, and nutrient uptake, thereby sustaining yield even under reduced P application (Shete et al., 2024; Pandey et al., 2025).</w:t>
      </w:r>
      <w:r w:rsidR="00F5123A" w:rsidRPr="003227EC">
        <w:rPr>
          <w:rFonts w:ascii="Arial" w:eastAsia="Times New Roman" w:hAnsi="Arial" w:cs="Arial"/>
          <w:kern w:val="0"/>
          <w:sz w:val="20"/>
          <w:szCs w:val="20"/>
          <w:lang w:eastAsia="en-GB"/>
          <w14:ligatures w14:val="none"/>
        </w:rPr>
        <w:t xml:space="preserve"> </w:t>
      </w:r>
      <w:r w:rsidRPr="003227EC">
        <w:rPr>
          <w:rFonts w:ascii="Arial" w:eastAsia="Times New Roman" w:hAnsi="Arial" w:cs="Arial"/>
          <w:kern w:val="0"/>
          <w:sz w:val="20"/>
          <w:szCs w:val="20"/>
          <w:lang w:eastAsia="en-GB"/>
          <w14:ligatures w14:val="none"/>
        </w:rPr>
        <w:t xml:space="preserve">These yield enhancements can be explained by the functional advantages of nano-fertilizers, particularly their larger reactive surface area, improved foliar penetration, and controlled nutrient release. These properties increase nutrient availability, uptake, and movement towards reproductive tissues, enhancing photosynthesis and assimilate partitioning to seeds. Earlier studies confirm that nano-scale nutrient formulations improve P-use efficiency, metabolic activity, and biomass allocation in legumes and cereals (Liu &amp; Lal, 2015; Tarafdar et al., 2014). The performance similarity between full RDF and reduced P treatments supplemented with nano-DAP demonstrates that nano-DAP can partially substitute conventional phosphorus fertilization without compromising productivity. This aligns with findings that foliar nano-P applications maintain yield and nutrient uptake under reduced soil P conditions by improving recovery efficiency and minimizing soil P fixation (Shete et al., 2024; Pandey et al., 2025). Overall, the results highlight nano-DAP as a promising supplementary P source that enhances yield while lowering the requirement for soil-applied phosphorus, making it a sustainable option for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production in P-deficient or P-fixing soils.</w:t>
      </w:r>
    </w:p>
    <w:p w14:paraId="385AAE94" w14:textId="4B004FAA" w:rsidR="006A153C" w:rsidRPr="003227EC" w:rsidRDefault="006A153C" w:rsidP="009B3EEA">
      <w:pPr>
        <w:pStyle w:val="ListParagraph"/>
        <w:numPr>
          <w:ilvl w:val="1"/>
          <w:numId w:val="1"/>
        </w:numPr>
        <w:spacing w:after="0" w:line="360" w:lineRule="auto"/>
        <w:jc w:val="both"/>
        <w:rPr>
          <w:rFonts w:ascii="Arial" w:eastAsia="Times New Roman" w:hAnsi="Arial" w:cs="Arial"/>
          <w:b/>
          <w:bCs/>
          <w:kern w:val="0"/>
          <w:sz w:val="20"/>
          <w:szCs w:val="20"/>
          <w:lang w:eastAsia="en-GB"/>
          <w14:ligatures w14:val="none"/>
        </w:rPr>
      </w:pPr>
      <w:r w:rsidRPr="003227EC">
        <w:rPr>
          <w:rFonts w:ascii="Arial" w:eastAsia="Times New Roman" w:hAnsi="Arial" w:cs="Arial"/>
          <w:b/>
          <w:bCs/>
          <w:kern w:val="0"/>
          <w:sz w:val="20"/>
          <w:szCs w:val="20"/>
          <w:lang w:eastAsia="en-GB"/>
          <w14:ligatures w14:val="none"/>
        </w:rPr>
        <w:t>Production economics</w:t>
      </w:r>
    </w:p>
    <w:p w14:paraId="1B86F06B" w14:textId="36C96578" w:rsidR="006A153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economic analysis of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demonstrated clear variation in cultivation cost and profitability across phosphorus management treatments integrating nano-DAP. The highest cost of cultivation was recorded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(₹36,995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followed by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(₹36,312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owing mainly to the cost of multiple nano-DAP sprays. In contrast, treatments with fewer or no nano-DAP applications (T</w:t>
      </w:r>
      <w:r w:rsidRPr="003227EC">
        <w:rPr>
          <w:rFonts w:ascii="Arial" w:eastAsia="Times New Roman" w:hAnsi="Arial" w:cs="Arial"/>
          <w:kern w:val="0"/>
          <w:sz w:val="20"/>
          <w:szCs w:val="20"/>
          <w:vertAlign w:val="subscript"/>
          <w:lang w:eastAsia="en-GB"/>
          <w14:ligatures w14:val="none"/>
        </w:rPr>
        <w:t>1</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and T</w:t>
      </w:r>
      <w:r w:rsidRPr="003227EC">
        <w:rPr>
          <w:rFonts w:ascii="Arial" w:eastAsia="Times New Roman" w:hAnsi="Arial" w:cs="Arial"/>
          <w:kern w:val="0"/>
          <w:sz w:val="20"/>
          <w:szCs w:val="20"/>
          <w:vertAlign w:val="subscript"/>
          <w:lang w:eastAsia="en-GB"/>
          <w14:ligatures w14:val="none"/>
        </w:rPr>
        <w:t>6</w:t>
      </w:r>
      <w:r w:rsidRPr="003227EC">
        <w:rPr>
          <w:rFonts w:ascii="Arial" w:eastAsia="Times New Roman" w:hAnsi="Arial" w:cs="Arial"/>
          <w:kern w:val="0"/>
          <w:sz w:val="20"/>
          <w:szCs w:val="20"/>
          <w:lang w:eastAsia="en-GB"/>
          <w14:ligatures w14:val="none"/>
        </w:rPr>
        <w:t>) incurred lower input costs. Profitability trends, however, depended more on yield gains than on cost alone. The highest B:C ratio (2.47) was observed in T</w:t>
      </w:r>
      <w:r w:rsidRPr="003227EC">
        <w:rPr>
          <w:rFonts w:ascii="Arial" w:eastAsia="Times New Roman" w:hAnsi="Arial" w:cs="Arial"/>
          <w:kern w:val="0"/>
          <w:sz w:val="20"/>
          <w:szCs w:val="20"/>
          <w:vertAlign w:val="subscript"/>
          <w:lang w:eastAsia="en-GB"/>
          <w14:ligatures w14:val="none"/>
        </w:rPr>
        <w:t>2</w:t>
      </w:r>
      <w:r w:rsidRPr="003227EC">
        <w:rPr>
          <w:rFonts w:ascii="Arial" w:eastAsia="Times New Roman" w:hAnsi="Arial" w:cs="Arial"/>
          <w:kern w:val="0"/>
          <w:sz w:val="20"/>
          <w:szCs w:val="20"/>
          <w:lang w:eastAsia="en-GB"/>
          <w14:ligatures w14:val="none"/>
        </w:rPr>
        <w:t xml:space="preserve"> (100% RDF), indicating that recommended NPK fertilization remained the most economically favourable option under the trial conditions. Treatments combining conventional DAP with limited nano-DAP supplementation</w:t>
      </w:r>
      <w:r w:rsidR="00AA7E85" w:rsidRPr="003227EC">
        <w:rPr>
          <w:rFonts w:ascii="Arial" w:eastAsia="Times New Roman" w:hAnsi="Arial" w:cs="Arial"/>
          <w:kern w:val="0"/>
          <w:sz w:val="20"/>
          <w:szCs w:val="20"/>
          <w:lang w:eastAsia="en-GB"/>
          <w14:ligatures w14:val="none"/>
        </w:rPr>
        <w:t>-</w:t>
      </w:r>
      <w:r w:rsidRPr="003227EC">
        <w:rPr>
          <w:rFonts w:ascii="Arial" w:eastAsia="Times New Roman" w:hAnsi="Arial" w:cs="Arial"/>
          <w:kern w:val="0"/>
          <w:sz w:val="20"/>
          <w:szCs w:val="20"/>
          <w:lang w:eastAsia="en-GB"/>
          <w14:ligatures w14:val="none"/>
        </w:rPr>
        <w:t>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(2.40)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(2.33)</w:t>
      </w:r>
      <w:r w:rsidR="00AA7E85" w:rsidRPr="003227EC">
        <w:rPr>
          <w:rFonts w:ascii="Arial" w:eastAsia="Times New Roman" w:hAnsi="Arial" w:cs="Arial"/>
          <w:kern w:val="0"/>
          <w:sz w:val="20"/>
          <w:szCs w:val="20"/>
          <w:lang w:eastAsia="en-GB"/>
          <w14:ligatures w14:val="none"/>
        </w:rPr>
        <w:t xml:space="preserve"> - </w:t>
      </w:r>
      <w:r w:rsidRPr="003227EC">
        <w:rPr>
          <w:rFonts w:ascii="Arial" w:eastAsia="Times New Roman" w:hAnsi="Arial" w:cs="Arial"/>
          <w:kern w:val="0"/>
          <w:sz w:val="20"/>
          <w:szCs w:val="20"/>
          <w:lang w:eastAsia="en-GB"/>
          <w14:ligatures w14:val="none"/>
        </w:rPr>
        <w:t xml:space="preserve">also yielded high profitability, demonstrating that partial P substitution with nano-DAP can sustain or improve economic </w:t>
      </w:r>
      <w:r w:rsidRPr="003227EC">
        <w:rPr>
          <w:rFonts w:ascii="Arial" w:eastAsia="Times New Roman" w:hAnsi="Arial" w:cs="Arial"/>
          <w:kern w:val="0"/>
          <w:sz w:val="20"/>
          <w:szCs w:val="20"/>
          <w:lang w:eastAsia="en-GB"/>
          <w14:ligatures w14:val="none"/>
        </w:rPr>
        <w:lastRenderedPageBreak/>
        <w:t>returns when application frequency is optimized. Conversely, excessive dependence on nano-DAP, especially in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resulted in lower B:C ratios (1.41 and 1.40), suggesting that yield increments did not sufficiently offset the increased input cost associated with repeated nano-DAP sprays</w:t>
      </w:r>
      <w:r w:rsidR="00F27E3C" w:rsidRPr="003227EC">
        <w:rPr>
          <w:rFonts w:ascii="Arial" w:eastAsia="Times New Roman" w:hAnsi="Arial" w:cs="Arial"/>
          <w:kern w:val="0"/>
          <w:sz w:val="20"/>
          <w:szCs w:val="20"/>
          <w:lang w:eastAsia="en-GB"/>
          <w14:ligatures w14:val="none"/>
        </w:rPr>
        <w:t xml:space="preserve"> (Table 3)</w:t>
      </w:r>
      <w:r w:rsidRPr="003227EC">
        <w:rPr>
          <w:rFonts w:ascii="Arial" w:eastAsia="Times New Roman" w:hAnsi="Arial" w:cs="Arial"/>
          <w:kern w:val="0"/>
          <w:sz w:val="20"/>
          <w:szCs w:val="20"/>
          <w:lang w:eastAsia="en-GB"/>
          <w14:ligatures w14:val="none"/>
        </w:rPr>
        <w:t>.</w:t>
      </w:r>
    </w:p>
    <w:p w14:paraId="06B338F6" w14:textId="77777777" w:rsidR="00B30A3E" w:rsidRPr="003227EC" w:rsidRDefault="00B30A3E"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bookmarkStart w:id="1" w:name="_GoBack"/>
      <w:bookmarkEnd w:id="1"/>
    </w:p>
    <w:p w14:paraId="7C0B3C7A" w14:textId="77777777" w:rsidR="00F27E3C" w:rsidRPr="003227EC" w:rsidRDefault="00F27E3C" w:rsidP="009B3EEA">
      <w:pPr>
        <w:spacing w:line="360" w:lineRule="auto"/>
        <w:jc w:val="both"/>
        <w:rPr>
          <w:rFonts w:ascii="Arial" w:hAnsi="Arial" w:cs="Arial"/>
          <w:b/>
          <w:bCs/>
          <w:sz w:val="20"/>
          <w:szCs w:val="20"/>
          <w:lang w:val="en-US"/>
        </w:rPr>
      </w:pPr>
      <w:r w:rsidRPr="003227EC">
        <w:rPr>
          <w:rFonts w:ascii="Arial" w:hAnsi="Arial" w:cs="Arial"/>
          <w:b/>
          <w:bCs/>
          <w:sz w:val="20"/>
          <w:szCs w:val="20"/>
          <w:lang w:val="en-US"/>
        </w:rPr>
        <w:t xml:space="preserve">Table 3. Effect of nano DAP with different combinations of DAP on production economics of </w:t>
      </w:r>
      <w:proofErr w:type="spellStart"/>
      <w:r w:rsidRPr="003227EC">
        <w:rPr>
          <w:rFonts w:ascii="Arial" w:hAnsi="Arial" w:cs="Arial"/>
          <w:b/>
          <w:bCs/>
          <w:sz w:val="20"/>
          <w:szCs w:val="20"/>
          <w:lang w:val="en-US"/>
        </w:rPr>
        <w:t>blackgram</w:t>
      </w:r>
      <w:proofErr w:type="spellEnd"/>
    </w:p>
    <w:tbl>
      <w:tblPr>
        <w:tblStyle w:val="TableGrid"/>
        <w:tblW w:w="86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4590"/>
        <w:gridCol w:w="2160"/>
        <w:gridCol w:w="1890"/>
      </w:tblGrid>
      <w:tr w:rsidR="00F27E3C" w:rsidRPr="003227EC" w14:paraId="5B61F2FE" w14:textId="77777777" w:rsidTr="009B3EEA">
        <w:trPr>
          <w:trHeight w:val="658"/>
        </w:trPr>
        <w:tc>
          <w:tcPr>
            <w:tcW w:w="4590" w:type="dxa"/>
            <w:tcBorders>
              <w:top w:val="single" w:sz="4" w:space="0" w:color="auto"/>
              <w:bottom w:val="single" w:sz="4" w:space="0" w:color="auto"/>
            </w:tcBorders>
            <w:vAlign w:val="center"/>
          </w:tcPr>
          <w:p w14:paraId="561C1F3D" w14:textId="77777777" w:rsidR="00F27E3C" w:rsidRPr="003227EC" w:rsidRDefault="00F27E3C" w:rsidP="009B3EEA">
            <w:pPr>
              <w:spacing w:line="360" w:lineRule="auto"/>
              <w:ind w:left="144" w:right="144"/>
              <w:jc w:val="both"/>
              <w:rPr>
                <w:rFonts w:ascii="Arial" w:hAnsi="Arial" w:cs="Arial"/>
                <w:b/>
                <w:bCs/>
                <w:sz w:val="20"/>
                <w:szCs w:val="20"/>
                <w:lang w:val="en-US"/>
              </w:rPr>
            </w:pPr>
            <w:r w:rsidRPr="003227EC">
              <w:rPr>
                <w:rFonts w:ascii="Arial" w:hAnsi="Arial" w:cs="Arial"/>
                <w:b/>
                <w:bCs/>
                <w:sz w:val="20"/>
                <w:szCs w:val="20"/>
                <w:lang w:val="en-US"/>
              </w:rPr>
              <w:t>Treatments</w:t>
            </w:r>
          </w:p>
        </w:tc>
        <w:tc>
          <w:tcPr>
            <w:tcW w:w="2160" w:type="dxa"/>
            <w:tcBorders>
              <w:top w:val="single" w:sz="4" w:space="0" w:color="auto"/>
              <w:bottom w:val="single" w:sz="4" w:space="0" w:color="auto"/>
            </w:tcBorders>
          </w:tcPr>
          <w:p w14:paraId="0FE73803" w14:textId="1B93546E" w:rsidR="00F27E3C" w:rsidRPr="003227EC" w:rsidRDefault="00F27E3C" w:rsidP="009B3EEA">
            <w:pPr>
              <w:spacing w:line="360" w:lineRule="auto"/>
              <w:jc w:val="center"/>
              <w:rPr>
                <w:rFonts w:ascii="Arial" w:hAnsi="Arial" w:cs="Arial"/>
                <w:b/>
                <w:bCs/>
                <w:sz w:val="20"/>
                <w:szCs w:val="20"/>
                <w:lang w:bidi="en-US"/>
              </w:rPr>
            </w:pPr>
            <w:r w:rsidRPr="003227EC">
              <w:rPr>
                <w:rFonts w:ascii="Arial" w:hAnsi="Arial" w:cs="Arial"/>
                <w:b/>
                <w:bCs/>
                <w:sz w:val="20"/>
                <w:szCs w:val="20"/>
                <w:lang w:bidi="en-US"/>
              </w:rPr>
              <w:t>Cost of cultivation (</w:t>
            </w:r>
            <w:bookmarkStart w:id="2" w:name="_Hlk177799845"/>
            <w:r w:rsidRPr="003227EC">
              <w:rPr>
                <w:rFonts w:ascii="Arial" w:hAnsi="Arial" w:cs="Arial"/>
                <w:b/>
                <w:bCs/>
                <w:sz w:val="20"/>
                <w:szCs w:val="20"/>
                <w:lang w:bidi="en-US"/>
              </w:rPr>
              <w:t>Rs /ha</w:t>
            </w:r>
            <w:bookmarkEnd w:id="2"/>
            <w:r w:rsidRPr="003227EC">
              <w:rPr>
                <w:rFonts w:ascii="Arial" w:hAnsi="Arial" w:cs="Arial"/>
                <w:b/>
                <w:bCs/>
                <w:sz w:val="20"/>
                <w:szCs w:val="20"/>
                <w:lang w:bidi="en-US"/>
              </w:rPr>
              <w:t>)</w:t>
            </w:r>
          </w:p>
        </w:tc>
        <w:tc>
          <w:tcPr>
            <w:tcW w:w="1890" w:type="dxa"/>
            <w:tcBorders>
              <w:top w:val="single" w:sz="4" w:space="0" w:color="auto"/>
              <w:bottom w:val="single" w:sz="4" w:space="0" w:color="auto"/>
            </w:tcBorders>
            <w:noWrap/>
            <w:hideMark/>
          </w:tcPr>
          <w:p w14:paraId="345C7E31" w14:textId="77777777" w:rsidR="00F27E3C" w:rsidRPr="003227EC" w:rsidRDefault="00F27E3C" w:rsidP="009B3EEA">
            <w:pPr>
              <w:spacing w:line="360" w:lineRule="auto"/>
              <w:jc w:val="center"/>
              <w:rPr>
                <w:rFonts w:ascii="Arial" w:hAnsi="Arial" w:cs="Arial"/>
                <w:b/>
                <w:bCs/>
                <w:sz w:val="20"/>
                <w:szCs w:val="20"/>
                <w:lang w:val="en-US"/>
              </w:rPr>
            </w:pPr>
            <w:r w:rsidRPr="003227EC">
              <w:rPr>
                <w:rFonts w:ascii="Arial" w:hAnsi="Arial" w:cs="Arial"/>
                <w:b/>
                <w:bCs/>
                <w:sz w:val="20"/>
                <w:szCs w:val="20"/>
                <w:lang w:bidi="en-US"/>
              </w:rPr>
              <w:t>Benefit-cost ratio (B:C)</w:t>
            </w:r>
          </w:p>
        </w:tc>
      </w:tr>
      <w:tr w:rsidR="00F27E3C" w:rsidRPr="003227EC" w14:paraId="317E4EB6" w14:textId="77777777" w:rsidTr="009B3EEA">
        <w:trPr>
          <w:trHeight w:val="305"/>
        </w:trPr>
        <w:tc>
          <w:tcPr>
            <w:tcW w:w="4590" w:type="dxa"/>
            <w:tcBorders>
              <w:top w:val="single" w:sz="4" w:space="0" w:color="auto"/>
            </w:tcBorders>
            <w:vAlign w:val="center"/>
          </w:tcPr>
          <w:p w14:paraId="57B3E84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1</w:t>
            </w:r>
            <w:r w:rsidRPr="003227EC">
              <w:rPr>
                <w:rFonts w:ascii="Arial" w:hAnsi="Arial" w:cs="Arial"/>
                <w:sz w:val="20"/>
                <w:szCs w:val="20"/>
                <w:lang w:val="en-US"/>
              </w:rPr>
              <w:t>:</w:t>
            </w:r>
            <w:r w:rsidRPr="003227EC">
              <w:rPr>
                <w:rFonts w:ascii="Arial" w:hAnsi="Arial" w:cs="Arial"/>
                <w:sz w:val="20"/>
                <w:szCs w:val="20"/>
                <w:vertAlign w:val="subscript"/>
                <w:lang w:val="en-US"/>
              </w:rPr>
              <w:t xml:space="preserve"> </w:t>
            </w:r>
            <w:r w:rsidRPr="003227EC">
              <w:rPr>
                <w:rFonts w:ascii="Arial" w:hAnsi="Arial" w:cs="Arial"/>
                <w:sz w:val="20"/>
                <w:szCs w:val="20"/>
                <w:lang w:val="en-US"/>
              </w:rPr>
              <w:t>Control</w:t>
            </w:r>
          </w:p>
        </w:tc>
        <w:tc>
          <w:tcPr>
            <w:tcW w:w="2160" w:type="dxa"/>
            <w:tcBorders>
              <w:top w:val="single" w:sz="4" w:space="0" w:color="auto"/>
            </w:tcBorders>
            <w:hideMark/>
          </w:tcPr>
          <w:p w14:paraId="2BE26B6B"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31377</w:t>
            </w:r>
          </w:p>
        </w:tc>
        <w:tc>
          <w:tcPr>
            <w:tcW w:w="1890" w:type="dxa"/>
            <w:tcBorders>
              <w:top w:val="single" w:sz="4" w:space="0" w:color="auto"/>
            </w:tcBorders>
            <w:noWrap/>
            <w:hideMark/>
          </w:tcPr>
          <w:p w14:paraId="283FC53C"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1.11</w:t>
            </w:r>
          </w:p>
        </w:tc>
      </w:tr>
      <w:tr w:rsidR="00F27E3C" w:rsidRPr="003227EC" w14:paraId="1D1E3B1A" w14:textId="77777777" w:rsidTr="009B3EEA">
        <w:trPr>
          <w:trHeight w:val="305"/>
        </w:trPr>
        <w:tc>
          <w:tcPr>
            <w:tcW w:w="4590" w:type="dxa"/>
            <w:vAlign w:val="center"/>
          </w:tcPr>
          <w:p w14:paraId="559E73A2"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2</w:t>
            </w:r>
            <w:r w:rsidRPr="003227EC">
              <w:rPr>
                <w:rFonts w:ascii="Arial" w:hAnsi="Arial" w:cs="Arial"/>
                <w:sz w:val="20"/>
                <w:szCs w:val="20"/>
                <w:lang w:val="en-US"/>
              </w:rPr>
              <w:t>: 100% RDF</w:t>
            </w:r>
          </w:p>
        </w:tc>
        <w:tc>
          <w:tcPr>
            <w:tcW w:w="2160" w:type="dxa"/>
            <w:hideMark/>
          </w:tcPr>
          <w:p w14:paraId="3AC6EDAF" w14:textId="77777777" w:rsidR="00F27E3C" w:rsidRPr="003227EC" w:rsidRDefault="00F27E3C" w:rsidP="009B3EEA">
            <w:pPr>
              <w:spacing w:line="360" w:lineRule="auto"/>
              <w:jc w:val="center"/>
              <w:rPr>
                <w:rFonts w:ascii="Arial" w:hAnsi="Arial" w:cs="Arial"/>
                <w:sz w:val="20"/>
                <w:szCs w:val="20"/>
                <w:lang w:val="en-US"/>
              </w:rPr>
            </w:pPr>
            <w:bookmarkStart w:id="3" w:name="_Hlk177800157"/>
            <w:r w:rsidRPr="003227EC">
              <w:rPr>
                <w:rFonts w:ascii="Arial" w:hAnsi="Arial" w:cs="Arial"/>
                <w:sz w:val="20"/>
                <w:szCs w:val="20"/>
                <w:lang w:val="en-US"/>
              </w:rPr>
              <w:t>34947</w:t>
            </w:r>
          </w:p>
        </w:tc>
        <w:tc>
          <w:tcPr>
            <w:tcW w:w="1890" w:type="dxa"/>
            <w:noWrap/>
            <w:hideMark/>
          </w:tcPr>
          <w:p w14:paraId="7C9938A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2.47</w:t>
            </w:r>
          </w:p>
        </w:tc>
        <w:bookmarkEnd w:id="3"/>
      </w:tr>
      <w:tr w:rsidR="00F27E3C" w:rsidRPr="003227EC" w14:paraId="6A3CD516" w14:textId="77777777" w:rsidTr="009B3EEA">
        <w:trPr>
          <w:trHeight w:val="671"/>
        </w:trPr>
        <w:tc>
          <w:tcPr>
            <w:tcW w:w="4590" w:type="dxa"/>
            <w:vAlign w:val="center"/>
          </w:tcPr>
          <w:p w14:paraId="2BCE1A5B"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3</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once at 25 DAS</w:t>
            </w:r>
          </w:p>
        </w:tc>
        <w:tc>
          <w:tcPr>
            <w:tcW w:w="2160" w:type="dxa"/>
            <w:hideMark/>
          </w:tcPr>
          <w:p w14:paraId="1CD5DA9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35629</w:t>
            </w:r>
          </w:p>
        </w:tc>
        <w:tc>
          <w:tcPr>
            <w:tcW w:w="1890" w:type="dxa"/>
            <w:noWrap/>
            <w:hideMark/>
          </w:tcPr>
          <w:p w14:paraId="532FC246"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2.40</w:t>
            </w:r>
          </w:p>
        </w:tc>
      </w:tr>
      <w:tr w:rsidR="00F27E3C" w:rsidRPr="003227EC" w14:paraId="6958D2D9" w14:textId="77777777" w:rsidTr="009B3EEA">
        <w:trPr>
          <w:trHeight w:val="305"/>
        </w:trPr>
        <w:tc>
          <w:tcPr>
            <w:tcW w:w="4590" w:type="dxa"/>
            <w:vAlign w:val="center"/>
          </w:tcPr>
          <w:p w14:paraId="3AC7AF25"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4</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twice at 25 &amp; 40 DAS</w:t>
            </w:r>
          </w:p>
        </w:tc>
        <w:tc>
          <w:tcPr>
            <w:tcW w:w="2160" w:type="dxa"/>
            <w:hideMark/>
          </w:tcPr>
          <w:p w14:paraId="1996E57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36312</w:t>
            </w:r>
          </w:p>
        </w:tc>
        <w:tc>
          <w:tcPr>
            <w:tcW w:w="1890" w:type="dxa"/>
            <w:noWrap/>
            <w:hideMark/>
          </w:tcPr>
          <w:p w14:paraId="4CEE344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2.33</w:t>
            </w:r>
          </w:p>
        </w:tc>
      </w:tr>
      <w:tr w:rsidR="00F27E3C" w:rsidRPr="003227EC" w14:paraId="055B6083" w14:textId="77777777" w:rsidTr="009B3EEA">
        <w:trPr>
          <w:trHeight w:val="305"/>
        </w:trPr>
        <w:tc>
          <w:tcPr>
            <w:tcW w:w="4590" w:type="dxa"/>
            <w:vAlign w:val="center"/>
          </w:tcPr>
          <w:p w14:paraId="0F9DB21E"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5</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nano DAP spray thrice at 25, 40 &amp; 55 DAS</w:t>
            </w:r>
          </w:p>
        </w:tc>
        <w:tc>
          <w:tcPr>
            <w:tcW w:w="2160" w:type="dxa"/>
            <w:hideMark/>
          </w:tcPr>
          <w:p w14:paraId="2FC6CFDD"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36995</w:t>
            </w:r>
          </w:p>
        </w:tc>
        <w:tc>
          <w:tcPr>
            <w:tcW w:w="1890" w:type="dxa"/>
            <w:noWrap/>
            <w:hideMark/>
          </w:tcPr>
          <w:p w14:paraId="7921162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1.41</w:t>
            </w:r>
          </w:p>
        </w:tc>
      </w:tr>
      <w:tr w:rsidR="00F27E3C" w:rsidRPr="003227EC" w14:paraId="233BD43C" w14:textId="77777777" w:rsidTr="009B3EEA">
        <w:trPr>
          <w:trHeight w:val="305"/>
        </w:trPr>
        <w:tc>
          <w:tcPr>
            <w:tcW w:w="4590" w:type="dxa"/>
            <w:vAlign w:val="center"/>
          </w:tcPr>
          <w:p w14:paraId="1D9237C4"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6</w:t>
            </w:r>
            <w:r w:rsidRPr="003227EC">
              <w:rPr>
                <w:rFonts w:ascii="Arial" w:hAnsi="Arial" w:cs="Arial"/>
                <w:sz w:val="20"/>
                <w:szCs w:val="20"/>
                <w:lang w:val="en-US"/>
              </w:rPr>
              <w:t>: 75%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w:t>
            </w:r>
          </w:p>
        </w:tc>
        <w:tc>
          <w:tcPr>
            <w:tcW w:w="2160" w:type="dxa"/>
            <w:hideMark/>
          </w:tcPr>
          <w:p w14:paraId="0D721A32"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34441</w:t>
            </w:r>
          </w:p>
        </w:tc>
        <w:tc>
          <w:tcPr>
            <w:tcW w:w="1890" w:type="dxa"/>
            <w:noWrap/>
            <w:hideMark/>
          </w:tcPr>
          <w:p w14:paraId="6D63A8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1.99</w:t>
            </w:r>
          </w:p>
        </w:tc>
      </w:tr>
      <w:tr w:rsidR="00F27E3C" w:rsidRPr="003227EC" w14:paraId="35031808" w14:textId="77777777" w:rsidTr="009B3EEA">
        <w:trPr>
          <w:trHeight w:val="305"/>
        </w:trPr>
        <w:tc>
          <w:tcPr>
            <w:tcW w:w="4590" w:type="dxa"/>
            <w:vAlign w:val="center"/>
          </w:tcPr>
          <w:p w14:paraId="4949C1DC"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7</w:t>
            </w:r>
            <w:r w:rsidRPr="003227EC">
              <w:rPr>
                <w:rFonts w:ascii="Arial" w:hAnsi="Arial" w:cs="Arial"/>
                <w:sz w:val="20"/>
                <w:szCs w:val="20"/>
                <w:lang w:val="en-US"/>
              </w:rPr>
              <w:t>: 50%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once at 25 DAS</w:t>
            </w:r>
          </w:p>
        </w:tc>
        <w:tc>
          <w:tcPr>
            <w:tcW w:w="2160" w:type="dxa"/>
            <w:vAlign w:val="center"/>
            <w:hideMark/>
          </w:tcPr>
          <w:p w14:paraId="2D9EFA60"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35124</w:t>
            </w:r>
          </w:p>
        </w:tc>
        <w:tc>
          <w:tcPr>
            <w:tcW w:w="1890" w:type="dxa"/>
            <w:noWrap/>
            <w:vAlign w:val="center"/>
            <w:hideMark/>
          </w:tcPr>
          <w:p w14:paraId="46F80C7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2.31</w:t>
            </w:r>
          </w:p>
        </w:tc>
      </w:tr>
      <w:tr w:rsidR="00F27E3C" w:rsidRPr="003227EC" w14:paraId="3736213B" w14:textId="77777777" w:rsidTr="009B3EEA">
        <w:trPr>
          <w:trHeight w:val="949"/>
        </w:trPr>
        <w:tc>
          <w:tcPr>
            <w:tcW w:w="4590" w:type="dxa"/>
            <w:vAlign w:val="center"/>
          </w:tcPr>
          <w:p w14:paraId="52BDCCD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T</w:t>
            </w:r>
            <w:r w:rsidRPr="003227EC">
              <w:rPr>
                <w:rFonts w:ascii="Arial" w:hAnsi="Arial" w:cs="Arial"/>
                <w:sz w:val="20"/>
                <w:szCs w:val="20"/>
                <w:vertAlign w:val="subscript"/>
                <w:lang w:val="en-US"/>
              </w:rPr>
              <w:t>8</w:t>
            </w:r>
            <w:r w:rsidRPr="003227EC">
              <w:rPr>
                <w:rFonts w:ascii="Arial" w:hAnsi="Arial" w:cs="Arial"/>
                <w:sz w:val="20"/>
                <w:szCs w:val="20"/>
                <w:lang w:val="en-US"/>
              </w:rPr>
              <w:t>: 25% RD P</w:t>
            </w:r>
            <w:r w:rsidRPr="003227EC">
              <w:rPr>
                <w:rFonts w:ascii="Arial" w:hAnsi="Arial" w:cs="Arial"/>
                <w:sz w:val="20"/>
                <w:szCs w:val="20"/>
                <w:vertAlign w:val="subscript"/>
                <w:lang w:val="en-US"/>
              </w:rPr>
              <w:t>2</w:t>
            </w:r>
            <w:r w:rsidRPr="003227EC">
              <w:rPr>
                <w:rFonts w:ascii="Arial" w:hAnsi="Arial" w:cs="Arial"/>
                <w:sz w:val="20"/>
                <w:szCs w:val="20"/>
                <w:lang w:val="en-US"/>
              </w:rPr>
              <w:t>O</w:t>
            </w:r>
            <w:r w:rsidRPr="003227EC">
              <w:rPr>
                <w:rFonts w:ascii="Arial" w:hAnsi="Arial" w:cs="Arial"/>
                <w:sz w:val="20"/>
                <w:szCs w:val="20"/>
                <w:vertAlign w:val="subscript"/>
                <w:lang w:val="en-US"/>
              </w:rPr>
              <w:t>5</w:t>
            </w:r>
            <w:r w:rsidRPr="003227EC">
              <w:rPr>
                <w:rFonts w:ascii="Arial" w:hAnsi="Arial" w:cs="Arial"/>
                <w:sz w:val="20"/>
                <w:szCs w:val="20"/>
                <w:lang w:val="en-US"/>
              </w:rPr>
              <w:t xml:space="preserve"> through DAP + seed treatment with nano DAP + nano DAP spray twice at 25 &amp; 40 DAS</w:t>
            </w:r>
          </w:p>
        </w:tc>
        <w:tc>
          <w:tcPr>
            <w:tcW w:w="2160" w:type="dxa"/>
            <w:vAlign w:val="center"/>
            <w:hideMark/>
          </w:tcPr>
          <w:p w14:paraId="5668171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35807</w:t>
            </w:r>
          </w:p>
        </w:tc>
        <w:tc>
          <w:tcPr>
            <w:tcW w:w="1890" w:type="dxa"/>
            <w:noWrap/>
            <w:vAlign w:val="center"/>
            <w:hideMark/>
          </w:tcPr>
          <w:p w14:paraId="724AB60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1.40</w:t>
            </w:r>
          </w:p>
        </w:tc>
      </w:tr>
      <w:tr w:rsidR="00F27E3C" w:rsidRPr="003227EC" w14:paraId="545535C5" w14:textId="77777777" w:rsidTr="009B3EEA">
        <w:trPr>
          <w:trHeight w:val="404"/>
        </w:trPr>
        <w:tc>
          <w:tcPr>
            <w:tcW w:w="4590" w:type="dxa"/>
            <w:vAlign w:val="center"/>
          </w:tcPr>
          <w:p w14:paraId="32A5A37C" w14:textId="7CD0D53B" w:rsidR="00F27E3C" w:rsidRPr="003227EC" w:rsidRDefault="00F27E3C" w:rsidP="009B3EEA">
            <w:pPr>
              <w:spacing w:line="360" w:lineRule="auto"/>
              <w:ind w:left="144" w:right="144"/>
              <w:jc w:val="both"/>
              <w:rPr>
                <w:rFonts w:ascii="Arial" w:hAnsi="Arial" w:cs="Arial"/>
                <w:sz w:val="20"/>
                <w:szCs w:val="20"/>
                <w:lang w:val="en-US"/>
              </w:rPr>
            </w:pPr>
            <w:proofErr w:type="spellStart"/>
            <w:r w:rsidRPr="003227EC">
              <w:rPr>
                <w:rFonts w:ascii="Arial" w:hAnsi="Arial" w:cs="Arial"/>
                <w:sz w:val="20"/>
                <w:szCs w:val="20"/>
                <w:lang w:val="en-US"/>
              </w:rPr>
              <w:t>SEm</w:t>
            </w:r>
            <w:proofErr w:type="spellEnd"/>
            <w:r w:rsidRPr="003227EC">
              <w:rPr>
                <w:rFonts w:ascii="Arial" w:hAnsi="Arial" w:cs="Arial"/>
                <w:sz w:val="20"/>
                <w:szCs w:val="20"/>
                <w:lang w:val="en-US"/>
              </w:rPr>
              <w:t>±</w:t>
            </w:r>
          </w:p>
        </w:tc>
        <w:tc>
          <w:tcPr>
            <w:tcW w:w="2160" w:type="dxa"/>
            <w:vAlign w:val="center"/>
          </w:tcPr>
          <w:p w14:paraId="177D97BA"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noWrap/>
            <w:vAlign w:val="center"/>
          </w:tcPr>
          <w:p w14:paraId="48327F94"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0.06</w:t>
            </w:r>
          </w:p>
        </w:tc>
      </w:tr>
      <w:tr w:rsidR="00F27E3C" w:rsidRPr="003227EC" w14:paraId="427DCE4C" w14:textId="77777777" w:rsidTr="009B3EEA">
        <w:trPr>
          <w:trHeight w:val="269"/>
        </w:trPr>
        <w:tc>
          <w:tcPr>
            <w:tcW w:w="4590" w:type="dxa"/>
            <w:tcBorders>
              <w:bottom w:val="single" w:sz="4" w:space="0" w:color="auto"/>
            </w:tcBorders>
            <w:vAlign w:val="center"/>
          </w:tcPr>
          <w:p w14:paraId="63FC9AB6" w14:textId="77777777" w:rsidR="00F27E3C" w:rsidRPr="003227EC" w:rsidRDefault="00F27E3C" w:rsidP="009B3EEA">
            <w:pPr>
              <w:spacing w:line="360" w:lineRule="auto"/>
              <w:ind w:left="144" w:right="144"/>
              <w:jc w:val="both"/>
              <w:rPr>
                <w:rFonts w:ascii="Arial" w:hAnsi="Arial" w:cs="Arial"/>
                <w:sz w:val="20"/>
                <w:szCs w:val="20"/>
                <w:lang w:val="en-US"/>
              </w:rPr>
            </w:pPr>
            <w:r w:rsidRPr="003227EC">
              <w:rPr>
                <w:rFonts w:ascii="Arial" w:hAnsi="Arial" w:cs="Arial"/>
                <w:sz w:val="20"/>
                <w:szCs w:val="20"/>
                <w:lang w:val="en-US"/>
              </w:rPr>
              <w:t>CD (</w:t>
            </w:r>
            <w:r w:rsidRPr="003227EC">
              <w:rPr>
                <w:rFonts w:ascii="Arial" w:hAnsi="Arial" w:cs="Arial"/>
                <w:i/>
                <w:iCs/>
                <w:sz w:val="20"/>
                <w:szCs w:val="20"/>
                <w:lang w:val="en-US"/>
              </w:rPr>
              <w:t>P</w:t>
            </w:r>
            <w:r w:rsidRPr="003227EC">
              <w:rPr>
                <w:rFonts w:ascii="Arial" w:hAnsi="Arial" w:cs="Arial"/>
                <w:sz w:val="20"/>
                <w:szCs w:val="20"/>
                <w:lang w:val="en-US"/>
              </w:rPr>
              <w:t>=0.05)</w:t>
            </w:r>
          </w:p>
        </w:tc>
        <w:tc>
          <w:tcPr>
            <w:tcW w:w="2160" w:type="dxa"/>
            <w:tcBorders>
              <w:bottom w:val="single" w:sz="4" w:space="0" w:color="auto"/>
            </w:tcBorders>
            <w:vAlign w:val="center"/>
          </w:tcPr>
          <w:p w14:paraId="6CC81148"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w:t>
            </w:r>
          </w:p>
        </w:tc>
        <w:tc>
          <w:tcPr>
            <w:tcW w:w="1890" w:type="dxa"/>
            <w:tcBorders>
              <w:bottom w:val="single" w:sz="4" w:space="0" w:color="auto"/>
            </w:tcBorders>
            <w:noWrap/>
            <w:vAlign w:val="center"/>
          </w:tcPr>
          <w:p w14:paraId="524BD6D7" w14:textId="77777777" w:rsidR="00F27E3C" w:rsidRPr="003227EC" w:rsidRDefault="00F27E3C" w:rsidP="009B3EEA">
            <w:pPr>
              <w:spacing w:line="360" w:lineRule="auto"/>
              <w:jc w:val="center"/>
              <w:rPr>
                <w:rFonts w:ascii="Arial" w:hAnsi="Arial" w:cs="Arial"/>
                <w:sz w:val="20"/>
                <w:szCs w:val="20"/>
                <w:lang w:val="en-US"/>
              </w:rPr>
            </w:pPr>
            <w:r w:rsidRPr="003227EC">
              <w:rPr>
                <w:rFonts w:ascii="Arial" w:hAnsi="Arial" w:cs="Arial"/>
                <w:sz w:val="20"/>
                <w:szCs w:val="20"/>
                <w:lang w:val="en-US"/>
              </w:rPr>
              <w:t>0.19</w:t>
            </w:r>
          </w:p>
        </w:tc>
      </w:tr>
    </w:tbl>
    <w:p w14:paraId="6A092632" w14:textId="77777777" w:rsidR="00F27E3C" w:rsidRPr="003227EC" w:rsidRDefault="00F27E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p>
    <w:p w14:paraId="22C2091F" w14:textId="305C8FE6" w:rsidR="006A153C" w:rsidRPr="003227EC" w:rsidRDefault="006A153C"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These trends align with earlier studies showing that nano-fertilizers enhance nutrient use efficiency only under balanced application regimes. Raliya et al. (2015) demonstrated that nano-phosphorus increases nutrient uptake efficiency due to higher surface reactivity, but emphasized the importance of optimum dose. Similarly, Liu and Lal (2015) reported that nano-fertilizers improve crop growth and reduce fertilizer requirements, yet economic benefits diminish when application rates exceed plant absorption capacity. Evidence from Zulfiqar et al. (2019) also supports that nano-nutrients are most effective as supplements rather than complete substitutes for conventional fertilizers—consistent with the strong performance of T</w:t>
      </w:r>
      <w:r w:rsidRPr="003227EC">
        <w:rPr>
          <w:rFonts w:ascii="Arial" w:eastAsia="Times New Roman" w:hAnsi="Arial" w:cs="Arial"/>
          <w:kern w:val="0"/>
          <w:sz w:val="20"/>
          <w:szCs w:val="20"/>
          <w:vertAlign w:val="subscript"/>
          <w:lang w:eastAsia="en-GB"/>
          <w14:ligatures w14:val="none"/>
        </w:rPr>
        <w:t>3</w:t>
      </w:r>
      <w:r w:rsidRPr="003227EC">
        <w:rPr>
          <w:rFonts w:ascii="Arial" w:eastAsia="Times New Roman" w:hAnsi="Arial" w:cs="Arial"/>
          <w:kern w:val="0"/>
          <w:sz w:val="20"/>
          <w:szCs w:val="20"/>
          <w:lang w:eastAsia="en-GB"/>
          <w14:ligatures w14:val="none"/>
        </w:rPr>
        <w:t xml:space="preserve"> and T</w:t>
      </w:r>
      <w:r w:rsidRPr="003227EC">
        <w:rPr>
          <w:rFonts w:ascii="Arial" w:eastAsia="Times New Roman" w:hAnsi="Arial" w:cs="Arial"/>
          <w:kern w:val="0"/>
          <w:sz w:val="20"/>
          <w:szCs w:val="20"/>
          <w:vertAlign w:val="subscript"/>
          <w:lang w:eastAsia="en-GB"/>
          <w14:ligatures w14:val="none"/>
        </w:rPr>
        <w:t>4</w:t>
      </w:r>
      <w:r w:rsidRPr="003227EC">
        <w:rPr>
          <w:rFonts w:ascii="Arial" w:eastAsia="Times New Roman" w:hAnsi="Arial" w:cs="Arial"/>
          <w:kern w:val="0"/>
          <w:sz w:val="20"/>
          <w:szCs w:val="20"/>
          <w:lang w:eastAsia="en-GB"/>
          <w14:ligatures w14:val="none"/>
        </w:rPr>
        <w:t xml:space="preserve"> in the present study. Further, studies by Rastogi et al. (2019) and Singh et al. (2017) highlight that nano-fertilizers enhance foliar absorption and root uptake but offer minimal </w:t>
      </w:r>
      <w:r w:rsidRPr="003227EC">
        <w:rPr>
          <w:rFonts w:ascii="Arial" w:eastAsia="Times New Roman" w:hAnsi="Arial" w:cs="Arial"/>
          <w:kern w:val="0"/>
          <w:sz w:val="20"/>
          <w:szCs w:val="20"/>
          <w:lang w:eastAsia="en-GB"/>
          <w14:ligatures w14:val="none"/>
        </w:rPr>
        <w:lastRenderedPageBreak/>
        <w:t xml:space="preserve">incremental benefit when applied too frequently or in high doses due to physiological saturation limits. The reduced B:C ratios observed in </w:t>
      </w:r>
      <w:proofErr w:type="spellStart"/>
      <w:r w:rsidRPr="003227EC">
        <w:rPr>
          <w:rFonts w:ascii="Arial" w:eastAsia="Times New Roman" w:hAnsi="Arial" w:cs="Arial"/>
          <w:kern w:val="0"/>
          <w:sz w:val="20"/>
          <w:szCs w:val="20"/>
          <w:lang w:eastAsia="en-GB"/>
          <w14:ligatures w14:val="none"/>
        </w:rPr>
        <w:t>oversprayed</w:t>
      </w:r>
      <w:proofErr w:type="spellEnd"/>
      <w:r w:rsidRPr="003227EC">
        <w:rPr>
          <w:rFonts w:ascii="Arial" w:eastAsia="Times New Roman" w:hAnsi="Arial" w:cs="Arial"/>
          <w:kern w:val="0"/>
          <w:sz w:val="20"/>
          <w:szCs w:val="20"/>
          <w:lang w:eastAsia="en-GB"/>
          <w14:ligatures w14:val="none"/>
        </w:rPr>
        <w:t xml:space="preserve"> treatments (T</w:t>
      </w:r>
      <w:r w:rsidRPr="003227EC">
        <w:rPr>
          <w:rFonts w:ascii="Arial" w:eastAsia="Times New Roman" w:hAnsi="Arial" w:cs="Arial"/>
          <w:kern w:val="0"/>
          <w:sz w:val="20"/>
          <w:szCs w:val="20"/>
          <w:vertAlign w:val="subscript"/>
          <w:lang w:eastAsia="en-GB"/>
          <w14:ligatures w14:val="none"/>
        </w:rPr>
        <w:t>5</w:t>
      </w:r>
      <w:r w:rsidRPr="003227EC">
        <w:rPr>
          <w:rFonts w:ascii="Arial" w:eastAsia="Times New Roman" w:hAnsi="Arial" w:cs="Arial"/>
          <w:kern w:val="0"/>
          <w:sz w:val="20"/>
          <w:szCs w:val="20"/>
          <w:lang w:eastAsia="en-GB"/>
          <w14:ligatures w14:val="none"/>
        </w:rPr>
        <w:t>, T</w:t>
      </w:r>
      <w:r w:rsidRPr="003227EC">
        <w:rPr>
          <w:rFonts w:ascii="Arial" w:eastAsia="Times New Roman" w:hAnsi="Arial" w:cs="Arial"/>
          <w:kern w:val="0"/>
          <w:sz w:val="20"/>
          <w:szCs w:val="20"/>
          <w:vertAlign w:val="subscript"/>
          <w:lang w:eastAsia="en-GB"/>
          <w14:ligatures w14:val="none"/>
        </w:rPr>
        <w:t>8</w:t>
      </w:r>
      <w:r w:rsidRPr="003227EC">
        <w:rPr>
          <w:rFonts w:ascii="Arial" w:eastAsia="Times New Roman" w:hAnsi="Arial" w:cs="Arial"/>
          <w:kern w:val="0"/>
          <w:sz w:val="20"/>
          <w:szCs w:val="20"/>
          <w:lang w:eastAsia="en-GB"/>
          <w14:ligatures w14:val="none"/>
        </w:rPr>
        <w:t xml:space="preserve">) may therefore be attributed to diminishing marginal nutrient-use efficiency and increased cost per unit nutrient supplied. Overall, the results indicate that while nano-DAP can complement conventional phosphorus fertilization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its economic advantage is achieved only when used moderately rather than intensively.</w:t>
      </w:r>
    </w:p>
    <w:p w14:paraId="709609AA" w14:textId="51DE4E9F" w:rsidR="001555B1" w:rsidRPr="003227EC" w:rsidRDefault="003227EC" w:rsidP="009B3EEA">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3227EC">
        <w:rPr>
          <w:rFonts w:ascii="Arial" w:eastAsia="Times New Roman" w:hAnsi="Arial" w:cs="Arial"/>
          <w:b/>
          <w:bCs/>
          <w:kern w:val="0"/>
          <w:sz w:val="22"/>
          <w:szCs w:val="22"/>
          <w:lang w:eastAsia="en-GB"/>
          <w14:ligatures w14:val="none"/>
        </w:rPr>
        <w:t>CONCLUSION</w:t>
      </w:r>
    </w:p>
    <w:p w14:paraId="46FDBA3D" w14:textId="77777777" w:rsidR="001555B1" w:rsidRPr="003227EC" w:rsidRDefault="001555B1" w:rsidP="009B3EEA">
      <w:pPr>
        <w:spacing w:before="100" w:beforeAutospacing="1" w:after="100" w:afterAutospacing="1" w:line="360" w:lineRule="auto"/>
        <w:jc w:val="both"/>
        <w:rPr>
          <w:rFonts w:ascii="Arial" w:eastAsia="Times New Roman" w:hAnsi="Arial" w:cs="Arial"/>
          <w:kern w:val="0"/>
          <w:sz w:val="20"/>
          <w:szCs w:val="20"/>
          <w:lang w:eastAsia="en-GB"/>
          <w14:ligatures w14:val="none"/>
        </w:rPr>
      </w:pPr>
      <w:r w:rsidRPr="003227EC">
        <w:rPr>
          <w:rFonts w:ascii="Arial" w:eastAsia="Times New Roman" w:hAnsi="Arial" w:cs="Arial"/>
          <w:kern w:val="0"/>
          <w:sz w:val="20"/>
          <w:szCs w:val="20"/>
          <w:lang w:eastAsia="en-GB"/>
          <w14:ligatures w14:val="none"/>
        </w:rPr>
        <w:t xml:space="preserve">The study demonstrated that integrating nano-DAP with conventional phosphorus fertilization can effectively enhance growth, yield, and profitability in </w:t>
      </w:r>
      <w:proofErr w:type="spellStart"/>
      <w:r w:rsidRPr="003227EC">
        <w:rPr>
          <w:rFonts w:ascii="Arial" w:eastAsia="Times New Roman" w:hAnsi="Arial" w:cs="Arial"/>
          <w:kern w:val="0"/>
          <w:sz w:val="20"/>
          <w:szCs w:val="20"/>
          <w:lang w:eastAsia="en-GB"/>
          <w14:ligatures w14:val="none"/>
        </w:rPr>
        <w:t>blackgram</w:t>
      </w:r>
      <w:proofErr w:type="spellEnd"/>
      <w:r w:rsidRPr="003227EC">
        <w:rPr>
          <w:rFonts w:ascii="Arial" w:eastAsia="Times New Roman" w:hAnsi="Arial" w:cs="Arial"/>
          <w:kern w:val="0"/>
          <w:sz w:val="20"/>
          <w:szCs w:val="20"/>
          <w:lang w:eastAsia="en-GB"/>
          <w14:ligatures w14:val="none"/>
        </w:rPr>
        <w:t xml:space="preserve"> while allowing partial substitution of soil-applied P. Full RDF (20:40:20 N:P</w:t>
      </w:r>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w:t>
      </w:r>
      <w:proofErr w:type="gramStart"/>
      <w:r w:rsidRPr="003227EC">
        <w:rPr>
          <w:rFonts w:ascii="Cambria Math" w:eastAsia="Times New Roman" w:hAnsi="Cambria Math" w:cs="Cambria Math"/>
          <w:kern w:val="0"/>
          <w:sz w:val="20"/>
          <w:szCs w:val="20"/>
          <w:lang w:eastAsia="en-GB"/>
          <w14:ligatures w14:val="none"/>
        </w:rPr>
        <w:t>₅</w:t>
      </w:r>
      <w:r w:rsidRPr="003227EC">
        <w:rPr>
          <w:rFonts w:ascii="Arial" w:eastAsia="Times New Roman" w:hAnsi="Arial" w:cs="Arial"/>
          <w:kern w:val="0"/>
          <w:sz w:val="20"/>
          <w:szCs w:val="20"/>
          <w:lang w:eastAsia="en-GB"/>
          <w14:ligatures w14:val="none"/>
        </w:rPr>
        <w:t>:K</w:t>
      </w:r>
      <w:proofErr w:type="gramEnd"/>
      <w:r w:rsidRPr="003227EC">
        <w:rPr>
          <w:rFonts w:ascii="Cambria Math" w:eastAsia="Times New Roman" w:hAnsi="Cambria Math" w:cs="Cambria Math"/>
          <w:kern w:val="0"/>
          <w:sz w:val="20"/>
          <w:szCs w:val="20"/>
          <w:lang w:eastAsia="en-GB"/>
          <w14:ligatures w14:val="none"/>
        </w:rPr>
        <w:t>₂</w:t>
      </w:r>
      <w:r w:rsidRPr="003227EC">
        <w:rPr>
          <w:rFonts w:ascii="Arial" w:eastAsia="Times New Roman" w:hAnsi="Arial" w:cs="Arial"/>
          <w:kern w:val="0"/>
          <w:sz w:val="20"/>
          <w:szCs w:val="20"/>
          <w:lang w:eastAsia="en-GB"/>
          <w14:ligatures w14:val="none"/>
        </w:rPr>
        <w:t>O kg ha</w:t>
      </w:r>
      <w:r w:rsidRPr="003227EC">
        <w:rPr>
          <w:rFonts w:ascii="Cambria Math" w:eastAsia="Times New Roman" w:hAnsi="Cambria Math" w:cs="Cambria Math"/>
          <w:kern w:val="0"/>
          <w:sz w:val="20"/>
          <w:szCs w:val="20"/>
          <w:lang w:eastAsia="en-GB"/>
          <w14:ligatures w14:val="none"/>
        </w:rPr>
        <w:t>⁻</w:t>
      </w:r>
      <w:r w:rsidRPr="003227EC">
        <w:rPr>
          <w:rFonts w:ascii="Arial" w:eastAsia="Times New Roman" w:hAnsi="Arial" w:cs="Arial"/>
          <w:kern w:val="0"/>
          <w:sz w:val="20"/>
          <w:szCs w:val="20"/>
          <w:lang w:eastAsia="en-GB"/>
          <w14:ligatures w14:val="none"/>
        </w:rPr>
        <w:t>¹) consistently produced the highest growth attributes, yield components, and seed yield; however, treatments receiving 75% or 50% of the recommended P dose supplemented with one or two nano-DAP sprays performed statistically at par. This indicates that nano-DAP improves phosphorus use efficiency by enhancing foliar absorption, nutrient mobility, and assimilate partitioning, enabling comparable productivity at reduced P levels. Economic analysis further revealed that moderate nano-DAP use (T3, T4) provided high B:C ratios close to RDF, whereas excessive spraying increased costs without proportional yield gains. Overall, nano-DAP foliar application emerges as a promising strategy to optimize phosphorus inputs, maintain high yield, and improve economic returns, particularly in P-deficient or P-fixing soils.</w:t>
      </w:r>
    </w:p>
    <w:p w14:paraId="1DA8424A" w14:textId="6BD3FF5D" w:rsidR="004D47D6" w:rsidRPr="009B3EEA" w:rsidRDefault="009B3EEA" w:rsidP="009B3EEA">
      <w:pPr>
        <w:spacing w:before="100" w:beforeAutospacing="1" w:after="100" w:afterAutospacing="1" w:line="360" w:lineRule="auto"/>
        <w:outlineLvl w:val="1"/>
        <w:rPr>
          <w:rFonts w:ascii="Arial" w:eastAsia="Times New Roman" w:hAnsi="Arial" w:cs="Arial"/>
          <w:b/>
          <w:bCs/>
          <w:kern w:val="0"/>
          <w:sz w:val="22"/>
          <w:szCs w:val="22"/>
          <w:lang w:eastAsia="en-GB"/>
          <w14:ligatures w14:val="none"/>
        </w:rPr>
      </w:pPr>
      <w:r w:rsidRPr="009B3EEA">
        <w:rPr>
          <w:rFonts w:ascii="Arial" w:eastAsia="Times New Roman" w:hAnsi="Arial" w:cs="Arial"/>
          <w:b/>
          <w:bCs/>
          <w:kern w:val="0"/>
          <w:sz w:val="22"/>
          <w:szCs w:val="22"/>
          <w:lang w:eastAsia="en-GB"/>
          <w14:ligatures w14:val="none"/>
        </w:rPr>
        <w:t>REFERENCES</w:t>
      </w:r>
    </w:p>
    <w:p w14:paraId="22E436E1" w14:textId="4919EBD3" w:rsidR="00DD0445" w:rsidRPr="009B3EEA" w:rsidRDefault="004B45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4B45A3">
        <w:rPr>
          <w:rFonts w:ascii="Arial" w:eastAsia="Times New Roman" w:hAnsi="Arial" w:cs="Arial"/>
          <w:kern w:val="0"/>
          <w:sz w:val="20"/>
          <w:szCs w:val="20"/>
          <w:lang w:eastAsia="en-GB"/>
          <w14:ligatures w14:val="none"/>
        </w:rPr>
        <w:t>Dimkpa</w:t>
      </w:r>
      <w:proofErr w:type="spellEnd"/>
      <w:r w:rsidRPr="004B45A3">
        <w:rPr>
          <w:rFonts w:ascii="Arial" w:eastAsia="Times New Roman" w:hAnsi="Arial" w:cs="Arial"/>
          <w:kern w:val="0"/>
          <w:sz w:val="20"/>
          <w:szCs w:val="20"/>
          <w:lang w:eastAsia="en-GB"/>
          <w14:ligatures w14:val="none"/>
        </w:rPr>
        <w:t xml:space="preserve">, C. O., &amp; </w:t>
      </w:r>
      <w:proofErr w:type="spellStart"/>
      <w:r w:rsidRPr="004B45A3">
        <w:rPr>
          <w:rFonts w:ascii="Arial" w:eastAsia="Times New Roman" w:hAnsi="Arial" w:cs="Arial"/>
          <w:kern w:val="0"/>
          <w:sz w:val="20"/>
          <w:szCs w:val="20"/>
          <w:lang w:eastAsia="en-GB"/>
          <w14:ligatures w14:val="none"/>
        </w:rPr>
        <w:t>Bindraban</w:t>
      </w:r>
      <w:proofErr w:type="spellEnd"/>
      <w:r w:rsidRPr="004B45A3">
        <w:rPr>
          <w:rFonts w:ascii="Arial" w:eastAsia="Times New Roman" w:hAnsi="Arial" w:cs="Arial"/>
          <w:kern w:val="0"/>
          <w:sz w:val="20"/>
          <w:szCs w:val="20"/>
          <w:lang w:eastAsia="en-GB"/>
          <w14:ligatures w14:val="none"/>
        </w:rPr>
        <w:t xml:space="preserve">, P. S. (2018). </w:t>
      </w:r>
      <w:proofErr w:type="spellStart"/>
      <w:r w:rsidRPr="004B45A3">
        <w:rPr>
          <w:rFonts w:ascii="Arial" w:eastAsia="Times New Roman" w:hAnsi="Arial" w:cs="Arial"/>
          <w:kern w:val="0"/>
          <w:sz w:val="20"/>
          <w:szCs w:val="20"/>
          <w:lang w:eastAsia="en-GB"/>
          <w14:ligatures w14:val="none"/>
        </w:rPr>
        <w:t>Nanofertilizers</w:t>
      </w:r>
      <w:proofErr w:type="spellEnd"/>
      <w:r w:rsidRPr="004B45A3">
        <w:rPr>
          <w:rFonts w:ascii="Arial" w:eastAsia="Times New Roman" w:hAnsi="Arial" w:cs="Arial"/>
          <w:kern w:val="0"/>
          <w:sz w:val="20"/>
          <w:szCs w:val="20"/>
          <w:lang w:eastAsia="en-GB"/>
          <w14:ligatures w14:val="none"/>
        </w:rPr>
        <w:t xml:space="preserve">: New products for the industry? Journal of Agricultural and Food Chemistry, 66(26), 6462–6473. </w:t>
      </w:r>
      <w:hyperlink r:id="rId7" w:history="1">
        <w:r w:rsidRPr="005D518E">
          <w:rPr>
            <w:rStyle w:val="Hyperlink"/>
            <w:rFonts w:ascii="Arial" w:eastAsia="Times New Roman" w:hAnsi="Arial" w:cs="Arial"/>
            <w:kern w:val="0"/>
            <w:sz w:val="20"/>
            <w:szCs w:val="20"/>
            <w:lang w:eastAsia="en-GB"/>
            <w14:ligatures w14:val="none"/>
          </w:rPr>
          <w:t>https://doi.org/10.1021/acs.jafc.7b02150</w:t>
        </w:r>
      </w:hyperlink>
      <w:r>
        <w:rPr>
          <w:rFonts w:ascii="Arial" w:eastAsia="Times New Roman" w:hAnsi="Arial" w:cs="Arial"/>
          <w:kern w:val="0"/>
          <w:sz w:val="20"/>
          <w:szCs w:val="20"/>
          <w:lang w:eastAsia="en-GB"/>
          <w14:ligatures w14:val="none"/>
        </w:rPr>
        <w:t xml:space="preserve"> </w:t>
      </w:r>
    </w:p>
    <w:p w14:paraId="281A0D1D" w14:textId="150D9850" w:rsidR="00DD0445" w:rsidRPr="009B3EEA" w:rsidRDefault="00506414"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506414">
        <w:rPr>
          <w:rFonts w:ascii="Arial" w:eastAsia="Times New Roman" w:hAnsi="Arial" w:cs="Arial"/>
          <w:kern w:val="0"/>
          <w:sz w:val="20"/>
          <w:szCs w:val="20"/>
          <w:lang w:eastAsia="en-GB"/>
          <w14:ligatures w14:val="none"/>
        </w:rPr>
        <w:t xml:space="preserve">Food and Agriculture Organization of the United Nations. (2023). FAOSTAT: Crops and livestock products. </w:t>
      </w:r>
      <w:hyperlink r:id="rId8" w:anchor="data/QCL" w:history="1">
        <w:r w:rsidRPr="005D518E">
          <w:rPr>
            <w:rStyle w:val="Hyperlink"/>
            <w:rFonts w:ascii="Arial" w:eastAsia="Times New Roman" w:hAnsi="Arial" w:cs="Arial"/>
            <w:kern w:val="0"/>
            <w:sz w:val="20"/>
            <w:szCs w:val="20"/>
            <w:lang w:eastAsia="en-GB"/>
            <w14:ligatures w14:val="none"/>
          </w:rPr>
          <w:t>https://www.fao.org/faostat/en/#data/QCL</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A75CDEE" w14:textId="30E7081A" w:rsidR="00DD0445" w:rsidRPr="009B3EEA" w:rsidRDefault="00A7662E"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A7662E">
        <w:rPr>
          <w:rFonts w:ascii="Arial" w:eastAsia="Times New Roman" w:hAnsi="Arial" w:cs="Arial"/>
          <w:kern w:val="0"/>
          <w:sz w:val="20"/>
          <w:szCs w:val="20"/>
          <w:lang w:eastAsia="en-GB"/>
          <w14:ligatures w14:val="none"/>
        </w:rPr>
        <w:t xml:space="preserve">Liu, R., &amp; Lal, R. (2015). Potentials of engineered nanoparticles as fertilizers for increasing agronomic productions. Science of the Total Environment. </w:t>
      </w:r>
      <w:hyperlink r:id="rId9" w:history="1">
        <w:r w:rsidRPr="005D518E">
          <w:rPr>
            <w:rStyle w:val="Hyperlink"/>
            <w:rFonts w:ascii="Arial" w:eastAsia="Times New Roman" w:hAnsi="Arial" w:cs="Arial"/>
            <w:kern w:val="0"/>
            <w:sz w:val="20"/>
            <w:szCs w:val="20"/>
            <w:lang w:eastAsia="en-GB"/>
            <w14:ligatures w14:val="none"/>
          </w:rPr>
          <w:t>https://doi.org/10.1016/j.scitotenv.2015.01.104</w:t>
        </w:r>
      </w:hyperlink>
      <w:r>
        <w:rPr>
          <w:rFonts w:ascii="Arial" w:eastAsia="Times New Roman" w:hAnsi="Arial" w:cs="Arial"/>
          <w:kern w:val="0"/>
          <w:sz w:val="20"/>
          <w:szCs w:val="20"/>
          <w:lang w:eastAsia="en-GB"/>
          <w14:ligatures w14:val="none"/>
        </w:rPr>
        <w:t xml:space="preserve"> </w:t>
      </w:r>
    </w:p>
    <w:p w14:paraId="4DB7AC38"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Misra, A. N., Misra, M., &amp; Singh, R. (2013). Nanotechnology in agriculture and food industry. International Journal of Pure and Applied Sciences and Technology, 16(2), 1-9.</w:t>
      </w:r>
    </w:p>
    <w:p w14:paraId="1A56B4CA" w14:textId="706B8720" w:rsidR="00DD0445" w:rsidRPr="009B3EEA" w:rsidRDefault="00307AFB"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307AFB">
        <w:rPr>
          <w:rFonts w:ascii="Arial" w:eastAsia="Times New Roman" w:hAnsi="Arial" w:cs="Arial"/>
          <w:kern w:val="0"/>
          <w:sz w:val="20"/>
          <w:szCs w:val="20"/>
          <w:lang w:eastAsia="en-GB"/>
          <w14:ligatures w14:val="none"/>
        </w:rPr>
        <w:t xml:space="preserve">Pandey, K. P., </w:t>
      </w:r>
      <w:proofErr w:type="spellStart"/>
      <w:r w:rsidRPr="00307AFB">
        <w:rPr>
          <w:rFonts w:ascii="Arial" w:eastAsia="Times New Roman" w:hAnsi="Arial" w:cs="Arial"/>
          <w:kern w:val="0"/>
          <w:sz w:val="20"/>
          <w:szCs w:val="20"/>
          <w:lang w:eastAsia="en-GB"/>
          <w14:ligatures w14:val="none"/>
        </w:rPr>
        <w:t>Kalhapure</w:t>
      </w:r>
      <w:proofErr w:type="spellEnd"/>
      <w:r w:rsidRPr="00307AFB">
        <w:rPr>
          <w:rFonts w:ascii="Arial" w:eastAsia="Times New Roman" w:hAnsi="Arial" w:cs="Arial"/>
          <w:kern w:val="0"/>
          <w:sz w:val="20"/>
          <w:szCs w:val="20"/>
          <w:lang w:eastAsia="en-GB"/>
          <w14:ligatures w14:val="none"/>
        </w:rPr>
        <w:t xml:space="preserve">, A., Mishra, S., </w:t>
      </w:r>
      <w:proofErr w:type="spellStart"/>
      <w:r w:rsidRPr="00307AFB">
        <w:rPr>
          <w:rFonts w:ascii="Arial" w:eastAsia="Times New Roman" w:hAnsi="Arial" w:cs="Arial"/>
          <w:kern w:val="0"/>
          <w:sz w:val="20"/>
          <w:szCs w:val="20"/>
          <w:lang w:eastAsia="en-GB"/>
          <w14:ligatures w14:val="none"/>
        </w:rPr>
        <w:t>Chaubey</w:t>
      </w:r>
      <w:proofErr w:type="spellEnd"/>
      <w:r w:rsidRPr="00307AFB">
        <w:rPr>
          <w:rFonts w:ascii="Arial" w:eastAsia="Times New Roman" w:hAnsi="Arial" w:cs="Arial"/>
          <w:kern w:val="0"/>
          <w:sz w:val="20"/>
          <w:szCs w:val="20"/>
          <w:lang w:eastAsia="en-GB"/>
          <w14:ligatures w14:val="none"/>
        </w:rPr>
        <w:t xml:space="preserve">, A. K., Kumar, A., Gautam, B., &amp; Kumar, S. (2025). Influence of </w:t>
      </w:r>
      <w:proofErr w:type="spellStart"/>
      <w:r w:rsidRPr="00307AFB">
        <w:rPr>
          <w:rFonts w:ascii="Arial" w:eastAsia="Times New Roman" w:hAnsi="Arial" w:cs="Arial"/>
          <w:kern w:val="0"/>
          <w:sz w:val="20"/>
          <w:szCs w:val="20"/>
          <w:lang w:eastAsia="en-GB"/>
          <w14:ligatures w14:val="none"/>
        </w:rPr>
        <w:t>nano</w:t>
      </w:r>
      <w:proofErr w:type="spellEnd"/>
      <w:r w:rsidRPr="00307AFB">
        <w:rPr>
          <w:rFonts w:ascii="Arial" w:eastAsia="Times New Roman" w:hAnsi="Arial" w:cs="Arial"/>
          <w:kern w:val="0"/>
          <w:sz w:val="20"/>
          <w:szCs w:val="20"/>
          <w:lang w:eastAsia="en-GB"/>
          <w14:ligatures w14:val="none"/>
        </w:rPr>
        <w:t xml:space="preserve"> urea and </w:t>
      </w:r>
      <w:proofErr w:type="spellStart"/>
      <w:r w:rsidRPr="00307AFB">
        <w:rPr>
          <w:rFonts w:ascii="Arial" w:eastAsia="Times New Roman" w:hAnsi="Arial" w:cs="Arial"/>
          <w:kern w:val="0"/>
          <w:sz w:val="20"/>
          <w:szCs w:val="20"/>
          <w:lang w:eastAsia="en-GB"/>
          <w14:ligatures w14:val="none"/>
        </w:rPr>
        <w:t>nano</w:t>
      </w:r>
      <w:proofErr w:type="spellEnd"/>
      <w:r w:rsidRPr="00307AFB">
        <w:rPr>
          <w:rFonts w:ascii="Arial" w:eastAsia="Times New Roman" w:hAnsi="Arial" w:cs="Arial"/>
          <w:kern w:val="0"/>
          <w:sz w:val="20"/>
          <w:szCs w:val="20"/>
          <w:lang w:eastAsia="en-GB"/>
          <w14:ligatures w14:val="none"/>
        </w:rPr>
        <w:t xml:space="preserve"> DAP on crop nutrient content, uptake and soil fertility status in </w:t>
      </w:r>
      <w:proofErr w:type="spellStart"/>
      <w:r w:rsidRPr="00307AFB">
        <w:rPr>
          <w:rFonts w:ascii="Arial" w:eastAsia="Times New Roman" w:hAnsi="Arial" w:cs="Arial"/>
          <w:kern w:val="0"/>
          <w:sz w:val="20"/>
          <w:szCs w:val="20"/>
          <w:lang w:eastAsia="en-GB"/>
          <w14:ligatures w14:val="none"/>
        </w:rPr>
        <w:t>blackgram</w:t>
      </w:r>
      <w:proofErr w:type="spellEnd"/>
      <w:r w:rsidRPr="00307AFB">
        <w:rPr>
          <w:rFonts w:ascii="Arial" w:eastAsia="Times New Roman" w:hAnsi="Arial" w:cs="Arial"/>
          <w:kern w:val="0"/>
          <w:sz w:val="20"/>
          <w:szCs w:val="20"/>
          <w:lang w:eastAsia="en-GB"/>
          <w14:ligatures w14:val="none"/>
        </w:rPr>
        <w:t xml:space="preserve"> (Vigna mungo). Plant Archives, 25(1), 2799–2806. </w:t>
      </w:r>
      <w:hyperlink r:id="rId10" w:history="1">
        <w:r w:rsidRPr="005D518E">
          <w:rPr>
            <w:rStyle w:val="Hyperlink"/>
            <w:rFonts w:ascii="Arial" w:eastAsia="Times New Roman" w:hAnsi="Arial" w:cs="Arial"/>
            <w:kern w:val="0"/>
            <w:sz w:val="20"/>
            <w:szCs w:val="20"/>
            <w:lang w:eastAsia="en-GB"/>
            <w14:ligatures w14:val="none"/>
          </w:rPr>
          <w:t>https://doi.org/10.51470/PLANTARCHIVES.2025.v25.no.1.405</w:t>
        </w:r>
      </w:hyperlink>
      <w:r>
        <w:rPr>
          <w:rFonts w:ascii="Arial" w:eastAsia="Times New Roman" w:hAnsi="Arial" w:cs="Arial"/>
          <w:kern w:val="0"/>
          <w:sz w:val="20"/>
          <w:szCs w:val="20"/>
          <w:lang w:eastAsia="en-GB"/>
          <w14:ligatures w14:val="none"/>
        </w:rPr>
        <w:t xml:space="preserve"> </w:t>
      </w:r>
    </w:p>
    <w:p w14:paraId="5BA4A6A6" w14:textId="0DA08922" w:rsidR="00DD0445" w:rsidRPr="009B3EEA" w:rsidRDefault="00F20B8F"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F20B8F">
        <w:rPr>
          <w:rFonts w:ascii="Arial" w:eastAsia="Times New Roman" w:hAnsi="Arial" w:cs="Arial"/>
          <w:kern w:val="0"/>
          <w:sz w:val="20"/>
          <w:szCs w:val="20"/>
          <w:lang w:eastAsia="en-GB"/>
          <w14:ligatures w14:val="none"/>
        </w:rPr>
        <w:t>Raliya</w:t>
      </w:r>
      <w:proofErr w:type="spellEnd"/>
      <w:r w:rsidRPr="00F20B8F">
        <w:rPr>
          <w:rFonts w:ascii="Arial" w:eastAsia="Times New Roman" w:hAnsi="Arial" w:cs="Arial"/>
          <w:kern w:val="0"/>
          <w:sz w:val="20"/>
          <w:szCs w:val="20"/>
          <w:lang w:eastAsia="en-GB"/>
          <w14:ligatures w14:val="none"/>
        </w:rPr>
        <w:t xml:space="preserve">, R., </w:t>
      </w:r>
      <w:proofErr w:type="spellStart"/>
      <w:r w:rsidRPr="00F20B8F">
        <w:rPr>
          <w:rFonts w:ascii="Arial" w:eastAsia="Times New Roman" w:hAnsi="Arial" w:cs="Arial"/>
          <w:kern w:val="0"/>
          <w:sz w:val="20"/>
          <w:szCs w:val="20"/>
          <w:lang w:eastAsia="en-GB"/>
          <w14:ligatures w14:val="none"/>
        </w:rPr>
        <w:t>Tarafdar</w:t>
      </w:r>
      <w:proofErr w:type="spellEnd"/>
      <w:r w:rsidRPr="00F20B8F">
        <w:rPr>
          <w:rFonts w:ascii="Arial" w:eastAsia="Times New Roman" w:hAnsi="Arial" w:cs="Arial"/>
          <w:kern w:val="0"/>
          <w:sz w:val="20"/>
          <w:szCs w:val="20"/>
          <w:lang w:eastAsia="en-GB"/>
          <w14:ligatures w14:val="none"/>
        </w:rPr>
        <w:t xml:space="preserve">, J. C., &amp; Biswas, P. (2016). Enhancing the mobilization of native phosphorus in the mung bean rhizosphere using </w:t>
      </w:r>
      <w:proofErr w:type="spellStart"/>
      <w:r w:rsidRPr="00F20B8F">
        <w:rPr>
          <w:rFonts w:ascii="Arial" w:eastAsia="Times New Roman" w:hAnsi="Arial" w:cs="Arial"/>
          <w:kern w:val="0"/>
          <w:sz w:val="20"/>
          <w:szCs w:val="20"/>
          <w:lang w:eastAsia="en-GB"/>
          <w14:ligatures w14:val="none"/>
        </w:rPr>
        <w:t>ZnO</w:t>
      </w:r>
      <w:proofErr w:type="spellEnd"/>
      <w:r w:rsidRPr="00F20B8F">
        <w:rPr>
          <w:rFonts w:ascii="Arial" w:eastAsia="Times New Roman" w:hAnsi="Arial" w:cs="Arial"/>
          <w:kern w:val="0"/>
          <w:sz w:val="20"/>
          <w:szCs w:val="20"/>
          <w:lang w:eastAsia="en-GB"/>
          <w14:ligatures w14:val="none"/>
        </w:rPr>
        <w:t xml:space="preserve"> nanoparticles synthesized by soil fungi. Journal of Agricultural and Food Chemistry, 64(16), 3111–3118. </w:t>
      </w:r>
      <w:hyperlink r:id="rId11" w:history="1">
        <w:r w:rsidRPr="005D518E">
          <w:rPr>
            <w:rStyle w:val="Hyperlink"/>
            <w:rFonts w:ascii="Arial" w:eastAsia="Times New Roman" w:hAnsi="Arial" w:cs="Arial"/>
            <w:kern w:val="0"/>
            <w:sz w:val="20"/>
            <w:szCs w:val="20"/>
            <w:lang w:eastAsia="en-GB"/>
            <w14:ligatures w14:val="none"/>
          </w:rPr>
          <w:t>https://doi.org/10.1021/acs.jafc.5b05224</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6E2EA580" w14:textId="0A2F0D31" w:rsidR="00DD0445" w:rsidRPr="009B3EEA" w:rsidRDefault="00664D5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664D57">
        <w:rPr>
          <w:rFonts w:ascii="Arial" w:eastAsia="Times New Roman" w:hAnsi="Arial" w:cs="Arial"/>
          <w:kern w:val="0"/>
          <w:sz w:val="20"/>
          <w:szCs w:val="20"/>
          <w:lang w:eastAsia="en-GB"/>
          <w14:ligatures w14:val="none"/>
        </w:rPr>
        <w:lastRenderedPageBreak/>
        <w:t xml:space="preserve">Rastogi, A., </w:t>
      </w:r>
      <w:proofErr w:type="spellStart"/>
      <w:r w:rsidRPr="00664D57">
        <w:rPr>
          <w:rFonts w:ascii="Arial" w:eastAsia="Times New Roman" w:hAnsi="Arial" w:cs="Arial"/>
          <w:kern w:val="0"/>
          <w:sz w:val="20"/>
          <w:szCs w:val="20"/>
          <w:lang w:eastAsia="en-GB"/>
          <w14:ligatures w14:val="none"/>
        </w:rPr>
        <w:t>Zivcak</w:t>
      </w:r>
      <w:proofErr w:type="spellEnd"/>
      <w:r w:rsidRPr="00664D57">
        <w:rPr>
          <w:rFonts w:ascii="Arial" w:eastAsia="Times New Roman" w:hAnsi="Arial" w:cs="Arial"/>
          <w:kern w:val="0"/>
          <w:sz w:val="20"/>
          <w:szCs w:val="20"/>
          <w:lang w:eastAsia="en-GB"/>
          <w14:ligatures w14:val="none"/>
        </w:rPr>
        <w:t xml:space="preserve">, M., </w:t>
      </w:r>
      <w:proofErr w:type="spellStart"/>
      <w:r w:rsidRPr="00664D57">
        <w:rPr>
          <w:rFonts w:ascii="Arial" w:eastAsia="Times New Roman" w:hAnsi="Arial" w:cs="Arial"/>
          <w:kern w:val="0"/>
          <w:sz w:val="20"/>
          <w:szCs w:val="20"/>
          <w:lang w:eastAsia="en-GB"/>
          <w14:ligatures w14:val="none"/>
        </w:rPr>
        <w:t>Sytar</w:t>
      </w:r>
      <w:proofErr w:type="spellEnd"/>
      <w:r w:rsidRPr="00664D57">
        <w:rPr>
          <w:rFonts w:ascii="Arial" w:eastAsia="Times New Roman" w:hAnsi="Arial" w:cs="Arial"/>
          <w:kern w:val="0"/>
          <w:sz w:val="20"/>
          <w:szCs w:val="20"/>
          <w:lang w:eastAsia="en-GB"/>
          <w14:ligatures w14:val="none"/>
        </w:rPr>
        <w:t xml:space="preserve">, O., </w:t>
      </w:r>
      <w:proofErr w:type="spellStart"/>
      <w:r w:rsidRPr="00664D57">
        <w:rPr>
          <w:rFonts w:ascii="Arial" w:eastAsia="Times New Roman" w:hAnsi="Arial" w:cs="Arial"/>
          <w:kern w:val="0"/>
          <w:sz w:val="20"/>
          <w:szCs w:val="20"/>
          <w:lang w:eastAsia="en-GB"/>
          <w14:ligatures w14:val="none"/>
        </w:rPr>
        <w:t>Kalaji</w:t>
      </w:r>
      <w:proofErr w:type="spellEnd"/>
      <w:r w:rsidRPr="00664D57">
        <w:rPr>
          <w:rFonts w:ascii="Arial" w:eastAsia="Times New Roman" w:hAnsi="Arial" w:cs="Arial"/>
          <w:kern w:val="0"/>
          <w:sz w:val="20"/>
          <w:szCs w:val="20"/>
          <w:lang w:eastAsia="en-GB"/>
          <w14:ligatures w14:val="none"/>
        </w:rPr>
        <w:t xml:space="preserve">, H. M., He, X., </w:t>
      </w:r>
      <w:proofErr w:type="spellStart"/>
      <w:r w:rsidRPr="00664D57">
        <w:rPr>
          <w:rFonts w:ascii="Arial" w:eastAsia="Times New Roman" w:hAnsi="Arial" w:cs="Arial"/>
          <w:kern w:val="0"/>
          <w:sz w:val="20"/>
          <w:szCs w:val="20"/>
          <w:lang w:eastAsia="en-GB"/>
          <w14:ligatures w14:val="none"/>
        </w:rPr>
        <w:t>Mbarki</w:t>
      </w:r>
      <w:proofErr w:type="spellEnd"/>
      <w:r w:rsidRPr="00664D57">
        <w:rPr>
          <w:rFonts w:ascii="Arial" w:eastAsia="Times New Roman" w:hAnsi="Arial" w:cs="Arial"/>
          <w:kern w:val="0"/>
          <w:sz w:val="20"/>
          <w:szCs w:val="20"/>
          <w:lang w:eastAsia="en-GB"/>
          <w14:ligatures w14:val="none"/>
        </w:rPr>
        <w:t xml:space="preserve">, S., &amp; </w:t>
      </w:r>
      <w:proofErr w:type="spellStart"/>
      <w:r w:rsidRPr="00664D57">
        <w:rPr>
          <w:rFonts w:ascii="Arial" w:eastAsia="Times New Roman" w:hAnsi="Arial" w:cs="Arial"/>
          <w:kern w:val="0"/>
          <w:sz w:val="20"/>
          <w:szCs w:val="20"/>
          <w:lang w:eastAsia="en-GB"/>
          <w14:ligatures w14:val="none"/>
        </w:rPr>
        <w:t>Brestic</w:t>
      </w:r>
      <w:proofErr w:type="spellEnd"/>
      <w:r w:rsidRPr="00664D57">
        <w:rPr>
          <w:rFonts w:ascii="Arial" w:eastAsia="Times New Roman" w:hAnsi="Arial" w:cs="Arial"/>
          <w:kern w:val="0"/>
          <w:sz w:val="20"/>
          <w:szCs w:val="20"/>
          <w:lang w:eastAsia="en-GB"/>
          <w14:ligatures w14:val="none"/>
        </w:rPr>
        <w:t xml:space="preserve">, M. (2017). Impact of metal and metal oxide nanoparticles on plant: A critical review. Frontiers in Chemistry, 5, 78. </w:t>
      </w:r>
      <w:hyperlink r:id="rId12" w:history="1">
        <w:r w:rsidRPr="005D518E">
          <w:rPr>
            <w:rStyle w:val="Hyperlink"/>
            <w:rFonts w:ascii="Arial" w:eastAsia="Times New Roman" w:hAnsi="Arial" w:cs="Arial"/>
            <w:kern w:val="0"/>
            <w:sz w:val="20"/>
            <w:szCs w:val="20"/>
            <w:lang w:eastAsia="en-GB"/>
            <w14:ligatures w14:val="none"/>
          </w:rPr>
          <w:t>https://doi.org/10.3389/fchem.2017.00078</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0E900542"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Roy, E. D., Richards, P. D., Martinelli, L. A., et al. (2016). Soil phosphorus sorption capacity and environmental implications. </w:t>
      </w:r>
      <w:r w:rsidRPr="009B3EEA">
        <w:rPr>
          <w:rFonts w:ascii="Arial" w:eastAsia="Times New Roman" w:hAnsi="Arial" w:cs="Arial"/>
          <w:i/>
          <w:iCs/>
          <w:kern w:val="0"/>
          <w:sz w:val="20"/>
          <w:szCs w:val="20"/>
          <w:lang w:eastAsia="en-GB"/>
          <w14:ligatures w14:val="none"/>
        </w:rPr>
        <w:t>Nature Communications</w:t>
      </w:r>
      <w:r w:rsidRPr="009B3EEA">
        <w:rPr>
          <w:rFonts w:ascii="Arial" w:eastAsia="Times New Roman" w:hAnsi="Arial" w:cs="Arial"/>
          <w:kern w:val="0"/>
          <w:sz w:val="20"/>
          <w:szCs w:val="20"/>
          <w:lang w:eastAsia="en-GB"/>
          <w14:ligatures w14:val="none"/>
        </w:rPr>
        <w:t>, 7, 11885.</w:t>
      </w:r>
    </w:p>
    <w:p w14:paraId="46265BDD" w14:textId="08F93884" w:rsidR="00DD0445" w:rsidRPr="009B3EEA" w:rsidRDefault="00BC411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BC4111">
        <w:rPr>
          <w:rFonts w:ascii="Arial" w:eastAsia="Times New Roman" w:hAnsi="Arial" w:cs="Arial"/>
          <w:kern w:val="0"/>
          <w:sz w:val="20"/>
          <w:szCs w:val="20"/>
          <w:lang w:eastAsia="en-GB"/>
          <w14:ligatures w14:val="none"/>
        </w:rPr>
        <w:t>Sakakibara</w:t>
      </w:r>
      <w:proofErr w:type="spellEnd"/>
      <w:r w:rsidRPr="00BC4111">
        <w:rPr>
          <w:rFonts w:ascii="Arial" w:eastAsia="Times New Roman" w:hAnsi="Arial" w:cs="Arial"/>
          <w:kern w:val="0"/>
          <w:sz w:val="20"/>
          <w:szCs w:val="20"/>
          <w:lang w:eastAsia="en-GB"/>
          <w14:ligatures w14:val="none"/>
        </w:rPr>
        <w:t xml:space="preserve">, H. (2006). </w:t>
      </w:r>
      <w:proofErr w:type="spellStart"/>
      <w:r w:rsidRPr="00BC4111">
        <w:rPr>
          <w:rFonts w:ascii="Arial" w:eastAsia="Times New Roman" w:hAnsi="Arial" w:cs="Arial"/>
          <w:kern w:val="0"/>
          <w:sz w:val="20"/>
          <w:szCs w:val="20"/>
          <w:lang w:eastAsia="en-GB"/>
          <w14:ligatures w14:val="none"/>
        </w:rPr>
        <w:t>Cytokinins</w:t>
      </w:r>
      <w:proofErr w:type="spellEnd"/>
      <w:r w:rsidRPr="00BC4111">
        <w:rPr>
          <w:rFonts w:ascii="Arial" w:eastAsia="Times New Roman" w:hAnsi="Arial" w:cs="Arial"/>
          <w:kern w:val="0"/>
          <w:sz w:val="20"/>
          <w:szCs w:val="20"/>
          <w:lang w:eastAsia="en-GB"/>
          <w14:ligatures w14:val="none"/>
        </w:rPr>
        <w:t xml:space="preserve">: Activity, biosynthesis, and translocation. Annual Review of Plant Biology. </w:t>
      </w:r>
      <w:hyperlink r:id="rId13" w:history="1">
        <w:r w:rsidRPr="005D518E">
          <w:rPr>
            <w:rStyle w:val="Hyperlink"/>
            <w:rFonts w:ascii="Arial" w:eastAsia="Times New Roman" w:hAnsi="Arial" w:cs="Arial"/>
            <w:kern w:val="0"/>
            <w:sz w:val="20"/>
            <w:szCs w:val="20"/>
            <w:lang w:eastAsia="en-GB"/>
            <w14:ligatures w14:val="none"/>
          </w:rPr>
          <w:t>https://doi.org/10.1146/annurev.arplant.57.032905.105231</w:t>
        </w:r>
      </w:hyperlink>
      <w:r>
        <w:rPr>
          <w:rFonts w:ascii="Arial" w:eastAsia="Times New Roman" w:hAnsi="Arial" w:cs="Arial"/>
          <w:kern w:val="0"/>
          <w:sz w:val="20"/>
          <w:szCs w:val="20"/>
          <w:lang w:eastAsia="en-GB"/>
          <w14:ligatures w14:val="none"/>
        </w:rPr>
        <w:t xml:space="preserve"> </w:t>
      </w:r>
    </w:p>
    <w:p w14:paraId="489F118A" w14:textId="0AE73F3E" w:rsidR="00DD0445" w:rsidRPr="009B3EEA" w:rsidRDefault="00286CA3"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286CA3">
        <w:rPr>
          <w:rFonts w:ascii="Arial" w:eastAsia="Times New Roman" w:hAnsi="Arial" w:cs="Arial"/>
          <w:kern w:val="0"/>
          <w:sz w:val="20"/>
          <w:szCs w:val="20"/>
          <w:lang w:eastAsia="en-GB"/>
          <w14:ligatures w14:val="none"/>
        </w:rPr>
        <w:t xml:space="preserve">Shen, J., Yuan, L., Zhang, J., Li, H., Bai, Z., Chen, X., Zhang, W., &amp; Zhang, F. (2011). Phosphorus dynamics: From soil to plant. Plant Physiology, 156(3), 997–1005. </w:t>
      </w:r>
      <w:hyperlink r:id="rId14" w:history="1">
        <w:r w:rsidRPr="005D518E">
          <w:rPr>
            <w:rStyle w:val="Hyperlink"/>
            <w:rFonts w:ascii="Arial" w:eastAsia="Times New Roman" w:hAnsi="Arial" w:cs="Arial"/>
            <w:kern w:val="0"/>
            <w:sz w:val="20"/>
            <w:szCs w:val="20"/>
            <w:lang w:eastAsia="en-GB"/>
            <w14:ligatures w14:val="none"/>
          </w:rPr>
          <w:t>https://doi.org/10.1104/pp.111.175232</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1970B653" w14:textId="35099A7F" w:rsidR="00DD0445" w:rsidRPr="009B3EEA" w:rsidRDefault="00573817"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573817">
        <w:rPr>
          <w:rFonts w:ascii="Arial" w:eastAsia="Times New Roman" w:hAnsi="Arial" w:cs="Arial"/>
          <w:kern w:val="0"/>
          <w:sz w:val="20"/>
          <w:szCs w:val="20"/>
          <w:lang w:eastAsia="en-GB"/>
          <w14:ligatures w14:val="none"/>
        </w:rPr>
        <w:t>Shete</w:t>
      </w:r>
      <w:proofErr w:type="spellEnd"/>
      <w:r w:rsidRPr="00573817">
        <w:rPr>
          <w:rFonts w:ascii="Arial" w:eastAsia="Times New Roman" w:hAnsi="Arial" w:cs="Arial"/>
          <w:kern w:val="0"/>
          <w:sz w:val="20"/>
          <w:szCs w:val="20"/>
          <w:lang w:eastAsia="en-GB"/>
          <w14:ligatures w14:val="none"/>
        </w:rPr>
        <w:t xml:space="preserve">, A. D., </w:t>
      </w:r>
      <w:proofErr w:type="spellStart"/>
      <w:r w:rsidRPr="00573817">
        <w:rPr>
          <w:rFonts w:ascii="Arial" w:eastAsia="Times New Roman" w:hAnsi="Arial" w:cs="Arial"/>
          <w:kern w:val="0"/>
          <w:sz w:val="20"/>
          <w:szCs w:val="20"/>
          <w:lang w:eastAsia="en-GB"/>
          <w14:ligatures w14:val="none"/>
        </w:rPr>
        <w:t>Adsul</w:t>
      </w:r>
      <w:proofErr w:type="spellEnd"/>
      <w:r w:rsidRPr="00573817">
        <w:rPr>
          <w:rFonts w:ascii="Arial" w:eastAsia="Times New Roman" w:hAnsi="Arial" w:cs="Arial"/>
          <w:kern w:val="0"/>
          <w:sz w:val="20"/>
          <w:szCs w:val="20"/>
          <w:lang w:eastAsia="en-GB"/>
          <w14:ligatures w14:val="none"/>
        </w:rPr>
        <w:t xml:space="preserve">, P. B., </w:t>
      </w:r>
      <w:proofErr w:type="spellStart"/>
      <w:r w:rsidRPr="00573817">
        <w:rPr>
          <w:rFonts w:ascii="Arial" w:eastAsia="Times New Roman" w:hAnsi="Arial" w:cs="Arial"/>
          <w:kern w:val="0"/>
          <w:sz w:val="20"/>
          <w:szCs w:val="20"/>
          <w:lang w:eastAsia="en-GB"/>
          <w14:ligatures w14:val="none"/>
        </w:rPr>
        <w:t>Sabale</w:t>
      </w:r>
      <w:proofErr w:type="spellEnd"/>
      <w:r w:rsidRPr="00573817">
        <w:rPr>
          <w:rFonts w:ascii="Arial" w:eastAsia="Times New Roman" w:hAnsi="Arial" w:cs="Arial"/>
          <w:kern w:val="0"/>
          <w:sz w:val="20"/>
          <w:szCs w:val="20"/>
          <w:lang w:eastAsia="en-GB"/>
          <w14:ligatures w14:val="none"/>
        </w:rPr>
        <w:t xml:space="preserve">, A. P., &amp; </w:t>
      </w:r>
      <w:proofErr w:type="spellStart"/>
      <w:r w:rsidRPr="00573817">
        <w:rPr>
          <w:rFonts w:ascii="Arial" w:eastAsia="Times New Roman" w:hAnsi="Arial" w:cs="Arial"/>
          <w:kern w:val="0"/>
          <w:sz w:val="20"/>
          <w:szCs w:val="20"/>
          <w:lang w:eastAsia="en-GB"/>
          <w14:ligatures w14:val="none"/>
        </w:rPr>
        <w:t>Bobade</w:t>
      </w:r>
      <w:proofErr w:type="spellEnd"/>
      <w:r w:rsidRPr="00573817">
        <w:rPr>
          <w:rFonts w:ascii="Arial" w:eastAsia="Times New Roman" w:hAnsi="Arial" w:cs="Arial"/>
          <w:kern w:val="0"/>
          <w:sz w:val="20"/>
          <w:szCs w:val="20"/>
          <w:lang w:eastAsia="en-GB"/>
          <w14:ligatures w14:val="none"/>
        </w:rPr>
        <w:t xml:space="preserve">, J. R. (2024). Impact of </w:t>
      </w:r>
      <w:proofErr w:type="spellStart"/>
      <w:r w:rsidRPr="00573817">
        <w:rPr>
          <w:rFonts w:ascii="Arial" w:eastAsia="Times New Roman" w:hAnsi="Arial" w:cs="Arial"/>
          <w:kern w:val="0"/>
          <w:sz w:val="20"/>
          <w:szCs w:val="20"/>
          <w:lang w:eastAsia="en-GB"/>
          <w14:ligatures w14:val="none"/>
        </w:rPr>
        <w:t>nano</w:t>
      </w:r>
      <w:proofErr w:type="spellEnd"/>
      <w:r w:rsidRPr="00573817">
        <w:rPr>
          <w:rFonts w:ascii="Arial" w:eastAsia="Times New Roman" w:hAnsi="Arial" w:cs="Arial"/>
          <w:kern w:val="0"/>
          <w:sz w:val="20"/>
          <w:szCs w:val="20"/>
          <w:lang w:eastAsia="en-GB"/>
          <w14:ligatures w14:val="none"/>
        </w:rPr>
        <w:t xml:space="preserve">-DAP on growth &amp; yield of black gram (Vigna mungo L.) in </w:t>
      </w:r>
      <w:proofErr w:type="spellStart"/>
      <w:r w:rsidRPr="00573817">
        <w:rPr>
          <w:rFonts w:ascii="Arial" w:eastAsia="Times New Roman" w:hAnsi="Arial" w:cs="Arial"/>
          <w:kern w:val="0"/>
          <w:sz w:val="20"/>
          <w:szCs w:val="20"/>
          <w:lang w:eastAsia="en-GB"/>
          <w14:ligatures w14:val="none"/>
        </w:rPr>
        <w:t>inceptisol</w:t>
      </w:r>
      <w:proofErr w:type="spellEnd"/>
      <w:r w:rsidRPr="00573817">
        <w:rPr>
          <w:rFonts w:ascii="Arial" w:eastAsia="Times New Roman" w:hAnsi="Arial" w:cs="Arial"/>
          <w:kern w:val="0"/>
          <w:sz w:val="20"/>
          <w:szCs w:val="20"/>
          <w:lang w:eastAsia="en-GB"/>
          <w14:ligatures w14:val="none"/>
        </w:rPr>
        <w:t xml:space="preserve"> soil. International Journal of Research in Agronomy, 7(11), 47–52. </w:t>
      </w:r>
      <w:hyperlink r:id="rId15" w:history="1">
        <w:r w:rsidRPr="005D518E">
          <w:rPr>
            <w:rStyle w:val="Hyperlink"/>
            <w:rFonts w:ascii="Arial" w:eastAsia="Times New Roman" w:hAnsi="Arial" w:cs="Arial"/>
            <w:kern w:val="0"/>
            <w:sz w:val="20"/>
            <w:szCs w:val="20"/>
            <w:lang w:eastAsia="en-GB"/>
            <w14:ligatures w14:val="none"/>
          </w:rPr>
          <w:t>https://doi.org/10.33545/2618060X.2024.v7.i11a.1921</w:t>
        </w:r>
      </w:hyperlink>
      <w:r>
        <w:rPr>
          <w:rFonts w:ascii="Arial" w:eastAsia="Times New Roman" w:hAnsi="Arial" w:cs="Arial"/>
          <w:kern w:val="0"/>
          <w:sz w:val="20"/>
          <w:szCs w:val="20"/>
          <w:lang w:eastAsia="en-GB"/>
          <w14:ligatures w14:val="none"/>
        </w:rPr>
        <w:t xml:space="preserve"> </w:t>
      </w:r>
    </w:p>
    <w:p w14:paraId="140F43CE" w14:textId="01090FEB"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Singh, G., Sekhon, B. S., &amp; Kaur, P. (2013). Nutritional and functional properties of pulses. Legume Research, 36(5), 429–437.</w:t>
      </w:r>
    </w:p>
    <w:p w14:paraId="28A8EB69" w14:textId="77777777" w:rsidR="00DD0445" w:rsidRPr="009B3EEA" w:rsidRDefault="00DD0445"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9B3EEA">
        <w:rPr>
          <w:rFonts w:ascii="Arial" w:eastAsia="Times New Roman" w:hAnsi="Arial" w:cs="Arial"/>
          <w:kern w:val="0"/>
          <w:sz w:val="20"/>
          <w:szCs w:val="20"/>
          <w:lang w:eastAsia="en-GB"/>
          <w14:ligatures w14:val="none"/>
        </w:rPr>
        <w:t xml:space="preserve">Singh, R. P., Handa, R., &amp; Mantri, S. S. (2017). Nano-fertilizers: A novel approach for sustainable agriculture. </w:t>
      </w:r>
      <w:r w:rsidRPr="009B3EEA">
        <w:rPr>
          <w:rFonts w:ascii="Arial" w:eastAsia="Times New Roman" w:hAnsi="Arial" w:cs="Arial"/>
          <w:i/>
          <w:iCs/>
          <w:kern w:val="0"/>
          <w:sz w:val="20"/>
          <w:szCs w:val="20"/>
          <w:lang w:eastAsia="en-GB"/>
          <w14:ligatures w14:val="none"/>
        </w:rPr>
        <w:t xml:space="preserve">Agricultural Research, </w:t>
      </w:r>
      <w:r w:rsidRPr="009B3EEA">
        <w:rPr>
          <w:rFonts w:ascii="Arial" w:eastAsia="Times New Roman" w:hAnsi="Arial" w:cs="Arial"/>
          <w:kern w:val="0"/>
          <w:sz w:val="20"/>
          <w:szCs w:val="20"/>
          <w:lang w:eastAsia="en-GB"/>
          <w14:ligatures w14:val="none"/>
        </w:rPr>
        <w:t>6(3), 223–236.</w:t>
      </w:r>
    </w:p>
    <w:p w14:paraId="735BF01C" w14:textId="3549350B" w:rsidR="00DD0445" w:rsidRPr="009B3EEA" w:rsidRDefault="00DA1042"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proofErr w:type="spellStart"/>
      <w:r w:rsidRPr="00DA1042">
        <w:rPr>
          <w:rFonts w:ascii="Arial" w:eastAsia="Times New Roman" w:hAnsi="Arial" w:cs="Arial"/>
          <w:kern w:val="0"/>
          <w:sz w:val="20"/>
          <w:szCs w:val="20"/>
          <w:lang w:eastAsia="en-GB"/>
          <w14:ligatures w14:val="none"/>
        </w:rPr>
        <w:t>Tarafdar</w:t>
      </w:r>
      <w:proofErr w:type="spellEnd"/>
      <w:r w:rsidRPr="00DA1042">
        <w:rPr>
          <w:rFonts w:ascii="Arial" w:eastAsia="Times New Roman" w:hAnsi="Arial" w:cs="Arial"/>
          <w:kern w:val="0"/>
          <w:sz w:val="20"/>
          <w:szCs w:val="20"/>
          <w:lang w:eastAsia="en-GB"/>
          <w14:ligatures w14:val="none"/>
        </w:rPr>
        <w:t xml:space="preserve">, J. C., </w:t>
      </w:r>
      <w:proofErr w:type="spellStart"/>
      <w:r w:rsidRPr="00DA1042">
        <w:rPr>
          <w:rFonts w:ascii="Arial" w:eastAsia="Times New Roman" w:hAnsi="Arial" w:cs="Arial"/>
          <w:kern w:val="0"/>
          <w:sz w:val="20"/>
          <w:szCs w:val="20"/>
          <w:lang w:eastAsia="en-GB"/>
          <w14:ligatures w14:val="none"/>
        </w:rPr>
        <w:t>Raliya</w:t>
      </w:r>
      <w:proofErr w:type="spellEnd"/>
      <w:r w:rsidRPr="00DA1042">
        <w:rPr>
          <w:rFonts w:ascii="Arial" w:eastAsia="Times New Roman" w:hAnsi="Arial" w:cs="Arial"/>
          <w:kern w:val="0"/>
          <w:sz w:val="20"/>
          <w:szCs w:val="20"/>
          <w:lang w:eastAsia="en-GB"/>
          <w14:ligatures w14:val="none"/>
        </w:rPr>
        <w:t xml:space="preserve">, R., </w:t>
      </w:r>
      <w:proofErr w:type="spellStart"/>
      <w:r w:rsidRPr="00DA1042">
        <w:rPr>
          <w:rFonts w:ascii="Arial" w:eastAsia="Times New Roman" w:hAnsi="Arial" w:cs="Arial"/>
          <w:kern w:val="0"/>
          <w:sz w:val="20"/>
          <w:szCs w:val="20"/>
          <w:lang w:eastAsia="en-GB"/>
          <w14:ligatures w14:val="none"/>
        </w:rPr>
        <w:t>Mahawar</w:t>
      </w:r>
      <w:proofErr w:type="spellEnd"/>
      <w:r w:rsidRPr="00DA1042">
        <w:rPr>
          <w:rFonts w:ascii="Arial" w:eastAsia="Times New Roman" w:hAnsi="Arial" w:cs="Arial"/>
          <w:kern w:val="0"/>
          <w:sz w:val="20"/>
          <w:szCs w:val="20"/>
          <w:lang w:eastAsia="en-GB"/>
          <w14:ligatures w14:val="none"/>
        </w:rPr>
        <w:t xml:space="preserve">, H., &amp; Rathore, I. (2014). Development of zinc </w:t>
      </w:r>
      <w:proofErr w:type="spellStart"/>
      <w:r w:rsidRPr="00DA1042">
        <w:rPr>
          <w:rFonts w:ascii="Arial" w:eastAsia="Times New Roman" w:hAnsi="Arial" w:cs="Arial"/>
          <w:kern w:val="0"/>
          <w:sz w:val="20"/>
          <w:szCs w:val="20"/>
          <w:lang w:eastAsia="en-GB"/>
          <w14:ligatures w14:val="none"/>
        </w:rPr>
        <w:t>nanofertilizer</w:t>
      </w:r>
      <w:proofErr w:type="spellEnd"/>
      <w:r w:rsidRPr="00DA1042">
        <w:rPr>
          <w:rFonts w:ascii="Arial" w:eastAsia="Times New Roman" w:hAnsi="Arial" w:cs="Arial"/>
          <w:kern w:val="0"/>
          <w:sz w:val="20"/>
          <w:szCs w:val="20"/>
          <w:lang w:eastAsia="en-GB"/>
          <w14:ligatures w14:val="none"/>
        </w:rPr>
        <w:t xml:space="preserve"> to enhance crop production in pearl millet (</w:t>
      </w:r>
      <w:proofErr w:type="spellStart"/>
      <w:r w:rsidRPr="00DA1042">
        <w:rPr>
          <w:rFonts w:ascii="Arial" w:eastAsia="Times New Roman" w:hAnsi="Arial" w:cs="Arial"/>
          <w:kern w:val="0"/>
          <w:sz w:val="20"/>
          <w:szCs w:val="20"/>
          <w:lang w:eastAsia="en-GB"/>
          <w14:ligatures w14:val="none"/>
        </w:rPr>
        <w:t>Pennisetum</w:t>
      </w:r>
      <w:proofErr w:type="spellEnd"/>
      <w:r w:rsidRPr="00DA1042">
        <w:rPr>
          <w:rFonts w:ascii="Arial" w:eastAsia="Times New Roman" w:hAnsi="Arial" w:cs="Arial"/>
          <w:kern w:val="0"/>
          <w:sz w:val="20"/>
          <w:szCs w:val="20"/>
          <w:lang w:eastAsia="en-GB"/>
          <w14:ligatures w14:val="none"/>
        </w:rPr>
        <w:t xml:space="preserve"> </w:t>
      </w:r>
      <w:proofErr w:type="spellStart"/>
      <w:r w:rsidRPr="00DA1042">
        <w:rPr>
          <w:rFonts w:ascii="Arial" w:eastAsia="Times New Roman" w:hAnsi="Arial" w:cs="Arial"/>
          <w:kern w:val="0"/>
          <w:sz w:val="20"/>
          <w:szCs w:val="20"/>
          <w:lang w:eastAsia="en-GB"/>
          <w14:ligatures w14:val="none"/>
        </w:rPr>
        <w:t>americanum</w:t>
      </w:r>
      <w:proofErr w:type="spellEnd"/>
      <w:r w:rsidRPr="00DA1042">
        <w:rPr>
          <w:rFonts w:ascii="Arial" w:eastAsia="Times New Roman" w:hAnsi="Arial" w:cs="Arial"/>
          <w:kern w:val="0"/>
          <w:sz w:val="20"/>
          <w:szCs w:val="20"/>
          <w:lang w:eastAsia="en-GB"/>
          <w14:ligatures w14:val="none"/>
        </w:rPr>
        <w:t xml:space="preserve">). Agricultural Research, 3(3), 257–262. </w:t>
      </w:r>
      <w:hyperlink r:id="rId16" w:history="1">
        <w:r w:rsidRPr="005D518E">
          <w:rPr>
            <w:rStyle w:val="Hyperlink"/>
            <w:rFonts w:ascii="Arial" w:eastAsia="Times New Roman" w:hAnsi="Arial" w:cs="Arial"/>
            <w:kern w:val="0"/>
            <w:sz w:val="20"/>
            <w:szCs w:val="20"/>
            <w:lang w:eastAsia="en-GB"/>
            <w14:ligatures w14:val="none"/>
          </w:rPr>
          <w:t>https://doi.org/10.1007/s40003-014-0113-y</w:t>
        </w:r>
      </w:hyperlink>
      <w:r>
        <w:rPr>
          <w:rFonts w:ascii="Arial" w:eastAsia="Times New Roman" w:hAnsi="Arial" w:cs="Arial"/>
          <w:kern w:val="0"/>
          <w:sz w:val="20"/>
          <w:szCs w:val="20"/>
          <w:lang w:eastAsia="en-GB"/>
          <w14:ligatures w14:val="none"/>
        </w:rPr>
        <w:t xml:space="preserve"> </w:t>
      </w:r>
    </w:p>
    <w:p w14:paraId="35D3DD15" w14:textId="7EE02F93" w:rsidR="006A153C" w:rsidRPr="009B3EEA" w:rsidRDefault="00E654A1" w:rsidP="009B3EEA">
      <w:pPr>
        <w:pStyle w:val="ListParagraph"/>
        <w:numPr>
          <w:ilvl w:val="0"/>
          <w:numId w:val="6"/>
        </w:numPr>
        <w:spacing w:after="0" w:line="360" w:lineRule="auto"/>
        <w:jc w:val="both"/>
        <w:rPr>
          <w:rFonts w:ascii="Arial" w:eastAsia="Times New Roman" w:hAnsi="Arial" w:cs="Arial"/>
          <w:kern w:val="0"/>
          <w:sz w:val="20"/>
          <w:szCs w:val="20"/>
          <w:lang w:eastAsia="en-GB"/>
          <w14:ligatures w14:val="none"/>
        </w:rPr>
      </w:pPr>
      <w:r w:rsidRPr="00E654A1">
        <w:rPr>
          <w:rFonts w:ascii="Arial" w:eastAsia="Times New Roman" w:hAnsi="Arial" w:cs="Arial"/>
          <w:kern w:val="0"/>
          <w:sz w:val="20"/>
          <w:szCs w:val="20"/>
          <w:lang w:eastAsia="en-GB"/>
          <w14:ligatures w14:val="none"/>
        </w:rPr>
        <w:t xml:space="preserve">Zulfiqar, F., Navarro, M., Ashraf, M., </w:t>
      </w:r>
      <w:proofErr w:type="spellStart"/>
      <w:r w:rsidRPr="00E654A1">
        <w:rPr>
          <w:rFonts w:ascii="Arial" w:eastAsia="Times New Roman" w:hAnsi="Arial" w:cs="Arial"/>
          <w:kern w:val="0"/>
          <w:sz w:val="20"/>
          <w:szCs w:val="20"/>
          <w:lang w:eastAsia="en-GB"/>
          <w14:ligatures w14:val="none"/>
        </w:rPr>
        <w:t>Akram</w:t>
      </w:r>
      <w:proofErr w:type="spellEnd"/>
      <w:r w:rsidRPr="00E654A1">
        <w:rPr>
          <w:rFonts w:ascii="Arial" w:eastAsia="Times New Roman" w:hAnsi="Arial" w:cs="Arial"/>
          <w:kern w:val="0"/>
          <w:sz w:val="20"/>
          <w:szCs w:val="20"/>
          <w:lang w:eastAsia="en-GB"/>
          <w14:ligatures w14:val="none"/>
        </w:rPr>
        <w:t xml:space="preserve">, N. A., &amp; </w:t>
      </w:r>
      <w:proofErr w:type="spellStart"/>
      <w:r w:rsidRPr="00E654A1">
        <w:rPr>
          <w:rFonts w:ascii="Arial" w:eastAsia="Times New Roman" w:hAnsi="Arial" w:cs="Arial"/>
          <w:kern w:val="0"/>
          <w:sz w:val="20"/>
          <w:szCs w:val="20"/>
          <w:lang w:eastAsia="en-GB"/>
          <w14:ligatures w14:val="none"/>
        </w:rPr>
        <w:t>Munné</w:t>
      </w:r>
      <w:proofErr w:type="spellEnd"/>
      <w:r w:rsidRPr="00E654A1">
        <w:rPr>
          <w:rFonts w:ascii="Arial" w:eastAsia="Times New Roman" w:hAnsi="Arial" w:cs="Arial"/>
          <w:kern w:val="0"/>
          <w:sz w:val="20"/>
          <w:szCs w:val="20"/>
          <w:lang w:eastAsia="en-GB"/>
          <w14:ligatures w14:val="none"/>
        </w:rPr>
        <w:t xml:space="preserve">-Bosch, S. (2019). </w:t>
      </w:r>
      <w:proofErr w:type="spellStart"/>
      <w:r w:rsidRPr="00E654A1">
        <w:rPr>
          <w:rFonts w:ascii="Arial" w:eastAsia="Times New Roman" w:hAnsi="Arial" w:cs="Arial"/>
          <w:kern w:val="0"/>
          <w:sz w:val="20"/>
          <w:szCs w:val="20"/>
          <w:lang w:eastAsia="en-GB"/>
          <w14:ligatures w14:val="none"/>
        </w:rPr>
        <w:t>Nanofertilizer</w:t>
      </w:r>
      <w:proofErr w:type="spellEnd"/>
      <w:r w:rsidRPr="00E654A1">
        <w:rPr>
          <w:rFonts w:ascii="Arial" w:eastAsia="Times New Roman" w:hAnsi="Arial" w:cs="Arial"/>
          <w:kern w:val="0"/>
          <w:sz w:val="20"/>
          <w:szCs w:val="20"/>
          <w:lang w:eastAsia="en-GB"/>
          <w14:ligatures w14:val="none"/>
        </w:rPr>
        <w:t xml:space="preserve"> use for sustainable agriculture: Advantages and limitations. Plant Science, 289, 110270. </w:t>
      </w:r>
      <w:hyperlink r:id="rId17" w:history="1">
        <w:r w:rsidRPr="005D518E">
          <w:rPr>
            <w:rStyle w:val="Hyperlink"/>
            <w:rFonts w:ascii="Arial" w:eastAsia="Times New Roman" w:hAnsi="Arial" w:cs="Arial"/>
            <w:kern w:val="0"/>
            <w:sz w:val="20"/>
            <w:szCs w:val="20"/>
            <w:lang w:eastAsia="en-GB"/>
            <w14:ligatures w14:val="none"/>
          </w:rPr>
          <w:t>https://doi.org/10.1016/j.plantsci.2019.110270</w:t>
        </w:r>
      </w:hyperlink>
      <w:r>
        <w:rPr>
          <w:rFonts w:ascii="Arial" w:eastAsia="Times New Roman" w:hAnsi="Arial" w:cs="Arial"/>
          <w:kern w:val="0"/>
          <w:sz w:val="20"/>
          <w:szCs w:val="20"/>
          <w:lang w:eastAsia="en-GB"/>
          <w14:ligatures w14:val="none"/>
        </w:rPr>
        <w:t xml:space="preserve"> </w:t>
      </w:r>
      <w:r w:rsidR="00DD0445" w:rsidRPr="009B3EEA">
        <w:rPr>
          <w:rFonts w:ascii="Arial" w:eastAsia="Times New Roman" w:hAnsi="Arial" w:cs="Arial"/>
          <w:kern w:val="0"/>
          <w:sz w:val="20"/>
          <w:szCs w:val="20"/>
          <w:lang w:eastAsia="en-GB"/>
          <w14:ligatures w14:val="none"/>
        </w:rPr>
        <w:t>.</w:t>
      </w:r>
    </w:p>
    <w:p w14:paraId="5678F0E6" w14:textId="59CAC4AD" w:rsidR="00BE0E92" w:rsidRPr="003227EC" w:rsidRDefault="00BE0E92" w:rsidP="009B3EEA">
      <w:pPr>
        <w:spacing w:line="360" w:lineRule="auto"/>
        <w:rPr>
          <w:rFonts w:ascii="Arial" w:hAnsi="Arial" w:cs="Arial"/>
          <w:sz w:val="20"/>
          <w:szCs w:val="20"/>
        </w:rPr>
      </w:pPr>
    </w:p>
    <w:sectPr w:rsidR="00BE0E92" w:rsidRPr="003227E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D544" w14:textId="77777777" w:rsidR="00DE0EFA" w:rsidRDefault="00DE0EFA" w:rsidP="00AF1C26">
      <w:pPr>
        <w:spacing w:after="0" w:line="240" w:lineRule="auto"/>
      </w:pPr>
      <w:r>
        <w:separator/>
      </w:r>
    </w:p>
  </w:endnote>
  <w:endnote w:type="continuationSeparator" w:id="0">
    <w:p w14:paraId="0D8D25A6" w14:textId="77777777" w:rsidR="00DE0EFA" w:rsidRDefault="00DE0EFA" w:rsidP="00A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5B19" w14:textId="77777777" w:rsidR="00AF1C26" w:rsidRDefault="00AF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9E4A" w14:textId="77777777" w:rsidR="00AF1C26" w:rsidRDefault="00AF1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E34C" w14:textId="77777777" w:rsidR="00AF1C26" w:rsidRDefault="00AF1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0FEA2" w14:textId="77777777" w:rsidR="00DE0EFA" w:rsidRDefault="00DE0EFA" w:rsidP="00AF1C26">
      <w:pPr>
        <w:spacing w:after="0" w:line="240" w:lineRule="auto"/>
      </w:pPr>
      <w:r>
        <w:separator/>
      </w:r>
    </w:p>
  </w:footnote>
  <w:footnote w:type="continuationSeparator" w:id="0">
    <w:p w14:paraId="4B5445D8" w14:textId="77777777" w:rsidR="00DE0EFA" w:rsidRDefault="00DE0EFA" w:rsidP="00AF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269A" w14:textId="2D14C955" w:rsidR="00AF1C26" w:rsidRDefault="00AF1C26">
    <w:pPr>
      <w:pStyle w:val="Header"/>
    </w:pPr>
    <w:r>
      <w:rPr>
        <w:noProof/>
      </w:rPr>
      <w:pict w14:anchorId="1ED6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17AC" w14:textId="367D0235" w:rsidR="00AF1C26" w:rsidRDefault="00AF1C26">
    <w:pPr>
      <w:pStyle w:val="Header"/>
    </w:pPr>
    <w:r>
      <w:rPr>
        <w:noProof/>
      </w:rPr>
      <w:pict w14:anchorId="1646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7D21" w14:textId="1FFE9CCE" w:rsidR="00AF1C26" w:rsidRDefault="00AF1C26">
    <w:pPr>
      <w:pStyle w:val="Header"/>
    </w:pPr>
    <w:r>
      <w:rPr>
        <w:noProof/>
      </w:rPr>
      <w:pict w14:anchorId="10AEE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0106D"/>
    <w:multiLevelType w:val="hybridMultilevel"/>
    <w:tmpl w:val="888CF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2450D"/>
    <w:multiLevelType w:val="multilevel"/>
    <w:tmpl w:val="98E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84AAC"/>
    <w:multiLevelType w:val="multilevel"/>
    <w:tmpl w:val="227EA0C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EA31C2"/>
    <w:multiLevelType w:val="multilevel"/>
    <w:tmpl w:val="1B96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32F6A"/>
    <w:multiLevelType w:val="multilevel"/>
    <w:tmpl w:val="638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135A3"/>
    <w:multiLevelType w:val="hybridMultilevel"/>
    <w:tmpl w:val="F35EE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92"/>
    <w:rsid w:val="001537AD"/>
    <w:rsid w:val="001555B1"/>
    <w:rsid w:val="001859E5"/>
    <w:rsid w:val="00286CA3"/>
    <w:rsid w:val="00307AFB"/>
    <w:rsid w:val="003227EC"/>
    <w:rsid w:val="00496254"/>
    <w:rsid w:val="004B45A3"/>
    <w:rsid w:val="004D47D6"/>
    <w:rsid w:val="00506414"/>
    <w:rsid w:val="005277C3"/>
    <w:rsid w:val="00561DEA"/>
    <w:rsid w:val="00573817"/>
    <w:rsid w:val="005B2888"/>
    <w:rsid w:val="00664D57"/>
    <w:rsid w:val="006A153C"/>
    <w:rsid w:val="006C2D44"/>
    <w:rsid w:val="007A2593"/>
    <w:rsid w:val="007B7E38"/>
    <w:rsid w:val="00865CE2"/>
    <w:rsid w:val="00874C12"/>
    <w:rsid w:val="009A5DB3"/>
    <w:rsid w:val="009B3EEA"/>
    <w:rsid w:val="009E14E7"/>
    <w:rsid w:val="00A7662E"/>
    <w:rsid w:val="00AA7E85"/>
    <w:rsid w:val="00AF1C26"/>
    <w:rsid w:val="00B30A3E"/>
    <w:rsid w:val="00BC4111"/>
    <w:rsid w:val="00BE0E92"/>
    <w:rsid w:val="00DA1042"/>
    <w:rsid w:val="00DD0445"/>
    <w:rsid w:val="00DE0EFA"/>
    <w:rsid w:val="00E64A8B"/>
    <w:rsid w:val="00E654A1"/>
    <w:rsid w:val="00E82F3A"/>
    <w:rsid w:val="00ED79FF"/>
    <w:rsid w:val="00F20B8F"/>
    <w:rsid w:val="00F27E3C"/>
    <w:rsid w:val="00F512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165EC"/>
  <w15:chartTrackingRefBased/>
  <w15:docId w15:val="{8AF14D50-E1B1-4E91-A483-0308AFC5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0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0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0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0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E92"/>
    <w:rPr>
      <w:rFonts w:eastAsiaTheme="majorEastAsia" w:cstheme="majorBidi"/>
      <w:color w:val="272727" w:themeColor="text1" w:themeTint="D8"/>
    </w:rPr>
  </w:style>
  <w:style w:type="paragraph" w:styleId="Title">
    <w:name w:val="Title"/>
    <w:basedOn w:val="Normal"/>
    <w:next w:val="Normal"/>
    <w:link w:val="TitleChar"/>
    <w:uiPriority w:val="10"/>
    <w:qFormat/>
    <w:rsid w:val="00BE0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E92"/>
    <w:pPr>
      <w:spacing w:before="160"/>
      <w:jc w:val="center"/>
    </w:pPr>
    <w:rPr>
      <w:i/>
      <w:iCs/>
      <w:color w:val="404040" w:themeColor="text1" w:themeTint="BF"/>
    </w:rPr>
  </w:style>
  <w:style w:type="character" w:customStyle="1" w:styleId="QuoteChar">
    <w:name w:val="Quote Char"/>
    <w:basedOn w:val="DefaultParagraphFont"/>
    <w:link w:val="Quote"/>
    <w:uiPriority w:val="29"/>
    <w:rsid w:val="00BE0E92"/>
    <w:rPr>
      <w:i/>
      <w:iCs/>
      <w:color w:val="404040" w:themeColor="text1" w:themeTint="BF"/>
    </w:rPr>
  </w:style>
  <w:style w:type="paragraph" w:styleId="ListParagraph">
    <w:name w:val="List Paragraph"/>
    <w:basedOn w:val="Normal"/>
    <w:uiPriority w:val="34"/>
    <w:qFormat/>
    <w:rsid w:val="00BE0E92"/>
    <w:pPr>
      <w:ind w:left="720"/>
      <w:contextualSpacing/>
    </w:pPr>
  </w:style>
  <w:style w:type="character" w:styleId="IntenseEmphasis">
    <w:name w:val="Intense Emphasis"/>
    <w:basedOn w:val="DefaultParagraphFont"/>
    <w:uiPriority w:val="21"/>
    <w:qFormat/>
    <w:rsid w:val="00BE0E92"/>
    <w:rPr>
      <w:i/>
      <w:iCs/>
      <w:color w:val="2F5496" w:themeColor="accent1" w:themeShade="BF"/>
    </w:rPr>
  </w:style>
  <w:style w:type="paragraph" w:styleId="IntenseQuote">
    <w:name w:val="Intense Quote"/>
    <w:basedOn w:val="Normal"/>
    <w:next w:val="Normal"/>
    <w:link w:val="IntenseQuoteChar"/>
    <w:uiPriority w:val="30"/>
    <w:qFormat/>
    <w:rsid w:val="00BE0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E92"/>
    <w:rPr>
      <w:i/>
      <w:iCs/>
      <w:color w:val="2F5496" w:themeColor="accent1" w:themeShade="BF"/>
    </w:rPr>
  </w:style>
  <w:style w:type="character" w:styleId="IntenseReference">
    <w:name w:val="Intense Reference"/>
    <w:basedOn w:val="DefaultParagraphFont"/>
    <w:uiPriority w:val="32"/>
    <w:qFormat/>
    <w:rsid w:val="00BE0E92"/>
    <w:rPr>
      <w:b/>
      <w:bCs/>
      <w:smallCaps/>
      <w:color w:val="2F5496" w:themeColor="accent1" w:themeShade="BF"/>
      <w:spacing w:val="5"/>
    </w:rPr>
  </w:style>
  <w:style w:type="paragraph" w:styleId="NormalWeb">
    <w:name w:val="Normal (Web)"/>
    <w:basedOn w:val="Normal"/>
    <w:uiPriority w:val="99"/>
    <w:semiHidden/>
    <w:unhideWhenUsed/>
    <w:rsid w:val="004D47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47D6"/>
    <w:rPr>
      <w:b/>
      <w:bCs/>
    </w:rPr>
  </w:style>
  <w:style w:type="character" w:styleId="Emphasis">
    <w:name w:val="Emphasis"/>
    <w:basedOn w:val="DefaultParagraphFont"/>
    <w:uiPriority w:val="20"/>
    <w:qFormat/>
    <w:rsid w:val="004D47D6"/>
    <w:rPr>
      <w:i/>
      <w:iCs/>
    </w:rPr>
  </w:style>
  <w:style w:type="character" w:styleId="Hyperlink">
    <w:name w:val="Hyperlink"/>
    <w:basedOn w:val="DefaultParagraphFont"/>
    <w:uiPriority w:val="99"/>
    <w:unhideWhenUsed/>
    <w:rsid w:val="004D47D6"/>
    <w:rPr>
      <w:color w:val="0000FF"/>
      <w:u w:val="single"/>
    </w:rPr>
  </w:style>
  <w:style w:type="character" w:styleId="UnresolvedMention">
    <w:name w:val="Unresolved Mention"/>
    <w:basedOn w:val="DefaultParagraphFont"/>
    <w:uiPriority w:val="99"/>
    <w:semiHidden/>
    <w:unhideWhenUsed/>
    <w:rsid w:val="00F5123A"/>
    <w:rPr>
      <w:color w:val="605E5C"/>
      <w:shd w:val="clear" w:color="auto" w:fill="E1DFDD"/>
    </w:rPr>
  </w:style>
  <w:style w:type="table" w:styleId="TableGrid">
    <w:name w:val="Table Grid"/>
    <w:basedOn w:val="TableNormal"/>
    <w:uiPriority w:val="39"/>
    <w:rsid w:val="00F5123A"/>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EEA"/>
    <w:pPr>
      <w:autoSpaceDE w:val="0"/>
      <w:autoSpaceDN w:val="0"/>
      <w:adjustRightInd w:val="0"/>
      <w:spacing w:after="0" w:line="240" w:lineRule="auto"/>
    </w:pPr>
    <w:rPr>
      <w:rFonts w:ascii="Bookman Old Style" w:hAnsi="Bookman Old Style" w:cs="Bookman Old Style"/>
      <w:color w:val="000000"/>
      <w:kern w:val="0"/>
      <w:lang w:val="en-US"/>
      <w14:ligatures w14:val="none"/>
    </w:rPr>
  </w:style>
  <w:style w:type="paragraph" w:styleId="Header">
    <w:name w:val="header"/>
    <w:basedOn w:val="Normal"/>
    <w:link w:val="HeaderChar"/>
    <w:uiPriority w:val="99"/>
    <w:unhideWhenUsed/>
    <w:rsid w:val="00AF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C26"/>
  </w:style>
  <w:style w:type="paragraph" w:styleId="Footer">
    <w:name w:val="footer"/>
    <w:basedOn w:val="Normal"/>
    <w:link w:val="FooterChar"/>
    <w:uiPriority w:val="99"/>
    <w:unhideWhenUsed/>
    <w:rsid w:val="00AF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hyperlink" Target="https://doi.org/10.1146/annurev.arplant.57.032905.10523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21/acs.jafc.7b02150" TargetMode="External"/><Relationship Id="rId12" Type="http://schemas.openxmlformats.org/officeDocument/2006/relationships/hyperlink" Target="https://doi.org/10.3389/fchem.2017.00078" TargetMode="External"/><Relationship Id="rId17" Type="http://schemas.openxmlformats.org/officeDocument/2006/relationships/hyperlink" Target="https://doi.org/10.1016/j.plantsci.2019.1102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40003-014-0113-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1/acs.jafc.5b052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545/2618060X.2024.v7.i11a.1921" TargetMode="External"/><Relationship Id="rId23" Type="http://schemas.openxmlformats.org/officeDocument/2006/relationships/footer" Target="footer3.xml"/><Relationship Id="rId10" Type="http://schemas.openxmlformats.org/officeDocument/2006/relationships/hyperlink" Target="https://doi.org/10.51470/PLANTARCHIVES.2025.v25.no.1.40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scitotenv.2015.01.104" TargetMode="External"/><Relationship Id="rId14" Type="http://schemas.openxmlformats.org/officeDocument/2006/relationships/hyperlink" Target="https://doi.org/10.1104/pp.111.17523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Sanjeev Kumar</dc:creator>
  <cp:keywords/>
  <dc:description/>
  <cp:lastModifiedBy>SDI 1084</cp:lastModifiedBy>
  <cp:revision>25</cp:revision>
  <dcterms:created xsi:type="dcterms:W3CDTF">2025-12-06T06:54:00Z</dcterms:created>
  <dcterms:modified xsi:type="dcterms:W3CDTF">2025-12-08T08:14:00Z</dcterms:modified>
</cp:coreProperties>
</file>