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AF" w:rsidRPr="00B16BEA" w:rsidRDefault="00272783" w:rsidP="005B02AF">
      <w:pPr>
        <w:pStyle w:val="Heading1"/>
        <w:rPr>
          <w:lang w:val="en-GB"/>
        </w:rPr>
      </w:pPr>
      <w:bookmarkStart w:id="0" w:name="_Toc215940333"/>
      <w:bookmarkStart w:id="1" w:name="_GoBack"/>
      <w:bookmarkEnd w:id="1"/>
      <w:r>
        <w:rPr>
          <w:lang w:val="en-GB"/>
        </w:rPr>
        <w:t xml:space="preserve">Global </w:t>
      </w:r>
      <w:r w:rsidR="005B02AF" w:rsidRPr="00B16BEA">
        <w:rPr>
          <w:lang w:val="en-GB"/>
        </w:rPr>
        <w:t>Review of Market Dynamics and Value Chain of Pineapple</w:t>
      </w:r>
      <w:bookmarkEnd w:id="0"/>
    </w:p>
    <w:p w:rsidR="005B02AF" w:rsidRPr="00B16BEA" w:rsidRDefault="005B02AF" w:rsidP="005B02AF"/>
    <w:p w:rsidR="005B02AF" w:rsidRPr="00B16BEA" w:rsidRDefault="005B02AF" w:rsidP="00B16BEA">
      <w:pPr>
        <w:pStyle w:val="Heading2"/>
        <w:rPr>
          <w:lang w:val="en-GB"/>
        </w:rPr>
      </w:pPr>
      <w:bookmarkStart w:id="2" w:name="_Toc215940334"/>
      <w:r w:rsidRPr="00B16BEA">
        <w:rPr>
          <w:lang w:val="en-GB"/>
        </w:rPr>
        <w:t>Abstract</w:t>
      </w:r>
      <w:bookmarkEnd w:id="2"/>
    </w:p>
    <w:p w:rsidR="005B02AF" w:rsidRPr="00B16BEA" w:rsidRDefault="00FF490B" w:rsidP="005B02AF">
      <w:pPr>
        <w:pStyle w:val="NormalWeb"/>
        <w:rPr>
          <w:lang w:val="en-GB"/>
        </w:rPr>
      </w:pPr>
      <w:r w:rsidRPr="00B16BEA">
        <w:rPr>
          <w:lang w:val="en-GB"/>
        </w:rPr>
        <w:t xml:space="preserve">Pineapple has become one of the most dynamic tropical fruits in global agri-food systems, driven by rapid growth in fresh and processed markets and by rising quality and sustainability demands from retailers. Yet the benefits of this expansion are unevenly distributed across producing countries and among actors within value chains. This review synthesises recent evidence on global pineapple production and trade patterns, the architecture and governance of value chains, market dynamics in key producer countries, and emerging debates on sustainability, inclusiveness and risk. It first outlines how varietal change, </w:t>
      </w:r>
      <w:proofErr w:type="spellStart"/>
      <w:r w:rsidRPr="00B16BEA">
        <w:rPr>
          <w:lang w:val="en-GB"/>
        </w:rPr>
        <w:t>supermarketization</w:t>
      </w:r>
      <w:proofErr w:type="spellEnd"/>
      <w:r w:rsidRPr="00B16BEA">
        <w:rPr>
          <w:lang w:val="en-GB"/>
        </w:rPr>
        <w:t xml:space="preserve"> and logistics innovations have reshaped the geography and structure of pineapple markets, creating highly concentrated export systems alongside fragmented domestic chains. It then examines farm-level profitability, marketing margins and channel choice in major producer regions, highlighting persistent power asymmetries between smallholders and midstream or downstream actors. The review further explores environmental pressures associated with intensive monocultures, growing interest in circular </w:t>
      </w:r>
      <w:proofErr w:type="spellStart"/>
      <w:r w:rsidRPr="00B16BEA">
        <w:rPr>
          <w:lang w:val="en-GB"/>
        </w:rPr>
        <w:t>bioeconomy</w:t>
      </w:r>
      <w:proofErr w:type="spellEnd"/>
      <w:r w:rsidRPr="00B16BEA">
        <w:rPr>
          <w:lang w:val="en-GB"/>
        </w:rPr>
        <w:t xml:space="preserve"> solutions based on waste </w:t>
      </w:r>
      <w:proofErr w:type="spellStart"/>
      <w:r w:rsidRPr="00B16BEA">
        <w:rPr>
          <w:lang w:val="en-GB"/>
        </w:rPr>
        <w:t>valorization</w:t>
      </w:r>
      <w:proofErr w:type="spellEnd"/>
      <w:r w:rsidRPr="00B16BEA">
        <w:rPr>
          <w:lang w:val="en-GB"/>
        </w:rPr>
        <w:t>, and the social implications of dualistic sector structures for farmers, workers and rural communities. Building on global value chain and sustainability–resilience perspectives, the article identifies key upgrading pathways, including process and product improvements, functional upgrading into processing and branding, and inter-chain opportunities linked to biorefinery development. Finally, it distils core policy priorities around infrastructure, finance, standards, producer organisation and innovation systems needed to make pineapple value chains more competitive, inclusive and climate-resilient. The review concludes by outlining major knowledge gaps and future research needs to better inform evidence-based interventions in this strategically important tropical fruit sector.</w:t>
      </w:r>
      <w:r w:rsidRPr="00B16BEA">
        <w:rPr>
          <w:lang w:val="en-GB"/>
        </w:rPr>
        <w:br/>
      </w:r>
      <w:r w:rsidRPr="00B16BEA">
        <w:rPr>
          <w:lang w:val="en-GB"/>
        </w:rPr>
        <w:br/>
      </w:r>
      <w:r w:rsidR="005B02AF" w:rsidRPr="00B16BEA">
        <w:rPr>
          <w:rStyle w:val="Strong"/>
          <w:lang w:val="en-GB"/>
        </w:rPr>
        <w:t>Keywords:</w:t>
      </w:r>
      <w:r w:rsidR="005B02AF" w:rsidRPr="00B16BEA">
        <w:rPr>
          <w:lang w:val="en-GB"/>
        </w:rPr>
        <w:t xml:space="preserve"> pineapple, value chain, market dynamics, supply chain governance, smallholders, sustainability, agroforestry, global trade</w:t>
      </w:r>
    </w:p>
    <w:p w:rsidR="005B02AF" w:rsidRPr="00B16BEA" w:rsidRDefault="005B02AF" w:rsidP="005B02AF"/>
    <w:p w:rsidR="00BA767B" w:rsidRDefault="00BA767B">
      <w:pPr>
        <w:rPr>
          <w:rFonts w:ascii="Times New Roman" w:eastAsia="Times New Roman" w:hAnsi="Times New Roman" w:cs="Times New Roman"/>
          <w:b/>
          <w:bCs/>
          <w:sz w:val="36"/>
          <w:szCs w:val="36"/>
        </w:rPr>
      </w:pPr>
      <w:r>
        <w:br w:type="page"/>
      </w:r>
    </w:p>
    <w:p w:rsidR="004B540C" w:rsidRPr="00B16BEA" w:rsidRDefault="004B540C" w:rsidP="00B16BEA">
      <w:pPr>
        <w:pStyle w:val="Heading2"/>
        <w:rPr>
          <w:lang w:val="en-GB"/>
        </w:rPr>
      </w:pPr>
      <w:bookmarkStart w:id="3" w:name="_Toc215940335"/>
      <w:r w:rsidRPr="00B16BEA">
        <w:rPr>
          <w:lang w:val="en-GB"/>
        </w:rPr>
        <w:lastRenderedPageBreak/>
        <w:t>1. Introduction</w:t>
      </w:r>
      <w:bookmarkEnd w:id="3"/>
    </w:p>
    <w:p w:rsidR="004B540C" w:rsidRPr="00B16BEA" w:rsidRDefault="004B540C" w:rsidP="00B16BEA">
      <w:pPr>
        <w:pStyle w:val="Heading3"/>
        <w:rPr>
          <w:lang w:val="en-GB"/>
        </w:rPr>
      </w:pPr>
      <w:bookmarkStart w:id="4" w:name="_Toc215940336"/>
      <w:r w:rsidRPr="00B16BEA">
        <w:rPr>
          <w:lang w:val="en-GB"/>
        </w:rPr>
        <w:t>1.1 Background and rationale</w:t>
      </w:r>
      <w:bookmarkEnd w:id="4"/>
    </w:p>
    <w:p w:rsidR="004B540C" w:rsidRPr="00B16BEA" w:rsidRDefault="004B540C" w:rsidP="004B540C">
      <w:pPr>
        <w:pStyle w:val="NormalWeb"/>
        <w:rPr>
          <w:lang w:val="en-GB"/>
        </w:rPr>
      </w:pPr>
      <w:r w:rsidRPr="00B16BEA">
        <w:rPr>
          <w:lang w:val="en-GB"/>
        </w:rPr>
        <w:t>Pineapple (</w:t>
      </w:r>
      <w:proofErr w:type="spellStart"/>
      <w:r w:rsidRPr="00B16BEA">
        <w:rPr>
          <w:rStyle w:val="Emphasis"/>
          <w:lang w:val="en-GB"/>
        </w:rPr>
        <w:t>Ananas</w:t>
      </w:r>
      <w:proofErr w:type="spellEnd"/>
      <w:r w:rsidRPr="00B16BEA">
        <w:rPr>
          <w:rStyle w:val="Emphasis"/>
          <w:lang w:val="en-GB"/>
        </w:rPr>
        <w:t xml:space="preserve"> </w:t>
      </w:r>
      <w:proofErr w:type="spellStart"/>
      <w:r w:rsidRPr="00B16BEA">
        <w:rPr>
          <w:rStyle w:val="Emphasis"/>
          <w:lang w:val="en-GB"/>
        </w:rPr>
        <w:t>comosus</w:t>
      </w:r>
      <w:proofErr w:type="spellEnd"/>
      <w:r w:rsidRPr="00B16BEA">
        <w:rPr>
          <w:lang w:val="en-GB"/>
        </w:rPr>
        <w:t>) is one of the most important tropical fruits in global agri-food systems, valued for fresh consumption as well as for juices, canned products and a wide range of processed foods and nutraceuticals. It provides dietary fibre, minerals and bioactive compounds that contribute to human nutrition and health and underpin steadily rising demand in both high-income and emerging markets (Ali et al., 2020). As a result, global production has expanded over recent decades, with major hubs emerging in Latin America, West Africa and Southeast Asia (Hossain, 2016). This expansion has been accompanied by intensifying competition, product differentiation and increasingly demanding procurement practices from downstream buyers, who now expect year-round supply, uniform quality and compliance with private standards.</w:t>
      </w:r>
    </w:p>
    <w:p w:rsidR="004B540C" w:rsidRPr="00B16BEA" w:rsidRDefault="004B540C" w:rsidP="004B540C">
      <w:pPr>
        <w:pStyle w:val="NormalWeb"/>
        <w:rPr>
          <w:lang w:val="en-GB"/>
        </w:rPr>
      </w:pPr>
      <w:r w:rsidRPr="00B16BEA">
        <w:rPr>
          <w:lang w:val="en-GB"/>
        </w:rPr>
        <w:t xml:space="preserve">The structure of pineapple value chains has changed markedly over time. Early international trade was dominated by canned products, but trade liberalisation, advances in refrigerated logistics and the introduction of the MD-2 hybrid stimulated rapid growth in fresh pineapple exports, particularly from Costa Rica and other Latin American suppliers (Torres-Avila et al., 2022; </w:t>
      </w:r>
      <w:proofErr w:type="spellStart"/>
      <w:r w:rsidRPr="00B16BEA">
        <w:rPr>
          <w:lang w:val="en-GB"/>
        </w:rPr>
        <w:t>Vagneron</w:t>
      </w:r>
      <w:proofErr w:type="spellEnd"/>
      <w:r w:rsidRPr="00B16BEA">
        <w:rPr>
          <w:lang w:val="en-GB"/>
        </w:rPr>
        <w:t xml:space="preserve"> et al., 2009). These changes reconfigured the geography of production and consolidated power among large exporters, retailers and international traders that coordinate quality, logistics and standards across borders. For producer countries, this has created opportunities for foreign exchange earnings and rural employment, but it has also increased exposure to price volatility, buyer concentration and stringent compliance requirements.</w:t>
      </w:r>
    </w:p>
    <w:p w:rsidR="004B540C" w:rsidRPr="00B16BEA" w:rsidRDefault="004B540C" w:rsidP="004B540C">
      <w:pPr>
        <w:pStyle w:val="NormalWeb"/>
        <w:rPr>
          <w:lang w:val="en-GB"/>
        </w:rPr>
      </w:pPr>
      <w:r w:rsidRPr="00B16BEA">
        <w:rPr>
          <w:lang w:val="en-GB"/>
        </w:rPr>
        <w:t>From a value-chain perspective, pineapple markets illustrate the coexistence of highly coordinated export chains and more traditional, fragmented channels serving domestic and regional markets. Evidence from Benin shows that heterogeneous fruit quality, limited training and weak post-harvest handling constrain access to higher-value outlets, even where agroecological potential is favourable (</w:t>
      </w:r>
      <w:proofErr w:type="spellStart"/>
      <w:r w:rsidRPr="00B16BEA">
        <w:rPr>
          <w:lang w:val="en-GB"/>
        </w:rPr>
        <w:t>Fassinou</w:t>
      </w:r>
      <w:proofErr w:type="spellEnd"/>
      <w:r w:rsidRPr="00B16BEA">
        <w:rPr>
          <w:lang w:val="en-GB"/>
        </w:rPr>
        <w:t xml:space="preserve"> </w:t>
      </w:r>
      <w:proofErr w:type="spellStart"/>
      <w:r w:rsidRPr="00B16BEA">
        <w:rPr>
          <w:lang w:val="en-GB"/>
        </w:rPr>
        <w:t>Hotegni</w:t>
      </w:r>
      <w:proofErr w:type="spellEnd"/>
      <w:r w:rsidRPr="00B16BEA">
        <w:rPr>
          <w:lang w:val="en-GB"/>
        </w:rPr>
        <w:t xml:space="preserve"> et al., 2014). In Bangladesh, financial profitability analysis indicates that pineapple cultivation can be a lucrative enterprise, but value addition is unevenly distributed, with wholesalers and other intermediaries often capturing a disproportionate share of margins relative to smallholder producers (Uddin et al., 2022). These patterns raise questions about equity, bargaining power and the inclusiveness of growth within pineapple value chains.</w:t>
      </w:r>
    </w:p>
    <w:p w:rsidR="004B540C" w:rsidRPr="00B16BEA" w:rsidRDefault="004B540C" w:rsidP="004B540C">
      <w:pPr>
        <w:pStyle w:val="NormalWeb"/>
        <w:rPr>
          <w:lang w:val="en-GB"/>
        </w:rPr>
      </w:pPr>
      <w:r w:rsidRPr="00B16BEA">
        <w:rPr>
          <w:lang w:val="en-GB"/>
        </w:rPr>
        <w:t>Recent work has begun to frame pineapple value chains more explicitly through sustainability and governance lenses. In Ghana, a multidimensional assessment of the pineapple sector documents how actors along the chain face intertwined pressures from fluctuating market prices, environmental degradation and socio-economic inequalities, highlighting the need to balance economic, social and ecological performance (Boakye et al., 2025). In Bangladesh, pineapple-based agroforestry systems give rise to complex governance choices in which farmers and intermediaries weigh different contractual arrangements and market outlets according to risk perceptions, transaction costs and information access (</w:t>
      </w:r>
      <w:proofErr w:type="spellStart"/>
      <w:r w:rsidRPr="00B16BEA">
        <w:rPr>
          <w:lang w:val="en-GB"/>
        </w:rPr>
        <w:t>Mankhin</w:t>
      </w:r>
      <w:proofErr w:type="spellEnd"/>
      <w:r w:rsidRPr="00B16BEA">
        <w:rPr>
          <w:lang w:val="en-GB"/>
        </w:rPr>
        <w:t xml:space="preserve"> et al., 2024). Complementary research on market dynamics in </w:t>
      </w:r>
      <w:proofErr w:type="spellStart"/>
      <w:r w:rsidRPr="00B16BEA">
        <w:rPr>
          <w:lang w:val="en-GB"/>
        </w:rPr>
        <w:t>Modhupur</w:t>
      </w:r>
      <w:proofErr w:type="spellEnd"/>
      <w:r w:rsidRPr="00B16BEA">
        <w:rPr>
          <w:lang w:val="en-GB"/>
        </w:rPr>
        <w:t xml:space="preserve"> details how local traders, </w:t>
      </w:r>
      <w:proofErr w:type="spellStart"/>
      <w:r w:rsidRPr="00B16BEA">
        <w:rPr>
          <w:rStyle w:val="Emphasis"/>
          <w:lang w:val="en-GB"/>
        </w:rPr>
        <w:t>faria</w:t>
      </w:r>
      <w:proofErr w:type="spellEnd"/>
      <w:r w:rsidRPr="00B16BEA">
        <w:rPr>
          <w:lang w:val="en-GB"/>
        </w:rPr>
        <w:t xml:space="preserve">, </w:t>
      </w:r>
      <w:proofErr w:type="spellStart"/>
      <w:r w:rsidRPr="00B16BEA">
        <w:rPr>
          <w:rStyle w:val="Emphasis"/>
          <w:lang w:val="en-GB"/>
        </w:rPr>
        <w:t>aratdar</w:t>
      </w:r>
      <w:proofErr w:type="spellEnd"/>
      <w:r w:rsidRPr="00B16BEA">
        <w:rPr>
          <w:lang w:val="en-GB"/>
        </w:rPr>
        <w:t xml:space="preserve">, </w:t>
      </w:r>
      <w:proofErr w:type="spellStart"/>
      <w:r w:rsidRPr="00B16BEA">
        <w:rPr>
          <w:rStyle w:val="Emphasis"/>
          <w:lang w:val="en-GB"/>
        </w:rPr>
        <w:t>bepari</w:t>
      </w:r>
      <w:proofErr w:type="spellEnd"/>
      <w:r w:rsidRPr="00B16BEA">
        <w:rPr>
          <w:lang w:val="en-GB"/>
        </w:rPr>
        <w:t xml:space="preserve"> and retailers interact in multi-layered domestic chains characterised by limited storage, imperfect information and weak coordination (Hasan et al., 2025). Collectively, these case studies reveal a rich but fragmented body of evidence on how pineapple markets and value chains function in producer countries.</w:t>
      </w:r>
    </w:p>
    <w:p w:rsidR="004B540C" w:rsidRPr="00B16BEA" w:rsidRDefault="004B540C" w:rsidP="004B540C">
      <w:pPr>
        <w:pStyle w:val="NormalWeb"/>
        <w:rPr>
          <w:lang w:val="en-GB"/>
        </w:rPr>
      </w:pPr>
      <w:r w:rsidRPr="00B16BEA">
        <w:rPr>
          <w:lang w:val="en-GB"/>
        </w:rPr>
        <w:lastRenderedPageBreak/>
        <w:t>Despite this growing literature, no integrative review has yet connected market dynamics, chain governance, quality management and value distribution across the diverse contexts in which pineapple is produced and traded. Studies are often country-specific, apply different conceptual frameworks and use non-comparable indicators, which makes it difficult to draw generalisable lessons or identify robust leverage points for inclusive upgrading. This article responds to that gap by synthesising recent research on pineapple market dynamics and value chains and positioning local case studies within broader debates on agri-food globalisation, smallholder inclusion and sustainable value-chain development.</w:t>
      </w:r>
    </w:p>
    <w:p w:rsidR="004B540C" w:rsidRPr="00B16BEA" w:rsidRDefault="004B540C" w:rsidP="00B16BEA">
      <w:pPr>
        <w:pStyle w:val="Heading3"/>
        <w:rPr>
          <w:lang w:val="en-GB"/>
        </w:rPr>
      </w:pPr>
      <w:bookmarkStart w:id="5" w:name="_Toc215940337"/>
      <w:r w:rsidRPr="00B16BEA">
        <w:rPr>
          <w:lang w:val="en-GB"/>
        </w:rPr>
        <w:t>1.2 Scope and objectives</w:t>
      </w:r>
      <w:bookmarkEnd w:id="5"/>
    </w:p>
    <w:p w:rsidR="004B540C" w:rsidRPr="00B16BEA" w:rsidRDefault="004B540C" w:rsidP="004B540C">
      <w:pPr>
        <w:pStyle w:val="NormalWeb"/>
        <w:rPr>
          <w:lang w:val="en-GB"/>
        </w:rPr>
      </w:pPr>
      <w:r w:rsidRPr="00B16BEA">
        <w:rPr>
          <w:lang w:val="en-GB"/>
        </w:rPr>
        <w:t xml:space="preserve">This review focuses primarily on fresh pineapple value chains, while recognising that processing and by-product utilisation increasingly shape incentives and coordination. Geographically, it covers major export-oriented systems in Latin America and West Africa, as well as domestic and regional chains in South and Southeast Asia and selected African countries. The analysis concentrates on peer-reviewed empirical and analytical studies published since 2000, with particular emphasis on work from the last decade, when sustainability, governance and smallholder inclusion have become prominent themes (Boakye et al., 2025; Hasan et al., 2025; </w:t>
      </w:r>
      <w:proofErr w:type="spellStart"/>
      <w:r w:rsidRPr="00B16BEA">
        <w:rPr>
          <w:lang w:val="en-GB"/>
        </w:rPr>
        <w:t>Mankhin</w:t>
      </w:r>
      <w:proofErr w:type="spellEnd"/>
      <w:r w:rsidRPr="00B16BEA">
        <w:rPr>
          <w:lang w:val="en-GB"/>
        </w:rPr>
        <w:t xml:space="preserve"> et al., 2024; Torres-Avila et al., 2022; Uddin et al., 2022).</w:t>
      </w:r>
    </w:p>
    <w:p w:rsidR="004B540C" w:rsidRPr="00B16BEA" w:rsidRDefault="004B540C" w:rsidP="004B540C">
      <w:pPr>
        <w:pStyle w:val="NormalWeb"/>
        <w:rPr>
          <w:lang w:val="en-GB"/>
        </w:rPr>
      </w:pPr>
      <w:r w:rsidRPr="00B16BEA">
        <w:rPr>
          <w:lang w:val="en-GB"/>
        </w:rPr>
        <w:t>The specific objectives are fourfold. First</w:t>
      </w:r>
      <w:r w:rsidR="00B16BEA" w:rsidRPr="00B16BEA">
        <w:rPr>
          <w:lang w:val="en-GB"/>
        </w:rPr>
        <w:t xml:space="preserve"> objective is </w:t>
      </w:r>
      <w:r w:rsidRPr="00B16BEA">
        <w:rPr>
          <w:lang w:val="en-GB"/>
        </w:rPr>
        <w:t>to characterise how demand trends, standards and varietal change have reconfigured global and regional pineapple markets. Second</w:t>
      </w:r>
      <w:r w:rsidR="006E48ED">
        <w:rPr>
          <w:lang w:val="en-GB"/>
        </w:rPr>
        <w:t xml:space="preserve"> objective is </w:t>
      </w:r>
      <w:r w:rsidRPr="00B16BEA">
        <w:rPr>
          <w:lang w:val="en-GB"/>
        </w:rPr>
        <w:t>to synthesise evidence on governance structures, coordination mechanisms and quality management along the chain. Third</w:t>
      </w:r>
      <w:r w:rsidR="006E48ED">
        <w:rPr>
          <w:lang w:val="en-GB"/>
        </w:rPr>
        <w:t xml:space="preserve"> objective is </w:t>
      </w:r>
      <w:r w:rsidRPr="00B16BEA">
        <w:rPr>
          <w:lang w:val="en-GB"/>
        </w:rPr>
        <w:t>to analyse how costs, risks and value are distributed among chain actors. Fourth</w:t>
      </w:r>
      <w:r w:rsidR="006E48ED">
        <w:rPr>
          <w:lang w:val="en-GB"/>
        </w:rPr>
        <w:t xml:space="preserve"> objective is </w:t>
      </w:r>
      <w:r w:rsidRPr="00B16BEA">
        <w:rPr>
          <w:lang w:val="en-GB"/>
        </w:rPr>
        <w:t>to identify key knowledge gaps and policy levers for more inclusive and sustainable pineapple value-chain development in producer countries.</w:t>
      </w:r>
    </w:p>
    <w:p w:rsidR="004B540C" w:rsidRPr="00B16BEA" w:rsidRDefault="004B540C" w:rsidP="00B16BEA">
      <w:pPr>
        <w:pStyle w:val="Heading3"/>
        <w:rPr>
          <w:lang w:val="en-GB"/>
        </w:rPr>
      </w:pPr>
      <w:bookmarkStart w:id="6" w:name="_Toc215940338"/>
      <w:r w:rsidRPr="00B16BEA">
        <w:rPr>
          <w:lang w:val="en-GB"/>
        </w:rPr>
        <w:t>1.3 Methods for literature selection</w:t>
      </w:r>
      <w:bookmarkEnd w:id="6"/>
    </w:p>
    <w:p w:rsidR="004B540C" w:rsidRPr="00B16BEA" w:rsidRDefault="004B540C" w:rsidP="004B540C">
      <w:pPr>
        <w:pStyle w:val="NormalWeb"/>
        <w:rPr>
          <w:lang w:val="en-GB"/>
        </w:rPr>
      </w:pPr>
      <w:r w:rsidRPr="00B16BEA">
        <w:rPr>
          <w:lang w:val="en-GB"/>
        </w:rPr>
        <w:t>The review is based on a structured yet flexible literature search designed to capture high-quality empirical and conceptual work on pineapple market dynamics and value chains. Searches were conducte</w:t>
      </w:r>
      <w:r w:rsidR="002A5644" w:rsidRPr="00B16BEA">
        <w:rPr>
          <w:lang w:val="en-GB"/>
        </w:rPr>
        <w:t>d in Scopus, Web of Science</w:t>
      </w:r>
      <w:r w:rsidRPr="00B16BEA">
        <w:rPr>
          <w:lang w:val="en-GB"/>
        </w:rPr>
        <w:t>, complemented by Google Scholar for forward and backward citation tracking. Core search strings combined crop and value-chain terms, linking “pineapple” or “</w:t>
      </w:r>
      <w:proofErr w:type="spellStart"/>
      <w:r w:rsidRPr="00B16BEA">
        <w:rPr>
          <w:rStyle w:val="Emphasis"/>
          <w:lang w:val="en-GB"/>
        </w:rPr>
        <w:t>Ananas</w:t>
      </w:r>
      <w:proofErr w:type="spellEnd"/>
      <w:r w:rsidRPr="00B16BEA">
        <w:rPr>
          <w:rStyle w:val="Emphasis"/>
          <w:lang w:val="en-GB"/>
        </w:rPr>
        <w:t xml:space="preserve"> </w:t>
      </w:r>
      <w:proofErr w:type="spellStart"/>
      <w:r w:rsidRPr="00B16BEA">
        <w:rPr>
          <w:rStyle w:val="Emphasis"/>
          <w:lang w:val="en-GB"/>
        </w:rPr>
        <w:t>comosus</w:t>
      </w:r>
      <w:proofErr w:type="spellEnd"/>
      <w:r w:rsidRPr="00B16BEA">
        <w:rPr>
          <w:lang w:val="en-GB"/>
        </w:rPr>
        <w:t xml:space="preserve">” with keywords such as “value chain,” “supply chain,” “market dynamics,” “governance,” “agroforestry,” “sustainability” and “smallholder.” The primary time window was 2000–2025, although earlier foundational contributions were retained where they remain central to contemporary debates (Hossain, 2016; </w:t>
      </w:r>
      <w:proofErr w:type="spellStart"/>
      <w:r w:rsidRPr="00B16BEA">
        <w:rPr>
          <w:lang w:val="en-GB"/>
        </w:rPr>
        <w:t>Vagneron</w:t>
      </w:r>
      <w:proofErr w:type="spellEnd"/>
      <w:r w:rsidRPr="00B16BEA">
        <w:rPr>
          <w:lang w:val="en-GB"/>
        </w:rPr>
        <w:t xml:space="preserve"> et al., 2009).</w:t>
      </w:r>
    </w:p>
    <w:p w:rsidR="004B540C" w:rsidRPr="00B16BEA" w:rsidRDefault="004B540C" w:rsidP="004B540C">
      <w:pPr>
        <w:pStyle w:val="NormalWeb"/>
        <w:rPr>
          <w:lang w:val="en-GB"/>
        </w:rPr>
      </w:pPr>
      <w:r w:rsidRPr="00B16BEA">
        <w:rPr>
          <w:lang w:val="en-GB"/>
        </w:rPr>
        <w:t xml:space="preserve">Inclusion criteria were: peer-reviewed journal articles; an explicit focus on pineapple production, marketing, value-chain analysis or governance; and either empirical grounding (quantitative or qualitative) or robust conceptual analysis. Studies primarily devoted to agronomy, post-harvest physiology or processing technology were included only when they situated findings within broader value-chain or market contexts (Ali et al., 2020; </w:t>
      </w:r>
      <w:proofErr w:type="spellStart"/>
      <w:r w:rsidRPr="00B16BEA">
        <w:rPr>
          <w:lang w:val="en-GB"/>
        </w:rPr>
        <w:t>Fassinou</w:t>
      </w:r>
      <w:proofErr w:type="spellEnd"/>
      <w:r w:rsidRPr="00B16BEA">
        <w:rPr>
          <w:lang w:val="en-GB"/>
        </w:rPr>
        <w:t xml:space="preserve"> </w:t>
      </w:r>
      <w:proofErr w:type="spellStart"/>
      <w:r w:rsidRPr="00B16BEA">
        <w:rPr>
          <w:lang w:val="en-GB"/>
        </w:rPr>
        <w:t>Hotegni</w:t>
      </w:r>
      <w:proofErr w:type="spellEnd"/>
      <w:r w:rsidRPr="00B16BEA">
        <w:rPr>
          <w:lang w:val="en-GB"/>
        </w:rPr>
        <w:t xml:space="preserve"> et al., 2014). Conference papers, theses, project reports and other non-refereed sources were excluded from the core synthesis, although they occasionally informed contextual understanding.</w:t>
      </w:r>
    </w:p>
    <w:p w:rsidR="004B540C" w:rsidRPr="00B16BEA" w:rsidRDefault="004B540C" w:rsidP="004B540C">
      <w:pPr>
        <w:pStyle w:val="NormalWeb"/>
        <w:rPr>
          <w:lang w:val="en-GB"/>
        </w:rPr>
      </w:pPr>
      <w:r w:rsidRPr="00B16BEA">
        <w:rPr>
          <w:lang w:val="en-GB"/>
        </w:rPr>
        <w:lastRenderedPageBreak/>
        <w:t>For each selected article, bibliographic details and digital object identifiers were cross-checked against journal websites, publisher databases and major indexing services to minimise citation</w:t>
      </w:r>
      <w:r w:rsidR="002A5644" w:rsidRPr="00B16BEA">
        <w:rPr>
          <w:lang w:val="en-GB"/>
        </w:rPr>
        <w:t xml:space="preserve"> errors</w:t>
      </w:r>
      <w:r w:rsidRPr="00B16BEA">
        <w:rPr>
          <w:lang w:val="en-GB"/>
        </w:rPr>
        <w:t>. The final corpus comprises a diverse set of country and regional case studies, comparative analyses and conceptual contributions that collectively illuminate the evolving market dynamics and value-chain configurations in the global pineapple sector.</w:t>
      </w:r>
    </w:p>
    <w:p w:rsidR="005B02AF" w:rsidRPr="00B16BEA" w:rsidRDefault="005B02AF" w:rsidP="005B02AF"/>
    <w:p w:rsidR="002A5644" w:rsidRPr="00B16BEA" w:rsidRDefault="002A5644" w:rsidP="00B16BEA">
      <w:pPr>
        <w:pStyle w:val="Heading2"/>
        <w:rPr>
          <w:lang w:val="en-GB"/>
        </w:rPr>
      </w:pPr>
      <w:bookmarkStart w:id="7" w:name="_Toc215940339"/>
      <w:r w:rsidRPr="00B16BEA">
        <w:rPr>
          <w:lang w:val="en-GB"/>
        </w:rPr>
        <w:t>2. Global Pineapple Production, Trade and Market Structure</w:t>
      </w:r>
      <w:bookmarkEnd w:id="7"/>
    </w:p>
    <w:p w:rsidR="002A5644" w:rsidRPr="00B16BEA" w:rsidRDefault="002A5644" w:rsidP="00B16BEA">
      <w:pPr>
        <w:pStyle w:val="Heading3"/>
        <w:rPr>
          <w:lang w:val="en-GB"/>
        </w:rPr>
      </w:pPr>
      <w:bookmarkStart w:id="8" w:name="_Toc215940340"/>
      <w:r w:rsidRPr="00B16BEA">
        <w:rPr>
          <w:lang w:val="en-GB"/>
        </w:rPr>
        <w:t>2.1 Evolution and geography of global production</w:t>
      </w:r>
      <w:bookmarkEnd w:id="8"/>
    </w:p>
    <w:p w:rsidR="002A5644" w:rsidRPr="00B16BEA" w:rsidRDefault="002A5644" w:rsidP="002A5644">
      <w:pPr>
        <w:pStyle w:val="NormalWeb"/>
        <w:rPr>
          <w:lang w:val="en-GB"/>
        </w:rPr>
      </w:pPr>
      <w:r w:rsidRPr="00B16BEA">
        <w:rPr>
          <w:lang w:val="en-GB"/>
        </w:rPr>
        <w:t>Over the past six decades, pineapple production has shifted from a relatively minor tropical crop to one of the most dynamic components of the global fruit economy. World output more than quadrupled between the early 1960s and the mid-2010s, with particularly rapid growth from the 1990s onwards as international demand for fresh tropical fruit intensified (Hossain, 2016). Today, pineapple is cultivated across a broad belt of tropical and subtropical countries, yet production and export capacity are highly concentrated. Large volumes originate from Latin America and the Caribbean—particularly Costa Rica—as well as from Southeast Asia, including the Philippines, Thailand and Indonesia, alongside substantial domestic-oriented production in India, Brazil and several African countries (Ali et al., 2020; Hossain, 2016).</w:t>
      </w:r>
    </w:p>
    <w:p w:rsidR="002A5644" w:rsidRPr="00B16BEA" w:rsidRDefault="002A5644" w:rsidP="002A5644">
      <w:pPr>
        <w:pStyle w:val="NormalWeb"/>
        <w:rPr>
          <w:lang w:val="en-GB"/>
        </w:rPr>
      </w:pPr>
      <w:r w:rsidRPr="00B16BEA">
        <w:rPr>
          <w:lang w:val="en-GB"/>
        </w:rPr>
        <w:t>This expansion reflects both area growth and intensification. In export hubs such as Costa Rica, the rapid diffusion of high-yielding hybrids and plantation-based systems has driven significant increases in productivity and total output (</w:t>
      </w:r>
      <w:proofErr w:type="spellStart"/>
      <w:r w:rsidRPr="00B16BEA">
        <w:rPr>
          <w:lang w:val="en-GB"/>
        </w:rPr>
        <w:t>Ingwersen</w:t>
      </w:r>
      <w:proofErr w:type="spellEnd"/>
      <w:r w:rsidRPr="00B16BEA">
        <w:rPr>
          <w:lang w:val="en-GB"/>
        </w:rPr>
        <w:t xml:space="preserve">, 2012; </w:t>
      </w:r>
      <w:proofErr w:type="spellStart"/>
      <w:r w:rsidRPr="00B16BEA">
        <w:rPr>
          <w:lang w:val="en-GB"/>
        </w:rPr>
        <w:t>Vagneron</w:t>
      </w:r>
      <w:proofErr w:type="spellEnd"/>
      <w:r w:rsidRPr="00B16BEA">
        <w:rPr>
          <w:lang w:val="en-GB"/>
        </w:rPr>
        <w:t xml:space="preserve"> et al., 2009). Parallel trends can be observed in West Africa and Mexico, where investment in improved planting material, irrigation and year-round production technologies has been closely linked to the requirements of international buyers (Boakye et al., 2025; Torres-Avila et al., 2022). At the same time, smallholder-based systems supplying domestic and regional markets remain widespread, often relying on traditional varieties, rainfed conditions and relatively low input use (Ali et al., 2020; Hossain, 2016). The coexistence of these contrasting production structures underpins many of the inequalities and coordination challenges observed along the value chain.</w:t>
      </w:r>
    </w:p>
    <w:p w:rsidR="002A5644" w:rsidRPr="00B16BEA" w:rsidRDefault="002A5644" w:rsidP="00B16BEA">
      <w:pPr>
        <w:pStyle w:val="Heading3"/>
        <w:rPr>
          <w:lang w:val="en-GB"/>
        </w:rPr>
      </w:pPr>
      <w:bookmarkStart w:id="9" w:name="_Toc215940341"/>
      <w:r w:rsidRPr="00B16BEA">
        <w:rPr>
          <w:lang w:val="en-GB"/>
        </w:rPr>
        <w:t>2.2 International trade patterns and product differentiation</w:t>
      </w:r>
      <w:bookmarkEnd w:id="9"/>
    </w:p>
    <w:p w:rsidR="002A5644" w:rsidRPr="00B16BEA" w:rsidRDefault="002A5644" w:rsidP="002A5644">
      <w:pPr>
        <w:pStyle w:val="NormalWeb"/>
        <w:rPr>
          <w:lang w:val="en-GB"/>
        </w:rPr>
      </w:pPr>
      <w:r w:rsidRPr="00B16BEA">
        <w:rPr>
          <w:lang w:val="en-GB"/>
        </w:rPr>
        <w:t>The structure of pineapple trade has changed as dramatically as production. In the mid-twentieth century, canned pineapple dominated global markets, and trade was largely oriented toward a limited range of processed products (Hossain, 2016). From the late 1980s onward, however, liberalisation of fruit trade, improvements in refrigerated logistics and the rise of supermarket retailing in Europe and North America enabled a rapid expansion of fresh pineapple imports. The share of fresh fruit in total pineapple trade increased sharply between the 1960s and the mid-2000s, with demand in the United States, the European Union and Japan driving much of this growth (</w:t>
      </w:r>
      <w:proofErr w:type="spellStart"/>
      <w:r w:rsidRPr="00B16BEA">
        <w:rPr>
          <w:lang w:val="en-GB"/>
        </w:rPr>
        <w:t>Vagneron</w:t>
      </w:r>
      <w:proofErr w:type="spellEnd"/>
      <w:r w:rsidRPr="00B16BEA">
        <w:rPr>
          <w:lang w:val="en-GB"/>
        </w:rPr>
        <w:t xml:space="preserve"> et al., 2009).</w:t>
      </w:r>
    </w:p>
    <w:p w:rsidR="002A5644" w:rsidRPr="00B16BEA" w:rsidRDefault="002A5644" w:rsidP="002A5644">
      <w:pPr>
        <w:pStyle w:val="NormalWeb"/>
        <w:rPr>
          <w:lang w:val="en-GB"/>
        </w:rPr>
      </w:pPr>
      <w:r w:rsidRPr="00B16BEA">
        <w:rPr>
          <w:lang w:val="en-GB"/>
        </w:rPr>
        <w:t xml:space="preserve">A key turning point was the global adoption of the MD-2 hybrid—often marketed as “extra sweet”—which combined desirable sensory attributes with long shelf life and uniform appearance. The introduction and subsequent diffusion of MD-2 reconfigured market </w:t>
      </w:r>
      <w:r w:rsidRPr="00B16BEA">
        <w:rPr>
          <w:lang w:val="en-GB"/>
        </w:rPr>
        <w:lastRenderedPageBreak/>
        <w:t>hierarchies, allowing Costa Rica to displace earlier leaders such as Côte d’Ivoire and to emerge as the dominant supplier of fresh pineapples to both the U.S. and European markets (</w:t>
      </w:r>
      <w:proofErr w:type="spellStart"/>
      <w:r w:rsidRPr="00B16BEA">
        <w:rPr>
          <w:lang w:val="en-GB"/>
        </w:rPr>
        <w:t>Ingwersen</w:t>
      </w:r>
      <w:proofErr w:type="spellEnd"/>
      <w:r w:rsidRPr="00B16BEA">
        <w:rPr>
          <w:lang w:val="en-GB"/>
        </w:rPr>
        <w:t xml:space="preserve">, 2012; </w:t>
      </w:r>
      <w:proofErr w:type="spellStart"/>
      <w:r w:rsidRPr="00B16BEA">
        <w:rPr>
          <w:lang w:val="en-GB"/>
        </w:rPr>
        <w:t>Vagneron</w:t>
      </w:r>
      <w:proofErr w:type="spellEnd"/>
      <w:r w:rsidRPr="00B16BEA">
        <w:rPr>
          <w:lang w:val="en-GB"/>
        </w:rPr>
        <w:t xml:space="preserve"> et al., 2009). More recent evidence from Mexico shows how national innovation systems, producer organisations and public agencies actively promoted MD-2 adoption to integrate domestic producers into these high-value global chains (Torres-Avila et al., 2022). These dynamics illustrate how varietal innovation, coordinated investment and policy support can reshape the geography of global trade in a relatively short period.</w:t>
      </w:r>
    </w:p>
    <w:p w:rsidR="002A5644" w:rsidRPr="00B16BEA" w:rsidRDefault="002A5644" w:rsidP="002A5644">
      <w:pPr>
        <w:pStyle w:val="NormalWeb"/>
        <w:rPr>
          <w:lang w:val="en-GB"/>
        </w:rPr>
      </w:pPr>
      <w:r w:rsidRPr="00B16BEA">
        <w:rPr>
          <w:lang w:val="en-GB"/>
        </w:rPr>
        <w:t xml:space="preserve">International markets are now clearly segmented by product form and quality attributes. Fresh MD-2 and similar premium varieties primarily serve supermarket and branded retail channels, where stringent requirements regarding size, sweetness, residue levels and certification regimes prevail (Arnold &amp; </w:t>
      </w:r>
      <w:proofErr w:type="spellStart"/>
      <w:r w:rsidRPr="00B16BEA">
        <w:rPr>
          <w:lang w:val="en-GB"/>
        </w:rPr>
        <w:t>Loconto</w:t>
      </w:r>
      <w:proofErr w:type="spellEnd"/>
      <w:r w:rsidRPr="00B16BEA">
        <w:rPr>
          <w:lang w:val="en-GB"/>
        </w:rPr>
        <w:t xml:space="preserve">, 2021; </w:t>
      </w:r>
      <w:proofErr w:type="spellStart"/>
      <w:r w:rsidRPr="00B16BEA">
        <w:rPr>
          <w:lang w:val="en-GB"/>
        </w:rPr>
        <w:t>Vagneron</w:t>
      </w:r>
      <w:proofErr w:type="spellEnd"/>
      <w:r w:rsidRPr="00B16BEA">
        <w:rPr>
          <w:lang w:val="en-GB"/>
        </w:rPr>
        <w:t xml:space="preserve"> et al., 2009). Parallel channels exist for lower-priced fresh fruit destined for wholesale and open markets, often sourced from smaller producers and mixed varietal lots. Processed pineapple—canned, juiced, dried or used as an ingredient in composite products—continues to represent a significant share of global utilisation, but processing value chains are typically organised around a smaller number of large-scale factories and multinational buyers (Ali et al., 2020; Hossain, 2016). This dual structure reinforces differences in bargaining power, investment needs and risk exposure among producers and intermediaries.</w:t>
      </w:r>
    </w:p>
    <w:p w:rsidR="002A5644" w:rsidRPr="00B16BEA" w:rsidRDefault="002A5644" w:rsidP="00B16BEA">
      <w:pPr>
        <w:pStyle w:val="Heading3"/>
        <w:rPr>
          <w:lang w:val="en-GB"/>
        </w:rPr>
      </w:pPr>
      <w:bookmarkStart w:id="10" w:name="_Toc215940342"/>
      <w:r w:rsidRPr="00B16BEA">
        <w:rPr>
          <w:lang w:val="en-GB"/>
        </w:rPr>
        <w:t>2.3 Market concentration, standards and governance</w:t>
      </w:r>
      <w:bookmarkEnd w:id="10"/>
    </w:p>
    <w:p w:rsidR="002A5644" w:rsidRPr="00B16BEA" w:rsidRDefault="002A5644" w:rsidP="002A5644">
      <w:pPr>
        <w:pStyle w:val="NormalWeb"/>
        <w:rPr>
          <w:lang w:val="en-GB"/>
        </w:rPr>
      </w:pPr>
      <w:r w:rsidRPr="00B16BEA">
        <w:rPr>
          <w:lang w:val="en-GB"/>
        </w:rPr>
        <w:t>The global pineapple economy is characterised by a high degree of concentration at critical nodes of the chain. On the export side, a small number of large agribusiness firms and plantation-based operations account for the bulk of fresh pineapple shipments from Costa Rica and other leading suppliers (</w:t>
      </w:r>
      <w:proofErr w:type="spellStart"/>
      <w:r w:rsidRPr="00B16BEA">
        <w:rPr>
          <w:lang w:val="en-GB"/>
        </w:rPr>
        <w:t>Ingwersen</w:t>
      </w:r>
      <w:proofErr w:type="spellEnd"/>
      <w:r w:rsidRPr="00B16BEA">
        <w:rPr>
          <w:lang w:val="en-GB"/>
        </w:rPr>
        <w:t xml:space="preserve">, 2012; </w:t>
      </w:r>
      <w:proofErr w:type="spellStart"/>
      <w:r w:rsidRPr="00B16BEA">
        <w:rPr>
          <w:lang w:val="en-GB"/>
        </w:rPr>
        <w:t>Vagneron</w:t>
      </w:r>
      <w:proofErr w:type="spellEnd"/>
      <w:r w:rsidRPr="00B16BEA">
        <w:rPr>
          <w:lang w:val="en-GB"/>
        </w:rPr>
        <w:t xml:space="preserve"> et al., 2009). Downstream, supermarket groups, branded fruit companies and specialised importers act as lead firms, setting product specifications, delivery schedules and compliance protocols. Studies of the Ghanaian pineapple industry show how such lead firms use multiple public and private standards—ranging from </w:t>
      </w:r>
      <w:proofErr w:type="spellStart"/>
      <w:r w:rsidRPr="00B16BEA">
        <w:rPr>
          <w:lang w:val="en-GB"/>
        </w:rPr>
        <w:t>GlobalGAP</w:t>
      </w:r>
      <w:proofErr w:type="spellEnd"/>
      <w:r w:rsidRPr="00B16BEA">
        <w:rPr>
          <w:lang w:val="en-GB"/>
        </w:rPr>
        <w:t xml:space="preserve"> to retailer-specific labels—to shape production practices, traceability systems and labour organisation (Arnold &amp; </w:t>
      </w:r>
      <w:proofErr w:type="spellStart"/>
      <w:r w:rsidRPr="00B16BEA">
        <w:rPr>
          <w:lang w:val="en-GB"/>
        </w:rPr>
        <w:t>Loconto</w:t>
      </w:r>
      <w:proofErr w:type="spellEnd"/>
      <w:r w:rsidRPr="00B16BEA">
        <w:rPr>
          <w:lang w:val="en-GB"/>
        </w:rPr>
        <w:t>, 2021). In these buyer-driven chains, standards function not only as technical tools for assuring quality and safety but also as instruments of market power and strategic differentiation.</w:t>
      </w:r>
    </w:p>
    <w:p w:rsidR="002A5644" w:rsidRPr="00B16BEA" w:rsidRDefault="002A5644" w:rsidP="002A5644">
      <w:pPr>
        <w:pStyle w:val="NormalWeb"/>
        <w:rPr>
          <w:lang w:val="en-GB"/>
        </w:rPr>
      </w:pPr>
      <w:r w:rsidRPr="00B16BEA">
        <w:rPr>
          <w:lang w:val="en-GB"/>
        </w:rPr>
        <w:t>At the same time, newer research highlights the environmental and social externalities associated with export-oriented pineapple monocultures. Life cycle assessment of fresh Costa Rican pineapples destined for U.S. retail shelves reveals significant contributions to greenhouse gas emissions, non-renewable energy use and other environmental impact categories, much of which is concentrated at the farm level and in transport logistics (</w:t>
      </w:r>
      <w:proofErr w:type="spellStart"/>
      <w:r w:rsidRPr="00B16BEA">
        <w:rPr>
          <w:lang w:val="en-GB"/>
        </w:rPr>
        <w:t>Ingwersen</w:t>
      </w:r>
      <w:proofErr w:type="spellEnd"/>
      <w:r w:rsidRPr="00B16BEA">
        <w:rPr>
          <w:lang w:val="en-GB"/>
        </w:rPr>
        <w:t>, 2012). Complementary field-based studies document pesticide contamination, riparian habitat degradation and ecological stress in watersheds adjoining large pineapple production zones on the Caribbean coast of Costa Rica (</w:t>
      </w:r>
      <w:proofErr w:type="spellStart"/>
      <w:r w:rsidRPr="00B16BEA">
        <w:rPr>
          <w:lang w:val="en-GB"/>
        </w:rPr>
        <w:t>Echeverría-Sáenz</w:t>
      </w:r>
      <w:proofErr w:type="spellEnd"/>
      <w:r w:rsidRPr="00B16BEA">
        <w:rPr>
          <w:lang w:val="en-GB"/>
        </w:rPr>
        <w:t xml:space="preserve"> et al., 2012). Together, these findings underscore the extent to which the current market structure, with its emphasis on year-round supply and cosmetic perfection, can externalise environmental costs onto producing regions.</w:t>
      </w:r>
    </w:p>
    <w:p w:rsidR="002A5644" w:rsidRPr="00B16BEA" w:rsidRDefault="002A5644" w:rsidP="002A5644">
      <w:pPr>
        <w:pStyle w:val="NormalWeb"/>
        <w:rPr>
          <w:lang w:val="en-GB"/>
        </w:rPr>
      </w:pPr>
      <w:r w:rsidRPr="00B16BEA">
        <w:rPr>
          <w:lang w:val="en-GB"/>
        </w:rPr>
        <w:t xml:space="preserve">Spatial analyses further reveal how global demand reconfigures land use and labour regimes. In northern Costa Rica, geographic information systems and heterogeneous spatial data show the rapid extension and intensification of pineapple monocultures over recent decades, often at the expense of other land uses and with important implications for regional development </w:t>
      </w:r>
      <w:r w:rsidRPr="00B16BEA">
        <w:rPr>
          <w:lang w:val="en-GB"/>
        </w:rPr>
        <w:lastRenderedPageBreak/>
        <w:t>trajectories (</w:t>
      </w:r>
      <w:proofErr w:type="spellStart"/>
      <w:r w:rsidRPr="00B16BEA">
        <w:rPr>
          <w:lang w:val="en-GB"/>
        </w:rPr>
        <w:t>Girres</w:t>
      </w:r>
      <w:proofErr w:type="spellEnd"/>
      <w:r w:rsidRPr="00B16BEA">
        <w:rPr>
          <w:lang w:val="en-GB"/>
        </w:rPr>
        <w:t xml:space="preserve"> et al., 2023). Socio-political studies frame this process as a form of agricultural </w:t>
      </w:r>
      <w:proofErr w:type="spellStart"/>
      <w:r w:rsidRPr="00B16BEA">
        <w:rPr>
          <w:lang w:val="en-GB"/>
        </w:rPr>
        <w:t>extractivism</w:t>
      </w:r>
      <w:proofErr w:type="spellEnd"/>
      <w:r w:rsidRPr="00B16BEA">
        <w:rPr>
          <w:lang w:val="en-GB"/>
        </w:rPr>
        <w:t xml:space="preserve"> in which peripheral border regions become spaces of opportunity for capital but sites of vulnerability for migrant workers and local communities who bear the social and ecological burdens of export agriculture (Rodríguez </w:t>
      </w:r>
      <w:proofErr w:type="spellStart"/>
      <w:r w:rsidRPr="00B16BEA">
        <w:rPr>
          <w:lang w:val="en-GB"/>
        </w:rPr>
        <w:t>Echavarría</w:t>
      </w:r>
      <w:proofErr w:type="spellEnd"/>
      <w:r w:rsidRPr="00B16BEA">
        <w:rPr>
          <w:lang w:val="en-GB"/>
        </w:rPr>
        <w:t xml:space="preserve"> &amp; </w:t>
      </w:r>
      <w:proofErr w:type="spellStart"/>
      <w:r w:rsidRPr="00B16BEA">
        <w:rPr>
          <w:lang w:val="en-GB"/>
        </w:rPr>
        <w:t>Prunier</w:t>
      </w:r>
      <w:proofErr w:type="spellEnd"/>
      <w:r w:rsidRPr="00B16BEA">
        <w:rPr>
          <w:lang w:val="en-GB"/>
        </w:rPr>
        <w:t>, 2020). These analyses suggest that market structure cannot be understood solely in terms of prices and volumes; it must also incorporate questions of territorial inequality, labour precarity and environmental justice.</w:t>
      </w:r>
    </w:p>
    <w:p w:rsidR="002A5644" w:rsidRPr="00B16BEA" w:rsidRDefault="002A5644" w:rsidP="00B16BEA">
      <w:pPr>
        <w:pStyle w:val="Heading3"/>
        <w:rPr>
          <w:lang w:val="en-GB"/>
        </w:rPr>
      </w:pPr>
      <w:bookmarkStart w:id="11" w:name="_Toc215940343"/>
      <w:r w:rsidRPr="00B16BEA">
        <w:rPr>
          <w:lang w:val="en-GB"/>
        </w:rPr>
        <w:t>2.4 Emerging trends and implications for producer countries</w:t>
      </w:r>
      <w:bookmarkEnd w:id="11"/>
    </w:p>
    <w:p w:rsidR="002A5644" w:rsidRPr="00B16BEA" w:rsidRDefault="002A5644" w:rsidP="002A5644">
      <w:pPr>
        <w:pStyle w:val="NormalWeb"/>
        <w:rPr>
          <w:lang w:val="en-GB"/>
        </w:rPr>
      </w:pPr>
      <w:r w:rsidRPr="00B16BEA">
        <w:rPr>
          <w:lang w:val="en-GB"/>
        </w:rPr>
        <w:t>Although global pineapple markets remain concentrated, there are signs of diversification and experimentation in governance models. Recent work on the Ghanaian pineapple sector, for example, shows that processors and marketers, as well as farmers, are increasingly evaluating sustainability in terms of economic viability, social equity and environmental stewardship, partly in response to changing market expectations and policy priorities (Boakye et al., 2025). However, the same study indicates that smallholders continue to face barriers related to access to finance, certification, information and technology, which limit their ability to benefit from high-value export channels and to invest in more sustainable practices.</w:t>
      </w:r>
    </w:p>
    <w:p w:rsidR="002A5644" w:rsidRPr="00B16BEA" w:rsidRDefault="002A5644" w:rsidP="002A5644">
      <w:pPr>
        <w:pStyle w:val="NormalWeb"/>
        <w:rPr>
          <w:lang w:val="en-GB"/>
        </w:rPr>
      </w:pPr>
      <w:r w:rsidRPr="00B16BEA">
        <w:rPr>
          <w:lang w:val="en-GB"/>
        </w:rPr>
        <w:t xml:space="preserve">In parallel, demand growth in emerging economies and rising interest in processed and functional foods may create new opportunities for value addition closer to production sites, potentially loosening the grip of a small number of multinational buyers (Ali et al., 2020). Yet these opportunities are unlikely to translate automatically into more equitable or sustainable outcomes. Earlier analyses of the fresh pineapple sector warn that shifts in market leadership and innovation trajectories have tended to favour actors capable of achieving scale, meeting complex standards and absorbing risk, while many smallholders and local enterprises remain marginalised or confined to lower-value segments (Hossain, 2016; </w:t>
      </w:r>
      <w:proofErr w:type="spellStart"/>
      <w:r w:rsidRPr="00B16BEA">
        <w:rPr>
          <w:lang w:val="en-GB"/>
        </w:rPr>
        <w:t>Vagneron</w:t>
      </w:r>
      <w:proofErr w:type="spellEnd"/>
      <w:r w:rsidRPr="00B16BEA">
        <w:rPr>
          <w:lang w:val="en-GB"/>
        </w:rPr>
        <w:t xml:space="preserve"> et al., 2009). Understanding how these structural forces operate—and how they might be reshaped through policy, collective action and new forms of governance—is therefore central to any strategy aimed at improving the inclusiveness and resilience of pineapple value chains.</w:t>
      </w:r>
    </w:p>
    <w:p w:rsidR="00E72DB2" w:rsidRPr="00B16BEA" w:rsidRDefault="002A5644" w:rsidP="002A5644">
      <w:r w:rsidRPr="00B16BEA">
        <w:t xml:space="preserve"> </w:t>
      </w:r>
    </w:p>
    <w:p w:rsidR="00E72DB2" w:rsidRPr="00B16BEA" w:rsidRDefault="00E72DB2" w:rsidP="00B16BEA">
      <w:pPr>
        <w:pStyle w:val="Heading2"/>
        <w:rPr>
          <w:lang w:val="en-GB"/>
        </w:rPr>
      </w:pPr>
      <w:bookmarkStart w:id="12" w:name="_Toc215940344"/>
      <w:r w:rsidRPr="00B16BEA">
        <w:rPr>
          <w:lang w:val="en-GB"/>
        </w:rPr>
        <w:t>3. Pineapple Value Chain Architecture</w:t>
      </w:r>
      <w:bookmarkEnd w:id="12"/>
    </w:p>
    <w:p w:rsidR="00E72DB2" w:rsidRPr="00B16BEA" w:rsidRDefault="00E72DB2" w:rsidP="00E72DB2">
      <w:pPr>
        <w:pStyle w:val="NormalWeb"/>
        <w:rPr>
          <w:lang w:val="en-GB"/>
        </w:rPr>
      </w:pPr>
      <w:r w:rsidRPr="00B16BEA">
        <w:rPr>
          <w:lang w:val="en-GB"/>
        </w:rPr>
        <w:t xml:space="preserve">The architecture of the pineapple value chain describes how products, information, and value move from input suppliers to final consumers through a sequence of interconnected actors and functions. Empirical studies from Ethiopia, Bangladesh, Ghana and Benin consistently show a multi-layered system where smallholder producers or medium-scale farms supply fresh fruit to a network of collectors, wholesalers, processors and retailers, often under conditions of weak coordination and asymmetric bargaining power (Alemu et al., 2023; </w:t>
      </w:r>
      <w:proofErr w:type="spellStart"/>
      <w:r w:rsidRPr="00B16BEA">
        <w:rPr>
          <w:lang w:val="en-GB"/>
        </w:rPr>
        <w:t>Desclee</w:t>
      </w:r>
      <w:proofErr w:type="spellEnd"/>
      <w:r w:rsidRPr="00B16BEA">
        <w:rPr>
          <w:lang w:val="en-GB"/>
        </w:rPr>
        <w:t xml:space="preserve"> et al., 2021; </w:t>
      </w:r>
      <w:proofErr w:type="spellStart"/>
      <w:r w:rsidRPr="00B16BEA">
        <w:rPr>
          <w:lang w:val="en-GB"/>
        </w:rPr>
        <w:t>Gessesse</w:t>
      </w:r>
      <w:proofErr w:type="spellEnd"/>
      <w:r w:rsidRPr="00B16BEA">
        <w:rPr>
          <w:lang w:val="en-GB"/>
        </w:rPr>
        <w:t>, 2019; Uddin et al., 2022). In many production zones, pineapple is grown in mixed cropping or agroforestry systems, which adds further structural complexity because farm decisions are shaped by interactions with other crops and livelihood activities (</w:t>
      </w:r>
      <w:proofErr w:type="spellStart"/>
      <w:r w:rsidRPr="00B16BEA">
        <w:rPr>
          <w:lang w:val="en-GB"/>
        </w:rPr>
        <w:t>Gessesse</w:t>
      </w:r>
      <w:proofErr w:type="spellEnd"/>
      <w:r w:rsidRPr="00B16BEA">
        <w:rPr>
          <w:lang w:val="en-GB"/>
        </w:rPr>
        <w:t>, 2019; Hasan et al., 2023).</w:t>
      </w:r>
    </w:p>
    <w:p w:rsidR="00E72DB2" w:rsidRPr="00B16BEA" w:rsidRDefault="00E72DB2" w:rsidP="00E72DB2">
      <w:pPr>
        <w:pStyle w:val="NormalWeb"/>
        <w:rPr>
          <w:lang w:val="en-GB"/>
        </w:rPr>
      </w:pPr>
      <w:r w:rsidRPr="00B16BEA">
        <w:rPr>
          <w:lang w:val="en-GB"/>
        </w:rPr>
        <w:t>Across these contexts, value chain mapping exercises typically identify a core sequence of input supply, production, assembly, wholesale trade, processing, and retail or export, with by-</w:t>
      </w:r>
      <w:r w:rsidRPr="00B16BEA">
        <w:rPr>
          <w:lang w:val="en-GB"/>
        </w:rPr>
        <w:lastRenderedPageBreak/>
        <w:t xml:space="preserve">product flows (peels, cores, crown residues) increasingly feeding into emerging bio-based industries (Alemu et al., 2023; Datta et al., 2024; </w:t>
      </w:r>
      <w:proofErr w:type="spellStart"/>
      <w:r w:rsidRPr="00B16BEA">
        <w:rPr>
          <w:lang w:val="en-GB"/>
        </w:rPr>
        <w:t>Desclee</w:t>
      </w:r>
      <w:proofErr w:type="spellEnd"/>
      <w:r w:rsidRPr="00B16BEA">
        <w:rPr>
          <w:lang w:val="en-GB"/>
        </w:rPr>
        <w:t xml:space="preserve"> et al., 2021). Domestic fresh fruit chains, export-oriented fresh chains and processing-oriented chains often coexist in the same territory but are governed differently and create very different value capture opportunities for farmers and rural workers (</w:t>
      </w:r>
      <w:proofErr w:type="spellStart"/>
      <w:r w:rsidRPr="00B16BEA">
        <w:rPr>
          <w:lang w:val="en-GB"/>
        </w:rPr>
        <w:t>Desclee</w:t>
      </w:r>
      <w:proofErr w:type="spellEnd"/>
      <w:r w:rsidRPr="00B16BEA">
        <w:rPr>
          <w:lang w:val="en-GB"/>
        </w:rPr>
        <w:t xml:space="preserve"> et al., 2021; Uddin et al., 2022). Understanding this architecture is therefore central to explaining observed profit distribution, quality outcomes and resilience patterns in pineapple economies.</w:t>
      </w:r>
    </w:p>
    <w:p w:rsidR="00E72DB2" w:rsidRPr="00B16BEA" w:rsidRDefault="00E72DB2" w:rsidP="00E72DB2">
      <w:pPr>
        <w:pStyle w:val="NormalWeb"/>
        <w:rPr>
          <w:lang w:val="en-GB"/>
        </w:rPr>
      </w:pPr>
      <w:r w:rsidRPr="00B16BEA">
        <w:rPr>
          <w:lang w:val="en-GB"/>
        </w:rPr>
        <w:t>Recent work on agricultural-food systems transformation situates pineapple chains within a broader development narrative: they link remote production regions with urban and international markets, but their structural weaknesses—such as thin local processing capacity or fragmented farmer organization—limit inclusive upgrading (Datta et al., 2024; Uddin et al., 2022). As a result, value chain architecture is no longer viewed as a static map of flows but as an evolving configuration shaped by policies, infrastructure investments, private standards and changing consumer demand for attributes such as organic certification or residue-free fruit (</w:t>
      </w:r>
      <w:proofErr w:type="spellStart"/>
      <w:r w:rsidRPr="00B16BEA">
        <w:rPr>
          <w:lang w:val="en-GB"/>
        </w:rPr>
        <w:t>Desclee</w:t>
      </w:r>
      <w:proofErr w:type="spellEnd"/>
      <w:r w:rsidRPr="00B16BEA">
        <w:rPr>
          <w:lang w:val="en-GB"/>
        </w:rPr>
        <w:t xml:space="preserve"> et al., 2021; Hasan et al., 2023).</w:t>
      </w:r>
    </w:p>
    <w:p w:rsidR="00E72DB2" w:rsidRPr="00B16BEA" w:rsidRDefault="00E72DB2" w:rsidP="00B16BEA">
      <w:pPr>
        <w:pStyle w:val="Heading3"/>
        <w:rPr>
          <w:lang w:val="en-GB"/>
        </w:rPr>
      </w:pPr>
      <w:bookmarkStart w:id="13" w:name="_Toc215940345"/>
      <w:r w:rsidRPr="00B16BEA">
        <w:rPr>
          <w:lang w:val="en-GB"/>
        </w:rPr>
        <w:t>3.1 Core Actors and Functions</w:t>
      </w:r>
      <w:bookmarkEnd w:id="13"/>
    </w:p>
    <w:p w:rsidR="00E72DB2" w:rsidRPr="00B16BEA" w:rsidRDefault="00E72DB2" w:rsidP="00E72DB2">
      <w:pPr>
        <w:pStyle w:val="NormalWeb"/>
        <w:rPr>
          <w:lang w:val="en-GB"/>
        </w:rPr>
      </w:pPr>
      <w:r w:rsidRPr="00B16BEA">
        <w:rPr>
          <w:lang w:val="en-GB"/>
        </w:rPr>
        <w:t>At the upstream end, input suppliers provide planting material, fertilizers, agrochemicals and basic advisory services. In Ethiopia and Bangladesh these roles are shared between public agencies, private agro-dealers and, in some cases, NGOs or buyer-linked programmes (Alemu et al., 2023; Hasan et al., 2023). Access to quality planting material and knowledge of Good Agricultural Practices are critical leverage points because they influence both productivity and downstream quality attributes such as fruit size and sweetness (Alemu et al., 2023; Datta et al., 2024). However, farmers often face shortages of improved varieties, limited technical guidance and high input prices, which constrains the overall performance of the chain (</w:t>
      </w:r>
      <w:proofErr w:type="spellStart"/>
      <w:r w:rsidRPr="00B16BEA">
        <w:rPr>
          <w:lang w:val="en-GB"/>
        </w:rPr>
        <w:t>Gessesse</w:t>
      </w:r>
      <w:proofErr w:type="spellEnd"/>
      <w:r w:rsidRPr="00B16BEA">
        <w:rPr>
          <w:lang w:val="en-GB"/>
        </w:rPr>
        <w:t>, 2019; Hasan et al., 2023).</w:t>
      </w:r>
    </w:p>
    <w:p w:rsidR="00E72DB2" w:rsidRPr="00B16BEA" w:rsidRDefault="00E72DB2" w:rsidP="00E72DB2">
      <w:pPr>
        <w:pStyle w:val="NormalWeb"/>
        <w:rPr>
          <w:lang w:val="en-GB"/>
        </w:rPr>
      </w:pPr>
      <w:r w:rsidRPr="00B16BEA">
        <w:rPr>
          <w:lang w:val="en-GB"/>
        </w:rPr>
        <w:t xml:space="preserve">Pineapple production itself is dominated by smallholder and medium-scale growers, though estate plantations and corporate farms exist in some export-oriented regions. In Southern Ethiopia, pineapple is embedded in traditional agroforestry systems where farmers </w:t>
      </w:r>
      <w:proofErr w:type="spellStart"/>
      <w:r w:rsidRPr="00B16BEA">
        <w:rPr>
          <w:lang w:val="en-GB"/>
        </w:rPr>
        <w:t>intercrope</w:t>
      </w:r>
      <w:proofErr w:type="spellEnd"/>
      <w:r w:rsidRPr="00B16BEA">
        <w:rPr>
          <w:lang w:val="en-GB"/>
        </w:rPr>
        <w:t xml:space="preserve"> with coffee and other perennial species, relying heavily on family labour and informal credit (</w:t>
      </w:r>
      <w:proofErr w:type="spellStart"/>
      <w:r w:rsidRPr="00B16BEA">
        <w:rPr>
          <w:lang w:val="en-GB"/>
        </w:rPr>
        <w:t>Gessesse</w:t>
      </w:r>
      <w:proofErr w:type="spellEnd"/>
      <w:r w:rsidRPr="00B16BEA">
        <w:rPr>
          <w:lang w:val="en-GB"/>
        </w:rPr>
        <w:t xml:space="preserve">, 2019). In Bangladesh’s Madhupur tract, a large share of growers cultivate pineapple on their own land under mixed cropping patterns and select marketing channels that balance price, risk and liquidity needs (Hasan et al., 2023). Similar value chain studies in Ethiopia report that farm households supply fruit primarily for sale rather than home consumption, yet their bargaining position at the farmgate remains weak due to high perishability and limited storage (Alemu et al., 2023; </w:t>
      </w:r>
      <w:proofErr w:type="spellStart"/>
      <w:r w:rsidRPr="00B16BEA">
        <w:rPr>
          <w:lang w:val="en-GB"/>
        </w:rPr>
        <w:t>Gessesse</w:t>
      </w:r>
      <w:proofErr w:type="spellEnd"/>
      <w:r w:rsidRPr="00B16BEA">
        <w:rPr>
          <w:lang w:val="en-GB"/>
        </w:rPr>
        <w:t>, 2019).</w:t>
      </w:r>
    </w:p>
    <w:p w:rsidR="00E72DB2" w:rsidRPr="00B16BEA" w:rsidRDefault="00E72DB2" w:rsidP="00E72DB2">
      <w:pPr>
        <w:pStyle w:val="NormalWeb"/>
        <w:rPr>
          <w:lang w:val="en-GB"/>
        </w:rPr>
      </w:pPr>
      <w:r w:rsidRPr="00B16BEA">
        <w:rPr>
          <w:lang w:val="en-GB"/>
        </w:rPr>
        <w:t xml:space="preserve">Midstream actors—village collectors, wholesalers, commission agents and market intermediaries—perform aggregation, grading, bulking, short-term storage and logistics from rural production zones to urban or export hubs. Evidence from Ethiopia and Bangladesh indicates that a few relatively powerful traders often coordinate these functions, setting prices and quality requirements while bearing transport and market risks (Alemu et al., 2023; </w:t>
      </w:r>
      <w:proofErr w:type="spellStart"/>
      <w:r w:rsidRPr="00B16BEA">
        <w:rPr>
          <w:lang w:val="en-GB"/>
        </w:rPr>
        <w:t>Gessesse</w:t>
      </w:r>
      <w:proofErr w:type="spellEnd"/>
      <w:r w:rsidRPr="00B16BEA">
        <w:rPr>
          <w:lang w:val="en-GB"/>
        </w:rPr>
        <w:t xml:space="preserve">, 2019; Uddin et al., 2022). In Madhupur, for example, farmers typically move fruit through multi-step channels involving </w:t>
      </w:r>
      <w:proofErr w:type="spellStart"/>
      <w:r w:rsidRPr="00B16BEA">
        <w:rPr>
          <w:lang w:val="en-GB"/>
        </w:rPr>
        <w:t>faria</w:t>
      </w:r>
      <w:proofErr w:type="spellEnd"/>
      <w:r w:rsidRPr="00B16BEA">
        <w:rPr>
          <w:lang w:val="en-GB"/>
        </w:rPr>
        <w:t xml:space="preserve">, </w:t>
      </w:r>
      <w:proofErr w:type="spellStart"/>
      <w:r w:rsidRPr="00B16BEA">
        <w:rPr>
          <w:lang w:val="en-GB"/>
        </w:rPr>
        <w:t>bepari</w:t>
      </w:r>
      <w:proofErr w:type="spellEnd"/>
      <w:r w:rsidRPr="00B16BEA">
        <w:rPr>
          <w:lang w:val="en-GB"/>
        </w:rPr>
        <w:t xml:space="preserve">, </w:t>
      </w:r>
      <w:proofErr w:type="spellStart"/>
      <w:r w:rsidRPr="00B16BEA">
        <w:rPr>
          <w:lang w:val="en-GB"/>
        </w:rPr>
        <w:t>aratdar</w:t>
      </w:r>
      <w:proofErr w:type="spellEnd"/>
      <w:r w:rsidRPr="00B16BEA">
        <w:rPr>
          <w:lang w:val="en-GB"/>
        </w:rPr>
        <w:t xml:space="preserve">, wholesalers and retailers, each capturing part of the value added through handling, sorting and spatial arbitrage (Hasan et al., 2023; Uddin et al., 2022). These intermediaries also frequently provide informal credit and </w:t>
      </w:r>
      <w:r w:rsidRPr="00B16BEA">
        <w:rPr>
          <w:lang w:val="en-GB"/>
        </w:rPr>
        <w:lastRenderedPageBreak/>
        <w:t>advance payments, deepening farmers’ dependence on brokered relationships (</w:t>
      </w:r>
      <w:proofErr w:type="spellStart"/>
      <w:r w:rsidRPr="00B16BEA">
        <w:rPr>
          <w:lang w:val="en-GB"/>
        </w:rPr>
        <w:t>Adepoju</w:t>
      </w:r>
      <w:proofErr w:type="spellEnd"/>
      <w:r w:rsidRPr="00B16BEA">
        <w:rPr>
          <w:lang w:val="en-GB"/>
        </w:rPr>
        <w:t xml:space="preserve"> et al., 2015; Uddin et al., 2022).</w:t>
      </w:r>
    </w:p>
    <w:p w:rsidR="00E72DB2" w:rsidRPr="00B16BEA" w:rsidRDefault="00E72DB2" w:rsidP="00E72DB2">
      <w:pPr>
        <w:pStyle w:val="NormalWeb"/>
        <w:rPr>
          <w:lang w:val="en-GB"/>
        </w:rPr>
      </w:pPr>
      <w:r w:rsidRPr="00B16BEA">
        <w:rPr>
          <w:lang w:val="en-GB"/>
        </w:rPr>
        <w:t>Downstream, processors, exporters and retailers transform and market pineapple products to domestic, regional and international consumers. Processing ranges from artisanal juice and dried fruit enterprises to semi-industrial and industrial plants producing canned pineapple, concentrates and other derivative products (</w:t>
      </w:r>
      <w:proofErr w:type="spellStart"/>
      <w:r w:rsidRPr="00B16BEA">
        <w:rPr>
          <w:lang w:val="en-GB"/>
        </w:rPr>
        <w:t>Desclee</w:t>
      </w:r>
      <w:proofErr w:type="spellEnd"/>
      <w:r w:rsidRPr="00B16BEA">
        <w:rPr>
          <w:lang w:val="en-GB"/>
        </w:rPr>
        <w:t xml:space="preserve"> et al., 2021; Uddin et al., 2022). In Benin, supply chain analysis reveals distinct channels linking supervised organic and conventional producers to specialized industrial processors targeting EU markets, while unsupervised producers primarily supply domestic fresh markets (</w:t>
      </w:r>
      <w:proofErr w:type="spellStart"/>
      <w:r w:rsidRPr="00B16BEA">
        <w:rPr>
          <w:lang w:val="en-GB"/>
        </w:rPr>
        <w:t>Desclee</w:t>
      </w:r>
      <w:proofErr w:type="spellEnd"/>
      <w:r w:rsidRPr="00B16BEA">
        <w:rPr>
          <w:lang w:val="en-GB"/>
        </w:rPr>
        <w:t xml:space="preserve"> et al., 2021). More recently, pineapple by-products have started to feed into biorefinery initiatives that convert peels and cores into high-value ingredients, packaging materials and bioenergy, further broadening the chain’s functional scope and actor base (Datta et al., 2024).</w:t>
      </w:r>
    </w:p>
    <w:p w:rsidR="00E72DB2" w:rsidRPr="00B16BEA" w:rsidRDefault="00E72DB2" w:rsidP="00B16BEA">
      <w:pPr>
        <w:pStyle w:val="Heading3"/>
        <w:rPr>
          <w:lang w:val="en-GB"/>
        </w:rPr>
      </w:pPr>
      <w:bookmarkStart w:id="14" w:name="_Toc215940346"/>
      <w:r w:rsidRPr="00B16BEA">
        <w:rPr>
          <w:lang w:val="en-GB"/>
        </w:rPr>
        <w:t>3.2 Governance Structures and Coordination Mechanisms</w:t>
      </w:r>
      <w:bookmarkEnd w:id="14"/>
    </w:p>
    <w:p w:rsidR="00E72DB2" w:rsidRPr="00B16BEA" w:rsidRDefault="00E72DB2" w:rsidP="00E72DB2">
      <w:pPr>
        <w:pStyle w:val="NormalWeb"/>
        <w:rPr>
          <w:lang w:val="en-GB"/>
        </w:rPr>
      </w:pPr>
      <w:r w:rsidRPr="00B16BEA">
        <w:rPr>
          <w:lang w:val="en-GB"/>
        </w:rPr>
        <w:t>Although the pineapple value chain involves multiple nodes, its governance is often dominated by market-based spot transactions. Studies from Southern Ethiopia and Nigeria show that farmers predominantly sell at the farmgate or local markets to traders without formal contracts, with prices determined by buyers based on prevailing market conditions and fruit appearance (</w:t>
      </w:r>
      <w:proofErr w:type="spellStart"/>
      <w:r w:rsidRPr="00B16BEA">
        <w:rPr>
          <w:lang w:val="en-GB"/>
        </w:rPr>
        <w:t>Adepoju</w:t>
      </w:r>
      <w:proofErr w:type="spellEnd"/>
      <w:r w:rsidRPr="00B16BEA">
        <w:rPr>
          <w:lang w:val="en-GB"/>
        </w:rPr>
        <w:t xml:space="preserve"> et al., 2015; Alemu et al., 2023; </w:t>
      </w:r>
      <w:proofErr w:type="spellStart"/>
      <w:r w:rsidRPr="00B16BEA">
        <w:rPr>
          <w:lang w:val="en-GB"/>
        </w:rPr>
        <w:t>Gessesse</w:t>
      </w:r>
      <w:proofErr w:type="spellEnd"/>
      <w:r w:rsidRPr="00B16BEA">
        <w:rPr>
          <w:lang w:val="en-GB"/>
        </w:rPr>
        <w:t xml:space="preserve">, 2019). Traders’ control over market information and transport infrastructure, combined with product perishability, creates a structure where producers have limited influence over price formation and quality requirements (Alemu et al., 2023; </w:t>
      </w:r>
      <w:proofErr w:type="spellStart"/>
      <w:r w:rsidRPr="00B16BEA">
        <w:rPr>
          <w:lang w:val="en-GB"/>
        </w:rPr>
        <w:t>Gessesse</w:t>
      </w:r>
      <w:proofErr w:type="spellEnd"/>
      <w:r w:rsidRPr="00B16BEA">
        <w:rPr>
          <w:lang w:val="en-GB"/>
        </w:rPr>
        <w:t>, 2019). Similar patterns are reported in Bangladesh’s agroforestry-based pineapple systems, where spot markets remain the most preferred governance structure despite the presence of alternative bilateral and association-based arrangements (</w:t>
      </w:r>
      <w:proofErr w:type="spellStart"/>
      <w:r w:rsidRPr="00B16BEA">
        <w:rPr>
          <w:lang w:val="en-GB"/>
        </w:rPr>
        <w:t>Mankhin</w:t>
      </w:r>
      <w:proofErr w:type="spellEnd"/>
      <w:r w:rsidRPr="00B16BEA">
        <w:rPr>
          <w:lang w:val="en-GB"/>
        </w:rPr>
        <w:t xml:space="preserve"> et al., 2024).</w:t>
      </w:r>
    </w:p>
    <w:p w:rsidR="00E72DB2" w:rsidRPr="00B16BEA" w:rsidRDefault="00E72DB2" w:rsidP="00E72DB2">
      <w:pPr>
        <w:pStyle w:val="NormalWeb"/>
        <w:rPr>
          <w:lang w:val="en-GB"/>
        </w:rPr>
      </w:pPr>
      <w:r w:rsidRPr="00B16BEA">
        <w:rPr>
          <w:lang w:val="en-GB"/>
        </w:rPr>
        <w:t xml:space="preserve">At the same time, there is emerging evidence of more coordinated governance forms, especially in export-oriented and higher-quality segments. Contract farming, </w:t>
      </w:r>
      <w:proofErr w:type="spellStart"/>
      <w:r w:rsidRPr="00B16BEA">
        <w:rPr>
          <w:lang w:val="en-GB"/>
        </w:rPr>
        <w:t>outgrower</w:t>
      </w:r>
      <w:proofErr w:type="spellEnd"/>
      <w:r w:rsidRPr="00B16BEA">
        <w:rPr>
          <w:lang w:val="en-GB"/>
        </w:rPr>
        <w:t xml:space="preserve"> schemes and cooperative marketing arrangements are observed where processors or exporters require specific varieties, grades and timing, and are willing to provide inputs, technical assistance or premium prices in return (</w:t>
      </w:r>
      <w:proofErr w:type="spellStart"/>
      <w:r w:rsidRPr="00B16BEA">
        <w:rPr>
          <w:lang w:val="en-GB"/>
        </w:rPr>
        <w:t>Desclee</w:t>
      </w:r>
      <w:proofErr w:type="spellEnd"/>
      <w:r w:rsidRPr="00B16BEA">
        <w:rPr>
          <w:lang w:val="en-GB"/>
        </w:rPr>
        <w:t xml:space="preserve"> et al., 2021; </w:t>
      </w:r>
      <w:proofErr w:type="spellStart"/>
      <w:r w:rsidRPr="00B16BEA">
        <w:rPr>
          <w:lang w:val="en-GB"/>
        </w:rPr>
        <w:t>Mankhin</w:t>
      </w:r>
      <w:proofErr w:type="spellEnd"/>
      <w:r w:rsidRPr="00B16BEA">
        <w:rPr>
          <w:lang w:val="en-GB"/>
        </w:rPr>
        <w:t xml:space="preserve"> et al., 2024). In Ghana, risk mitigation and performance in pineapple supply chains have been linked to relationship-specific investments, trust and joint problem solving between producers, exporters and logistics providers, suggesting a shift towards more relational governance in some niches (</w:t>
      </w:r>
      <w:proofErr w:type="spellStart"/>
      <w:r w:rsidRPr="00B16BEA">
        <w:rPr>
          <w:lang w:val="en-GB"/>
        </w:rPr>
        <w:t>Nyamah</w:t>
      </w:r>
      <w:proofErr w:type="spellEnd"/>
      <w:r w:rsidRPr="00B16BEA">
        <w:rPr>
          <w:lang w:val="en-GB"/>
        </w:rPr>
        <w:t xml:space="preserve"> et al., 2015). However, these arrangements generally cover a minority of producers, leaving most smallholders embedded in thin and volatile spot markets (Alemu et al., 2023; </w:t>
      </w:r>
      <w:proofErr w:type="spellStart"/>
      <w:r w:rsidRPr="00B16BEA">
        <w:rPr>
          <w:lang w:val="en-GB"/>
        </w:rPr>
        <w:t>Nyamah</w:t>
      </w:r>
      <w:proofErr w:type="spellEnd"/>
      <w:r w:rsidRPr="00B16BEA">
        <w:rPr>
          <w:lang w:val="en-GB"/>
        </w:rPr>
        <w:t xml:space="preserve"> et al., 2015).</w:t>
      </w:r>
    </w:p>
    <w:p w:rsidR="00E72DB2" w:rsidRPr="00B16BEA" w:rsidRDefault="00E72DB2" w:rsidP="00E72DB2">
      <w:pPr>
        <w:pStyle w:val="NormalWeb"/>
        <w:rPr>
          <w:lang w:val="en-GB"/>
        </w:rPr>
      </w:pPr>
      <w:r w:rsidRPr="00B16BEA">
        <w:rPr>
          <w:lang w:val="en-GB"/>
        </w:rPr>
        <w:t>Governance choices are shaped by farmer characteristics, institutional context and infrastructural conditions. Multivariate analyses from Bangladesh’s pineapple agroforestry systems show that age, education, farm size, cooperative membership and perceived market certainty significantly influence whether farmers rely on spot markets, bilateral agreements or association-based transactions (</w:t>
      </w:r>
      <w:proofErr w:type="spellStart"/>
      <w:r w:rsidRPr="00B16BEA">
        <w:rPr>
          <w:lang w:val="en-GB"/>
        </w:rPr>
        <w:t>Mankhin</w:t>
      </w:r>
      <w:proofErr w:type="spellEnd"/>
      <w:r w:rsidRPr="00B16BEA">
        <w:rPr>
          <w:lang w:val="en-GB"/>
        </w:rPr>
        <w:t xml:space="preserve"> et al., 2024). Nigerian evidence suggests that distance to market, access to credit and farming experience are key determinants of market participation intensity and channel choice (</w:t>
      </w:r>
      <w:proofErr w:type="spellStart"/>
      <w:r w:rsidRPr="00B16BEA">
        <w:rPr>
          <w:lang w:val="en-GB"/>
        </w:rPr>
        <w:t>Adepoju</w:t>
      </w:r>
      <w:proofErr w:type="spellEnd"/>
      <w:r w:rsidRPr="00B16BEA">
        <w:rPr>
          <w:lang w:val="en-GB"/>
        </w:rPr>
        <w:t xml:space="preserve"> et al., 2015). Sustainability assessments in Benin further highlight how governance structures intersect with environmental and social outcomes: chains linked to organic certification and supervised producer groups tend to </w:t>
      </w:r>
      <w:r w:rsidRPr="00B16BEA">
        <w:rPr>
          <w:lang w:val="en-GB"/>
        </w:rPr>
        <w:lastRenderedPageBreak/>
        <w:t>generate higher value added and better inclusion, but require strong coordination across nodes and supportive public policies (</w:t>
      </w:r>
      <w:proofErr w:type="spellStart"/>
      <w:r w:rsidRPr="00B16BEA">
        <w:rPr>
          <w:lang w:val="en-GB"/>
        </w:rPr>
        <w:t>Desclee</w:t>
      </w:r>
      <w:proofErr w:type="spellEnd"/>
      <w:r w:rsidRPr="00B16BEA">
        <w:rPr>
          <w:lang w:val="en-GB"/>
        </w:rPr>
        <w:t xml:space="preserve"> et al., 2021).</w:t>
      </w:r>
    </w:p>
    <w:p w:rsidR="00E72DB2" w:rsidRPr="00B16BEA" w:rsidRDefault="00E72DB2" w:rsidP="00B16BEA">
      <w:pPr>
        <w:pStyle w:val="Heading3"/>
        <w:rPr>
          <w:lang w:val="en-GB"/>
        </w:rPr>
      </w:pPr>
      <w:bookmarkStart w:id="15" w:name="_Toc215940347"/>
      <w:r w:rsidRPr="00B16BEA">
        <w:rPr>
          <w:lang w:val="en-GB"/>
        </w:rPr>
        <w:t>3.3 Supporting Services and Enabling Environment</w:t>
      </w:r>
      <w:bookmarkEnd w:id="15"/>
    </w:p>
    <w:p w:rsidR="00E72DB2" w:rsidRPr="00B16BEA" w:rsidRDefault="00E72DB2" w:rsidP="00E72DB2">
      <w:pPr>
        <w:pStyle w:val="NormalWeb"/>
        <w:rPr>
          <w:lang w:val="en-GB"/>
        </w:rPr>
      </w:pPr>
      <w:r w:rsidRPr="00B16BEA">
        <w:rPr>
          <w:lang w:val="en-GB"/>
        </w:rPr>
        <w:t xml:space="preserve">The performance of the pineapple value chain architecture depends heavily on supporting services such as extension, finance, logistics, market information and quality control. In Ethiopian and Bangladeshi case studies, many farmers report limited access to specialized fruit extension, weak linkages to research institutions and inadequate post-harvest training, leading to suboptimal harvesting, handling and grading practices that reduce marketable yields (Alemu et al., 2023; Datta et al., 2024; </w:t>
      </w:r>
      <w:proofErr w:type="spellStart"/>
      <w:r w:rsidRPr="00B16BEA">
        <w:rPr>
          <w:lang w:val="en-GB"/>
        </w:rPr>
        <w:t>Gessesse</w:t>
      </w:r>
      <w:proofErr w:type="spellEnd"/>
      <w:r w:rsidRPr="00B16BEA">
        <w:rPr>
          <w:lang w:val="en-GB"/>
        </w:rPr>
        <w:t>, 2019). Access to formal credit is also constrained; consequently, farmers rely on traders or informal lenders, which reinforces unequal power relations within the chain and can lock producers into unfavourable marketing arrangements (</w:t>
      </w:r>
      <w:proofErr w:type="spellStart"/>
      <w:r w:rsidRPr="00B16BEA">
        <w:rPr>
          <w:lang w:val="en-GB"/>
        </w:rPr>
        <w:t>Adepoju</w:t>
      </w:r>
      <w:proofErr w:type="spellEnd"/>
      <w:r w:rsidRPr="00B16BEA">
        <w:rPr>
          <w:lang w:val="en-GB"/>
        </w:rPr>
        <w:t xml:space="preserve"> et al., 2015; Uddin et al., 2022).</w:t>
      </w:r>
    </w:p>
    <w:p w:rsidR="00E72DB2" w:rsidRPr="00B16BEA" w:rsidRDefault="00E72DB2" w:rsidP="00E72DB2">
      <w:pPr>
        <w:pStyle w:val="NormalWeb"/>
        <w:rPr>
          <w:lang w:val="en-GB"/>
        </w:rPr>
      </w:pPr>
      <w:r w:rsidRPr="00B16BEA">
        <w:rPr>
          <w:lang w:val="en-GB"/>
        </w:rPr>
        <w:t>Physical infrastructure and logistics are similarly critical. In Bangladesh’s Madhupur tract, poor road conditions, lack of cold storage and inadequate collection centres increase transport losses and force farmers to sell quickly at lower prices, strengthening intermediaries’ position (Hasan et al., 2023; Uddin et al., 2022). In Benin, sustainability diagnostics of the pineapple chain show that the scarcity of domestic packaging and processing inputs, combined with high reliance on imported intermediate goods and energy, undermines the chain’s economic and environmental performance (</w:t>
      </w:r>
      <w:proofErr w:type="spellStart"/>
      <w:r w:rsidRPr="00B16BEA">
        <w:rPr>
          <w:lang w:val="en-GB"/>
        </w:rPr>
        <w:t>Desclee</w:t>
      </w:r>
      <w:proofErr w:type="spellEnd"/>
      <w:r w:rsidRPr="00B16BEA">
        <w:rPr>
          <w:lang w:val="en-GB"/>
        </w:rPr>
        <w:t xml:space="preserve"> et al., 2021). These structural constraints limit the development of shorter, more efficient supply chains that could retain greater value locally.</w:t>
      </w:r>
    </w:p>
    <w:p w:rsidR="00E72DB2" w:rsidRPr="00B16BEA" w:rsidRDefault="00E72DB2" w:rsidP="00E72DB2">
      <w:pPr>
        <w:pStyle w:val="NormalWeb"/>
        <w:rPr>
          <w:lang w:val="en-GB"/>
        </w:rPr>
      </w:pPr>
      <w:r w:rsidRPr="00B16BEA">
        <w:rPr>
          <w:lang w:val="en-GB"/>
        </w:rPr>
        <w:t>Emerging evidence suggests that farmer organizations, digital technologies and multi-stakeholder platforms can help reconfigure the enabling environment in favour of more inclusive and sustainable architecture. Frontiers in Sustainable Food Systems work on the pineapple value chain documents how coordinated interventions in extension, producer organization and policy support can improve technical efficiency and reposition pineapple as a driver of rural transformation rather than a narrow cash crop (Datta et al., 2024). Similarly, risk mitigation studies in Ghana highlight the role of collaborative relationships, better information systems and joint investment in logistics for enhancing resilience to market and climatic shocks (</w:t>
      </w:r>
      <w:proofErr w:type="spellStart"/>
      <w:r w:rsidRPr="00B16BEA">
        <w:rPr>
          <w:lang w:val="en-GB"/>
        </w:rPr>
        <w:t>Nyamah</w:t>
      </w:r>
      <w:proofErr w:type="spellEnd"/>
      <w:r w:rsidRPr="00B16BEA">
        <w:rPr>
          <w:lang w:val="en-GB"/>
        </w:rPr>
        <w:t xml:space="preserve"> et al., 2015). Taken together, these findings underline that upgrading pineapple value chain architecture requires not only improvements at individual nodes, but also systemic investments in the institutions and services that connect them.</w:t>
      </w:r>
    </w:p>
    <w:p w:rsidR="00BA767B" w:rsidRDefault="00BA767B">
      <w:pPr>
        <w:rPr>
          <w:rStyle w:val="Strong"/>
          <w:rFonts w:ascii="Times New Roman" w:eastAsia="Times New Roman" w:hAnsi="Times New Roman" w:cs="Times New Roman"/>
          <w:sz w:val="27"/>
          <w:szCs w:val="27"/>
        </w:rPr>
      </w:pPr>
      <w:r>
        <w:rPr>
          <w:rStyle w:val="Strong"/>
          <w:b w:val="0"/>
          <w:bCs w:val="0"/>
        </w:rPr>
        <w:br w:type="page"/>
      </w:r>
    </w:p>
    <w:p w:rsidR="00E72DB2" w:rsidRPr="00B16BEA" w:rsidRDefault="00E72DB2" w:rsidP="00B16BEA">
      <w:pPr>
        <w:pStyle w:val="Heading3"/>
        <w:rPr>
          <w:lang w:val="en-GB"/>
        </w:rPr>
      </w:pPr>
      <w:bookmarkStart w:id="16" w:name="_Toc215940348"/>
      <w:r w:rsidRPr="00B16BEA">
        <w:rPr>
          <w:rStyle w:val="Strong"/>
          <w:b/>
          <w:bCs/>
          <w:lang w:val="en-GB"/>
        </w:rPr>
        <w:lastRenderedPageBreak/>
        <w:t>Table 1. Pineapple value chain architecture and key governance features</w:t>
      </w:r>
      <w:bookmarkEnd w:id="16"/>
      <w:r w:rsidRPr="00B16BEA">
        <w:rPr>
          <w:rStyle w:val="Strong"/>
          <w:b/>
          <w:bCs/>
          <w:lang w:val="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5"/>
        <w:gridCol w:w="2428"/>
        <w:gridCol w:w="2107"/>
        <w:gridCol w:w="2190"/>
        <w:gridCol w:w="1326"/>
      </w:tblGrid>
      <w:tr w:rsidR="00E72DB2" w:rsidRPr="00B16BEA" w:rsidTr="00E72DB2">
        <w:trPr>
          <w:tblHeader/>
          <w:tblCellSpacing w:w="15" w:type="dxa"/>
        </w:trPr>
        <w:tc>
          <w:tcPr>
            <w:tcW w:w="0" w:type="auto"/>
            <w:vAlign w:val="center"/>
            <w:hideMark/>
          </w:tcPr>
          <w:p w:rsidR="00E72DB2" w:rsidRPr="00B16BEA" w:rsidRDefault="00E72DB2">
            <w:pPr>
              <w:jc w:val="center"/>
              <w:rPr>
                <w:b/>
                <w:bCs/>
                <w:sz w:val="18"/>
                <w:szCs w:val="24"/>
              </w:rPr>
            </w:pPr>
            <w:r w:rsidRPr="00B16BEA">
              <w:rPr>
                <w:b/>
                <w:bCs/>
                <w:sz w:val="18"/>
              </w:rPr>
              <w:t>Segment of the chain</w:t>
            </w:r>
          </w:p>
        </w:tc>
        <w:tc>
          <w:tcPr>
            <w:tcW w:w="0" w:type="auto"/>
            <w:vAlign w:val="center"/>
            <w:hideMark/>
          </w:tcPr>
          <w:p w:rsidR="00E72DB2" w:rsidRPr="00B16BEA" w:rsidRDefault="00E72DB2">
            <w:pPr>
              <w:jc w:val="center"/>
              <w:rPr>
                <w:b/>
                <w:bCs/>
                <w:sz w:val="18"/>
                <w:szCs w:val="24"/>
              </w:rPr>
            </w:pPr>
            <w:r w:rsidRPr="00B16BEA">
              <w:rPr>
                <w:b/>
                <w:bCs/>
                <w:sz w:val="18"/>
              </w:rPr>
              <w:t>Key functions and typical actors</w:t>
            </w:r>
          </w:p>
        </w:tc>
        <w:tc>
          <w:tcPr>
            <w:tcW w:w="0" w:type="auto"/>
            <w:vAlign w:val="center"/>
            <w:hideMark/>
          </w:tcPr>
          <w:p w:rsidR="00E72DB2" w:rsidRPr="00B16BEA" w:rsidRDefault="00E72DB2">
            <w:pPr>
              <w:jc w:val="center"/>
              <w:rPr>
                <w:b/>
                <w:bCs/>
                <w:sz w:val="18"/>
                <w:szCs w:val="24"/>
              </w:rPr>
            </w:pPr>
            <w:r w:rsidRPr="00B16BEA">
              <w:rPr>
                <w:b/>
                <w:bCs/>
                <w:sz w:val="18"/>
              </w:rPr>
              <w:t>Dominant governance / coordination patterns</w:t>
            </w:r>
          </w:p>
        </w:tc>
        <w:tc>
          <w:tcPr>
            <w:tcW w:w="0" w:type="auto"/>
            <w:vAlign w:val="center"/>
            <w:hideMark/>
          </w:tcPr>
          <w:p w:rsidR="00E72DB2" w:rsidRPr="00B16BEA" w:rsidRDefault="00E72DB2">
            <w:pPr>
              <w:jc w:val="center"/>
              <w:rPr>
                <w:b/>
                <w:bCs/>
                <w:sz w:val="18"/>
                <w:szCs w:val="24"/>
              </w:rPr>
            </w:pPr>
            <w:r w:rsidRPr="00B16BEA">
              <w:rPr>
                <w:b/>
                <w:bCs/>
                <w:sz w:val="18"/>
              </w:rPr>
              <w:t>Key issues highlighted in empirical studies</w:t>
            </w:r>
          </w:p>
        </w:tc>
        <w:tc>
          <w:tcPr>
            <w:tcW w:w="0" w:type="auto"/>
            <w:vAlign w:val="center"/>
            <w:hideMark/>
          </w:tcPr>
          <w:p w:rsidR="00E72DB2" w:rsidRPr="00B16BEA" w:rsidRDefault="00E72DB2">
            <w:pPr>
              <w:jc w:val="center"/>
              <w:rPr>
                <w:b/>
                <w:bCs/>
                <w:sz w:val="18"/>
                <w:szCs w:val="24"/>
              </w:rPr>
            </w:pPr>
            <w:r w:rsidRPr="00B16BEA">
              <w:rPr>
                <w:b/>
                <w:bCs/>
                <w:sz w:val="18"/>
              </w:rPr>
              <w:t>Example evidence</w:t>
            </w:r>
          </w:p>
        </w:tc>
      </w:tr>
      <w:tr w:rsidR="00E72DB2" w:rsidRPr="00B16BEA" w:rsidTr="00E72DB2">
        <w:trPr>
          <w:tblCellSpacing w:w="15" w:type="dxa"/>
        </w:trPr>
        <w:tc>
          <w:tcPr>
            <w:tcW w:w="0" w:type="auto"/>
            <w:vAlign w:val="center"/>
            <w:hideMark/>
          </w:tcPr>
          <w:p w:rsidR="00E72DB2" w:rsidRPr="00B16BEA" w:rsidRDefault="00E72DB2">
            <w:pPr>
              <w:rPr>
                <w:sz w:val="18"/>
                <w:szCs w:val="24"/>
              </w:rPr>
            </w:pPr>
            <w:r w:rsidRPr="00B16BEA">
              <w:rPr>
                <w:sz w:val="18"/>
              </w:rPr>
              <w:t>Input supply &amp; services</w:t>
            </w:r>
          </w:p>
        </w:tc>
        <w:tc>
          <w:tcPr>
            <w:tcW w:w="0" w:type="auto"/>
            <w:vAlign w:val="center"/>
            <w:hideMark/>
          </w:tcPr>
          <w:p w:rsidR="00E72DB2" w:rsidRPr="00B16BEA" w:rsidRDefault="00E72DB2">
            <w:pPr>
              <w:rPr>
                <w:sz w:val="18"/>
                <w:szCs w:val="24"/>
              </w:rPr>
            </w:pPr>
            <w:r w:rsidRPr="00B16BEA">
              <w:rPr>
                <w:sz w:val="18"/>
              </w:rPr>
              <w:t>Provision of suckers/planting material, fertilizers, agrochemicals, basic advisory; actors include public agencies, private agro-dealers, NGOs and buyer-linked programmes</w:t>
            </w:r>
          </w:p>
        </w:tc>
        <w:tc>
          <w:tcPr>
            <w:tcW w:w="0" w:type="auto"/>
            <w:vAlign w:val="center"/>
            <w:hideMark/>
          </w:tcPr>
          <w:p w:rsidR="00E72DB2" w:rsidRPr="00B16BEA" w:rsidRDefault="00E72DB2">
            <w:pPr>
              <w:rPr>
                <w:sz w:val="18"/>
                <w:szCs w:val="24"/>
              </w:rPr>
            </w:pPr>
            <w:r w:rsidRPr="00B16BEA">
              <w:rPr>
                <w:sz w:val="18"/>
              </w:rPr>
              <w:t>Mostly market-based, with limited long-term contracts; occasional input provision linked to processors or exporters</w:t>
            </w:r>
          </w:p>
        </w:tc>
        <w:tc>
          <w:tcPr>
            <w:tcW w:w="0" w:type="auto"/>
            <w:vAlign w:val="center"/>
            <w:hideMark/>
          </w:tcPr>
          <w:p w:rsidR="00E72DB2" w:rsidRPr="00B16BEA" w:rsidRDefault="00E72DB2">
            <w:pPr>
              <w:rPr>
                <w:sz w:val="18"/>
                <w:szCs w:val="24"/>
              </w:rPr>
            </w:pPr>
            <w:r w:rsidRPr="00B16BEA">
              <w:rPr>
                <w:sz w:val="18"/>
              </w:rPr>
              <w:t>Quality and availability of planting material, high input prices, weak technical support constrain productivity and downstream quality</w:t>
            </w:r>
          </w:p>
        </w:tc>
        <w:tc>
          <w:tcPr>
            <w:tcW w:w="0" w:type="auto"/>
            <w:vAlign w:val="center"/>
            <w:hideMark/>
          </w:tcPr>
          <w:p w:rsidR="00E72DB2" w:rsidRPr="00B16BEA" w:rsidRDefault="00E72DB2">
            <w:pPr>
              <w:rPr>
                <w:sz w:val="18"/>
                <w:szCs w:val="24"/>
              </w:rPr>
            </w:pPr>
            <w:r w:rsidRPr="00B16BEA">
              <w:rPr>
                <w:sz w:val="18"/>
              </w:rPr>
              <w:t xml:space="preserve">(Alemu et al., 2023; </w:t>
            </w:r>
            <w:proofErr w:type="spellStart"/>
            <w:r w:rsidRPr="00B16BEA">
              <w:rPr>
                <w:sz w:val="18"/>
              </w:rPr>
              <w:t>Gessesse</w:t>
            </w:r>
            <w:proofErr w:type="spellEnd"/>
            <w:r w:rsidRPr="00B16BEA">
              <w:rPr>
                <w:sz w:val="18"/>
              </w:rPr>
              <w:t>, 2019; Hasan et al., 2023)</w:t>
            </w:r>
          </w:p>
        </w:tc>
      </w:tr>
      <w:tr w:rsidR="00E72DB2" w:rsidRPr="00B16BEA" w:rsidTr="00E72DB2">
        <w:trPr>
          <w:tblCellSpacing w:w="15" w:type="dxa"/>
        </w:trPr>
        <w:tc>
          <w:tcPr>
            <w:tcW w:w="0" w:type="auto"/>
            <w:vAlign w:val="center"/>
            <w:hideMark/>
          </w:tcPr>
          <w:p w:rsidR="00E72DB2" w:rsidRPr="00B16BEA" w:rsidRDefault="00E72DB2">
            <w:pPr>
              <w:rPr>
                <w:sz w:val="18"/>
                <w:szCs w:val="24"/>
              </w:rPr>
            </w:pPr>
            <w:r w:rsidRPr="00B16BEA">
              <w:rPr>
                <w:sz w:val="18"/>
              </w:rPr>
              <w:t>Farm production</w:t>
            </w:r>
          </w:p>
        </w:tc>
        <w:tc>
          <w:tcPr>
            <w:tcW w:w="0" w:type="auto"/>
            <w:vAlign w:val="center"/>
            <w:hideMark/>
          </w:tcPr>
          <w:p w:rsidR="00E72DB2" w:rsidRPr="00B16BEA" w:rsidRDefault="00E72DB2">
            <w:pPr>
              <w:rPr>
                <w:sz w:val="18"/>
                <w:szCs w:val="24"/>
              </w:rPr>
            </w:pPr>
            <w:r w:rsidRPr="00B16BEA">
              <w:rPr>
                <w:sz w:val="18"/>
              </w:rPr>
              <w:t>Smallholders and medium-scale farms, sometimes in mixed cropping or agroforestry systems; occasional estate plantations for export-grade fruit</w:t>
            </w:r>
          </w:p>
        </w:tc>
        <w:tc>
          <w:tcPr>
            <w:tcW w:w="0" w:type="auto"/>
            <w:vAlign w:val="center"/>
            <w:hideMark/>
          </w:tcPr>
          <w:p w:rsidR="00E72DB2" w:rsidRPr="00B16BEA" w:rsidRDefault="00E72DB2">
            <w:pPr>
              <w:rPr>
                <w:sz w:val="18"/>
                <w:szCs w:val="24"/>
              </w:rPr>
            </w:pPr>
            <w:r w:rsidRPr="00B16BEA">
              <w:rPr>
                <w:sz w:val="18"/>
              </w:rPr>
              <w:t>Spot market sales dominate; some relational ties with traders and processors; emerging contract and cooperative schemes in export segments</w:t>
            </w:r>
          </w:p>
        </w:tc>
        <w:tc>
          <w:tcPr>
            <w:tcW w:w="0" w:type="auto"/>
            <w:vAlign w:val="center"/>
            <w:hideMark/>
          </w:tcPr>
          <w:p w:rsidR="00E72DB2" w:rsidRPr="00B16BEA" w:rsidRDefault="00E72DB2">
            <w:pPr>
              <w:rPr>
                <w:sz w:val="18"/>
                <w:szCs w:val="24"/>
              </w:rPr>
            </w:pPr>
            <w:r w:rsidRPr="00B16BEA">
              <w:rPr>
                <w:sz w:val="18"/>
              </w:rPr>
              <w:t>Low bargaining power, high post-harvest losses, dependence on informal credit and brokers; limited capacity to meet strict quality standards</w:t>
            </w:r>
          </w:p>
        </w:tc>
        <w:tc>
          <w:tcPr>
            <w:tcW w:w="0" w:type="auto"/>
            <w:vAlign w:val="center"/>
            <w:hideMark/>
          </w:tcPr>
          <w:p w:rsidR="00E72DB2" w:rsidRPr="00B16BEA" w:rsidRDefault="00E72DB2">
            <w:pPr>
              <w:rPr>
                <w:sz w:val="18"/>
                <w:szCs w:val="24"/>
              </w:rPr>
            </w:pPr>
            <w:r w:rsidRPr="00B16BEA">
              <w:rPr>
                <w:sz w:val="18"/>
              </w:rPr>
              <w:t xml:space="preserve">(Alemu et al., 2023; </w:t>
            </w:r>
            <w:proofErr w:type="spellStart"/>
            <w:r w:rsidRPr="00B16BEA">
              <w:rPr>
                <w:sz w:val="18"/>
              </w:rPr>
              <w:t>Gessesse</w:t>
            </w:r>
            <w:proofErr w:type="spellEnd"/>
            <w:r w:rsidRPr="00B16BEA">
              <w:rPr>
                <w:sz w:val="18"/>
              </w:rPr>
              <w:t xml:space="preserve">, 2019; </w:t>
            </w:r>
            <w:proofErr w:type="spellStart"/>
            <w:r w:rsidRPr="00B16BEA">
              <w:rPr>
                <w:sz w:val="18"/>
              </w:rPr>
              <w:t>Mankhin</w:t>
            </w:r>
            <w:proofErr w:type="spellEnd"/>
            <w:r w:rsidRPr="00B16BEA">
              <w:rPr>
                <w:sz w:val="18"/>
              </w:rPr>
              <w:t xml:space="preserve"> et al., 2024)</w:t>
            </w:r>
          </w:p>
        </w:tc>
      </w:tr>
      <w:tr w:rsidR="00E72DB2" w:rsidRPr="00B16BEA" w:rsidTr="00E72DB2">
        <w:trPr>
          <w:tblCellSpacing w:w="15" w:type="dxa"/>
        </w:trPr>
        <w:tc>
          <w:tcPr>
            <w:tcW w:w="0" w:type="auto"/>
            <w:vAlign w:val="center"/>
            <w:hideMark/>
          </w:tcPr>
          <w:p w:rsidR="00E72DB2" w:rsidRPr="00B16BEA" w:rsidRDefault="00E72DB2">
            <w:pPr>
              <w:rPr>
                <w:sz w:val="18"/>
                <w:szCs w:val="24"/>
              </w:rPr>
            </w:pPr>
            <w:r w:rsidRPr="00B16BEA">
              <w:rPr>
                <w:sz w:val="18"/>
              </w:rPr>
              <w:t>Assembly, wholesale &amp; brokerage</w:t>
            </w:r>
          </w:p>
        </w:tc>
        <w:tc>
          <w:tcPr>
            <w:tcW w:w="0" w:type="auto"/>
            <w:vAlign w:val="center"/>
            <w:hideMark/>
          </w:tcPr>
          <w:p w:rsidR="00E72DB2" w:rsidRPr="00B16BEA" w:rsidRDefault="00E72DB2">
            <w:pPr>
              <w:rPr>
                <w:sz w:val="18"/>
                <w:szCs w:val="24"/>
              </w:rPr>
            </w:pPr>
            <w:r w:rsidRPr="00B16BEA">
              <w:rPr>
                <w:sz w:val="18"/>
              </w:rPr>
              <w:t>Village collectors, commission agents, wholesalers, transporters; perform aggregation, grading, bulking, short-term storage and logistics</w:t>
            </w:r>
          </w:p>
        </w:tc>
        <w:tc>
          <w:tcPr>
            <w:tcW w:w="0" w:type="auto"/>
            <w:vAlign w:val="center"/>
            <w:hideMark/>
          </w:tcPr>
          <w:p w:rsidR="00E72DB2" w:rsidRPr="00B16BEA" w:rsidRDefault="00E72DB2">
            <w:pPr>
              <w:rPr>
                <w:sz w:val="18"/>
                <w:szCs w:val="24"/>
              </w:rPr>
            </w:pPr>
            <w:r w:rsidRPr="00B16BEA">
              <w:rPr>
                <w:sz w:val="18"/>
              </w:rPr>
              <w:t>Trader-driven governance; intermediaries coordinate flows and often set prices; bilateral agreements and advance payment arrangements common</w:t>
            </w:r>
          </w:p>
        </w:tc>
        <w:tc>
          <w:tcPr>
            <w:tcW w:w="0" w:type="auto"/>
            <w:vAlign w:val="center"/>
            <w:hideMark/>
          </w:tcPr>
          <w:p w:rsidR="00E72DB2" w:rsidRPr="00B16BEA" w:rsidRDefault="00E72DB2">
            <w:pPr>
              <w:rPr>
                <w:sz w:val="18"/>
                <w:szCs w:val="24"/>
              </w:rPr>
            </w:pPr>
            <w:r w:rsidRPr="00B16BEA">
              <w:rPr>
                <w:sz w:val="18"/>
              </w:rPr>
              <w:t>High concentration among traders, information asymmetry, and transaction costs; intermediaries capture substantial share of value added</w:t>
            </w:r>
          </w:p>
        </w:tc>
        <w:tc>
          <w:tcPr>
            <w:tcW w:w="0" w:type="auto"/>
            <w:vAlign w:val="center"/>
            <w:hideMark/>
          </w:tcPr>
          <w:p w:rsidR="00E72DB2" w:rsidRPr="00B16BEA" w:rsidRDefault="00E72DB2">
            <w:pPr>
              <w:rPr>
                <w:sz w:val="18"/>
                <w:szCs w:val="24"/>
              </w:rPr>
            </w:pPr>
            <w:r w:rsidRPr="00B16BEA">
              <w:rPr>
                <w:sz w:val="18"/>
              </w:rPr>
              <w:t>(Alemu et al., 2023; Hasan et al., 2023; Uddin et al., 2022)</w:t>
            </w:r>
          </w:p>
        </w:tc>
      </w:tr>
      <w:tr w:rsidR="00E72DB2" w:rsidRPr="00B16BEA" w:rsidTr="00E72DB2">
        <w:trPr>
          <w:tblCellSpacing w:w="15" w:type="dxa"/>
        </w:trPr>
        <w:tc>
          <w:tcPr>
            <w:tcW w:w="0" w:type="auto"/>
            <w:vAlign w:val="center"/>
            <w:hideMark/>
          </w:tcPr>
          <w:p w:rsidR="00E72DB2" w:rsidRPr="00B16BEA" w:rsidRDefault="00E72DB2">
            <w:pPr>
              <w:rPr>
                <w:sz w:val="18"/>
                <w:szCs w:val="24"/>
              </w:rPr>
            </w:pPr>
            <w:r w:rsidRPr="00B16BEA">
              <w:rPr>
                <w:sz w:val="18"/>
              </w:rPr>
              <w:t>Processing &amp; export</w:t>
            </w:r>
          </w:p>
        </w:tc>
        <w:tc>
          <w:tcPr>
            <w:tcW w:w="0" w:type="auto"/>
            <w:vAlign w:val="center"/>
            <w:hideMark/>
          </w:tcPr>
          <w:p w:rsidR="00E72DB2" w:rsidRPr="00B16BEA" w:rsidRDefault="00E72DB2">
            <w:pPr>
              <w:rPr>
                <w:sz w:val="18"/>
                <w:szCs w:val="24"/>
              </w:rPr>
            </w:pPr>
            <w:r w:rsidRPr="00B16BEA">
              <w:rPr>
                <w:sz w:val="18"/>
              </w:rPr>
              <w:t>Artisanal and industrial processors (juice, canned, dried fruit, derivatives), export packhouses, organic/specialty supply chains</w:t>
            </w:r>
          </w:p>
        </w:tc>
        <w:tc>
          <w:tcPr>
            <w:tcW w:w="0" w:type="auto"/>
            <w:vAlign w:val="center"/>
            <w:hideMark/>
          </w:tcPr>
          <w:p w:rsidR="00E72DB2" w:rsidRPr="00B16BEA" w:rsidRDefault="00E72DB2">
            <w:pPr>
              <w:rPr>
                <w:sz w:val="18"/>
                <w:szCs w:val="24"/>
              </w:rPr>
            </w:pPr>
            <w:r w:rsidRPr="00B16BEA">
              <w:rPr>
                <w:sz w:val="18"/>
              </w:rPr>
              <w:t>Mix of market, relational and contractual governance; stronger coordination where standards (organic, EU quality, residue limits) apply</w:t>
            </w:r>
          </w:p>
        </w:tc>
        <w:tc>
          <w:tcPr>
            <w:tcW w:w="0" w:type="auto"/>
            <w:vAlign w:val="center"/>
            <w:hideMark/>
          </w:tcPr>
          <w:p w:rsidR="00E72DB2" w:rsidRPr="00B16BEA" w:rsidRDefault="00E72DB2">
            <w:pPr>
              <w:rPr>
                <w:sz w:val="18"/>
                <w:szCs w:val="24"/>
              </w:rPr>
            </w:pPr>
            <w:r w:rsidRPr="00B16BEA">
              <w:rPr>
                <w:sz w:val="18"/>
              </w:rPr>
              <w:t>Need for consistent supply of high-quality fruit, capital-intensive technologies, and compliance with international standards; potential for by-product utilisation</w:t>
            </w:r>
          </w:p>
        </w:tc>
        <w:tc>
          <w:tcPr>
            <w:tcW w:w="0" w:type="auto"/>
            <w:vAlign w:val="center"/>
            <w:hideMark/>
          </w:tcPr>
          <w:p w:rsidR="00E72DB2" w:rsidRPr="00B16BEA" w:rsidRDefault="00E72DB2">
            <w:pPr>
              <w:rPr>
                <w:sz w:val="18"/>
                <w:szCs w:val="24"/>
              </w:rPr>
            </w:pPr>
            <w:r w:rsidRPr="00B16BEA">
              <w:rPr>
                <w:sz w:val="18"/>
              </w:rPr>
              <w:t xml:space="preserve">(Datta et al., 2024; </w:t>
            </w:r>
            <w:proofErr w:type="spellStart"/>
            <w:r w:rsidRPr="00B16BEA">
              <w:rPr>
                <w:sz w:val="18"/>
              </w:rPr>
              <w:t>Desclee</w:t>
            </w:r>
            <w:proofErr w:type="spellEnd"/>
            <w:r w:rsidRPr="00B16BEA">
              <w:rPr>
                <w:sz w:val="18"/>
              </w:rPr>
              <w:t xml:space="preserve"> et al., 2021)</w:t>
            </w:r>
          </w:p>
        </w:tc>
      </w:tr>
      <w:tr w:rsidR="00E72DB2" w:rsidRPr="00B16BEA" w:rsidTr="00E72DB2">
        <w:trPr>
          <w:tblCellSpacing w:w="15" w:type="dxa"/>
        </w:trPr>
        <w:tc>
          <w:tcPr>
            <w:tcW w:w="0" w:type="auto"/>
            <w:vAlign w:val="center"/>
            <w:hideMark/>
          </w:tcPr>
          <w:p w:rsidR="00E72DB2" w:rsidRPr="00B16BEA" w:rsidRDefault="00E72DB2">
            <w:pPr>
              <w:rPr>
                <w:sz w:val="18"/>
                <w:szCs w:val="24"/>
              </w:rPr>
            </w:pPr>
            <w:r w:rsidRPr="00B16BEA">
              <w:rPr>
                <w:sz w:val="18"/>
              </w:rPr>
              <w:t>Supporting services &amp; institutions</w:t>
            </w:r>
          </w:p>
        </w:tc>
        <w:tc>
          <w:tcPr>
            <w:tcW w:w="0" w:type="auto"/>
            <w:vAlign w:val="center"/>
            <w:hideMark/>
          </w:tcPr>
          <w:p w:rsidR="00E72DB2" w:rsidRPr="00B16BEA" w:rsidRDefault="00E72DB2">
            <w:pPr>
              <w:rPr>
                <w:sz w:val="18"/>
                <w:szCs w:val="24"/>
              </w:rPr>
            </w:pPr>
            <w:r w:rsidRPr="00B16BEA">
              <w:rPr>
                <w:sz w:val="18"/>
              </w:rPr>
              <w:t>Extension, financial services, market information, logistics, infrastructure, certification and regulatory agencies, farmer organizations</w:t>
            </w:r>
          </w:p>
        </w:tc>
        <w:tc>
          <w:tcPr>
            <w:tcW w:w="0" w:type="auto"/>
            <w:vAlign w:val="center"/>
            <w:hideMark/>
          </w:tcPr>
          <w:p w:rsidR="00E72DB2" w:rsidRPr="00B16BEA" w:rsidRDefault="00E72DB2">
            <w:pPr>
              <w:rPr>
                <w:sz w:val="18"/>
                <w:szCs w:val="24"/>
              </w:rPr>
            </w:pPr>
            <w:r w:rsidRPr="00B16BEA">
              <w:rPr>
                <w:sz w:val="18"/>
              </w:rPr>
              <w:t>Often fragmented and under-resourced; ad hoc project-based coordination; growing role for cooperatives and digital tools</w:t>
            </w:r>
          </w:p>
        </w:tc>
        <w:tc>
          <w:tcPr>
            <w:tcW w:w="0" w:type="auto"/>
            <w:vAlign w:val="center"/>
            <w:hideMark/>
          </w:tcPr>
          <w:p w:rsidR="00E72DB2" w:rsidRPr="00B16BEA" w:rsidRDefault="00E72DB2">
            <w:pPr>
              <w:rPr>
                <w:sz w:val="18"/>
                <w:szCs w:val="24"/>
              </w:rPr>
            </w:pPr>
            <w:r w:rsidRPr="00B16BEA">
              <w:rPr>
                <w:sz w:val="18"/>
              </w:rPr>
              <w:t>Limited formal credit, weak extension, poor roads and absence of cold chain infrastructure undermine inclusive upgrading and resilience</w:t>
            </w:r>
          </w:p>
        </w:tc>
        <w:tc>
          <w:tcPr>
            <w:tcW w:w="0" w:type="auto"/>
            <w:vAlign w:val="center"/>
            <w:hideMark/>
          </w:tcPr>
          <w:p w:rsidR="00E72DB2" w:rsidRPr="00B16BEA" w:rsidRDefault="00E72DB2">
            <w:pPr>
              <w:rPr>
                <w:sz w:val="18"/>
                <w:szCs w:val="24"/>
              </w:rPr>
            </w:pPr>
            <w:r w:rsidRPr="00B16BEA">
              <w:rPr>
                <w:sz w:val="18"/>
              </w:rPr>
              <w:t xml:space="preserve"> (</w:t>
            </w:r>
            <w:proofErr w:type="spellStart"/>
            <w:r w:rsidRPr="00B16BEA">
              <w:rPr>
                <w:sz w:val="18"/>
              </w:rPr>
              <w:t>Adepoju</w:t>
            </w:r>
            <w:proofErr w:type="spellEnd"/>
            <w:r w:rsidRPr="00B16BEA">
              <w:rPr>
                <w:sz w:val="18"/>
              </w:rPr>
              <w:t xml:space="preserve"> et al., 2015; Datta et al., 2024; </w:t>
            </w:r>
            <w:proofErr w:type="spellStart"/>
            <w:r w:rsidRPr="00B16BEA">
              <w:rPr>
                <w:sz w:val="18"/>
              </w:rPr>
              <w:t>Mankhin</w:t>
            </w:r>
            <w:proofErr w:type="spellEnd"/>
            <w:r w:rsidRPr="00B16BEA">
              <w:rPr>
                <w:sz w:val="18"/>
              </w:rPr>
              <w:t xml:space="preserve"> et al., 2024; </w:t>
            </w:r>
            <w:proofErr w:type="spellStart"/>
            <w:r w:rsidRPr="00B16BEA">
              <w:rPr>
                <w:sz w:val="18"/>
              </w:rPr>
              <w:t>Nyamah</w:t>
            </w:r>
            <w:proofErr w:type="spellEnd"/>
            <w:r w:rsidRPr="00B16BEA">
              <w:rPr>
                <w:sz w:val="18"/>
              </w:rPr>
              <w:t xml:space="preserve"> et al., 2015)</w:t>
            </w:r>
          </w:p>
        </w:tc>
      </w:tr>
    </w:tbl>
    <w:p w:rsidR="00E72DB2" w:rsidRPr="00B16BEA" w:rsidRDefault="00E72DB2" w:rsidP="00E72DB2"/>
    <w:p w:rsidR="005B02AF" w:rsidRPr="00B16BEA" w:rsidRDefault="005B02AF" w:rsidP="005B02AF"/>
    <w:p w:rsidR="00E72DB2" w:rsidRPr="00B16BEA" w:rsidRDefault="00E72DB2" w:rsidP="00B16BEA">
      <w:pPr>
        <w:pStyle w:val="Heading2"/>
        <w:rPr>
          <w:lang w:val="en-GB"/>
        </w:rPr>
      </w:pPr>
      <w:bookmarkStart w:id="17" w:name="_Toc215940349"/>
      <w:r w:rsidRPr="00B16BEA">
        <w:rPr>
          <w:lang w:val="en-GB"/>
        </w:rPr>
        <w:t>4. Market Dynamics in Producer Countries</w:t>
      </w:r>
      <w:bookmarkEnd w:id="17"/>
    </w:p>
    <w:p w:rsidR="00E72DB2" w:rsidRPr="00B16BEA" w:rsidRDefault="00E72DB2" w:rsidP="00B16BEA">
      <w:pPr>
        <w:pStyle w:val="Heading3"/>
        <w:rPr>
          <w:lang w:val="en-GB"/>
        </w:rPr>
      </w:pPr>
      <w:bookmarkStart w:id="18" w:name="_Toc215940350"/>
      <w:r w:rsidRPr="00B16BEA">
        <w:rPr>
          <w:lang w:val="en-GB"/>
        </w:rPr>
        <w:t>4.1 Farm profitability and livelihood implications</w:t>
      </w:r>
      <w:bookmarkEnd w:id="18"/>
    </w:p>
    <w:p w:rsidR="00E72DB2" w:rsidRPr="00B16BEA" w:rsidRDefault="00E72DB2" w:rsidP="00E72DB2">
      <w:pPr>
        <w:pStyle w:val="NormalWeb"/>
        <w:rPr>
          <w:lang w:val="en-GB"/>
        </w:rPr>
      </w:pPr>
      <w:r w:rsidRPr="00B16BEA">
        <w:rPr>
          <w:lang w:val="en-GB"/>
        </w:rPr>
        <w:t xml:space="preserve">This subsection examines how pineapple market dynamics in major producer countries translate into farm-level profitability and livelihood outcomes. Across Bangladesh, India, Ethiopia and Thailand, recent studies consistently show that pineapple is more profitable than many competing crops, but the magnitude and distribution of returns are highly context-specific. In Madhupur </w:t>
      </w:r>
      <w:proofErr w:type="spellStart"/>
      <w:r w:rsidRPr="00B16BEA">
        <w:rPr>
          <w:lang w:val="en-GB"/>
        </w:rPr>
        <w:t>upazila</w:t>
      </w:r>
      <w:proofErr w:type="spellEnd"/>
      <w:r w:rsidRPr="00B16BEA">
        <w:rPr>
          <w:lang w:val="en-GB"/>
        </w:rPr>
        <w:t xml:space="preserve"> of Tangail, Bangladesh, Uddin et al. (2022) found that </w:t>
      </w:r>
      <w:r w:rsidRPr="00B16BEA">
        <w:rPr>
          <w:lang w:val="en-GB"/>
        </w:rPr>
        <w:lastRenderedPageBreak/>
        <w:t>pineapple production generated attractive net returns and positive benefit–cost ratios for growers, with wholesalers capturing the largest share of value addition along the chain. Farmers’ decisions to adopt pineapple were strongly influenced by income prospects, access to credit, market prices and labour availability, underscoring how farm profitability is embedded in broader market and institutional conditions.</w:t>
      </w:r>
    </w:p>
    <w:p w:rsidR="00E72DB2" w:rsidRPr="00B16BEA" w:rsidRDefault="00E72DB2" w:rsidP="00E72DB2">
      <w:pPr>
        <w:pStyle w:val="NormalWeb"/>
        <w:rPr>
          <w:lang w:val="en-GB"/>
        </w:rPr>
      </w:pPr>
      <w:r w:rsidRPr="00B16BEA">
        <w:rPr>
          <w:lang w:val="en-GB"/>
        </w:rPr>
        <w:t xml:space="preserve">Farm-level evidence from the same agro-ecological region indicates that pineapple has become a key livelihood strategy where agro-climatic conditions favour the crop. Hasan et al. (2023) reported that in the Madhupur tract of Bangladesh, most surveyed growers cited higher profit compared to alternative crops as the dominant reason for cultivating pineapple, and identified multiple marketing channels ranging from short chains linking growers directly to local traders to longer chains involving several intermediaries before reaching urban consumers. Datta et al. (2023) further showed that pineapple production in </w:t>
      </w:r>
      <w:proofErr w:type="spellStart"/>
      <w:r w:rsidRPr="00B16BEA">
        <w:rPr>
          <w:lang w:val="en-GB"/>
        </w:rPr>
        <w:t>Sreemangal</w:t>
      </w:r>
      <w:proofErr w:type="spellEnd"/>
      <w:r w:rsidRPr="00B16BEA">
        <w:rPr>
          <w:lang w:val="en-GB"/>
        </w:rPr>
        <w:t>, Bangladesh, is commercially viable for smallholders, but profitability is highly sensitive to input prices and output price volatility, highlighting farmers’ exposure to market risks even in otherwise profitable systems.</w:t>
      </w:r>
    </w:p>
    <w:p w:rsidR="00E72DB2" w:rsidRPr="00B16BEA" w:rsidRDefault="00E72DB2" w:rsidP="00E72DB2">
      <w:pPr>
        <w:pStyle w:val="NormalWeb"/>
        <w:rPr>
          <w:lang w:val="en-GB"/>
        </w:rPr>
      </w:pPr>
      <w:r w:rsidRPr="00B16BEA">
        <w:rPr>
          <w:lang w:val="en-GB"/>
        </w:rPr>
        <w:t xml:space="preserve">Beyond Bangladesh, </w:t>
      </w:r>
      <w:proofErr w:type="spellStart"/>
      <w:r w:rsidRPr="00B16BEA">
        <w:rPr>
          <w:lang w:val="en-GB"/>
        </w:rPr>
        <w:t>Shohe</w:t>
      </w:r>
      <w:proofErr w:type="spellEnd"/>
      <w:r w:rsidRPr="00B16BEA">
        <w:rPr>
          <w:lang w:val="en-GB"/>
        </w:rPr>
        <w:t xml:space="preserve"> et al. (2025) analysed pineapple cultivation in Assam, India, and reported economically viable gross margins, while also documenting significant production and marketing constraints such as limited access to institutional credit, high transport costs and inadequate storage and processing infrastructure. In Southern Ethiopia, </w:t>
      </w:r>
      <w:proofErr w:type="spellStart"/>
      <w:r w:rsidRPr="00B16BEA">
        <w:rPr>
          <w:lang w:val="en-GB"/>
        </w:rPr>
        <w:t>Gessesse</w:t>
      </w:r>
      <w:proofErr w:type="spellEnd"/>
      <w:r w:rsidRPr="00B16BEA">
        <w:rPr>
          <w:lang w:val="en-GB"/>
        </w:rPr>
        <w:t xml:space="preserve"> et al. (2019) and Alemu et al. (2023) found that producers in traditional agroforestry-based pineapple systems capture only a modest share of total value added, despite bearing substantial production and climate risk. These results collectively suggest that while pineapple is generally profitable at farm level in producer countries, the extent to which it improves livelihoods depends on farmers’ position in the value chain, their bargaining power and the availability of risk management instruments.</w:t>
      </w:r>
    </w:p>
    <w:p w:rsidR="00E72DB2" w:rsidRPr="00B16BEA" w:rsidRDefault="00E72DB2" w:rsidP="00E72DB2">
      <w:pPr>
        <w:pStyle w:val="NormalWeb"/>
        <w:rPr>
          <w:lang w:val="en-GB"/>
        </w:rPr>
      </w:pPr>
      <w:r w:rsidRPr="00B16BEA">
        <w:rPr>
          <w:lang w:val="en-GB"/>
        </w:rPr>
        <w:t xml:space="preserve">Technical efficiency and farm planning studies add another layer to this picture. Datta et al. (2024) used a stochastic frontier approach to show that pineapple growers in north-eastern Bangladesh operate below the production frontier, implying that substantial efficiency gains are possible through improved management, extension and market support rather than expansion of cultivated area alone. In Thailand, </w:t>
      </w:r>
      <w:proofErr w:type="spellStart"/>
      <w:r w:rsidRPr="00B16BEA">
        <w:rPr>
          <w:lang w:val="en-GB"/>
        </w:rPr>
        <w:t>Phrommarat</w:t>
      </w:r>
      <w:proofErr w:type="spellEnd"/>
      <w:r w:rsidRPr="00B16BEA">
        <w:rPr>
          <w:lang w:val="en-GB"/>
        </w:rPr>
        <w:t xml:space="preserve"> and </w:t>
      </w:r>
      <w:proofErr w:type="spellStart"/>
      <w:r w:rsidRPr="00B16BEA">
        <w:rPr>
          <w:lang w:val="en-GB"/>
        </w:rPr>
        <w:t>Oonkasem</w:t>
      </w:r>
      <w:proofErr w:type="spellEnd"/>
      <w:r w:rsidRPr="00B16BEA">
        <w:rPr>
          <w:lang w:val="en-GB"/>
        </w:rPr>
        <w:t xml:space="preserve"> (2021) compared conventional and integrated pineapple farming systems and demonstrated that integrated systems can simultaneously enhance gross margins and eco-efficiency, particularly when farmers select cultivar and harvest timing combinations that stabilise income across seasons. Together, these studies underscore that farm-level profitability in producer countries is shaped not only by crop price levels but also by efficiency, input use strategies and the interaction between environmental and income risks.</w:t>
      </w:r>
    </w:p>
    <w:p w:rsidR="00E72DB2" w:rsidRPr="00B16BEA" w:rsidRDefault="00E72DB2" w:rsidP="00B16BEA">
      <w:pPr>
        <w:pStyle w:val="Heading3"/>
        <w:rPr>
          <w:lang w:val="en-GB"/>
        </w:rPr>
      </w:pPr>
      <w:bookmarkStart w:id="19" w:name="_Toc215940351"/>
      <w:r w:rsidRPr="00B16BEA">
        <w:rPr>
          <w:lang w:val="en-GB"/>
        </w:rPr>
        <w:t>4.2 Domestic marketing channels, margins and price transmission</w:t>
      </w:r>
      <w:bookmarkEnd w:id="19"/>
    </w:p>
    <w:p w:rsidR="00E72DB2" w:rsidRPr="00B16BEA" w:rsidRDefault="00E72DB2" w:rsidP="00E72DB2">
      <w:pPr>
        <w:pStyle w:val="NormalWeb"/>
        <w:rPr>
          <w:lang w:val="en-GB"/>
        </w:rPr>
      </w:pPr>
      <w:r w:rsidRPr="00B16BEA">
        <w:rPr>
          <w:lang w:val="en-GB"/>
        </w:rPr>
        <w:t xml:space="preserve">This subsection analyses how domestic market structures, actor margins and price transmission shape incentives in producer countries. In Bangladesh, Uddin et al. (2022) mapped six marketing channels in Madhupur and showed that although farmers obtain positive profits, wholesalers and other downstream actors capture a disproportionate share of value added, with wholesalers alone contributing more than one-third of total value addition per fruit. Hasan et al. (2023) similarly reported that growers’ share in the final consumer price, although higher than in some other fruit chains, remains constrained by fragmented marketing and limited direct access to urban wholesale markets. </w:t>
      </w:r>
      <w:r w:rsidR="004B540C" w:rsidRPr="00B16BEA">
        <w:rPr>
          <w:lang w:val="en-GB"/>
        </w:rPr>
        <w:t>Hasan</w:t>
      </w:r>
      <w:r w:rsidRPr="00B16BEA">
        <w:rPr>
          <w:lang w:val="en-GB"/>
        </w:rPr>
        <w:t xml:space="preserve"> et al. (202</w:t>
      </w:r>
      <w:r w:rsidR="004B540C" w:rsidRPr="00B16BEA">
        <w:rPr>
          <w:lang w:val="en-GB"/>
        </w:rPr>
        <w:t>4</w:t>
      </w:r>
      <w:r w:rsidRPr="00B16BEA">
        <w:rPr>
          <w:lang w:val="en-GB"/>
        </w:rPr>
        <w:t xml:space="preserve">) extended </w:t>
      </w:r>
      <w:r w:rsidRPr="00B16BEA">
        <w:rPr>
          <w:lang w:val="en-GB"/>
        </w:rPr>
        <w:lastRenderedPageBreak/>
        <w:t xml:space="preserve">this analysis by focusing specifically on market dynamics and challenges in the </w:t>
      </w:r>
      <w:proofErr w:type="spellStart"/>
      <w:r w:rsidRPr="00B16BEA">
        <w:rPr>
          <w:lang w:val="en-GB"/>
        </w:rPr>
        <w:t>Modhupur</w:t>
      </w:r>
      <w:proofErr w:type="spellEnd"/>
      <w:r w:rsidRPr="00B16BEA">
        <w:rPr>
          <w:lang w:val="en-GB"/>
        </w:rPr>
        <w:t xml:space="preserve"> value chain, documenting that while multiple actors (</w:t>
      </w:r>
      <w:proofErr w:type="spellStart"/>
      <w:r w:rsidRPr="00B16BEA">
        <w:rPr>
          <w:lang w:val="en-GB"/>
        </w:rPr>
        <w:t>faria</w:t>
      </w:r>
      <w:proofErr w:type="spellEnd"/>
      <w:r w:rsidRPr="00B16BEA">
        <w:rPr>
          <w:lang w:val="en-GB"/>
        </w:rPr>
        <w:t xml:space="preserve">, </w:t>
      </w:r>
      <w:proofErr w:type="spellStart"/>
      <w:r w:rsidRPr="00B16BEA">
        <w:rPr>
          <w:lang w:val="en-GB"/>
        </w:rPr>
        <w:t>bepari</w:t>
      </w:r>
      <w:proofErr w:type="spellEnd"/>
      <w:r w:rsidRPr="00B16BEA">
        <w:rPr>
          <w:lang w:val="en-GB"/>
        </w:rPr>
        <w:t xml:space="preserve">, </w:t>
      </w:r>
      <w:proofErr w:type="spellStart"/>
      <w:r w:rsidRPr="00B16BEA">
        <w:rPr>
          <w:lang w:val="en-GB"/>
        </w:rPr>
        <w:t>aratdar</w:t>
      </w:r>
      <w:proofErr w:type="spellEnd"/>
      <w:r w:rsidRPr="00B16BEA">
        <w:rPr>
          <w:lang w:val="en-GB"/>
        </w:rPr>
        <w:t>, wholesaler and retailer) perform essential aggregation and distribution functions, weak coordination, lack of cold chain facilities and information asymmetries contribute to margin dispersion and depressed farm-gate prices.</w:t>
      </w:r>
    </w:p>
    <w:p w:rsidR="00E72DB2" w:rsidRPr="00B16BEA" w:rsidRDefault="00E72DB2" w:rsidP="00E72DB2">
      <w:pPr>
        <w:pStyle w:val="NormalWeb"/>
        <w:rPr>
          <w:lang w:val="en-GB"/>
        </w:rPr>
      </w:pPr>
      <w:r w:rsidRPr="00B16BEA">
        <w:rPr>
          <w:lang w:val="en-GB"/>
        </w:rPr>
        <w:t xml:space="preserve">In India’s north-eastern region, Das et al. (2023) and </w:t>
      </w:r>
      <w:proofErr w:type="spellStart"/>
      <w:r w:rsidRPr="00B16BEA">
        <w:rPr>
          <w:lang w:val="en-GB"/>
        </w:rPr>
        <w:t>Shohe</w:t>
      </w:r>
      <w:proofErr w:type="spellEnd"/>
      <w:r w:rsidRPr="00B16BEA">
        <w:rPr>
          <w:lang w:val="en-GB"/>
        </w:rPr>
        <w:t xml:space="preserve"> et al. (2025) found that marketing margins are strongly influenced by distance to markets, road quality and the presence of organised buyers. For organic pineapple in Assam, Das et al. (2023) reported that longer, poorly coordinated chains lead to high cumulative marketing margins and substantial price spread, with processors and distant wholesalers appropriating higher returns than farmers, despite the additional effort farmers invest in organic compliance and quality maintenance. </w:t>
      </w:r>
      <w:proofErr w:type="spellStart"/>
      <w:r w:rsidRPr="00B16BEA">
        <w:rPr>
          <w:lang w:val="en-GB"/>
        </w:rPr>
        <w:t>Shohe</w:t>
      </w:r>
      <w:proofErr w:type="spellEnd"/>
      <w:r w:rsidRPr="00B16BEA">
        <w:rPr>
          <w:lang w:val="en-GB"/>
        </w:rPr>
        <w:t xml:space="preserve"> et al. (2025) observed that informal credit–marketing linkages (such as advance payments by traders) often lock farmers into relationships where they have limited ability to shop around for better prices, reinforcing existing power asymmetries along the chain.</w:t>
      </w:r>
    </w:p>
    <w:p w:rsidR="00E72DB2" w:rsidRPr="00B16BEA" w:rsidRDefault="00E72DB2" w:rsidP="00E72DB2">
      <w:pPr>
        <w:pStyle w:val="NormalWeb"/>
        <w:rPr>
          <w:lang w:val="en-GB"/>
        </w:rPr>
      </w:pPr>
      <w:r w:rsidRPr="00B16BEA">
        <w:rPr>
          <w:lang w:val="en-GB"/>
        </w:rPr>
        <w:t xml:space="preserve">Ethiopian cases show similar patterns but with distinct institutional specificities. In Southern Ethiopia, </w:t>
      </w:r>
      <w:proofErr w:type="spellStart"/>
      <w:r w:rsidRPr="00B16BEA">
        <w:rPr>
          <w:lang w:val="en-GB"/>
        </w:rPr>
        <w:t>Gessesse</w:t>
      </w:r>
      <w:proofErr w:type="spellEnd"/>
      <w:r w:rsidRPr="00B16BEA">
        <w:rPr>
          <w:lang w:val="en-GB"/>
        </w:rPr>
        <w:t xml:space="preserve"> et al. (2019) documented value chains where smallholder farmers, often operating within traditional agroforestry systems, sell mainly to local collectors and small traders, who in turn supply regional markets. Alemu et al. (2023) quantified margins along the </w:t>
      </w:r>
      <w:proofErr w:type="spellStart"/>
      <w:r w:rsidRPr="00B16BEA">
        <w:rPr>
          <w:lang w:val="en-GB"/>
        </w:rPr>
        <w:t>Gedeo</w:t>
      </w:r>
      <w:proofErr w:type="spellEnd"/>
      <w:r w:rsidRPr="00B16BEA">
        <w:rPr>
          <w:lang w:val="en-GB"/>
        </w:rPr>
        <w:t xml:space="preserve"> and </w:t>
      </w:r>
      <w:proofErr w:type="spellStart"/>
      <w:r w:rsidRPr="00B16BEA">
        <w:rPr>
          <w:lang w:val="en-GB"/>
        </w:rPr>
        <w:t>Sidama</w:t>
      </w:r>
      <w:proofErr w:type="spellEnd"/>
      <w:r w:rsidRPr="00B16BEA">
        <w:rPr>
          <w:lang w:val="en-GB"/>
        </w:rPr>
        <w:t xml:space="preserve"> pineapple chains and found that farmers received the smallest net profit per unit compared with wholesalers and retailers, largely because they sold at the farm gate with limited market information and no organised producer groups to negotiate better terms. These results echo broader evidence from tropical high-value crop chains, where weak farmer organisation and lack of grading or quality-based payment mechanisms reduce farmers’ ability to capture a fair share of the consumer price.</w:t>
      </w:r>
    </w:p>
    <w:p w:rsidR="00E72DB2" w:rsidRPr="00B16BEA" w:rsidRDefault="00E72DB2" w:rsidP="00E72DB2">
      <w:pPr>
        <w:pStyle w:val="NormalWeb"/>
        <w:rPr>
          <w:lang w:val="en-GB"/>
        </w:rPr>
      </w:pPr>
      <w:r w:rsidRPr="00B16BEA">
        <w:rPr>
          <w:lang w:val="en-GB"/>
        </w:rPr>
        <w:t xml:space="preserve">Overall, the literature indicates that domestic pineapple markets in producer countries tend to be characterised by multi-tiered marketing structures, thinly regulated intermediaries and imperfect competition. While such structures are functional in terms of moving fruit from dispersed production areas to urban consumers, they often result in asymmetric price transmission: retail price increases are only partially passed back to farmers, whereas input price hikes and negative shocks (such as gluts) are transmitted quickly to the farm gate (Hasan et al., 2023; </w:t>
      </w:r>
      <w:r w:rsidR="004B540C" w:rsidRPr="00B16BEA">
        <w:rPr>
          <w:lang w:val="en-GB"/>
        </w:rPr>
        <w:t>Hasan</w:t>
      </w:r>
      <w:r w:rsidRPr="00B16BEA">
        <w:rPr>
          <w:lang w:val="en-GB"/>
        </w:rPr>
        <w:t xml:space="preserve"> et al., 202</w:t>
      </w:r>
      <w:r w:rsidR="004B540C" w:rsidRPr="00B16BEA">
        <w:rPr>
          <w:lang w:val="en-GB"/>
        </w:rPr>
        <w:t>4</w:t>
      </w:r>
      <w:r w:rsidRPr="00B16BEA">
        <w:rPr>
          <w:lang w:val="en-GB"/>
        </w:rPr>
        <w:t>; Uddin et al., 2022). Emerging efforts to shorten chains through contract farming, farmer cooperatives and direct linkages with supermarkets remain uneven and are often constrained by limited organisational capacity and stringent quality standards, suggesting that reforms in domestic market governance will be critical for more equitable distribution of margins.</w:t>
      </w:r>
    </w:p>
    <w:p w:rsidR="00E72DB2" w:rsidRPr="00B16BEA" w:rsidRDefault="00E72DB2" w:rsidP="00B16BEA">
      <w:pPr>
        <w:pStyle w:val="Heading3"/>
        <w:rPr>
          <w:lang w:val="en-GB"/>
        </w:rPr>
      </w:pPr>
      <w:bookmarkStart w:id="20" w:name="_Toc215940352"/>
      <w:r w:rsidRPr="00B16BEA">
        <w:rPr>
          <w:lang w:val="en-GB"/>
        </w:rPr>
        <w:t>4.3 Risk, power asymmetries and evolving upgrading strategies</w:t>
      </w:r>
      <w:bookmarkEnd w:id="20"/>
    </w:p>
    <w:p w:rsidR="00E72DB2" w:rsidRPr="00B16BEA" w:rsidRDefault="00E72DB2" w:rsidP="00E72DB2">
      <w:pPr>
        <w:pStyle w:val="NormalWeb"/>
        <w:rPr>
          <w:lang w:val="en-GB"/>
        </w:rPr>
      </w:pPr>
      <w:r w:rsidRPr="00B16BEA">
        <w:rPr>
          <w:lang w:val="en-GB"/>
        </w:rPr>
        <w:t xml:space="preserve">This subsection focuses on the interplay between risk, power relations and upgrading strategies in pineapple producer-country markets. Pineapple production and marketing are exposed to multiple risks, including price volatility, climatic shocks, pest and disease outbreaks and policy uncertainty. </w:t>
      </w:r>
      <w:proofErr w:type="spellStart"/>
      <w:r w:rsidRPr="00B16BEA">
        <w:rPr>
          <w:lang w:val="en-GB"/>
        </w:rPr>
        <w:t>Nyamah</w:t>
      </w:r>
      <w:proofErr w:type="spellEnd"/>
      <w:r w:rsidRPr="00B16BEA">
        <w:rPr>
          <w:lang w:val="en-GB"/>
        </w:rPr>
        <w:t xml:space="preserve"> et al. (2015) examined the Ghanaian pineapple supply chain and showed that while producers and exporters adopt a variety of risk mitigation strategies—such as diversification, contractual coordination and inventory management—not all strategies enhance supply chain performance; in particular, passive risk acceptance undermined overall chain outcomes. The study highlighted that proactive strategies based on avoidance, control and coordination are more effective in stabilising performance, especially </w:t>
      </w:r>
      <w:r w:rsidRPr="00B16BEA">
        <w:rPr>
          <w:lang w:val="en-GB"/>
        </w:rPr>
        <w:lastRenderedPageBreak/>
        <w:t>when combined with enhanced information sharing and formalised relationships among actors.</w:t>
      </w:r>
    </w:p>
    <w:p w:rsidR="00E72DB2" w:rsidRPr="00B16BEA" w:rsidRDefault="00E72DB2" w:rsidP="00E72DB2">
      <w:pPr>
        <w:pStyle w:val="NormalWeb"/>
        <w:rPr>
          <w:lang w:val="en-GB"/>
        </w:rPr>
      </w:pPr>
      <w:r w:rsidRPr="00B16BEA">
        <w:rPr>
          <w:lang w:val="en-GB"/>
        </w:rPr>
        <w:t xml:space="preserve">Recent analyses emphasise that these risks are embedded in broader sustainability and resilience challenges. </w:t>
      </w:r>
      <w:proofErr w:type="spellStart"/>
      <w:r w:rsidRPr="00B16BEA">
        <w:rPr>
          <w:lang w:val="en-GB"/>
        </w:rPr>
        <w:t>Phrommarat</w:t>
      </w:r>
      <w:proofErr w:type="spellEnd"/>
      <w:r w:rsidRPr="00B16BEA">
        <w:rPr>
          <w:lang w:val="en-GB"/>
        </w:rPr>
        <w:t xml:space="preserve"> and </w:t>
      </w:r>
      <w:proofErr w:type="spellStart"/>
      <w:r w:rsidRPr="00B16BEA">
        <w:rPr>
          <w:lang w:val="en-GB"/>
        </w:rPr>
        <w:t>Oonkasem</w:t>
      </w:r>
      <w:proofErr w:type="spellEnd"/>
      <w:r w:rsidRPr="00B16BEA">
        <w:rPr>
          <w:lang w:val="en-GB"/>
        </w:rPr>
        <w:t xml:space="preserve"> (2021) demonstrated in Thailand that integrated pineapple farming systems can simultaneously reduce environmental impacts and lower income risk through better cultivar choice, staggered planting and more efficient resource use. At the supply-chain level, Paredes-Rodríguez et al. (2024) proposed a conceptual framework for integrating sustainability and resilience in agri-food supply chains, arguing that economic, social and environmental performance must be considered jointly with the system’s ability to absorb, adapt to and recover from shocks. Applied to pineapple producer countries, this implies that upgrading strategies should go beyond narrow profit maximisation to incorporate diversification of markets and products, investment in climate-robust practices and strengthened social capital among value chain actors.</w:t>
      </w:r>
    </w:p>
    <w:p w:rsidR="00E72DB2" w:rsidRPr="00B16BEA" w:rsidRDefault="00E72DB2" w:rsidP="00E72DB2">
      <w:pPr>
        <w:pStyle w:val="NormalWeb"/>
        <w:rPr>
          <w:lang w:val="en-GB"/>
        </w:rPr>
      </w:pPr>
      <w:r w:rsidRPr="00B16BEA">
        <w:rPr>
          <w:lang w:val="en-GB"/>
        </w:rPr>
        <w:t xml:space="preserve">Empirical work from Bangladesh also shows the importance of governance and policy in shaping upgrading trajectories. Datta et al. (2024) argued that improving technical efficiency in pineapple production requires complementary interventions in extension, infrastructure and market governance, including better price information, support for farmer groups and facilitation of linkages with processors and exporters. </w:t>
      </w:r>
      <w:r w:rsidR="004B540C" w:rsidRPr="00B16BEA">
        <w:rPr>
          <w:lang w:val="en-GB"/>
        </w:rPr>
        <w:t>Hasan</w:t>
      </w:r>
      <w:r w:rsidRPr="00B16BEA">
        <w:rPr>
          <w:lang w:val="en-GB"/>
        </w:rPr>
        <w:t xml:space="preserve"> et al. (202</w:t>
      </w:r>
      <w:r w:rsidR="004B540C" w:rsidRPr="00B16BEA">
        <w:rPr>
          <w:lang w:val="en-GB"/>
        </w:rPr>
        <w:t>4</w:t>
      </w:r>
      <w:r w:rsidRPr="00B16BEA">
        <w:rPr>
          <w:lang w:val="en-GB"/>
        </w:rPr>
        <w:t xml:space="preserve">) highlighted that in </w:t>
      </w:r>
      <w:proofErr w:type="spellStart"/>
      <w:r w:rsidRPr="00B16BEA">
        <w:rPr>
          <w:lang w:val="en-GB"/>
        </w:rPr>
        <w:t>Modhupur</w:t>
      </w:r>
      <w:proofErr w:type="spellEnd"/>
      <w:r w:rsidRPr="00B16BEA">
        <w:rPr>
          <w:lang w:val="en-GB"/>
        </w:rPr>
        <w:t>, key constraints such as weak grading systems, lack of cold storage, limited value addition and inadequate institutional support depress incentives for quality upgrading, even where domestic and export demand for higher-quality fruit is growing. Das et al. (2023) similarly noted that organic pineapple growers in Assam face high certification costs and uncertain premia, suggesting that more transparent and predictable contractual arrangements are needed to encourage sustainable upgrading along the chain.</w:t>
      </w:r>
    </w:p>
    <w:p w:rsidR="00E72DB2" w:rsidRPr="00B16BEA" w:rsidRDefault="00E72DB2" w:rsidP="00E72DB2">
      <w:pPr>
        <w:pStyle w:val="NormalWeb"/>
        <w:rPr>
          <w:lang w:val="en-GB"/>
        </w:rPr>
      </w:pPr>
      <w:r w:rsidRPr="00B16BEA">
        <w:rPr>
          <w:lang w:val="en-GB"/>
        </w:rPr>
        <w:t>Taken together, studies from Bangladesh, India, Ethiopia, Ghana and Thailand indicate that market dynamics in producer countries are at a crossroads: pineapple remains a profitable and increasingly important cash crop, yet persistent power asymmetries, coordination failures and exposure to multiple risks limit the realisation of inclusive and sustainable value chain development. Future pathways will depend on the extent to which producer-country institutions can foster collective action, promote risk-sharing mechanisms and align domestic market reforms with broader sustainability and resilience agendas.</w:t>
      </w:r>
    </w:p>
    <w:p w:rsidR="00BA767B" w:rsidRDefault="00BA767B">
      <w:pPr>
        <w:rPr>
          <w:rStyle w:val="Strong"/>
          <w:rFonts w:ascii="Times New Roman" w:eastAsia="Times New Roman" w:hAnsi="Times New Roman" w:cs="Times New Roman"/>
          <w:sz w:val="27"/>
          <w:szCs w:val="27"/>
        </w:rPr>
      </w:pPr>
      <w:r>
        <w:rPr>
          <w:rStyle w:val="Strong"/>
          <w:b w:val="0"/>
          <w:bCs w:val="0"/>
        </w:rPr>
        <w:br w:type="page"/>
      </w:r>
    </w:p>
    <w:p w:rsidR="00E72DB2" w:rsidRPr="00B16BEA" w:rsidRDefault="00E72DB2" w:rsidP="00B16BEA">
      <w:pPr>
        <w:pStyle w:val="Heading3"/>
        <w:rPr>
          <w:lang w:val="en-GB"/>
        </w:rPr>
      </w:pPr>
      <w:bookmarkStart w:id="21" w:name="_Toc215940353"/>
      <w:r w:rsidRPr="00B16BEA">
        <w:rPr>
          <w:rStyle w:val="Strong"/>
          <w:b/>
          <w:bCs/>
          <w:lang w:val="en-GB"/>
        </w:rPr>
        <w:lastRenderedPageBreak/>
        <w:t xml:space="preserve">Table 2. </w:t>
      </w:r>
      <w:r w:rsidR="00FF490B" w:rsidRPr="00B16BEA">
        <w:rPr>
          <w:rStyle w:val="Strong"/>
          <w:b/>
          <w:bCs/>
          <w:lang w:val="en-GB"/>
        </w:rPr>
        <w:t>M</w:t>
      </w:r>
      <w:r w:rsidRPr="00B16BEA">
        <w:rPr>
          <w:rStyle w:val="Strong"/>
          <w:b/>
          <w:bCs/>
          <w:lang w:val="en-GB"/>
        </w:rPr>
        <w:t>arket dynamics in selected pineapple producer countries</w:t>
      </w:r>
      <w:bookmarkEnd w:id="2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7"/>
        <w:gridCol w:w="1410"/>
        <w:gridCol w:w="2791"/>
        <w:gridCol w:w="2520"/>
        <w:gridCol w:w="1228"/>
      </w:tblGrid>
      <w:tr w:rsidR="00E72DB2" w:rsidRPr="00B16BEA" w:rsidTr="00E72DB2">
        <w:trPr>
          <w:tblHeader/>
          <w:tblCellSpacing w:w="15" w:type="dxa"/>
        </w:trPr>
        <w:tc>
          <w:tcPr>
            <w:tcW w:w="0" w:type="auto"/>
            <w:vAlign w:val="center"/>
            <w:hideMark/>
          </w:tcPr>
          <w:p w:rsidR="00E72DB2" w:rsidRPr="00B16BEA" w:rsidRDefault="00E72DB2">
            <w:pPr>
              <w:jc w:val="center"/>
              <w:rPr>
                <w:b/>
                <w:bCs/>
                <w:sz w:val="16"/>
                <w:szCs w:val="16"/>
              </w:rPr>
            </w:pPr>
            <w:r w:rsidRPr="00B16BEA">
              <w:rPr>
                <w:b/>
                <w:bCs/>
                <w:sz w:val="16"/>
                <w:szCs w:val="16"/>
              </w:rPr>
              <w:t>Country / region</w:t>
            </w:r>
          </w:p>
        </w:tc>
        <w:tc>
          <w:tcPr>
            <w:tcW w:w="0" w:type="auto"/>
            <w:vAlign w:val="center"/>
            <w:hideMark/>
          </w:tcPr>
          <w:p w:rsidR="00E72DB2" w:rsidRPr="00B16BEA" w:rsidRDefault="00E72DB2">
            <w:pPr>
              <w:jc w:val="center"/>
              <w:rPr>
                <w:b/>
                <w:bCs/>
                <w:sz w:val="16"/>
                <w:szCs w:val="16"/>
              </w:rPr>
            </w:pPr>
            <w:r w:rsidRPr="00B16BEA">
              <w:rPr>
                <w:b/>
                <w:bCs/>
                <w:sz w:val="16"/>
                <w:szCs w:val="16"/>
              </w:rPr>
              <w:t>Main focus of study</w:t>
            </w:r>
          </w:p>
        </w:tc>
        <w:tc>
          <w:tcPr>
            <w:tcW w:w="0" w:type="auto"/>
            <w:vAlign w:val="center"/>
            <w:hideMark/>
          </w:tcPr>
          <w:p w:rsidR="00E72DB2" w:rsidRPr="00B16BEA" w:rsidRDefault="00E72DB2">
            <w:pPr>
              <w:jc w:val="center"/>
              <w:rPr>
                <w:b/>
                <w:bCs/>
                <w:sz w:val="16"/>
                <w:szCs w:val="16"/>
              </w:rPr>
            </w:pPr>
            <w:r w:rsidRPr="00B16BEA">
              <w:rPr>
                <w:b/>
                <w:bCs/>
                <w:sz w:val="16"/>
                <w:szCs w:val="16"/>
              </w:rPr>
              <w:t>Key findings on market dynamics</w:t>
            </w:r>
          </w:p>
        </w:tc>
        <w:tc>
          <w:tcPr>
            <w:tcW w:w="0" w:type="auto"/>
            <w:vAlign w:val="center"/>
            <w:hideMark/>
          </w:tcPr>
          <w:p w:rsidR="00E72DB2" w:rsidRPr="00B16BEA" w:rsidRDefault="00E72DB2">
            <w:pPr>
              <w:jc w:val="center"/>
              <w:rPr>
                <w:b/>
                <w:bCs/>
                <w:sz w:val="16"/>
                <w:szCs w:val="16"/>
              </w:rPr>
            </w:pPr>
            <w:r w:rsidRPr="00B16BEA">
              <w:rPr>
                <w:b/>
                <w:bCs/>
                <w:sz w:val="16"/>
                <w:szCs w:val="16"/>
              </w:rPr>
              <w:t>Major constraints / risks highlighted</w:t>
            </w:r>
          </w:p>
        </w:tc>
        <w:tc>
          <w:tcPr>
            <w:tcW w:w="0" w:type="auto"/>
            <w:vAlign w:val="center"/>
            <w:hideMark/>
          </w:tcPr>
          <w:p w:rsidR="00E72DB2" w:rsidRPr="00B16BEA" w:rsidRDefault="00E72DB2">
            <w:pPr>
              <w:jc w:val="center"/>
              <w:rPr>
                <w:b/>
                <w:bCs/>
                <w:sz w:val="16"/>
                <w:szCs w:val="16"/>
              </w:rPr>
            </w:pPr>
            <w:r w:rsidRPr="00B16BEA">
              <w:rPr>
                <w:b/>
                <w:bCs/>
                <w:sz w:val="16"/>
                <w:szCs w:val="16"/>
              </w:rPr>
              <w:t>Key reference(s)</w:t>
            </w:r>
          </w:p>
        </w:tc>
      </w:tr>
      <w:tr w:rsidR="00E72DB2" w:rsidRPr="00B16BEA" w:rsidTr="00E72DB2">
        <w:trPr>
          <w:tblCellSpacing w:w="15" w:type="dxa"/>
        </w:trPr>
        <w:tc>
          <w:tcPr>
            <w:tcW w:w="0" w:type="auto"/>
            <w:vAlign w:val="center"/>
            <w:hideMark/>
          </w:tcPr>
          <w:p w:rsidR="00E72DB2" w:rsidRPr="00B16BEA" w:rsidRDefault="00E72DB2">
            <w:pPr>
              <w:rPr>
                <w:sz w:val="16"/>
                <w:szCs w:val="16"/>
              </w:rPr>
            </w:pPr>
            <w:r w:rsidRPr="00B16BEA">
              <w:rPr>
                <w:sz w:val="16"/>
                <w:szCs w:val="16"/>
              </w:rPr>
              <w:t>Madhupur, Tangail, Bangladesh</w:t>
            </w:r>
          </w:p>
        </w:tc>
        <w:tc>
          <w:tcPr>
            <w:tcW w:w="0" w:type="auto"/>
            <w:vAlign w:val="center"/>
            <w:hideMark/>
          </w:tcPr>
          <w:p w:rsidR="00E72DB2" w:rsidRPr="00B16BEA" w:rsidRDefault="00E72DB2">
            <w:pPr>
              <w:rPr>
                <w:sz w:val="16"/>
                <w:szCs w:val="16"/>
              </w:rPr>
            </w:pPr>
            <w:r w:rsidRPr="00B16BEA">
              <w:rPr>
                <w:sz w:val="16"/>
                <w:szCs w:val="16"/>
              </w:rPr>
              <w:t>Farm profitability and value chain margins</w:t>
            </w:r>
          </w:p>
        </w:tc>
        <w:tc>
          <w:tcPr>
            <w:tcW w:w="0" w:type="auto"/>
            <w:vAlign w:val="center"/>
            <w:hideMark/>
          </w:tcPr>
          <w:p w:rsidR="00E72DB2" w:rsidRPr="00B16BEA" w:rsidRDefault="00E72DB2">
            <w:pPr>
              <w:rPr>
                <w:sz w:val="16"/>
                <w:szCs w:val="16"/>
              </w:rPr>
            </w:pPr>
            <w:r w:rsidRPr="00B16BEA">
              <w:rPr>
                <w:sz w:val="16"/>
                <w:szCs w:val="16"/>
              </w:rPr>
              <w:t>Pineapple production is financially profitable; wholesalers capture the largest share of value added; multiple marketing channels link smallholders to urban markets.</w:t>
            </w:r>
          </w:p>
        </w:tc>
        <w:tc>
          <w:tcPr>
            <w:tcW w:w="0" w:type="auto"/>
            <w:vAlign w:val="center"/>
            <w:hideMark/>
          </w:tcPr>
          <w:p w:rsidR="00E72DB2" w:rsidRPr="00B16BEA" w:rsidRDefault="00E72DB2">
            <w:pPr>
              <w:rPr>
                <w:sz w:val="16"/>
                <w:szCs w:val="16"/>
              </w:rPr>
            </w:pPr>
            <w:r w:rsidRPr="00B16BEA">
              <w:rPr>
                <w:sz w:val="16"/>
                <w:szCs w:val="16"/>
              </w:rPr>
              <w:t>High input costs; lack of processing and storage; limited monitoring and quality control; farmers have weak bargaining power relative to wholesalers.</w:t>
            </w:r>
          </w:p>
        </w:tc>
        <w:tc>
          <w:tcPr>
            <w:tcW w:w="0" w:type="auto"/>
            <w:vAlign w:val="center"/>
            <w:hideMark/>
          </w:tcPr>
          <w:p w:rsidR="00E72DB2" w:rsidRPr="00B16BEA" w:rsidRDefault="00E72DB2" w:rsidP="006E48ED">
            <w:pPr>
              <w:rPr>
                <w:sz w:val="16"/>
                <w:szCs w:val="16"/>
              </w:rPr>
            </w:pPr>
            <w:r w:rsidRPr="00B16BEA">
              <w:rPr>
                <w:sz w:val="16"/>
                <w:szCs w:val="16"/>
              </w:rPr>
              <w:t xml:space="preserve">Uddin et al. (2022); Hasan et al. (2023) </w:t>
            </w:r>
          </w:p>
        </w:tc>
      </w:tr>
      <w:tr w:rsidR="00E72DB2" w:rsidRPr="00B16BEA" w:rsidTr="00E72DB2">
        <w:trPr>
          <w:tblCellSpacing w:w="15" w:type="dxa"/>
        </w:trPr>
        <w:tc>
          <w:tcPr>
            <w:tcW w:w="0" w:type="auto"/>
            <w:vAlign w:val="center"/>
            <w:hideMark/>
          </w:tcPr>
          <w:p w:rsidR="00E72DB2" w:rsidRPr="00B16BEA" w:rsidRDefault="00E72DB2" w:rsidP="00B16BEA">
            <w:pPr>
              <w:rPr>
                <w:sz w:val="16"/>
                <w:szCs w:val="16"/>
              </w:rPr>
            </w:pPr>
            <w:proofErr w:type="spellStart"/>
            <w:r w:rsidRPr="00B16BEA">
              <w:rPr>
                <w:sz w:val="16"/>
                <w:szCs w:val="16"/>
              </w:rPr>
              <w:t>Modhupur</w:t>
            </w:r>
            <w:proofErr w:type="spellEnd"/>
            <w:r w:rsidRPr="00B16BEA">
              <w:rPr>
                <w:sz w:val="16"/>
                <w:szCs w:val="16"/>
              </w:rPr>
              <w:t>, Bangladesh</w:t>
            </w:r>
          </w:p>
        </w:tc>
        <w:tc>
          <w:tcPr>
            <w:tcW w:w="0" w:type="auto"/>
            <w:vAlign w:val="center"/>
            <w:hideMark/>
          </w:tcPr>
          <w:p w:rsidR="00E72DB2" w:rsidRPr="00B16BEA" w:rsidRDefault="00E72DB2">
            <w:pPr>
              <w:rPr>
                <w:sz w:val="16"/>
                <w:szCs w:val="16"/>
              </w:rPr>
            </w:pPr>
            <w:r w:rsidRPr="00B16BEA">
              <w:rPr>
                <w:sz w:val="16"/>
                <w:szCs w:val="16"/>
              </w:rPr>
              <w:t>Market structure and actor margins</w:t>
            </w:r>
          </w:p>
        </w:tc>
        <w:tc>
          <w:tcPr>
            <w:tcW w:w="0" w:type="auto"/>
            <w:vAlign w:val="center"/>
            <w:hideMark/>
          </w:tcPr>
          <w:p w:rsidR="00E72DB2" w:rsidRPr="00B16BEA" w:rsidRDefault="00E72DB2">
            <w:pPr>
              <w:rPr>
                <w:sz w:val="16"/>
                <w:szCs w:val="16"/>
              </w:rPr>
            </w:pPr>
            <w:r w:rsidRPr="00B16BEA">
              <w:rPr>
                <w:sz w:val="16"/>
                <w:szCs w:val="16"/>
              </w:rPr>
              <w:t>Complex chains involving several intermediaries; significant variation in margins across actors; farmers’ share of final price constrained by information asymmetry.</w:t>
            </w:r>
          </w:p>
        </w:tc>
        <w:tc>
          <w:tcPr>
            <w:tcW w:w="0" w:type="auto"/>
            <w:vAlign w:val="center"/>
            <w:hideMark/>
          </w:tcPr>
          <w:p w:rsidR="00E72DB2" w:rsidRPr="00B16BEA" w:rsidRDefault="00E72DB2">
            <w:pPr>
              <w:rPr>
                <w:sz w:val="16"/>
                <w:szCs w:val="16"/>
              </w:rPr>
            </w:pPr>
            <w:r w:rsidRPr="00B16BEA">
              <w:rPr>
                <w:sz w:val="16"/>
                <w:szCs w:val="16"/>
              </w:rPr>
              <w:t>Lack of cold chain and processing facilities; weak grading; poor coordination; limited institutional support for upgrading.</w:t>
            </w:r>
          </w:p>
        </w:tc>
        <w:tc>
          <w:tcPr>
            <w:tcW w:w="0" w:type="auto"/>
            <w:vAlign w:val="center"/>
            <w:hideMark/>
          </w:tcPr>
          <w:p w:rsidR="00E72DB2" w:rsidRPr="00B16BEA" w:rsidRDefault="004B540C" w:rsidP="006E48ED">
            <w:pPr>
              <w:rPr>
                <w:sz w:val="16"/>
                <w:szCs w:val="16"/>
              </w:rPr>
            </w:pPr>
            <w:r w:rsidRPr="00B16BEA">
              <w:rPr>
                <w:sz w:val="16"/>
                <w:szCs w:val="16"/>
              </w:rPr>
              <w:t>Hasan</w:t>
            </w:r>
            <w:r w:rsidR="00E72DB2" w:rsidRPr="00B16BEA">
              <w:rPr>
                <w:sz w:val="16"/>
                <w:szCs w:val="16"/>
              </w:rPr>
              <w:t xml:space="preserve"> et al. (202</w:t>
            </w:r>
            <w:r w:rsidRPr="00B16BEA">
              <w:rPr>
                <w:sz w:val="16"/>
                <w:szCs w:val="16"/>
              </w:rPr>
              <w:t>4</w:t>
            </w:r>
            <w:r w:rsidR="00E72DB2" w:rsidRPr="00B16BEA">
              <w:rPr>
                <w:sz w:val="16"/>
                <w:szCs w:val="16"/>
              </w:rPr>
              <w:t xml:space="preserve">) </w:t>
            </w:r>
          </w:p>
        </w:tc>
      </w:tr>
      <w:tr w:rsidR="00E72DB2" w:rsidRPr="00B16BEA" w:rsidTr="00E72DB2">
        <w:trPr>
          <w:tblCellSpacing w:w="15" w:type="dxa"/>
        </w:trPr>
        <w:tc>
          <w:tcPr>
            <w:tcW w:w="0" w:type="auto"/>
            <w:vAlign w:val="center"/>
            <w:hideMark/>
          </w:tcPr>
          <w:p w:rsidR="00E72DB2" w:rsidRPr="00B16BEA" w:rsidRDefault="00E72DB2">
            <w:pPr>
              <w:rPr>
                <w:sz w:val="16"/>
                <w:szCs w:val="16"/>
              </w:rPr>
            </w:pPr>
            <w:proofErr w:type="spellStart"/>
            <w:r w:rsidRPr="00B16BEA">
              <w:rPr>
                <w:sz w:val="16"/>
                <w:szCs w:val="16"/>
              </w:rPr>
              <w:t>Sreemangal</w:t>
            </w:r>
            <w:proofErr w:type="spellEnd"/>
            <w:r w:rsidRPr="00B16BEA">
              <w:rPr>
                <w:sz w:val="16"/>
                <w:szCs w:val="16"/>
              </w:rPr>
              <w:t xml:space="preserve"> &amp; North-eastern Bangladesh</w:t>
            </w:r>
          </w:p>
        </w:tc>
        <w:tc>
          <w:tcPr>
            <w:tcW w:w="0" w:type="auto"/>
            <w:vAlign w:val="center"/>
            <w:hideMark/>
          </w:tcPr>
          <w:p w:rsidR="00E72DB2" w:rsidRPr="00B16BEA" w:rsidRDefault="00E72DB2">
            <w:pPr>
              <w:rPr>
                <w:sz w:val="16"/>
                <w:szCs w:val="16"/>
              </w:rPr>
            </w:pPr>
            <w:r w:rsidRPr="00B16BEA">
              <w:rPr>
                <w:sz w:val="16"/>
                <w:szCs w:val="16"/>
              </w:rPr>
              <w:t>Profitability, efficiency and policy</w:t>
            </w:r>
          </w:p>
        </w:tc>
        <w:tc>
          <w:tcPr>
            <w:tcW w:w="0" w:type="auto"/>
            <w:vAlign w:val="center"/>
            <w:hideMark/>
          </w:tcPr>
          <w:p w:rsidR="00E72DB2" w:rsidRPr="00B16BEA" w:rsidRDefault="00E72DB2">
            <w:pPr>
              <w:rPr>
                <w:sz w:val="16"/>
                <w:szCs w:val="16"/>
              </w:rPr>
            </w:pPr>
            <w:r w:rsidRPr="00B16BEA">
              <w:rPr>
                <w:sz w:val="16"/>
                <w:szCs w:val="16"/>
              </w:rPr>
              <w:t>Pineapple is profitable but technical inefficiency is substantial; efficiency improvements possible through better management and policy support.</w:t>
            </w:r>
          </w:p>
        </w:tc>
        <w:tc>
          <w:tcPr>
            <w:tcW w:w="0" w:type="auto"/>
            <w:vAlign w:val="center"/>
            <w:hideMark/>
          </w:tcPr>
          <w:p w:rsidR="00E72DB2" w:rsidRPr="00B16BEA" w:rsidRDefault="00E72DB2">
            <w:pPr>
              <w:rPr>
                <w:sz w:val="16"/>
                <w:szCs w:val="16"/>
              </w:rPr>
            </w:pPr>
            <w:r w:rsidRPr="00B16BEA">
              <w:rPr>
                <w:sz w:val="16"/>
                <w:szCs w:val="16"/>
              </w:rPr>
              <w:t>Price volatility; limited access to credit and extension; inadequate infrastructure; exposure to climatic shocks.</w:t>
            </w:r>
          </w:p>
        </w:tc>
        <w:tc>
          <w:tcPr>
            <w:tcW w:w="0" w:type="auto"/>
            <w:vAlign w:val="center"/>
            <w:hideMark/>
          </w:tcPr>
          <w:p w:rsidR="00E72DB2" w:rsidRPr="00B16BEA" w:rsidRDefault="00E72DB2" w:rsidP="006E48ED">
            <w:pPr>
              <w:rPr>
                <w:sz w:val="16"/>
                <w:szCs w:val="16"/>
              </w:rPr>
            </w:pPr>
            <w:r w:rsidRPr="00B16BEA">
              <w:rPr>
                <w:sz w:val="16"/>
                <w:szCs w:val="16"/>
              </w:rPr>
              <w:t xml:space="preserve">Datta et al. (2023, 2024) </w:t>
            </w:r>
          </w:p>
        </w:tc>
      </w:tr>
      <w:tr w:rsidR="00E72DB2" w:rsidRPr="00B16BEA" w:rsidTr="00E72DB2">
        <w:trPr>
          <w:tblCellSpacing w:w="15" w:type="dxa"/>
        </w:trPr>
        <w:tc>
          <w:tcPr>
            <w:tcW w:w="0" w:type="auto"/>
            <w:vAlign w:val="center"/>
            <w:hideMark/>
          </w:tcPr>
          <w:p w:rsidR="00E72DB2" w:rsidRPr="00B16BEA" w:rsidRDefault="00E72DB2">
            <w:pPr>
              <w:rPr>
                <w:sz w:val="16"/>
                <w:szCs w:val="16"/>
              </w:rPr>
            </w:pPr>
            <w:r w:rsidRPr="00B16BEA">
              <w:rPr>
                <w:sz w:val="16"/>
                <w:szCs w:val="16"/>
              </w:rPr>
              <w:t>Assam, India</w:t>
            </w:r>
          </w:p>
        </w:tc>
        <w:tc>
          <w:tcPr>
            <w:tcW w:w="0" w:type="auto"/>
            <w:vAlign w:val="center"/>
            <w:hideMark/>
          </w:tcPr>
          <w:p w:rsidR="00E72DB2" w:rsidRPr="00B16BEA" w:rsidRDefault="00E72DB2">
            <w:pPr>
              <w:rPr>
                <w:sz w:val="16"/>
                <w:szCs w:val="16"/>
              </w:rPr>
            </w:pPr>
            <w:r w:rsidRPr="00B16BEA">
              <w:rPr>
                <w:sz w:val="16"/>
                <w:szCs w:val="16"/>
              </w:rPr>
              <w:t>Economics and value chain (conventional and organic)</w:t>
            </w:r>
          </w:p>
        </w:tc>
        <w:tc>
          <w:tcPr>
            <w:tcW w:w="0" w:type="auto"/>
            <w:vAlign w:val="center"/>
            <w:hideMark/>
          </w:tcPr>
          <w:p w:rsidR="00E72DB2" w:rsidRPr="00B16BEA" w:rsidRDefault="00E72DB2">
            <w:pPr>
              <w:rPr>
                <w:sz w:val="16"/>
                <w:szCs w:val="16"/>
              </w:rPr>
            </w:pPr>
            <w:r w:rsidRPr="00B16BEA">
              <w:rPr>
                <w:sz w:val="16"/>
                <w:szCs w:val="16"/>
              </w:rPr>
              <w:t>Pineapple cultivation yields attractive margins; organic chains show higher value addition but longer and more complex marketing structures.</w:t>
            </w:r>
          </w:p>
        </w:tc>
        <w:tc>
          <w:tcPr>
            <w:tcW w:w="0" w:type="auto"/>
            <w:vAlign w:val="center"/>
            <w:hideMark/>
          </w:tcPr>
          <w:p w:rsidR="00E72DB2" w:rsidRPr="00B16BEA" w:rsidRDefault="00E72DB2">
            <w:pPr>
              <w:rPr>
                <w:sz w:val="16"/>
                <w:szCs w:val="16"/>
              </w:rPr>
            </w:pPr>
            <w:r w:rsidRPr="00B16BEA">
              <w:rPr>
                <w:sz w:val="16"/>
                <w:szCs w:val="16"/>
              </w:rPr>
              <w:t>High transport costs; informal credit–marketing linkages; weak farmer organisation; certification and compliance costs in organic chains.</w:t>
            </w:r>
          </w:p>
        </w:tc>
        <w:tc>
          <w:tcPr>
            <w:tcW w:w="0" w:type="auto"/>
            <w:vAlign w:val="center"/>
            <w:hideMark/>
          </w:tcPr>
          <w:p w:rsidR="00E72DB2" w:rsidRPr="00B16BEA" w:rsidRDefault="00E72DB2" w:rsidP="006E48ED">
            <w:pPr>
              <w:rPr>
                <w:sz w:val="16"/>
                <w:szCs w:val="16"/>
              </w:rPr>
            </w:pPr>
            <w:proofErr w:type="spellStart"/>
            <w:r w:rsidRPr="00B16BEA">
              <w:rPr>
                <w:sz w:val="16"/>
                <w:szCs w:val="16"/>
              </w:rPr>
              <w:t>Shohe</w:t>
            </w:r>
            <w:proofErr w:type="spellEnd"/>
            <w:r w:rsidRPr="00B16BEA">
              <w:rPr>
                <w:sz w:val="16"/>
                <w:szCs w:val="16"/>
              </w:rPr>
              <w:t xml:space="preserve"> et al. (2025); Das et al. (2023) </w:t>
            </w:r>
          </w:p>
        </w:tc>
      </w:tr>
      <w:tr w:rsidR="00E72DB2" w:rsidRPr="00B16BEA" w:rsidTr="00E72DB2">
        <w:trPr>
          <w:tblCellSpacing w:w="15" w:type="dxa"/>
        </w:trPr>
        <w:tc>
          <w:tcPr>
            <w:tcW w:w="0" w:type="auto"/>
            <w:vAlign w:val="center"/>
            <w:hideMark/>
          </w:tcPr>
          <w:p w:rsidR="00E72DB2" w:rsidRPr="00B16BEA" w:rsidRDefault="00E72DB2">
            <w:pPr>
              <w:rPr>
                <w:sz w:val="16"/>
                <w:szCs w:val="16"/>
              </w:rPr>
            </w:pPr>
            <w:r w:rsidRPr="00B16BEA">
              <w:rPr>
                <w:sz w:val="16"/>
                <w:szCs w:val="16"/>
              </w:rPr>
              <w:t>Southern Ethiopia (</w:t>
            </w:r>
            <w:proofErr w:type="spellStart"/>
            <w:r w:rsidRPr="00B16BEA">
              <w:rPr>
                <w:sz w:val="16"/>
                <w:szCs w:val="16"/>
              </w:rPr>
              <w:t>Gedeo</w:t>
            </w:r>
            <w:proofErr w:type="spellEnd"/>
            <w:r w:rsidRPr="00B16BEA">
              <w:rPr>
                <w:sz w:val="16"/>
                <w:szCs w:val="16"/>
              </w:rPr>
              <w:t xml:space="preserve">, </w:t>
            </w:r>
            <w:proofErr w:type="spellStart"/>
            <w:r w:rsidRPr="00B16BEA">
              <w:rPr>
                <w:sz w:val="16"/>
                <w:szCs w:val="16"/>
              </w:rPr>
              <w:t>Sidama</w:t>
            </w:r>
            <w:proofErr w:type="spellEnd"/>
            <w:r w:rsidRPr="00B16BEA">
              <w:rPr>
                <w:sz w:val="16"/>
                <w:szCs w:val="16"/>
              </w:rPr>
              <w:t>)</w:t>
            </w:r>
          </w:p>
        </w:tc>
        <w:tc>
          <w:tcPr>
            <w:tcW w:w="0" w:type="auto"/>
            <w:vAlign w:val="center"/>
            <w:hideMark/>
          </w:tcPr>
          <w:p w:rsidR="00E72DB2" w:rsidRPr="00B16BEA" w:rsidRDefault="00E72DB2">
            <w:pPr>
              <w:rPr>
                <w:sz w:val="16"/>
                <w:szCs w:val="16"/>
              </w:rPr>
            </w:pPr>
            <w:r w:rsidRPr="00B16BEA">
              <w:rPr>
                <w:sz w:val="16"/>
                <w:szCs w:val="16"/>
              </w:rPr>
              <w:t>Value chain analysis in agroforestry systems</w:t>
            </w:r>
          </w:p>
        </w:tc>
        <w:tc>
          <w:tcPr>
            <w:tcW w:w="0" w:type="auto"/>
            <w:vAlign w:val="center"/>
            <w:hideMark/>
          </w:tcPr>
          <w:p w:rsidR="00E72DB2" w:rsidRPr="00B16BEA" w:rsidRDefault="00E72DB2">
            <w:pPr>
              <w:rPr>
                <w:sz w:val="16"/>
                <w:szCs w:val="16"/>
              </w:rPr>
            </w:pPr>
            <w:r w:rsidRPr="00B16BEA">
              <w:rPr>
                <w:sz w:val="16"/>
                <w:szCs w:val="16"/>
              </w:rPr>
              <w:t>Farmers in traditional agroforestry systems capture relatively low profits compared to traders and retailers; farm-gate sales dominate.</w:t>
            </w:r>
          </w:p>
        </w:tc>
        <w:tc>
          <w:tcPr>
            <w:tcW w:w="0" w:type="auto"/>
            <w:vAlign w:val="center"/>
            <w:hideMark/>
          </w:tcPr>
          <w:p w:rsidR="00E72DB2" w:rsidRPr="00B16BEA" w:rsidRDefault="00E72DB2">
            <w:pPr>
              <w:rPr>
                <w:sz w:val="16"/>
                <w:szCs w:val="16"/>
              </w:rPr>
            </w:pPr>
            <w:r w:rsidRPr="00B16BEA">
              <w:rPr>
                <w:sz w:val="16"/>
                <w:szCs w:val="16"/>
              </w:rPr>
              <w:t>Limited market information; weak producer groups; little scope for price negotiation; infrastructure bottlenecks.</w:t>
            </w:r>
          </w:p>
        </w:tc>
        <w:tc>
          <w:tcPr>
            <w:tcW w:w="0" w:type="auto"/>
            <w:vAlign w:val="center"/>
            <w:hideMark/>
          </w:tcPr>
          <w:p w:rsidR="00E72DB2" w:rsidRPr="00B16BEA" w:rsidRDefault="00E72DB2" w:rsidP="006E48ED">
            <w:pPr>
              <w:rPr>
                <w:sz w:val="16"/>
                <w:szCs w:val="16"/>
              </w:rPr>
            </w:pPr>
            <w:proofErr w:type="spellStart"/>
            <w:r w:rsidRPr="00B16BEA">
              <w:rPr>
                <w:sz w:val="16"/>
                <w:szCs w:val="16"/>
              </w:rPr>
              <w:t>Gessesse</w:t>
            </w:r>
            <w:proofErr w:type="spellEnd"/>
            <w:r w:rsidRPr="00B16BEA">
              <w:rPr>
                <w:sz w:val="16"/>
                <w:szCs w:val="16"/>
              </w:rPr>
              <w:t xml:space="preserve"> et al. (2019); Alemu et al. (2023) </w:t>
            </w:r>
          </w:p>
        </w:tc>
      </w:tr>
      <w:tr w:rsidR="00E72DB2" w:rsidRPr="00B16BEA" w:rsidTr="00E72DB2">
        <w:trPr>
          <w:tblCellSpacing w:w="15" w:type="dxa"/>
        </w:trPr>
        <w:tc>
          <w:tcPr>
            <w:tcW w:w="0" w:type="auto"/>
            <w:vAlign w:val="center"/>
            <w:hideMark/>
          </w:tcPr>
          <w:p w:rsidR="00E72DB2" w:rsidRPr="00B16BEA" w:rsidRDefault="00E72DB2">
            <w:pPr>
              <w:rPr>
                <w:sz w:val="16"/>
                <w:szCs w:val="16"/>
              </w:rPr>
            </w:pPr>
            <w:r w:rsidRPr="00B16BEA">
              <w:rPr>
                <w:sz w:val="16"/>
                <w:szCs w:val="16"/>
              </w:rPr>
              <w:t>Ghana</w:t>
            </w:r>
          </w:p>
        </w:tc>
        <w:tc>
          <w:tcPr>
            <w:tcW w:w="0" w:type="auto"/>
            <w:vAlign w:val="center"/>
            <w:hideMark/>
          </w:tcPr>
          <w:p w:rsidR="00E72DB2" w:rsidRPr="00B16BEA" w:rsidRDefault="00E72DB2">
            <w:pPr>
              <w:rPr>
                <w:sz w:val="16"/>
                <w:szCs w:val="16"/>
              </w:rPr>
            </w:pPr>
            <w:r w:rsidRPr="00B16BEA">
              <w:rPr>
                <w:sz w:val="16"/>
                <w:szCs w:val="16"/>
              </w:rPr>
              <w:t>Supply-chain risk and performance</w:t>
            </w:r>
          </w:p>
        </w:tc>
        <w:tc>
          <w:tcPr>
            <w:tcW w:w="0" w:type="auto"/>
            <w:vAlign w:val="center"/>
            <w:hideMark/>
          </w:tcPr>
          <w:p w:rsidR="00E72DB2" w:rsidRPr="00B16BEA" w:rsidRDefault="00E72DB2">
            <w:pPr>
              <w:rPr>
                <w:sz w:val="16"/>
                <w:szCs w:val="16"/>
              </w:rPr>
            </w:pPr>
            <w:r w:rsidRPr="00B16BEA">
              <w:rPr>
                <w:sz w:val="16"/>
                <w:szCs w:val="16"/>
              </w:rPr>
              <w:t>Risk mitigation strategies (avoidance, control, coordination) can significantly improve supply chain performance; passive risk acceptance is detrimental.</w:t>
            </w:r>
          </w:p>
        </w:tc>
        <w:tc>
          <w:tcPr>
            <w:tcW w:w="0" w:type="auto"/>
            <w:vAlign w:val="center"/>
            <w:hideMark/>
          </w:tcPr>
          <w:p w:rsidR="00E72DB2" w:rsidRPr="00B16BEA" w:rsidRDefault="00E72DB2">
            <w:pPr>
              <w:rPr>
                <w:sz w:val="16"/>
                <w:szCs w:val="16"/>
              </w:rPr>
            </w:pPr>
            <w:r w:rsidRPr="00B16BEA">
              <w:rPr>
                <w:sz w:val="16"/>
                <w:szCs w:val="16"/>
              </w:rPr>
              <w:t>Exposure to demand, logistics, biological and financial risks; uneven capabilities to manage different risk types across actors.</w:t>
            </w:r>
          </w:p>
        </w:tc>
        <w:tc>
          <w:tcPr>
            <w:tcW w:w="0" w:type="auto"/>
            <w:vAlign w:val="center"/>
            <w:hideMark/>
          </w:tcPr>
          <w:p w:rsidR="00E72DB2" w:rsidRPr="00B16BEA" w:rsidRDefault="00E72DB2" w:rsidP="006E48ED">
            <w:pPr>
              <w:rPr>
                <w:sz w:val="16"/>
                <w:szCs w:val="16"/>
              </w:rPr>
            </w:pPr>
            <w:proofErr w:type="spellStart"/>
            <w:r w:rsidRPr="00B16BEA">
              <w:rPr>
                <w:sz w:val="16"/>
                <w:szCs w:val="16"/>
              </w:rPr>
              <w:t>Nyamah</w:t>
            </w:r>
            <w:proofErr w:type="spellEnd"/>
            <w:r w:rsidRPr="00B16BEA">
              <w:rPr>
                <w:sz w:val="16"/>
                <w:szCs w:val="16"/>
              </w:rPr>
              <w:t xml:space="preserve"> et al. (2015) </w:t>
            </w:r>
          </w:p>
        </w:tc>
      </w:tr>
      <w:tr w:rsidR="00E72DB2" w:rsidRPr="00B16BEA" w:rsidTr="00E72DB2">
        <w:trPr>
          <w:tblCellSpacing w:w="15" w:type="dxa"/>
        </w:trPr>
        <w:tc>
          <w:tcPr>
            <w:tcW w:w="0" w:type="auto"/>
            <w:vAlign w:val="center"/>
            <w:hideMark/>
          </w:tcPr>
          <w:p w:rsidR="00E72DB2" w:rsidRPr="00B16BEA" w:rsidRDefault="00E72DB2">
            <w:pPr>
              <w:rPr>
                <w:sz w:val="16"/>
                <w:szCs w:val="16"/>
              </w:rPr>
            </w:pPr>
            <w:r w:rsidRPr="00B16BEA">
              <w:rPr>
                <w:sz w:val="16"/>
                <w:szCs w:val="16"/>
              </w:rPr>
              <w:t>Thailand (Chiang Rai)</w:t>
            </w:r>
          </w:p>
        </w:tc>
        <w:tc>
          <w:tcPr>
            <w:tcW w:w="0" w:type="auto"/>
            <w:vAlign w:val="center"/>
            <w:hideMark/>
          </w:tcPr>
          <w:p w:rsidR="00E72DB2" w:rsidRPr="00B16BEA" w:rsidRDefault="00E72DB2">
            <w:pPr>
              <w:rPr>
                <w:sz w:val="16"/>
                <w:szCs w:val="16"/>
              </w:rPr>
            </w:pPr>
            <w:r w:rsidRPr="00B16BEA">
              <w:rPr>
                <w:sz w:val="16"/>
                <w:szCs w:val="16"/>
              </w:rPr>
              <w:t>Farm planning, eco-efficiency and risk</w:t>
            </w:r>
          </w:p>
        </w:tc>
        <w:tc>
          <w:tcPr>
            <w:tcW w:w="0" w:type="auto"/>
            <w:vAlign w:val="center"/>
            <w:hideMark/>
          </w:tcPr>
          <w:p w:rsidR="00E72DB2" w:rsidRPr="00B16BEA" w:rsidRDefault="00E72DB2">
            <w:pPr>
              <w:rPr>
                <w:sz w:val="16"/>
                <w:szCs w:val="16"/>
              </w:rPr>
            </w:pPr>
            <w:r w:rsidRPr="00B16BEA">
              <w:rPr>
                <w:sz w:val="16"/>
                <w:szCs w:val="16"/>
              </w:rPr>
              <w:t>Integrated pineapple systems can improve gross margins and eco-efficiency; cultivar choice and timing help stabilise income.</w:t>
            </w:r>
          </w:p>
        </w:tc>
        <w:tc>
          <w:tcPr>
            <w:tcW w:w="0" w:type="auto"/>
            <w:vAlign w:val="center"/>
            <w:hideMark/>
          </w:tcPr>
          <w:p w:rsidR="00E72DB2" w:rsidRPr="00B16BEA" w:rsidRDefault="00E72DB2">
            <w:pPr>
              <w:rPr>
                <w:sz w:val="16"/>
                <w:szCs w:val="16"/>
              </w:rPr>
            </w:pPr>
            <w:r w:rsidRPr="00B16BEA">
              <w:rPr>
                <w:sz w:val="16"/>
                <w:szCs w:val="16"/>
              </w:rPr>
              <w:t>Trade-offs between income maximisation and environmental performance; sensitivity to market price fluctuations and input costs.</w:t>
            </w:r>
          </w:p>
        </w:tc>
        <w:tc>
          <w:tcPr>
            <w:tcW w:w="0" w:type="auto"/>
            <w:vAlign w:val="center"/>
            <w:hideMark/>
          </w:tcPr>
          <w:p w:rsidR="00E72DB2" w:rsidRPr="00B16BEA" w:rsidRDefault="00E72DB2" w:rsidP="006E48ED">
            <w:pPr>
              <w:rPr>
                <w:sz w:val="16"/>
                <w:szCs w:val="16"/>
              </w:rPr>
            </w:pPr>
            <w:proofErr w:type="spellStart"/>
            <w:r w:rsidRPr="00B16BEA">
              <w:rPr>
                <w:sz w:val="16"/>
                <w:szCs w:val="16"/>
              </w:rPr>
              <w:t>Phrommarat</w:t>
            </w:r>
            <w:proofErr w:type="spellEnd"/>
            <w:r w:rsidRPr="00B16BEA">
              <w:rPr>
                <w:sz w:val="16"/>
                <w:szCs w:val="16"/>
              </w:rPr>
              <w:t xml:space="preserve"> &amp; </w:t>
            </w:r>
            <w:proofErr w:type="spellStart"/>
            <w:r w:rsidRPr="00B16BEA">
              <w:rPr>
                <w:sz w:val="16"/>
                <w:szCs w:val="16"/>
              </w:rPr>
              <w:t>Oonkasem</w:t>
            </w:r>
            <w:proofErr w:type="spellEnd"/>
            <w:r w:rsidRPr="00B16BEA">
              <w:rPr>
                <w:sz w:val="16"/>
                <w:szCs w:val="16"/>
              </w:rPr>
              <w:t xml:space="preserve"> (2021) </w:t>
            </w:r>
          </w:p>
        </w:tc>
      </w:tr>
      <w:tr w:rsidR="00E72DB2" w:rsidRPr="00B16BEA" w:rsidTr="00E72DB2">
        <w:trPr>
          <w:tblCellSpacing w:w="15" w:type="dxa"/>
        </w:trPr>
        <w:tc>
          <w:tcPr>
            <w:tcW w:w="0" w:type="auto"/>
            <w:vAlign w:val="center"/>
            <w:hideMark/>
          </w:tcPr>
          <w:p w:rsidR="00E72DB2" w:rsidRPr="00B16BEA" w:rsidRDefault="00E72DB2">
            <w:pPr>
              <w:rPr>
                <w:sz w:val="16"/>
                <w:szCs w:val="16"/>
              </w:rPr>
            </w:pPr>
            <w:r w:rsidRPr="00B16BEA">
              <w:rPr>
                <w:sz w:val="16"/>
                <w:szCs w:val="16"/>
              </w:rPr>
              <w:t>Cross-country agri-food supply chains</w:t>
            </w:r>
          </w:p>
        </w:tc>
        <w:tc>
          <w:tcPr>
            <w:tcW w:w="0" w:type="auto"/>
            <w:vAlign w:val="center"/>
            <w:hideMark/>
          </w:tcPr>
          <w:p w:rsidR="00E72DB2" w:rsidRPr="00B16BEA" w:rsidRDefault="00E72DB2">
            <w:pPr>
              <w:rPr>
                <w:sz w:val="16"/>
                <w:szCs w:val="16"/>
              </w:rPr>
            </w:pPr>
            <w:r w:rsidRPr="00B16BEA">
              <w:rPr>
                <w:sz w:val="16"/>
                <w:szCs w:val="16"/>
              </w:rPr>
              <w:t>Conceptual framework for sustainability and resilience</w:t>
            </w:r>
          </w:p>
        </w:tc>
        <w:tc>
          <w:tcPr>
            <w:tcW w:w="0" w:type="auto"/>
            <w:vAlign w:val="center"/>
            <w:hideMark/>
          </w:tcPr>
          <w:p w:rsidR="00E72DB2" w:rsidRPr="00B16BEA" w:rsidRDefault="00E72DB2">
            <w:pPr>
              <w:rPr>
                <w:sz w:val="16"/>
                <w:szCs w:val="16"/>
              </w:rPr>
            </w:pPr>
            <w:r w:rsidRPr="00B16BEA">
              <w:rPr>
                <w:sz w:val="16"/>
                <w:szCs w:val="16"/>
              </w:rPr>
              <w:t>Proposes an integrated framework linking economic, social and environmental performance with resilience capacities (absorption, adaptation, transformation).</w:t>
            </w:r>
          </w:p>
        </w:tc>
        <w:tc>
          <w:tcPr>
            <w:tcW w:w="0" w:type="auto"/>
            <w:vAlign w:val="center"/>
            <w:hideMark/>
          </w:tcPr>
          <w:p w:rsidR="00E72DB2" w:rsidRPr="00B16BEA" w:rsidRDefault="00E72DB2">
            <w:pPr>
              <w:rPr>
                <w:sz w:val="16"/>
                <w:szCs w:val="16"/>
              </w:rPr>
            </w:pPr>
            <w:r w:rsidRPr="00B16BEA">
              <w:rPr>
                <w:sz w:val="16"/>
                <w:szCs w:val="16"/>
              </w:rPr>
              <w:t>Highlights need for coordinated risk management, diversified markets and stronger governance to manage shocks.</w:t>
            </w:r>
          </w:p>
        </w:tc>
        <w:tc>
          <w:tcPr>
            <w:tcW w:w="0" w:type="auto"/>
            <w:vAlign w:val="center"/>
            <w:hideMark/>
          </w:tcPr>
          <w:p w:rsidR="00E72DB2" w:rsidRPr="00B16BEA" w:rsidRDefault="00E72DB2" w:rsidP="00B16BEA">
            <w:pPr>
              <w:rPr>
                <w:sz w:val="16"/>
                <w:szCs w:val="16"/>
              </w:rPr>
            </w:pPr>
            <w:r w:rsidRPr="00B16BEA">
              <w:rPr>
                <w:sz w:val="16"/>
                <w:szCs w:val="16"/>
              </w:rPr>
              <w:t xml:space="preserve">Paredes-Rodríguez et al. (2024) </w:t>
            </w:r>
          </w:p>
        </w:tc>
      </w:tr>
    </w:tbl>
    <w:p w:rsidR="00E72DB2" w:rsidRPr="00B16BEA" w:rsidRDefault="00E72DB2" w:rsidP="00E72DB2"/>
    <w:p w:rsidR="005B02AF" w:rsidRPr="00B16BEA" w:rsidRDefault="005B02AF" w:rsidP="005B02AF"/>
    <w:p w:rsidR="00F54E90" w:rsidRPr="00B16BEA" w:rsidRDefault="00F54E90" w:rsidP="00B16BEA">
      <w:pPr>
        <w:pStyle w:val="Heading2"/>
        <w:rPr>
          <w:lang w:val="en-GB"/>
        </w:rPr>
      </w:pPr>
      <w:bookmarkStart w:id="22" w:name="_Toc215940354"/>
      <w:r w:rsidRPr="00B16BEA">
        <w:rPr>
          <w:lang w:val="en-GB"/>
        </w:rPr>
        <w:t>5. Sustainability, Inclusiveness and Risk in Pineapple Value Chains</w:t>
      </w:r>
      <w:bookmarkEnd w:id="22"/>
    </w:p>
    <w:p w:rsidR="00F54E90" w:rsidRPr="00B16BEA" w:rsidRDefault="00F54E90" w:rsidP="00F54E90">
      <w:pPr>
        <w:pStyle w:val="NormalWeb"/>
        <w:rPr>
          <w:lang w:val="en-GB"/>
        </w:rPr>
      </w:pPr>
      <w:r w:rsidRPr="00B16BEA">
        <w:rPr>
          <w:lang w:val="en-GB"/>
        </w:rPr>
        <w:t xml:space="preserve">This section examines how environmental, social and economic sustainability intersect with inclusiveness and risk along pineapple value chains, with emphasis on producer countries in Latin America, Africa and Asia. It focuses on three core questions: how pineapple value chains affect ecosystems and climate goals, whether smallholders and workers are fairly </w:t>
      </w:r>
      <w:r w:rsidRPr="00B16BEA">
        <w:rPr>
          <w:lang w:val="en-GB"/>
        </w:rPr>
        <w:lastRenderedPageBreak/>
        <w:t>included in value creation, and how farm and chain actors manage rising market and production risks.</w:t>
      </w:r>
    </w:p>
    <w:p w:rsidR="00F54E90" w:rsidRPr="00B16BEA" w:rsidRDefault="00F54E90" w:rsidP="00B16BEA">
      <w:pPr>
        <w:pStyle w:val="Heading3"/>
        <w:rPr>
          <w:lang w:val="en-GB"/>
        </w:rPr>
      </w:pPr>
      <w:bookmarkStart w:id="23" w:name="_Toc215940355"/>
      <w:r w:rsidRPr="00B16BEA">
        <w:rPr>
          <w:lang w:val="en-GB"/>
        </w:rPr>
        <w:t>5.1 Environmental sustainability and climate-related risks</w:t>
      </w:r>
      <w:bookmarkEnd w:id="23"/>
    </w:p>
    <w:p w:rsidR="00F54E90" w:rsidRPr="00B16BEA" w:rsidRDefault="00F54E90" w:rsidP="00F54E90">
      <w:pPr>
        <w:pStyle w:val="NormalWeb"/>
        <w:rPr>
          <w:lang w:val="en-GB"/>
        </w:rPr>
      </w:pPr>
      <w:r w:rsidRPr="00B16BEA">
        <w:rPr>
          <w:lang w:val="en-GB"/>
        </w:rPr>
        <w:t>This subsection evaluates the main environmental pressures of pineapple production and processing and discusses pathways for greener, more circular value chains. Evidence from Central America shows that intensive pineapple monocultures can generate high pesticide loads in adjacent watersheds, threatening aquatic biodiversity and community water use. In Costa Rica’s Río Jiménez watershed, monitoring of streams downstream of large plantations detected multiple insecticides, herbicides and fungicides at concentrations posing high risk to zooplankton, macroinvertebrates and primary producers, underscoring the ecological costs of current pesticide regimes (</w:t>
      </w:r>
      <w:proofErr w:type="spellStart"/>
      <w:r w:rsidRPr="00B16BEA">
        <w:rPr>
          <w:lang w:val="en-GB"/>
        </w:rPr>
        <w:t>Echeverría</w:t>
      </w:r>
      <w:proofErr w:type="spellEnd"/>
      <w:r w:rsidRPr="00B16BEA">
        <w:rPr>
          <w:lang w:val="en-GB"/>
        </w:rPr>
        <w:t>-Saenz et al., 2012).</w:t>
      </w:r>
      <w:r w:rsidR="006E48ED" w:rsidRPr="00B16BEA">
        <w:rPr>
          <w:lang w:val="en-GB"/>
        </w:rPr>
        <w:t xml:space="preserve"> </w:t>
      </w:r>
    </w:p>
    <w:p w:rsidR="00F54E90" w:rsidRPr="00B16BEA" w:rsidRDefault="00F54E90" w:rsidP="00F54E90">
      <w:pPr>
        <w:pStyle w:val="NormalWeb"/>
        <w:rPr>
          <w:lang w:val="en-GB"/>
        </w:rPr>
      </w:pPr>
      <w:r w:rsidRPr="00B16BEA">
        <w:rPr>
          <w:lang w:val="en-GB"/>
        </w:rPr>
        <w:t xml:space="preserve">At the same time, rapid growth of fresh and processed pineapple trade has led to a parallel increase in agro-industrial waste. Review work on pineapple waste streams estimates that processing can generate about 60% of the original fruit mass as peel, core, crown and pomace, all rich in fermentable sugars, lignocellulosic fibre and bioactive compounds (Sarangi et al., 2022). Without </w:t>
      </w:r>
      <w:proofErr w:type="spellStart"/>
      <w:r w:rsidRPr="00B16BEA">
        <w:rPr>
          <w:lang w:val="en-GB"/>
        </w:rPr>
        <w:t>valorization</w:t>
      </w:r>
      <w:proofErr w:type="spellEnd"/>
      <w:r w:rsidRPr="00B16BEA">
        <w:rPr>
          <w:lang w:val="en-GB"/>
        </w:rPr>
        <w:t xml:space="preserve">, this material is often landfilled, dumped or burned, contributing to greenhouse gas emissions and local pollution. Recent biorefinery-oriented reviews highlight that these residues can instead be converted into bioethanol, biobutanol, biogas, organic acids, bromelain, antioxidants and animal feed, aligning the pineapple industry with circular </w:t>
      </w:r>
      <w:proofErr w:type="spellStart"/>
      <w:r w:rsidRPr="00B16BEA">
        <w:rPr>
          <w:lang w:val="en-GB"/>
        </w:rPr>
        <w:t>bioeconomy</w:t>
      </w:r>
      <w:proofErr w:type="spellEnd"/>
      <w:r w:rsidRPr="00B16BEA">
        <w:rPr>
          <w:lang w:val="en-GB"/>
        </w:rPr>
        <w:t xml:space="preserve"> principles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2025; Sarangi et al., 2022).</w:t>
      </w:r>
      <w:r w:rsidR="006E48ED" w:rsidRPr="00B16BEA">
        <w:rPr>
          <w:lang w:val="en-GB"/>
        </w:rPr>
        <w:t xml:space="preserve"> </w:t>
      </w:r>
    </w:p>
    <w:p w:rsidR="00F54E90" w:rsidRPr="00B16BEA" w:rsidRDefault="00F54E90" w:rsidP="00F54E90">
      <w:pPr>
        <w:pStyle w:val="NormalWeb"/>
        <w:rPr>
          <w:lang w:val="en-GB"/>
        </w:rPr>
      </w:pPr>
      <w:r w:rsidRPr="00B16BEA">
        <w:rPr>
          <w:lang w:val="en-GB"/>
        </w:rPr>
        <w:t>From a climate perspective, two issues stand out. First, the expansion of pineapple monoculture in humid tropics has sometimes been associated with deforestation, soil erosion and increased vulnerability to extreme rainfall events. While detailed life-cycle assessments of the pineapple chain remain limited, biorefinery studies point out that integrating energy and material recovery from wastes could substantially reduce the net carbon footprint per unit of marketable product (Sarangi et al., 2022; Dhar et al., 2024). Second, climate change itself is creating new production risks—more intense rainfall, heatwaves and emerging pests—which can destabilize yield and quality, particularly for smallholders who lack irrigation or crop insurance. These climate-related shocks interact with environmental externalities: degraded soils and contaminated water bodies make production systems less resilient to extreme events over time.</w:t>
      </w:r>
    </w:p>
    <w:p w:rsidR="00F54E90" w:rsidRPr="00B16BEA" w:rsidRDefault="00F54E90" w:rsidP="00F54E90">
      <w:pPr>
        <w:pStyle w:val="NormalWeb"/>
        <w:rPr>
          <w:lang w:val="en-GB"/>
        </w:rPr>
      </w:pPr>
      <w:r w:rsidRPr="00B16BEA">
        <w:rPr>
          <w:lang w:val="en-GB"/>
        </w:rPr>
        <w:t xml:space="preserve">Consequently, environmental sustainability in pineapple value chains increasingly hinges on three complementary strategies: tightening pesticide governance and promoting integrated pest management; investing in soil and water conservation at landscape scale; and scaling pineapple waste </w:t>
      </w:r>
      <w:proofErr w:type="spellStart"/>
      <w:r w:rsidRPr="00B16BEA">
        <w:rPr>
          <w:lang w:val="en-GB"/>
        </w:rPr>
        <w:t>valorization</w:t>
      </w:r>
      <w:proofErr w:type="spellEnd"/>
      <w:r w:rsidRPr="00B16BEA">
        <w:rPr>
          <w:lang w:val="en-GB"/>
        </w:rPr>
        <w:t xml:space="preserve"> so that processing hubs become nodes of circular </w:t>
      </w:r>
      <w:proofErr w:type="spellStart"/>
      <w:r w:rsidRPr="00B16BEA">
        <w:rPr>
          <w:lang w:val="en-GB"/>
        </w:rPr>
        <w:t>bioeconomy</w:t>
      </w:r>
      <w:proofErr w:type="spellEnd"/>
      <w:r w:rsidRPr="00B16BEA">
        <w:rPr>
          <w:lang w:val="en-GB"/>
        </w:rPr>
        <w:t xml:space="preserve"> rather than pollution hotspots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2025; Sarangi et al., 2022).</w:t>
      </w:r>
      <w:r w:rsidR="006E48ED" w:rsidRPr="00B16BEA">
        <w:rPr>
          <w:lang w:val="en-GB"/>
        </w:rPr>
        <w:t xml:space="preserve"> </w:t>
      </w:r>
    </w:p>
    <w:p w:rsidR="00F54E90" w:rsidRPr="00B16BEA" w:rsidRDefault="00F54E90" w:rsidP="00B16BEA">
      <w:pPr>
        <w:pStyle w:val="Heading3"/>
        <w:rPr>
          <w:lang w:val="en-GB"/>
        </w:rPr>
      </w:pPr>
      <w:bookmarkStart w:id="24" w:name="_Toc215940356"/>
      <w:r w:rsidRPr="00B16BEA">
        <w:rPr>
          <w:lang w:val="en-GB"/>
        </w:rPr>
        <w:t>5.2 Social inclusion, labour conditions and equity</w:t>
      </w:r>
      <w:bookmarkEnd w:id="24"/>
    </w:p>
    <w:p w:rsidR="00F54E90" w:rsidRPr="00B16BEA" w:rsidRDefault="00F54E90" w:rsidP="00F54E90">
      <w:pPr>
        <w:pStyle w:val="NormalWeb"/>
        <w:rPr>
          <w:lang w:val="en-GB"/>
        </w:rPr>
      </w:pPr>
      <w:r w:rsidRPr="00B16BEA">
        <w:rPr>
          <w:lang w:val="en-GB"/>
        </w:rPr>
        <w:t xml:space="preserve">This subsection examines whether pineapple value chains create inclusive development pathways for farmers, workers and marginalized groups. The pineapple sector is often dominated by a dual structure: export-oriented estates with strong links to multinational buyers, and networks of smallholders supplying fresh or processing markets. A recent </w:t>
      </w:r>
      <w:r w:rsidRPr="00B16BEA">
        <w:rPr>
          <w:lang w:val="en-GB"/>
        </w:rPr>
        <w:lastRenderedPageBreak/>
        <w:t>multidimensional sustainability assessment of the Ghanaian pineapple sector shows how socio-economic factors—education, household size, farm size, off-farm employment and years of experience—shape the sustainability scores of farmers, processors and marketers differently (Boakye et al., 2025). Farmers in particular scored lower than processors on composite sustainability indices, indicating more constrained access to capital, technology and stable markets.</w:t>
      </w:r>
    </w:p>
    <w:p w:rsidR="00F54E90" w:rsidRPr="00B16BEA" w:rsidRDefault="00F54E90" w:rsidP="00F54E90">
      <w:pPr>
        <w:pStyle w:val="NormalWeb"/>
        <w:rPr>
          <w:lang w:val="en-GB"/>
        </w:rPr>
      </w:pPr>
      <w:r w:rsidRPr="00B16BEA">
        <w:rPr>
          <w:lang w:val="en-GB"/>
        </w:rPr>
        <w:t>Boakye et al. (2025) also highlight that value chain actors’ sustainability outcomes are mediated by their position in the chain and their bargaining power with buyers and suppliers. Processors, who have better control over quality, storage and product differentiation, tend to capture a higher share of value than primary producers. This has two implications for inclusiveness. First, contract farming and out-grower schemes can either enable smallholders to access premium markets, or lock them into asymmetrical relationships where they bear production risk while buyers dictate prices and standards. Second, the distribution of rents across the chain affects the capacity of farmers to invest in sustainable practices such as soil fertility management, shade trees or improved drainage.</w:t>
      </w:r>
    </w:p>
    <w:p w:rsidR="00F54E90" w:rsidRPr="00B16BEA" w:rsidRDefault="00F54E90" w:rsidP="00F54E90">
      <w:pPr>
        <w:pStyle w:val="NormalWeb"/>
        <w:rPr>
          <w:lang w:val="en-GB"/>
        </w:rPr>
      </w:pPr>
      <w:r w:rsidRPr="00B16BEA">
        <w:rPr>
          <w:lang w:val="en-GB"/>
        </w:rPr>
        <w:t>Labour conditions are another critical lens. In many producing countries, field and packhouse work is highly seasonal, physically demanding and often performed by women and migrant workers. Although systematic data for pineapple are limited, studies of tropical agro-export sectors repeatedly emphasise issues of low wages, limited social protection, pesticide exposure and weak unionisation. Sustainability assessments that focus only on environmental metrics risk overlooking these social risks; integrating social indices—covering decent work, gender equity and community wellbeing—into pineapple value chain assessments, as recommended by Boakye et al. (2025), is therefore essential.</w:t>
      </w:r>
      <w:r w:rsidR="006E48ED" w:rsidRPr="00B16BEA">
        <w:rPr>
          <w:lang w:val="en-GB"/>
        </w:rPr>
        <w:t xml:space="preserve"> </w:t>
      </w:r>
    </w:p>
    <w:p w:rsidR="00F54E90" w:rsidRPr="00B16BEA" w:rsidRDefault="00F54E90" w:rsidP="00F54E90">
      <w:pPr>
        <w:pStyle w:val="NormalWeb"/>
        <w:rPr>
          <w:lang w:val="en-GB"/>
        </w:rPr>
      </w:pPr>
      <w:r w:rsidRPr="00B16BEA">
        <w:rPr>
          <w:lang w:val="en-GB"/>
        </w:rPr>
        <w:t>Promising inclusive models combine organised smallholder groups, transparent pricing formulas and joint investment in sustainability certification, logistics and quality management. When producers are involved in co-designing standards and traceability systems, rather than only complying with external private labels, there is greater scope for aligning social goals (livelihoods, safety, gender equity) with environmental improvements.</w:t>
      </w:r>
    </w:p>
    <w:p w:rsidR="00F54E90" w:rsidRPr="00B16BEA" w:rsidRDefault="00F54E90" w:rsidP="00B16BEA">
      <w:pPr>
        <w:pStyle w:val="Heading3"/>
        <w:rPr>
          <w:lang w:val="en-GB"/>
        </w:rPr>
      </w:pPr>
      <w:bookmarkStart w:id="25" w:name="_Toc215940357"/>
      <w:r w:rsidRPr="00B16BEA">
        <w:rPr>
          <w:lang w:val="en-GB"/>
        </w:rPr>
        <w:t>5.3 Economic sustainability, price volatility and risk management</w:t>
      </w:r>
      <w:bookmarkEnd w:id="25"/>
    </w:p>
    <w:p w:rsidR="00F54E90" w:rsidRPr="00B16BEA" w:rsidRDefault="00F54E90" w:rsidP="00F54E90">
      <w:pPr>
        <w:pStyle w:val="NormalWeb"/>
        <w:rPr>
          <w:lang w:val="en-GB"/>
        </w:rPr>
      </w:pPr>
      <w:r w:rsidRPr="00B16BEA">
        <w:rPr>
          <w:lang w:val="en-GB"/>
        </w:rPr>
        <w:t xml:space="preserve">This subsection analyses income stability, price transmission and risk in pineapple farming and processing. Pineapple is a high-value but relatively risky crop: investment costs for planting material, land preparation and inputs are substantial, while prices are sensitive to exchange rates, seasonal storage constraints and shifting retailer requirements. A farm-level planning study in Thailand explicitly optimised pineapple cropping patterns under eco-efficiency and income-risk objectives. Using multiple scenarios, </w:t>
      </w:r>
      <w:proofErr w:type="spellStart"/>
      <w:r w:rsidRPr="00B16BEA">
        <w:rPr>
          <w:lang w:val="en-GB"/>
        </w:rPr>
        <w:t>Phrommarat</w:t>
      </w:r>
      <w:proofErr w:type="spellEnd"/>
      <w:r w:rsidRPr="00B16BEA">
        <w:rPr>
          <w:lang w:val="en-GB"/>
        </w:rPr>
        <w:t xml:space="preserve"> and </w:t>
      </w:r>
      <w:proofErr w:type="spellStart"/>
      <w:r w:rsidRPr="00B16BEA">
        <w:rPr>
          <w:lang w:val="en-GB"/>
        </w:rPr>
        <w:t>Oonkasem</w:t>
      </w:r>
      <w:proofErr w:type="spellEnd"/>
      <w:r w:rsidRPr="00B16BEA">
        <w:rPr>
          <w:lang w:val="en-GB"/>
        </w:rPr>
        <w:t xml:space="preserve"> (2021) showed that portfolios combining pineapple with other crops could maintain profitability while significantly lowering income variability, illustrating how diversification can reduce farm-level exposure to price and yield shocks.</w:t>
      </w:r>
      <w:r w:rsidR="006E48ED" w:rsidRPr="00B16BEA">
        <w:rPr>
          <w:lang w:val="en-GB"/>
        </w:rPr>
        <w:t xml:space="preserve"> </w:t>
      </w:r>
    </w:p>
    <w:p w:rsidR="00F54E90" w:rsidRPr="00B16BEA" w:rsidRDefault="00F54E90" w:rsidP="00F54E90">
      <w:pPr>
        <w:pStyle w:val="NormalWeb"/>
        <w:rPr>
          <w:lang w:val="en-GB"/>
        </w:rPr>
      </w:pPr>
      <w:r w:rsidRPr="00B16BEA">
        <w:rPr>
          <w:lang w:val="en-GB"/>
        </w:rPr>
        <w:t xml:space="preserve">At supply chain scale, volatility is amplified by concentrated market structures, just-in-time logistics and tight quality specifications. Empirical work in Ghana indicates that while the overall sustainability index for pineapple value chain actors is relatively high, market price instability and limited access to long-term finance remain significant constraints, particularly for farmers and small processors (Boakye et al., 2025). These constraints reduce their capacity to invest in post-harvest infrastructure, cold chains and certification, and increase </w:t>
      </w:r>
      <w:r w:rsidRPr="00B16BEA">
        <w:rPr>
          <w:lang w:val="en-GB"/>
        </w:rPr>
        <w:lastRenderedPageBreak/>
        <w:t>reliance on short-term coping strategies such as selling fruit early at low prices or under-applying inputs, which can undermine both productivity and environmental performance.</w:t>
      </w:r>
    </w:p>
    <w:p w:rsidR="00F54E90" w:rsidRPr="00B16BEA" w:rsidRDefault="00F54E90" w:rsidP="00F54E90">
      <w:pPr>
        <w:pStyle w:val="NormalWeb"/>
        <w:rPr>
          <w:lang w:val="en-GB"/>
        </w:rPr>
      </w:pPr>
      <w:r w:rsidRPr="00B16BEA">
        <w:rPr>
          <w:lang w:val="en-GB"/>
        </w:rPr>
        <w:t>Recent conceptual work on agri-food supply chains argues that sustainability assessments must explicitly integrate resilience and risk dimensions—tracking not only average performance, but also the capacity to absorb shocks, adapt and transform (Paredes-Rodríguez et al., 2024). For pineapple value chains, this means linking eco-efficiency metrics (e.g., resource use per tonne marketed) with measures of risk dispersion (e.g., diversification, redundancy in sourcing, flexible contracts) and with equity indicators (e.g., how risks and rewards are distributed along the chain). Combining scenario analysis, stochastic budgeting and participatory risk mapping can help reveal where climate, market and policy shocks are most likely to disrupt flows of product and income, and which actors bear disproportionate risk.</w:t>
      </w:r>
    </w:p>
    <w:p w:rsidR="00F54E90" w:rsidRPr="00B16BEA" w:rsidRDefault="00F54E90" w:rsidP="00F54E90">
      <w:pPr>
        <w:pStyle w:val="NormalWeb"/>
        <w:rPr>
          <w:lang w:val="en-GB"/>
        </w:rPr>
      </w:pPr>
      <w:r w:rsidRPr="00B16BEA">
        <w:rPr>
          <w:lang w:val="en-GB"/>
        </w:rPr>
        <w:t>Risk-sharing instruments—such as group-based insurance, minimum-price contracts, co-investment schemes for infrastructure and climate-smart practices—are emerging but remain under-documented in the pineapple literature. Integrating lessons from farm-level risk optimisation (</w:t>
      </w:r>
      <w:proofErr w:type="spellStart"/>
      <w:r w:rsidRPr="00B16BEA">
        <w:rPr>
          <w:lang w:val="en-GB"/>
        </w:rPr>
        <w:t>Phrommarat</w:t>
      </w:r>
      <w:proofErr w:type="spellEnd"/>
      <w:r w:rsidRPr="00B16BEA">
        <w:rPr>
          <w:lang w:val="en-GB"/>
        </w:rPr>
        <w:t xml:space="preserve"> &amp; </w:t>
      </w:r>
      <w:proofErr w:type="spellStart"/>
      <w:r w:rsidRPr="00B16BEA">
        <w:rPr>
          <w:lang w:val="en-GB"/>
        </w:rPr>
        <w:t>Oonkasem</w:t>
      </w:r>
      <w:proofErr w:type="spellEnd"/>
      <w:r w:rsidRPr="00B16BEA">
        <w:rPr>
          <w:lang w:val="en-GB"/>
        </w:rPr>
        <w:t>, 2021) with value chain-wide sustainability and resilience frameworks (Boakye et al., 2025; Paredes-Rodríguez et al., 2024) can guide the design of interventions that are both financially viable and fair.</w:t>
      </w:r>
      <w:r w:rsidR="006E48ED" w:rsidRPr="00B16BEA">
        <w:rPr>
          <w:lang w:val="en-GB"/>
        </w:rPr>
        <w:t xml:space="preserve"> </w:t>
      </w:r>
    </w:p>
    <w:p w:rsidR="00F54E90" w:rsidRPr="00B16BEA" w:rsidRDefault="00F54E90" w:rsidP="00B16BEA">
      <w:pPr>
        <w:pStyle w:val="Heading3"/>
        <w:rPr>
          <w:lang w:val="en-GB"/>
        </w:rPr>
      </w:pPr>
      <w:bookmarkStart w:id="26" w:name="_Toc215940358"/>
      <w:r w:rsidRPr="00B16BEA">
        <w:rPr>
          <w:lang w:val="en-GB"/>
        </w:rPr>
        <w:t xml:space="preserve">5.4 Circular </w:t>
      </w:r>
      <w:proofErr w:type="spellStart"/>
      <w:r w:rsidRPr="00B16BEA">
        <w:rPr>
          <w:lang w:val="en-GB"/>
        </w:rPr>
        <w:t>bioeconomy</w:t>
      </w:r>
      <w:proofErr w:type="spellEnd"/>
      <w:r w:rsidRPr="00B16BEA">
        <w:rPr>
          <w:lang w:val="en-GB"/>
        </w:rPr>
        <w:t xml:space="preserve">, waste </w:t>
      </w:r>
      <w:proofErr w:type="spellStart"/>
      <w:r w:rsidRPr="00B16BEA">
        <w:rPr>
          <w:lang w:val="en-GB"/>
        </w:rPr>
        <w:t>valorization</w:t>
      </w:r>
      <w:proofErr w:type="spellEnd"/>
      <w:r w:rsidRPr="00B16BEA">
        <w:rPr>
          <w:lang w:val="en-GB"/>
        </w:rPr>
        <w:t xml:space="preserve"> and systemic resilience</w:t>
      </w:r>
      <w:bookmarkEnd w:id="26"/>
    </w:p>
    <w:p w:rsidR="00F54E90" w:rsidRPr="00B16BEA" w:rsidRDefault="00F54E90" w:rsidP="00F54E90">
      <w:pPr>
        <w:pStyle w:val="NormalWeb"/>
        <w:rPr>
          <w:lang w:val="en-GB"/>
        </w:rPr>
      </w:pPr>
      <w:r w:rsidRPr="00B16BEA">
        <w:rPr>
          <w:lang w:val="en-GB"/>
        </w:rPr>
        <w:t xml:space="preserve">This subsection explores how pineapple waste </w:t>
      </w:r>
      <w:proofErr w:type="spellStart"/>
      <w:r w:rsidRPr="00B16BEA">
        <w:rPr>
          <w:lang w:val="en-GB"/>
        </w:rPr>
        <w:t>valorization</w:t>
      </w:r>
      <w:proofErr w:type="spellEnd"/>
      <w:r w:rsidRPr="00B16BEA">
        <w:rPr>
          <w:lang w:val="en-GB"/>
        </w:rPr>
        <w:t xml:space="preserve"> can contribute to both sustainability and risk reduction. Reviews of pineapple waste biorefineries document a wide portfolio of potential products—including biofuels, organic acids, biopolymers, bromelain, polyphenols, animal feed and vermicompost—derived from peels, cores, crowns and processing effluents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2025; Sarangi et al., 2022).</w:t>
      </w:r>
      <w:r w:rsidR="006E48ED" w:rsidRPr="00B16BEA">
        <w:rPr>
          <w:lang w:val="en-GB"/>
        </w:rPr>
        <w:t xml:space="preserve"> </w:t>
      </w:r>
    </w:p>
    <w:p w:rsidR="00F54E90" w:rsidRPr="00B16BEA" w:rsidRDefault="00F54E90" w:rsidP="00F54E90">
      <w:pPr>
        <w:pStyle w:val="NormalWeb"/>
        <w:rPr>
          <w:lang w:val="en-GB"/>
        </w:rPr>
      </w:pPr>
      <w:r w:rsidRPr="00B16BEA">
        <w:rPr>
          <w:lang w:val="en-GB"/>
        </w:rPr>
        <w:t xml:space="preserve">From a sustainability standpoint, such biorefineries reduce organic pollution and methane emissions from unmanaged waste, displace fossil-based inputs and create new income streams for processors and nearby communities. Sarangi et al. (2022) emphasise that </w:t>
      </w:r>
      <w:proofErr w:type="spellStart"/>
      <w:r w:rsidRPr="00B16BEA">
        <w:rPr>
          <w:lang w:val="en-GB"/>
        </w:rPr>
        <w:t>valorizing</w:t>
      </w:r>
      <w:proofErr w:type="spellEnd"/>
      <w:r w:rsidRPr="00B16BEA">
        <w:rPr>
          <w:lang w:val="en-GB"/>
        </w:rPr>
        <w:t xml:space="preserve"> the roughly 60% of fruit mass discarded during processing can close nutrient loops and support low-carbon development when coupled with appropriate energy integration and effluent management. In South Africa, </w:t>
      </w:r>
      <w:proofErr w:type="spellStart"/>
      <w:r w:rsidRPr="00B16BEA">
        <w:rPr>
          <w:lang w:val="en-GB"/>
        </w:rPr>
        <w:t>Kamusoko</w:t>
      </w:r>
      <w:proofErr w:type="spellEnd"/>
      <w:r w:rsidRPr="00B16BEA">
        <w:rPr>
          <w:lang w:val="en-GB"/>
        </w:rPr>
        <w:t xml:space="preserve"> and </w:t>
      </w:r>
      <w:proofErr w:type="spellStart"/>
      <w:r w:rsidRPr="00B16BEA">
        <w:rPr>
          <w:lang w:val="en-GB"/>
        </w:rPr>
        <w:t>Mukumba</w:t>
      </w:r>
      <w:proofErr w:type="spellEnd"/>
      <w:r w:rsidRPr="00B16BEA">
        <w:rPr>
          <w:lang w:val="en-GB"/>
        </w:rPr>
        <w:t xml:space="preserve"> (2025) frame pineapple waste biorefinery development as an opportunity to diversify rural economies, enhance energy security and reduce disposal costs, while cautioning that capital requirements, technological complexity and policy uncertainty remain major barriers.</w:t>
      </w:r>
      <w:r w:rsidR="006E48ED" w:rsidRPr="00B16BEA">
        <w:rPr>
          <w:lang w:val="en-GB"/>
        </w:rPr>
        <w:t xml:space="preserve"> </w:t>
      </w:r>
    </w:p>
    <w:p w:rsidR="00F54E90" w:rsidRPr="00B16BEA" w:rsidRDefault="00F54E90" w:rsidP="00F54E90">
      <w:pPr>
        <w:pStyle w:val="NormalWeb"/>
        <w:rPr>
          <w:lang w:val="en-GB"/>
        </w:rPr>
      </w:pPr>
      <w:r w:rsidRPr="00B16BEA">
        <w:rPr>
          <w:lang w:val="en-GB"/>
        </w:rPr>
        <w:t xml:space="preserve">Critically, circular </w:t>
      </w:r>
      <w:proofErr w:type="spellStart"/>
      <w:r w:rsidRPr="00B16BEA">
        <w:rPr>
          <w:lang w:val="en-GB"/>
        </w:rPr>
        <w:t>bioeconomy</w:t>
      </w:r>
      <w:proofErr w:type="spellEnd"/>
      <w:r w:rsidRPr="00B16BEA">
        <w:rPr>
          <w:lang w:val="en-GB"/>
        </w:rPr>
        <w:t xml:space="preserve"> strategies can also enhance resilience. By adding multiple product lines (fuels, feeds, bioactive compounds) around a single raw material base, processors and associated farmer groups can spread market risk across different sectors and reduce dependence on fresh fruit exports alone (Dhar et al., 2024; </w:t>
      </w:r>
      <w:proofErr w:type="spellStart"/>
      <w:r w:rsidRPr="00B16BEA">
        <w:rPr>
          <w:lang w:val="en-GB"/>
        </w:rPr>
        <w:t>Kamusoko</w:t>
      </w:r>
      <w:proofErr w:type="spellEnd"/>
      <w:r w:rsidRPr="00B16BEA">
        <w:rPr>
          <w:lang w:val="en-GB"/>
        </w:rPr>
        <w:t xml:space="preserve"> &amp; </w:t>
      </w:r>
      <w:proofErr w:type="spellStart"/>
      <w:r w:rsidRPr="00B16BEA">
        <w:rPr>
          <w:lang w:val="en-GB"/>
        </w:rPr>
        <w:t>Mukumba</w:t>
      </w:r>
      <w:proofErr w:type="spellEnd"/>
      <w:r w:rsidRPr="00B16BEA">
        <w:rPr>
          <w:lang w:val="en-GB"/>
        </w:rPr>
        <w:t xml:space="preserve">, 2025). When combined with inclusive ownership models—such as producer-owned processing cooperatives or community-level biogas units—waste </w:t>
      </w:r>
      <w:proofErr w:type="spellStart"/>
      <w:r w:rsidRPr="00B16BEA">
        <w:rPr>
          <w:lang w:val="en-GB"/>
        </w:rPr>
        <w:t>valorization</w:t>
      </w:r>
      <w:proofErr w:type="spellEnd"/>
      <w:r w:rsidRPr="00B16BEA">
        <w:rPr>
          <w:lang w:val="en-GB"/>
        </w:rPr>
        <w:t xml:space="preserve"> can strengthen local value capture, reduce energy expenditure and create skilled employment.</w:t>
      </w:r>
    </w:p>
    <w:p w:rsidR="00F54E90" w:rsidRPr="00B16BEA" w:rsidRDefault="00F54E90" w:rsidP="00F54E90">
      <w:pPr>
        <w:pStyle w:val="NormalWeb"/>
        <w:rPr>
          <w:lang w:val="en-GB"/>
        </w:rPr>
      </w:pPr>
      <w:r w:rsidRPr="00B16BEA">
        <w:rPr>
          <w:lang w:val="en-GB"/>
        </w:rPr>
        <w:t xml:space="preserve">Overall, sustainability and inclusiveness in pineapple value chains will depend on how effectively environmental safeguards, social standards, risk-sharing mechanisms and circular </w:t>
      </w:r>
      <w:proofErr w:type="spellStart"/>
      <w:r w:rsidRPr="00B16BEA">
        <w:rPr>
          <w:lang w:val="en-GB"/>
        </w:rPr>
        <w:t>bioeconomy</w:t>
      </w:r>
      <w:proofErr w:type="spellEnd"/>
      <w:r w:rsidRPr="00B16BEA">
        <w:rPr>
          <w:lang w:val="en-GB"/>
        </w:rPr>
        <w:t xml:space="preserve"> investments are integrated into coordinated upgrading strategies. Rather than </w:t>
      </w:r>
      <w:r w:rsidRPr="00B16BEA">
        <w:rPr>
          <w:lang w:val="en-GB"/>
        </w:rPr>
        <w:lastRenderedPageBreak/>
        <w:t>treating environmental mitigation, social inclusion and risk management as separate agendas, emerging evidence supports a holistic approach in which pineapple landscapes are managed as socio-ecological systems that must remain productive, equitable and resilient in the face of global change (Boakye et al., 2025; Paredes-Rodríguez et al., 2024).</w:t>
      </w:r>
      <w:r w:rsidR="006E48ED" w:rsidRPr="00B16BEA">
        <w:rPr>
          <w:lang w:val="en-GB"/>
        </w:rPr>
        <w:t xml:space="preserve"> </w:t>
      </w:r>
    </w:p>
    <w:p w:rsidR="00FF490B" w:rsidRPr="00B16BEA" w:rsidRDefault="00FF490B" w:rsidP="00B16BEA">
      <w:pPr>
        <w:pStyle w:val="Heading3"/>
        <w:rPr>
          <w:lang w:val="en-GB"/>
        </w:rPr>
      </w:pPr>
      <w:bookmarkStart w:id="27" w:name="_Toc215940359"/>
      <w:r w:rsidRPr="00B16BEA">
        <w:rPr>
          <w:rStyle w:val="Strong"/>
          <w:b/>
          <w:bCs/>
          <w:lang w:val="en-GB"/>
        </w:rPr>
        <w:t>Table 3. Sustainability, Inclusiveness and Risk in Pineapple Value Chains</w:t>
      </w:r>
      <w:bookmarkEnd w:id="2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0"/>
        <w:gridCol w:w="2086"/>
        <w:gridCol w:w="3429"/>
        <w:gridCol w:w="2311"/>
      </w:tblGrid>
      <w:tr w:rsidR="00F54E90" w:rsidRPr="00B16BEA" w:rsidTr="00F54E90">
        <w:trPr>
          <w:tblHeader/>
          <w:tblCellSpacing w:w="15" w:type="dxa"/>
        </w:trPr>
        <w:tc>
          <w:tcPr>
            <w:tcW w:w="0" w:type="auto"/>
            <w:vAlign w:val="center"/>
            <w:hideMark/>
          </w:tcPr>
          <w:p w:rsidR="00F54E90" w:rsidRPr="00B16BEA" w:rsidRDefault="00F54E90">
            <w:pPr>
              <w:jc w:val="center"/>
              <w:rPr>
                <w:b/>
                <w:bCs/>
                <w:sz w:val="18"/>
                <w:szCs w:val="18"/>
              </w:rPr>
            </w:pPr>
            <w:r w:rsidRPr="00B16BEA">
              <w:rPr>
                <w:b/>
                <w:bCs/>
                <w:sz w:val="18"/>
                <w:szCs w:val="18"/>
              </w:rPr>
              <w:t>Dimension</w:t>
            </w:r>
          </w:p>
        </w:tc>
        <w:tc>
          <w:tcPr>
            <w:tcW w:w="0" w:type="auto"/>
            <w:vAlign w:val="center"/>
            <w:hideMark/>
          </w:tcPr>
          <w:p w:rsidR="00F54E90" w:rsidRPr="00B16BEA" w:rsidRDefault="00F54E90">
            <w:pPr>
              <w:jc w:val="center"/>
              <w:rPr>
                <w:b/>
                <w:bCs/>
                <w:sz w:val="18"/>
                <w:szCs w:val="18"/>
              </w:rPr>
            </w:pPr>
            <w:r w:rsidRPr="00B16BEA">
              <w:rPr>
                <w:b/>
                <w:bCs/>
                <w:sz w:val="18"/>
                <w:szCs w:val="18"/>
              </w:rPr>
              <w:t>Key issues in pineapple value chains</w:t>
            </w:r>
          </w:p>
        </w:tc>
        <w:tc>
          <w:tcPr>
            <w:tcW w:w="0" w:type="auto"/>
            <w:vAlign w:val="center"/>
            <w:hideMark/>
          </w:tcPr>
          <w:p w:rsidR="00F54E90" w:rsidRPr="00B16BEA" w:rsidRDefault="00F54E90">
            <w:pPr>
              <w:jc w:val="center"/>
              <w:rPr>
                <w:b/>
                <w:bCs/>
                <w:sz w:val="18"/>
                <w:szCs w:val="18"/>
              </w:rPr>
            </w:pPr>
            <w:r w:rsidRPr="00B16BEA">
              <w:rPr>
                <w:b/>
                <w:bCs/>
                <w:sz w:val="18"/>
                <w:szCs w:val="18"/>
              </w:rPr>
              <w:t>Illustrative evidence</w:t>
            </w:r>
          </w:p>
        </w:tc>
        <w:tc>
          <w:tcPr>
            <w:tcW w:w="0" w:type="auto"/>
            <w:vAlign w:val="center"/>
            <w:hideMark/>
          </w:tcPr>
          <w:p w:rsidR="00F54E90" w:rsidRPr="00B16BEA" w:rsidRDefault="00F54E90">
            <w:pPr>
              <w:jc w:val="center"/>
              <w:rPr>
                <w:b/>
                <w:bCs/>
                <w:sz w:val="18"/>
                <w:szCs w:val="18"/>
              </w:rPr>
            </w:pPr>
            <w:r w:rsidRPr="00B16BEA">
              <w:rPr>
                <w:b/>
                <w:bCs/>
                <w:sz w:val="18"/>
                <w:szCs w:val="18"/>
              </w:rPr>
              <w:t>Implications</w:t>
            </w:r>
          </w:p>
        </w:tc>
      </w:tr>
      <w:tr w:rsidR="00F54E90" w:rsidRPr="00B16BEA" w:rsidTr="00F54E90">
        <w:trPr>
          <w:tblCellSpacing w:w="15" w:type="dxa"/>
        </w:trPr>
        <w:tc>
          <w:tcPr>
            <w:tcW w:w="0" w:type="auto"/>
            <w:vAlign w:val="center"/>
            <w:hideMark/>
          </w:tcPr>
          <w:p w:rsidR="00F54E90" w:rsidRPr="00B16BEA" w:rsidRDefault="00F54E90">
            <w:pPr>
              <w:rPr>
                <w:sz w:val="18"/>
                <w:szCs w:val="18"/>
              </w:rPr>
            </w:pPr>
            <w:r w:rsidRPr="00B16BEA">
              <w:rPr>
                <w:sz w:val="18"/>
                <w:szCs w:val="18"/>
              </w:rPr>
              <w:t>Environmental sustainability</w:t>
            </w:r>
          </w:p>
        </w:tc>
        <w:tc>
          <w:tcPr>
            <w:tcW w:w="0" w:type="auto"/>
            <w:vAlign w:val="center"/>
            <w:hideMark/>
          </w:tcPr>
          <w:p w:rsidR="00F54E90" w:rsidRPr="00B16BEA" w:rsidRDefault="00F54E90">
            <w:pPr>
              <w:rPr>
                <w:sz w:val="18"/>
                <w:szCs w:val="18"/>
              </w:rPr>
            </w:pPr>
            <w:r w:rsidRPr="00B16BEA">
              <w:rPr>
                <w:sz w:val="18"/>
                <w:szCs w:val="18"/>
              </w:rPr>
              <w:t>High pesticide loads and potential ecotoxicity in watersheds near intensive plantations; large volumes of organic waste from processing.</w:t>
            </w:r>
          </w:p>
        </w:tc>
        <w:tc>
          <w:tcPr>
            <w:tcW w:w="0" w:type="auto"/>
            <w:vAlign w:val="center"/>
            <w:hideMark/>
          </w:tcPr>
          <w:p w:rsidR="00F54E90" w:rsidRPr="00B16BEA" w:rsidRDefault="00F54E90" w:rsidP="006E48ED">
            <w:pPr>
              <w:rPr>
                <w:sz w:val="18"/>
                <w:szCs w:val="18"/>
              </w:rPr>
            </w:pPr>
            <w:r w:rsidRPr="00B16BEA">
              <w:rPr>
                <w:sz w:val="18"/>
                <w:szCs w:val="18"/>
              </w:rPr>
              <w:t>Pesticide monitoring in Costa Rican pineapple watersheds shows high ecological risk to aquatic organisms (</w:t>
            </w:r>
            <w:proofErr w:type="spellStart"/>
            <w:r w:rsidRPr="00B16BEA">
              <w:rPr>
                <w:sz w:val="18"/>
                <w:szCs w:val="18"/>
              </w:rPr>
              <w:t>Echeverría</w:t>
            </w:r>
            <w:proofErr w:type="spellEnd"/>
            <w:r w:rsidRPr="00B16BEA">
              <w:rPr>
                <w:sz w:val="18"/>
                <w:szCs w:val="18"/>
              </w:rPr>
              <w:t>-Saenz et al., 2012).</w:t>
            </w:r>
            <w:r w:rsidR="006E48ED" w:rsidRPr="00B16BEA">
              <w:rPr>
                <w:sz w:val="18"/>
                <w:szCs w:val="18"/>
              </w:rPr>
              <w:t xml:space="preserve"> </w:t>
            </w:r>
          </w:p>
        </w:tc>
        <w:tc>
          <w:tcPr>
            <w:tcW w:w="0" w:type="auto"/>
            <w:vAlign w:val="center"/>
            <w:hideMark/>
          </w:tcPr>
          <w:p w:rsidR="00F54E90" w:rsidRPr="00B16BEA" w:rsidRDefault="00F54E90">
            <w:pPr>
              <w:rPr>
                <w:sz w:val="18"/>
                <w:szCs w:val="18"/>
              </w:rPr>
            </w:pPr>
            <w:r w:rsidRPr="00B16BEA">
              <w:rPr>
                <w:sz w:val="18"/>
                <w:szCs w:val="18"/>
              </w:rPr>
              <w:t>Strengthen pesticide regulation and IPM, protect riparian buffers, and mandate integrated waste management.</w:t>
            </w:r>
          </w:p>
        </w:tc>
      </w:tr>
      <w:tr w:rsidR="00F54E90" w:rsidRPr="00B16BEA" w:rsidTr="00F54E90">
        <w:trPr>
          <w:tblCellSpacing w:w="15" w:type="dxa"/>
        </w:trPr>
        <w:tc>
          <w:tcPr>
            <w:tcW w:w="0" w:type="auto"/>
            <w:vAlign w:val="center"/>
            <w:hideMark/>
          </w:tcPr>
          <w:p w:rsidR="00F54E90" w:rsidRPr="00B16BEA" w:rsidRDefault="00F54E90">
            <w:pPr>
              <w:rPr>
                <w:sz w:val="18"/>
                <w:szCs w:val="18"/>
              </w:rPr>
            </w:pPr>
            <w:r w:rsidRPr="00B16BEA">
              <w:rPr>
                <w:sz w:val="18"/>
                <w:szCs w:val="18"/>
              </w:rPr>
              <w:t xml:space="preserve">Climate &amp; circular </w:t>
            </w:r>
            <w:proofErr w:type="spellStart"/>
            <w:r w:rsidRPr="00B16BEA">
              <w:rPr>
                <w:sz w:val="18"/>
                <w:szCs w:val="18"/>
              </w:rPr>
              <w:t>bioeconomy</w:t>
            </w:r>
            <w:proofErr w:type="spellEnd"/>
          </w:p>
        </w:tc>
        <w:tc>
          <w:tcPr>
            <w:tcW w:w="0" w:type="auto"/>
            <w:vAlign w:val="center"/>
            <w:hideMark/>
          </w:tcPr>
          <w:p w:rsidR="00F54E90" w:rsidRPr="00B16BEA" w:rsidRDefault="00F54E90">
            <w:pPr>
              <w:rPr>
                <w:sz w:val="18"/>
                <w:szCs w:val="18"/>
              </w:rPr>
            </w:pPr>
            <w:r w:rsidRPr="00B16BEA">
              <w:rPr>
                <w:sz w:val="18"/>
                <w:szCs w:val="18"/>
              </w:rPr>
              <w:t>Waste streams contribute to GHG emissions if unmanaged, but have high potential for bioenergy and bioproducts.</w:t>
            </w:r>
          </w:p>
        </w:tc>
        <w:tc>
          <w:tcPr>
            <w:tcW w:w="0" w:type="auto"/>
            <w:vAlign w:val="center"/>
            <w:hideMark/>
          </w:tcPr>
          <w:p w:rsidR="00F54E90" w:rsidRPr="00B16BEA" w:rsidRDefault="00F54E90" w:rsidP="006E48ED">
            <w:pPr>
              <w:rPr>
                <w:sz w:val="18"/>
                <w:szCs w:val="18"/>
              </w:rPr>
            </w:pPr>
            <w:r w:rsidRPr="00B16BEA">
              <w:rPr>
                <w:sz w:val="18"/>
                <w:szCs w:val="18"/>
              </w:rPr>
              <w:t xml:space="preserve">Reviews of pineapple waste </w:t>
            </w:r>
            <w:proofErr w:type="spellStart"/>
            <w:r w:rsidRPr="00B16BEA">
              <w:rPr>
                <w:sz w:val="18"/>
                <w:szCs w:val="18"/>
              </w:rPr>
              <w:t>valorization</w:t>
            </w:r>
            <w:proofErr w:type="spellEnd"/>
            <w:r w:rsidRPr="00B16BEA">
              <w:rPr>
                <w:sz w:val="18"/>
                <w:szCs w:val="18"/>
              </w:rPr>
              <w:t xml:space="preserve"> document conversion to biofuels, chemicals and bioactive compounds (Sarangi et al., 2022; Dhar et al., 2024; </w:t>
            </w:r>
            <w:proofErr w:type="spellStart"/>
            <w:r w:rsidRPr="00B16BEA">
              <w:rPr>
                <w:sz w:val="18"/>
                <w:szCs w:val="18"/>
              </w:rPr>
              <w:t>Kamusoko</w:t>
            </w:r>
            <w:proofErr w:type="spellEnd"/>
            <w:r w:rsidRPr="00B16BEA">
              <w:rPr>
                <w:sz w:val="18"/>
                <w:szCs w:val="18"/>
              </w:rPr>
              <w:t xml:space="preserve"> &amp; </w:t>
            </w:r>
            <w:proofErr w:type="spellStart"/>
            <w:r w:rsidRPr="00B16BEA">
              <w:rPr>
                <w:sz w:val="18"/>
                <w:szCs w:val="18"/>
              </w:rPr>
              <w:t>Mukumba</w:t>
            </w:r>
            <w:proofErr w:type="spellEnd"/>
            <w:r w:rsidRPr="00B16BEA">
              <w:rPr>
                <w:sz w:val="18"/>
                <w:szCs w:val="18"/>
              </w:rPr>
              <w:t>, 2025).</w:t>
            </w:r>
            <w:r w:rsidR="006E48ED" w:rsidRPr="00B16BEA">
              <w:rPr>
                <w:sz w:val="18"/>
                <w:szCs w:val="18"/>
              </w:rPr>
              <w:t xml:space="preserve"> </w:t>
            </w:r>
          </w:p>
        </w:tc>
        <w:tc>
          <w:tcPr>
            <w:tcW w:w="0" w:type="auto"/>
            <w:vAlign w:val="center"/>
            <w:hideMark/>
          </w:tcPr>
          <w:p w:rsidR="00F54E90" w:rsidRPr="00B16BEA" w:rsidRDefault="00F54E90">
            <w:pPr>
              <w:rPr>
                <w:sz w:val="18"/>
                <w:szCs w:val="18"/>
              </w:rPr>
            </w:pPr>
            <w:r w:rsidRPr="00B16BEA">
              <w:rPr>
                <w:sz w:val="18"/>
                <w:szCs w:val="18"/>
              </w:rPr>
              <w:t>Position processing hubs as biorefinery platforms to reduce emissions, diversify revenue and close nutrient loops.</w:t>
            </w:r>
          </w:p>
        </w:tc>
      </w:tr>
      <w:tr w:rsidR="00F54E90" w:rsidRPr="00B16BEA" w:rsidTr="00F54E90">
        <w:trPr>
          <w:tblCellSpacing w:w="15" w:type="dxa"/>
        </w:trPr>
        <w:tc>
          <w:tcPr>
            <w:tcW w:w="0" w:type="auto"/>
            <w:vAlign w:val="center"/>
            <w:hideMark/>
          </w:tcPr>
          <w:p w:rsidR="00F54E90" w:rsidRPr="00B16BEA" w:rsidRDefault="00F54E90">
            <w:pPr>
              <w:rPr>
                <w:sz w:val="18"/>
                <w:szCs w:val="18"/>
              </w:rPr>
            </w:pPr>
            <w:r w:rsidRPr="00B16BEA">
              <w:rPr>
                <w:sz w:val="18"/>
                <w:szCs w:val="18"/>
              </w:rPr>
              <w:t>Social inclusion &amp; labour</w:t>
            </w:r>
          </w:p>
        </w:tc>
        <w:tc>
          <w:tcPr>
            <w:tcW w:w="0" w:type="auto"/>
            <w:vAlign w:val="center"/>
            <w:hideMark/>
          </w:tcPr>
          <w:p w:rsidR="00F54E90" w:rsidRPr="00B16BEA" w:rsidRDefault="00F54E90">
            <w:pPr>
              <w:rPr>
                <w:sz w:val="18"/>
                <w:szCs w:val="18"/>
              </w:rPr>
            </w:pPr>
            <w:r w:rsidRPr="00B16BEA">
              <w:rPr>
                <w:sz w:val="18"/>
                <w:szCs w:val="18"/>
              </w:rPr>
              <w:t>Smallholders and workers face weaker bargaining power, limited finance and exposure to price and employment shocks.</w:t>
            </w:r>
          </w:p>
        </w:tc>
        <w:tc>
          <w:tcPr>
            <w:tcW w:w="0" w:type="auto"/>
            <w:vAlign w:val="center"/>
            <w:hideMark/>
          </w:tcPr>
          <w:p w:rsidR="00F54E90" w:rsidRPr="00B16BEA" w:rsidRDefault="00F54E90" w:rsidP="006E48ED">
            <w:pPr>
              <w:rPr>
                <w:sz w:val="18"/>
                <w:szCs w:val="18"/>
              </w:rPr>
            </w:pPr>
            <w:r w:rsidRPr="00B16BEA">
              <w:rPr>
                <w:sz w:val="18"/>
                <w:szCs w:val="18"/>
              </w:rPr>
              <w:t>Sustainability indices in Ghana show farmers lagging behind processors, with socio-economic variables strongly shaping outcomes (Boakye et al., 2025).</w:t>
            </w:r>
            <w:r w:rsidR="006E48ED" w:rsidRPr="00B16BEA">
              <w:rPr>
                <w:sz w:val="18"/>
                <w:szCs w:val="18"/>
              </w:rPr>
              <w:t xml:space="preserve"> </w:t>
            </w:r>
          </w:p>
        </w:tc>
        <w:tc>
          <w:tcPr>
            <w:tcW w:w="0" w:type="auto"/>
            <w:vAlign w:val="center"/>
            <w:hideMark/>
          </w:tcPr>
          <w:p w:rsidR="00F54E90" w:rsidRPr="00B16BEA" w:rsidRDefault="00F54E90">
            <w:pPr>
              <w:rPr>
                <w:sz w:val="18"/>
                <w:szCs w:val="18"/>
              </w:rPr>
            </w:pPr>
            <w:r w:rsidRPr="00B16BEA">
              <w:rPr>
                <w:sz w:val="18"/>
                <w:szCs w:val="18"/>
              </w:rPr>
              <w:t>Promote inclusive contracts, producer organisations, living-wage and decent-work standards, and gender-sensitive support programmes.</w:t>
            </w:r>
          </w:p>
        </w:tc>
      </w:tr>
      <w:tr w:rsidR="00F54E90" w:rsidRPr="00B16BEA" w:rsidTr="00F54E90">
        <w:trPr>
          <w:tblCellSpacing w:w="15" w:type="dxa"/>
        </w:trPr>
        <w:tc>
          <w:tcPr>
            <w:tcW w:w="0" w:type="auto"/>
            <w:vAlign w:val="center"/>
            <w:hideMark/>
          </w:tcPr>
          <w:p w:rsidR="00F54E90" w:rsidRPr="00B16BEA" w:rsidRDefault="00F54E90">
            <w:pPr>
              <w:rPr>
                <w:sz w:val="18"/>
                <w:szCs w:val="18"/>
              </w:rPr>
            </w:pPr>
            <w:r w:rsidRPr="00B16BEA">
              <w:rPr>
                <w:sz w:val="18"/>
                <w:szCs w:val="18"/>
              </w:rPr>
              <w:t>Economic risk &amp; resilience</w:t>
            </w:r>
          </w:p>
        </w:tc>
        <w:tc>
          <w:tcPr>
            <w:tcW w:w="0" w:type="auto"/>
            <w:vAlign w:val="center"/>
            <w:hideMark/>
          </w:tcPr>
          <w:p w:rsidR="00F54E90" w:rsidRPr="00B16BEA" w:rsidRDefault="00F54E90">
            <w:pPr>
              <w:rPr>
                <w:sz w:val="18"/>
                <w:szCs w:val="18"/>
              </w:rPr>
            </w:pPr>
            <w:r w:rsidRPr="00B16BEA">
              <w:rPr>
                <w:sz w:val="18"/>
                <w:szCs w:val="18"/>
              </w:rPr>
              <w:t>Price volatility, climatic shocks and quality standards create income risk along the chain.</w:t>
            </w:r>
          </w:p>
        </w:tc>
        <w:tc>
          <w:tcPr>
            <w:tcW w:w="0" w:type="auto"/>
            <w:vAlign w:val="center"/>
            <w:hideMark/>
          </w:tcPr>
          <w:p w:rsidR="00F54E90" w:rsidRPr="00B16BEA" w:rsidRDefault="00F54E90" w:rsidP="006E48ED">
            <w:pPr>
              <w:rPr>
                <w:sz w:val="18"/>
                <w:szCs w:val="18"/>
              </w:rPr>
            </w:pPr>
            <w:r w:rsidRPr="00B16BEA">
              <w:rPr>
                <w:sz w:val="18"/>
                <w:szCs w:val="18"/>
              </w:rPr>
              <w:t>Farm-level optimisation in Thailand demonstrates that diversified crop portfolios can maintain returns while lowering income risk (</w:t>
            </w:r>
            <w:proofErr w:type="spellStart"/>
            <w:r w:rsidRPr="00B16BEA">
              <w:rPr>
                <w:sz w:val="18"/>
                <w:szCs w:val="18"/>
              </w:rPr>
              <w:t>Phrommarat</w:t>
            </w:r>
            <w:proofErr w:type="spellEnd"/>
            <w:r w:rsidRPr="00B16BEA">
              <w:rPr>
                <w:sz w:val="18"/>
                <w:szCs w:val="18"/>
              </w:rPr>
              <w:t xml:space="preserve"> &amp; </w:t>
            </w:r>
            <w:proofErr w:type="spellStart"/>
            <w:r w:rsidRPr="00B16BEA">
              <w:rPr>
                <w:sz w:val="18"/>
                <w:szCs w:val="18"/>
              </w:rPr>
              <w:t>Oonkasem</w:t>
            </w:r>
            <w:proofErr w:type="spellEnd"/>
            <w:r w:rsidRPr="00B16BEA">
              <w:rPr>
                <w:sz w:val="18"/>
                <w:szCs w:val="18"/>
              </w:rPr>
              <w:t>, 2021); conceptual work highlights the need to couple sustainability with resilience metrics (Paredes-Rodríguez et al., 2024).</w:t>
            </w:r>
            <w:r w:rsidR="006E48ED" w:rsidRPr="00B16BEA">
              <w:rPr>
                <w:sz w:val="18"/>
                <w:szCs w:val="18"/>
              </w:rPr>
              <w:t xml:space="preserve"> </w:t>
            </w:r>
          </w:p>
        </w:tc>
        <w:tc>
          <w:tcPr>
            <w:tcW w:w="0" w:type="auto"/>
            <w:vAlign w:val="center"/>
            <w:hideMark/>
          </w:tcPr>
          <w:p w:rsidR="00F54E90" w:rsidRPr="00B16BEA" w:rsidRDefault="00F54E90">
            <w:pPr>
              <w:rPr>
                <w:sz w:val="18"/>
                <w:szCs w:val="18"/>
              </w:rPr>
            </w:pPr>
            <w:r w:rsidRPr="00B16BEA">
              <w:rPr>
                <w:sz w:val="18"/>
                <w:szCs w:val="18"/>
              </w:rPr>
              <w:t>Combine diversification, insurance, minimum-price contracts and participatory risk analysis within integrated sustainability–resilience frameworks.</w:t>
            </w:r>
          </w:p>
        </w:tc>
      </w:tr>
    </w:tbl>
    <w:p w:rsidR="00F54E90" w:rsidRPr="00B16BEA" w:rsidRDefault="00F54E90" w:rsidP="00F54E90"/>
    <w:p w:rsidR="00F54E90" w:rsidRPr="00B16BEA" w:rsidRDefault="00F54E90" w:rsidP="00B16BEA">
      <w:pPr>
        <w:pStyle w:val="Heading2"/>
        <w:rPr>
          <w:lang w:val="en-GB"/>
        </w:rPr>
      </w:pPr>
      <w:bookmarkStart w:id="28" w:name="_Toc215940360"/>
      <w:r w:rsidRPr="00B16BEA">
        <w:rPr>
          <w:lang w:val="en-GB"/>
        </w:rPr>
        <w:t>6. Upgrading Pathways and Policy Priorities</w:t>
      </w:r>
      <w:bookmarkEnd w:id="28"/>
    </w:p>
    <w:p w:rsidR="00F54E90" w:rsidRPr="00B16BEA" w:rsidRDefault="00F54E90" w:rsidP="00F54E90">
      <w:pPr>
        <w:pStyle w:val="NormalWeb"/>
        <w:rPr>
          <w:lang w:val="en-GB"/>
        </w:rPr>
      </w:pPr>
      <w:r w:rsidRPr="00B16BEA">
        <w:rPr>
          <w:lang w:val="en-GB"/>
        </w:rPr>
        <w:t>The preceding sections show that pineapple value chains are increasingly embedded in complex global, regional and domestic markets. Upgrading is therefore not simply a question of raising yields but of repositioning producers, processors and traders within evolving governance structures and standards regimes. Drawing on global value chain (GVC) theory and recent empirical work on pineapple and other agri-food chains, this section discusses priority upgrading pathways and the policy mix required to support competitive, inclusive and sustainable pineapple sectors.</w:t>
      </w:r>
    </w:p>
    <w:p w:rsidR="00F54E90" w:rsidRPr="00B16BEA" w:rsidRDefault="00F54E90" w:rsidP="00B16BEA">
      <w:pPr>
        <w:pStyle w:val="Heading3"/>
        <w:rPr>
          <w:lang w:val="en-GB"/>
        </w:rPr>
      </w:pPr>
      <w:bookmarkStart w:id="29" w:name="_Toc215940361"/>
      <w:r w:rsidRPr="00B16BEA">
        <w:rPr>
          <w:lang w:val="en-GB"/>
        </w:rPr>
        <w:t>6.1 Conceptual foundations for upgrading pineapple value chains</w:t>
      </w:r>
      <w:bookmarkEnd w:id="29"/>
    </w:p>
    <w:p w:rsidR="00F54E90" w:rsidRPr="00B16BEA" w:rsidRDefault="00F54E90" w:rsidP="00F54E90">
      <w:pPr>
        <w:pStyle w:val="NormalWeb"/>
        <w:rPr>
          <w:lang w:val="en-GB"/>
        </w:rPr>
      </w:pPr>
      <w:r w:rsidRPr="00B16BEA">
        <w:rPr>
          <w:lang w:val="en-GB"/>
        </w:rPr>
        <w:t xml:space="preserve">In GVC literature, upgrading usually refers to moving into activities that generate higher value added and more stable rents, commonly distinguished as process, product, functional </w:t>
      </w:r>
      <w:r w:rsidRPr="00B16BEA">
        <w:rPr>
          <w:lang w:val="en-GB"/>
        </w:rPr>
        <w:lastRenderedPageBreak/>
        <w:t>and inter-chain upgrading (</w:t>
      </w:r>
      <w:proofErr w:type="spellStart"/>
      <w:r w:rsidRPr="00B16BEA">
        <w:rPr>
          <w:lang w:val="en-GB"/>
        </w:rPr>
        <w:t>Gereffi</w:t>
      </w:r>
      <w:proofErr w:type="spellEnd"/>
      <w:r w:rsidRPr="00B16BEA">
        <w:rPr>
          <w:lang w:val="en-GB"/>
        </w:rPr>
        <w:t xml:space="preserve"> et al., 2005; </w:t>
      </w:r>
      <w:proofErr w:type="spellStart"/>
      <w:r w:rsidRPr="00B16BEA">
        <w:rPr>
          <w:lang w:val="en-GB"/>
        </w:rPr>
        <w:t>Pietrobelli</w:t>
      </w:r>
      <w:proofErr w:type="spellEnd"/>
      <w:r w:rsidRPr="00B16BEA">
        <w:rPr>
          <w:lang w:val="en-GB"/>
        </w:rPr>
        <w:t xml:space="preserve"> &amp; </w:t>
      </w:r>
      <w:proofErr w:type="spellStart"/>
      <w:r w:rsidRPr="00B16BEA">
        <w:rPr>
          <w:lang w:val="en-GB"/>
        </w:rPr>
        <w:t>Staritz</w:t>
      </w:r>
      <w:proofErr w:type="spellEnd"/>
      <w:r w:rsidRPr="00B16BEA">
        <w:rPr>
          <w:lang w:val="en-GB"/>
        </w:rPr>
        <w:t>, 2018). For pineapple, process upgrading involves improving agronomy, post-harvest handling and logistics to lower per-unit costs or reduce waste; product upgrading focuses on higher-quality, certified or differentiated fruits; functional upgrading implies farmers or local firms taking on new roles such as grading, primary processing or branding; and inter-chain upgrading means leveraging pineapple capabilities to enter related markets (e.g., minimally processed fruit mixes or nutraceutical ingredients).</w:t>
      </w:r>
    </w:p>
    <w:p w:rsidR="00F54E90" w:rsidRPr="00B16BEA" w:rsidRDefault="00F54E90" w:rsidP="00F54E90">
      <w:pPr>
        <w:pStyle w:val="NormalWeb"/>
        <w:rPr>
          <w:lang w:val="en-GB"/>
        </w:rPr>
      </w:pPr>
      <w:r w:rsidRPr="00B16BEA">
        <w:rPr>
          <w:lang w:val="en-GB"/>
        </w:rPr>
        <w:t>The feasibility of each pathway is strongly conditioned by governance – how decisions, quality specifications and risk are distributed among chain actors (</w:t>
      </w:r>
      <w:proofErr w:type="spellStart"/>
      <w:r w:rsidRPr="00B16BEA">
        <w:rPr>
          <w:lang w:val="en-GB"/>
        </w:rPr>
        <w:t>Gereffi</w:t>
      </w:r>
      <w:proofErr w:type="spellEnd"/>
      <w:r w:rsidRPr="00B16BEA">
        <w:rPr>
          <w:lang w:val="en-GB"/>
        </w:rPr>
        <w:t xml:space="preserve"> et al., 2005; </w:t>
      </w:r>
      <w:proofErr w:type="spellStart"/>
      <w:r w:rsidRPr="00B16BEA">
        <w:rPr>
          <w:lang w:val="en-GB"/>
        </w:rPr>
        <w:t>Guimarães</w:t>
      </w:r>
      <w:proofErr w:type="spellEnd"/>
      <w:r w:rsidRPr="00B16BEA">
        <w:rPr>
          <w:lang w:val="en-GB"/>
        </w:rPr>
        <w:t xml:space="preserve"> et al., 2023). Fresh export chains dominated by supermarket or processor lead firms often resemble “captive” or “quasi-hierarchical” governance, where farmers comply with tightly specified protocols and standards but wield limited bargaining power. Domestic or regional chains for fresh fruit and traditional processed products tend to be more market-based or relational, with looser coordination but also weaker incentives for quality upgrading. Effective upgrading strategies must therefore be tailored to specific governance structures and to the distribution of power and rents along the chain.</w:t>
      </w:r>
    </w:p>
    <w:p w:rsidR="00F54E90" w:rsidRPr="00B16BEA" w:rsidRDefault="00F54E90" w:rsidP="00B16BEA">
      <w:pPr>
        <w:pStyle w:val="Heading3"/>
        <w:rPr>
          <w:lang w:val="en-GB"/>
        </w:rPr>
      </w:pPr>
      <w:bookmarkStart w:id="30" w:name="_Toc215940362"/>
      <w:r w:rsidRPr="00B16BEA">
        <w:rPr>
          <w:lang w:val="en-GB"/>
        </w:rPr>
        <w:t>6.2 Farm- and midstream-level upgrading strategies</w:t>
      </w:r>
      <w:bookmarkEnd w:id="30"/>
    </w:p>
    <w:p w:rsidR="00F54E90" w:rsidRPr="00B16BEA" w:rsidRDefault="00F54E90" w:rsidP="00F54E90">
      <w:pPr>
        <w:pStyle w:val="NormalWeb"/>
        <w:rPr>
          <w:lang w:val="en-GB"/>
        </w:rPr>
      </w:pPr>
      <w:r w:rsidRPr="00B16BEA">
        <w:rPr>
          <w:lang w:val="en-GB"/>
        </w:rPr>
        <w:t xml:space="preserve">At farm level, recent studies show that technical efficiency in pineapple production is often high but constrained by access to finance, training and infrastructure, indicating that managerial and institutional factors are at least as important as agronomic technology (Datta et al., 2024; </w:t>
      </w:r>
      <w:proofErr w:type="spellStart"/>
      <w:r w:rsidRPr="00B16BEA">
        <w:rPr>
          <w:lang w:val="en-GB"/>
        </w:rPr>
        <w:t>Sodjinou</w:t>
      </w:r>
      <w:proofErr w:type="spellEnd"/>
      <w:r w:rsidRPr="00B16BEA">
        <w:rPr>
          <w:lang w:val="en-GB"/>
        </w:rPr>
        <w:t xml:space="preserve"> et al., 2022). In Bangladesh, Datta et al. (2024) found mean technical efficiency above 90%, yet inefficiency was significantly associated with limited access to credit and extension; policy interventions targeting these factors could unlock further yield and income gains. In southern Benin, </w:t>
      </w:r>
      <w:proofErr w:type="spellStart"/>
      <w:r w:rsidRPr="00B16BEA">
        <w:rPr>
          <w:lang w:val="en-GB"/>
        </w:rPr>
        <w:t>Sodjinou</w:t>
      </w:r>
      <w:proofErr w:type="spellEnd"/>
      <w:r w:rsidRPr="00B16BEA">
        <w:rPr>
          <w:lang w:val="en-GB"/>
        </w:rPr>
        <w:t xml:space="preserve"> et al. (2022) similarly reported very high average technical efficiency but emphasised that better access to fertiliser, land and markets is needed to fully exploit production potential and meet export-quality standards.</w:t>
      </w:r>
      <w:r w:rsidR="006E48ED" w:rsidRPr="00B16BEA">
        <w:rPr>
          <w:lang w:val="en-GB"/>
        </w:rPr>
        <w:t xml:space="preserve"> </w:t>
      </w:r>
    </w:p>
    <w:p w:rsidR="00F54E90" w:rsidRPr="00B16BEA" w:rsidRDefault="00F54E90" w:rsidP="00F54E90">
      <w:pPr>
        <w:pStyle w:val="NormalWeb"/>
        <w:rPr>
          <w:lang w:val="en-GB"/>
        </w:rPr>
      </w:pPr>
      <w:r w:rsidRPr="00B16BEA">
        <w:rPr>
          <w:lang w:val="en-GB"/>
        </w:rPr>
        <w:t>Process and product upgrading also require more sustainable and resilient production systems. Work comparing conventional and integrated pineapple farms in Thailand shows that eco-efficient systems can reduce input use and environmental pressure while stabilising incomes, particularly when risk-reducing cropping patterns and input management are adopted (</w:t>
      </w:r>
      <w:proofErr w:type="spellStart"/>
      <w:r w:rsidRPr="00B16BEA">
        <w:rPr>
          <w:lang w:val="en-GB"/>
        </w:rPr>
        <w:t>Phrommarat</w:t>
      </w:r>
      <w:proofErr w:type="spellEnd"/>
      <w:r w:rsidRPr="00B16BEA">
        <w:rPr>
          <w:lang w:val="en-GB"/>
        </w:rPr>
        <w:t xml:space="preserve"> &amp; </w:t>
      </w:r>
      <w:proofErr w:type="spellStart"/>
      <w:r w:rsidRPr="00B16BEA">
        <w:rPr>
          <w:lang w:val="en-GB"/>
        </w:rPr>
        <w:t>Oonkasem</w:t>
      </w:r>
      <w:proofErr w:type="spellEnd"/>
      <w:r w:rsidRPr="00B16BEA">
        <w:rPr>
          <w:lang w:val="en-GB"/>
        </w:rPr>
        <w:t>, 2021). These findings underline the importance of integrating climate-smart agronomic practices, water and nutrient management and integrated pest management into upgrading strategies.</w:t>
      </w:r>
    </w:p>
    <w:p w:rsidR="00F54E90" w:rsidRPr="00B16BEA" w:rsidRDefault="00F54E90" w:rsidP="00F54E90">
      <w:pPr>
        <w:pStyle w:val="NormalWeb"/>
        <w:rPr>
          <w:lang w:val="en-GB"/>
        </w:rPr>
      </w:pPr>
      <w:r w:rsidRPr="00B16BEA">
        <w:rPr>
          <w:lang w:val="en-GB"/>
        </w:rPr>
        <w:t>Midstream actors—collectors, wholesalers, processors and exporters—play a decisive role in capturing and transmitting quality signals and in distributing value. In Assam, India, Das et al. (2023) demonstrated how coordinated upgrading around organic certification and brand building reconfigured the value chain, with smallholders linked to organised aggregators and downstream buyers through formal contracts, traceability systems and quality-linked pricing. This reorganisation increased farm-gate prices and reduced information asymmetries, although the benefits were contingent on strong local institutions and sustained technical support.</w:t>
      </w:r>
    </w:p>
    <w:p w:rsidR="00F54E90" w:rsidRPr="00B16BEA" w:rsidRDefault="00F54E90" w:rsidP="00F54E90">
      <w:pPr>
        <w:pStyle w:val="NormalWeb"/>
        <w:rPr>
          <w:lang w:val="en-GB"/>
        </w:rPr>
      </w:pPr>
      <w:r w:rsidRPr="00B16BEA">
        <w:rPr>
          <w:lang w:val="en-GB"/>
        </w:rPr>
        <w:t>Governance choices at the midstream level shape incentives for both efficiency and inclusion. A recent analysis from Bangladesh shows that farmers integrated in more relational and formalised governance structures—such as contract farming and cooperative marketing—</w:t>
      </w:r>
      <w:r w:rsidRPr="00B16BEA">
        <w:rPr>
          <w:lang w:val="en-GB"/>
        </w:rPr>
        <w:lastRenderedPageBreak/>
        <w:t>face lower transaction costs and enjoy more stable market access than farmers selling through spot markets (</w:t>
      </w:r>
      <w:proofErr w:type="spellStart"/>
      <w:r w:rsidRPr="00B16BEA">
        <w:rPr>
          <w:lang w:val="en-GB"/>
        </w:rPr>
        <w:t>Mankhin</w:t>
      </w:r>
      <w:proofErr w:type="spellEnd"/>
      <w:r w:rsidRPr="00B16BEA">
        <w:rPr>
          <w:lang w:val="en-GB"/>
        </w:rPr>
        <w:t xml:space="preserve"> et al., 2024). However, such arrangements can also shift risks downstream if contracts are unbalanced or if competition among buyers is weak. Upgrading policies must therefore promote fair contracting, foster competition and reinforce farmers’ collective bargaining capacities.</w:t>
      </w:r>
    </w:p>
    <w:p w:rsidR="00F54E90" w:rsidRPr="00B16BEA" w:rsidRDefault="00F54E90" w:rsidP="00B16BEA">
      <w:pPr>
        <w:pStyle w:val="Heading3"/>
        <w:rPr>
          <w:lang w:val="en-GB"/>
        </w:rPr>
      </w:pPr>
      <w:bookmarkStart w:id="31" w:name="_Toc215940363"/>
      <w:r w:rsidRPr="00B16BEA">
        <w:rPr>
          <w:lang w:val="en-GB"/>
        </w:rPr>
        <w:t>6.3 Governance, standards and inclusive upgrading</w:t>
      </w:r>
      <w:bookmarkEnd w:id="31"/>
    </w:p>
    <w:p w:rsidR="00F54E90" w:rsidRPr="00B16BEA" w:rsidRDefault="00F54E90" w:rsidP="00F54E90">
      <w:pPr>
        <w:pStyle w:val="NormalWeb"/>
        <w:rPr>
          <w:lang w:val="en-GB"/>
        </w:rPr>
      </w:pPr>
      <w:r w:rsidRPr="00B16BEA">
        <w:rPr>
          <w:lang w:val="en-GB"/>
        </w:rPr>
        <w:t xml:space="preserve">Private food safety and sustainability standards have become central to upgrading strategies in export-oriented pineapple chains. While compliance with schemes such as </w:t>
      </w:r>
      <w:proofErr w:type="spellStart"/>
      <w:r w:rsidRPr="00B16BEA">
        <w:rPr>
          <w:lang w:val="en-GB"/>
        </w:rPr>
        <w:t>GlobalGAP</w:t>
      </w:r>
      <w:proofErr w:type="spellEnd"/>
      <w:r w:rsidRPr="00B16BEA">
        <w:rPr>
          <w:lang w:val="en-GB"/>
        </w:rPr>
        <w:t xml:space="preserve"> can open access to high-value markets, empirical evidence from Ghana shows that certification imposes substantial fixed costs per farm, including investments in record-keeping, training and infrastructure, which can be prohibitive for smallholders (</w:t>
      </w:r>
      <w:proofErr w:type="spellStart"/>
      <w:r w:rsidRPr="00B16BEA">
        <w:rPr>
          <w:lang w:val="en-GB"/>
        </w:rPr>
        <w:t>Annor</w:t>
      </w:r>
      <w:proofErr w:type="spellEnd"/>
      <w:r w:rsidRPr="00B16BEA">
        <w:rPr>
          <w:lang w:val="en-GB"/>
        </w:rPr>
        <w:t xml:space="preserve"> et al., 2024). Without targeted support, certification may therefore reinforce dualistic structures where larger or better-connected farms capture export rents, while smallholders remain confined to domestic or informal markets.</w:t>
      </w:r>
    </w:p>
    <w:p w:rsidR="00F54E90" w:rsidRPr="00B16BEA" w:rsidRDefault="00F54E90" w:rsidP="00F54E90">
      <w:pPr>
        <w:pStyle w:val="NormalWeb"/>
        <w:rPr>
          <w:lang w:val="en-GB"/>
        </w:rPr>
      </w:pPr>
      <w:r w:rsidRPr="00B16BEA">
        <w:rPr>
          <w:lang w:val="en-GB"/>
        </w:rPr>
        <w:t>At the same time, sustainability-oriented value chains can stimulate process and product upgrading, as shown by Boakye et al. (2025) for Ghana’s pineapple sector. Their study highlights that farms engaged in such chains often exhibit better environmental practices, stronger labour standards and higher income stability, provided that buyers commit to long-term relationships and share some of the costs of compliance and innovation. Comparative work on sustainability-based agri-food chains in Europe underscores the central role of hybrid governance arrangements and trust-building in aligning private standards with public policy goals; governance mechanisms that reinforce dispositional, rational and procedural trust among actors are more likely to deliver credible sustainability outcomes and stable market relationships (</w:t>
      </w:r>
      <w:proofErr w:type="spellStart"/>
      <w:r w:rsidRPr="00B16BEA">
        <w:rPr>
          <w:lang w:val="en-GB"/>
        </w:rPr>
        <w:t>Grohmann</w:t>
      </w:r>
      <w:proofErr w:type="spellEnd"/>
      <w:r w:rsidRPr="00B16BEA">
        <w:rPr>
          <w:lang w:val="en-GB"/>
        </w:rPr>
        <w:t xml:space="preserve"> et al., 2023).</w:t>
      </w:r>
      <w:r w:rsidR="006E48ED" w:rsidRPr="00B16BEA">
        <w:rPr>
          <w:lang w:val="en-GB"/>
        </w:rPr>
        <w:t xml:space="preserve"> </w:t>
      </w:r>
    </w:p>
    <w:p w:rsidR="00F54E90" w:rsidRPr="00B16BEA" w:rsidRDefault="00F54E90" w:rsidP="00F54E90">
      <w:pPr>
        <w:pStyle w:val="NormalWeb"/>
        <w:rPr>
          <w:lang w:val="en-GB"/>
        </w:rPr>
      </w:pPr>
      <w:r w:rsidRPr="00B16BEA">
        <w:rPr>
          <w:lang w:val="en-GB"/>
        </w:rPr>
        <w:t xml:space="preserve">These insights suggest that inclusive upgrading in pineapple value chains depends on how standards and governance interact. Where certification is pursued purely as a market filter, smallholders are easily excluded. Where it is embedded in participatory schemes with farmer organisations, public agencies and buyers jointly co-designing compliance pathways, standards can become vehicles for capability building and market inclusion. Broader reviews of </w:t>
      </w:r>
      <w:proofErr w:type="spellStart"/>
      <w:r w:rsidRPr="00B16BEA">
        <w:rPr>
          <w:lang w:val="en-GB"/>
        </w:rPr>
        <w:t>agrifood</w:t>
      </w:r>
      <w:proofErr w:type="spellEnd"/>
      <w:r w:rsidRPr="00B16BEA">
        <w:rPr>
          <w:lang w:val="en-GB"/>
        </w:rPr>
        <w:t xml:space="preserve"> GVC governance indicate that such outcomes hinge on explicit recognition of power relations and the design of interventions that strengthen local innovation systems rather than treating value chain interventions as a generic “label” (</w:t>
      </w:r>
      <w:proofErr w:type="spellStart"/>
      <w:r w:rsidRPr="00B16BEA">
        <w:rPr>
          <w:lang w:val="en-GB"/>
        </w:rPr>
        <w:t>Guimarães</w:t>
      </w:r>
      <w:proofErr w:type="spellEnd"/>
      <w:r w:rsidRPr="00B16BEA">
        <w:rPr>
          <w:lang w:val="en-GB"/>
        </w:rPr>
        <w:t xml:space="preserve"> et al., 2023; </w:t>
      </w:r>
      <w:proofErr w:type="spellStart"/>
      <w:r w:rsidRPr="00B16BEA">
        <w:rPr>
          <w:lang w:val="en-GB"/>
        </w:rPr>
        <w:t>Pietrobelli</w:t>
      </w:r>
      <w:proofErr w:type="spellEnd"/>
      <w:r w:rsidRPr="00B16BEA">
        <w:rPr>
          <w:lang w:val="en-GB"/>
        </w:rPr>
        <w:t xml:space="preserve"> &amp; </w:t>
      </w:r>
      <w:proofErr w:type="spellStart"/>
      <w:r w:rsidRPr="00B16BEA">
        <w:rPr>
          <w:lang w:val="en-GB"/>
        </w:rPr>
        <w:t>Staritz</w:t>
      </w:r>
      <w:proofErr w:type="spellEnd"/>
      <w:r w:rsidRPr="00B16BEA">
        <w:rPr>
          <w:lang w:val="en-GB"/>
        </w:rPr>
        <w:t>, 2018).</w:t>
      </w:r>
      <w:r w:rsidR="006E48ED" w:rsidRPr="00B16BEA">
        <w:rPr>
          <w:lang w:val="en-GB"/>
        </w:rPr>
        <w:t xml:space="preserve"> </w:t>
      </w:r>
    </w:p>
    <w:p w:rsidR="00F54E90" w:rsidRPr="00B16BEA" w:rsidRDefault="00F54E90" w:rsidP="00B16BEA">
      <w:pPr>
        <w:pStyle w:val="Heading3"/>
        <w:rPr>
          <w:lang w:val="en-GB"/>
        </w:rPr>
      </w:pPr>
      <w:bookmarkStart w:id="32" w:name="_Toc215940364"/>
      <w:r w:rsidRPr="00B16BEA">
        <w:rPr>
          <w:lang w:val="en-GB"/>
        </w:rPr>
        <w:t>6.4 Policy priorities for competitive and inclusive pineapple sectors</w:t>
      </w:r>
      <w:bookmarkEnd w:id="32"/>
    </w:p>
    <w:p w:rsidR="00F54E90" w:rsidRPr="00B16BEA" w:rsidRDefault="00F54E90" w:rsidP="00F54E90">
      <w:pPr>
        <w:pStyle w:val="NormalWeb"/>
        <w:rPr>
          <w:lang w:val="en-GB"/>
        </w:rPr>
      </w:pPr>
      <w:r w:rsidRPr="00B16BEA">
        <w:rPr>
          <w:lang w:val="en-GB"/>
        </w:rPr>
        <w:t xml:space="preserve">Given this evidence, upgrading in pineapple value chains calls for a layered policy approach that links farm-level support, meso-level institutions and macro-level trade and industrial strategies. First, public investment in extension, vocational training and farmer-to-farmer learning is essential to convert technical efficiency potentials into realised productivity gains and to reduce reliance on narrow chemical-intensive practices (Datta et al., 2024; </w:t>
      </w:r>
      <w:proofErr w:type="spellStart"/>
      <w:r w:rsidRPr="00B16BEA">
        <w:rPr>
          <w:lang w:val="en-GB"/>
        </w:rPr>
        <w:t>Phrommarat</w:t>
      </w:r>
      <w:proofErr w:type="spellEnd"/>
      <w:r w:rsidRPr="00B16BEA">
        <w:rPr>
          <w:lang w:val="en-GB"/>
        </w:rPr>
        <w:t xml:space="preserve"> &amp; </w:t>
      </w:r>
      <w:proofErr w:type="spellStart"/>
      <w:r w:rsidRPr="00B16BEA">
        <w:rPr>
          <w:lang w:val="en-GB"/>
        </w:rPr>
        <w:t>Oonkasem</w:t>
      </w:r>
      <w:proofErr w:type="spellEnd"/>
      <w:r w:rsidRPr="00B16BEA">
        <w:rPr>
          <w:lang w:val="en-GB"/>
        </w:rPr>
        <w:t>, 2021). Second, tailored financial instruments—including value chain finance, partial credit guarantees and investment grants—are needed to help smallholders and SMEs meet the lumpy costs of upgrading, from irrigation and on-farm infrastructure to cold storage and pack-house facilities.</w:t>
      </w:r>
    </w:p>
    <w:p w:rsidR="00F54E90" w:rsidRPr="00B16BEA" w:rsidRDefault="00F54E90" w:rsidP="00F54E90">
      <w:pPr>
        <w:pStyle w:val="NormalWeb"/>
        <w:rPr>
          <w:lang w:val="en-GB"/>
        </w:rPr>
      </w:pPr>
      <w:r w:rsidRPr="00B16BEA">
        <w:rPr>
          <w:lang w:val="en-GB"/>
        </w:rPr>
        <w:lastRenderedPageBreak/>
        <w:t xml:space="preserve">Third, policies should encourage producer organisations and multi-stakeholder platforms that can negotiate fairer contracts, co-manage standards implementation and coordinate investments along the chain. Studies of </w:t>
      </w:r>
      <w:proofErr w:type="spellStart"/>
      <w:r w:rsidRPr="00B16BEA">
        <w:rPr>
          <w:lang w:val="en-GB"/>
        </w:rPr>
        <w:t>agrifood</w:t>
      </w:r>
      <w:proofErr w:type="spellEnd"/>
      <w:r w:rsidRPr="00B16BEA">
        <w:rPr>
          <w:lang w:val="en-GB"/>
        </w:rPr>
        <w:t xml:space="preserve"> GVCs consistently show that when value chain development initiatives explicitly incorporate learning and innovation systems—rather than focusing solely on compliance or physical infrastructure—they achieve more durable upgrading and capability building (</w:t>
      </w:r>
      <w:proofErr w:type="spellStart"/>
      <w:r w:rsidRPr="00B16BEA">
        <w:rPr>
          <w:lang w:val="en-GB"/>
        </w:rPr>
        <w:t>Pietrobelli</w:t>
      </w:r>
      <w:proofErr w:type="spellEnd"/>
      <w:r w:rsidRPr="00B16BEA">
        <w:rPr>
          <w:lang w:val="en-GB"/>
        </w:rPr>
        <w:t xml:space="preserve"> &amp; </w:t>
      </w:r>
      <w:proofErr w:type="spellStart"/>
      <w:r w:rsidRPr="00B16BEA">
        <w:rPr>
          <w:lang w:val="en-GB"/>
        </w:rPr>
        <w:t>Staritz</w:t>
      </w:r>
      <w:proofErr w:type="spellEnd"/>
      <w:r w:rsidRPr="00B16BEA">
        <w:rPr>
          <w:lang w:val="en-GB"/>
        </w:rPr>
        <w:t xml:space="preserve">, 2018; </w:t>
      </w:r>
      <w:proofErr w:type="spellStart"/>
      <w:r w:rsidRPr="00B16BEA">
        <w:rPr>
          <w:lang w:val="en-GB"/>
        </w:rPr>
        <w:t>Keijser</w:t>
      </w:r>
      <w:proofErr w:type="spellEnd"/>
      <w:r w:rsidRPr="00B16BEA">
        <w:rPr>
          <w:lang w:val="en-GB"/>
        </w:rPr>
        <w:t xml:space="preserve"> et al., 2021). This implies linking pineapple value chain programmes to national research systems, innovation funds and digital advisory platforms.</w:t>
      </w:r>
    </w:p>
    <w:p w:rsidR="00F54E90" w:rsidRPr="00B16BEA" w:rsidRDefault="00F54E90" w:rsidP="00F54E90">
      <w:pPr>
        <w:pStyle w:val="NormalWeb"/>
        <w:rPr>
          <w:lang w:val="en-GB"/>
        </w:rPr>
      </w:pPr>
      <w:r w:rsidRPr="00B16BEA">
        <w:rPr>
          <w:lang w:val="en-GB"/>
        </w:rPr>
        <w:t>Fourth, industrial and trade policies should recognise the strategic role of midstream actors in capturing value and supporting diversification into higher-value products. Incentives for investment in processing (e.g., juices, dried pineapple, purées), logistics hubs and quality control laboratories can foster functional and inter-chain upgrading, especially where local firms are encouraged to co-invest with farmer organisations and to adopt transparent revenue-sharing mechanisms.</w:t>
      </w:r>
    </w:p>
    <w:p w:rsidR="00F54E90" w:rsidRPr="00B16BEA" w:rsidRDefault="00F54E90" w:rsidP="00F54E90">
      <w:pPr>
        <w:pStyle w:val="NormalWeb"/>
        <w:rPr>
          <w:lang w:val="en-GB"/>
        </w:rPr>
      </w:pPr>
      <w:r w:rsidRPr="00B16BEA">
        <w:rPr>
          <w:lang w:val="en-GB"/>
        </w:rPr>
        <w:t>Finally, policies aimed at sustainability and resilience—such as climate-risk insurance, landscape-level water and soil management programmes, and incentives for circular use of by-products—should be integrated into pineapple sector strategies rather than treated as add-ons. Evidence from sustainability-based value chains suggests that when governance mechanisms explicitly address trust, information asymmetries and risk sharing, they are better able to internalise environmental and social externalities while maintaining competitiveness (</w:t>
      </w:r>
      <w:proofErr w:type="spellStart"/>
      <w:r w:rsidRPr="00B16BEA">
        <w:rPr>
          <w:lang w:val="en-GB"/>
        </w:rPr>
        <w:t>Grohmann</w:t>
      </w:r>
      <w:proofErr w:type="spellEnd"/>
      <w:r w:rsidRPr="00B16BEA">
        <w:rPr>
          <w:lang w:val="en-GB"/>
        </w:rPr>
        <w:t xml:space="preserve"> et al., 2023; Boakye et al., 2025).</w:t>
      </w:r>
      <w:r w:rsidR="006E48ED" w:rsidRPr="00B16BEA">
        <w:rPr>
          <w:lang w:val="en-GB"/>
        </w:rPr>
        <w:t xml:space="preserve"> </w:t>
      </w:r>
    </w:p>
    <w:p w:rsidR="00F54E90" w:rsidRPr="00B16BEA" w:rsidRDefault="00F54E90" w:rsidP="00F54E90">
      <w:pPr>
        <w:pStyle w:val="NormalWeb"/>
        <w:rPr>
          <w:lang w:val="en-GB"/>
        </w:rPr>
      </w:pPr>
      <w:r w:rsidRPr="00B16BEA">
        <w:rPr>
          <w:lang w:val="en-GB"/>
        </w:rPr>
        <w:t>Overall, upgrading pathways in pineapple value chains are multi-dimensional and context-specific, but a consistent message emerges: policies that combine attention to governance, standards, learning and local innovation systems are more likely to generate competitive, inclusive and sustainable outcomes than those that focus narrowly on yield or export volume targets.</w:t>
      </w:r>
    </w:p>
    <w:p w:rsidR="00FF490B" w:rsidRPr="00B16BEA" w:rsidRDefault="00FF490B" w:rsidP="00B16BEA">
      <w:pPr>
        <w:pStyle w:val="Heading2"/>
        <w:rPr>
          <w:lang w:val="en-GB"/>
        </w:rPr>
      </w:pPr>
      <w:bookmarkStart w:id="33" w:name="_Toc215940365"/>
      <w:r w:rsidRPr="00B16BEA">
        <w:rPr>
          <w:lang w:val="en-GB"/>
        </w:rPr>
        <w:t>7. Conclusions</w:t>
      </w:r>
      <w:bookmarkEnd w:id="33"/>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Pineapple has evolved into a strategically important tropical fruit in global agri-food systems, driven by growth in both fresh and processed markets. Production and trade are geographically concentrated, yet the sector is structurally dualistic, with large export-oriented estates coexisting alongside numerous smallholders supplying domestic and regional markets.</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Market dynamics are shaped by strong buyer power and a high degree of concentration at export and retail nodes. Lead firms, particularly supermarkets and large processors, play a decisive role in setting quality standards, delivery schedules and contractual terms, which cascade upstream and condition the opportunities and risks faced by producers and intermediaries.</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At farm level, pineapple is generally more profitable than many competing crops and can significantly enhance rural incomes. However, value chain analysis shows that farmers often receive a relatively small share of the final consumer price, as traders, wholesalers, processors and retailers capture a large proportion of value added through aggregation, logistics, quality management and branding.</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Domestic market channels in producer countries are typically long, multi-tiered and weakly coordinated, with pervasive information asymmetries and limited formal grading. These structural features contribute to price spreads, volatile farm-gate prices </w:t>
      </w:r>
      <w:r w:rsidRPr="00B16BEA">
        <w:rPr>
          <w:rFonts w:ascii="Times New Roman" w:eastAsia="Times New Roman" w:hAnsi="Times New Roman" w:cs="Times New Roman"/>
          <w:sz w:val="24"/>
          <w:szCs w:val="24"/>
        </w:rPr>
        <w:lastRenderedPageBreak/>
        <w:t>and limited incentives for producers to invest in quality upgrading, post-harvest handling and sustainability practices.</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Environmental sustainability is a critical concern, especially where intensive monocultures generate high pesticide loads, soil degradation and water contamination. At the same time, processing generates substantial organic waste that, if unmanaged, contributes to greenhouse gas emissions and local pollution, but also offers significant potential for circular </w:t>
      </w:r>
      <w:proofErr w:type="spellStart"/>
      <w:r w:rsidRPr="00B16BEA">
        <w:rPr>
          <w:rFonts w:ascii="Times New Roman" w:eastAsia="Times New Roman" w:hAnsi="Times New Roman" w:cs="Times New Roman"/>
          <w:sz w:val="24"/>
          <w:szCs w:val="24"/>
        </w:rPr>
        <w:t>bioeconomy</w:t>
      </w:r>
      <w:proofErr w:type="spellEnd"/>
      <w:r w:rsidRPr="00B16BEA">
        <w:rPr>
          <w:rFonts w:ascii="Times New Roman" w:eastAsia="Times New Roman" w:hAnsi="Times New Roman" w:cs="Times New Roman"/>
          <w:sz w:val="24"/>
          <w:szCs w:val="24"/>
        </w:rPr>
        <w:t xml:space="preserve"> solutions through waste </w:t>
      </w:r>
      <w:proofErr w:type="spellStart"/>
      <w:r w:rsidRPr="00B16BEA">
        <w:rPr>
          <w:rFonts w:ascii="Times New Roman" w:eastAsia="Times New Roman" w:hAnsi="Times New Roman" w:cs="Times New Roman"/>
          <w:sz w:val="24"/>
          <w:szCs w:val="24"/>
        </w:rPr>
        <w:t>valorization</w:t>
      </w:r>
      <w:proofErr w:type="spellEnd"/>
      <w:r w:rsidRPr="00B16BEA">
        <w:rPr>
          <w:rFonts w:ascii="Times New Roman" w:eastAsia="Times New Roman" w:hAnsi="Times New Roman" w:cs="Times New Roman"/>
          <w:sz w:val="24"/>
          <w:szCs w:val="24"/>
        </w:rPr>
        <w:t>.</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Social inclusion remains uneven across pineapple value chains. Smallholders, women and migrant workers often face constraints in accessing land, finance, information and stable contracts, and bear disproportionate production and employment risks. Without deliberate efforts to strengthen producer organisations, improve labour conditions and embed social safeguards in governance, upgrading may exacerbate existing inequalities.</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Economic sustainability is undermined by exposure to price volatility, climate shocks and shifting standard requirements. Diversification of crops, markets and product portfolios, combined with improved risk-sharing mechanisms and resilience-oriented planning, is essential to stabilise incomes and protect investments in sustainable practices.</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Upgrading pathways exist at multiple nodes—process and product improvements on farms, functional upgrading into processing and branding, and inter-chain upgrading into biorefinery and high-value ingredient markets. Realising these opportunities requires an enabling environment that links technical innovation with fair governance, accessible finance and supportive public policies.</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Policy priorities include investing in rural infrastructure and cold chains, strengthening extension and innovation systems, supporting inclusive producer organisations, and aligning private standards with national development and sustainability objectives. A coherent mix of agricultural, industrial, trade and environmental policies is needed to ensure that pineapple value chain development is competitive, inclusive and resilient.</w:t>
      </w:r>
    </w:p>
    <w:p w:rsidR="00FF490B" w:rsidRPr="00B16BEA" w:rsidRDefault="00FF490B" w:rsidP="00FF490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Finally, there is a clear need for more comparative, longitudinal and interdisciplinary research that integrates economic, social and environmental dimensions at multiple scales. Robust evidence on governance, risk, circular </w:t>
      </w:r>
      <w:proofErr w:type="spellStart"/>
      <w:r w:rsidRPr="00B16BEA">
        <w:rPr>
          <w:rFonts w:ascii="Times New Roman" w:eastAsia="Times New Roman" w:hAnsi="Times New Roman" w:cs="Times New Roman"/>
          <w:sz w:val="24"/>
          <w:szCs w:val="24"/>
        </w:rPr>
        <w:t>bioeconomy</w:t>
      </w:r>
      <w:proofErr w:type="spellEnd"/>
      <w:r w:rsidRPr="00B16BEA">
        <w:rPr>
          <w:rFonts w:ascii="Times New Roman" w:eastAsia="Times New Roman" w:hAnsi="Times New Roman" w:cs="Times New Roman"/>
          <w:sz w:val="24"/>
          <w:szCs w:val="24"/>
        </w:rPr>
        <w:t xml:space="preserve"> options and distributional outcomes will be vital for guiding future interventions and ensuring that pineapple value chains contribute meaningfully to sustainable rural transformation.</w:t>
      </w:r>
    </w:p>
    <w:p w:rsidR="005B02AF" w:rsidRPr="00B16BEA" w:rsidRDefault="005B02AF" w:rsidP="005B02AF"/>
    <w:p w:rsidR="00FF490B" w:rsidRPr="00B16BEA" w:rsidRDefault="00FF490B" w:rsidP="00B16BEA">
      <w:pPr>
        <w:pStyle w:val="Heading2"/>
        <w:rPr>
          <w:lang w:val="en-GB"/>
        </w:rPr>
      </w:pPr>
      <w:bookmarkStart w:id="34" w:name="_Toc215940366"/>
      <w:r w:rsidRPr="00B16BEA">
        <w:rPr>
          <w:lang w:val="en-GB"/>
        </w:rPr>
        <w:t>8. Limitations</w:t>
      </w:r>
      <w:bookmarkEnd w:id="34"/>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This review focuses primarily on peer-reviewed journal articles and excludes most grey literature, policy reports and local studies, which may contain important context-specific insights, especially for smaller producer countries.</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The evidence base is uneven across regions. Some major producers and emerging exporters are poorly represented, so the synthesis may over-reflect experiences from a limited set of countries with stronger research traditions.</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Many studies reviewed are cross-sectional and rely on single-season or single-year data. This restricts the ability to capture long-term trends, cyclical price patterns, technological change and the cumulative effects of climate variability.</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lastRenderedPageBreak/>
        <w:t>Value chain analyses often concentrate on particular nodes (for example, producers or processors), with limited end-to-end data. As a result, conclusions about the distribution of value and risk along the entire chain remain partly inferential.</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Quantitative measures of social outcomes—such as labour conditions, gender dynamics, power relations and distributional equity—are relatively scarce, which constrains the depth of assessment of inclusiveness.</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Environmental aspects are typically addressed through partial indicators rather than comprehensive, harmonised assessment frameworks. Comparisons of environmental performance between systems or countries must therefore be interpreted cautiously.</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 xml:space="preserve">The review relies largely on studies published in English, creating a language bias that may exclude relevant work from francophone, </w:t>
      </w:r>
      <w:proofErr w:type="spellStart"/>
      <w:r w:rsidRPr="00B16BEA">
        <w:rPr>
          <w:rFonts w:ascii="Times New Roman" w:eastAsia="Times New Roman" w:hAnsi="Times New Roman" w:cs="Times New Roman"/>
          <w:sz w:val="24"/>
          <w:szCs w:val="24"/>
        </w:rPr>
        <w:t>lusophone</w:t>
      </w:r>
      <w:proofErr w:type="spellEnd"/>
      <w:r w:rsidRPr="00B16BEA">
        <w:rPr>
          <w:rFonts w:ascii="Times New Roman" w:eastAsia="Times New Roman" w:hAnsi="Times New Roman" w:cs="Times New Roman"/>
          <w:sz w:val="24"/>
          <w:szCs w:val="24"/>
        </w:rPr>
        <w:t xml:space="preserve"> and other non-English speaking producer contexts.</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Conceptual frameworks for governance, sustainability and resilience are drawn from broader agri-food value chain research and then applied to pineapple; empirical validation of these frameworks specifically for pineapple chains remains limited.</w:t>
      </w:r>
    </w:p>
    <w:p w:rsidR="00FF490B" w:rsidRPr="00B16BEA" w:rsidRDefault="00FF490B" w:rsidP="00FF490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6BEA">
        <w:rPr>
          <w:rFonts w:ascii="Times New Roman" w:eastAsia="Times New Roman" w:hAnsi="Times New Roman" w:cs="Times New Roman"/>
          <w:sz w:val="24"/>
          <w:szCs w:val="24"/>
        </w:rPr>
        <w:t>Finally, rapid changes in standards, logistics, consumer preferences and climate risks mean that some empirical findings may quickly become outdated, especially in relation to emerging market segments and governance innovations.</w:t>
      </w:r>
    </w:p>
    <w:p w:rsidR="005B02AF" w:rsidRPr="00B16BEA" w:rsidRDefault="005B02AF" w:rsidP="00B16BEA">
      <w:pPr>
        <w:pStyle w:val="Heading2"/>
        <w:rPr>
          <w:lang w:val="en-GB"/>
        </w:rPr>
      </w:pPr>
      <w:bookmarkStart w:id="35" w:name="_Toc215940367"/>
      <w:r w:rsidRPr="00B16BEA">
        <w:rPr>
          <w:lang w:val="en-GB"/>
        </w:rPr>
        <w:t>References</w:t>
      </w:r>
      <w:bookmarkEnd w:id="35"/>
    </w:p>
    <w:p w:rsidR="00B16BEA" w:rsidRPr="00B16BEA" w:rsidRDefault="00B16BEA" w:rsidP="00B16BEA">
      <w:pPr>
        <w:pStyle w:val="NormalWeb"/>
        <w:rPr>
          <w:lang w:val="en-GB"/>
        </w:rPr>
      </w:pPr>
      <w:proofErr w:type="spellStart"/>
      <w:r w:rsidRPr="00B16BEA">
        <w:rPr>
          <w:color w:val="222222"/>
          <w:shd w:val="clear" w:color="auto" w:fill="FFFFFF"/>
          <w:lang w:val="en-GB"/>
        </w:rPr>
        <w:t>Adepoju</w:t>
      </w:r>
      <w:proofErr w:type="spellEnd"/>
      <w:r w:rsidRPr="00B16BEA">
        <w:rPr>
          <w:color w:val="222222"/>
          <w:shd w:val="clear" w:color="auto" w:fill="FFFFFF"/>
          <w:lang w:val="en-GB"/>
        </w:rPr>
        <w:t xml:space="preserve">, A. O., </w:t>
      </w:r>
      <w:proofErr w:type="spellStart"/>
      <w:r w:rsidRPr="00B16BEA">
        <w:rPr>
          <w:color w:val="222222"/>
          <w:shd w:val="clear" w:color="auto" w:fill="FFFFFF"/>
          <w:lang w:val="en-GB"/>
        </w:rPr>
        <w:t>Owoeye</w:t>
      </w:r>
      <w:proofErr w:type="spellEnd"/>
      <w:r w:rsidRPr="00B16BEA">
        <w:rPr>
          <w:color w:val="222222"/>
          <w:shd w:val="clear" w:color="auto" w:fill="FFFFFF"/>
          <w:lang w:val="en-GB"/>
        </w:rPr>
        <w:t xml:space="preserve">, I. T., &amp; Adeoye, I. B. (2015). Determinants of market participation among Pineapple farmers in </w:t>
      </w:r>
      <w:proofErr w:type="spellStart"/>
      <w:r w:rsidRPr="00B16BEA">
        <w:rPr>
          <w:color w:val="222222"/>
          <w:shd w:val="clear" w:color="auto" w:fill="FFFFFF"/>
          <w:lang w:val="en-GB"/>
        </w:rPr>
        <w:t>Aiyedaade</w:t>
      </w:r>
      <w:proofErr w:type="spellEnd"/>
      <w:r w:rsidRPr="00B16BEA">
        <w:rPr>
          <w:color w:val="222222"/>
          <w:shd w:val="clear" w:color="auto" w:fill="FFFFFF"/>
          <w:lang w:val="en-GB"/>
        </w:rPr>
        <w:t xml:space="preserve"> local government area, Osun State, Nigeria. </w:t>
      </w:r>
      <w:r w:rsidRPr="00B16BEA">
        <w:rPr>
          <w:i/>
          <w:iCs/>
          <w:color w:val="222222"/>
          <w:shd w:val="clear" w:color="auto" w:fill="FFFFFF"/>
          <w:lang w:val="en-GB"/>
        </w:rPr>
        <w:t>International Journal of Fruit Science</w:t>
      </w:r>
      <w:r w:rsidRPr="00B16BEA">
        <w:rPr>
          <w:color w:val="222222"/>
          <w:shd w:val="clear" w:color="auto" w:fill="FFFFFF"/>
          <w:lang w:val="en-GB"/>
        </w:rPr>
        <w:t>, </w:t>
      </w:r>
      <w:r w:rsidRPr="00B16BEA">
        <w:rPr>
          <w:i/>
          <w:iCs/>
          <w:color w:val="222222"/>
          <w:shd w:val="clear" w:color="auto" w:fill="FFFFFF"/>
          <w:lang w:val="en-GB"/>
        </w:rPr>
        <w:t>15</w:t>
      </w:r>
      <w:r w:rsidRPr="00B16BEA">
        <w:rPr>
          <w:color w:val="222222"/>
          <w:shd w:val="clear" w:color="auto" w:fill="FFFFFF"/>
          <w:lang w:val="en-GB"/>
        </w:rPr>
        <w:t xml:space="preserve">(4), 392-404. </w:t>
      </w:r>
      <w:hyperlink r:id="rId8" w:history="1">
        <w:r w:rsidRPr="00B16BEA">
          <w:rPr>
            <w:rStyle w:val="Hyperlink"/>
            <w:shd w:val="clear" w:color="auto" w:fill="FFFFFF"/>
            <w:lang w:val="en-GB"/>
          </w:rPr>
          <w:t>https://doi.org/10.1080/15538362.2015.1015763</w:t>
        </w:r>
      </w:hyperlink>
      <w:r w:rsidRPr="00B16BEA">
        <w:rPr>
          <w:color w:val="222222"/>
          <w:shd w:val="clear" w:color="auto" w:fill="FFFFFF"/>
          <w:lang w:val="en-GB"/>
        </w:rPr>
        <w:t xml:space="preserve"> </w:t>
      </w:r>
    </w:p>
    <w:p w:rsidR="00B16BEA" w:rsidRPr="00B16BEA" w:rsidRDefault="00B16BEA" w:rsidP="00B16BEA">
      <w:pPr>
        <w:pStyle w:val="NormalWeb"/>
        <w:rPr>
          <w:lang w:val="en-GB"/>
        </w:rPr>
      </w:pPr>
      <w:r w:rsidRPr="00B16BEA">
        <w:rPr>
          <w:lang w:val="en-GB"/>
        </w:rPr>
        <w:t xml:space="preserve">Alemu, D., </w:t>
      </w:r>
      <w:proofErr w:type="spellStart"/>
      <w:r w:rsidRPr="00B16BEA">
        <w:rPr>
          <w:lang w:val="en-GB"/>
        </w:rPr>
        <w:t>Tadele</w:t>
      </w:r>
      <w:proofErr w:type="spellEnd"/>
      <w:r w:rsidRPr="00B16BEA">
        <w:rPr>
          <w:lang w:val="en-GB"/>
        </w:rPr>
        <w:t xml:space="preserve">, T., &amp; </w:t>
      </w:r>
      <w:proofErr w:type="spellStart"/>
      <w:r w:rsidRPr="00B16BEA">
        <w:rPr>
          <w:lang w:val="en-GB"/>
        </w:rPr>
        <w:t>Tilahun</w:t>
      </w:r>
      <w:proofErr w:type="spellEnd"/>
      <w:r w:rsidRPr="00B16BEA">
        <w:rPr>
          <w:lang w:val="en-GB"/>
        </w:rPr>
        <w:t xml:space="preserve">, S. (2023). Value Chain Analysis of Pineapple in </w:t>
      </w:r>
      <w:proofErr w:type="spellStart"/>
      <w:r w:rsidRPr="00B16BEA">
        <w:rPr>
          <w:lang w:val="en-GB"/>
        </w:rPr>
        <w:t>Gedeo</w:t>
      </w:r>
      <w:proofErr w:type="spellEnd"/>
      <w:r w:rsidRPr="00B16BEA">
        <w:rPr>
          <w:lang w:val="en-GB"/>
        </w:rPr>
        <w:t xml:space="preserve"> and </w:t>
      </w:r>
      <w:proofErr w:type="spellStart"/>
      <w:r w:rsidRPr="00B16BEA">
        <w:rPr>
          <w:lang w:val="en-GB"/>
        </w:rPr>
        <w:t>Sidama</w:t>
      </w:r>
      <w:proofErr w:type="spellEnd"/>
      <w:r w:rsidRPr="00B16BEA">
        <w:rPr>
          <w:lang w:val="en-GB"/>
        </w:rPr>
        <w:t xml:space="preserve"> Areas, Southern Ethiopia. </w:t>
      </w:r>
      <w:r w:rsidRPr="00B16BEA">
        <w:rPr>
          <w:rStyle w:val="Emphasis"/>
          <w:rFonts w:eastAsiaTheme="majorEastAsia"/>
          <w:lang w:val="en-GB"/>
        </w:rPr>
        <w:t>Trends in Agricultural Economics, 16</w:t>
      </w:r>
      <w:r w:rsidRPr="00B16BEA">
        <w:rPr>
          <w:lang w:val="en-GB"/>
        </w:rPr>
        <w:t xml:space="preserve">(1), 13-24. </w:t>
      </w:r>
      <w:hyperlink r:id="rId9" w:history="1">
        <w:r w:rsidRPr="00B16BEA">
          <w:rPr>
            <w:rStyle w:val="Hyperlink"/>
            <w:lang w:val="en-GB"/>
          </w:rPr>
          <w:t>https://doi.org/10.3923/tae.2023.13.24</w:t>
        </w:r>
      </w:hyperlink>
      <w:r w:rsidRPr="00B16BEA">
        <w:rPr>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t xml:space="preserve">Ali, M. M., Hashim, N., Abd Aziz, S., &amp; </w:t>
      </w:r>
      <w:proofErr w:type="spellStart"/>
      <w:r w:rsidRPr="00B16BEA">
        <w:rPr>
          <w:color w:val="222222"/>
          <w:shd w:val="clear" w:color="auto" w:fill="FFFFFF"/>
          <w:lang w:val="en-GB"/>
        </w:rPr>
        <w:t>Lasekan</w:t>
      </w:r>
      <w:proofErr w:type="spellEnd"/>
      <w:r w:rsidRPr="00B16BEA">
        <w:rPr>
          <w:color w:val="222222"/>
          <w:shd w:val="clear" w:color="auto" w:fill="FFFFFF"/>
          <w:lang w:val="en-GB"/>
        </w:rPr>
        <w:t>, O. (2020). Pineapple (</w:t>
      </w:r>
      <w:proofErr w:type="spellStart"/>
      <w:r w:rsidRPr="00B16BEA">
        <w:rPr>
          <w:color w:val="222222"/>
          <w:shd w:val="clear" w:color="auto" w:fill="FFFFFF"/>
          <w:lang w:val="en-GB"/>
        </w:rPr>
        <w:t>Ananas</w:t>
      </w:r>
      <w:proofErr w:type="spellEnd"/>
      <w:r w:rsidRPr="00B16BEA">
        <w:rPr>
          <w:color w:val="222222"/>
          <w:shd w:val="clear" w:color="auto" w:fill="FFFFFF"/>
          <w:lang w:val="en-GB"/>
        </w:rPr>
        <w:t xml:space="preserve"> </w:t>
      </w:r>
      <w:proofErr w:type="spellStart"/>
      <w:r w:rsidRPr="00B16BEA">
        <w:rPr>
          <w:color w:val="222222"/>
          <w:shd w:val="clear" w:color="auto" w:fill="FFFFFF"/>
          <w:lang w:val="en-GB"/>
        </w:rPr>
        <w:t>comosus</w:t>
      </w:r>
      <w:proofErr w:type="spellEnd"/>
      <w:r w:rsidRPr="00B16BEA">
        <w:rPr>
          <w:color w:val="222222"/>
          <w:shd w:val="clear" w:color="auto" w:fill="FFFFFF"/>
          <w:lang w:val="en-GB"/>
        </w:rPr>
        <w:t>): A comprehensive review of nutritional values, volatile compounds, health benefits, and potential food products. </w:t>
      </w:r>
      <w:r w:rsidRPr="00B16BEA">
        <w:rPr>
          <w:i/>
          <w:iCs/>
          <w:color w:val="222222"/>
          <w:shd w:val="clear" w:color="auto" w:fill="FFFFFF"/>
          <w:lang w:val="en-GB"/>
        </w:rPr>
        <w:t>Food Research International</w:t>
      </w:r>
      <w:r w:rsidRPr="00B16BEA">
        <w:rPr>
          <w:color w:val="222222"/>
          <w:shd w:val="clear" w:color="auto" w:fill="FFFFFF"/>
          <w:lang w:val="en-GB"/>
        </w:rPr>
        <w:t>, </w:t>
      </w:r>
      <w:r w:rsidRPr="00B16BEA">
        <w:rPr>
          <w:i/>
          <w:iCs/>
          <w:color w:val="222222"/>
          <w:shd w:val="clear" w:color="auto" w:fill="FFFFFF"/>
          <w:lang w:val="en-GB"/>
        </w:rPr>
        <w:t>137</w:t>
      </w:r>
      <w:r w:rsidRPr="00B16BEA">
        <w:rPr>
          <w:color w:val="222222"/>
          <w:shd w:val="clear" w:color="auto" w:fill="FFFFFF"/>
          <w:lang w:val="en-GB"/>
        </w:rPr>
        <w:t xml:space="preserve">, 109675. </w:t>
      </w:r>
      <w:hyperlink r:id="rId10" w:history="1">
        <w:r w:rsidRPr="00B16BEA">
          <w:rPr>
            <w:rStyle w:val="Hyperlink"/>
            <w:shd w:val="clear" w:color="auto" w:fill="FFFFFF"/>
            <w:lang w:val="en-GB"/>
          </w:rPr>
          <w:t>https://doi.org/10.1016/j.foodres.2020.109675</w:t>
        </w:r>
      </w:hyperlink>
    </w:p>
    <w:p w:rsidR="00B16BEA" w:rsidRPr="00B16BEA" w:rsidRDefault="00B16BEA" w:rsidP="00B16BEA">
      <w:pPr>
        <w:pStyle w:val="NormalWeb"/>
        <w:rPr>
          <w:lang w:val="en-GB"/>
        </w:rPr>
      </w:pPr>
      <w:proofErr w:type="spellStart"/>
      <w:r w:rsidRPr="00B16BEA">
        <w:rPr>
          <w:color w:val="222222"/>
          <w:shd w:val="clear" w:color="auto" w:fill="FFFFFF"/>
          <w:lang w:val="en-GB"/>
        </w:rPr>
        <w:t>Annor</w:t>
      </w:r>
      <w:proofErr w:type="spellEnd"/>
      <w:r w:rsidRPr="00B16BEA">
        <w:rPr>
          <w:color w:val="222222"/>
          <w:shd w:val="clear" w:color="auto" w:fill="FFFFFF"/>
          <w:lang w:val="en-GB"/>
        </w:rPr>
        <w:t xml:space="preserve">, P. B., </w:t>
      </w:r>
      <w:proofErr w:type="spellStart"/>
      <w:r w:rsidRPr="00B16BEA">
        <w:rPr>
          <w:color w:val="222222"/>
          <w:shd w:val="clear" w:color="auto" w:fill="FFFFFF"/>
          <w:lang w:val="en-GB"/>
        </w:rPr>
        <w:t>Kaitibie</w:t>
      </w:r>
      <w:proofErr w:type="spellEnd"/>
      <w:r w:rsidRPr="00B16BEA">
        <w:rPr>
          <w:color w:val="222222"/>
          <w:shd w:val="clear" w:color="auto" w:fill="FFFFFF"/>
          <w:lang w:val="en-GB"/>
        </w:rPr>
        <w:t xml:space="preserve">, S., &amp; Lyne, M. C. (2024). </w:t>
      </w:r>
      <w:proofErr w:type="spellStart"/>
      <w:r w:rsidRPr="00B16BEA">
        <w:rPr>
          <w:color w:val="222222"/>
          <w:shd w:val="clear" w:color="auto" w:fill="FFFFFF"/>
          <w:lang w:val="en-GB"/>
        </w:rPr>
        <w:t>GlobalGAP</w:t>
      </w:r>
      <w:proofErr w:type="spellEnd"/>
      <w:r w:rsidRPr="00B16BEA">
        <w:rPr>
          <w:color w:val="222222"/>
          <w:shd w:val="clear" w:color="auto" w:fill="FFFFFF"/>
          <w:lang w:val="en-GB"/>
        </w:rPr>
        <w:t xml:space="preserve"> compliance costs in Ghana’s small-scale pineapple farming sector. </w:t>
      </w:r>
      <w:proofErr w:type="spellStart"/>
      <w:r w:rsidRPr="00B16BEA">
        <w:rPr>
          <w:i/>
          <w:iCs/>
          <w:color w:val="222222"/>
          <w:shd w:val="clear" w:color="auto" w:fill="FFFFFF"/>
          <w:lang w:val="en-GB"/>
        </w:rPr>
        <w:t>Agrekon</w:t>
      </w:r>
      <w:proofErr w:type="spellEnd"/>
      <w:r w:rsidRPr="00B16BEA">
        <w:rPr>
          <w:color w:val="222222"/>
          <w:shd w:val="clear" w:color="auto" w:fill="FFFFFF"/>
          <w:lang w:val="en-GB"/>
        </w:rPr>
        <w:t>, </w:t>
      </w:r>
      <w:r w:rsidRPr="00B16BEA">
        <w:rPr>
          <w:i/>
          <w:iCs/>
          <w:color w:val="222222"/>
          <w:shd w:val="clear" w:color="auto" w:fill="FFFFFF"/>
          <w:lang w:val="en-GB"/>
        </w:rPr>
        <w:t>63</w:t>
      </w:r>
      <w:r w:rsidRPr="00B16BEA">
        <w:rPr>
          <w:color w:val="222222"/>
          <w:shd w:val="clear" w:color="auto" w:fill="FFFFFF"/>
          <w:lang w:val="en-GB"/>
        </w:rPr>
        <w:t xml:space="preserve">(1-2), 82-96. </w:t>
      </w:r>
      <w:hyperlink r:id="rId11" w:history="1">
        <w:r w:rsidRPr="00B16BEA">
          <w:rPr>
            <w:rStyle w:val="Hyperlink"/>
            <w:shd w:val="clear" w:color="auto" w:fill="FFFFFF"/>
            <w:lang w:val="en-GB"/>
          </w:rPr>
          <w:t>https://doi.org/10.1080/03031853.2024.2374730</w:t>
        </w:r>
      </w:hyperlink>
      <w:r w:rsidRPr="00B16BEA">
        <w:rPr>
          <w:color w:val="222222"/>
          <w:shd w:val="clear" w:color="auto" w:fill="FFFFFF"/>
          <w:lang w:val="en-GB"/>
        </w:rPr>
        <w:t xml:space="preserve">   </w:t>
      </w:r>
    </w:p>
    <w:p w:rsidR="00B16BEA" w:rsidRPr="00B16BEA" w:rsidRDefault="00B16BEA" w:rsidP="00B16BEA">
      <w:pPr>
        <w:pStyle w:val="NormalWeb"/>
        <w:rPr>
          <w:lang w:val="en-GB"/>
        </w:rPr>
      </w:pPr>
      <w:r w:rsidRPr="00B16BEA">
        <w:rPr>
          <w:color w:val="222222"/>
          <w:shd w:val="clear" w:color="auto" w:fill="FFFFFF"/>
          <w:lang w:val="en-GB"/>
        </w:rPr>
        <w:t xml:space="preserve">Arnold, N., &amp; </w:t>
      </w:r>
      <w:proofErr w:type="spellStart"/>
      <w:r w:rsidRPr="00B16BEA">
        <w:rPr>
          <w:color w:val="222222"/>
          <w:shd w:val="clear" w:color="auto" w:fill="FFFFFF"/>
          <w:lang w:val="en-GB"/>
        </w:rPr>
        <w:t>Loconto</w:t>
      </w:r>
      <w:proofErr w:type="spellEnd"/>
      <w:r w:rsidRPr="00B16BEA">
        <w:rPr>
          <w:color w:val="222222"/>
          <w:shd w:val="clear" w:color="auto" w:fill="FFFFFF"/>
          <w:lang w:val="en-GB"/>
        </w:rPr>
        <w:t>, A. (2021). Serving magically perfect fruit globally: Local nesting in translating multiple standards. </w:t>
      </w:r>
      <w:r w:rsidRPr="00B16BEA">
        <w:rPr>
          <w:i/>
          <w:iCs/>
          <w:color w:val="222222"/>
          <w:shd w:val="clear" w:color="auto" w:fill="FFFFFF"/>
          <w:lang w:val="en-GB"/>
        </w:rPr>
        <w:t>Organization Studies</w:t>
      </w:r>
      <w:r w:rsidRPr="00B16BEA">
        <w:rPr>
          <w:color w:val="222222"/>
          <w:shd w:val="clear" w:color="auto" w:fill="FFFFFF"/>
          <w:lang w:val="en-GB"/>
        </w:rPr>
        <w:t>, </w:t>
      </w:r>
      <w:r w:rsidRPr="00B16BEA">
        <w:rPr>
          <w:i/>
          <w:iCs/>
          <w:color w:val="222222"/>
          <w:shd w:val="clear" w:color="auto" w:fill="FFFFFF"/>
          <w:lang w:val="en-GB"/>
        </w:rPr>
        <w:t>42</w:t>
      </w:r>
      <w:r w:rsidRPr="00B16BEA">
        <w:rPr>
          <w:color w:val="222222"/>
          <w:shd w:val="clear" w:color="auto" w:fill="FFFFFF"/>
          <w:lang w:val="en-GB"/>
        </w:rPr>
        <w:t xml:space="preserve">(2), 327-349. </w:t>
      </w:r>
      <w:hyperlink r:id="rId12" w:history="1">
        <w:r w:rsidRPr="00B16BEA">
          <w:rPr>
            <w:rStyle w:val="Hyperlink"/>
            <w:shd w:val="clear" w:color="auto" w:fill="FFFFFF"/>
            <w:lang w:val="en-GB"/>
          </w:rPr>
          <w:t>https://doi.org/10.1177/0170840620935858</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t xml:space="preserve">Boakye, K., Akaba, S., </w:t>
      </w:r>
      <w:proofErr w:type="spellStart"/>
      <w:r w:rsidRPr="00B16BEA">
        <w:rPr>
          <w:color w:val="222222"/>
          <w:shd w:val="clear" w:color="auto" w:fill="FFFFFF"/>
          <w:lang w:val="en-GB"/>
        </w:rPr>
        <w:t>Awuye</w:t>
      </w:r>
      <w:proofErr w:type="spellEnd"/>
      <w:r w:rsidRPr="00B16BEA">
        <w:rPr>
          <w:color w:val="222222"/>
          <w:shd w:val="clear" w:color="auto" w:fill="FFFFFF"/>
          <w:lang w:val="en-GB"/>
        </w:rPr>
        <w:t xml:space="preserve">, S., </w:t>
      </w:r>
      <w:proofErr w:type="spellStart"/>
      <w:r w:rsidRPr="00B16BEA">
        <w:rPr>
          <w:color w:val="222222"/>
          <w:shd w:val="clear" w:color="auto" w:fill="FFFFFF"/>
          <w:lang w:val="en-GB"/>
        </w:rPr>
        <w:t>Danso</w:t>
      </w:r>
      <w:proofErr w:type="spellEnd"/>
      <w:r w:rsidRPr="00B16BEA">
        <w:rPr>
          <w:color w:val="222222"/>
          <w:shd w:val="clear" w:color="auto" w:fill="FFFFFF"/>
          <w:lang w:val="en-GB"/>
        </w:rPr>
        <w:t>, H., &amp; Mensah, S. (2025). Sustainability in Agricultural Value Chains: Evidence from the Pineapple Sector in Ghana. </w:t>
      </w:r>
      <w:r w:rsidRPr="00B16BEA">
        <w:rPr>
          <w:i/>
          <w:iCs/>
          <w:color w:val="222222"/>
          <w:shd w:val="clear" w:color="auto" w:fill="FFFFFF"/>
          <w:lang w:val="en-GB"/>
        </w:rPr>
        <w:t>Research on World Agricultural Economy</w:t>
      </w:r>
      <w:r w:rsidRPr="00B16BEA">
        <w:rPr>
          <w:color w:val="222222"/>
          <w:shd w:val="clear" w:color="auto" w:fill="FFFFFF"/>
          <w:lang w:val="en-GB"/>
        </w:rPr>
        <w:t xml:space="preserve">, 681-699. </w:t>
      </w:r>
      <w:hyperlink r:id="rId13" w:history="1">
        <w:r w:rsidRPr="00B16BEA">
          <w:rPr>
            <w:rStyle w:val="Hyperlink"/>
            <w:shd w:val="clear" w:color="auto" w:fill="FFFFFF"/>
            <w:lang w:val="en-GB"/>
          </w:rPr>
          <w:t>https://doi.org/10.36956/rwae.v6i2.1641</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lastRenderedPageBreak/>
        <w:t>Das, N. K., Roy, A., &amp; Srivastava, S. K. (2023). Exploring the value chain of organic pineapple of Assam, India. </w:t>
      </w:r>
      <w:r w:rsidRPr="00B16BEA">
        <w:rPr>
          <w:i/>
          <w:iCs/>
          <w:color w:val="222222"/>
          <w:shd w:val="clear" w:color="auto" w:fill="FFFFFF"/>
          <w:lang w:val="en-GB"/>
        </w:rPr>
        <w:t>Supply Chain Management: An International Journal</w:t>
      </w:r>
      <w:r w:rsidRPr="00B16BEA">
        <w:rPr>
          <w:color w:val="222222"/>
          <w:shd w:val="clear" w:color="auto" w:fill="FFFFFF"/>
          <w:lang w:val="en-GB"/>
        </w:rPr>
        <w:t>, </w:t>
      </w:r>
      <w:r w:rsidRPr="00B16BEA">
        <w:rPr>
          <w:i/>
          <w:iCs/>
          <w:color w:val="222222"/>
          <w:shd w:val="clear" w:color="auto" w:fill="FFFFFF"/>
          <w:lang w:val="en-GB"/>
        </w:rPr>
        <w:t>29</w:t>
      </w:r>
      <w:r w:rsidRPr="00B16BEA">
        <w:rPr>
          <w:color w:val="222222"/>
          <w:shd w:val="clear" w:color="auto" w:fill="FFFFFF"/>
          <w:lang w:val="en-GB"/>
        </w:rPr>
        <w:t xml:space="preserve">(3), 642-660. </w:t>
      </w:r>
      <w:hyperlink r:id="rId14" w:history="1">
        <w:r w:rsidRPr="00B16BEA">
          <w:rPr>
            <w:rStyle w:val="Hyperlink"/>
            <w:shd w:val="clear" w:color="auto" w:fill="FFFFFF"/>
            <w:lang w:val="en-GB"/>
          </w:rPr>
          <w:t>https://doi.org/10.1108/SCM-10-2022-0411</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t xml:space="preserve">Datta, T., </w:t>
      </w:r>
      <w:proofErr w:type="spellStart"/>
      <w:r w:rsidRPr="00B16BEA">
        <w:rPr>
          <w:color w:val="222222"/>
          <w:shd w:val="clear" w:color="auto" w:fill="FFFFFF"/>
          <w:lang w:val="en-GB"/>
        </w:rPr>
        <w:t>Saha</w:t>
      </w:r>
      <w:proofErr w:type="spellEnd"/>
      <w:r w:rsidRPr="00B16BEA">
        <w:rPr>
          <w:color w:val="222222"/>
          <w:shd w:val="clear" w:color="auto" w:fill="FFFFFF"/>
          <w:lang w:val="en-GB"/>
        </w:rPr>
        <w:t xml:space="preserve">, J. K., Rahman, M. A., Adnan, K. M., </w:t>
      </w:r>
      <w:proofErr w:type="spellStart"/>
      <w:r w:rsidRPr="00B16BEA">
        <w:rPr>
          <w:color w:val="222222"/>
          <w:shd w:val="clear" w:color="auto" w:fill="FFFFFF"/>
          <w:lang w:val="en-GB"/>
        </w:rPr>
        <w:t>Akter</w:t>
      </w:r>
      <w:proofErr w:type="spellEnd"/>
      <w:r w:rsidRPr="00B16BEA">
        <w:rPr>
          <w:color w:val="222222"/>
          <w:shd w:val="clear" w:color="auto" w:fill="FFFFFF"/>
          <w:lang w:val="en-GB"/>
        </w:rPr>
        <w:t>, K., Chowdhury, A., &amp; Alamgir, M. S. (2024). Examining technical efficiency, prospects, and policies of farmers: data from a developing nation’s pineapple production. </w:t>
      </w:r>
      <w:r w:rsidRPr="00B16BEA">
        <w:rPr>
          <w:i/>
          <w:iCs/>
          <w:color w:val="222222"/>
          <w:shd w:val="clear" w:color="auto" w:fill="FFFFFF"/>
          <w:lang w:val="en-GB"/>
        </w:rPr>
        <w:t>Frontiers in Sustainable Food Systems</w:t>
      </w:r>
      <w:r w:rsidRPr="00B16BEA">
        <w:rPr>
          <w:color w:val="222222"/>
          <w:shd w:val="clear" w:color="auto" w:fill="FFFFFF"/>
          <w:lang w:val="en-GB"/>
        </w:rPr>
        <w:t>, </w:t>
      </w:r>
      <w:r w:rsidRPr="00B16BEA">
        <w:rPr>
          <w:i/>
          <w:iCs/>
          <w:color w:val="222222"/>
          <w:shd w:val="clear" w:color="auto" w:fill="FFFFFF"/>
          <w:lang w:val="en-GB"/>
        </w:rPr>
        <w:t>8</w:t>
      </w:r>
      <w:r w:rsidRPr="00B16BEA">
        <w:rPr>
          <w:color w:val="222222"/>
          <w:shd w:val="clear" w:color="auto" w:fill="FFFFFF"/>
          <w:lang w:val="en-GB"/>
        </w:rPr>
        <w:t xml:space="preserve">, 1383948. </w:t>
      </w:r>
      <w:hyperlink r:id="rId15" w:history="1">
        <w:r w:rsidRPr="00B16BEA">
          <w:rPr>
            <w:rStyle w:val="Hyperlink"/>
            <w:shd w:val="clear" w:color="auto" w:fill="FFFFFF"/>
            <w:lang w:val="en-GB"/>
          </w:rPr>
          <w:t>https://doi.org/10.3389/fsufs.2024.1383948</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t xml:space="preserve">Datta, T., </w:t>
      </w:r>
      <w:proofErr w:type="spellStart"/>
      <w:r w:rsidRPr="00B16BEA">
        <w:rPr>
          <w:color w:val="222222"/>
          <w:shd w:val="clear" w:color="auto" w:fill="FFFFFF"/>
          <w:lang w:val="en-GB"/>
        </w:rPr>
        <w:t>Saha</w:t>
      </w:r>
      <w:proofErr w:type="spellEnd"/>
      <w:r w:rsidRPr="00B16BEA">
        <w:rPr>
          <w:color w:val="222222"/>
          <w:shd w:val="clear" w:color="auto" w:fill="FFFFFF"/>
          <w:lang w:val="en-GB"/>
        </w:rPr>
        <w:t xml:space="preserve">, J. K., Rahman, M. A., Chowdhury, A., </w:t>
      </w:r>
      <w:proofErr w:type="spellStart"/>
      <w:r w:rsidRPr="00B16BEA">
        <w:rPr>
          <w:color w:val="222222"/>
          <w:shd w:val="clear" w:color="auto" w:fill="FFFFFF"/>
          <w:lang w:val="en-GB"/>
        </w:rPr>
        <w:t>Akter</w:t>
      </w:r>
      <w:proofErr w:type="spellEnd"/>
      <w:r w:rsidRPr="00B16BEA">
        <w:rPr>
          <w:color w:val="222222"/>
          <w:shd w:val="clear" w:color="auto" w:fill="FFFFFF"/>
          <w:lang w:val="en-GB"/>
        </w:rPr>
        <w:t>, M., &amp; Gupta, A. D. (2023). The cost-benefit analysis and constraints of pineapple production in Bangladesh. </w:t>
      </w:r>
      <w:r w:rsidRPr="00B16BEA">
        <w:rPr>
          <w:i/>
          <w:iCs/>
          <w:color w:val="222222"/>
          <w:shd w:val="clear" w:color="auto" w:fill="FFFFFF"/>
          <w:lang w:val="en-GB"/>
        </w:rPr>
        <w:t>Arch. Agric. Environ. Sci</w:t>
      </w:r>
      <w:r w:rsidRPr="00B16BEA">
        <w:rPr>
          <w:color w:val="222222"/>
          <w:shd w:val="clear" w:color="auto" w:fill="FFFFFF"/>
          <w:lang w:val="en-GB"/>
        </w:rPr>
        <w:t>, </w:t>
      </w:r>
      <w:r w:rsidRPr="00B16BEA">
        <w:rPr>
          <w:i/>
          <w:iCs/>
          <w:color w:val="222222"/>
          <w:shd w:val="clear" w:color="auto" w:fill="FFFFFF"/>
          <w:lang w:val="en-GB"/>
        </w:rPr>
        <w:t>8</w:t>
      </w:r>
      <w:r w:rsidRPr="00B16BEA">
        <w:rPr>
          <w:color w:val="222222"/>
          <w:shd w:val="clear" w:color="auto" w:fill="FFFFFF"/>
          <w:lang w:val="en-GB"/>
        </w:rPr>
        <w:t xml:space="preserve">(3), 397-402. </w:t>
      </w:r>
      <w:hyperlink r:id="rId16" w:history="1">
        <w:r w:rsidRPr="00B16BEA">
          <w:rPr>
            <w:rStyle w:val="Hyperlink"/>
            <w:shd w:val="clear" w:color="auto" w:fill="FFFFFF"/>
            <w:lang w:val="en-GB"/>
          </w:rPr>
          <w:t>https://doi.org/10.26832/24566632.2023.0803018</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Desclee</w:t>
      </w:r>
      <w:proofErr w:type="spellEnd"/>
      <w:r w:rsidRPr="00B16BEA">
        <w:rPr>
          <w:color w:val="222222"/>
          <w:shd w:val="clear" w:color="auto" w:fill="FFFFFF"/>
          <w:lang w:val="en-GB"/>
        </w:rPr>
        <w:t xml:space="preserve">, D., </w:t>
      </w:r>
      <w:proofErr w:type="spellStart"/>
      <w:r w:rsidRPr="00B16BEA">
        <w:rPr>
          <w:color w:val="222222"/>
          <w:shd w:val="clear" w:color="auto" w:fill="FFFFFF"/>
          <w:lang w:val="en-GB"/>
        </w:rPr>
        <w:t>Sohinto</w:t>
      </w:r>
      <w:proofErr w:type="spellEnd"/>
      <w:r w:rsidRPr="00B16BEA">
        <w:rPr>
          <w:color w:val="222222"/>
          <w:shd w:val="clear" w:color="auto" w:fill="FFFFFF"/>
          <w:lang w:val="en-GB"/>
        </w:rPr>
        <w:t xml:space="preserve">, D., &amp; </w:t>
      </w:r>
      <w:proofErr w:type="spellStart"/>
      <w:r w:rsidRPr="00B16BEA">
        <w:rPr>
          <w:color w:val="222222"/>
          <w:shd w:val="clear" w:color="auto" w:fill="FFFFFF"/>
          <w:lang w:val="en-GB"/>
        </w:rPr>
        <w:t>Padonou</w:t>
      </w:r>
      <w:proofErr w:type="spellEnd"/>
      <w:r w:rsidRPr="00B16BEA">
        <w:rPr>
          <w:color w:val="222222"/>
          <w:shd w:val="clear" w:color="auto" w:fill="FFFFFF"/>
          <w:lang w:val="en-GB"/>
        </w:rPr>
        <w:t>, F. (2021). Sustainability assessment and agricultural supply chains evidence-based multidimensional analyses as tools for strategic decision-making—the case of the pineapple supply chain in Benin. </w:t>
      </w:r>
      <w:r w:rsidRPr="00B16BEA">
        <w:rPr>
          <w:i/>
          <w:iCs/>
          <w:color w:val="222222"/>
          <w:shd w:val="clear" w:color="auto" w:fill="FFFFFF"/>
          <w:lang w:val="en-GB"/>
        </w:rPr>
        <w:t>Sustainability</w:t>
      </w:r>
      <w:r w:rsidRPr="00B16BEA">
        <w:rPr>
          <w:color w:val="222222"/>
          <w:shd w:val="clear" w:color="auto" w:fill="FFFFFF"/>
          <w:lang w:val="en-GB"/>
        </w:rPr>
        <w:t>, </w:t>
      </w:r>
      <w:r w:rsidRPr="00B16BEA">
        <w:rPr>
          <w:i/>
          <w:iCs/>
          <w:color w:val="222222"/>
          <w:shd w:val="clear" w:color="auto" w:fill="FFFFFF"/>
          <w:lang w:val="en-GB"/>
        </w:rPr>
        <w:t>13</w:t>
      </w:r>
      <w:r w:rsidRPr="00B16BEA">
        <w:rPr>
          <w:color w:val="222222"/>
          <w:shd w:val="clear" w:color="auto" w:fill="FFFFFF"/>
          <w:lang w:val="en-GB"/>
        </w:rPr>
        <w:t xml:space="preserve">(4), 2060. </w:t>
      </w:r>
      <w:hyperlink r:id="rId17" w:history="1">
        <w:r w:rsidRPr="00B16BEA">
          <w:rPr>
            <w:rStyle w:val="Hyperlink"/>
            <w:shd w:val="clear" w:color="auto" w:fill="FFFFFF"/>
            <w:lang w:val="en-GB"/>
          </w:rPr>
          <w:t>https://doi.org/10.3390/su13042060</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t xml:space="preserve">Dhar, P., </w:t>
      </w:r>
      <w:proofErr w:type="spellStart"/>
      <w:r w:rsidRPr="00B16BEA">
        <w:rPr>
          <w:color w:val="222222"/>
          <w:shd w:val="clear" w:color="auto" w:fill="FFFFFF"/>
          <w:lang w:val="en-GB"/>
        </w:rPr>
        <w:t>Nickhil</w:t>
      </w:r>
      <w:proofErr w:type="spellEnd"/>
      <w:r w:rsidRPr="00B16BEA">
        <w:rPr>
          <w:color w:val="222222"/>
          <w:shd w:val="clear" w:color="auto" w:fill="FFFFFF"/>
          <w:lang w:val="en-GB"/>
        </w:rPr>
        <w:t xml:space="preserve">, C., </w:t>
      </w:r>
      <w:proofErr w:type="spellStart"/>
      <w:r w:rsidRPr="00B16BEA">
        <w:rPr>
          <w:color w:val="222222"/>
          <w:shd w:val="clear" w:color="auto" w:fill="FFFFFF"/>
          <w:lang w:val="en-GB"/>
        </w:rPr>
        <w:t>Pandiselvam</w:t>
      </w:r>
      <w:proofErr w:type="spellEnd"/>
      <w:r w:rsidRPr="00B16BEA">
        <w:rPr>
          <w:color w:val="222222"/>
          <w:shd w:val="clear" w:color="auto" w:fill="FFFFFF"/>
          <w:lang w:val="en-GB"/>
        </w:rPr>
        <w:t>, R., &amp; Deka, S. C. (2024). Pineapple waste-based-biorefinery for sustainable generation of value-added products. </w:t>
      </w:r>
      <w:r w:rsidRPr="00B16BEA">
        <w:rPr>
          <w:i/>
          <w:iCs/>
          <w:color w:val="222222"/>
          <w:shd w:val="clear" w:color="auto" w:fill="FFFFFF"/>
          <w:lang w:val="en-GB"/>
        </w:rPr>
        <w:t>Biomass conversion and biorefinery</w:t>
      </w:r>
      <w:r w:rsidRPr="00B16BEA">
        <w:rPr>
          <w:color w:val="222222"/>
          <w:shd w:val="clear" w:color="auto" w:fill="FFFFFF"/>
          <w:lang w:val="en-GB"/>
        </w:rPr>
        <w:t>, </w:t>
      </w:r>
      <w:r w:rsidRPr="00B16BEA">
        <w:rPr>
          <w:i/>
          <w:iCs/>
          <w:color w:val="222222"/>
          <w:shd w:val="clear" w:color="auto" w:fill="FFFFFF"/>
          <w:lang w:val="en-GB"/>
        </w:rPr>
        <w:t>14</w:t>
      </w:r>
      <w:r w:rsidRPr="00B16BEA">
        <w:rPr>
          <w:color w:val="222222"/>
          <w:shd w:val="clear" w:color="auto" w:fill="FFFFFF"/>
          <w:lang w:val="en-GB"/>
        </w:rPr>
        <w:t xml:space="preserve">(20), 24927-24948. </w:t>
      </w:r>
      <w:hyperlink r:id="rId18" w:history="1">
        <w:r w:rsidRPr="00B16BEA">
          <w:rPr>
            <w:rStyle w:val="Hyperlink"/>
            <w:shd w:val="clear" w:color="auto" w:fill="FFFFFF"/>
            <w:lang w:val="en-GB"/>
          </w:rPr>
          <w:t>https://doi.org/10.1007/s13399-023-04801-w</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Echeverría-Sáenz</w:t>
      </w:r>
      <w:proofErr w:type="spellEnd"/>
      <w:r w:rsidRPr="00B16BEA">
        <w:rPr>
          <w:color w:val="222222"/>
          <w:shd w:val="clear" w:color="auto" w:fill="FFFFFF"/>
          <w:lang w:val="en-GB"/>
        </w:rPr>
        <w:t xml:space="preserve">, S., Mena, F., Pinnock, M., </w:t>
      </w:r>
      <w:proofErr w:type="spellStart"/>
      <w:r w:rsidRPr="00B16BEA">
        <w:rPr>
          <w:color w:val="222222"/>
          <w:shd w:val="clear" w:color="auto" w:fill="FFFFFF"/>
          <w:lang w:val="en-GB"/>
        </w:rPr>
        <w:t>Ruepert</w:t>
      </w:r>
      <w:proofErr w:type="spellEnd"/>
      <w:r w:rsidRPr="00B16BEA">
        <w:rPr>
          <w:color w:val="222222"/>
          <w:shd w:val="clear" w:color="auto" w:fill="FFFFFF"/>
          <w:lang w:val="en-GB"/>
        </w:rPr>
        <w:t xml:space="preserve">, C., </w:t>
      </w:r>
      <w:proofErr w:type="spellStart"/>
      <w:r w:rsidRPr="00B16BEA">
        <w:rPr>
          <w:color w:val="222222"/>
          <w:shd w:val="clear" w:color="auto" w:fill="FFFFFF"/>
          <w:lang w:val="en-GB"/>
        </w:rPr>
        <w:t>Solano</w:t>
      </w:r>
      <w:proofErr w:type="spellEnd"/>
      <w:r w:rsidRPr="00B16BEA">
        <w:rPr>
          <w:color w:val="222222"/>
          <w:shd w:val="clear" w:color="auto" w:fill="FFFFFF"/>
          <w:lang w:val="en-GB"/>
        </w:rPr>
        <w:t xml:space="preserve">, K., De la Cruz, E., ... &amp; </w:t>
      </w:r>
      <w:proofErr w:type="spellStart"/>
      <w:r w:rsidRPr="00B16BEA">
        <w:rPr>
          <w:color w:val="222222"/>
          <w:shd w:val="clear" w:color="auto" w:fill="FFFFFF"/>
          <w:lang w:val="en-GB"/>
        </w:rPr>
        <w:t>Barata</w:t>
      </w:r>
      <w:proofErr w:type="spellEnd"/>
      <w:r w:rsidRPr="00B16BEA">
        <w:rPr>
          <w:color w:val="222222"/>
          <w:shd w:val="clear" w:color="auto" w:fill="FFFFFF"/>
          <w:lang w:val="en-GB"/>
        </w:rPr>
        <w:t>, C. (2012). Environmental hazards of pesticides from pineapple crop production in the Río Jiménez watershed (Caribbean Coast, Costa Rica). </w:t>
      </w:r>
      <w:r w:rsidRPr="00B16BEA">
        <w:rPr>
          <w:i/>
          <w:iCs/>
          <w:color w:val="222222"/>
          <w:shd w:val="clear" w:color="auto" w:fill="FFFFFF"/>
          <w:lang w:val="en-GB"/>
        </w:rPr>
        <w:t>Science of the Total Environment</w:t>
      </w:r>
      <w:r w:rsidRPr="00B16BEA">
        <w:rPr>
          <w:color w:val="222222"/>
          <w:shd w:val="clear" w:color="auto" w:fill="FFFFFF"/>
          <w:lang w:val="en-GB"/>
        </w:rPr>
        <w:t>, </w:t>
      </w:r>
      <w:r w:rsidRPr="00B16BEA">
        <w:rPr>
          <w:i/>
          <w:iCs/>
          <w:color w:val="222222"/>
          <w:shd w:val="clear" w:color="auto" w:fill="FFFFFF"/>
          <w:lang w:val="en-GB"/>
        </w:rPr>
        <w:t>440</w:t>
      </w:r>
      <w:r w:rsidRPr="00B16BEA">
        <w:rPr>
          <w:color w:val="222222"/>
          <w:shd w:val="clear" w:color="auto" w:fill="FFFFFF"/>
          <w:lang w:val="en-GB"/>
        </w:rPr>
        <w:t xml:space="preserve">, 106-114. </w:t>
      </w:r>
      <w:hyperlink r:id="rId19" w:history="1">
        <w:r w:rsidRPr="00B16BEA">
          <w:rPr>
            <w:rStyle w:val="Hyperlink"/>
            <w:shd w:val="clear" w:color="auto" w:fill="FFFFFF"/>
            <w:lang w:val="en-GB"/>
          </w:rPr>
          <w:t>https://doi.org/10.1016/j.scitotenv.2012.07.092</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Fassinou</w:t>
      </w:r>
      <w:proofErr w:type="spellEnd"/>
      <w:r w:rsidRPr="00B16BEA">
        <w:rPr>
          <w:color w:val="222222"/>
          <w:shd w:val="clear" w:color="auto" w:fill="FFFFFF"/>
          <w:lang w:val="en-GB"/>
        </w:rPr>
        <w:t xml:space="preserve"> </w:t>
      </w:r>
      <w:proofErr w:type="spellStart"/>
      <w:r w:rsidRPr="00B16BEA">
        <w:rPr>
          <w:color w:val="222222"/>
          <w:shd w:val="clear" w:color="auto" w:fill="FFFFFF"/>
          <w:lang w:val="en-GB"/>
        </w:rPr>
        <w:t>Hotegni</w:t>
      </w:r>
      <w:proofErr w:type="spellEnd"/>
      <w:r w:rsidRPr="00B16BEA">
        <w:rPr>
          <w:color w:val="222222"/>
          <w:shd w:val="clear" w:color="auto" w:fill="FFFFFF"/>
          <w:lang w:val="en-GB"/>
        </w:rPr>
        <w:t xml:space="preserve">, V. N., </w:t>
      </w:r>
      <w:proofErr w:type="spellStart"/>
      <w:r w:rsidRPr="00B16BEA">
        <w:rPr>
          <w:color w:val="222222"/>
          <w:shd w:val="clear" w:color="auto" w:fill="FFFFFF"/>
          <w:lang w:val="en-GB"/>
        </w:rPr>
        <w:t>Lommen</w:t>
      </w:r>
      <w:proofErr w:type="spellEnd"/>
      <w:r w:rsidRPr="00B16BEA">
        <w:rPr>
          <w:color w:val="222222"/>
          <w:shd w:val="clear" w:color="auto" w:fill="FFFFFF"/>
          <w:lang w:val="en-GB"/>
        </w:rPr>
        <w:t xml:space="preserve">, W. J., van der Vorst, J. G., </w:t>
      </w:r>
      <w:proofErr w:type="spellStart"/>
      <w:r w:rsidRPr="00B16BEA">
        <w:rPr>
          <w:color w:val="222222"/>
          <w:shd w:val="clear" w:color="auto" w:fill="FFFFFF"/>
          <w:lang w:val="en-GB"/>
        </w:rPr>
        <w:t>Agbossou</w:t>
      </w:r>
      <w:proofErr w:type="spellEnd"/>
      <w:r w:rsidRPr="00B16BEA">
        <w:rPr>
          <w:color w:val="222222"/>
          <w:shd w:val="clear" w:color="auto" w:fill="FFFFFF"/>
          <w:lang w:val="en-GB"/>
        </w:rPr>
        <w:t xml:space="preserve">, E. K., &amp; </w:t>
      </w:r>
      <w:proofErr w:type="spellStart"/>
      <w:r w:rsidRPr="00B16BEA">
        <w:rPr>
          <w:color w:val="222222"/>
          <w:shd w:val="clear" w:color="auto" w:fill="FFFFFF"/>
          <w:lang w:val="en-GB"/>
        </w:rPr>
        <w:t>Struik</w:t>
      </w:r>
      <w:proofErr w:type="spellEnd"/>
      <w:r w:rsidRPr="00B16BEA">
        <w:rPr>
          <w:color w:val="222222"/>
          <w:shd w:val="clear" w:color="auto" w:fill="FFFFFF"/>
          <w:lang w:val="en-GB"/>
        </w:rPr>
        <w:t>, P. C. (2014). Bottlenecks and opportunities for quality improvement in fresh pineapple supply chains in Benin. </w:t>
      </w:r>
      <w:r w:rsidRPr="00B16BEA">
        <w:rPr>
          <w:i/>
          <w:iCs/>
          <w:color w:val="222222"/>
          <w:shd w:val="clear" w:color="auto" w:fill="FFFFFF"/>
          <w:lang w:val="en-GB"/>
        </w:rPr>
        <w:t>International Food and Agribusiness Management Review</w:t>
      </w:r>
      <w:r w:rsidRPr="00B16BEA">
        <w:rPr>
          <w:color w:val="222222"/>
          <w:shd w:val="clear" w:color="auto" w:fill="FFFFFF"/>
          <w:lang w:val="en-GB"/>
        </w:rPr>
        <w:t>, </w:t>
      </w:r>
      <w:r w:rsidRPr="00B16BEA">
        <w:rPr>
          <w:i/>
          <w:iCs/>
          <w:color w:val="222222"/>
          <w:shd w:val="clear" w:color="auto" w:fill="FFFFFF"/>
          <w:lang w:val="en-GB"/>
        </w:rPr>
        <w:t>17</w:t>
      </w:r>
      <w:r w:rsidRPr="00B16BEA">
        <w:rPr>
          <w:color w:val="222222"/>
          <w:shd w:val="clear" w:color="auto" w:fill="FFFFFF"/>
          <w:lang w:val="en-GB"/>
        </w:rPr>
        <w:t xml:space="preserve">(3), 139-170. </w:t>
      </w:r>
      <w:hyperlink r:id="rId20" w:history="1">
        <w:r w:rsidRPr="00B16BEA">
          <w:rPr>
            <w:rStyle w:val="Hyperlink"/>
            <w:shd w:val="clear" w:color="auto" w:fill="FFFFFF"/>
            <w:lang w:val="en-GB"/>
          </w:rPr>
          <w:t>https://doi.org/10.22004/AG.ECON.183473</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Gereffi</w:t>
      </w:r>
      <w:proofErr w:type="spellEnd"/>
      <w:r w:rsidRPr="00B16BEA">
        <w:rPr>
          <w:color w:val="222222"/>
          <w:shd w:val="clear" w:color="auto" w:fill="FFFFFF"/>
          <w:lang w:val="en-GB"/>
        </w:rPr>
        <w:t>, G., Humphrey, J., &amp; Sturgeon, T. (2005). The governance of global value chains. </w:t>
      </w:r>
      <w:r w:rsidRPr="00B16BEA">
        <w:rPr>
          <w:i/>
          <w:iCs/>
          <w:color w:val="222222"/>
          <w:shd w:val="clear" w:color="auto" w:fill="FFFFFF"/>
          <w:lang w:val="en-GB"/>
        </w:rPr>
        <w:t>Review of international political economy</w:t>
      </w:r>
      <w:r w:rsidRPr="00B16BEA">
        <w:rPr>
          <w:color w:val="222222"/>
          <w:shd w:val="clear" w:color="auto" w:fill="FFFFFF"/>
          <w:lang w:val="en-GB"/>
        </w:rPr>
        <w:t>, </w:t>
      </w:r>
      <w:r w:rsidRPr="00B16BEA">
        <w:rPr>
          <w:i/>
          <w:iCs/>
          <w:color w:val="222222"/>
          <w:shd w:val="clear" w:color="auto" w:fill="FFFFFF"/>
          <w:lang w:val="en-GB"/>
        </w:rPr>
        <w:t>12</w:t>
      </w:r>
      <w:r w:rsidRPr="00B16BEA">
        <w:rPr>
          <w:color w:val="222222"/>
          <w:shd w:val="clear" w:color="auto" w:fill="FFFFFF"/>
          <w:lang w:val="en-GB"/>
        </w:rPr>
        <w:t xml:space="preserve">(1), 78-104. </w:t>
      </w:r>
      <w:hyperlink r:id="rId21" w:history="1">
        <w:r w:rsidRPr="00B16BEA">
          <w:rPr>
            <w:rStyle w:val="Hyperlink"/>
            <w:shd w:val="clear" w:color="auto" w:fill="FFFFFF"/>
            <w:lang w:val="en-GB"/>
          </w:rPr>
          <w:t>https://doi.org/10.1080/09692290500049805</w:t>
        </w:r>
      </w:hyperlink>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Gessesse</w:t>
      </w:r>
      <w:proofErr w:type="spellEnd"/>
      <w:r w:rsidRPr="00B16BEA">
        <w:rPr>
          <w:color w:val="222222"/>
          <w:shd w:val="clear" w:color="auto" w:fill="FFFFFF"/>
          <w:lang w:val="en-GB"/>
        </w:rPr>
        <w:t xml:space="preserve">, G., </w:t>
      </w:r>
      <w:proofErr w:type="spellStart"/>
      <w:r w:rsidRPr="00B16BEA">
        <w:rPr>
          <w:color w:val="222222"/>
          <w:shd w:val="clear" w:color="auto" w:fill="FFFFFF"/>
          <w:lang w:val="en-GB"/>
        </w:rPr>
        <w:t>Demrew</w:t>
      </w:r>
      <w:proofErr w:type="spellEnd"/>
      <w:r w:rsidRPr="00B16BEA">
        <w:rPr>
          <w:color w:val="222222"/>
          <w:shd w:val="clear" w:color="auto" w:fill="FFFFFF"/>
          <w:lang w:val="en-GB"/>
        </w:rPr>
        <w:t xml:space="preserve">, Z., &amp; </w:t>
      </w:r>
      <w:proofErr w:type="spellStart"/>
      <w:r w:rsidRPr="00B16BEA">
        <w:rPr>
          <w:color w:val="222222"/>
          <w:shd w:val="clear" w:color="auto" w:fill="FFFFFF"/>
          <w:lang w:val="en-GB"/>
        </w:rPr>
        <w:t>Olana</w:t>
      </w:r>
      <w:proofErr w:type="spellEnd"/>
      <w:r w:rsidRPr="00B16BEA">
        <w:rPr>
          <w:color w:val="222222"/>
          <w:shd w:val="clear" w:color="auto" w:fill="FFFFFF"/>
          <w:lang w:val="en-GB"/>
        </w:rPr>
        <w:t>, T. (2019). Value chain analysis of pineapple (</w:t>
      </w:r>
      <w:proofErr w:type="spellStart"/>
      <w:r w:rsidRPr="00B16BEA">
        <w:rPr>
          <w:color w:val="222222"/>
          <w:shd w:val="clear" w:color="auto" w:fill="FFFFFF"/>
          <w:lang w:val="en-GB"/>
        </w:rPr>
        <w:t>Ananas</w:t>
      </w:r>
      <w:proofErr w:type="spellEnd"/>
      <w:r w:rsidRPr="00B16BEA">
        <w:rPr>
          <w:color w:val="222222"/>
          <w:shd w:val="clear" w:color="auto" w:fill="FFFFFF"/>
          <w:lang w:val="en-GB"/>
        </w:rPr>
        <w:t xml:space="preserve"> </w:t>
      </w:r>
      <w:proofErr w:type="spellStart"/>
      <w:r w:rsidRPr="00B16BEA">
        <w:rPr>
          <w:color w:val="222222"/>
          <w:shd w:val="clear" w:color="auto" w:fill="FFFFFF"/>
          <w:lang w:val="en-GB"/>
        </w:rPr>
        <w:t>comosus</w:t>
      </w:r>
      <w:proofErr w:type="spellEnd"/>
      <w:r w:rsidRPr="00B16BEA">
        <w:rPr>
          <w:color w:val="222222"/>
          <w:shd w:val="clear" w:color="auto" w:fill="FFFFFF"/>
          <w:lang w:val="en-GB"/>
        </w:rPr>
        <w:t>) production and marketing from traditional agroforestry system, Southern Ethiopia. </w:t>
      </w:r>
      <w:r w:rsidRPr="00B16BEA">
        <w:rPr>
          <w:i/>
          <w:iCs/>
          <w:color w:val="222222"/>
          <w:shd w:val="clear" w:color="auto" w:fill="FFFFFF"/>
          <w:lang w:val="en-GB"/>
        </w:rPr>
        <w:t>Food Science and Quality Management</w:t>
      </w:r>
      <w:r w:rsidRPr="00B16BEA">
        <w:rPr>
          <w:color w:val="222222"/>
          <w:shd w:val="clear" w:color="auto" w:fill="FFFFFF"/>
          <w:lang w:val="en-GB"/>
        </w:rPr>
        <w:t>, </w:t>
      </w:r>
      <w:r w:rsidRPr="00B16BEA">
        <w:rPr>
          <w:i/>
          <w:iCs/>
          <w:color w:val="222222"/>
          <w:shd w:val="clear" w:color="auto" w:fill="FFFFFF"/>
          <w:lang w:val="en-GB"/>
        </w:rPr>
        <w:t>84</w:t>
      </w:r>
      <w:r w:rsidRPr="00B16BEA">
        <w:rPr>
          <w:color w:val="222222"/>
          <w:shd w:val="clear" w:color="auto" w:fill="FFFFFF"/>
          <w:lang w:val="en-GB"/>
        </w:rPr>
        <w:t xml:space="preserve">, 84-01.  </w:t>
      </w:r>
      <w:hyperlink r:id="rId22" w:history="1">
        <w:r w:rsidRPr="00B16BEA">
          <w:rPr>
            <w:rStyle w:val="Hyperlink"/>
            <w:shd w:val="clear" w:color="auto" w:fill="FFFFFF"/>
            <w:lang w:val="en-GB"/>
          </w:rPr>
          <w:t>https://doi.org/10.7176/FSQM/84-01</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Girres</w:t>
      </w:r>
      <w:proofErr w:type="spellEnd"/>
      <w:r w:rsidRPr="00B16BEA">
        <w:rPr>
          <w:color w:val="222222"/>
          <w:shd w:val="clear" w:color="auto" w:fill="FFFFFF"/>
          <w:lang w:val="en-GB"/>
        </w:rPr>
        <w:t xml:space="preserve">, J. F., </w:t>
      </w:r>
      <w:proofErr w:type="spellStart"/>
      <w:r w:rsidRPr="00B16BEA">
        <w:rPr>
          <w:color w:val="222222"/>
          <w:shd w:val="clear" w:color="auto" w:fill="FFFFFF"/>
          <w:lang w:val="en-GB"/>
        </w:rPr>
        <w:t>Prunier</w:t>
      </w:r>
      <w:proofErr w:type="spellEnd"/>
      <w:r w:rsidRPr="00B16BEA">
        <w:rPr>
          <w:color w:val="222222"/>
          <w:shd w:val="clear" w:color="auto" w:fill="FFFFFF"/>
          <w:lang w:val="en-GB"/>
        </w:rPr>
        <w:t xml:space="preserve">, D., Rodriguez, T., Pottier, A., Léonard, E., </w:t>
      </w:r>
      <w:proofErr w:type="spellStart"/>
      <w:r w:rsidRPr="00B16BEA">
        <w:rPr>
          <w:color w:val="222222"/>
          <w:shd w:val="clear" w:color="auto" w:fill="FFFFFF"/>
          <w:lang w:val="en-GB"/>
        </w:rPr>
        <w:t>Audic</w:t>
      </w:r>
      <w:proofErr w:type="spellEnd"/>
      <w:r w:rsidRPr="00B16BEA">
        <w:rPr>
          <w:color w:val="222222"/>
          <w:shd w:val="clear" w:color="auto" w:fill="FFFFFF"/>
          <w:lang w:val="en-GB"/>
        </w:rPr>
        <w:t xml:space="preserve">, V., ... &amp; </w:t>
      </w:r>
      <w:proofErr w:type="spellStart"/>
      <w:r w:rsidRPr="00B16BEA">
        <w:rPr>
          <w:color w:val="222222"/>
          <w:shd w:val="clear" w:color="auto" w:fill="FFFFFF"/>
          <w:lang w:val="en-GB"/>
        </w:rPr>
        <w:t>Magnaudet</w:t>
      </w:r>
      <w:proofErr w:type="spellEnd"/>
      <w:r w:rsidRPr="00B16BEA">
        <w:rPr>
          <w:color w:val="222222"/>
          <w:shd w:val="clear" w:color="auto" w:fill="FFFFFF"/>
          <w:lang w:val="en-GB"/>
        </w:rPr>
        <w:t>, J. A. (2023). Analysis of the spatial extension of pineapple monocultures in northern Costa Rica using heterogeneous geographic data. </w:t>
      </w:r>
      <w:r w:rsidRPr="00B16BEA">
        <w:rPr>
          <w:i/>
          <w:iCs/>
          <w:color w:val="222222"/>
          <w:shd w:val="clear" w:color="auto" w:fill="FFFFFF"/>
          <w:lang w:val="en-GB"/>
        </w:rPr>
        <w:t xml:space="preserve">Advances in Cartography and </w:t>
      </w:r>
      <w:proofErr w:type="spellStart"/>
      <w:r w:rsidRPr="00B16BEA">
        <w:rPr>
          <w:i/>
          <w:iCs/>
          <w:color w:val="222222"/>
          <w:shd w:val="clear" w:color="auto" w:fill="FFFFFF"/>
          <w:lang w:val="en-GB"/>
        </w:rPr>
        <w:t>GIScience</w:t>
      </w:r>
      <w:proofErr w:type="spellEnd"/>
      <w:r w:rsidRPr="00B16BEA">
        <w:rPr>
          <w:i/>
          <w:iCs/>
          <w:color w:val="222222"/>
          <w:shd w:val="clear" w:color="auto" w:fill="FFFFFF"/>
          <w:lang w:val="en-GB"/>
        </w:rPr>
        <w:t xml:space="preserve"> of the ICA</w:t>
      </w:r>
      <w:r w:rsidRPr="00B16BEA">
        <w:rPr>
          <w:color w:val="222222"/>
          <w:shd w:val="clear" w:color="auto" w:fill="FFFFFF"/>
          <w:lang w:val="en-GB"/>
        </w:rPr>
        <w:t>, </w:t>
      </w:r>
      <w:r w:rsidRPr="00B16BEA">
        <w:rPr>
          <w:i/>
          <w:iCs/>
          <w:color w:val="222222"/>
          <w:shd w:val="clear" w:color="auto" w:fill="FFFFFF"/>
          <w:lang w:val="en-GB"/>
        </w:rPr>
        <w:t>4</w:t>
      </w:r>
      <w:r w:rsidRPr="00B16BEA">
        <w:rPr>
          <w:color w:val="222222"/>
          <w:shd w:val="clear" w:color="auto" w:fill="FFFFFF"/>
          <w:lang w:val="en-GB"/>
        </w:rPr>
        <w:t xml:space="preserve">, 9. </w:t>
      </w:r>
      <w:hyperlink r:id="rId23" w:history="1">
        <w:r w:rsidRPr="00B16BEA">
          <w:rPr>
            <w:rStyle w:val="Hyperlink"/>
            <w:shd w:val="clear" w:color="auto" w:fill="FFFFFF"/>
            <w:lang w:val="en-GB"/>
          </w:rPr>
          <w:t>https://doi.org/10.5194/ica-adv-4-9-2023</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Grohmann</w:t>
      </w:r>
      <w:proofErr w:type="spellEnd"/>
      <w:r w:rsidRPr="00B16BEA">
        <w:rPr>
          <w:color w:val="222222"/>
          <w:shd w:val="clear" w:color="auto" w:fill="FFFFFF"/>
          <w:lang w:val="en-GB"/>
        </w:rPr>
        <w:t xml:space="preserve">, P., </w:t>
      </w:r>
      <w:proofErr w:type="spellStart"/>
      <w:r w:rsidRPr="00B16BEA">
        <w:rPr>
          <w:color w:val="222222"/>
          <w:shd w:val="clear" w:color="auto" w:fill="FFFFFF"/>
          <w:lang w:val="en-GB"/>
        </w:rPr>
        <w:t>Dietze</w:t>
      </w:r>
      <w:proofErr w:type="spellEnd"/>
      <w:r w:rsidRPr="00B16BEA">
        <w:rPr>
          <w:color w:val="222222"/>
          <w:shd w:val="clear" w:color="auto" w:fill="FFFFFF"/>
          <w:lang w:val="en-GB"/>
        </w:rPr>
        <w:t xml:space="preserve">, V., </w:t>
      </w:r>
      <w:proofErr w:type="spellStart"/>
      <w:r w:rsidRPr="00B16BEA">
        <w:rPr>
          <w:color w:val="222222"/>
          <w:shd w:val="clear" w:color="auto" w:fill="FFFFFF"/>
          <w:lang w:val="en-GB"/>
        </w:rPr>
        <w:t>Krämer</w:t>
      </w:r>
      <w:proofErr w:type="spellEnd"/>
      <w:r w:rsidRPr="00B16BEA">
        <w:rPr>
          <w:color w:val="222222"/>
          <w:shd w:val="clear" w:color="auto" w:fill="FFFFFF"/>
          <w:lang w:val="en-GB"/>
        </w:rPr>
        <w:t xml:space="preserve">, C., &amp; </w:t>
      </w:r>
      <w:proofErr w:type="spellStart"/>
      <w:r w:rsidRPr="00B16BEA">
        <w:rPr>
          <w:color w:val="222222"/>
          <w:shd w:val="clear" w:color="auto" w:fill="FFFFFF"/>
          <w:lang w:val="en-GB"/>
        </w:rPr>
        <w:t>Feindt</w:t>
      </w:r>
      <w:proofErr w:type="spellEnd"/>
      <w:r w:rsidRPr="00B16BEA">
        <w:rPr>
          <w:color w:val="222222"/>
          <w:shd w:val="clear" w:color="auto" w:fill="FFFFFF"/>
          <w:lang w:val="en-GB"/>
        </w:rPr>
        <w:t>, P. H. (2023). Governance and trust in sustainability-based agri-food value chains. A comparative analysis of five cases in Germany. </w:t>
      </w:r>
      <w:r w:rsidRPr="00B16BEA">
        <w:rPr>
          <w:i/>
          <w:iCs/>
          <w:color w:val="222222"/>
          <w:shd w:val="clear" w:color="auto" w:fill="FFFFFF"/>
          <w:lang w:val="en-GB"/>
        </w:rPr>
        <w:t>Frontiers in Sustainable Food Systems</w:t>
      </w:r>
      <w:r w:rsidRPr="00B16BEA">
        <w:rPr>
          <w:color w:val="222222"/>
          <w:shd w:val="clear" w:color="auto" w:fill="FFFFFF"/>
          <w:lang w:val="en-GB"/>
        </w:rPr>
        <w:t>, </w:t>
      </w:r>
      <w:r w:rsidRPr="00B16BEA">
        <w:rPr>
          <w:i/>
          <w:iCs/>
          <w:color w:val="222222"/>
          <w:shd w:val="clear" w:color="auto" w:fill="FFFFFF"/>
          <w:lang w:val="en-GB"/>
        </w:rPr>
        <w:t>7</w:t>
      </w:r>
      <w:r w:rsidRPr="00B16BEA">
        <w:rPr>
          <w:color w:val="222222"/>
          <w:shd w:val="clear" w:color="auto" w:fill="FFFFFF"/>
          <w:lang w:val="en-GB"/>
        </w:rPr>
        <w:t xml:space="preserve">, 1130895. </w:t>
      </w:r>
      <w:hyperlink r:id="rId24" w:history="1">
        <w:r w:rsidRPr="00B16BEA">
          <w:rPr>
            <w:rStyle w:val="Hyperlink"/>
            <w:shd w:val="clear" w:color="auto" w:fill="FFFFFF"/>
            <w:lang w:val="en-GB"/>
          </w:rPr>
          <w:t>https://doi.org/10.3389/fsufs.2023.1130895</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lastRenderedPageBreak/>
        <w:t>Guimarães</w:t>
      </w:r>
      <w:proofErr w:type="spellEnd"/>
      <w:r w:rsidRPr="00B16BEA">
        <w:rPr>
          <w:color w:val="222222"/>
          <w:shd w:val="clear" w:color="auto" w:fill="FFFFFF"/>
          <w:lang w:val="en-GB"/>
        </w:rPr>
        <w:t xml:space="preserve">, A. F., </w:t>
      </w:r>
      <w:proofErr w:type="spellStart"/>
      <w:r w:rsidRPr="00B16BEA">
        <w:rPr>
          <w:color w:val="222222"/>
          <w:shd w:val="clear" w:color="auto" w:fill="FFFFFF"/>
          <w:lang w:val="en-GB"/>
        </w:rPr>
        <w:t>Malanski</w:t>
      </w:r>
      <w:proofErr w:type="spellEnd"/>
      <w:r w:rsidRPr="00B16BEA">
        <w:rPr>
          <w:color w:val="222222"/>
          <w:shd w:val="clear" w:color="auto" w:fill="FFFFFF"/>
          <w:lang w:val="en-GB"/>
        </w:rPr>
        <w:t xml:space="preserve">, P. D., </w:t>
      </w:r>
      <w:proofErr w:type="spellStart"/>
      <w:r w:rsidRPr="00B16BEA">
        <w:rPr>
          <w:color w:val="222222"/>
          <w:shd w:val="clear" w:color="auto" w:fill="FFFFFF"/>
          <w:lang w:val="en-GB"/>
        </w:rPr>
        <w:t>Schiavi</w:t>
      </w:r>
      <w:proofErr w:type="spellEnd"/>
      <w:r w:rsidRPr="00B16BEA">
        <w:rPr>
          <w:color w:val="222222"/>
          <w:shd w:val="clear" w:color="auto" w:fill="FFFFFF"/>
          <w:lang w:val="en-GB"/>
        </w:rPr>
        <w:t xml:space="preserve">, S. M. D. A., &amp; </w:t>
      </w:r>
      <w:proofErr w:type="spellStart"/>
      <w:r w:rsidRPr="00B16BEA">
        <w:rPr>
          <w:color w:val="222222"/>
          <w:shd w:val="clear" w:color="auto" w:fill="FFFFFF"/>
          <w:lang w:val="en-GB"/>
        </w:rPr>
        <w:t>Bouroullec</w:t>
      </w:r>
      <w:proofErr w:type="spellEnd"/>
      <w:r w:rsidRPr="00B16BEA">
        <w:rPr>
          <w:color w:val="222222"/>
          <w:shd w:val="clear" w:color="auto" w:fill="FFFFFF"/>
          <w:lang w:val="en-GB"/>
        </w:rPr>
        <w:t xml:space="preserve">, M. D. M. (2022). Governance in </w:t>
      </w:r>
      <w:proofErr w:type="spellStart"/>
      <w:r w:rsidRPr="00B16BEA">
        <w:rPr>
          <w:color w:val="222222"/>
          <w:shd w:val="clear" w:color="auto" w:fill="FFFFFF"/>
          <w:lang w:val="en-GB"/>
        </w:rPr>
        <w:t>agrifood</w:t>
      </w:r>
      <w:proofErr w:type="spellEnd"/>
      <w:r w:rsidRPr="00B16BEA">
        <w:rPr>
          <w:color w:val="222222"/>
          <w:shd w:val="clear" w:color="auto" w:fill="FFFFFF"/>
          <w:lang w:val="en-GB"/>
        </w:rPr>
        <w:t xml:space="preserve"> global value chain: the scientific field in the recent 15 years. </w:t>
      </w:r>
      <w:proofErr w:type="spellStart"/>
      <w:r w:rsidRPr="00B16BEA">
        <w:rPr>
          <w:i/>
          <w:iCs/>
          <w:color w:val="222222"/>
          <w:shd w:val="clear" w:color="auto" w:fill="FFFFFF"/>
          <w:lang w:val="en-GB"/>
        </w:rPr>
        <w:t>Revista</w:t>
      </w:r>
      <w:proofErr w:type="spellEnd"/>
      <w:r w:rsidRPr="00B16BEA">
        <w:rPr>
          <w:i/>
          <w:iCs/>
          <w:color w:val="222222"/>
          <w:shd w:val="clear" w:color="auto" w:fill="FFFFFF"/>
          <w:lang w:val="en-GB"/>
        </w:rPr>
        <w:t xml:space="preserve"> de Economia e </w:t>
      </w:r>
      <w:proofErr w:type="spellStart"/>
      <w:r w:rsidRPr="00B16BEA">
        <w:rPr>
          <w:i/>
          <w:iCs/>
          <w:color w:val="222222"/>
          <w:shd w:val="clear" w:color="auto" w:fill="FFFFFF"/>
          <w:lang w:val="en-GB"/>
        </w:rPr>
        <w:t>Sociologia</w:t>
      </w:r>
      <w:proofErr w:type="spellEnd"/>
      <w:r w:rsidRPr="00B16BEA">
        <w:rPr>
          <w:i/>
          <w:iCs/>
          <w:color w:val="222222"/>
          <w:shd w:val="clear" w:color="auto" w:fill="FFFFFF"/>
          <w:lang w:val="en-GB"/>
        </w:rPr>
        <w:t xml:space="preserve"> Rural</w:t>
      </w:r>
      <w:r w:rsidRPr="00B16BEA">
        <w:rPr>
          <w:color w:val="222222"/>
          <w:shd w:val="clear" w:color="auto" w:fill="FFFFFF"/>
          <w:lang w:val="en-GB"/>
        </w:rPr>
        <w:t>, </w:t>
      </w:r>
      <w:r w:rsidRPr="00B16BEA">
        <w:rPr>
          <w:i/>
          <w:iCs/>
          <w:color w:val="222222"/>
          <w:shd w:val="clear" w:color="auto" w:fill="FFFFFF"/>
          <w:lang w:val="en-GB"/>
        </w:rPr>
        <w:t>61</w:t>
      </w:r>
      <w:r w:rsidRPr="00B16BEA">
        <w:rPr>
          <w:color w:val="222222"/>
          <w:shd w:val="clear" w:color="auto" w:fill="FFFFFF"/>
          <w:lang w:val="en-GB"/>
        </w:rPr>
        <w:t xml:space="preserve">, e260595. </w:t>
      </w:r>
      <w:hyperlink r:id="rId25" w:history="1">
        <w:r w:rsidRPr="00B16BEA">
          <w:rPr>
            <w:rStyle w:val="Hyperlink"/>
            <w:shd w:val="clear" w:color="auto" w:fill="FFFFFF"/>
            <w:lang w:val="en-GB"/>
          </w:rPr>
          <w:t>https://doi.org/10.1590/1806-9479.2022.260595</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t xml:space="preserve">Hasan, M. R., Jahan, K., </w:t>
      </w:r>
      <w:proofErr w:type="spellStart"/>
      <w:r w:rsidRPr="00B16BEA">
        <w:rPr>
          <w:color w:val="222222"/>
          <w:shd w:val="clear" w:color="auto" w:fill="FFFFFF"/>
          <w:lang w:val="en-GB"/>
        </w:rPr>
        <w:t>Moniruzzaman</w:t>
      </w:r>
      <w:proofErr w:type="spellEnd"/>
      <w:r w:rsidRPr="00B16BEA">
        <w:rPr>
          <w:color w:val="222222"/>
          <w:shd w:val="clear" w:color="auto" w:fill="FFFFFF"/>
          <w:lang w:val="en-GB"/>
        </w:rPr>
        <w:t xml:space="preserve">, S. M., &amp; Afrin, T. (2024). Market dynamics and challenges in the pineapple value chain in </w:t>
      </w:r>
      <w:proofErr w:type="spellStart"/>
      <w:r w:rsidRPr="00B16BEA">
        <w:rPr>
          <w:color w:val="222222"/>
          <w:shd w:val="clear" w:color="auto" w:fill="FFFFFF"/>
          <w:lang w:val="en-GB"/>
        </w:rPr>
        <w:t>Modhupur</w:t>
      </w:r>
      <w:proofErr w:type="spellEnd"/>
      <w:r w:rsidRPr="00B16BEA">
        <w:rPr>
          <w:color w:val="222222"/>
          <w:shd w:val="clear" w:color="auto" w:fill="FFFFFF"/>
          <w:lang w:val="en-GB"/>
        </w:rPr>
        <w:t>, Bangladesh. </w:t>
      </w:r>
      <w:r w:rsidRPr="00B16BEA">
        <w:rPr>
          <w:i/>
          <w:iCs/>
          <w:color w:val="222222"/>
          <w:shd w:val="clear" w:color="auto" w:fill="FFFFFF"/>
          <w:lang w:val="en-GB"/>
        </w:rPr>
        <w:t>Annals of Bangladesh Agriculture</w:t>
      </w:r>
      <w:r w:rsidRPr="00B16BEA">
        <w:rPr>
          <w:color w:val="222222"/>
          <w:shd w:val="clear" w:color="auto" w:fill="FFFFFF"/>
          <w:lang w:val="en-GB"/>
        </w:rPr>
        <w:t>, </w:t>
      </w:r>
      <w:r w:rsidRPr="00B16BEA">
        <w:rPr>
          <w:i/>
          <w:iCs/>
          <w:color w:val="222222"/>
          <w:shd w:val="clear" w:color="auto" w:fill="FFFFFF"/>
          <w:lang w:val="en-GB"/>
        </w:rPr>
        <w:t>28</w:t>
      </w:r>
      <w:r w:rsidRPr="00B16BEA">
        <w:rPr>
          <w:color w:val="222222"/>
          <w:shd w:val="clear" w:color="auto" w:fill="FFFFFF"/>
          <w:lang w:val="en-GB"/>
        </w:rPr>
        <w:t xml:space="preserve">(1), 167-179. </w:t>
      </w:r>
      <w:hyperlink r:id="rId26" w:history="1">
        <w:r w:rsidRPr="00B16BEA">
          <w:rPr>
            <w:rStyle w:val="Hyperlink"/>
            <w:shd w:val="clear" w:color="auto" w:fill="FFFFFF"/>
            <w:lang w:val="en-GB"/>
          </w:rPr>
          <w:t>https://doi.org/10.3329/aba.v28i1.74259</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r w:rsidRPr="00B16BEA">
        <w:rPr>
          <w:color w:val="222222"/>
          <w:shd w:val="clear" w:color="auto" w:fill="FFFFFF"/>
          <w:lang w:val="en-GB"/>
        </w:rPr>
        <w:t xml:space="preserve">Hasan, S., </w:t>
      </w:r>
      <w:proofErr w:type="spellStart"/>
      <w:r w:rsidRPr="00B16BEA">
        <w:rPr>
          <w:color w:val="222222"/>
          <w:shd w:val="clear" w:color="auto" w:fill="FFFFFF"/>
          <w:lang w:val="en-GB"/>
        </w:rPr>
        <w:t>Saha</w:t>
      </w:r>
      <w:proofErr w:type="spellEnd"/>
      <w:r w:rsidRPr="00B16BEA">
        <w:rPr>
          <w:color w:val="222222"/>
          <w:shd w:val="clear" w:color="auto" w:fill="FFFFFF"/>
          <w:lang w:val="en-GB"/>
        </w:rPr>
        <w:t xml:space="preserve">, S., </w:t>
      </w:r>
      <w:proofErr w:type="spellStart"/>
      <w:r w:rsidRPr="00B16BEA">
        <w:rPr>
          <w:color w:val="222222"/>
          <w:shd w:val="clear" w:color="auto" w:fill="FFFFFF"/>
          <w:lang w:val="en-GB"/>
        </w:rPr>
        <w:t>Afrad</w:t>
      </w:r>
      <w:proofErr w:type="spellEnd"/>
      <w:r w:rsidRPr="00B16BEA">
        <w:rPr>
          <w:color w:val="222222"/>
          <w:shd w:val="clear" w:color="auto" w:fill="FFFFFF"/>
          <w:lang w:val="en-GB"/>
        </w:rPr>
        <w:t xml:space="preserve">, M. S. I., Islam, M. R., </w:t>
      </w:r>
      <w:proofErr w:type="spellStart"/>
      <w:r w:rsidRPr="00B16BEA">
        <w:rPr>
          <w:color w:val="222222"/>
          <w:shd w:val="clear" w:color="auto" w:fill="FFFFFF"/>
          <w:lang w:val="en-GB"/>
        </w:rPr>
        <w:t>Sadi</w:t>
      </w:r>
      <w:proofErr w:type="spellEnd"/>
      <w:r w:rsidRPr="00B16BEA">
        <w:rPr>
          <w:color w:val="222222"/>
          <w:shd w:val="clear" w:color="auto" w:fill="FFFFFF"/>
          <w:lang w:val="en-GB"/>
        </w:rPr>
        <w:t>, R. S., &amp; Labib, M. T. R. (2023). Present status of pineapple cultivation in Bangladesh: case of Madhupur Tract. </w:t>
      </w:r>
      <w:r w:rsidRPr="00B16BEA">
        <w:rPr>
          <w:i/>
          <w:iCs/>
          <w:color w:val="222222"/>
          <w:shd w:val="clear" w:color="auto" w:fill="FFFFFF"/>
          <w:lang w:val="en-GB"/>
        </w:rPr>
        <w:t>Turkish Journal of Agriculture-Food Science and Technology</w:t>
      </w:r>
      <w:r w:rsidRPr="00B16BEA">
        <w:rPr>
          <w:color w:val="222222"/>
          <w:shd w:val="clear" w:color="auto" w:fill="FFFFFF"/>
          <w:lang w:val="en-GB"/>
        </w:rPr>
        <w:t>, </w:t>
      </w:r>
      <w:r w:rsidRPr="00B16BEA">
        <w:rPr>
          <w:i/>
          <w:iCs/>
          <w:color w:val="222222"/>
          <w:shd w:val="clear" w:color="auto" w:fill="FFFFFF"/>
          <w:lang w:val="en-GB"/>
        </w:rPr>
        <w:t>11</w:t>
      </w:r>
      <w:r w:rsidRPr="00B16BEA">
        <w:rPr>
          <w:color w:val="222222"/>
          <w:shd w:val="clear" w:color="auto" w:fill="FFFFFF"/>
          <w:lang w:val="en-GB"/>
        </w:rPr>
        <w:t xml:space="preserve">(8), 1304-1309. https://doi.org/10.24925/turjaf.v11i8.1304-1309.5891  </w:t>
      </w:r>
      <w:hyperlink r:id="rId27" w:history="1">
        <w:r w:rsidRPr="00B16BEA">
          <w:rPr>
            <w:rStyle w:val="Hyperlink"/>
            <w:shd w:val="clear" w:color="auto" w:fill="FFFFFF"/>
            <w:lang w:val="en-GB"/>
          </w:rPr>
          <w:t>https://agrifoodscience.com/index.php/TURJAF/article/view/5891</w:t>
        </w:r>
      </w:hyperlink>
      <w:r w:rsidRPr="00B16BEA">
        <w:rPr>
          <w:color w:val="222222"/>
          <w:shd w:val="clear" w:color="auto" w:fill="FFFFFF"/>
          <w:lang w:val="en-GB"/>
        </w:rPr>
        <w:t xml:space="preserve"> </w:t>
      </w:r>
    </w:p>
    <w:p w:rsidR="00B16BEA" w:rsidRPr="00B16BEA" w:rsidRDefault="00B16BEA" w:rsidP="00B16BEA">
      <w:pPr>
        <w:pStyle w:val="NormalWeb"/>
        <w:rPr>
          <w:lang w:val="en-GB"/>
        </w:rPr>
      </w:pPr>
      <w:r w:rsidRPr="00B16BEA">
        <w:rPr>
          <w:color w:val="222222"/>
          <w:shd w:val="clear" w:color="auto" w:fill="FFFFFF"/>
          <w:lang w:val="en-GB"/>
        </w:rPr>
        <w:t xml:space="preserve">Hasan, M. R., Jahan, K., </w:t>
      </w:r>
      <w:proofErr w:type="spellStart"/>
      <w:r w:rsidRPr="00B16BEA">
        <w:rPr>
          <w:color w:val="222222"/>
          <w:shd w:val="clear" w:color="auto" w:fill="FFFFFF"/>
          <w:lang w:val="en-GB"/>
        </w:rPr>
        <w:t>Moniruzzaman</w:t>
      </w:r>
      <w:proofErr w:type="spellEnd"/>
      <w:r w:rsidRPr="00B16BEA">
        <w:rPr>
          <w:color w:val="222222"/>
          <w:shd w:val="clear" w:color="auto" w:fill="FFFFFF"/>
          <w:lang w:val="en-GB"/>
        </w:rPr>
        <w:t xml:space="preserve">, S. M., &amp; Afrin, T. (2024). Market dynamics and challenges in the pineapple value chain in </w:t>
      </w:r>
      <w:proofErr w:type="spellStart"/>
      <w:r w:rsidRPr="00B16BEA">
        <w:rPr>
          <w:color w:val="222222"/>
          <w:shd w:val="clear" w:color="auto" w:fill="FFFFFF"/>
          <w:lang w:val="en-GB"/>
        </w:rPr>
        <w:t>Modhupur</w:t>
      </w:r>
      <w:proofErr w:type="spellEnd"/>
      <w:r w:rsidRPr="00B16BEA">
        <w:rPr>
          <w:color w:val="222222"/>
          <w:shd w:val="clear" w:color="auto" w:fill="FFFFFF"/>
          <w:lang w:val="en-GB"/>
        </w:rPr>
        <w:t>, Bangladesh. </w:t>
      </w:r>
      <w:r w:rsidRPr="00B16BEA">
        <w:rPr>
          <w:i/>
          <w:iCs/>
          <w:color w:val="222222"/>
          <w:shd w:val="clear" w:color="auto" w:fill="FFFFFF"/>
          <w:lang w:val="en-GB"/>
        </w:rPr>
        <w:t>Annals of Bangladesh Agriculture</w:t>
      </w:r>
      <w:r w:rsidRPr="00B16BEA">
        <w:rPr>
          <w:color w:val="222222"/>
          <w:shd w:val="clear" w:color="auto" w:fill="FFFFFF"/>
          <w:lang w:val="en-GB"/>
        </w:rPr>
        <w:t>, </w:t>
      </w:r>
      <w:r w:rsidRPr="00B16BEA">
        <w:rPr>
          <w:i/>
          <w:iCs/>
          <w:color w:val="222222"/>
          <w:shd w:val="clear" w:color="auto" w:fill="FFFFFF"/>
          <w:lang w:val="en-GB"/>
        </w:rPr>
        <w:t>28</w:t>
      </w:r>
      <w:r w:rsidRPr="00B16BEA">
        <w:rPr>
          <w:color w:val="222222"/>
          <w:shd w:val="clear" w:color="auto" w:fill="FFFFFF"/>
          <w:lang w:val="en-GB"/>
        </w:rPr>
        <w:t xml:space="preserve">(1), 167-179. https://doi.org/10.3329/aba.v28i1.74259  </w:t>
      </w:r>
    </w:p>
    <w:p w:rsidR="00B16BEA" w:rsidRPr="00B16BEA" w:rsidRDefault="00B16BEA" w:rsidP="00B16BEA">
      <w:pPr>
        <w:pStyle w:val="NormalWeb"/>
        <w:rPr>
          <w:lang w:val="en-GB"/>
        </w:rPr>
      </w:pPr>
      <w:r w:rsidRPr="00B16BEA">
        <w:rPr>
          <w:color w:val="222222"/>
          <w:shd w:val="clear" w:color="auto" w:fill="FFFFFF"/>
          <w:lang w:val="en-GB"/>
        </w:rPr>
        <w:t>Hossain, M. F. (2016). World pineapple production: An overview. </w:t>
      </w:r>
      <w:r w:rsidRPr="00B16BEA">
        <w:rPr>
          <w:i/>
          <w:iCs/>
          <w:color w:val="222222"/>
          <w:shd w:val="clear" w:color="auto" w:fill="FFFFFF"/>
          <w:lang w:val="en-GB"/>
        </w:rPr>
        <w:t>African Journal of Food, Agriculture, Nutrition and Development</w:t>
      </w:r>
      <w:r w:rsidRPr="00B16BEA">
        <w:rPr>
          <w:color w:val="222222"/>
          <w:shd w:val="clear" w:color="auto" w:fill="FFFFFF"/>
          <w:lang w:val="en-GB"/>
        </w:rPr>
        <w:t>, </w:t>
      </w:r>
      <w:r w:rsidRPr="00B16BEA">
        <w:rPr>
          <w:i/>
          <w:iCs/>
          <w:color w:val="222222"/>
          <w:shd w:val="clear" w:color="auto" w:fill="FFFFFF"/>
          <w:lang w:val="en-GB"/>
        </w:rPr>
        <w:t>16</w:t>
      </w:r>
      <w:r w:rsidRPr="00B16BEA">
        <w:rPr>
          <w:color w:val="222222"/>
          <w:shd w:val="clear" w:color="auto" w:fill="FFFFFF"/>
          <w:lang w:val="en-GB"/>
        </w:rPr>
        <w:t xml:space="preserve">(4), 11443-11456. </w:t>
      </w:r>
      <w:hyperlink r:id="rId28" w:history="1">
        <w:r w:rsidRPr="00B16BEA">
          <w:rPr>
            <w:rStyle w:val="Hyperlink"/>
            <w:shd w:val="clear" w:color="auto" w:fill="FFFFFF"/>
            <w:lang w:val="en-GB"/>
          </w:rPr>
          <w:t>https://doi.org/10.18697/ajfand.76.15620</w:t>
        </w:r>
      </w:hyperlink>
      <w:r w:rsidRPr="00B16BEA">
        <w:rPr>
          <w:color w:val="222222"/>
          <w:shd w:val="clear" w:color="auto" w:fill="FFFFFF"/>
          <w:lang w:val="en-GB"/>
        </w:rPr>
        <w:t xml:space="preserve">  </w:t>
      </w:r>
    </w:p>
    <w:p w:rsidR="00B16BEA" w:rsidRPr="00B16BEA" w:rsidRDefault="00B16BEA" w:rsidP="00B16BEA">
      <w:pPr>
        <w:pStyle w:val="NormalWeb"/>
        <w:rPr>
          <w:color w:val="222222"/>
          <w:shd w:val="clear" w:color="auto" w:fill="FFFFFF"/>
          <w:lang w:val="en-GB"/>
        </w:rPr>
      </w:pPr>
      <w:proofErr w:type="spellStart"/>
      <w:r w:rsidRPr="00B16BEA">
        <w:rPr>
          <w:color w:val="222222"/>
          <w:shd w:val="clear" w:color="auto" w:fill="FFFFFF"/>
          <w:lang w:val="en-GB"/>
        </w:rPr>
        <w:t>Ingwersen</w:t>
      </w:r>
      <w:proofErr w:type="spellEnd"/>
      <w:r w:rsidRPr="00B16BEA">
        <w:rPr>
          <w:color w:val="222222"/>
          <w:shd w:val="clear" w:color="auto" w:fill="FFFFFF"/>
          <w:lang w:val="en-GB"/>
        </w:rPr>
        <w:t>, W. W. (2012). Life cycle assessment of fresh pineapple from Costa Rica. </w:t>
      </w:r>
      <w:r w:rsidRPr="00B16BEA">
        <w:rPr>
          <w:i/>
          <w:iCs/>
          <w:color w:val="222222"/>
          <w:shd w:val="clear" w:color="auto" w:fill="FFFFFF"/>
          <w:lang w:val="en-GB"/>
        </w:rPr>
        <w:t>Journal of Cleaner Production</w:t>
      </w:r>
      <w:r w:rsidRPr="00B16BEA">
        <w:rPr>
          <w:color w:val="222222"/>
          <w:shd w:val="clear" w:color="auto" w:fill="FFFFFF"/>
          <w:lang w:val="en-GB"/>
        </w:rPr>
        <w:t>, </w:t>
      </w:r>
      <w:r w:rsidRPr="00B16BEA">
        <w:rPr>
          <w:i/>
          <w:iCs/>
          <w:color w:val="222222"/>
          <w:shd w:val="clear" w:color="auto" w:fill="FFFFFF"/>
          <w:lang w:val="en-GB"/>
        </w:rPr>
        <w:t>35</w:t>
      </w:r>
      <w:r w:rsidRPr="00B16BEA">
        <w:rPr>
          <w:color w:val="222222"/>
          <w:shd w:val="clear" w:color="auto" w:fill="FFFFFF"/>
          <w:lang w:val="en-GB"/>
        </w:rPr>
        <w:t xml:space="preserve">, 152-163. </w:t>
      </w:r>
      <w:hyperlink r:id="rId29" w:history="1">
        <w:r w:rsidRPr="00B16BEA">
          <w:rPr>
            <w:rStyle w:val="Hyperlink"/>
            <w:shd w:val="clear" w:color="auto" w:fill="FFFFFF"/>
            <w:lang w:val="en-GB"/>
          </w:rPr>
          <w:t>https://doi.org/10.1016/j.jclepro.2012.05.035</w:t>
        </w:r>
      </w:hyperlink>
      <w:r w:rsidRPr="00B16BEA">
        <w:rPr>
          <w:color w:val="222222"/>
          <w:shd w:val="clear" w:color="auto" w:fill="FFFFFF"/>
          <w:lang w:val="en-GB"/>
        </w:rPr>
        <w:t xml:space="preserve">  </w:t>
      </w:r>
    </w:p>
    <w:p w:rsidR="00B16BEA" w:rsidRPr="00B16BEA" w:rsidRDefault="00B16BEA" w:rsidP="00B16BEA">
      <w:pPr>
        <w:rPr>
          <w:rFonts w:ascii="Times New Roman" w:eastAsia="Times New Roman" w:hAnsi="Times New Roman" w:cs="Times New Roman"/>
          <w:color w:val="222222"/>
          <w:sz w:val="24"/>
          <w:szCs w:val="24"/>
          <w:shd w:val="clear" w:color="auto" w:fill="FFFFFF"/>
        </w:rPr>
      </w:pPr>
      <w:proofErr w:type="spellStart"/>
      <w:r w:rsidRPr="00B16BEA">
        <w:rPr>
          <w:rFonts w:ascii="Times New Roman" w:eastAsia="Times New Roman" w:hAnsi="Times New Roman" w:cs="Times New Roman"/>
          <w:color w:val="222222"/>
          <w:sz w:val="24"/>
          <w:szCs w:val="24"/>
          <w:shd w:val="clear" w:color="auto" w:fill="FFFFFF"/>
        </w:rPr>
        <w:t>Kamusoko</w:t>
      </w:r>
      <w:proofErr w:type="spellEnd"/>
      <w:r w:rsidRPr="00B16BEA">
        <w:rPr>
          <w:rFonts w:ascii="Times New Roman" w:eastAsia="Times New Roman" w:hAnsi="Times New Roman" w:cs="Times New Roman"/>
          <w:color w:val="222222"/>
          <w:sz w:val="24"/>
          <w:szCs w:val="24"/>
          <w:shd w:val="clear" w:color="auto" w:fill="FFFFFF"/>
        </w:rPr>
        <w:t xml:space="preserve">, R., &amp; </w:t>
      </w:r>
      <w:proofErr w:type="spellStart"/>
      <w:r w:rsidRPr="00B16BEA">
        <w:rPr>
          <w:rFonts w:ascii="Times New Roman" w:eastAsia="Times New Roman" w:hAnsi="Times New Roman" w:cs="Times New Roman"/>
          <w:color w:val="222222"/>
          <w:sz w:val="24"/>
          <w:szCs w:val="24"/>
          <w:shd w:val="clear" w:color="auto" w:fill="FFFFFF"/>
        </w:rPr>
        <w:t>Mukumba</w:t>
      </w:r>
      <w:proofErr w:type="spellEnd"/>
      <w:r w:rsidRPr="00B16BEA">
        <w:rPr>
          <w:rFonts w:ascii="Times New Roman" w:eastAsia="Times New Roman" w:hAnsi="Times New Roman" w:cs="Times New Roman"/>
          <w:color w:val="222222"/>
          <w:sz w:val="24"/>
          <w:szCs w:val="24"/>
          <w:shd w:val="clear" w:color="auto" w:fill="FFFFFF"/>
        </w:rPr>
        <w:t xml:space="preserve">, P. (2025). Pineapple Waste Biorefinery: An Integrated System for Production of Biogas and Marketable Products in South Africa. Biomass, 5(2), 17. </w:t>
      </w:r>
      <w:hyperlink r:id="rId30" w:history="1">
        <w:r w:rsidRPr="00B16BEA">
          <w:rPr>
            <w:rStyle w:val="Hyperlink"/>
            <w:rFonts w:ascii="Times New Roman" w:eastAsia="Times New Roman" w:hAnsi="Times New Roman" w:cs="Times New Roman"/>
            <w:sz w:val="24"/>
            <w:szCs w:val="24"/>
            <w:shd w:val="clear" w:color="auto" w:fill="FFFFFF"/>
          </w:rPr>
          <w:t>https://doi.org/10.3390/biomass5020017</w:t>
        </w:r>
      </w:hyperlink>
      <w:r w:rsidRPr="00B16BEA">
        <w:rPr>
          <w:rFonts w:ascii="Times New Roman" w:eastAsia="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Keijser</w:t>
      </w:r>
      <w:proofErr w:type="spellEnd"/>
      <w:r w:rsidRPr="00B16BEA">
        <w:rPr>
          <w:rFonts w:ascii="Times New Roman" w:hAnsi="Times New Roman" w:cs="Times New Roman"/>
          <w:color w:val="222222"/>
          <w:sz w:val="24"/>
          <w:szCs w:val="24"/>
          <w:shd w:val="clear" w:color="auto" w:fill="FFFFFF"/>
        </w:rPr>
        <w:t xml:space="preserve">, C., </w:t>
      </w:r>
      <w:proofErr w:type="spellStart"/>
      <w:r w:rsidRPr="00B16BEA">
        <w:rPr>
          <w:rFonts w:ascii="Times New Roman" w:hAnsi="Times New Roman" w:cs="Times New Roman"/>
          <w:color w:val="222222"/>
          <w:sz w:val="24"/>
          <w:szCs w:val="24"/>
          <w:shd w:val="clear" w:color="auto" w:fill="FFFFFF"/>
        </w:rPr>
        <w:t>Belderbos</w:t>
      </w:r>
      <w:proofErr w:type="spellEnd"/>
      <w:r w:rsidRPr="00B16BEA">
        <w:rPr>
          <w:rFonts w:ascii="Times New Roman" w:hAnsi="Times New Roman" w:cs="Times New Roman"/>
          <w:color w:val="222222"/>
          <w:sz w:val="24"/>
          <w:szCs w:val="24"/>
          <w:shd w:val="clear" w:color="auto" w:fill="FFFFFF"/>
        </w:rPr>
        <w:t xml:space="preserve">, R., &amp; </w:t>
      </w:r>
      <w:proofErr w:type="spellStart"/>
      <w:r w:rsidRPr="00B16BEA">
        <w:rPr>
          <w:rFonts w:ascii="Times New Roman" w:hAnsi="Times New Roman" w:cs="Times New Roman"/>
          <w:color w:val="222222"/>
          <w:sz w:val="24"/>
          <w:szCs w:val="24"/>
          <w:shd w:val="clear" w:color="auto" w:fill="FFFFFF"/>
        </w:rPr>
        <w:t>Goedhuys</w:t>
      </w:r>
      <w:proofErr w:type="spellEnd"/>
      <w:r w:rsidRPr="00B16BEA">
        <w:rPr>
          <w:rFonts w:ascii="Times New Roman" w:hAnsi="Times New Roman" w:cs="Times New Roman"/>
          <w:color w:val="222222"/>
          <w:sz w:val="24"/>
          <w:szCs w:val="24"/>
          <w:shd w:val="clear" w:color="auto" w:fill="FFFFFF"/>
        </w:rPr>
        <w:t>, M. (2021). Governance and learning in global, regional, and local value chains: The IT enabled services industry in South Africa. </w:t>
      </w:r>
      <w:r w:rsidRPr="00B16BEA">
        <w:rPr>
          <w:rFonts w:ascii="Times New Roman" w:hAnsi="Times New Roman" w:cs="Times New Roman"/>
          <w:i/>
          <w:iCs/>
          <w:color w:val="222222"/>
          <w:sz w:val="24"/>
          <w:szCs w:val="24"/>
          <w:shd w:val="clear" w:color="auto" w:fill="FFFFFF"/>
        </w:rPr>
        <w:t>World Development</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141</w:t>
      </w:r>
      <w:r w:rsidRPr="00B16BEA">
        <w:rPr>
          <w:rFonts w:ascii="Times New Roman" w:hAnsi="Times New Roman" w:cs="Times New Roman"/>
          <w:color w:val="222222"/>
          <w:sz w:val="24"/>
          <w:szCs w:val="24"/>
          <w:shd w:val="clear" w:color="auto" w:fill="FFFFFF"/>
        </w:rPr>
        <w:t xml:space="preserve">, 105398. </w:t>
      </w:r>
      <w:hyperlink r:id="rId31" w:history="1">
        <w:r w:rsidRPr="00B16BEA">
          <w:rPr>
            <w:rStyle w:val="Hyperlink"/>
            <w:rFonts w:ascii="Times New Roman" w:hAnsi="Times New Roman" w:cs="Times New Roman"/>
            <w:sz w:val="24"/>
            <w:szCs w:val="24"/>
            <w:shd w:val="clear" w:color="auto" w:fill="FFFFFF"/>
          </w:rPr>
          <w:t>https://doi.org/10.1016/j.worlddev.2021.105398</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Mankhin</w:t>
      </w:r>
      <w:proofErr w:type="spellEnd"/>
      <w:r w:rsidRPr="00B16BEA">
        <w:rPr>
          <w:rFonts w:ascii="Times New Roman" w:hAnsi="Times New Roman" w:cs="Times New Roman"/>
          <w:color w:val="222222"/>
          <w:sz w:val="24"/>
          <w:szCs w:val="24"/>
          <w:shd w:val="clear" w:color="auto" w:fill="FFFFFF"/>
        </w:rPr>
        <w:t xml:space="preserve">, B., Begum, M. E. A., </w:t>
      </w:r>
      <w:proofErr w:type="spellStart"/>
      <w:r w:rsidRPr="00B16BEA">
        <w:rPr>
          <w:rFonts w:ascii="Times New Roman" w:hAnsi="Times New Roman" w:cs="Times New Roman"/>
          <w:color w:val="222222"/>
          <w:sz w:val="24"/>
          <w:szCs w:val="24"/>
          <w:shd w:val="clear" w:color="auto" w:fill="FFFFFF"/>
        </w:rPr>
        <w:t>Hoq</w:t>
      </w:r>
      <w:proofErr w:type="spellEnd"/>
      <w:r w:rsidRPr="00B16BEA">
        <w:rPr>
          <w:rFonts w:ascii="Times New Roman" w:hAnsi="Times New Roman" w:cs="Times New Roman"/>
          <w:color w:val="222222"/>
          <w:sz w:val="24"/>
          <w:szCs w:val="24"/>
          <w:shd w:val="clear" w:color="auto" w:fill="FFFFFF"/>
        </w:rPr>
        <w:t>, M. S., &amp; Hossain, M. I. (2024). Determinants of the factors affecting the governance structure choice of the pineapple value chain: A case study on market-based agroforestry in Bangladesh. </w:t>
      </w:r>
      <w:proofErr w:type="spellStart"/>
      <w:r w:rsidRPr="00B16BEA">
        <w:rPr>
          <w:rFonts w:ascii="Times New Roman" w:hAnsi="Times New Roman" w:cs="Times New Roman"/>
          <w:i/>
          <w:iCs/>
          <w:color w:val="222222"/>
          <w:sz w:val="24"/>
          <w:szCs w:val="24"/>
          <w:shd w:val="clear" w:color="auto" w:fill="FFFFFF"/>
        </w:rPr>
        <w:t>Heliyon</w:t>
      </w:r>
      <w:proofErr w:type="spellEnd"/>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10</w:t>
      </w:r>
      <w:r w:rsidRPr="00B16BEA">
        <w:rPr>
          <w:rFonts w:ascii="Times New Roman" w:hAnsi="Times New Roman" w:cs="Times New Roman"/>
          <w:color w:val="222222"/>
          <w:sz w:val="24"/>
          <w:szCs w:val="24"/>
          <w:shd w:val="clear" w:color="auto" w:fill="FFFFFF"/>
        </w:rPr>
        <w:t xml:space="preserve">(20). </w:t>
      </w:r>
      <w:hyperlink r:id="rId32" w:history="1">
        <w:r w:rsidRPr="00B16BEA">
          <w:rPr>
            <w:rStyle w:val="Hyperlink"/>
            <w:rFonts w:ascii="Times New Roman" w:hAnsi="Times New Roman" w:cs="Times New Roman"/>
            <w:sz w:val="24"/>
            <w:szCs w:val="24"/>
            <w:shd w:val="clear" w:color="auto" w:fill="FFFFFF"/>
          </w:rPr>
          <w:t>https://doi.org/10.1016/j.heliyon.2024.e39209</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Nyamah</w:t>
      </w:r>
      <w:proofErr w:type="spellEnd"/>
      <w:r w:rsidRPr="00B16BEA">
        <w:rPr>
          <w:rFonts w:ascii="Times New Roman" w:hAnsi="Times New Roman" w:cs="Times New Roman"/>
          <w:color w:val="222222"/>
          <w:sz w:val="24"/>
          <w:szCs w:val="24"/>
          <w:shd w:val="clear" w:color="auto" w:fill="FFFFFF"/>
        </w:rPr>
        <w:t>, E. Y., Feng, Y., &amp; Evelyn, E. (2014). Embracing Risk Mitigation Strategies in Pineapple Supply Chain and Its Impact on Supply Chains Performance. </w:t>
      </w:r>
      <w:r w:rsidRPr="00B16BEA">
        <w:rPr>
          <w:rFonts w:ascii="Times New Roman" w:hAnsi="Times New Roman" w:cs="Times New Roman"/>
          <w:i/>
          <w:iCs/>
          <w:color w:val="222222"/>
          <w:sz w:val="24"/>
          <w:szCs w:val="24"/>
          <w:shd w:val="clear" w:color="auto" w:fill="FFFFFF"/>
        </w:rPr>
        <w:t>Asian Journal of Agricultural Extension, Economics &amp; Sociology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4</w:t>
      </w:r>
      <w:r w:rsidRPr="00B16BEA">
        <w:rPr>
          <w:rFonts w:ascii="Times New Roman" w:hAnsi="Times New Roman" w:cs="Times New Roman"/>
          <w:color w:val="222222"/>
          <w:sz w:val="24"/>
          <w:szCs w:val="24"/>
          <w:shd w:val="clear" w:color="auto" w:fill="FFFFFF"/>
        </w:rPr>
        <w:t xml:space="preserve">(4), 302-316. </w:t>
      </w:r>
      <w:hyperlink r:id="rId33" w:history="1">
        <w:r w:rsidRPr="00B16BEA">
          <w:rPr>
            <w:rStyle w:val="Hyperlink"/>
            <w:rFonts w:ascii="Times New Roman" w:hAnsi="Times New Roman" w:cs="Times New Roman"/>
            <w:sz w:val="24"/>
            <w:szCs w:val="24"/>
            <w:shd w:val="clear" w:color="auto" w:fill="FFFFFF"/>
          </w:rPr>
          <w:t>https://doi.org/10.9734/AJAEES/2015/15223</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 xml:space="preserve">Paredes-Rodríguez, A. M., </w:t>
      </w:r>
      <w:proofErr w:type="spellStart"/>
      <w:r w:rsidRPr="00B16BEA">
        <w:rPr>
          <w:rFonts w:ascii="Times New Roman" w:hAnsi="Times New Roman" w:cs="Times New Roman"/>
          <w:color w:val="222222"/>
          <w:sz w:val="24"/>
          <w:szCs w:val="24"/>
          <w:shd w:val="clear" w:color="auto" w:fill="FFFFFF"/>
        </w:rPr>
        <w:t>Orejuela</w:t>
      </w:r>
      <w:proofErr w:type="spellEnd"/>
      <w:r w:rsidRPr="00B16BEA">
        <w:rPr>
          <w:rFonts w:ascii="Times New Roman" w:hAnsi="Times New Roman" w:cs="Times New Roman"/>
          <w:color w:val="222222"/>
          <w:sz w:val="24"/>
          <w:szCs w:val="24"/>
          <w:shd w:val="clear" w:color="auto" w:fill="FFFFFF"/>
        </w:rPr>
        <w:t>-Cabrera, J. P., &amp; Osorio-Gómez, J. C. (2024). Integrating sustainability and resilience in agri-food supply chains. </w:t>
      </w:r>
      <w:r w:rsidRPr="00B16BEA">
        <w:rPr>
          <w:rFonts w:ascii="Times New Roman" w:hAnsi="Times New Roman" w:cs="Times New Roman"/>
          <w:i/>
          <w:iCs/>
          <w:color w:val="222222"/>
          <w:sz w:val="24"/>
          <w:szCs w:val="24"/>
          <w:shd w:val="clear" w:color="auto" w:fill="FFFFFF"/>
        </w:rPr>
        <w:t>International Journal of Sustainable Engineering</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17</w:t>
      </w:r>
      <w:r w:rsidRPr="00B16BEA">
        <w:rPr>
          <w:rFonts w:ascii="Times New Roman" w:hAnsi="Times New Roman" w:cs="Times New Roman"/>
          <w:color w:val="222222"/>
          <w:sz w:val="24"/>
          <w:szCs w:val="24"/>
          <w:shd w:val="clear" w:color="auto" w:fill="FFFFFF"/>
        </w:rPr>
        <w:t xml:space="preserve">(1), 1122-1138. </w:t>
      </w:r>
      <w:hyperlink r:id="rId34" w:history="1">
        <w:r w:rsidRPr="00B16BEA">
          <w:rPr>
            <w:rStyle w:val="Hyperlink"/>
            <w:rFonts w:ascii="Times New Roman" w:hAnsi="Times New Roman" w:cs="Times New Roman"/>
            <w:sz w:val="24"/>
            <w:szCs w:val="24"/>
            <w:shd w:val="clear" w:color="auto" w:fill="FFFFFF"/>
          </w:rPr>
          <w:t>https://doi.org/10.1080/19397038.2024.2430514</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Phrommarat</w:t>
      </w:r>
      <w:proofErr w:type="spellEnd"/>
      <w:r w:rsidRPr="00B16BEA">
        <w:rPr>
          <w:rFonts w:ascii="Times New Roman" w:hAnsi="Times New Roman" w:cs="Times New Roman"/>
          <w:color w:val="222222"/>
          <w:sz w:val="24"/>
          <w:szCs w:val="24"/>
          <w:shd w:val="clear" w:color="auto" w:fill="FFFFFF"/>
        </w:rPr>
        <w:t xml:space="preserve">, B., &amp; </w:t>
      </w:r>
      <w:proofErr w:type="spellStart"/>
      <w:r w:rsidRPr="00B16BEA">
        <w:rPr>
          <w:rFonts w:ascii="Times New Roman" w:hAnsi="Times New Roman" w:cs="Times New Roman"/>
          <w:color w:val="222222"/>
          <w:sz w:val="24"/>
          <w:szCs w:val="24"/>
          <w:shd w:val="clear" w:color="auto" w:fill="FFFFFF"/>
        </w:rPr>
        <w:t>Oonkasem</w:t>
      </w:r>
      <w:proofErr w:type="spellEnd"/>
      <w:r w:rsidRPr="00B16BEA">
        <w:rPr>
          <w:rFonts w:ascii="Times New Roman" w:hAnsi="Times New Roman" w:cs="Times New Roman"/>
          <w:color w:val="222222"/>
          <w:sz w:val="24"/>
          <w:szCs w:val="24"/>
          <w:shd w:val="clear" w:color="auto" w:fill="FFFFFF"/>
        </w:rPr>
        <w:t xml:space="preserve">, P. (2021). Sustainable pineapple farm planning based on eco-efficiency and income risk: a comparison of conventional and integrated farming </w:t>
      </w:r>
      <w:r w:rsidRPr="00B16BEA">
        <w:rPr>
          <w:rFonts w:ascii="Times New Roman" w:hAnsi="Times New Roman" w:cs="Times New Roman"/>
          <w:color w:val="222222"/>
          <w:sz w:val="24"/>
          <w:szCs w:val="24"/>
          <w:shd w:val="clear" w:color="auto" w:fill="FFFFFF"/>
        </w:rPr>
        <w:lastRenderedPageBreak/>
        <w:t>systems. </w:t>
      </w:r>
      <w:r w:rsidRPr="00B16BEA">
        <w:rPr>
          <w:rFonts w:ascii="Times New Roman" w:hAnsi="Times New Roman" w:cs="Times New Roman"/>
          <w:i/>
          <w:iCs/>
          <w:color w:val="222222"/>
          <w:sz w:val="24"/>
          <w:szCs w:val="24"/>
          <w:shd w:val="clear" w:color="auto" w:fill="FFFFFF"/>
        </w:rPr>
        <w:t>Applied Ecology and Environmental Research</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19</w:t>
      </w:r>
      <w:r w:rsidRPr="00B16BEA">
        <w:rPr>
          <w:rFonts w:ascii="Times New Roman" w:hAnsi="Times New Roman" w:cs="Times New Roman"/>
          <w:color w:val="222222"/>
          <w:sz w:val="24"/>
          <w:szCs w:val="24"/>
          <w:shd w:val="clear" w:color="auto" w:fill="FFFFFF"/>
        </w:rPr>
        <w:t xml:space="preserve">(4), 2701-2717. </w:t>
      </w:r>
      <w:hyperlink r:id="rId35" w:history="1">
        <w:r w:rsidRPr="00B16BEA">
          <w:rPr>
            <w:rStyle w:val="Hyperlink"/>
            <w:rFonts w:ascii="Times New Roman" w:hAnsi="Times New Roman" w:cs="Times New Roman"/>
            <w:sz w:val="24"/>
            <w:szCs w:val="24"/>
            <w:shd w:val="clear" w:color="auto" w:fill="FFFFFF"/>
          </w:rPr>
          <w:t>http://dx.doi.org/10.15666/aeer/1904_27012717</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Pietrobelli</w:t>
      </w:r>
      <w:proofErr w:type="spellEnd"/>
      <w:r w:rsidRPr="00B16BEA">
        <w:rPr>
          <w:rFonts w:ascii="Times New Roman" w:hAnsi="Times New Roman" w:cs="Times New Roman"/>
          <w:color w:val="222222"/>
          <w:sz w:val="24"/>
          <w:szCs w:val="24"/>
          <w:shd w:val="clear" w:color="auto" w:fill="FFFFFF"/>
        </w:rPr>
        <w:t xml:space="preserve">, C., &amp; </w:t>
      </w:r>
      <w:proofErr w:type="spellStart"/>
      <w:r w:rsidRPr="00B16BEA">
        <w:rPr>
          <w:rFonts w:ascii="Times New Roman" w:hAnsi="Times New Roman" w:cs="Times New Roman"/>
          <w:color w:val="222222"/>
          <w:sz w:val="24"/>
          <w:szCs w:val="24"/>
          <w:shd w:val="clear" w:color="auto" w:fill="FFFFFF"/>
        </w:rPr>
        <w:t>Staritz</w:t>
      </w:r>
      <w:proofErr w:type="spellEnd"/>
      <w:r w:rsidRPr="00B16BEA">
        <w:rPr>
          <w:rFonts w:ascii="Times New Roman" w:hAnsi="Times New Roman" w:cs="Times New Roman"/>
          <w:color w:val="222222"/>
          <w:sz w:val="24"/>
          <w:szCs w:val="24"/>
          <w:shd w:val="clear" w:color="auto" w:fill="FFFFFF"/>
        </w:rPr>
        <w:t>, C. (2018). Upgrading, interactive learning, and innovation systems in value chain interventions. </w:t>
      </w:r>
      <w:r w:rsidRPr="00B16BEA">
        <w:rPr>
          <w:rFonts w:ascii="Times New Roman" w:hAnsi="Times New Roman" w:cs="Times New Roman"/>
          <w:i/>
          <w:iCs/>
          <w:color w:val="222222"/>
          <w:sz w:val="24"/>
          <w:szCs w:val="24"/>
          <w:shd w:val="clear" w:color="auto" w:fill="FFFFFF"/>
        </w:rPr>
        <w:t>The European Journal of Development Research</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30</w:t>
      </w:r>
      <w:r w:rsidRPr="00B16BEA">
        <w:rPr>
          <w:rFonts w:ascii="Times New Roman" w:hAnsi="Times New Roman" w:cs="Times New Roman"/>
          <w:color w:val="222222"/>
          <w:sz w:val="24"/>
          <w:szCs w:val="24"/>
          <w:shd w:val="clear" w:color="auto" w:fill="FFFFFF"/>
        </w:rPr>
        <w:t xml:space="preserve">(3), 557-574. </w:t>
      </w:r>
      <w:hyperlink r:id="rId36" w:history="1">
        <w:r w:rsidRPr="00B16BEA">
          <w:rPr>
            <w:rStyle w:val="Hyperlink"/>
            <w:rFonts w:ascii="Times New Roman" w:hAnsi="Times New Roman" w:cs="Times New Roman"/>
            <w:sz w:val="24"/>
            <w:szCs w:val="24"/>
            <w:shd w:val="clear" w:color="auto" w:fill="FFFFFF"/>
          </w:rPr>
          <w:t>https://doi.org/10.1057/s41287-017-0112-5</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sz w:val="24"/>
          <w:szCs w:val="24"/>
        </w:rPr>
      </w:pPr>
      <w:r w:rsidRPr="00B16BEA">
        <w:rPr>
          <w:rFonts w:ascii="Times New Roman" w:hAnsi="Times New Roman" w:cs="Times New Roman"/>
          <w:color w:val="222222"/>
          <w:sz w:val="24"/>
          <w:szCs w:val="24"/>
          <w:shd w:val="clear" w:color="auto" w:fill="FFFFFF"/>
        </w:rPr>
        <w:t xml:space="preserve">Rodríguez </w:t>
      </w:r>
      <w:proofErr w:type="spellStart"/>
      <w:r w:rsidRPr="00B16BEA">
        <w:rPr>
          <w:rFonts w:ascii="Times New Roman" w:hAnsi="Times New Roman" w:cs="Times New Roman"/>
          <w:color w:val="222222"/>
          <w:sz w:val="24"/>
          <w:szCs w:val="24"/>
          <w:shd w:val="clear" w:color="auto" w:fill="FFFFFF"/>
        </w:rPr>
        <w:t>Echavarría</w:t>
      </w:r>
      <w:proofErr w:type="spellEnd"/>
      <w:r w:rsidRPr="00B16BEA">
        <w:rPr>
          <w:rFonts w:ascii="Times New Roman" w:hAnsi="Times New Roman" w:cs="Times New Roman"/>
          <w:color w:val="222222"/>
          <w:sz w:val="24"/>
          <w:szCs w:val="24"/>
          <w:shd w:val="clear" w:color="auto" w:fill="FFFFFF"/>
        </w:rPr>
        <w:t xml:space="preserve">, T., &amp; </w:t>
      </w:r>
      <w:proofErr w:type="spellStart"/>
      <w:r w:rsidRPr="00B16BEA">
        <w:rPr>
          <w:rFonts w:ascii="Times New Roman" w:hAnsi="Times New Roman" w:cs="Times New Roman"/>
          <w:color w:val="222222"/>
          <w:sz w:val="24"/>
          <w:szCs w:val="24"/>
          <w:shd w:val="clear" w:color="auto" w:fill="FFFFFF"/>
        </w:rPr>
        <w:t>Prunier</w:t>
      </w:r>
      <w:proofErr w:type="spellEnd"/>
      <w:r w:rsidRPr="00B16BEA">
        <w:rPr>
          <w:rFonts w:ascii="Times New Roman" w:hAnsi="Times New Roman" w:cs="Times New Roman"/>
          <w:color w:val="222222"/>
          <w:sz w:val="24"/>
          <w:szCs w:val="24"/>
          <w:shd w:val="clear" w:color="auto" w:fill="FFFFFF"/>
        </w:rPr>
        <w:t xml:space="preserve">, D. (2020). Agricultural </w:t>
      </w:r>
      <w:proofErr w:type="spellStart"/>
      <w:r w:rsidRPr="00B16BEA">
        <w:rPr>
          <w:rFonts w:ascii="Times New Roman" w:hAnsi="Times New Roman" w:cs="Times New Roman"/>
          <w:color w:val="222222"/>
          <w:sz w:val="24"/>
          <w:szCs w:val="24"/>
          <w:shd w:val="clear" w:color="auto" w:fill="FFFFFF"/>
        </w:rPr>
        <w:t>extractivism</w:t>
      </w:r>
      <w:proofErr w:type="spellEnd"/>
      <w:r w:rsidRPr="00B16BEA">
        <w:rPr>
          <w:rFonts w:ascii="Times New Roman" w:hAnsi="Times New Roman" w:cs="Times New Roman"/>
          <w:color w:val="222222"/>
          <w:sz w:val="24"/>
          <w:szCs w:val="24"/>
          <w:shd w:val="clear" w:color="auto" w:fill="FFFFFF"/>
        </w:rPr>
        <w:t>, border and migrant workforce: The Expansion of pineapple monoculture in Costa Rica. </w:t>
      </w:r>
      <w:r w:rsidRPr="00B16BEA">
        <w:rPr>
          <w:rFonts w:ascii="Times New Roman" w:hAnsi="Times New Roman" w:cs="Times New Roman"/>
          <w:i/>
          <w:iCs/>
          <w:color w:val="222222"/>
          <w:sz w:val="24"/>
          <w:szCs w:val="24"/>
          <w:shd w:val="clear" w:color="auto" w:fill="FFFFFF"/>
        </w:rPr>
        <w:t xml:space="preserve">Frontera </w:t>
      </w:r>
      <w:proofErr w:type="spellStart"/>
      <w:r w:rsidRPr="00B16BEA">
        <w:rPr>
          <w:rFonts w:ascii="Times New Roman" w:hAnsi="Times New Roman" w:cs="Times New Roman"/>
          <w:i/>
          <w:iCs/>
          <w:color w:val="222222"/>
          <w:sz w:val="24"/>
          <w:szCs w:val="24"/>
          <w:shd w:val="clear" w:color="auto" w:fill="FFFFFF"/>
        </w:rPr>
        <w:t>norte</w:t>
      </w:r>
      <w:proofErr w:type="spellEnd"/>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32</w:t>
      </w:r>
      <w:r w:rsidRPr="00B16BEA">
        <w:rPr>
          <w:rFonts w:ascii="Times New Roman" w:hAnsi="Times New Roman" w:cs="Times New Roman"/>
          <w:color w:val="222222"/>
          <w:sz w:val="24"/>
          <w:szCs w:val="24"/>
          <w:shd w:val="clear" w:color="auto" w:fill="FFFFFF"/>
        </w:rPr>
        <w:t xml:space="preserve">. </w:t>
      </w:r>
      <w:hyperlink r:id="rId37" w:history="1">
        <w:r w:rsidRPr="00B16BEA">
          <w:rPr>
            <w:rStyle w:val="Hyperlink"/>
            <w:rFonts w:ascii="Times New Roman" w:hAnsi="Times New Roman" w:cs="Times New Roman"/>
            <w:sz w:val="24"/>
            <w:szCs w:val="24"/>
          </w:rPr>
          <w:t>https://doi.org/10.33679/rfn.v1i1.1983</w:t>
        </w:r>
      </w:hyperlink>
      <w:r w:rsidRPr="00B16BEA">
        <w:rPr>
          <w:rFonts w:ascii="Times New Roman" w:hAnsi="Times New Roman" w:cs="Times New Roman"/>
          <w:sz w:val="24"/>
          <w:szCs w:val="24"/>
        </w:rPr>
        <w:t xml:space="preserve"> </w:t>
      </w:r>
    </w:p>
    <w:p w:rsidR="00B16BEA" w:rsidRPr="00B16BEA" w:rsidRDefault="00B16BEA" w:rsidP="00B16BEA">
      <w:pPr>
        <w:rPr>
          <w:rFonts w:ascii="Times New Roman" w:eastAsia="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 xml:space="preserve">Sarangi, P. K., Singh, T. A., Singh, N. J., </w:t>
      </w:r>
      <w:proofErr w:type="spellStart"/>
      <w:r w:rsidRPr="00B16BEA">
        <w:rPr>
          <w:rFonts w:ascii="Times New Roman" w:hAnsi="Times New Roman" w:cs="Times New Roman"/>
          <w:color w:val="222222"/>
          <w:sz w:val="24"/>
          <w:szCs w:val="24"/>
          <w:shd w:val="clear" w:color="auto" w:fill="FFFFFF"/>
        </w:rPr>
        <w:t>Shadangi</w:t>
      </w:r>
      <w:proofErr w:type="spellEnd"/>
      <w:r w:rsidRPr="00B16BEA">
        <w:rPr>
          <w:rFonts w:ascii="Times New Roman" w:hAnsi="Times New Roman" w:cs="Times New Roman"/>
          <w:color w:val="222222"/>
          <w:sz w:val="24"/>
          <w:szCs w:val="24"/>
          <w:shd w:val="clear" w:color="auto" w:fill="FFFFFF"/>
        </w:rPr>
        <w:t>, K. P., Srivastava, R. K., Singh, A. K., ... &amp; Vivekanand, V. (2022). Sustainable utilization of pineapple wastes for production of bioenergy, biochemicals and value-added products: A review. </w:t>
      </w:r>
      <w:r w:rsidRPr="00B16BEA">
        <w:rPr>
          <w:rFonts w:ascii="Times New Roman" w:hAnsi="Times New Roman" w:cs="Times New Roman"/>
          <w:i/>
          <w:iCs/>
          <w:color w:val="222222"/>
          <w:sz w:val="24"/>
          <w:szCs w:val="24"/>
          <w:shd w:val="clear" w:color="auto" w:fill="FFFFFF"/>
        </w:rPr>
        <w:t>Bioresource technology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351</w:t>
      </w:r>
      <w:r w:rsidRPr="00B16BEA">
        <w:rPr>
          <w:rFonts w:ascii="Times New Roman" w:hAnsi="Times New Roman" w:cs="Times New Roman"/>
          <w:color w:val="222222"/>
          <w:sz w:val="24"/>
          <w:szCs w:val="24"/>
          <w:shd w:val="clear" w:color="auto" w:fill="FFFFFF"/>
        </w:rPr>
        <w:t xml:space="preserve">, 127085. </w:t>
      </w:r>
      <w:hyperlink r:id="rId38" w:history="1">
        <w:r w:rsidRPr="00B16BEA">
          <w:rPr>
            <w:rStyle w:val="Hyperlink"/>
            <w:rFonts w:ascii="Times New Roman" w:hAnsi="Times New Roman" w:cs="Times New Roman"/>
            <w:sz w:val="24"/>
            <w:szCs w:val="24"/>
            <w:shd w:val="clear" w:color="auto" w:fill="FFFFFF"/>
          </w:rPr>
          <w:t>https://doi.org/10.1016/j.biortech.2022.127085</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Shohe</w:t>
      </w:r>
      <w:proofErr w:type="spellEnd"/>
      <w:r w:rsidRPr="00B16BEA">
        <w:rPr>
          <w:rFonts w:ascii="Times New Roman" w:hAnsi="Times New Roman" w:cs="Times New Roman"/>
          <w:color w:val="222222"/>
          <w:sz w:val="24"/>
          <w:szCs w:val="24"/>
          <w:shd w:val="clear" w:color="auto" w:fill="FFFFFF"/>
        </w:rPr>
        <w:t xml:space="preserve">, A. A. T., Hazarika, C., Borah, A., </w:t>
      </w:r>
      <w:proofErr w:type="spellStart"/>
      <w:r w:rsidRPr="00B16BEA">
        <w:rPr>
          <w:rFonts w:ascii="Times New Roman" w:hAnsi="Times New Roman" w:cs="Times New Roman"/>
          <w:color w:val="222222"/>
          <w:sz w:val="24"/>
          <w:szCs w:val="24"/>
          <w:shd w:val="clear" w:color="auto" w:fill="FFFFFF"/>
        </w:rPr>
        <w:t>Chiphang</w:t>
      </w:r>
      <w:proofErr w:type="spellEnd"/>
      <w:r w:rsidRPr="00B16BEA">
        <w:rPr>
          <w:rFonts w:ascii="Times New Roman" w:hAnsi="Times New Roman" w:cs="Times New Roman"/>
          <w:color w:val="222222"/>
          <w:sz w:val="24"/>
          <w:szCs w:val="24"/>
          <w:shd w:val="clear" w:color="auto" w:fill="FFFFFF"/>
        </w:rPr>
        <w:t xml:space="preserve">, S., &amp; Singh, S. P. (2025). Economics and constraint analysis of pineapple cultivation in Assam. </w:t>
      </w:r>
      <w:r w:rsidRPr="00B16BEA">
        <w:rPr>
          <w:rFonts w:ascii="Times New Roman" w:hAnsi="Times New Roman" w:cs="Times New Roman"/>
          <w:i/>
          <w:iCs/>
          <w:color w:val="222222"/>
          <w:sz w:val="24"/>
          <w:szCs w:val="24"/>
          <w:shd w:val="clear" w:color="auto" w:fill="FFFFFF"/>
        </w:rPr>
        <w:t>Agricultural Science Digest – A Research Journal</w:t>
      </w:r>
      <w:r w:rsidRPr="00B16BEA">
        <w:rPr>
          <w:rFonts w:ascii="Times New Roman" w:hAnsi="Times New Roman" w:cs="Times New Roman"/>
          <w:color w:val="222222"/>
          <w:sz w:val="24"/>
          <w:szCs w:val="24"/>
          <w:shd w:val="clear" w:color="auto" w:fill="FFFFFF"/>
        </w:rPr>
        <w:t xml:space="preserve">. Advance online publication. </w:t>
      </w:r>
      <w:hyperlink r:id="rId39" w:history="1">
        <w:r w:rsidRPr="00B16BEA">
          <w:rPr>
            <w:rStyle w:val="Hyperlink"/>
            <w:rFonts w:ascii="Times New Roman" w:hAnsi="Times New Roman" w:cs="Times New Roman"/>
            <w:sz w:val="24"/>
            <w:szCs w:val="24"/>
            <w:shd w:val="clear" w:color="auto" w:fill="FFFFFF"/>
          </w:rPr>
          <w:t>https://doi.org/10.18805/ag.D-6221</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Sodjinou</w:t>
      </w:r>
      <w:proofErr w:type="spellEnd"/>
      <w:r w:rsidRPr="00B16BEA">
        <w:rPr>
          <w:rFonts w:ascii="Times New Roman" w:hAnsi="Times New Roman" w:cs="Times New Roman"/>
          <w:color w:val="222222"/>
          <w:sz w:val="24"/>
          <w:szCs w:val="24"/>
          <w:shd w:val="clear" w:color="auto" w:fill="FFFFFF"/>
        </w:rPr>
        <w:t xml:space="preserve">, M. K., </w:t>
      </w:r>
      <w:proofErr w:type="spellStart"/>
      <w:r w:rsidRPr="00B16BEA">
        <w:rPr>
          <w:rFonts w:ascii="Times New Roman" w:hAnsi="Times New Roman" w:cs="Times New Roman"/>
          <w:color w:val="222222"/>
          <w:sz w:val="24"/>
          <w:szCs w:val="24"/>
          <w:shd w:val="clear" w:color="auto" w:fill="FFFFFF"/>
        </w:rPr>
        <w:t>Assouma-Imorou</w:t>
      </w:r>
      <w:proofErr w:type="spellEnd"/>
      <w:r w:rsidRPr="00B16BEA">
        <w:rPr>
          <w:rFonts w:ascii="Times New Roman" w:hAnsi="Times New Roman" w:cs="Times New Roman"/>
          <w:color w:val="222222"/>
          <w:sz w:val="24"/>
          <w:szCs w:val="24"/>
          <w:shd w:val="clear" w:color="auto" w:fill="FFFFFF"/>
        </w:rPr>
        <w:t xml:space="preserve">, A., &amp; </w:t>
      </w:r>
      <w:proofErr w:type="spellStart"/>
      <w:r w:rsidRPr="00B16BEA">
        <w:rPr>
          <w:rFonts w:ascii="Times New Roman" w:hAnsi="Times New Roman" w:cs="Times New Roman"/>
          <w:color w:val="222222"/>
          <w:sz w:val="24"/>
          <w:szCs w:val="24"/>
          <w:shd w:val="clear" w:color="auto" w:fill="FFFFFF"/>
        </w:rPr>
        <w:t>Olounlade</w:t>
      </w:r>
      <w:proofErr w:type="spellEnd"/>
      <w:r w:rsidRPr="00B16BEA">
        <w:rPr>
          <w:rFonts w:ascii="Times New Roman" w:hAnsi="Times New Roman" w:cs="Times New Roman"/>
          <w:color w:val="222222"/>
          <w:sz w:val="24"/>
          <w:szCs w:val="24"/>
          <w:shd w:val="clear" w:color="auto" w:fill="FFFFFF"/>
        </w:rPr>
        <w:t>, A. O. (2022). Technical efficiency of pineapple production and challenges in Southern Benin. </w:t>
      </w:r>
      <w:r w:rsidRPr="00B16BEA">
        <w:rPr>
          <w:rFonts w:ascii="Times New Roman" w:hAnsi="Times New Roman" w:cs="Times New Roman"/>
          <w:i/>
          <w:iCs/>
          <w:color w:val="222222"/>
          <w:sz w:val="24"/>
          <w:szCs w:val="24"/>
          <w:shd w:val="clear" w:color="auto" w:fill="FFFFFF"/>
        </w:rPr>
        <w:t>Afr. J. Agric. Res</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18</w:t>
      </w:r>
      <w:r w:rsidRPr="00B16BEA">
        <w:rPr>
          <w:rFonts w:ascii="Times New Roman" w:hAnsi="Times New Roman" w:cs="Times New Roman"/>
          <w:color w:val="222222"/>
          <w:sz w:val="24"/>
          <w:szCs w:val="24"/>
          <w:shd w:val="clear" w:color="auto" w:fill="FFFFFF"/>
        </w:rPr>
        <w:t xml:space="preserve">, 522-534. </w:t>
      </w:r>
      <w:hyperlink r:id="rId40" w:history="1">
        <w:r w:rsidRPr="00B16BEA">
          <w:rPr>
            <w:rStyle w:val="Hyperlink"/>
            <w:rFonts w:ascii="Times New Roman" w:hAnsi="Times New Roman" w:cs="Times New Roman"/>
            <w:sz w:val="24"/>
            <w:szCs w:val="24"/>
            <w:shd w:val="clear" w:color="auto" w:fill="FFFFFF"/>
          </w:rPr>
          <w:t>https://doi.org/10.5897/ajar2021.15677</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Torres-Avila, A., Aguilar-Ávila, J., Santoyo-Cortés, V. H., Martínez-González, E. G., &amp; Aguilar-Gallegos, N. (2022). Innovation in the pineapple value chain in Mexico: Explaining the global adoption process of the MD-2 hybrid. </w:t>
      </w:r>
      <w:r w:rsidRPr="00B16BEA">
        <w:rPr>
          <w:rFonts w:ascii="Times New Roman" w:hAnsi="Times New Roman" w:cs="Times New Roman"/>
          <w:i/>
          <w:iCs/>
          <w:color w:val="222222"/>
          <w:sz w:val="24"/>
          <w:szCs w:val="24"/>
          <w:shd w:val="clear" w:color="auto" w:fill="FFFFFF"/>
        </w:rPr>
        <w:t>Agricultural Systems</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198</w:t>
      </w:r>
      <w:r w:rsidRPr="00B16BEA">
        <w:rPr>
          <w:rFonts w:ascii="Times New Roman" w:hAnsi="Times New Roman" w:cs="Times New Roman"/>
          <w:color w:val="222222"/>
          <w:sz w:val="24"/>
          <w:szCs w:val="24"/>
          <w:shd w:val="clear" w:color="auto" w:fill="FFFFFF"/>
        </w:rPr>
        <w:t xml:space="preserve">, 103386. </w:t>
      </w:r>
      <w:hyperlink r:id="rId41" w:history="1">
        <w:r w:rsidRPr="00B16BEA">
          <w:rPr>
            <w:rStyle w:val="Hyperlink"/>
            <w:rFonts w:ascii="Times New Roman" w:hAnsi="Times New Roman" w:cs="Times New Roman"/>
            <w:sz w:val="24"/>
            <w:szCs w:val="24"/>
            <w:shd w:val="clear" w:color="auto" w:fill="FFFFFF"/>
          </w:rPr>
          <w:t>https://doi.org/10.1016/j.agsy.2022.103386</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r w:rsidRPr="00B16BEA">
        <w:rPr>
          <w:rFonts w:ascii="Times New Roman" w:hAnsi="Times New Roman" w:cs="Times New Roman"/>
          <w:color w:val="222222"/>
          <w:sz w:val="24"/>
          <w:szCs w:val="24"/>
          <w:shd w:val="clear" w:color="auto" w:fill="FFFFFF"/>
        </w:rPr>
        <w:t>Uddin, M. T., Roy, S. S., &amp; Dhar, A. R. (2022). Financial profitability and value chain analysis of pineapple in Tangail, Bangladesh. </w:t>
      </w:r>
      <w:r w:rsidRPr="00B16BEA">
        <w:rPr>
          <w:rFonts w:ascii="Times New Roman" w:hAnsi="Times New Roman" w:cs="Times New Roman"/>
          <w:i/>
          <w:iCs/>
          <w:color w:val="222222"/>
          <w:sz w:val="24"/>
          <w:szCs w:val="24"/>
          <w:shd w:val="clear" w:color="auto" w:fill="FFFFFF"/>
        </w:rPr>
        <w:t>World Food Policy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8</w:t>
      </w:r>
      <w:r w:rsidRPr="00B16BEA">
        <w:rPr>
          <w:rFonts w:ascii="Times New Roman" w:hAnsi="Times New Roman" w:cs="Times New Roman"/>
          <w:color w:val="222222"/>
          <w:sz w:val="24"/>
          <w:szCs w:val="24"/>
          <w:shd w:val="clear" w:color="auto" w:fill="FFFFFF"/>
        </w:rPr>
        <w:t xml:space="preserve">(1), 126-143. </w:t>
      </w:r>
      <w:hyperlink r:id="rId42" w:history="1">
        <w:r w:rsidRPr="00B16BEA">
          <w:rPr>
            <w:rStyle w:val="Hyperlink"/>
            <w:rFonts w:ascii="Times New Roman" w:hAnsi="Times New Roman" w:cs="Times New Roman"/>
            <w:sz w:val="24"/>
            <w:szCs w:val="24"/>
            <w:shd w:val="clear" w:color="auto" w:fill="FFFFFF"/>
          </w:rPr>
          <w:t>https://doi.org/10.1002/wfp2.12039</w:t>
        </w:r>
      </w:hyperlink>
      <w:r w:rsidRPr="00B16BEA">
        <w:rPr>
          <w:rFonts w:ascii="Times New Roman" w:hAnsi="Times New Roman" w:cs="Times New Roman"/>
          <w:color w:val="222222"/>
          <w:sz w:val="24"/>
          <w:szCs w:val="24"/>
          <w:shd w:val="clear" w:color="auto" w:fill="FFFFFF"/>
        </w:rPr>
        <w:t xml:space="preserve"> </w:t>
      </w:r>
    </w:p>
    <w:p w:rsidR="00B16BEA" w:rsidRPr="00B16BEA" w:rsidRDefault="00B16BEA" w:rsidP="00B16BEA">
      <w:pPr>
        <w:rPr>
          <w:rFonts w:ascii="Times New Roman" w:hAnsi="Times New Roman" w:cs="Times New Roman"/>
          <w:color w:val="222222"/>
          <w:sz w:val="24"/>
          <w:szCs w:val="24"/>
          <w:shd w:val="clear" w:color="auto" w:fill="FFFFFF"/>
        </w:rPr>
      </w:pPr>
      <w:proofErr w:type="spellStart"/>
      <w:r w:rsidRPr="00B16BEA">
        <w:rPr>
          <w:rFonts w:ascii="Times New Roman" w:hAnsi="Times New Roman" w:cs="Times New Roman"/>
          <w:color w:val="222222"/>
          <w:sz w:val="24"/>
          <w:szCs w:val="24"/>
          <w:shd w:val="clear" w:color="auto" w:fill="FFFFFF"/>
        </w:rPr>
        <w:t>Vagneron</w:t>
      </w:r>
      <w:proofErr w:type="spellEnd"/>
      <w:r w:rsidRPr="00B16BEA">
        <w:rPr>
          <w:rFonts w:ascii="Times New Roman" w:hAnsi="Times New Roman" w:cs="Times New Roman"/>
          <w:color w:val="222222"/>
          <w:sz w:val="24"/>
          <w:szCs w:val="24"/>
          <w:shd w:val="clear" w:color="auto" w:fill="FFFFFF"/>
        </w:rPr>
        <w:t xml:space="preserve">, I., Faure, G., &amp; </w:t>
      </w:r>
      <w:proofErr w:type="spellStart"/>
      <w:r w:rsidRPr="00B16BEA">
        <w:rPr>
          <w:rFonts w:ascii="Times New Roman" w:hAnsi="Times New Roman" w:cs="Times New Roman"/>
          <w:color w:val="222222"/>
          <w:sz w:val="24"/>
          <w:szCs w:val="24"/>
          <w:shd w:val="clear" w:color="auto" w:fill="FFFFFF"/>
        </w:rPr>
        <w:t>Loeillet</w:t>
      </w:r>
      <w:proofErr w:type="spellEnd"/>
      <w:r w:rsidRPr="00B16BEA">
        <w:rPr>
          <w:rFonts w:ascii="Times New Roman" w:hAnsi="Times New Roman" w:cs="Times New Roman"/>
          <w:color w:val="222222"/>
          <w:sz w:val="24"/>
          <w:szCs w:val="24"/>
          <w:shd w:val="clear" w:color="auto" w:fill="FFFFFF"/>
        </w:rPr>
        <w:t>, D. (2009). Is there a pilot in the chain? Identifying the key drivers of change in the fresh pineapple sector. </w:t>
      </w:r>
      <w:r w:rsidRPr="00B16BEA">
        <w:rPr>
          <w:rFonts w:ascii="Times New Roman" w:hAnsi="Times New Roman" w:cs="Times New Roman"/>
          <w:i/>
          <w:iCs/>
          <w:color w:val="222222"/>
          <w:sz w:val="24"/>
          <w:szCs w:val="24"/>
          <w:shd w:val="clear" w:color="auto" w:fill="FFFFFF"/>
        </w:rPr>
        <w:t>Food policy</w:t>
      </w:r>
      <w:r w:rsidRPr="00B16BEA">
        <w:rPr>
          <w:rFonts w:ascii="Times New Roman" w:hAnsi="Times New Roman" w:cs="Times New Roman"/>
          <w:color w:val="222222"/>
          <w:sz w:val="24"/>
          <w:szCs w:val="24"/>
          <w:shd w:val="clear" w:color="auto" w:fill="FFFFFF"/>
        </w:rPr>
        <w:t>, </w:t>
      </w:r>
      <w:r w:rsidRPr="00B16BEA">
        <w:rPr>
          <w:rFonts w:ascii="Times New Roman" w:hAnsi="Times New Roman" w:cs="Times New Roman"/>
          <w:i/>
          <w:iCs/>
          <w:color w:val="222222"/>
          <w:sz w:val="24"/>
          <w:szCs w:val="24"/>
          <w:shd w:val="clear" w:color="auto" w:fill="FFFFFF"/>
        </w:rPr>
        <w:t>34</w:t>
      </w:r>
      <w:r w:rsidRPr="00B16BEA">
        <w:rPr>
          <w:rFonts w:ascii="Times New Roman" w:hAnsi="Times New Roman" w:cs="Times New Roman"/>
          <w:color w:val="222222"/>
          <w:sz w:val="24"/>
          <w:szCs w:val="24"/>
          <w:shd w:val="clear" w:color="auto" w:fill="FFFFFF"/>
        </w:rPr>
        <w:t xml:space="preserve">(5), 437-446. </w:t>
      </w:r>
      <w:hyperlink r:id="rId43" w:history="1">
        <w:r w:rsidRPr="00B16BEA">
          <w:rPr>
            <w:rStyle w:val="Hyperlink"/>
            <w:rFonts w:ascii="Times New Roman" w:hAnsi="Times New Roman" w:cs="Times New Roman"/>
            <w:sz w:val="24"/>
            <w:szCs w:val="24"/>
            <w:shd w:val="clear" w:color="auto" w:fill="FFFFFF"/>
          </w:rPr>
          <w:t>https://doi.org/10.1016/j.foodpol.2009.05.001</w:t>
        </w:r>
      </w:hyperlink>
      <w:r w:rsidRPr="00B16BEA">
        <w:rPr>
          <w:rFonts w:ascii="Times New Roman" w:hAnsi="Times New Roman" w:cs="Times New Roman"/>
          <w:color w:val="222222"/>
          <w:sz w:val="24"/>
          <w:szCs w:val="24"/>
          <w:shd w:val="clear" w:color="auto" w:fill="FFFFFF"/>
        </w:rPr>
        <w:t xml:space="preserve"> </w:t>
      </w:r>
    </w:p>
    <w:p w:rsidR="005B02AF" w:rsidRPr="00B16BEA" w:rsidRDefault="005B02AF" w:rsidP="005B02AF">
      <w:pPr>
        <w:pStyle w:val="NormalWeb"/>
        <w:rPr>
          <w:lang w:val="en-GB"/>
        </w:rPr>
      </w:pPr>
    </w:p>
    <w:sectPr w:rsidR="005B02AF" w:rsidRPr="00B16BEA"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776" w:rsidRDefault="00554776" w:rsidP="00D87049">
      <w:pPr>
        <w:spacing w:after="0" w:line="240" w:lineRule="auto"/>
      </w:pPr>
      <w:r>
        <w:separator/>
      </w:r>
    </w:p>
  </w:endnote>
  <w:endnote w:type="continuationSeparator" w:id="0">
    <w:p w:rsidR="00554776" w:rsidRDefault="00554776" w:rsidP="00D8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776" w:rsidRDefault="00554776" w:rsidP="00D87049">
      <w:pPr>
        <w:spacing w:after="0" w:line="240" w:lineRule="auto"/>
      </w:pPr>
      <w:r>
        <w:separator/>
      </w:r>
    </w:p>
  </w:footnote>
  <w:footnote w:type="continuationSeparator" w:id="0">
    <w:p w:rsidR="00554776" w:rsidRDefault="00554776" w:rsidP="00D8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49" w:rsidRDefault="00D870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1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50CE1"/>
    <w:multiLevelType w:val="multilevel"/>
    <w:tmpl w:val="985C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F5C32"/>
    <w:multiLevelType w:val="multilevel"/>
    <w:tmpl w:val="49CC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9"/>
  </w:num>
  <w:num w:numId="4">
    <w:abstractNumId w:val="21"/>
  </w:num>
  <w:num w:numId="5">
    <w:abstractNumId w:val="17"/>
  </w:num>
  <w:num w:numId="6">
    <w:abstractNumId w:val="1"/>
  </w:num>
  <w:num w:numId="7">
    <w:abstractNumId w:val="18"/>
  </w:num>
  <w:num w:numId="8">
    <w:abstractNumId w:val="5"/>
  </w:num>
  <w:num w:numId="9">
    <w:abstractNumId w:val="3"/>
  </w:num>
  <w:num w:numId="10">
    <w:abstractNumId w:val="11"/>
  </w:num>
  <w:num w:numId="11">
    <w:abstractNumId w:val="2"/>
  </w:num>
  <w:num w:numId="12">
    <w:abstractNumId w:val="13"/>
  </w:num>
  <w:num w:numId="13">
    <w:abstractNumId w:val="4"/>
  </w:num>
  <w:num w:numId="14">
    <w:abstractNumId w:val="16"/>
  </w:num>
  <w:num w:numId="15">
    <w:abstractNumId w:val="0"/>
  </w:num>
  <w:num w:numId="16">
    <w:abstractNumId w:val="8"/>
  </w:num>
  <w:num w:numId="17">
    <w:abstractNumId w:val="9"/>
  </w:num>
  <w:num w:numId="18">
    <w:abstractNumId w:val="12"/>
  </w:num>
  <w:num w:numId="19">
    <w:abstractNumId w:val="10"/>
  </w:num>
  <w:num w:numId="20">
    <w:abstractNumId w:val="15"/>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43E7"/>
    <w:rsid w:val="000A0EB4"/>
    <w:rsid w:val="000C4F0E"/>
    <w:rsid w:val="000F27AA"/>
    <w:rsid w:val="001261CC"/>
    <w:rsid w:val="00126ADF"/>
    <w:rsid w:val="00131E50"/>
    <w:rsid w:val="00135191"/>
    <w:rsid w:val="00142919"/>
    <w:rsid w:val="001560E3"/>
    <w:rsid w:val="00186E2A"/>
    <w:rsid w:val="001A3703"/>
    <w:rsid w:val="001C37E3"/>
    <w:rsid w:val="0022042D"/>
    <w:rsid w:val="0024324D"/>
    <w:rsid w:val="00272783"/>
    <w:rsid w:val="00284F1F"/>
    <w:rsid w:val="002A5644"/>
    <w:rsid w:val="002B76E6"/>
    <w:rsid w:val="00307595"/>
    <w:rsid w:val="0031286E"/>
    <w:rsid w:val="003664CE"/>
    <w:rsid w:val="003975AE"/>
    <w:rsid w:val="003A104D"/>
    <w:rsid w:val="003A4787"/>
    <w:rsid w:val="003B3553"/>
    <w:rsid w:val="003B400E"/>
    <w:rsid w:val="003B6CCD"/>
    <w:rsid w:val="00405181"/>
    <w:rsid w:val="004148F5"/>
    <w:rsid w:val="00416C8C"/>
    <w:rsid w:val="00456E20"/>
    <w:rsid w:val="004A5427"/>
    <w:rsid w:val="004B540C"/>
    <w:rsid w:val="004E16AC"/>
    <w:rsid w:val="004E7311"/>
    <w:rsid w:val="004F3435"/>
    <w:rsid w:val="0054487D"/>
    <w:rsid w:val="005506DE"/>
    <w:rsid w:val="00554776"/>
    <w:rsid w:val="0056389E"/>
    <w:rsid w:val="00564FB4"/>
    <w:rsid w:val="00571246"/>
    <w:rsid w:val="005B02AF"/>
    <w:rsid w:val="00622C65"/>
    <w:rsid w:val="00626F6E"/>
    <w:rsid w:val="00632906"/>
    <w:rsid w:val="00661483"/>
    <w:rsid w:val="006618F5"/>
    <w:rsid w:val="0067685B"/>
    <w:rsid w:val="00692471"/>
    <w:rsid w:val="00695D59"/>
    <w:rsid w:val="006A39B3"/>
    <w:rsid w:val="006D455D"/>
    <w:rsid w:val="006E48ED"/>
    <w:rsid w:val="006E4B0A"/>
    <w:rsid w:val="00711B14"/>
    <w:rsid w:val="00720104"/>
    <w:rsid w:val="00720F41"/>
    <w:rsid w:val="00761CB6"/>
    <w:rsid w:val="0078275D"/>
    <w:rsid w:val="007C7951"/>
    <w:rsid w:val="007D03BC"/>
    <w:rsid w:val="007E249F"/>
    <w:rsid w:val="007E6129"/>
    <w:rsid w:val="008107F6"/>
    <w:rsid w:val="00812006"/>
    <w:rsid w:val="008374C4"/>
    <w:rsid w:val="00856AFD"/>
    <w:rsid w:val="008811F8"/>
    <w:rsid w:val="008A4BFC"/>
    <w:rsid w:val="008F3850"/>
    <w:rsid w:val="009325D9"/>
    <w:rsid w:val="0094659E"/>
    <w:rsid w:val="00951A3D"/>
    <w:rsid w:val="00992B92"/>
    <w:rsid w:val="00994A4A"/>
    <w:rsid w:val="009B55DE"/>
    <w:rsid w:val="009D5BA5"/>
    <w:rsid w:val="009F0120"/>
    <w:rsid w:val="00A029C3"/>
    <w:rsid w:val="00A2270F"/>
    <w:rsid w:val="00A478B2"/>
    <w:rsid w:val="00A50845"/>
    <w:rsid w:val="00A5299F"/>
    <w:rsid w:val="00A54719"/>
    <w:rsid w:val="00A57A87"/>
    <w:rsid w:val="00A7055A"/>
    <w:rsid w:val="00AE651D"/>
    <w:rsid w:val="00B1065D"/>
    <w:rsid w:val="00B16BEA"/>
    <w:rsid w:val="00B451DB"/>
    <w:rsid w:val="00B84C19"/>
    <w:rsid w:val="00BA767B"/>
    <w:rsid w:val="00BC43AE"/>
    <w:rsid w:val="00BD22E5"/>
    <w:rsid w:val="00BF0896"/>
    <w:rsid w:val="00BF26BF"/>
    <w:rsid w:val="00C13468"/>
    <w:rsid w:val="00C404E0"/>
    <w:rsid w:val="00C448F5"/>
    <w:rsid w:val="00C6694F"/>
    <w:rsid w:val="00C93A8A"/>
    <w:rsid w:val="00CB6EB6"/>
    <w:rsid w:val="00CE0C42"/>
    <w:rsid w:val="00D75C9D"/>
    <w:rsid w:val="00D87049"/>
    <w:rsid w:val="00DF20BB"/>
    <w:rsid w:val="00DF5AB4"/>
    <w:rsid w:val="00E05FB3"/>
    <w:rsid w:val="00E125DA"/>
    <w:rsid w:val="00E643E8"/>
    <w:rsid w:val="00E7044C"/>
    <w:rsid w:val="00E72DB2"/>
    <w:rsid w:val="00EE2E7D"/>
    <w:rsid w:val="00F13040"/>
    <w:rsid w:val="00F54E90"/>
    <w:rsid w:val="00F6047F"/>
    <w:rsid w:val="00F754E8"/>
    <w:rsid w:val="00FA03AB"/>
    <w:rsid w:val="00FB6475"/>
    <w:rsid w:val="00FF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F5603B7-6DE8-4667-A94A-26F059D4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paragraph" w:styleId="Header">
    <w:name w:val="header"/>
    <w:basedOn w:val="Normal"/>
    <w:link w:val="HeaderChar"/>
    <w:uiPriority w:val="99"/>
    <w:unhideWhenUsed/>
    <w:rsid w:val="00D8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49"/>
  </w:style>
  <w:style w:type="paragraph" w:styleId="Footer">
    <w:name w:val="footer"/>
    <w:basedOn w:val="Normal"/>
    <w:link w:val="FooterChar"/>
    <w:uiPriority w:val="99"/>
    <w:unhideWhenUsed/>
    <w:rsid w:val="00D8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44193698">
      <w:bodyDiv w:val="1"/>
      <w:marLeft w:val="0"/>
      <w:marRight w:val="0"/>
      <w:marTop w:val="0"/>
      <w:marBottom w:val="0"/>
      <w:divBdr>
        <w:top w:val="none" w:sz="0" w:space="0" w:color="auto"/>
        <w:left w:val="none" w:sz="0" w:space="0" w:color="auto"/>
        <w:bottom w:val="none" w:sz="0" w:space="0" w:color="auto"/>
        <w:right w:val="none" w:sz="0" w:space="0" w:color="auto"/>
      </w:divBdr>
      <w:divsChild>
        <w:div w:id="765536025">
          <w:marLeft w:val="0"/>
          <w:marRight w:val="0"/>
          <w:marTop w:val="0"/>
          <w:marBottom w:val="0"/>
          <w:divBdr>
            <w:top w:val="none" w:sz="0" w:space="0" w:color="auto"/>
            <w:left w:val="none" w:sz="0" w:space="0" w:color="auto"/>
            <w:bottom w:val="none" w:sz="0" w:space="0" w:color="auto"/>
            <w:right w:val="none" w:sz="0" w:space="0" w:color="auto"/>
          </w:divBdr>
          <w:divsChild>
            <w:div w:id="2030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90310319">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63839558">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734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3526597">
      <w:bodyDiv w:val="1"/>
      <w:marLeft w:val="0"/>
      <w:marRight w:val="0"/>
      <w:marTop w:val="0"/>
      <w:marBottom w:val="0"/>
      <w:divBdr>
        <w:top w:val="none" w:sz="0" w:space="0" w:color="auto"/>
        <w:left w:val="none" w:sz="0" w:space="0" w:color="auto"/>
        <w:bottom w:val="none" w:sz="0" w:space="0" w:color="auto"/>
        <w:right w:val="none" w:sz="0" w:space="0" w:color="auto"/>
      </w:divBdr>
      <w:divsChild>
        <w:div w:id="1341348555">
          <w:marLeft w:val="0"/>
          <w:marRight w:val="0"/>
          <w:marTop w:val="0"/>
          <w:marBottom w:val="0"/>
          <w:divBdr>
            <w:top w:val="none" w:sz="0" w:space="0" w:color="auto"/>
            <w:left w:val="none" w:sz="0" w:space="0" w:color="auto"/>
            <w:bottom w:val="none" w:sz="0" w:space="0" w:color="auto"/>
            <w:right w:val="none" w:sz="0" w:space="0" w:color="auto"/>
          </w:divBdr>
          <w:divsChild>
            <w:div w:id="1332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07530711">
      <w:bodyDiv w:val="1"/>
      <w:marLeft w:val="0"/>
      <w:marRight w:val="0"/>
      <w:marTop w:val="0"/>
      <w:marBottom w:val="0"/>
      <w:divBdr>
        <w:top w:val="none" w:sz="0" w:space="0" w:color="auto"/>
        <w:left w:val="none" w:sz="0" w:space="0" w:color="auto"/>
        <w:bottom w:val="none" w:sz="0" w:space="0" w:color="auto"/>
        <w:right w:val="none" w:sz="0" w:space="0" w:color="auto"/>
      </w:divBdr>
      <w:divsChild>
        <w:div w:id="1631547282">
          <w:marLeft w:val="0"/>
          <w:marRight w:val="0"/>
          <w:marTop w:val="0"/>
          <w:marBottom w:val="0"/>
          <w:divBdr>
            <w:top w:val="none" w:sz="0" w:space="0" w:color="auto"/>
            <w:left w:val="none" w:sz="0" w:space="0" w:color="auto"/>
            <w:bottom w:val="none" w:sz="0" w:space="0" w:color="auto"/>
            <w:right w:val="none" w:sz="0" w:space="0" w:color="auto"/>
          </w:divBdr>
          <w:divsChild>
            <w:div w:id="1511333422">
              <w:marLeft w:val="0"/>
              <w:marRight w:val="0"/>
              <w:marTop w:val="0"/>
              <w:marBottom w:val="0"/>
              <w:divBdr>
                <w:top w:val="none" w:sz="0" w:space="0" w:color="auto"/>
                <w:left w:val="none" w:sz="0" w:space="0" w:color="auto"/>
                <w:bottom w:val="none" w:sz="0" w:space="0" w:color="auto"/>
                <w:right w:val="none" w:sz="0" w:space="0" w:color="auto"/>
              </w:divBdr>
              <w:divsChild>
                <w:div w:id="129834025">
                  <w:marLeft w:val="0"/>
                  <w:marRight w:val="0"/>
                  <w:marTop w:val="0"/>
                  <w:marBottom w:val="0"/>
                  <w:divBdr>
                    <w:top w:val="none" w:sz="0" w:space="0" w:color="auto"/>
                    <w:left w:val="none" w:sz="0" w:space="0" w:color="auto"/>
                    <w:bottom w:val="none" w:sz="0" w:space="0" w:color="auto"/>
                    <w:right w:val="none" w:sz="0" w:space="0" w:color="auto"/>
                  </w:divBdr>
                  <w:divsChild>
                    <w:div w:id="1785270106">
                      <w:marLeft w:val="0"/>
                      <w:marRight w:val="0"/>
                      <w:marTop w:val="0"/>
                      <w:marBottom w:val="0"/>
                      <w:divBdr>
                        <w:top w:val="none" w:sz="0" w:space="0" w:color="auto"/>
                        <w:left w:val="none" w:sz="0" w:space="0" w:color="auto"/>
                        <w:bottom w:val="none" w:sz="0" w:space="0" w:color="auto"/>
                        <w:right w:val="none" w:sz="0" w:space="0" w:color="auto"/>
                      </w:divBdr>
                      <w:divsChild>
                        <w:div w:id="1356542462">
                          <w:marLeft w:val="0"/>
                          <w:marRight w:val="0"/>
                          <w:marTop w:val="0"/>
                          <w:marBottom w:val="0"/>
                          <w:divBdr>
                            <w:top w:val="none" w:sz="0" w:space="0" w:color="auto"/>
                            <w:left w:val="none" w:sz="0" w:space="0" w:color="auto"/>
                            <w:bottom w:val="none" w:sz="0" w:space="0" w:color="auto"/>
                            <w:right w:val="none" w:sz="0" w:space="0" w:color="auto"/>
                          </w:divBdr>
                          <w:divsChild>
                            <w:div w:id="2132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039">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53775940">
      <w:bodyDiv w:val="1"/>
      <w:marLeft w:val="0"/>
      <w:marRight w:val="0"/>
      <w:marTop w:val="0"/>
      <w:marBottom w:val="0"/>
      <w:divBdr>
        <w:top w:val="none" w:sz="0" w:space="0" w:color="auto"/>
        <w:left w:val="none" w:sz="0" w:space="0" w:color="auto"/>
        <w:bottom w:val="none" w:sz="0" w:space="0" w:color="auto"/>
        <w:right w:val="none" w:sz="0" w:space="0" w:color="auto"/>
      </w:divBdr>
      <w:divsChild>
        <w:div w:id="1416631921">
          <w:marLeft w:val="0"/>
          <w:marRight w:val="0"/>
          <w:marTop w:val="0"/>
          <w:marBottom w:val="0"/>
          <w:divBdr>
            <w:top w:val="none" w:sz="0" w:space="0" w:color="auto"/>
            <w:left w:val="none" w:sz="0" w:space="0" w:color="auto"/>
            <w:bottom w:val="none" w:sz="0" w:space="0" w:color="auto"/>
            <w:right w:val="none" w:sz="0" w:space="0" w:color="auto"/>
          </w:divBdr>
          <w:divsChild>
            <w:div w:id="7251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27434348">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2594">
      <w:bodyDiv w:val="1"/>
      <w:marLeft w:val="0"/>
      <w:marRight w:val="0"/>
      <w:marTop w:val="0"/>
      <w:marBottom w:val="0"/>
      <w:divBdr>
        <w:top w:val="none" w:sz="0" w:space="0" w:color="auto"/>
        <w:left w:val="none" w:sz="0" w:space="0" w:color="auto"/>
        <w:bottom w:val="none" w:sz="0" w:space="0" w:color="auto"/>
        <w:right w:val="none" w:sz="0" w:space="0" w:color="auto"/>
      </w:divBdr>
    </w:div>
    <w:div w:id="1887908855">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956/rwae.v6i2.1641" TargetMode="External"/><Relationship Id="rId18" Type="http://schemas.openxmlformats.org/officeDocument/2006/relationships/hyperlink" Target="https://doi.org/10.1007/s13399-023-04801-w" TargetMode="External"/><Relationship Id="rId26" Type="http://schemas.openxmlformats.org/officeDocument/2006/relationships/hyperlink" Target="https://doi.org/10.3329/aba.v28i1.74259" TargetMode="External"/><Relationship Id="rId39" Type="http://schemas.openxmlformats.org/officeDocument/2006/relationships/hyperlink" Target="https://doi.org/10.18805/ag.D-6221" TargetMode="External"/><Relationship Id="rId21" Type="http://schemas.openxmlformats.org/officeDocument/2006/relationships/hyperlink" Target="https://doi.org/10.1080/09692290500049805" TargetMode="External"/><Relationship Id="rId34" Type="http://schemas.openxmlformats.org/officeDocument/2006/relationships/hyperlink" Target="https://doi.org/10.1080/19397038.2024.2430514" TargetMode="External"/><Relationship Id="rId42" Type="http://schemas.openxmlformats.org/officeDocument/2006/relationships/hyperlink" Target="https://doi.org/10.1002/wfp2.1203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6832/24566632.2023.0803018" TargetMode="External"/><Relationship Id="rId29" Type="http://schemas.openxmlformats.org/officeDocument/2006/relationships/hyperlink" Target="https://doi.org/10.1016/j.jclepro.2012.05.035" TargetMode="External"/><Relationship Id="rId11" Type="http://schemas.openxmlformats.org/officeDocument/2006/relationships/hyperlink" Target="https://doi.org/10.1080/03031853.2024.2374730" TargetMode="External"/><Relationship Id="rId24" Type="http://schemas.openxmlformats.org/officeDocument/2006/relationships/hyperlink" Target="https://doi.org/10.3389/fsufs.2023.1130895" TargetMode="External"/><Relationship Id="rId32" Type="http://schemas.openxmlformats.org/officeDocument/2006/relationships/hyperlink" Target="https://doi.org/10.1016/j.heliyon.2024.e39209" TargetMode="External"/><Relationship Id="rId37" Type="http://schemas.openxmlformats.org/officeDocument/2006/relationships/hyperlink" Target="https://doi.org/10.33679/rfn.v1i1.1983" TargetMode="External"/><Relationship Id="rId40" Type="http://schemas.openxmlformats.org/officeDocument/2006/relationships/hyperlink" Target="https://doi.org/10.5897/ajar2021.15677"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389/fsufs.2024.1383948" TargetMode="External"/><Relationship Id="rId23" Type="http://schemas.openxmlformats.org/officeDocument/2006/relationships/hyperlink" Target="https://doi.org/10.5194/ica-adv-4-9-2023" TargetMode="External"/><Relationship Id="rId28" Type="http://schemas.openxmlformats.org/officeDocument/2006/relationships/hyperlink" Target="https://doi.org/10.18697/ajfand.76.15620" TargetMode="External"/><Relationship Id="rId36" Type="http://schemas.openxmlformats.org/officeDocument/2006/relationships/hyperlink" Target="https://doi.org/10.1057/s41287-017-0112-5" TargetMode="External"/><Relationship Id="rId49" Type="http://schemas.openxmlformats.org/officeDocument/2006/relationships/footer" Target="footer3.xml"/><Relationship Id="rId10" Type="http://schemas.openxmlformats.org/officeDocument/2006/relationships/hyperlink" Target="https://doi.org/10.1016/j.foodres.2020.109675" TargetMode="External"/><Relationship Id="rId19" Type="http://schemas.openxmlformats.org/officeDocument/2006/relationships/hyperlink" Target="https://doi.org/10.1016/j.scitotenv.2012.07.092" TargetMode="External"/><Relationship Id="rId31" Type="http://schemas.openxmlformats.org/officeDocument/2006/relationships/hyperlink" Target="https://doi.org/10.1016/j.worlddev.2021.105398"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923/tae.2023.13.24" TargetMode="External"/><Relationship Id="rId14" Type="http://schemas.openxmlformats.org/officeDocument/2006/relationships/hyperlink" Target="https://doi.org/10.1108/SCM-10-2022-0411" TargetMode="External"/><Relationship Id="rId22" Type="http://schemas.openxmlformats.org/officeDocument/2006/relationships/hyperlink" Target="https://doi.org/10.7176/FSQM/84-01" TargetMode="External"/><Relationship Id="rId27" Type="http://schemas.openxmlformats.org/officeDocument/2006/relationships/hyperlink" Target="https://agrifoodscience.com/index.php/TURJAF/article/view/5891" TargetMode="External"/><Relationship Id="rId30" Type="http://schemas.openxmlformats.org/officeDocument/2006/relationships/hyperlink" Target="https://doi.org/10.3390/biomass5020017" TargetMode="External"/><Relationship Id="rId35" Type="http://schemas.openxmlformats.org/officeDocument/2006/relationships/hyperlink" Target="http://dx.doi.org/10.15666/aeer/1904_27012717" TargetMode="External"/><Relationship Id="rId43" Type="http://schemas.openxmlformats.org/officeDocument/2006/relationships/hyperlink" Target="https://doi.org/10.1016/j.foodpol.2009.05.001" TargetMode="External"/><Relationship Id="rId48" Type="http://schemas.openxmlformats.org/officeDocument/2006/relationships/header" Target="header3.xml"/><Relationship Id="rId8" Type="http://schemas.openxmlformats.org/officeDocument/2006/relationships/hyperlink" Target="https://doi.org/10.1080/15538362.2015.101576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77/0170840620935858" TargetMode="External"/><Relationship Id="rId17" Type="http://schemas.openxmlformats.org/officeDocument/2006/relationships/hyperlink" Target="https://doi.org/10.3390/su13042060" TargetMode="External"/><Relationship Id="rId25" Type="http://schemas.openxmlformats.org/officeDocument/2006/relationships/hyperlink" Target="https://doi.org/10.1590/1806-9479.2022.260595" TargetMode="External"/><Relationship Id="rId33" Type="http://schemas.openxmlformats.org/officeDocument/2006/relationships/hyperlink" Target="https://doi.org/10.9734/AJAEES/2015/15223" TargetMode="External"/><Relationship Id="rId38" Type="http://schemas.openxmlformats.org/officeDocument/2006/relationships/hyperlink" Target="https://doi.org/10.1016/j.biortech.2022.127085" TargetMode="External"/><Relationship Id="rId46" Type="http://schemas.openxmlformats.org/officeDocument/2006/relationships/footer" Target="footer1.xml"/><Relationship Id="rId20" Type="http://schemas.openxmlformats.org/officeDocument/2006/relationships/hyperlink" Target="https://doi.org/10.22004/AG.ECON.183473" TargetMode="External"/><Relationship Id="rId41" Type="http://schemas.openxmlformats.org/officeDocument/2006/relationships/hyperlink" Target="https://doi.org/10.1016/j.agsy.2022.10338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7EDAD-2ECA-42C5-AA95-8966E52C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26</Pages>
  <Words>13237</Words>
  <Characters>75452</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36</cp:revision>
  <cp:lastPrinted>2025-12-06T13:35:00Z</cp:lastPrinted>
  <dcterms:created xsi:type="dcterms:W3CDTF">2025-09-24T12:44:00Z</dcterms:created>
  <dcterms:modified xsi:type="dcterms:W3CDTF">2025-12-13T12:09:00Z</dcterms:modified>
</cp:coreProperties>
</file>