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F8966"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Effect of Organic Amendments on Soil Health in Wetland Rice Growing Soils of Southern Kerala</w:t>
      </w:r>
    </w:p>
    <w:p w14:paraId="35C5E4A8" w14:textId="77777777" w:rsidR="00AE49A2" w:rsidRDefault="00AE49A2">
      <w:pPr>
        <w:spacing w:line="360" w:lineRule="auto"/>
        <w:ind w:firstLine="0"/>
        <w:jc w:val="left"/>
        <w:rPr>
          <w:rFonts w:ascii="Times New Roman" w:eastAsia="Times New Roman" w:hAnsi="Times New Roman" w:cs="Times New Roman"/>
          <w:b/>
          <w:sz w:val="24"/>
          <w:szCs w:val="24"/>
        </w:rPr>
      </w:pPr>
    </w:p>
    <w:p w14:paraId="4493E0B6" w14:textId="010EF47C" w:rsidR="002A4EBF" w:rsidRDefault="00622FED">
      <w:pPr>
        <w:spacing w:line="360" w:lineRule="auto"/>
        <w:ind w:firstLine="0"/>
        <w:jc w:val="lef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Abstract</w:t>
      </w:r>
    </w:p>
    <w:p w14:paraId="78207803"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Enhancing soil biological activity </w:t>
      </w:r>
      <w:r>
        <w:rPr>
          <w:rFonts w:ascii="Times New Roman" w:eastAsia="Times New Roman" w:hAnsi="Times New Roman" w:cs="Times New Roman"/>
          <w:sz w:val="24"/>
          <w:szCs w:val="24"/>
        </w:rPr>
        <w:t>is vital for nutrient cycling and sustainability in wetland rice ecosystems. A field experiment was conducted to assess the impact of organic amendments on microbial biomass carbon (MBC), dehydrogenase activity (DHA), and acid phosphatase activity (APA) un</w:t>
      </w:r>
      <w:r>
        <w:rPr>
          <w:rFonts w:ascii="Times New Roman" w:eastAsia="Times New Roman" w:hAnsi="Times New Roman" w:cs="Times New Roman"/>
          <w:sz w:val="24"/>
          <w:szCs w:val="24"/>
        </w:rPr>
        <w:t xml:space="preserve">der soil-test-based recommended dose of nutrient management (STBRDN). Results showed that coconut husk biochar @ 5 t ha⁻¹ + STBRDN (T₆) produced the highest MBC (456.00 mg kg⁻¹), while vermicompost @ 2.5 t ha⁻¹ + STBRDN (T₃) enhanced DHA (76.03 μg TPF g⁻¹ </w:t>
      </w:r>
      <w:r>
        <w:rPr>
          <w:rFonts w:ascii="Times New Roman" w:eastAsia="Times New Roman" w:hAnsi="Times New Roman" w:cs="Times New Roman"/>
          <w:sz w:val="24"/>
          <w:szCs w:val="24"/>
        </w:rPr>
        <w:t>24 h⁻¹) and APA (37.73 μg p-nitrophenol g⁻¹ soil h⁻¹), resulting in almost 36, 39 and 50 per cent increase, respectively, from the initial soil biological activity. Both treatments significantly performed much better than the inorganic fertilizer applicati</w:t>
      </w:r>
      <w:r>
        <w:rPr>
          <w:rFonts w:ascii="Times New Roman" w:eastAsia="Times New Roman" w:hAnsi="Times New Roman" w:cs="Times New Roman"/>
          <w:sz w:val="24"/>
          <w:szCs w:val="24"/>
        </w:rPr>
        <w:t>on alone and the control, which recorded the lowest enzyme activities. Vermicompost provided labile carbon and microbial inoculants, whereas biochar enhanced microsite protection and nutrient retention, jointly stimulating microbial proliferation and enzym</w:t>
      </w:r>
      <w:r>
        <w:rPr>
          <w:rFonts w:ascii="Times New Roman" w:eastAsia="Times New Roman" w:hAnsi="Times New Roman" w:cs="Times New Roman"/>
          <w:sz w:val="24"/>
          <w:szCs w:val="24"/>
        </w:rPr>
        <w:t>atic functioning. Organic amendments, particularly vermicompost and coconut husk biochar integrated with STBRDN, consistently improved soil microbial and enzymatic activities, underscoring their role as climate-smart strategies for sustainable rice cultiva</w:t>
      </w:r>
      <w:r>
        <w:rPr>
          <w:rFonts w:ascii="Times New Roman" w:eastAsia="Times New Roman" w:hAnsi="Times New Roman" w:cs="Times New Roman"/>
          <w:sz w:val="24"/>
          <w:szCs w:val="24"/>
        </w:rPr>
        <w:t>tion.</w:t>
      </w:r>
    </w:p>
    <w:p w14:paraId="10A8F963"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Soil microbial biomass carbon,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Organic manures, Dehydrogenase activity, Acid phosphatase activity, rice ecosystem  </w:t>
      </w:r>
    </w:p>
    <w:p w14:paraId="3D740CD4"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Introduction</w:t>
      </w:r>
    </w:p>
    <w:p w14:paraId="281CEDE5"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Wetland paddy soils represent one of the most biologically dynamic agroecosystems in tropical regions, wher</w:t>
      </w:r>
      <w:r>
        <w:rPr>
          <w:rFonts w:ascii="Times New Roman" w:eastAsia="Times New Roman" w:hAnsi="Times New Roman" w:cs="Times New Roman"/>
          <w:sz w:val="24"/>
          <w:szCs w:val="24"/>
        </w:rPr>
        <w:t>e soil microbial activity and enzymatic processes play a pivotal role in nutrient cycling, organic matter turnover, and soil health. In Kerala, rice cultivation is traditionally practiced under waterlogged conditions, creating unique redox environments tha</w:t>
      </w:r>
      <w:r>
        <w:rPr>
          <w:rFonts w:ascii="Times New Roman" w:eastAsia="Times New Roman" w:hAnsi="Times New Roman" w:cs="Times New Roman"/>
          <w:sz w:val="24"/>
          <w:szCs w:val="24"/>
        </w:rPr>
        <w:t>t strongly influence microbial metabolism and enzyme activity. These soils are particularly sensitive to management practices, including the addition of organic amendments such as farmyard manure, compost, straw residues, and biochar, which can alter micro</w:t>
      </w:r>
      <w:r>
        <w:rPr>
          <w:rFonts w:ascii="Times New Roman" w:eastAsia="Times New Roman" w:hAnsi="Times New Roman" w:cs="Times New Roman"/>
          <w:sz w:val="24"/>
          <w:szCs w:val="24"/>
        </w:rPr>
        <w:t xml:space="preserve">bial community structure and functional diversity (Wichern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78DF2B9A"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sz w:val="24"/>
          <w:szCs w:val="24"/>
        </w:rPr>
        <w:t>Organic amendments are widely regarded as sustainable alternatives to chemical fertilizers, as they not only improve soil fertility but also stimulate microbial processes that enhan</w:t>
      </w:r>
      <w:r>
        <w:rPr>
          <w:rFonts w:ascii="Times New Roman" w:eastAsia="Times New Roman" w:hAnsi="Times New Roman" w:cs="Times New Roman"/>
          <w:sz w:val="24"/>
          <w:szCs w:val="24"/>
        </w:rPr>
        <w:t xml:space="preserve">ce nutrient availability. Similarly, Chahal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(2017) observed that organic materials enhanced microbial activity in saline soils depending on their rate of decomposition, highlighting the strong influence of nature of amendment on biological processes</w:t>
      </w:r>
      <w:r>
        <w:rPr>
          <w:rFonts w:ascii="Times New Roman" w:eastAsia="Times New Roman" w:hAnsi="Times New Roman" w:cs="Times New Roman"/>
          <w:sz w:val="24"/>
          <w:szCs w:val="24"/>
        </w:rPr>
        <w:t xml:space="preserve">. Soil biological functioning is largely governed by the activity and abundance of soil microorganisms, which regulate organic matter decomposition and nutrient cycling through the production of extracellular enzymes (Burns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2013; Nannipieri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2012). The composition of the soil microbial community is significantly shaped by litter chemistry factors, such as the initial substrate and particular chemical components released during litter breakdown (Bray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Long-term application of org</w:t>
      </w:r>
      <w:r>
        <w:rPr>
          <w:rFonts w:ascii="Times New Roman" w:eastAsia="Times New Roman" w:hAnsi="Times New Roman" w:cs="Times New Roman"/>
          <w:sz w:val="24"/>
          <w:szCs w:val="24"/>
        </w:rPr>
        <w:t>anic inputs has been linked to improved soil organic carbon sequestration and microbial resilience, thereby contributing to climate-smart agriculture in paddy systems (Ye</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xml:space="preserve">., 2025). However, the response of soil enzymes to organic amendments is highly </w:t>
      </w:r>
      <w:r>
        <w:rPr>
          <w:rFonts w:ascii="Times New Roman" w:eastAsia="Times New Roman" w:hAnsi="Times New Roman" w:cs="Times New Roman"/>
          <w:sz w:val="24"/>
          <w:szCs w:val="24"/>
        </w:rPr>
        <w:t xml:space="preserve">site-specific, influenced by hydrological regimes, soil texture, and cropping intensity (Wang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2498A2BE"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Microbial biomass represents the living fraction of soil organic matter and acts as an immediate source and sink of nutrients as well as the main p</w:t>
      </w:r>
      <w:r>
        <w:rPr>
          <w:rFonts w:ascii="Times New Roman" w:eastAsia="Times New Roman" w:hAnsi="Times New Roman" w:cs="Times New Roman"/>
          <w:sz w:val="24"/>
          <w:szCs w:val="24"/>
        </w:rPr>
        <w:t>roducer of soil enzymes. Conceptual and empirical work has identified microbial biomass, dehydrogenase activity and phosphatase activity among the most informative microbiological indicators for assessing the effects of management on soil ecological functi</w:t>
      </w:r>
      <w:r>
        <w:rPr>
          <w:rFonts w:ascii="Times New Roman" w:eastAsia="Times New Roman" w:hAnsi="Times New Roman" w:cs="Times New Roman"/>
          <w:sz w:val="24"/>
          <w:szCs w:val="24"/>
        </w:rPr>
        <w:t xml:space="preserve">on (Semenov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2025). Dehydrogenase activity is widely used as an integrative measure of overall microbial respiratory metabolism, because dehydrogenase enzymes are involved in biological oxidation of organic substrates and occur only in viable cells </w:t>
      </w:r>
      <w:r>
        <w:rPr>
          <w:rFonts w:ascii="Times New Roman" w:eastAsia="Times New Roman" w:hAnsi="Times New Roman" w:cs="Times New Roman"/>
          <w:sz w:val="24"/>
          <w:szCs w:val="24"/>
        </w:rPr>
        <w:t xml:space="preserve">(Kaur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In flooded rice soils, high dehydrogenase activity has been associated with enhanced organic matter decomposition and the strongly reducing conditions that develop under long-term submergence (George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2017). Phosphatase enzymes,</w:t>
      </w:r>
      <w:r>
        <w:rPr>
          <w:rFonts w:ascii="Times New Roman" w:eastAsia="Times New Roman" w:hAnsi="Times New Roman" w:cs="Times New Roman"/>
          <w:sz w:val="24"/>
          <w:szCs w:val="24"/>
        </w:rPr>
        <w:t xml:space="preserve"> particularly acid phosphatase in acidic or poorly buffered soils, catalyse the hydrolysis of organically bound phosphorus to plant-available orthophosphate and thus play a central role in the P cycle. Acid phosphatase activity has frequently been proposed</w:t>
      </w:r>
      <w:r>
        <w:rPr>
          <w:rFonts w:ascii="Times New Roman" w:eastAsia="Times New Roman" w:hAnsi="Times New Roman" w:cs="Times New Roman"/>
          <w:sz w:val="24"/>
          <w:szCs w:val="24"/>
        </w:rPr>
        <w:t xml:space="preserve"> as a potential index of organic P mineralisation and P stress in paddy soils (Kumari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Bhavani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Together, microbial biomass, dehydrogenase and phosphatase activities form a complementary set of soil biological indicators that respond rapidly to environmental change and management interventions (Bhaduri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0EA806CD"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Organic amendments such </w:t>
      </w:r>
      <w:r>
        <w:rPr>
          <w:rFonts w:ascii="Times New Roman" w:eastAsia="Times New Roman" w:hAnsi="Times New Roman" w:cs="Times New Roman"/>
          <w:sz w:val="24"/>
          <w:szCs w:val="24"/>
        </w:rPr>
        <w:t>as farmyard manure, composts, green manures, crop residues and other locally available organic resources are widely promoted as sustainable strategies to maintain soil fertility and reduce dependence on mineral fertilisers in rice-based systems. Several st</w:t>
      </w:r>
      <w:r>
        <w:rPr>
          <w:rFonts w:ascii="Times New Roman" w:eastAsia="Times New Roman" w:hAnsi="Times New Roman" w:cs="Times New Roman"/>
          <w:sz w:val="24"/>
          <w:szCs w:val="24"/>
        </w:rPr>
        <w:t xml:space="preserve">udies have reported that application of organic inputs generally increases soil organic carbon, stimulate microbial biomass, and enhance key enzyme activities, including dehydrogenase and phosphatase, relative to mineral fertiliser alone (Liu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2023;</w:t>
      </w:r>
      <w:r>
        <w:rPr>
          <w:rFonts w:ascii="Times New Roman" w:eastAsia="Times New Roman" w:hAnsi="Times New Roman" w:cs="Times New Roman"/>
          <w:sz w:val="24"/>
          <w:szCs w:val="24"/>
        </w:rPr>
        <w:t xml:space="preserve"> Liu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2025). The integration of diverse organic manures along with inorganic nutrients resulted in much improvement in soil fertility and long-term agricultural sustainability (Chaudhary et al., 2025) In this context, the present study was undertake</w:t>
      </w:r>
      <w:r>
        <w:rPr>
          <w:rFonts w:ascii="Times New Roman" w:eastAsia="Times New Roman" w:hAnsi="Times New Roman" w:cs="Times New Roman"/>
          <w:sz w:val="24"/>
          <w:szCs w:val="24"/>
        </w:rPr>
        <w:t xml:space="preserve">n to evaluate the effect of different organic sources including biochar and green leaf manure on soil microbial </w:t>
      </w:r>
      <w:proofErr w:type="gramStart"/>
      <w:r>
        <w:rPr>
          <w:rFonts w:ascii="Times New Roman" w:eastAsia="Times New Roman" w:hAnsi="Times New Roman" w:cs="Times New Roman"/>
          <w:sz w:val="24"/>
          <w:szCs w:val="24"/>
        </w:rPr>
        <w:t>activity ,</w:t>
      </w:r>
      <w:proofErr w:type="gramEnd"/>
      <w:r>
        <w:rPr>
          <w:rFonts w:ascii="Times New Roman" w:eastAsia="Times New Roman" w:hAnsi="Times New Roman" w:cs="Times New Roman"/>
          <w:sz w:val="24"/>
          <w:szCs w:val="24"/>
        </w:rPr>
        <w:t xml:space="preserve"> physical properties and nutrient availability in the wetland rice soils of southern Kerala. </w:t>
      </w:r>
    </w:p>
    <w:p w14:paraId="5F19ADA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 and Methods</w:t>
      </w:r>
    </w:p>
    <w:p w14:paraId="7727CEE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experiment w</w:t>
      </w:r>
      <w:r>
        <w:rPr>
          <w:rFonts w:ascii="Times New Roman" w:eastAsia="Times New Roman" w:hAnsi="Times New Roman" w:cs="Times New Roman"/>
          <w:sz w:val="24"/>
          <w:szCs w:val="24"/>
        </w:rPr>
        <w:t>as carried out in the wetland farms of Integrated Farming System Research Station, Karamana, Thiruvananthapuram, Kerala during the rabi season of 2024. The site is located at 8. 4727</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N latitude and 76. 9605</w:t>
      </w:r>
      <m:oMath>
        <m:r>
          <w:rPr>
            <w:rFonts w:ascii="Cambria Math" w:eastAsia="Cambria Math" w:hAnsi="Cambria Math" w:cs="Cambria Math"/>
            <w:sz w:val="24"/>
            <w:szCs w:val="24"/>
          </w:rPr>
          <m:t xml:space="preserve">° </m:t>
        </m:r>
      </m:oMath>
      <w:r>
        <w:rPr>
          <w:rFonts w:ascii="Times New Roman" w:eastAsia="Times New Roman" w:hAnsi="Times New Roman" w:cs="Times New Roman"/>
          <w:sz w:val="24"/>
          <w:szCs w:val="24"/>
        </w:rPr>
        <w:t>E longitude, at an altitude of 5m above mean se</w:t>
      </w:r>
      <w:r>
        <w:rPr>
          <w:rFonts w:ascii="Times New Roman" w:eastAsia="Times New Roman" w:hAnsi="Times New Roman" w:cs="Times New Roman"/>
          <w:sz w:val="24"/>
          <w:szCs w:val="24"/>
        </w:rPr>
        <w:t>a level.</w:t>
      </w:r>
    </w:p>
    <w:p w14:paraId="4D3A9CE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Field experiment was laid out in completely randomized block design with eight treatments and replicated thrice using rice variety, Uma- highly popular and widely cultivated medium duration variety suited to rice growing tracts of Kerala with red </w:t>
      </w:r>
      <w:r>
        <w:rPr>
          <w:rFonts w:ascii="Times New Roman" w:eastAsia="Times New Roman" w:hAnsi="Times New Roman" w:cs="Times New Roman"/>
          <w:sz w:val="24"/>
          <w:szCs w:val="24"/>
        </w:rPr>
        <w:t>kernels. The treatments consisted of : (1) KAU Organic PoP (FYM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+ 700 kg neem cake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as basal and half as top dressing at active tillering stage), (2) FYM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Soil test based recommended dose of nutrients (STBRDN), (3) Vermico</w:t>
      </w:r>
      <w:r>
        <w:rPr>
          <w:rFonts w:ascii="Times New Roman" w:eastAsia="Times New Roman" w:hAnsi="Times New Roman" w:cs="Times New Roman"/>
          <w:sz w:val="24"/>
          <w:szCs w:val="24"/>
        </w:rPr>
        <w:t>mpost (VC)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(4) Thermochemical Organic Fertilizer (TOF)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+STBRDN, (5) Green leaf manure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(6) Coconut husk biochar @ 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 STBRDN, (7) STBRDN alone ( no organic amendment) and (8) Absolute control. </w:t>
      </w:r>
      <w:r>
        <w:rPr>
          <w:rFonts w:ascii="Times New Roman" w:eastAsia="Times New Roman" w:hAnsi="Times New Roman" w:cs="Times New Roman"/>
          <w:sz w:val="24"/>
          <w:szCs w:val="24"/>
        </w:rPr>
        <w:t xml:space="preserve">Recommended dose of fertilizers were applied during the growing stages as per KAU POP (2023) in rice </w:t>
      </w:r>
      <w:r>
        <w:rPr>
          <w:rFonts w:ascii="Times New Roman" w:eastAsia="Times New Roman" w:hAnsi="Times New Roman" w:cs="Times New Roman"/>
          <w:i/>
          <w:sz w:val="24"/>
          <w:szCs w:val="24"/>
        </w:rPr>
        <w:t>i.</w:t>
      </w:r>
      <w:r>
        <w:rPr>
          <w:rFonts w:ascii="Times New Roman" w:eastAsia="Times New Roman" w:hAnsi="Times New Roman" w:cs="Times New Roman"/>
          <w:sz w:val="24"/>
          <w:szCs w:val="24"/>
        </w:rPr>
        <w:t>e., in the ratio 90:45:45 for N: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K</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 kg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except that at 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where only organic amendments were applied and T</w:t>
      </w:r>
      <w:r>
        <w:rPr>
          <w:rFonts w:ascii="Times New Roman" w:eastAsia="Times New Roman" w:hAnsi="Times New Roman" w:cs="Times New Roman"/>
          <w:sz w:val="24"/>
          <w:szCs w:val="24"/>
          <w:vertAlign w:val="subscript"/>
        </w:rPr>
        <w:t>8</w:t>
      </w:r>
      <w:r>
        <w:rPr>
          <w:rFonts w:ascii="Times New Roman" w:eastAsia="Times New Roman" w:hAnsi="Times New Roman" w:cs="Times New Roman"/>
          <w:sz w:val="24"/>
          <w:szCs w:val="24"/>
        </w:rPr>
        <w:t>, which is absolute control.</w:t>
      </w:r>
    </w:p>
    <w:p w14:paraId="5CA27AA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Verm</w:t>
      </w:r>
      <w:r>
        <w:rPr>
          <w:rFonts w:ascii="Times New Roman" w:eastAsia="Times New Roman" w:hAnsi="Times New Roman" w:cs="Times New Roman"/>
          <w:sz w:val="24"/>
          <w:szCs w:val="24"/>
        </w:rPr>
        <w:t xml:space="preserve">icompost was prepared from banana pseudostem as the resource material using </w:t>
      </w:r>
      <w:proofErr w:type="spellStart"/>
      <w:r>
        <w:rPr>
          <w:rFonts w:ascii="Times New Roman" w:eastAsia="Times New Roman" w:hAnsi="Times New Roman" w:cs="Times New Roman"/>
          <w:i/>
          <w:sz w:val="24"/>
          <w:szCs w:val="24"/>
        </w:rPr>
        <w:t>Eudrillus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eugeniae</w:t>
      </w:r>
      <w:proofErr w:type="spellEnd"/>
      <w:r>
        <w:rPr>
          <w:rFonts w:ascii="Times New Roman" w:eastAsia="Times New Roman" w:hAnsi="Times New Roman" w:cs="Times New Roman"/>
          <w:sz w:val="24"/>
          <w:szCs w:val="24"/>
        </w:rPr>
        <w:t>; Thermochemical organic fertilizer was obtained by digesting organic wastes under controlled heating in the presence of mineral additives, allowing partial decom</w:t>
      </w:r>
      <w:r>
        <w:rPr>
          <w:rFonts w:ascii="Times New Roman" w:eastAsia="Times New Roman" w:hAnsi="Times New Roman" w:cs="Times New Roman"/>
          <w:sz w:val="24"/>
          <w:szCs w:val="24"/>
        </w:rPr>
        <w:t xml:space="preserve">position, dehydration, and nutrient enrichment; and Biochar from coconut husk by fast </w:t>
      </w:r>
      <w:r>
        <w:rPr>
          <w:rFonts w:ascii="Times New Roman" w:eastAsia="Times New Roman" w:hAnsi="Times New Roman" w:cs="Times New Roman"/>
          <w:sz w:val="24"/>
          <w:szCs w:val="24"/>
        </w:rPr>
        <w:lastRenderedPageBreak/>
        <w:t>pyrolysis. Before start of the experiment, initial soil sample was collected to estimate the available nutrient status and accordingly, nutrient doses were scheduled.</w:t>
      </w:r>
    </w:p>
    <w:p w14:paraId="60490521"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Microbial biomass carbon (MBC) in the soil was determined by the fumigation extraction method (Joergensen, 1995) using fresh soil samples. Dehydrogenase activity was estimated following procedure by Casida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(1964) which is a simple, widely used assa</w:t>
      </w:r>
      <w:r>
        <w:rPr>
          <w:rFonts w:ascii="Times New Roman" w:eastAsia="Times New Roman" w:hAnsi="Times New Roman" w:cs="Times New Roman"/>
          <w:sz w:val="24"/>
          <w:szCs w:val="24"/>
        </w:rPr>
        <w:t>y where triphenyl tetrazolium chloride (TTC) was reduced to triphenyl formazan (TPF) during microbial respiration, extracted with methanol, and quantified spectrophotometrically. Acid phosphatase activity was determined following Tabatabai and Bremner (196</w:t>
      </w:r>
      <w:r>
        <w:rPr>
          <w:rFonts w:ascii="Times New Roman" w:eastAsia="Times New Roman" w:hAnsi="Times New Roman" w:cs="Times New Roman"/>
          <w:sz w:val="24"/>
          <w:szCs w:val="24"/>
        </w:rPr>
        <w:t>9) method where soil acid phosphatase was measured by incubating soil with p-nitrophenyl phosphate in acidic buffer (pH 6.5) at 37 °C, then stopping the reaction with NaOH to release yellow p-nitrophenol (pNP). The absorbance of pNP was read at 400–420 nm,</w:t>
      </w:r>
      <w:r>
        <w:rPr>
          <w:rFonts w:ascii="Times New Roman" w:eastAsia="Times New Roman" w:hAnsi="Times New Roman" w:cs="Times New Roman"/>
          <w:sz w:val="24"/>
          <w:szCs w:val="24"/>
        </w:rPr>
        <w:t xml:space="preserve"> and activity is expressed as µmol pNP g⁻¹ soil h⁻¹.</w:t>
      </w:r>
    </w:p>
    <w:p w14:paraId="6C56AB5C"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physical properties </w:t>
      </w:r>
      <w:r>
        <w:rPr>
          <w:rFonts w:ascii="Times New Roman" w:eastAsia="Times New Roman" w:hAnsi="Times New Roman" w:cs="Times New Roman"/>
          <w:i/>
          <w:sz w:val="24"/>
          <w:szCs w:val="24"/>
        </w:rPr>
        <w:t>viz</w:t>
      </w:r>
      <w:r>
        <w:rPr>
          <w:rFonts w:ascii="Times New Roman" w:eastAsia="Times New Roman" w:hAnsi="Times New Roman" w:cs="Times New Roman"/>
          <w:sz w:val="24"/>
          <w:szCs w:val="24"/>
        </w:rPr>
        <w:t xml:space="preserve">., bulk density and water holding capacity were estimated using undisturbed core sampler method (Black et al., 1965) for the initial and after harvest soil samples.  Nutrient </w:t>
      </w:r>
      <w:r>
        <w:rPr>
          <w:rFonts w:ascii="Times New Roman" w:eastAsia="Times New Roman" w:hAnsi="Times New Roman" w:cs="Times New Roman"/>
          <w:sz w:val="24"/>
          <w:szCs w:val="24"/>
        </w:rPr>
        <w:t xml:space="preserve">availability of primary nutrients viz., nitrogen, phosphorous and potassium were estimated using standard procedures.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available N by Alkaline permanganate method (Subbiah and Asija, 1956); P by Bray No.1 extraction and estimation using spectrophotomet</w:t>
      </w:r>
      <w:r>
        <w:rPr>
          <w:rFonts w:ascii="Times New Roman" w:eastAsia="Times New Roman" w:hAnsi="Times New Roman" w:cs="Times New Roman"/>
          <w:sz w:val="24"/>
          <w:szCs w:val="24"/>
        </w:rPr>
        <w:t>er (Bray and Kurtz, 1945) and K by neutral normal ammonium acetate extraction and estimation using flame photometry (Jackson, 1973).</w:t>
      </w:r>
    </w:p>
    <w:p w14:paraId="53F8E999" w14:textId="548E1F25"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Results and Discussion</w:t>
      </w:r>
    </w:p>
    <w:p w14:paraId="0F26721E"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3.1. Microbial biomass carbon</w:t>
      </w:r>
    </w:p>
    <w:p w14:paraId="50F4B314"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soils collected after crop harvest, significantly higher </w:t>
      </w:r>
      <w:r>
        <w:rPr>
          <w:rFonts w:ascii="Times New Roman" w:eastAsia="Times New Roman" w:hAnsi="Times New Roman" w:cs="Times New Roman"/>
          <w:sz w:val="24"/>
          <w:szCs w:val="24"/>
        </w:rPr>
        <w:t>soil microbial biomass carbon (456.00 mg kg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was observed in the treatment receiving coconut husk biochar @ 5 t ha⁻¹ along with soil </w:t>
      </w:r>
      <w:proofErr w:type="gramStart"/>
      <w:r>
        <w:rPr>
          <w:rFonts w:ascii="Times New Roman" w:eastAsia="Times New Roman" w:hAnsi="Times New Roman" w:cs="Times New Roman"/>
          <w:sz w:val="24"/>
          <w:szCs w:val="24"/>
        </w:rPr>
        <w:t>test based</w:t>
      </w:r>
      <w:proofErr w:type="gramEnd"/>
      <w:r>
        <w:rPr>
          <w:rFonts w:ascii="Times New Roman" w:eastAsia="Times New Roman" w:hAnsi="Times New Roman" w:cs="Times New Roman"/>
          <w:sz w:val="24"/>
          <w:szCs w:val="24"/>
        </w:rPr>
        <w:t xml:space="preserve"> recommendation of nutrients (T₆). The enhanced microbial biomass under biochar incorporation was likely due to</w:t>
      </w:r>
      <w:r>
        <w:rPr>
          <w:rFonts w:ascii="Times New Roman" w:eastAsia="Times New Roman" w:hAnsi="Times New Roman" w:cs="Times New Roman"/>
          <w:sz w:val="24"/>
          <w:szCs w:val="24"/>
        </w:rPr>
        <w:t xml:space="preserve"> the porous structure and large surface area of biochar, which offered protected microsites for microbial colonisation, improved soil aeration, and increased retention of nutrients and dissolved organic matter that support microbial proliferation (Joseph </w:t>
      </w:r>
      <w:r>
        <w:rPr>
          <w:rFonts w:ascii="Times New Roman" w:eastAsia="Times New Roman" w:hAnsi="Times New Roman" w:cs="Times New Roman"/>
          <w:i/>
          <w:sz w:val="24"/>
          <w:szCs w:val="24"/>
        </w:rPr>
        <w:t>e</w:t>
      </w:r>
      <w:r>
        <w:rPr>
          <w:rFonts w:ascii="Times New Roman" w:eastAsia="Times New Roman" w:hAnsi="Times New Roman" w:cs="Times New Roman"/>
          <w:i/>
          <w:sz w:val="24"/>
          <w:szCs w:val="24"/>
        </w:rPr>
        <w:t>t al</w:t>
      </w:r>
      <w:r>
        <w:rPr>
          <w:rFonts w:ascii="Times New Roman" w:eastAsia="Times New Roman" w:hAnsi="Times New Roman" w:cs="Times New Roman"/>
          <w:sz w:val="24"/>
          <w:szCs w:val="24"/>
        </w:rPr>
        <w:t xml:space="preserve">., 2021; Huang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The application of vermicompost @ 2.5 t ha⁻¹ along with soil </w:t>
      </w:r>
      <w:proofErr w:type="gramStart"/>
      <w:r>
        <w:rPr>
          <w:rFonts w:ascii="Times New Roman" w:eastAsia="Times New Roman" w:hAnsi="Times New Roman" w:cs="Times New Roman"/>
          <w:sz w:val="24"/>
          <w:szCs w:val="24"/>
        </w:rPr>
        <w:t>test based</w:t>
      </w:r>
      <w:proofErr w:type="gramEnd"/>
      <w:r>
        <w:rPr>
          <w:rFonts w:ascii="Times New Roman" w:eastAsia="Times New Roman" w:hAnsi="Times New Roman" w:cs="Times New Roman"/>
          <w:sz w:val="24"/>
          <w:szCs w:val="24"/>
        </w:rPr>
        <w:t xml:space="preserve"> recommendation of nutrients (T₃) also resulted in better performance revealing 442.00 mg kg⁻¹ MBC, while the absolute control (T₈) recorded the lowest</w:t>
      </w:r>
      <w:r>
        <w:rPr>
          <w:rFonts w:ascii="Times New Roman" w:eastAsia="Times New Roman" w:hAnsi="Times New Roman" w:cs="Times New Roman"/>
          <w:sz w:val="24"/>
          <w:szCs w:val="24"/>
        </w:rPr>
        <w:t xml:space="preserve"> (307.00 mg kg⁻¹). Green </w:t>
      </w:r>
      <w:proofErr w:type="gramStart"/>
      <w:r>
        <w:rPr>
          <w:rFonts w:ascii="Times New Roman" w:eastAsia="Times New Roman" w:hAnsi="Times New Roman" w:cs="Times New Roman"/>
          <w:sz w:val="24"/>
          <w:szCs w:val="24"/>
        </w:rPr>
        <w:t>leaf  manure</w:t>
      </w:r>
      <w:proofErr w:type="gramEnd"/>
      <w:r>
        <w:rPr>
          <w:rFonts w:ascii="Times New Roman" w:eastAsia="Times New Roman" w:hAnsi="Times New Roman" w:cs="Times New Roman"/>
          <w:sz w:val="24"/>
          <w:szCs w:val="24"/>
        </w:rPr>
        <w:t xml:space="preserve"> also stimulated microbial activity as reflected by 16 per cent improvement compared to control. Application of different organic </w:t>
      </w:r>
      <w:r>
        <w:rPr>
          <w:rFonts w:ascii="Times New Roman" w:eastAsia="Times New Roman" w:hAnsi="Times New Roman" w:cs="Times New Roman"/>
          <w:sz w:val="24"/>
          <w:szCs w:val="24"/>
        </w:rPr>
        <w:lastRenderedPageBreak/>
        <w:t xml:space="preserve">amendments produced considerable variations in MBC at the post-harvest stage relative to </w:t>
      </w:r>
      <w:r>
        <w:rPr>
          <w:rFonts w:ascii="Times New Roman" w:eastAsia="Times New Roman" w:hAnsi="Times New Roman" w:cs="Times New Roman"/>
          <w:sz w:val="24"/>
          <w:szCs w:val="24"/>
        </w:rPr>
        <w:t xml:space="preserve">the initial soil (335.60 mg kg⁻¹).  The result was in conformity with the findings of Kuang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(2012), where effective increase in biomass of microorganisms was noticed. Vermicompost contains more labile C and humic substances than conventional compos</w:t>
      </w:r>
      <w:r>
        <w:rPr>
          <w:rFonts w:ascii="Times New Roman" w:eastAsia="Times New Roman" w:hAnsi="Times New Roman" w:cs="Times New Roman"/>
          <w:sz w:val="24"/>
          <w:szCs w:val="24"/>
        </w:rPr>
        <w:t xml:space="preserve">t, promoting microbial biomass growth (Lazcano &amp; Domínguez, 2011). Earthworm processed materials contain high microbial populations and enzyme activities, which increase MBC when added to soil (Aira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Similar patterns were reported by Das </w:t>
      </w:r>
      <w:r>
        <w:rPr>
          <w:rFonts w:ascii="Times New Roman" w:eastAsia="Times New Roman" w:hAnsi="Times New Roman" w:cs="Times New Roman"/>
          <w:i/>
          <w:sz w:val="24"/>
          <w:szCs w:val="24"/>
        </w:rPr>
        <w:t>et a</w:t>
      </w:r>
      <w:r>
        <w:rPr>
          <w:rFonts w:ascii="Times New Roman" w:eastAsia="Times New Roman" w:hAnsi="Times New Roman" w:cs="Times New Roman"/>
          <w:i/>
          <w:sz w:val="24"/>
          <w:szCs w:val="24"/>
        </w:rPr>
        <w:t>l</w:t>
      </w:r>
      <w:r>
        <w:rPr>
          <w:rFonts w:ascii="Times New Roman" w:eastAsia="Times New Roman" w:hAnsi="Times New Roman" w:cs="Times New Roman"/>
          <w:sz w:val="24"/>
          <w:szCs w:val="24"/>
        </w:rPr>
        <w:t>., (2023), who observed that the highest microbial biomass C occurred in a biochar–manure treatment (goat manure + biochar) compared to vermicompost, FYM and other organic nutrient sources applied alone, indicating that biochar-based amendments can provid</w:t>
      </w:r>
      <w:r>
        <w:rPr>
          <w:rFonts w:ascii="Times New Roman" w:eastAsia="Times New Roman" w:hAnsi="Times New Roman" w:cs="Times New Roman"/>
          <w:sz w:val="24"/>
          <w:szCs w:val="24"/>
        </w:rPr>
        <w:t>e a more favourable habitat and substrate environment for microbial proliferation than individual organic manures.</w:t>
      </w:r>
    </w:p>
    <w:p w14:paraId="5686D95C" w14:textId="1D96BFD2"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Effect of organic amendments on soil biological activity</w:t>
      </w:r>
    </w:p>
    <w:tbl>
      <w:tblPr>
        <w:tblStyle w:val="a"/>
        <w:tblW w:w="8926" w:type="dxa"/>
        <w:tblBorders>
          <w:top w:val="single" w:sz="4" w:space="0" w:color="7F7F7F"/>
          <w:bottom w:val="single" w:sz="4" w:space="0" w:color="7F7F7F"/>
        </w:tblBorders>
        <w:tblLayout w:type="fixed"/>
        <w:tblLook w:val="0600" w:firstRow="0" w:lastRow="0" w:firstColumn="0" w:lastColumn="0" w:noHBand="1" w:noVBand="1"/>
      </w:tblPr>
      <w:tblGrid>
        <w:gridCol w:w="2232"/>
        <w:gridCol w:w="2256"/>
        <w:gridCol w:w="2270"/>
        <w:gridCol w:w="2168"/>
      </w:tblGrid>
      <w:tr w:rsidR="002A4EBF" w14:paraId="3E33BC6C" w14:textId="77777777" w:rsidTr="002A4EBF">
        <w:trPr>
          <w:trHeight w:val="1259"/>
        </w:trPr>
        <w:tc>
          <w:tcPr>
            <w:tcW w:w="2232" w:type="dxa"/>
            <w:tcBorders>
              <w:bottom w:val="single" w:sz="18" w:space="0" w:color="000000"/>
            </w:tcBorders>
            <w:vAlign w:val="center"/>
          </w:tcPr>
          <w:p w14:paraId="0E4D892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2256" w:type="dxa"/>
            <w:tcBorders>
              <w:bottom w:val="single" w:sz="18" w:space="0" w:color="000000"/>
            </w:tcBorders>
            <w:vAlign w:val="center"/>
          </w:tcPr>
          <w:p w14:paraId="4F9236E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Microbial biomass carbon (mg kg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270" w:type="dxa"/>
            <w:tcBorders>
              <w:bottom w:val="single" w:sz="18" w:space="0" w:color="000000"/>
            </w:tcBorders>
            <w:vAlign w:val="center"/>
          </w:tcPr>
          <w:p w14:paraId="375181E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Acid phosphatase activity (</w:t>
            </w:r>
            <m:oMath>
              <m:r>
                <w:rPr>
                  <w:rFonts w:ascii="Cambria Math" w:hAnsi="Cambria Math"/>
                </w:rPr>
                <m:t>μ</m:t>
              </m:r>
            </m:oMath>
            <w:r>
              <w:rPr>
                <w:rFonts w:ascii="Times New Roman" w:eastAsia="Times New Roman" w:hAnsi="Times New Roman" w:cs="Times New Roman"/>
                <w:b/>
                <w:sz w:val="24"/>
                <w:szCs w:val="24"/>
              </w:rPr>
              <w:t>g of p-nitrophenol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soil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c>
          <w:tcPr>
            <w:tcW w:w="2168" w:type="dxa"/>
            <w:tcBorders>
              <w:bottom w:val="single" w:sz="18" w:space="0" w:color="000000"/>
            </w:tcBorders>
            <w:vAlign w:val="center"/>
          </w:tcPr>
          <w:p w14:paraId="4CF06A88"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Dehydrogenase activity (</w:t>
            </w:r>
            <m:oMath>
              <m:r>
                <w:rPr>
                  <w:rFonts w:ascii="Cambria Math" w:hAnsi="Cambria Math"/>
                </w:rPr>
                <m:t>μ</m:t>
              </m:r>
            </m:oMath>
            <w:r>
              <w:rPr>
                <w:rFonts w:ascii="Times New Roman" w:eastAsia="Times New Roman" w:hAnsi="Times New Roman" w:cs="Times New Roman"/>
                <w:b/>
                <w:sz w:val="24"/>
                <w:szCs w:val="24"/>
              </w:rPr>
              <w:t>g TPF g</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24 h</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75A98C5B" w14:textId="77777777" w:rsidTr="002A4EBF">
        <w:trPr>
          <w:trHeight w:val="423"/>
        </w:trPr>
        <w:tc>
          <w:tcPr>
            <w:tcW w:w="2232" w:type="dxa"/>
            <w:tcBorders>
              <w:top w:val="single" w:sz="18" w:space="0" w:color="000000"/>
            </w:tcBorders>
          </w:tcPr>
          <w:p w14:paraId="61D04CFB"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2256" w:type="dxa"/>
            <w:tcBorders>
              <w:top w:val="single" w:sz="18" w:space="0" w:color="000000"/>
            </w:tcBorders>
            <w:vAlign w:val="center"/>
          </w:tcPr>
          <w:p w14:paraId="0F26198B"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388.00</w:t>
            </w:r>
            <w:r>
              <w:rPr>
                <w:rFonts w:ascii="Times New Roman" w:eastAsia="Times New Roman" w:hAnsi="Times New Roman" w:cs="Times New Roman"/>
                <w:sz w:val="24"/>
                <w:szCs w:val="24"/>
                <w:vertAlign w:val="superscript"/>
              </w:rPr>
              <w:t>c</w:t>
            </w:r>
          </w:p>
        </w:tc>
        <w:tc>
          <w:tcPr>
            <w:tcW w:w="2270" w:type="dxa"/>
            <w:tcBorders>
              <w:top w:val="single" w:sz="18" w:space="0" w:color="000000"/>
            </w:tcBorders>
          </w:tcPr>
          <w:p w14:paraId="43AEB39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35.57</w:t>
            </w:r>
            <w:r>
              <w:rPr>
                <w:rFonts w:ascii="Times New Roman" w:eastAsia="Times New Roman" w:hAnsi="Times New Roman" w:cs="Times New Roman"/>
                <w:sz w:val="24"/>
                <w:szCs w:val="24"/>
                <w:vertAlign w:val="superscript"/>
              </w:rPr>
              <w:t>d</w:t>
            </w:r>
          </w:p>
        </w:tc>
        <w:tc>
          <w:tcPr>
            <w:tcW w:w="2168" w:type="dxa"/>
            <w:tcBorders>
              <w:top w:val="single" w:sz="18" w:space="0" w:color="000000"/>
            </w:tcBorders>
          </w:tcPr>
          <w:p w14:paraId="202CE71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73.95</w:t>
            </w:r>
            <w:r>
              <w:rPr>
                <w:rFonts w:ascii="Times New Roman" w:eastAsia="Times New Roman" w:hAnsi="Times New Roman" w:cs="Times New Roman"/>
                <w:sz w:val="24"/>
                <w:szCs w:val="24"/>
                <w:vertAlign w:val="superscript"/>
              </w:rPr>
              <w:t>ef</w:t>
            </w:r>
          </w:p>
        </w:tc>
      </w:tr>
      <w:tr w:rsidR="002A4EBF" w14:paraId="3A4A8404" w14:textId="77777777" w:rsidTr="002A4EBF">
        <w:trPr>
          <w:trHeight w:val="414"/>
        </w:trPr>
        <w:tc>
          <w:tcPr>
            <w:tcW w:w="2232" w:type="dxa"/>
          </w:tcPr>
          <w:p w14:paraId="047A71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2256" w:type="dxa"/>
            <w:vAlign w:val="center"/>
          </w:tcPr>
          <w:p w14:paraId="6868B69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378.00</w:t>
            </w:r>
            <w:r>
              <w:rPr>
                <w:rFonts w:ascii="Times New Roman" w:eastAsia="Times New Roman" w:hAnsi="Times New Roman" w:cs="Times New Roman"/>
                <w:sz w:val="24"/>
                <w:szCs w:val="24"/>
                <w:vertAlign w:val="superscript"/>
              </w:rPr>
              <w:t>c</w:t>
            </w:r>
          </w:p>
        </w:tc>
        <w:tc>
          <w:tcPr>
            <w:tcW w:w="2270" w:type="dxa"/>
          </w:tcPr>
          <w:p w14:paraId="1430D10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35.49</w:t>
            </w:r>
            <w:r>
              <w:rPr>
                <w:rFonts w:ascii="Times New Roman" w:eastAsia="Times New Roman" w:hAnsi="Times New Roman" w:cs="Times New Roman"/>
                <w:sz w:val="24"/>
                <w:szCs w:val="24"/>
                <w:vertAlign w:val="superscript"/>
              </w:rPr>
              <w:t>d</w:t>
            </w:r>
          </w:p>
        </w:tc>
        <w:tc>
          <w:tcPr>
            <w:tcW w:w="2168" w:type="dxa"/>
          </w:tcPr>
          <w:p w14:paraId="2FCF2EF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74.11</w:t>
            </w:r>
            <w:r>
              <w:rPr>
                <w:rFonts w:ascii="Times New Roman" w:eastAsia="Times New Roman" w:hAnsi="Times New Roman" w:cs="Times New Roman"/>
                <w:sz w:val="24"/>
                <w:szCs w:val="24"/>
                <w:vertAlign w:val="superscript"/>
              </w:rPr>
              <w:t>e</w:t>
            </w:r>
          </w:p>
        </w:tc>
      </w:tr>
      <w:tr w:rsidR="002A4EBF" w14:paraId="44F179F0" w14:textId="77777777" w:rsidTr="002A4EBF">
        <w:trPr>
          <w:trHeight w:val="420"/>
        </w:trPr>
        <w:tc>
          <w:tcPr>
            <w:tcW w:w="2232" w:type="dxa"/>
          </w:tcPr>
          <w:p w14:paraId="57B75AB4"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2256" w:type="dxa"/>
            <w:vAlign w:val="center"/>
          </w:tcPr>
          <w:p w14:paraId="301F8FA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442.00</w:t>
            </w:r>
            <w:r>
              <w:rPr>
                <w:rFonts w:ascii="Times New Roman" w:eastAsia="Times New Roman" w:hAnsi="Times New Roman" w:cs="Times New Roman"/>
                <w:sz w:val="24"/>
                <w:szCs w:val="24"/>
                <w:vertAlign w:val="superscript"/>
              </w:rPr>
              <w:t>ab</w:t>
            </w:r>
          </w:p>
        </w:tc>
        <w:tc>
          <w:tcPr>
            <w:tcW w:w="2270" w:type="dxa"/>
          </w:tcPr>
          <w:p w14:paraId="45D68821"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37.73</w:t>
            </w:r>
            <w:r>
              <w:rPr>
                <w:rFonts w:ascii="Times New Roman" w:eastAsia="Times New Roman" w:hAnsi="Times New Roman" w:cs="Times New Roman"/>
                <w:sz w:val="24"/>
                <w:szCs w:val="24"/>
                <w:vertAlign w:val="superscript"/>
              </w:rPr>
              <w:t>a</w:t>
            </w:r>
          </w:p>
        </w:tc>
        <w:tc>
          <w:tcPr>
            <w:tcW w:w="2168" w:type="dxa"/>
          </w:tcPr>
          <w:p w14:paraId="5231360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76.03</w:t>
            </w:r>
            <w:r>
              <w:rPr>
                <w:rFonts w:ascii="Times New Roman" w:eastAsia="Times New Roman" w:hAnsi="Times New Roman" w:cs="Times New Roman"/>
                <w:sz w:val="24"/>
                <w:szCs w:val="24"/>
                <w:vertAlign w:val="superscript"/>
              </w:rPr>
              <w:t>a</w:t>
            </w:r>
          </w:p>
        </w:tc>
      </w:tr>
      <w:tr w:rsidR="002A4EBF" w14:paraId="69818651" w14:textId="77777777" w:rsidTr="002A4EBF">
        <w:trPr>
          <w:trHeight w:val="413"/>
        </w:trPr>
        <w:tc>
          <w:tcPr>
            <w:tcW w:w="2232" w:type="dxa"/>
          </w:tcPr>
          <w:p w14:paraId="7EDFC1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2256" w:type="dxa"/>
            <w:vAlign w:val="center"/>
          </w:tcPr>
          <w:p w14:paraId="6901F49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422.00</w:t>
            </w:r>
            <w:r>
              <w:rPr>
                <w:rFonts w:ascii="Times New Roman" w:eastAsia="Times New Roman" w:hAnsi="Times New Roman" w:cs="Times New Roman"/>
                <w:sz w:val="24"/>
                <w:szCs w:val="24"/>
                <w:vertAlign w:val="superscript"/>
              </w:rPr>
              <w:t>b</w:t>
            </w:r>
          </w:p>
        </w:tc>
        <w:tc>
          <w:tcPr>
            <w:tcW w:w="2270" w:type="dxa"/>
          </w:tcPr>
          <w:p w14:paraId="0B12508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35.77</w:t>
            </w:r>
            <w:r>
              <w:rPr>
                <w:rFonts w:ascii="Times New Roman" w:eastAsia="Times New Roman" w:hAnsi="Times New Roman" w:cs="Times New Roman"/>
                <w:sz w:val="24"/>
                <w:szCs w:val="24"/>
                <w:vertAlign w:val="superscript"/>
              </w:rPr>
              <w:t>c</w:t>
            </w:r>
          </w:p>
        </w:tc>
        <w:tc>
          <w:tcPr>
            <w:tcW w:w="2168" w:type="dxa"/>
          </w:tcPr>
          <w:p w14:paraId="58A9146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74.20</w:t>
            </w:r>
            <w:r>
              <w:rPr>
                <w:rFonts w:ascii="Times New Roman" w:eastAsia="Times New Roman" w:hAnsi="Times New Roman" w:cs="Times New Roman"/>
                <w:sz w:val="24"/>
                <w:szCs w:val="24"/>
                <w:vertAlign w:val="superscript"/>
              </w:rPr>
              <w:t>cd</w:t>
            </w:r>
          </w:p>
        </w:tc>
      </w:tr>
      <w:tr w:rsidR="002A4EBF" w14:paraId="45C3F01D" w14:textId="77777777" w:rsidTr="002A4EBF">
        <w:trPr>
          <w:trHeight w:val="419"/>
        </w:trPr>
        <w:tc>
          <w:tcPr>
            <w:tcW w:w="2232" w:type="dxa"/>
          </w:tcPr>
          <w:p w14:paraId="290AC0C5"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2256" w:type="dxa"/>
            <w:vAlign w:val="center"/>
          </w:tcPr>
          <w:p w14:paraId="1C921C4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389.00</w:t>
            </w:r>
            <w:r>
              <w:rPr>
                <w:rFonts w:ascii="Times New Roman" w:eastAsia="Times New Roman" w:hAnsi="Times New Roman" w:cs="Times New Roman"/>
                <w:sz w:val="24"/>
                <w:szCs w:val="24"/>
                <w:vertAlign w:val="superscript"/>
              </w:rPr>
              <w:t>c</w:t>
            </w:r>
          </w:p>
        </w:tc>
        <w:tc>
          <w:tcPr>
            <w:tcW w:w="2270" w:type="dxa"/>
          </w:tcPr>
          <w:p w14:paraId="2C52EFE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r>
              <w:rPr>
                <w:rFonts w:ascii="Times New Roman" w:eastAsia="Times New Roman" w:hAnsi="Times New Roman" w:cs="Times New Roman"/>
                <w:sz w:val="24"/>
                <w:szCs w:val="24"/>
                <w:vertAlign w:val="superscript"/>
              </w:rPr>
              <w:t>e</w:t>
            </w:r>
          </w:p>
        </w:tc>
        <w:tc>
          <w:tcPr>
            <w:tcW w:w="2168" w:type="dxa"/>
          </w:tcPr>
          <w:p w14:paraId="04C99E2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74.67</w:t>
            </w:r>
            <w:r>
              <w:rPr>
                <w:rFonts w:ascii="Times New Roman" w:eastAsia="Times New Roman" w:hAnsi="Times New Roman" w:cs="Times New Roman"/>
                <w:sz w:val="24"/>
                <w:szCs w:val="24"/>
                <w:vertAlign w:val="superscript"/>
              </w:rPr>
              <w:t>c</w:t>
            </w:r>
          </w:p>
        </w:tc>
      </w:tr>
      <w:tr w:rsidR="002A4EBF" w14:paraId="345D7132" w14:textId="77777777" w:rsidTr="002A4EBF">
        <w:trPr>
          <w:trHeight w:val="410"/>
        </w:trPr>
        <w:tc>
          <w:tcPr>
            <w:tcW w:w="2232" w:type="dxa"/>
          </w:tcPr>
          <w:p w14:paraId="08DF751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2256" w:type="dxa"/>
            <w:vAlign w:val="center"/>
          </w:tcPr>
          <w:p w14:paraId="7F9C6E36"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456.00</w:t>
            </w:r>
            <w:r>
              <w:rPr>
                <w:rFonts w:ascii="Times New Roman" w:eastAsia="Times New Roman" w:hAnsi="Times New Roman" w:cs="Times New Roman"/>
                <w:sz w:val="24"/>
                <w:szCs w:val="24"/>
                <w:vertAlign w:val="superscript"/>
              </w:rPr>
              <w:t>a</w:t>
            </w:r>
          </w:p>
        </w:tc>
        <w:tc>
          <w:tcPr>
            <w:tcW w:w="2270" w:type="dxa"/>
          </w:tcPr>
          <w:p w14:paraId="2F3D12E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36.73</w:t>
            </w:r>
            <w:r>
              <w:rPr>
                <w:rFonts w:ascii="Times New Roman" w:eastAsia="Times New Roman" w:hAnsi="Times New Roman" w:cs="Times New Roman"/>
                <w:sz w:val="24"/>
                <w:szCs w:val="24"/>
                <w:vertAlign w:val="superscript"/>
              </w:rPr>
              <w:t>b</w:t>
            </w:r>
          </w:p>
        </w:tc>
        <w:tc>
          <w:tcPr>
            <w:tcW w:w="2168" w:type="dxa"/>
          </w:tcPr>
          <w:p w14:paraId="550B7A3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75.47</w:t>
            </w:r>
            <w:r>
              <w:rPr>
                <w:rFonts w:ascii="Times New Roman" w:eastAsia="Times New Roman" w:hAnsi="Times New Roman" w:cs="Times New Roman"/>
                <w:sz w:val="24"/>
                <w:szCs w:val="24"/>
                <w:vertAlign w:val="superscript"/>
              </w:rPr>
              <w:t>b</w:t>
            </w:r>
          </w:p>
        </w:tc>
      </w:tr>
      <w:tr w:rsidR="002A4EBF" w14:paraId="0774CC90" w14:textId="77777777" w:rsidTr="002A4EBF">
        <w:trPr>
          <w:trHeight w:val="418"/>
        </w:trPr>
        <w:tc>
          <w:tcPr>
            <w:tcW w:w="2232" w:type="dxa"/>
          </w:tcPr>
          <w:p w14:paraId="7FCC4860"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2256" w:type="dxa"/>
            <w:vAlign w:val="center"/>
          </w:tcPr>
          <w:p w14:paraId="5B019A70"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341.00</w:t>
            </w:r>
            <w:r>
              <w:rPr>
                <w:rFonts w:ascii="Times New Roman" w:eastAsia="Times New Roman" w:hAnsi="Times New Roman" w:cs="Times New Roman"/>
                <w:sz w:val="24"/>
                <w:szCs w:val="24"/>
                <w:vertAlign w:val="superscript"/>
              </w:rPr>
              <w:t>d</w:t>
            </w:r>
          </w:p>
        </w:tc>
        <w:tc>
          <w:tcPr>
            <w:tcW w:w="2270" w:type="dxa"/>
          </w:tcPr>
          <w:p w14:paraId="678E956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35.10</w:t>
            </w:r>
            <w:r>
              <w:rPr>
                <w:rFonts w:ascii="Times New Roman" w:eastAsia="Times New Roman" w:hAnsi="Times New Roman" w:cs="Times New Roman"/>
                <w:sz w:val="24"/>
                <w:szCs w:val="24"/>
                <w:vertAlign w:val="superscript"/>
              </w:rPr>
              <w:t>e</w:t>
            </w:r>
          </w:p>
        </w:tc>
        <w:tc>
          <w:tcPr>
            <w:tcW w:w="2168" w:type="dxa"/>
          </w:tcPr>
          <w:p w14:paraId="64074F2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73.74</w:t>
            </w:r>
            <w:r>
              <w:rPr>
                <w:rFonts w:ascii="Times New Roman" w:eastAsia="Times New Roman" w:hAnsi="Times New Roman" w:cs="Times New Roman"/>
                <w:sz w:val="24"/>
                <w:szCs w:val="24"/>
                <w:vertAlign w:val="superscript"/>
              </w:rPr>
              <w:t>g</w:t>
            </w:r>
          </w:p>
        </w:tc>
      </w:tr>
      <w:tr w:rsidR="002A4EBF" w14:paraId="3FB4208F" w14:textId="77777777" w:rsidTr="002A4EBF">
        <w:trPr>
          <w:trHeight w:val="435"/>
        </w:trPr>
        <w:tc>
          <w:tcPr>
            <w:tcW w:w="2232" w:type="dxa"/>
          </w:tcPr>
          <w:p w14:paraId="26D85CAC"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2256" w:type="dxa"/>
            <w:vAlign w:val="center"/>
          </w:tcPr>
          <w:p w14:paraId="5567FA57"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307.00</w:t>
            </w:r>
            <w:r>
              <w:rPr>
                <w:rFonts w:ascii="Times New Roman" w:eastAsia="Times New Roman" w:hAnsi="Times New Roman" w:cs="Times New Roman"/>
                <w:sz w:val="24"/>
                <w:szCs w:val="24"/>
                <w:vertAlign w:val="superscript"/>
              </w:rPr>
              <w:t>e</w:t>
            </w:r>
          </w:p>
        </w:tc>
        <w:tc>
          <w:tcPr>
            <w:tcW w:w="2270" w:type="dxa"/>
          </w:tcPr>
          <w:p w14:paraId="10FBBCDE"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24.90</w:t>
            </w:r>
            <w:r>
              <w:rPr>
                <w:rFonts w:ascii="Times New Roman" w:eastAsia="Times New Roman" w:hAnsi="Times New Roman" w:cs="Times New Roman"/>
                <w:sz w:val="24"/>
                <w:szCs w:val="24"/>
                <w:vertAlign w:val="superscript"/>
              </w:rPr>
              <w:t>f</w:t>
            </w:r>
          </w:p>
        </w:tc>
        <w:tc>
          <w:tcPr>
            <w:tcW w:w="2168" w:type="dxa"/>
          </w:tcPr>
          <w:p w14:paraId="24893B4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72.74</w:t>
            </w:r>
            <w:r>
              <w:rPr>
                <w:rFonts w:ascii="Times New Roman" w:eastAsia="Times New Roman" w:hAnsi="Times New Roman" w:cs="Times New Roman"/>
                <w:sz w:val="24"/>
                <w:szCs w:val="24"/>
                <w:vertAlign w:val="superscript"/>
              </w:rPr>
              <w:t>h</w:t>
            </w:r>
          </w:p>
        </w:tc>
      </w:tr>
      <w:tr w:rsidR="002A4EBF" w14:paraId="4A33D0CC" w14:textId="77777777" w:rsidTr="002A4EBF">
        <w:trPr>
          <w:trHeight w:val="435"/>
        </w:trPr>
        <w:tc>
          <w:tcPr>
            <w:tcW w:w="2232" w:type="dxa"/>
          </w:tcPr>
          <w:p w14:paraId="7C51DAE6"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SEm (</w:t>
            </w:r>
            <m:oMath>
              <m:r>
                <w:rPr>
                  <w:rFonts w:ascii="Cambria Math" w:hAnsi="Cambria Math"/>
                </w:rPr>
                <m:t>±</m:t>
              </m:r>
            </m:oMath>
            <w:r>
              <w:rPr>
                <w:rFonts w:ascii="Times New Roman" w:eastAsia="Times New Roman" w:hAnsi="Times New Roman" w:cs="Times New Roman"/>
                <w:b/>
                <w:sz w:val="24"/>
                <w:szCs w:val="24"/>
              </w:rPr>
              <w:t>)</w:t>
            </w:r>
          </w:p>
        </w:tc>
        <w:tc>
          <w:tcPr>
            <w:tcW w:w="2256" w:type="dxa"/>
            <w:vAlign w:val="center"/>
          </w:tcPr>
          <w:p w14:paraId="6B47984C"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7.613</w:t>
            </w:r>
          </w:p>
        </w:tc>
        <w:tc>
          <w:tcPr>
            <w:tcW w:w="2270" w:type="dxa"/>
          </w:tcPr>
          <w:p w14:paraId="34AA876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0.101</w:t>
            </w:r>
          </w:p>
        </w:tc>
        <w:tc>
          <w:tcPr>
            <w:tcW w:w="2168" w:type="dxa"/>
          </w:tcPr>
          <w:p w14:paraId="0D1A6F7D"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0.059</w:t>
            </w:r>
          </w:p>
        </w:tc>
      </w:tr>
      <w:tr w:rsidR="002A4EBF" w14:paraId="44712A8A" w14:textId="77777777" w:rsidTr="002A4EBF">
        <w:trPr>
          <w:trHeight w:val="435"/>
        </w:trPr>
        <w:tc>
          <w:tcPr>
            <w:tcW w:w="2232" w:type="dxa"/>
          </w:tcPr>
          <w:p w14:paraId="40DDF96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2256" w:type="dxa"/>
            <w:vAlign w:val="center"/>
          </w:tcPr>
          <w:p w14:paraId="1EB5AF59"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22.824</w:t>
            </w:r>
          </w:p>
        </w:tc>
        <w:tc>
          <w:tcPr>
            <w:tcW w:w="2270" w:type="dxa"/>
          </w:tcPr>
          <w:p w14:paraId="3B14B563"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0.303</w:t>
            </w:r>
          </w:p>
        </w:tc>
        <w:tc>
          <w:tcPr>
            <w:tcW w:w="2168" w:type="dxa"/>
          </w:tcPr>
          <w:p w14:paraId="247F5874"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0.176</w:t>
            </w:r>
          </w:p>
        </w:tc>
      </w:tr>
      <w:tr w:rsidR="002A4EBF" w14:paraId="499A7A2A" w14:textId="77777777" w:rsidTr="002A4EBF">
        <w:trPr>
          <w:trHeight w:val="367"/>
        </w:trPr>
        <w:tc>
          <w:tcPr>
            <w:tcW w:w="2232" w:type="dxa"/>
          </w:tcPr>
          <w:p w14:paraId="4479C627" w14:textId="77777777" w:rsidR="002A4EBF" w:rsidRDefault="00622FED">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2256" w:type="dxa"/>
            <w:vAlign w:val="center"/>
          </w:tcPr>
          <w:p w14:paraId="0EB38DBA"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335.60</w:t>
            </w:r>
          </w:p>
        </w:tc>
        <w:tc>
          <w:tcPr>
            <w:tcW w:w="2270" w:type="dxa"/>
          </w:tcPr>
          <w:p w14:paraId="1950DDF5"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25.09</w:t>
            </w:r>
          </w:p>
        </w:tc>
        <w:tc>
          <w:tcPr>
            <w:tcW w:w="2168" w:type="dxa"/>
          </w:tcPr>
          <w:p w14:paraId="4E5FBB1F"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54.56</w:t>
            </w:r>
          </w:p>
        </w:tc>
      </w:tr>
    </w:tbl>
    <w:p w14:paraId="464D784C" w14:textId="77777777" w:rsidR="002A4EBF" w:rsidRDefault="002A4EBF">
      <w:pPr>
        <w:spacing w:line="360" w:lineRule="auto"/>
        <w:ind w:firstLine="0"/>
        <w:rPr>
          <w:rFonts w:ascii="Times New Roman" w:eastAsia="Times New Roman" w:hAnsi="Times New Roman" w:cs="Times New Roman"/>
          <w:i/>
          <w:sz w:val="24"/>
          <w:szCs w:val="24"/>
        </w:rPr>
      </w:pPr>
    </w:p>
    <w:p w14:paraId="250CC9B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Pr>
          <w:rFonts w:ascii="Times New Roman" w:eastAsia="Times New Roman" w:hAnsi="Times New Roman" w:cs="Times New Roman"/>
          <w:i/>
          <w:sz w:val="24"/>
          <w:szCs w:val="24"/>
          <w:vertAlign w:val="subscript"/>
        </w:rPr>
        <w:t>1</w:t>
      </w:r>
      <w:r>
        <w:rPr>
          <w:rFonts w:ascii="Times New Roman" w:eastAsia="Times New Roman" w:hAnsi="Times New Roman" w:cs="Times New Roman"/>
          <w:i/>
          <w:sz w:val="24"/>
          <w:szCs w:val="24"/>
        </w:rPr>
        <w:t>: KAU Organic PoP (FYM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+ 700 kg neem cake), T</w:t>
      </w:r>
      <w:r>
        <w:rPr>
          <w:rFonts w:ascii="Times New Roman" w:eastAsia="Times New Roman" w:hAnsi="Times New Roman" w:cs="Times New Roman"/>
          <w:i/>
          <w:sz w:val="24"/>
          <w:szCs w:val="24"/>
          <w:vertAlign w:val="subscript"/>
        </w:rPr>
        <w:t>2</w:t>
      </w:r>
      <w:r>
        <w:rPr>
          <w:rFonts w:ascii="Times New Roman" w:eastAsia="Times New Roman" w:hAnsi="Times New Roman" w:cs="Times New Roman"/>
          <w:i/>
          <w:sz w:val="24"/>
          <w:szCs w:val="24"/>
        </w:rPr>
        <w:t>: FYM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(STBRDN), T</w:t>
      </w:r>
      <w:r>
        <w:rPr>
          <w:rFonts w:ascii="Times New Roman" w:eastAsia="Times New Roman" w:hAnsi="Times New Roman" w:cs="Times New Roman"/>
          <w:i/>
          <w:sz w:val="24"/>
          <w:szCs w:val="24"/>
          <w:vertAlign w:val="subscript"/>
        </w:rPr>
        <w:t>3</w:t>
      </w:r>
      <w:r>
        <w:rPr>
          <w:rFonts w:ascii="Times New Roman" w:eastAsia="Times New Roman" w:hAnsi="Times New Roman" w:cs="Times New Roman"/>
          <w:i/>
          <w:sz w:val="24"/>
          <w:szCs w:val="24"/>
        </w:rPr>
        <w:t>: Vermicompost @ 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4</w:t>
      </w:r>
      <w:r>
        <w:rPr>
          <w:rFonts w:ascii="Times New Roman" w:eastAsia="Times New Roman" w:hAnsi="Times New Roman" w:cs="Times New Roman"/>
          <w:i/>
          <w:sz w:val="24"/>
          <w:szCs w:val="24"/>
        </w:rPr>
        <w:t xml:space="preserve">: TOF @ </w:t>
      </w:r>
      <w:r>
        <w:rPr>
          <w:rFonts w:ascii="Times New Roman" w:eastAsia="Times New Roman" w:hAnsi="Times New Roman" w:cs="Times New Roman"/>
          <w:i/>
          <w:sz w:val="24"/>
          <w:szCs w:val="24"/>
        </w:rPr>
        <w:t>2.5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+STBRDN, T</w:t>
      </w:r>
      <w:r>
        <w:rPr>
          <w:rFonts w:ascii="Times New Roman" w:eastAsia="Times New Roman" w:hAnsi="Times New Roman" w:cs="Times New Roman"/>
          <w:i/>
          <w:sz w:val="24"/>
          <w:szCs w:val="24"/>
          <w:vertAlign w:val="subscript"/>
        </w:rPr>
        <w:t>5</w:t>
      </w:r>
      <w:r>
        <w:rPr>
          <w:rFonts w:ascii="Times New Roman" w:eastAsia="Times New Roman" w:hAnsi="Times New Roman" w:cs="Times New Roman"/>
          <w:i/>
          <w:sz w:val="24"/>
          <w:szCs w:val="24"/>
        </w:rPr>
        <w:t>: Green leaf manure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6</w:t>
      </w:r>
      <w:r>
        <w:rPr>
          <w:rFonts w:ascii="Times New Roman" w:eastAsia="Times New Roman" w:hAnsi="Times New Roman" w:cs="Times New Roman"/>
          <w:i/>
          <w:sz w:val="24"/>
          <w:szCs w:val="24"/>
        </w:rPr>
        <w:t>: Coconut husk biochar @ 5 t ha</w:t>
      </w:r>
      <w:r>
        <w:rPr>
          <w:rFonts w:ascii="Times New Roman" w:eastAsia="Times New Roman" w:hAnsi="Times New Roman" w:cs="Times New Roman"/>
          <w:i/>
          <w:sz w:val="24"/>
          <w:szCs w:val="24"/>
          <w:vertAlign w:val="superscript"/>
        </w:rPr>
        <w:t>-1</w:t>
      </w:r>
      <w:r>
        <w:rPr>
          <w:rFonts w:ascii="Times New Roman" w:eastAsia="Times New Roman" w:hAnsi="Times New Roman" w:cs="Times New Roman"/>
          <w:i/>
          <w:sz w:val="24"/>
          <w:szCs w:val="24"/>
        </w:rPr>
        <w:t xml:space="preserve"> + STBRDN, T</w:t>
      </w:r>
      <w:r>
        <w:rPr>
          <w:rFonts w:ascii="Times New Roman" w:eastAsia="Times New Roman" w:hAnsi="Times New Roman" w:cs="Times New Roman"/>
          <w:i/>
          <w:sz w:val="24"/>
          <w:szCs w:val="24"/>
          <w:vertAlign w:val="subscript"/>
        </w:rPr>
        <w:t>7</w:t>
      </w:r>
      <w:r>
        <w:rPr>
          <w:rFonts w:ascii="Times New Roman" w:eastAsia="Times New Roman" w:hAnsi="Times New Roman" w:cs="Times New Roman"/>
          <w:i/>
          <w:sz w:val="24"/>
          <w:szCs w:val="24"/>
        </w:rPr>
        <w:t>: STBRDN alone, T</w:t>
      </w:r>
      <w:r>
        <w:rPr>
          <w:rFonts w:ascii="Times New Roman" w:eastAsia="Times New Roman" w:hAnsi="Times New Roman" w:cs="Times New Roman"/>
          <w:i/>
          <w:sz w:val="24"/>
          <w:szCs w:val="24"/>
          <w:vertAlign w:val="subscript"/>
        </w:rPr>
        <w:t>8</w:t>
      </w:r>
      <w:r>
        <w:rPr>
          <w:rFonts w:ascii="Times New Roman" w:eastAsia="Times New Roman" w:hAnsi="Times New Roman" w:cs="Times New Roman"/>
          <w:i/>
          <w:sz w:val="24"/>
          <w:szCs w:val="24"/>
        </w:rPr>
        <w:t>: Absolute control.</w:t>
      </w:r>
    </w:p>
    <w:p w14:paraId="76A222C0"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3.2 Dehydrogenase activity</w:t>
      </w:r>
    </w:p>
    <w:p w14:paraId="451C1A55"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dehydrogenase activity is an indicator of total soil microbial activity as </w:t>
      </w:r>
      <w:r>
        <w:rPr>
          <w:rFonts w:ascii="Times New Roman" w:eastAsia="Times New Roman" w:hAnsi="Times New Roman" w:cs="Times New Roman"/>
          <w:sz w:val="24"/>
          <w:szCs w:val="24"/>
        </w:rPr>
        <w:t xml:space="preserve">it reflects the fertility status of soil. Dehydrogenase activity, was significantly affected by the organic amendments. Among the treatments, the highest activity (76.03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was observed with the application of vermicompost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alongwith</w:t>
      </w:r>
      <w:proofErr w:type="spellEnd"/>
      <w:r>
        <w:rPr>
          <w:rFonts w:ascii="Times New Roman" w:eastAsia="Times New Roman" w:hAnsi="Times New Roman" w:cs="Times New Roman"/>
          <w:sz w:val="24"/>
          <w:szCs w:val="24"/>
        </w:rPr>
        <w:t xml:space="preserve"> soil test based recommended application of nutrients.  Vermicompost supplies abundant labile organic carbon, diverse microbial inoculants, and essential nutrients that directly stimulate microbial respiration. This creates a biologically rich env</w:t>
      </w:r>
      <w:r>
        <w:rPr>
          <w:rFonts w:ascii="Times New Roman" w:eastAsia="Times New Roman" w:hAnsi="Times New Roman" w:cs="Times New Roman"/>
          <w:sz w:val="24"/>
          <w:szCs w:val="24"/>
        </w:rPr>
        <w:t xml:space="preserve">ironment where oxidative enzymes like dehydrogenase are strongly expressed (Gazi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Shah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w:t>
      </w:r>
    </w:p>
    <w:p w14:paraId="622B0F03"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Biochar application also resulted in improved dehydrogenase activity (75.47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while the lowest (72.74 </w:t>
      </w:r>
      <m:oMath>
        <m:r>
          <w:rPr>
            <w:rFonts w:ascii="Cambria Math" w:hAnsi="Cambria Math"/>
          </w:rPr>
          <m:t>μ</m:t>
        </m:r>
      </m:oMath>
      <w:r>
        <w:rPr>
          <w:rFonts w:ascii="Times New Roman" w:eastAsia="Times New Roman" w:hAnsi="Times New Roman" w:cs="Times New Roman"/>
          <w:sz w:val="24"/>
          <w:szCs w:val="24"/>
        </w:rPr>
        <w:t>g TPF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24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was recorded for control.  Root exudates are known to increase microbial respiration and DHA in paddy systems (Ladha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Biochar enhances habitat quality and electron transfer (Sarfraz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2024). The use of various fertilizers including min</w:t>
      </w:r>
      <w:r>
        <w:rPr>
          <w:rFonts w:ascii="Times New Roman" w:eastAsia="Times New Roman" w:hAnsi="Times New Roman" w:cs="Times New Roman"/>
          <w:sz w:val="24"/>
          <w:szCs w:val="24"/>
        </w:rPr>
        <w:t>eral fertilizers, green manure, FYM, compost, and vermicompost exerts distinct influence on soil dehydrogenase activity. Compost application @ 540 kg N ha⁻¹ yr⁻¹ had shown to enhance both dehydrogenase activity and microbial community abundance relative to</w:t>
      </w:r>
      <w:r>
        <w:rPr>
          <w:rFonts w:ascii="Times New Roman" w:eastAsia="Times New Roman" w:hAnsi="Times New Roman" w:cs="Times New Roman"/>
          <w:sz w:val="24"/>
          <w:szCs w:val="24"/>
        </w:rPr>
        <w:t xml:space="preserve"> untreated soils (Chang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2007). Similarly, soils amended with cattle manure and vermicompost exhibit greater dehydrogenase activity than control (Saha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2008). </w:t>
      </w:r>
    </w:p>
    <w:p w14:paraId="28EBC1A7"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3.3 Acid phosphatase activity</w:t>
      </w:r>
    </w:p>
    <w:p w14:paraId="7770FC28" w14:textId="77777777" w:rsidR="002A4EBF" w:rsidRDefault="00622FED">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Acid phosphatase is a soil enzyme involved in the mi</w:t>
      </w:r>
      <w:r>
        <w:rPr>
          <w:rFonts w:ascii="Times New Roman" w:eastAsia="Times New Roman" w:hAnsi="Times New Roman" w:cs="Times New Roman"/>
          <w:sz w:val="24"/>
          <w:szCs w:val="24"/>
        </w:rPr>
        <w:t xml:space="preserve">neralization of organic phosphorus, thereby playing a crucial role in nutrient cycling and sustaining crop productivity in flooded paddy ecosystems. In the present study, notable differences in acid phosphatase activity were observed among the treatments. </w:t>
      </w:r>
      <w:r>
        <w:rPr>
          <w:rFonts w:ascii="Times New Roman" w:eastAsia="Times New Roman" w:hAnsi="Times New Roman" w:cs="Times New Roman"/>
          <w:sz w:val="24"/>
          <w:szCs w:val="24"/>
        </w:rPr>
        <w:t>Vermicompost application @ 2.5 t ha</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along with soil test based recommended nutrients (T</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recorded the highest activity (37.73 </w:t>
      </w:r>
      <m:oMath>
        <m:r>
          <w:rPr>
            <w:rFonts w:ascii="Cambria Math" w:hAnsi="Cambria Math"/>
          </w:rPr>
          <m:t>μ</m:t>
        </m:r>
      </m:oMath>
      <w:r>
        <w:rPr>
          <w:rFonts w:ascii="Times New Roman" w:eastAsia="Times New Roman" w:hAnsi="Times New Roman" w:cs="Times New Roman"/>
          <w:sz w:val="24"/>
          <w:szCs w:val="24"/>
        </w:rPr>
        <w:t>g of p-nitrophenol g</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soil h</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followed by coconut husk biochar at 5 t ha⁻¹ with STBRDN (36.73 μg p-nitrophenol g⁻¹ soil </w:t>
      </w:r>
      <w:r>
        <w:rPr>
          <w:rFonts w:ascii="Times New Roman" w:eastAsia="Times New Roman" w:hAnsi="Times New Roman" w:cs="Times New Roman"/>
          <w:sz w:val="24"/>
          <w:szCs w:val="24"/>
        </w:rPr>
        <w:t xml:space="preserve">h⁻¹). Vermicompost contains abundant beneficial microorganisms that directly secrete phosphatases and provide easily decomposable organic matter that fuels microbial metabolism. This energy source promotes microbial growth and enzyme synthesis, leading to </w:t>
      </w:r>
      <w:r>
        <w:rPr>
          <w:rFonts w:ascii="Times New Roman" w:eastAsia="Times New Roman" w:hAnsi="Times New Roman" w:cs="Times New Roman"/>
          <w:sz w:val="24"/>
          <w:szCs w:val="24"/>
        </w:rPr>
        <w:t xml:space="preserve">higher acid phosphatase activity (Pooja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Yang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2024). According to Zhang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vermicompost significantly increased phosphatase activity and improved phosphorus transformation in paddy soils.</w:t>
      </w:r>
    </w:p>
    <w:p w14:paraId="4486783A"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3.4 Bulk density and water holding </w:t>
      </w:r>
      <w:r>
        <w:rPr>
          <w:rFonts w:ascii="Times New Roman" w:eastAsia="Times New Roman" w:hAnsi="Times New Roman" w:cs="Times New Roman"/>
          <w:i/>
          <w:sz w:val="24"/>
          <w:szCs w:val="24"/>
        </w:rPr>
        <w:t>capacity</w:t>
      </w:r>
    </w:p>
    <w:p w14:paraId="75BF1FE9"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root growth, nutrient transport, and microbial activity are influenced by the soil structure, soil aeration and water retention capacity, </w:t>
      </w:r>
      <w:proofErr w:type="gramStart"/>
      <w:r>
        <w:rPr>
          <w:rFonts w:ascii="Times New Roman" w:eastAsia="Times New Roman" w:hAnsi="Times New Roman" w:cs="Times New Roman"/>
          <w:sz w:val="24"/>
          <w:szCs w:val="24"/>
        </w:rPr>
        <w:t>These</w:t>
      </w:r>
      <w:proofErr w:type="gramEnd"/>
      <w:r>
        <w:rPr>
          <w:rFonts w:ascii="Times New Roman" w:eastAsia="Times New Roman" w:hAnsi="Times New Roman" w:cs="Times New Roman"/>
          <w:sz w:val="24"/>
          <w:szCs w:val="24"/>
        </w:rPr>
        <w:t xml:space="preserve"> properties are strongly governed by soil bulk density and its capacity to store water. Elevated bu</w:t>
      </w:r>
      <w:r>
        <w:rPr>
          <w:rFonts w:ascii="Times New Roman" w:eastAsia="Times New Roman" w:hAnsi="Times New Roman" w:cs="Times New Roman"/>
          <w:sz w:val="24"/>
          <w:szCs w:val="24"/>
        </w:rPr>
        <w:t>lk density can hinder root penetration, decrease pore continuity, limit aeration, and reduce water infiltration, ultimately impairing plant growth and overall soil functioning. Incorporation of organic amendments enhances soil aggregation and porosity, the</w:t>
      </w:r>
      <w:r>
        <w:rPr>
          <w:rFonts w:ascii="Times New Roman" w:eastAsia="Times New Roman" w:hAnsi="Times New Roman" w:cs="Times New Roman"/>
          <w:sz w:val="24"/>
          <w:szCs w:val="24"/>
        </w:rPr>
        <w:t>reby improving both the physical and chemical quality of soil (Haque et al., 2021).</w:t>
      </w:r>
    </w:p>
    <w:p w14:paraId="40381B7D" w14:textId="77777777" w:rsidR="002A4EBF" w:rsidRDefault="00622FED">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present study (Table 2), the application of organic manures significantly influenced bulk density, water-holding capacity, and the availability of nitrogen, phosphor</w:t>
      </w:r>
      <w:r>
        <w:rPr>
          <w:rFonts w:ascii="Times New Roman" w:eastAsia="Times New Roman" w:hAnsi="Times New Roman" w:cs="Times New Roman"/>
          <w:sz w:val="24"/>
          <w:szCs w:val="24"/>
        </w:rPr>
        <w:t>us, and potassium. Vermicompost and biochar, in particular, produced notable reductions in bulk density and increased the soil’s water-holding capacity relative to the initial values. Overall, the application of organic amendments led to marked improvement</w:t>
      </w:r>
      <w:r>
        <w:rPr>
          <w:rFonts w:ascii="Times New Roman" w:eastAsia="Times New Roman" w:hAnsi="Times New Roman" w:cs="Times New Roman"/>
          <w:sz w:val="24"/>
          <w:szCs w:val="24"/>
        </w:rPr>
        <w:t xml:space="preserve"> in soil moisture retention. The addition of stabilized organic matter introduces lighter organic fractions into the soil matrix, which is especially effective in reducing bulk density in paddy soils (Hussain and Abbasi, 2018). This change promotes a more </w:t>
      </w:r>
      <w:r>
        <w:rPr>
          <w:rFonts w:ascii="Times New Roman" w:eastAsia="Times New Roman" w:hAnsi="Times New Roman" w:cs="Times New Roman"/>
          <w:sz w:val="24"/>
          <w:szCs w:val="24"/>
        </w:rPr>
        <w:t>favourable distribution of macro- and micropores, enhancing the soil’s ability to retain water (Castellini et al., 2024). Furthermore, the remarkable porosity of biochar and large internal surface area help restructure inter-particle pore arrangement, ther</w:t>
      </w:r>
      <w:r>
        <w:rPr>
          <w:rFonts w:ascii="Times New Roman" w:eastAsia="Times New Roman" w:hAnsi="Times New Roman" w:cs="Times New Roman"/>
          <w:sz w:val="24"/>
          <w:szCs w:val="24"/>
        </w:rPr>
        <w:t>eby improving total porosity and water-holding capacity (Libutti et al., 2019).</w:t>
      </w:r>
    </w:p>
    <w:p w14:paraId="43836F57" w14:textId="77777777" w:rsidR="002A4EBF" w:rsidRDefault="00622FED">
      <w:pPr>
        <w:spacing w:line="360" w:lineRule="auto"/>
        <w:ind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Effect of organic amendments on soil physical properties and nutrient availability</w:t>
      </w:r>
    </w:p>
    <w:tbl>
      <w:tblPr>
        <w:tblStyle w:val="a0"/>
        <w:tblW w:w="9026" w:type="dxa"/>
        <w:jc w:val="center"/>
        <w:tblBorders>
          <w:top w:val="nil"/>
          <w:bottom w:val="nil"/>
          <w:insideH w:val="single" w:sz="4" w:space="0" w:color="000000"/>
          <w:insideV w:val="single" w:sz="4" w:space="0" w:color="000000"/>
        </w:tblBorders>
        <w:tblLayout w:type="fixed"/>
        <w:tblLook w:val="0600" w:firstRow="0" w:lastRow="0" w:firstColumn="0" w:lastColumn="0" w:noHBand="1" w:noVBand="1"/>
      </w:tblPr>
      <w:tblGrid>
        <w:gridCol w:w="1413"/>
        <w:gridCol w:w="1701"/>
        <w:gridCol w:w="1701"/>
        <w:gridCol w:w="1417"/>
        <w:gridCol w:w="1418"/>
        <w:gridCol w:w="1376"/>
      </w:tblGrid>
      <w:tr w:rsidR="002A4EBF" w14:paraId="34B71F47" w14:textId="77777777" w:rsidTr="002A4EBF">
        <w:trPr>
          <w:trHeight w:val="765"/>
          <w:jc w:val="center"/>
        </w:trPr>
        <w:tc>
          <w:tcPr>
            <w:tcW w:w="1413" w:type="dxa"/>
            <w:vMerge w:val="restart"/>
          </w:tcPr>
          <w:p w14:paraId="245329C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Treatments</w:t>
            </w:r>
          </w:p>
        </w:tc>
        <w:tc>
          <w:tcPr>
            <w:tcW w:w="1701" w:type="dxa"/>
            <w:vMerge w:val="restart"/>
          </w:tcPr>
          <w:p w14:paraId="2576BAF2"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Bulk density</w:t>
            </w:r>
          </w:p>
          <w:p w14:paraId="56EE8ED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(Mg 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701" w:type="dxa"/>
            <w:vMerge w:val="restart"/>
          </w:tcPr>
          <w:p w14:paraId="18EB699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Water holding capacity (%)</w:t>
            </w:r>
          </w:p>
        </w:tc>
        <w:tc>
          <w:tcPr>
            <w:tcW w:w="4211" w:type="dxa"/>
            <w:gridSpan w:val="3"/>
          </w:tcPr>
          <w:p w14:paraId="1A3D7269"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Available primary </w:t>
            </w:r>
            <w:r>
              <w:rPr>
                <w:rFonts w:ascii="Times New Roman" w:eastAsia="Times New Roman" w:hAnsi="Times New Roman" w:cs="Times New Roman"/>
                <w:b/>
                <w:sz w:val="24"/>
                <w:szCs w:val="24"/>
              </w:rPr>
              <w:t>nutrients</w:t>
            </w:r>
          </w:p>
          <w:p w14:paraId="425AE95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(kg ha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w:t>
            </w:r>
          </w:p>
        </w:tc>
      </w:tr>
      <w:tr w:rsidR="002A4EBF" w14:paraId="4388F9B4" w14:textId="77777777" w:rsidTr="002A4EBF">
        <w:trPr>
          <w:trHeight w:val="485"/>
          <w:jc w:val="center"/>
        </w:trPr>
        <w:tc>
          <w:tcPr>
            <w:tcW w:w="1413" w:type="dxa"/>
            <w:vMerge/>
          </w:tcPr>
          <w:p w14:paraId="7037AAC0"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229E7E4A"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701" w:type="dxa"/>
            <w:vMerge/>
          </w:tcPr>
          <w:p w14:paraId="355F9E25" w14:textId="77777777" w:rsidR="002A4EBF" w:rsidRDefault="002A4EBF">
            <w:pPr>
              <w:widowControl w:val="0"/>
              <w:pBdr>
                <w:top w:val="nil"/>
                <w:left w:val="nil"/>
                <w:bottom w:val="nil"/>
                <w:right w:val="nil"/>
                <w:between w:val="nil"/>
              </w:pBdr>
              <w:spacing w:line="276" w:lineRule="auto"/>
              <w:ind w:firstLine="0"/>
              <w:jc w:val="left"/>
              <w:rPr>
                <w:rFonts w:ascii="Times New Roman" w:eastAsia="Times New Roman" w:hAnsi="Times New Roman" w:cs="Times New Roman"/>
                <w:b/>
                <w:sz w:val="24"/>
                <w:szCs w:val="24"/>
              </w:rPr>
            </w:pPr>
          </w:p>
        </w:tc>
        <w:tc>
          <w:tcPr>
            <w:tcW w:w="1417" w:type="dxa"/>
          </w:tcPr>
          <w:p w14:paraId="3042D34D"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w:t>
            </w:r>
          </w:p>
        </w:tc>
        <w:tc>
          <w:tcPr>
            <w:tcW w:w="1418" w:type="dxa"/>
          </w:tcPr>
          <w:p w14:paraId="0EB0ECF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r>
              <w:rPr>
                <w:rFonts w:ascii="Times New Roman" w:eastAsia="Times New Roman" w:hAnsi="Times New Roman" w:cs="Times New Roman"/>
                <w:b/>
                <w:sz w:val="24"/>
                <w:szCs w:val="24"/>
                <w:vertAlign w:val="subscript"/>
              </w:rPr>
              <w:t>5</w:t>
            </w:r>
          </w:p>
        </w:tc>
        <w:tc>
          <w:tcPr>
            <w:tcW w:w="1376" w:type="dxa"/>
          </w:tcPr>
          <w:p w14:paraId="348092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w:t>
            </w:r>
            <w:r>
              <w:rPr>
                <w:rFonts w:ascii="Times New Roman" w:eastAsia="Times New Roman" w:hAnsi="Times New Roman" w:cs="Times New Roman"/>
                <w:b/>
                <w:sz w:val="24"/>
                <w:szCs w:val="24"/>
                <w:vertAlign w:val="subscript"/>
              </w:rPr>
              <w:t>2</w:t>
            </w:r>
            <w:r>
              <w:rPr>
                <w:rFonts w:ascii="Times New Roman" w:eastAsia="Times New Roman" w:hAnsi="Times New Roman" w:cs="Times New Roman"/>
                <w:b/>
                <w:sz w:val="24"/>
                <w:szCs w:val="24"/>
              </w:rPr>
              <w:t>O</w:t>
            </w:r>
          </w:p>
        </w:tc>
      </w:tr>
      <w:tr w:rsidR="002A4EBF" w14:paraId="22D7EE44" w14:textId="77777777" w:rsidTr="002A4EBF">
        <w:trPr>
          <w:trHeight w:val="423"/>
          <w:jc w:val="center"/>
        </w:trPr>
        <w:tc>
          <w:tcPr>
            <w:tcW w:w="1413" w:type="dxa"/>
          </w:tcPr>
          <w:p w14:paraId="78E040F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1</w:t>
            </w:r>
          </w:p>
        </w:tc>
        <w:tc>
          <w:tcPr>
            <w:tcW w:w="1701" w:type="dxa"/>
          </w:tcPr>
          <w:p w14:paraId="4E28FDA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1.38</w:t>
            </w:r>
            <w:r>
              <w:rPr>
                <w:rFonts w:ascii="Times New Roman" w:eastAsia="Times New Roman" w:hAnsi="Times New Roman" w:cs="Times New Roman"/>
                <w:sz w:val="24"/>
                <w:szCs w:val="24"/>
                <w:vertAlign w:val="superscript"/>
              </w:rPr>
              <w:t>cd</w:t>
            </w:r>
          </w:p>
        </w:tc>
        <w:tc>
          <w:tcPr>
            <w:tcW w:w="1701" w:type="dxa"/>
          </w:tcPr>
          <w:p w14:paraId="1597B2E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48.72</w:t>
            </w:r>
            <w:r>
              <w:rPr>
                <w:rFonts w:ascii="Times New Roman" w:eastAsia="Times New Roman" w:hAnsi="Times New Roman" w:cs="Times New Roman"/>
                <w:sz w:val="24"/>
                <w:szCs w:val="24"/>
                <w:vertAlign w:val="superscript"/>
              </w:rPr>
              <w:t>c</w:t>
            </w:r>
          </w:p>
        </w:tc>
        <w:tc>
          <w:tcPr>
            <w:tcW w:w="1417" w:type="dxa"/>
          </w:tcPr>
          <w:p w14:paraId="77B638F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359.59</w:t>
            </w:r>
            <w:r>
              <w:rPr>
                <w:rFonts w:ascii="Times New Roman" w:eastAsia="Times New Roman" w:hAnsi="Times New Roman" w:cs="Times New Roman"/>
                <w:sz w:val="24"/>
                <w:szCs w:val="24"/>
                <w:vertAlign w:val="superscript"/>
              </w:rPr>
              <w:t>abc</w:t>
            </w:r>
          </w:p>
        </w:tc>
        <w:tc>
          <w:tcPr>
            <w:tcW w:w="1418" w:type="dxa"/>
            <w:vAlign w:val="center"/>
          </w:tcPr>
          <w:p w14:paraId="24B3D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34.34</w:t>
            </w:r>
            <w:r>
              <w:rPr>
                <w:rFonts w:ascii="Times New Roman" w:eastAsia="Times New Roman" w:hAnsi="Times New Roman" w:cs="Times New Roman"/>
                <w:sz w:val="24"/>
                <w:szCs w:val="24"/>
                <w:vertAlign w:val="superscript"/>
              </w:rPr>
              <w:t>cd</w:t>
            </w:r>
          </w:p>
        </w:tc>
        <w:tc>
          <w:tcPr>
            <w:tcW w:w="1376" w:type="dxa"/>
            <w:vAlign w:val="center"/>
          </w:tcPr>
          <w:p w14:paraId="21B11DF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73.77</w:t>
            </w:r>
            <w:r>
              <w:rPr>
                <w:rFonts w:ascii="Times New Roman" w:eastAsia="Times New Roman" w:hAnsi="Times New Roman" w:cs="Times New Roman"/>
                <w:sz w:val="24"/>
                <w:szCs w:val="24"/>
                <w:vertAlign w:val="superscript"/>
              </w:rPr>
              <w:t>bc</w:t>
            </w:r>
          </w:p>
        </w:tc>
      </w:tr>
      <w:tr w:rsidR="002A4EBF" w14:paraId="5929D0FE" w14:textId="77777777" w:rsidTr="002A4EBF">
        <w:trPr>
          <w:trHeight w:val="414"/>
          <w:jc w:val="center"/>
        </w:trPr>
        <w:tc>
          <w:tcPr>
            <w:tcW w:w="1413" w:type="dxa"/>
          </w:tcPr>
          <w:p w14:paraId="50DC7680"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2</w:t>
            </w:r>
          </w:p>
        </w:tc>
        <w:tc>
          <w:tcPr>
            <w:tcW w:w="1701" w:type="dxa"/>
          </w:tcPr>
          <w:p w14:paraId="34BAF7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bc</w:t>
            </w:r>
          </w:p>
        </w:tc>
        <w:tc>
          <w:tcPr>
            <w:tcW w:w="1701" w:type="dxa"/>
          </w:tcPr>
          <w:p w14:paraId="03B5ABA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45.39</w:t>
            </w:r>
            <w:r>
              <w:rPr>
                <w:rFonts w:ascii="Times New Roman" w:eastAsia="Times New Roman" w:hAnsi="Times New Roman" w:cs="Times New Roman"/>
                <w:sz w:val="24"/>
                <w:szCs w:val="24"/>
                <w:vertAlign w:val="superscript"/>
              </w:rPr>
              <w:t>d</w:t>
            </w:r>
          </w:p>
        </w:tc>
        <w:tc>
          <w:tcPr>
            <w:tcW w:w="1417" w:type="dxa"/>
          </w:tcPr>
          <w:p w14:paraId="6B875B2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326.14</w:t>
            </w:r>
            <w:r>
              <w:rPr>
                <w:rFonts w:ascii="Times New Roman" w:eastAsia="Times New Roman" w:hAnsi="Times New Roman" w:cs="Times New Roman"/>
                <w:sz w:val="24"/>
                <w:szCs w:val="24"/>
                <w:vertAlign w:val="superscript"/>
              </w:rPr>
              <w:t>d</w:t>
            </w:r>
          </w:p>
        </w:tc>
        <w:tc>
          <w:tcPr>
            <w:tcW w:w="1418" w:type="dxa"/>
            <w:vAlign w:val="center"/>
          </w:tcPr>
          <w:p w14:paraId="42C071B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37.52</w:t>
            </w:r>
            <w:r>
              <w:rPr>
                <w:rFonts w:ascii="Times New Roman" w:eastAsia="Times New Roman" w:hAnsi="Times New Roman" w:cs="Times New Roman"/>
                <w:sz w:val="24"/>
                <w:szCs w:val="24"/>
                <w:vertAlign w:val="superscript"/>
              </w:rPr>
              <w:t>bc</w:t>
            </w:r>
          </w:p>
        </w:tc>
        <w:tc>
          <w:tcPr>
            <w:tcW w:w="1376" w:type="dxa"/>
            <w:vAlign w:val="center"/>
          </w:tcPr>
          <w:p w14:paraId="6BD8044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84.89</w:t>
            </w:r>
            <w:r>
              <w:rPr>
                <w:rFonts w:ascii="Times New Roman" w:eastAsia="Times New Roman" w:hAnsi="Times New Roman" w:cs="Times New Roman"/>
                <w:sz w:val="24"/>
                <w:szCs w:val="24"/>
                <w:vertAlign w:val="superscript"/>
              </w:rPr>
              <w:t>bc</w:t>
            </w:r>
          </w:p>
        </w:tc>
      </w:tr>
      <w:tr w:rsidR="002A4EBF" w14:paraId="1D659978" w14:textId="77777777" w:rsidTr="002A4EBF">
        <w:trPr>
          <w:trHeight w:val="420"/>
          <w:jc w:val="center"/>
        </w:trPr>
        <w:tc>
          <w:tcPr>
            <w:tcW w:w="1413" w:type="dxa"/>
          </w:tcPr>
          <w:p w14:paraId="34438401"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3</w:t>
            </w:r>
          </w:p>
        </w:tc>
        <w:tc>
          <w:tcPr>
            <w:tcW w:w="1701" w:type="dxa"/>
          </w:tcPr>
          <w:p w14:paraId="1D2BEB2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r>
              <w:rPr>
                <w:rFonts w:ascii="Times New Roman" w:eastAsia="Times New Roman" w:hAnsi="Times New Roman" w:cs="Times New Roman"/>
                <w:sz w:val="24"/>
                <w:szCs w:val="24"/>
                <w:vertAlign w:val="superscript"/>
              </w:rPr>
              <w:t>e</w:t>
            </w:r>
          </w:p>
        </w:tc>
        <w:tc>
          <w:tcPr>
            <w:tcW w:w="1701" w:type="dxa"/>
          </w:tcPr>
          <w:p w14:paraId="38E87036"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50.74</w:t>
            </w:r>
            <w:r>
              <w:rPr>
                <w:rFonts w:ascii="Times New Roman" w:eastAsia="Times New Roman" w:hAnsi="Times New Roman" w:cs="Times New Roman"/>
                <w:sz w:val="24"/>
                <w:szCs w:val="24"/>
                <w:vertAlign w:val="superscript"/>
              </w:rPr>
              <w:t>b</w:t>
            </w:r>
          </w:p>
        </w:tc>
        <w:tc>
          <w:tcPr>
            <w:tcW w:w="1417" w:type="dxa"/>
          </w:tcPr>
          <w:p w14:paraId="4825A0E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376.32</w:t>
            </w:r>
            <w:r>
              <w:rPr>
                <w:rFonts w:ascii="Times New Roman" w:eastAsia="Times New Roman" w:hAnsi="Times New Roman" w:cs="Times New Roman"/>
                <w:sz w:val="24"/>
                <w:szCs w:val="24"/>
                <w:vertAlign w:val="superscript"/>
              </w:rPr>
              <w:t>a</w:t>
            </w:r>
          </w:p>
        </w:tc>
        <w:tc>
          <w:tcPr>
            <w:tcW w:w="1418" w:type="dxa"/>
            <w:vAlign w:val="center"/>
          </w:tcPr>
          <w:p w14:paraId="669BB81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42.74</w:t>
            </w:r>
            <w:r>
              <w:rPr>
                <w:rFonts w:ascii="Times New Roman" w:eastAsia="Times New Roman" w:hAnsi="Times New Roman" w:cs="Times New Roman"/>
                <w:sz w:val="24"/>
                <w:szCs w:val="24"/>
                <w:vertAlign w:val="superscript"/>
              </w:rPr>
              <w:t>a</w:t>
            </w:r>
          </w:p>
        </w:tc>
        <w:tc>
          <w:tcPr>
            <w:tcW w:w="1376" w:type="dxa"/>
            <w:vAlign w:val="center"/>
          </w:tcPr>
          <w:p w14:paraId="7EF1CD8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122.56</w:t>
            </w:r>
            <w:r>
              <w:rPr>
                <w:rFonts w:ascii="Times New Roman" w:eastAsia="Times New Roman" w:hAnsi="Times New Roman" w:cs="Times New Roman"/>
                <w:sz w:val="24"/>
                <w:szCs w:val="24"/>
                <w:vertAlign w:val="superscript"/>
              </w:rPr>
              <w:t>a</w:t>
            </w:r>
          </w:p>
        </w:tc>
      </w:tr>
      <w:tr w:rsidR="002A4EBF" w14:paraId="7206B7B7" w14:textId="77777777" w:rsidTr="002A4EBF">
        <w:trPr>
          <w:trHeight w:val="413"/>
          <w:jc w:val="center"/>
        </w:trPr>
        <w:tc>
          <w:tcPr>
            <w:tcW w:w="1413" w:type="dxa"/>
          </w:tcPr>
          <w:p w14:paraId="5DBD4EB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4</w:t>
            </w:r>
          </w:p>
        </w:tc>
        <w:tc>
          <w:tcPr>
            <w:tcW w:w="1701" w:type="dxa"/>
          </w:tcPr>
          <w:p w14:paraId="428165D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r>
              <w:rPr>
                <w:rFonts w:ascii="Times New Roman" w:eastAsia="Times New Roman" w:hAnsi="Times New Roman" w:cs="Times New Roman"/>
                <w:sz w:val="24"/>
                <w:szCs w:val="24"/>
                <w:vertAlign w:val="superscript"/>
              </w:rPr>
              <w:t>d</w:t>
            </w:r>
          </w:p>
        </w:tc>
        <w:tc>
          <w:tcPr>
            <w:tcW w:w="1701" w:type="dxa"/>
          </w:tcPr>
          <w:p w14:paraId="792D057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52.39</w:t>
            </w:r>
            <w:r>
              <w:rPr>
                <w:rFonts w:ascii="Times New Roman" w:eastAsia="Times New Roman" w:hAnsi="Times New Roman" w:cs="Times New Roman"/>
                <w:sz w:val="24"/>
                <w:szCs w:val="24"/>
                <w:vertAlign w:val="superscript"/>
              </w:rPr>
              <w:t>a</w:t>
            </w:r>
          </w:p>
        </w:tc>
        <w:tc>
          <w:tcPr>
            <w:tcW w:w="1417" w:type="dxa"/>
          </w:tcPr>
          <w:p w14:paraId="4F381CB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347.05</w:t>
            </w:r>
            <w:r>
              <w:rPr>
                <w:rFonts w:ascii="Times New Roman" w:eastAsia="Times New Roman" w:hAnsi="Times New Roman" w:cs="Times New Roman"/>
                <w:sz w:val="24"/>
                <w:szCs w:val="24"/>
                <w:vertAlign w:val="superscript"/>
              </w:rPr>
              <w:t>bc</w:t>
            </w:r>
          </w:p>
        </w:tc>
        <w:tc>
          <w:tcPr>
            <w:tcW w:w="1418" w:type="dxa"/>
            <w:vAlign w:val="center"/>
          </w:tcPr>
          <w:p w14:paraId="36B395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40.78</w:t>
            </w:r>
            <w:r>
              <w:rPr>
                <w:rFonts w:ascii="Times New Roman" w:eastAsia="Times New Roman" w:hAnsi="Times New Roman" w:cs="Times New Roman"/>
                <w:sz w:val="24"/>
                <w:szCs w:val="24"/>
                <w:vertAlign w:val="superscript"/>
              </w:rPr>
              <w:t>ab</w:t>
            </w:r>
          </w:p>
        </w:tc>
        <w:tc>
          <w:tcPr>
            <w:tcW w:w="1376" w:type="dxa"/>
            <w:vAlign w:val="center"/>
          </w:tcPr>
          <w:p w14:paraId="228C0E2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93.70</w:t>
            </w:r>
            <w:r>
              <w:rPr>
                <w:rFonts w:ascii="Times New Roman" w:eastAsia="Times New Roman" w:hAnsi="Times New Roman" w:cs="Times New Roman"/>
                <w:sz w:val="24"/>
                <w:szCs w:val="24"/>
                <w:vertAlign w:val="superscript"/>
              </w:rPr>
              <w:t>abc</w:t>
            </w:r>
          </w:p>
        </w:tc>
      </w:tr>
      <w:tr w:rsidR="002A4EBF" w14:paraId="7065E128" w14:textId="77777777" w:rsidTr="002A4EBF">
        <w:trPr>
          <w:trHeight w:val="419"/>
          <w:jc w:val="center"/>
        </w:trPr>
        <w:tc>
          <w:tcPr>
            <w:tcW w:w="1413" w:type="dxa"/>
          </w:tcPr>
          <w:p w14:paraId="06C2DC5F"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5</w:t>
            </w:r>
          </w:p>
        </w:tc>
        <w:tc>
          <w:tcPr>
            <w:tcW w:w="1701" w:type="dxa"/>
          </w:tcPr>
          <w:p w14:paraId="7C8CE9C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r>
              <w:rPr>
                <w:rFonts w:ascii="Times New Roman" w:eastAsia="Times New Roman" w:hAnsi="Times New Roman" w:cs="Times New Roman"/>
                <w:sz w:val="24"/>
                <w:szCs w:val="24"/>
                <w:vertAlign w:val="superscript"/>
              </w:rPr>
              <w:t>b</w:t>
            </w:r>
          </w:p>
        </w:tc>
        <w:tc>
          <w:tcPr>
            <w:tcW w:w="1701" w:type="dxa"/>
          </w:tcPr>
          <w:p w14:paraId="44F132C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46.48</w:t>
            </w:r>
            <w:r>
              <w:rPr>
                <w:rFonts w:ascii="Times New Roman" w:eastAsia="Times New Roman" w:hAnsi="Times New Roman" w:cs="Times New Roman"/>
                <w:sz w:val="24"/>
                <w:szCs w:val="24"/>
                <w:vertAlign w:val="superscript"/>
              </w:rPr>
              <w:t>d</w:t>
            </w:r>
          </w:p>
        </w:tc>
        <w:tc>
          <w:tcPr>
            <w:tcW w:w="1417" w:type="dxa"/>
          </w:tcPr>
          <w:p w14:paraId="74362B8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292.69</w:t>
            </w:r>
            <w:r>
              <w:rPr>
                <w:rFonts w:ascii="Times New Roman" w:eastAsia="Times New Roman" w:hAnsi="Times New Roman" w:cs="Times New Roman"/>
                <w:sz w:val="24"/>
                <w:szCs w:val="24"/>
                <w:vertAlign w:val="superscript"/>
              </w:rPr>
              <w:t>e</w:t>
            </w:r>
          </w:p>
        </w:tc>
        <w:tc>
          <w:tcPr>
            <w:tcW w:w="1418" w:type="dxa"/>
            <w:vAlign w:val="center"/>
          </w:tcPr>
          <w:p w14:paraId="5D3194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39.29</w:t>
            </w:r>
            <w:r>
              <w:rPr>
                <w:rFonts w:ascii="Times New Roman" w:eastAsia="Times New Roman" w:hAnsi="Times New Roman" w:cs="Times New Roman"/>
                <w:sz w:val="24"/>
                <w:szCs w:val="24"/>
                <w:vertAlign w:val="superscript"/>
              </w:rPr>
              <w:t>ab</w:t>
            </w:r>
          </w:p>
        </w:tc>
        <w:tc>
          <w:tcPr>
            <w:tcW w:w="1376" w:type="dxa"/>
            <w:vAlign w:val="center"/>
          </w:tcPr>
          <w:p w14:paraId="521E5313"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96.35</w:t>
            </w:r>
            <w:r>
              <w:rPr>
                <w:rFonts w:ascii="Times New Roman" w:eastAsia="Times New Roman" w:hAnsi="Times New Roman" w:cs="Times New Roman"/>
                <w:sz w:val="24"/>
                <w:szCs w:val="24"/>
                <w:vertAlign w:val="superscript"/>
              </w:rPr>
              <w:t>ab</w:t>
            </w:r>
          </w:p>
        </w:tc>
      </w:tr>
      <w:tr w:rsidR="002A4EBF" w14:paraId="1CF2CE5D" w14:textId="77777777" w:rsidTr="002A4EBF">
        <w:trPr>
          <w:trHeight w:val="410"/>
          <w:jc w:val="center"/>
        </w:trPr>
        <w:tc>
          <w:tcPr>
            <w:tcW w:w="1413" w:type="dxa"/>
          </w:tcPr>
          <w:p w14:paraId="0F7BB2E5"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6</w:t>
            </w:r>
          </w:p>
        </w:tc>
        <w:tc>
          <w:tcPr>
            <w:tcW w:w="1701" w:type="dxa"/>
          </w:tcPr>
          <w:p w14:paraId="178ABC4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r>
              <w:rPr>
                <w:rFonts w:ascii="Times New Roman" w:eastAsia="Times New Roman" w:hAnsi="Times New Roman" w:cs="Times New Roman"/>
                <w:sz w:val="24"/>
                <w:szCs w:val="24"/>
                <w:vertAlign w:val="superscript"/>
              </w:rPr>
              <w:t>f</w:t>
            </w:r>
          </w:p>
        </w:tc>
        <w:tc>
          <w:tcPr>
            <w:tcW w:w="1701" w:type="dxa"/>
          </w:tcPr>
          <w:p w14:paraId="4066D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53.11</w:t>
            </w:r>
            <w:r>
              <w:rPr>
                <w:rFonts w:ascii="Times New Roman" w:eastAsia="Times New Roman" w:hAnsi="Times New Roman" w:cs="Times New Roman"/>
                <w:sz w:val="24"/>
                <w:szCs w:val="24"/>
                <w:vertAlign w:val="superscript"/>
              </w:rPr>
              <w:t>a</w:t>
            </w:r>
          </w:p>
        </w:tc>
        <w:tc>
          <w:tcPr>
            <w:tcW w:w="1417" w:type="dxa"/>
          </w:tcPr>
          <w:p w14:paraId="4350383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363.77</w:t>
            </w:r>
            <w:r>
              <w:rPr>
                <w:rFonts w:ascii="Times New Roman" w:eastAsia="Times New Roman" w:hAnsi="Times New Roman" w:cs="Times New Roman"/>
                <w:sz w:val="24"/>
                <w:szCs w:val="24"/>
                <w:vertAlign w:val="superscript"/>
              </w:rPr>
              <w:t>ab</w:t>
            </w:r>
          </w:p>
        </w:tc>
        <w:tc>
          <w:tcPr>
            <w:tcW w:w="1418" w:type="dxa"/>
            <w:vAlign w:val="center"/>
          </w:tcPr>
          <w:p w14:paraId="778A41D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40.97</w:t>
            </w:r>
            <w:r>
              <w:rPr>
                <w:rFonts w:ascii="Times New Roman" w:eastAsia="Times New Roman" w:hAnsi="Times New Roman" w:cs="Times New Roman"/>
                <w:sz w:val="24"/>
                <w:szCs w:val="24"/>
                <w:vertAlign w:val="superscript"/>
              </w:rPr>
              <w:t>ab</w:t>
            </w:r>
          </w:p>
        </w:tc>
        <w:tc>
          <w:tcPr>
            <w:tcW w:w="1376" w:type="dxa"/>
            <w:vAlign w:val="center"/>
          </w:tcPr>
          <w:p w14:paraId="0E0CD27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93.63</w:t>
            </w:r>
            <w:r>
              <w:rPr>
                <w:rFonts w:ascii="Times New Roman" w:eastAsia="Times New Roman" w:hAnsi="Times New Roman" w:cs="Times New Roman"/>
                <w:sz w:val="24"/>
                <w:szCs w:val="24"/>
                <w:vertAlign w:val="superscript"/>
              </w:rPr>
              <w:t>abc</w:t>
            </w:r>
          </w:p>
        </w:tc>
      </w:tr>
      <w:tr w:rsidR="002A4EBF" w14:paraId="7ED423B6" w14:textId="77777777" w:rsidTr="002A4EBF">
        <w:trPr>
          <w:trHeight w:val="418"/>
          <w:jc w:val="center"/>
        </w:trPr>
        <w:tc>
          <w:tcPr>
            <w:tcW w:w="1413" w:type="dxa"/>
          </w:tcPr>
          <w:p w14:paraId="29E382EE"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7</w:t>
            </w:r>
          </w:p>
        </w:tc>
        <w:tc>
          <w:tcPr>
            <w:tcW w:w="1701" w:type="dxa"/>
          </w:tcPr>
          <w:p w14:paraId="1822A0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sz w:val="24"/>
                <w:szCs w:val="24"/>
                <w:vertAlign w:val="superscript"/>
              </w:rPr>
              <w:t>d</w:t>
            </w:r>
          </w:p>
        </w:tc>
        <w:tc>
          <w:tcPr>
            <w:tcW w:w="1701" w:type="dxa"/>
          </w:tcPr>
          <w:p w14:paraId="036D956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41.99</w:t>
            </w:r>
            <w:r>
              <w:rPr>
                <w:rFonts w:ascii="Times New Roman" w:eastAsia="Times New Roman" w:hAnsi="Times New Roman" w:cs="Times New Roman"/>
                <w:sz w:val="24"/>
                <w:szCs w:val="24"/>
                <w:vertAlign w:val="superscript"/>
              </w:rPr>
              <w:t>e</w:t>
            </w:r>
          </w:p>
        </w:tc>
        <w:tc>
          <w:tcPr>
            <w:tcW w:w="1417" w:type="dxa"/>
          </w:tcPr>
          <w:p w14:paraId="1E085C1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284.33</w:t>
            </w:r>
            <w:r>
              <w:rPr>
                <w:rFonts w:ascii="Times New Roman" w:eastAsia="Times New Roman" w:hAnsi="Times New Roman" w:cs="Times New Roman"/>
                <w:sz w:val="24"/>
                <w:szCs w:val="24"/>
                <w:vertAlign w:val="superscript"/>
              </w:rPr>
              <w:t>e</w:t>
            </w:r>
          </w:p>
        </w:tc>
        <w:tc>
          <w:tcPr>
            <w:tcW w:w="1418" w:type="dxa"/>
            <w:vAlign w:val="center"/>
          </w:tcPr>
          <w:p w14:paraId="41C0C9F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33.41</w:t>
            </w:r>
            <w:r>
              <w:rPr>
                <w:rFonts w:ascii="Times New Roman" w:eastAsia="Times New Roman" w:hAnsi="Times New Roman" w:cs="Times New Roman"/>
                <w:sz w:val="24"/>
                <w:szCs w:val="24"/>
                <w:vertAlign w:val="superscript"/>
              </w:rPr>
              <w:t>cde</w:t>
            </w:r>
          </w:p>
        </w:tc>
        <w:tc>
          <w:tcPr>
            <w:tcW w:w="1376" w:type="dxa"/>
            <w:vAlign w:val="center"/>
          </w:tcPr>
          <w:p w14:paraId="1C1222F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84.00</w:t>
            </w:r>
            <w:r>
              <w:rPr>
                <w:rFonts w:ascii="Times New Roman" w:eastAsia="Times New Roman" w:hAnsi="Times New Roman" w:cs="Times New Roman"/>
                <w:sz w:val="24"/>
                <w:szCs w:val="24"/>
                <w:vertAlign w:val="superscript"/>
              </w:rPr>
              <w:t>bc</w:t>
            </w:r>
          </w:p>
        </w:tc>
      </w:tr>
      <w:tr w:rsidR="002A4EBF" w14:paraId="7EAB0CAA" w14:textId="77777777" w:rsidTr="002A4EBF">
        <w:trPr>
          <w:trHeight w:val="435"/>
          <w:jc w:val="center"/>
        </w:trPr>
        <w:tc>
          <w:tcPr>
            <w:tcW w:w="1413" w:type="dxa"/>
          </w:tcPr>
          <w:p w14:paraId="2B6AEFFC"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Pr>
                <w:rFonts w:ascii="Times New Roman" w:eastAsia="Times New Roman" w:hAnsi="Times New Roman" w:cs="Times New Roman"/>
                <w:b/>
                <w:sz w:val="24"/>
                <w:szCs w:val="24"/>
                <w:vertAlign w:val="subscript"/>
              </w:rPr>
              <w:t>8</w:t>
            </w:r>
          </w:p>
        </w:tc>
        <w:tc>
          <w:tcPr>
            <w:tcW w:w="1701" w:type="dxa"/>
          </w:tcPr>
          <w:p w14:paraId="40855B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r>
              <w:rPr>
                <w:rFonts w:ascii="Times New Roman" w:eastAsia="Times New Roman" w:hAnsi="Times New Roman" w:cs="Times New Roman"/>
                <w:sz w:val="24"/>
                <w:szCs w:val="24"/>
                <w:vertAlign w:val="superscript"/>
              </w:rPr>
              <w:t>a</w:t>
            </w:r>
          </w:p>
        </w:tc>
        <w:tc>
          <w:tcPr>
            <w:tcW w:w="1701" w:type="dxa"/>
          </w:tcPr>
          <w:p w14:paraId="57163B9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40.24</w:t>
            </w:r>
            <w:r>
              <w:rPr>
                <w:rFonts w:ascii="Times New Roman" w:eastAsia="Times New Roman" w:hAnsi="Times New Roman" w:cs="Times New Roman"/>
                <w:sz w:val="24"/>
                <w:szCs w:val="24"/>
                <w:vertAlign w:val="superscript"/>
              </w:rPr>
              <w:t>f</w:t>
            </w:r>
          </w:p>
        </w:tc>
        <w:tc>
          <w:tcPr>
            <w:tcW w:w="1417" w:type="dxa"/>
          </w:tcPr>
          <w:p w14:paraId="0AF8E40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250.88</w:t>
            </w:r>
            <w:r>
              <w:rPr>
                <w:rFonts w:ascii="Times New Roman" w:eastAsia="Times New Roman" w:hAnsi="Times New Roman" w:cs="Times New Roman"/>
                <w:sz w:val="24"/>
                <w:szCs w:val="24"/>
                <w:vertAlign w:val="superscript"/>
              </w:rPr>
              <w:t>f</w:t>
            </w:r>
          </w:p>
        </w:tc>
        <w:tc>
          <w:tcPr>
            <w:tcW w:w="1418" w:type="dxa"/>
            <w:vAlign w:val="center"/>
          </w:tcPr>
          <w:p w14:paraId="094FAD2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29.49</w:t>
            </w:r>
            <w:r>
              <w:rPr>
                <w:rFonts w:ascii="Times New Roman" w:eastAsia="Times New Roman" w:hAnsi="Times New Roman" w:cs="Times New Roman"/>
                <w:sz w:val="24"/>
                <w:szCs w:val="24"/>
                <w:vertAlign w:val="superscript"/>
              </w:rPr>
              <w:t>e</w:t>
            </w:r>
          </w:p>
        </w:tc>
        <w:tc>
          <w:tcPr>
            <w:tcW w:w="1376" w:type="dxa"/>
            <w:vAlign w:val="center"/>
          </w:tcPr>
          <w:p w14:paraId="50B303F1"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66.90</w:t>
            </w:r>
            <w:r>
              <w:rPr>
                <w:rFonts w:ascii="Times New Roman" w:eastAsia="Times New Roman" w:hAnsi="Times New Roman" w:cs="Times New Roman"/>
                <w:sz w:val="24"/>
                <w:szCs w:val="24"/>
                <w:vertAlign w:val="superscript"/>
              </w:rPr>
              <w:t>c</w:t>
            </w:r>
          </w:p>
        </w:tc>
      </w:tr>
      <w:tr w:rsidR="002A4EBF" w14:paraId="3BEB1FAF" w14:textId="77777777" w:rsidTr="002A4EBF">
        <w:trPr>
          <w:trHeight w:val="435"/>
          <w:jc w:val="center"/>
        </w:trPr>
        <w:tc>
          <w:tcPr>
            <w:tcW w:w="1413" w:type="dxa"/>
          </w:tcPr>
          <w:p w14:paraId="0311C6FA"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SEm (</w:t>
            </w:r>
            <m:oMath>
              <m:r>
                <w:rPr>
                  <w:rFonts w:ascii="Cambria Math" w:hAnsi="Cambria Math"/>
                </w:rPr>
                <m:t>±</m:t>
              </m:r>
            </m:oMath>
            <w:r>
              <w:rPr>
                <w:rFonts w:ascii="Times New Roman" w:eastAsia="Times New Roman" w:hAnsi="Times New Roman" w:cs="Times New Roman"/>
                <w:b/>
                <w:sz w:val="24"/>
                <w:szCs w:val="24"/>
              </w:rPr>
              <w:t>)</w:t>
            </w:r>
          </w:p>
        </w:tc>
        <w:tc>
          <w:tcPr>
            <w:tcW w:w="1701" w:type="dxa"/>
          </w:tcPr>
          <w:p w14:paraId="5C0B29FA"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0.027</w:t>
            </w:r>
          </w:p>
        </w:tc>
        <w:tc>
          <w:tcPr>
            <w:tcW w:w="1701" w:type="dxa"/>
          </w:tcPr>
          <w:p w14:paraId="33564EC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0.443</w:t>
            </w:r>
          </w:p>
        </w:tc>
        <w:tc>
          <w:tcPr>
            <w:tcW w:w="1417" w:type="dxa"/>
          </w:tcPr>
          <w:p w14:paraId="111871C0"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5.893</w:t>
            </w:r>
          </w:p>
        </w:tc>
        <w:tc>
          <w:tcPr>
            <w:tcW w:w="1418" w:type="dxa"/>
            <w:vAlign w:val="center"/>
          </w:tcPr>
          <w:p w14:paraId="71D07D3B"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1.546</w:t>
            </w:r>
          </w:p>
        </w:tc>
        <w:tc>
          <w:tcPr>
            <w:tcW w:w="1376" w:type="dxa"/>
            <w:vAlign w:val="center"/>
          </w:tcPr>
          <w:p w14:paraId="66614042"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9.811</w:t>
            </w:r>
          </w:p>
        </w:tc>
      </w:tr>
      <w:tr w:rsidR="002A4EBF" w14:paraId="31B7CFCB" w14:textId="77777777" w:rsidTr="002A4EBF">
        <w:trPr>
          <w:trHeight w:val="435"/>
          <w:jc w:val="center"/>
        </w:trPr>
        <w:tc>
          <w:tcPr>
            <w:tcW w:w="1413" w:type="dxa"/>
          </w:tcPr>
          <w:p w14:paraId="462B5224"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CD (0.05)</w:t>
            </w:r>
          </w:p>
        </w:tc>
        <w:tc>
          <w:tcPr>
            <w:tcW w:w="1701" w:type="dxa"/>
          </w:tcPr>
          <w:p w14:paraId="06FB198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0.009</w:t>
            </w:r>
          </w:p>
        </w:tc>
        <w:tc>
          <w:tcPr>
            <w:tcW w:w="1701" w:type="dxa"/>
          </w:tcPr>
          <w:p w14:paraId="6A10145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1.328</w:t>
            </w:r>
          </w:p>
        </w:tc>
        <w:tc>
          <w:tcPr>
            <w:tcW w:w="1417" w:type="dxa"/>
          </w:tcPr>
          <w:p w14:paraId="05E8E01E"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17.666</w:t>
            </w:r>
          </w:p>
        </w:tc>
        <w:tc>
          <w:tcPr>
            <w:tcW w:w="1418" w:type="dxa"/>
            <w:vAlign w:val="center"/>
          </w:tcPr>
          <w:p w14:paraId="51EA8D34"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4.635</w:t>
            </w:r>
          </w:p>
        </w:tc>
        <w:tc>
          <w:tcPr>
            <w:tcW w:w="1376" w:type="dxa"/>
            <w:vAlign w:val="center"/>
          </w:tcPr>
          <w:p w14:paraId="2E37E779"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29.415</w:t>
            </w:r>
          </w:p>
        </w:tc>
      </w:tr>
      <w:tr w:rsidR="002A4EBF" w14:paraId="49B45F7C" w14:textId="77777777" w:rsidTr="002A4EBF">
        <w:trPr>
          <w:trHeight w:val="367"/>
          <w:jc w:val="center"/>
        </w:trPr>
        <w:tc>
          <w:tcPr>
            <w:tcW w:w="1413" w:type="dxa"/>
          </w:tcPr>
          <w:p w14:paraId="73AB797B" w14:textId="77777777" w:rsidR="002A4EBF" w:rsidRDefault="00622FED">
            <w:pPr>
              <w:spacing w:line="36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Initial</w:t>
            </w:r>
          </w:p>
        </w:tc>
        <w:tc>
          <w:tcPr>
            <w:tcW w:w="1701" w:type="dxa"/>
          </w:tcPr>
          <w:p w14:paraId="1460629D"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1.37</w:t>
            </w:r>
          </w:p>
        </w:tc>
        <w:tc>
          <w:tcPr>
            <w:tcW w:w="1701" w:type="dxa"/>
          </w:tcPr>
          <w:p w14:paraId="50B3EF7C"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36.64</w:t>
            </w:r>
          </w:p>
        </w:tc>
        <w:tc>
          <w:tcPr>
            <w:tcW w:w="1417" w:type="dxa"/>
          </w:tcPr>
          <w:p w14:paraId="21F748B5"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251.18</w:t>
            </w:r>
          </w:p>
        </w:tc>
        <w:tc>
          <w:tcPr>
            <w:tcW w:w="1418" w:type="dxa"/>
            <w:vAlign w:val="center"/>
          </w:tcPr>
          <w:p w14:paraId="26AD075F"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29.88</w:t>
            </w:r>
          </w:p>
        </w:tc>
        <w:tc>
          <w:tcPr>
            <w:tcW w:w="1376" w:type="dxa"/>
            <w:vAlign w:val="center"/>
          </w:tcPr>
          <w:p w14:paraId="57008327" w14:textId="77777777" w:rsidR="002A4EBF" w:rsidRDefault="00622FED">
            <w:pPr>
              <w:spacing w:line="360" w:lineRule="auto"/>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94.68</w:t>
            </w:r>
          </w:p>
        </w:tc>
      </w:tr>
    </w:tbl>
    <w:p w14:paraId="27BFFC9A" w14:textId="77777777" w:rsidR="002A4EBF" w:rsidRDefault="002A4EBF">
      <w:pPr>
        <w:spacing w:line="360" w:lineRule="auto"/>
        <w:ind w:firstLine="0"/>
        <w:rPr>
          <w:rFonts w:ascii="Times New Roman" w:eastAsia="Times New Roman" w:hAnsi="Times New Roman" w:cs="Times New Roman"/>
          <w:b/>
          <w:sz w:val="24"/>
          <w:szCs w:val="24"/>
        </w:rPr>
      </w:pPr>
    </w:p>
    <w:p w14:paraId="0B4A70A6" w14:textId="77777777" w:rsidR="002A4EBF" w:rsidRDefault="00622FED">
      <w:pPr>
        <w:spacing w:line="360" w:lineRule="auto"/>
        <w:ind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3.5 Availability of</w:t>
      </w:r>
      <w:r>
        <w:rPr>
          <w:rFonts w:ascii="Times New Roman" w:eastAsia="Times New Roman" w:hAnsi="Times New Roman" w:cs="Times New Roman"/>
          <w:i/>
          <w:sz w:val="24"/>
          <w:szCs w:val="24"/>
        </w:rPr>
        <w:t xml:space="preserve"> nitrogen, phosphorous and potassium</w:t>
      </w:r>
    </w:p>
    <w:p w14:paraId="41D03578"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sz w:val="24"/>
          <w:szCs w:val="24"/>
        </w:rPr>
        <w:t>The incorporation of organic amendments, particularly, vermicompost and biochar, led to a marked increase in the availability of major nutrients such as nitrogen, phosphorus and potassium (Table 2). Vermicompost functi</w:t>
      </w:r>
      <w:r>
        <w:rPr>
          <w:rFonts w:ascii="Times New Roman" w:eastAsia="Times New Roman" w:hAnsi="Times New Roman" w:cs="Times New Roman"/>
          <w:sz w:val="24"/>
          <w:szCs w:val="24"/>
        </w:rPr>
        <w:t>ons as a nutrient-rich organic input, supplying significant amount of mineralized N, P and K that directly enhance the soil nutrient pool after incorporation (Yeasmin et al., 2025). Its elevated cation-exchange capacity supports the retention of cations by</w:t>
      </w:r>
      <w:r>
        <w:rPr>
          <w:rFonts w:ascii="Times New Roman" w:eastAsia="Times New Roman" w:hAnsi="Times New Roman" w:cs="Times New Roman"/>
          <w:sz w:val="24"/>
          <w:szCs w:val="24"/>
        </w:rPr>
        <w:t xml:space="preserve"> providing abundant exchange sites on clay–humus complexes, thereby minimizing nutrient losses through leaching (Gebrekidan et al., 2025). Singh et al. (2024) similarly reported that the combined use of vermicompost with recommended fertilizer doses improv</w:t>
      </w:r>
      <w:r>
        <w:rPr>
          <w:rFonts w:ascii="Times New Roman" w:eastAsia="Times New Roman" w:hAnsi="Times New Roman" w:cs="Times New Roman"/>
          <w:sz w:val="24"/>
          <w:szCs w:val="24"/>
        </w:rPr>
        <w:t xml:space="preserve">ed soil fertility and crop productivity in green gram. In the present study, available nitrogen increased by approximately 40% and 45% under vermicompost and biochar treatments, respectively. Enhancements in available phosphorus ranged between 36% and 42% </w:t>
      </w:r>
      <w:r>
        <w:rPr>
          <w:rFonts w:ascii="Times New Roman" w:eastAsia="Times New Roman" w:hAnsi="Times New Roman" w:cs="Times New Roman"/>
          <w:sz w:val="24"/>
          <w:szCs w:val="24"/>
        </w:rPr>
        <w:t xml:space="preserve">with the application of either amendment. The porous nature and high adsorption capacity of biochar reveal its ability to retain nutrients, improve soil fertility, and create a favourable environment for microbial proliferation and nutrient turnover (Zhao </w:t>
      </w:r>
      <w:r>
        <w:rPr>
          <w:rFonts w:ascii="Times New Roman" w:eastAsia="Times New Roman" w:hAnsi="Times New Roman" w:cs="Times New Roman"/>
          <w:sz w:val="24"/>
          <w:szCs w:val="24"/>
        </w:rPr>
        <w:t xml:space="preserve">et al., 2023). Green-leaf manuring also contributed to improved nutrient availability. Incorporation of </w:t>
      </w:r>
      <w:r>
        <w:rPr>
          <w:rFonts w:ascii="Times New Roman" w:eastAsia="Times New Roman" w:hAnsi="Times New Roman" w:cs="Times New Roman"/>
          <w:i/>
          <w:sz w:val="24"/>
          <w:szCs w:val="24"/>
        </w:rPr>
        <w:t xml:space="preserve">Glyricidia </w:t>
      </w:r>
      <w:r>
        <w:rPr>
          <w:rFonts w:ascii="Times New Roman" w:eastAsia="Times New Roman" w:hAnsi="Times New Roman" w:cs="Times New Roman"/>
          <w:sz w:val="24"/>
          <w:szCs w:val="24"/>
        </w:rPr>
        <w:t xml:space="preserve">leaves resulted in a 31% increase in available soil phosphorus. The nutrient-dense biomass of </w:t>
      </w:r>
      <w:r>
        <w:rPr>
          <w:rFonts w:ascii="Times New Roman" w:eastAsia="Times New Roman" w:hAnsi="Times New Roman" w:cs="Times New Roman"/>
          <w:i/>
          <w:sz w:val="24"/>
          <w:szCs w:val="24"/>
        </w:rPr>
        <w:t>Glyricidia</w:t>
      </w:r>
      <w:r>
        <w:rPr>
          <w:rFonts w:ascii="Times New Roman" w:eastAsia="Times New Roman" w:hAnsi="Times New Roman" w:cs="Times New Roman"/>
          <w:sz w:val="24"/>
          <w:szCs w:val="24"/>
        </w:rPr>
        <w:t xml:space="preserve"> releases considerable quantities of </w:t>
      </w:r>
      <w:r>
        <w:rPr>
          <w:rFonts w:ascii="Times New Roman" w:eastAsia="Times New Roman" w:hAnsi="Times New Roman" w:cs="Times New Roman"/>
          <w:sz w:val="24"/>
          <w:szCs w:val="24"/>
        </w:rPr>
        <w:t>macro-nutrients as it decomposes, enriching the soil nutrient pool. Moreover, its decomposition products can reduce phosphorus fixation, thereby improving P availability (</w:t>
      </w:r>
      <w:proofErr w:type="spellStart"/>
      <w:r>
        <w:rPr>
          <w:rFonts w:ascii="Times New Roman" w:eastAsia="Times New Roman" w:hAnsi="Times New Roman" w:cs="Times New Roman"/>
          <w:sz w:val="24"/>
          <w:szCs w:val="24"/>
        </w:rPr>
        <w:t>Jadhao</w:t>
      </w:r>
      <w:proofErr w:type="spellEnd"/>
      <w:r>
        <w:rPr>
          <w:rFonts w:ascii="Times New Roman" w:eastAsia="Times New Roman" w:hAnsi="Times New Roman" w:cs="Times New Roman"/>
          <w:sz w:val="24"/>
          <w:szCs w:val="24"/>
        </w:rPr>
        <w:t xml:space="preserve"> et al., 2019).</w:t>
      </w:r>
    </w:p>
    <w:p w14:paraId="6BA01A07"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Conclusions</w:t>
      </w:r>
    </w:p>
    <w:p w14:paraId="78136BC9" w14:textId="77777777" w:rsidR="002A4EBF" w:rsidRDefault="00622FED">
      <w:pPr>
        <w:spacing w:line="360" w:lineRule="auto"/>
        <w:ind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From the present study, it is clear that organi</w:t>
      </w:r>
      <w:r>
        <w:rPr>
          <w:rFonts w:ascii="Times New Roman" w:eastAsia="Times New Roman" w:hAnsi="Times New Roman" w:cs="Times New Roman"/>
          <w:sz w:val="24"/>
          <w:szCs w:val="24"/>
        </w:rPr>
        <w:t xml:space="preserve">c manure application has got significant impact on stimulating soil microbial activity </w:t>
      </w:r>
      <w:proofErr w:type="spellStart"/>
      <w:r>
        <w:rPr>
          <w:rFonts w:ascii="Times New Roman" w:eastAsia="Times New Roman" w:hAnsi="Times New Roman" w:cs="Times New Roman"/>
          <w:i/>
          <w:sz w:val="24"/>
          <w:szCs w:val="24"/>
        </w:rPr>
        <w:t>ie</w:t>
      </w:r>
      <w:proofErr w:type="spellEnd"/>
      <w:r>
        <w:rPr>
          <w:rFonts w:ascii="Times New Roman" w:eastAsia="Times New Roman" w:hAnsi="Times New Roman" w:cs="Times New Roman"/>
          <w:sz w:val="24"/>
          <w:szCs w:val="24"/>
        </w:rPr>
        <w:t>., microbial biomass carbon, dehydrogenase and acid phosphatase activity and also improving the physical properties and macronutrient availability. The consistent enha</w:t>
      </w:r>
      <w:r>
        <w:rPr>
          <w:rFonts w:ascii="Times New Roman" w:eastAsia="Times New Roman" w:hAnsi="Times New Roman" w:cs="Times New Roman"/>
          <w:sz w:val="24"/>
          <w:szCs w:val="24"/>
        </w:rPr>
        <w:t>ncement of soil enzyme activities through vermicompost, biochar, farmyard manure and green leaf manure highlights their ability to energize microbial communities even under the anaerobic and reduced conditions typical of paddy soils. Their integration with</w:t>
      </w:r>
      <w:r>
        <w:rPr>
          <w:rFonts w:ascii="Times New Roman" w:eastAsia="Times New Roman" w:hAnsi="Times New Roman" w:cs="Times New Roman"/>
          <w:sz w:val="24"/>
          <w:szCs w:val="24"/>
        </w:rPr>
        <w:t xml:space="preserve"> soil-test-based fertilizer recommendations offers a practical pathway for </w:t>
      </w:r>
      <w:r>
        <w:rPr>
          <w:rFonts w:ascii="Times New Roman" w:eastAsia="Times New Roman" w:hAnsi="Times New Roman" w:cs="Times New Roman"/>
          <w:sz w:val="24"/>
          <w:szCs w:val="24"/>
        </w:rPr>
        <w:lastRenderedPageBreak/>
        <w:t>reducing dependency on chemical inputs while improving soil health. Overall, the study concludes that organic amendments like vermicompost and coconut husk biochar play a pivotal ro</w:t>
      </w:r>
      <w:r>
        <w:rPr>
          <w:rFonts w:ascii="Times New Roman" w:eastAsia="Times New Roman" w:hAnsi="Times New Roman" w:cs="Times New Roman"/>
          <w:sz w:val="24"/>
          <w:szCs w:val="24"/>
        </w:rPr>
        <w:t>le in revitalizing soil biological health and enzymatic functioning in wetland paddy soils, making them essential components for climate-smart and sustainable rice cultivation strategies.</w:t>
      </w:r>
    </w:p>
    <w:p w14:paraId="1C1AF7EE" w14:textId="77777777" w:rsidR="002A4EBF" w:rsidRDefault="00622FED">
      <w:pPr>
        <w:spacing w:line="360" w:lineRule="auto"/>
        <w:ind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47C0C678" w14:textId="62D241DD" w:rsidR="00431AC3" w:rsidRPr="006C3F0C" w:rsidRDefault="00431AC3" w:rsidP="006C3F0C">
      <w:pPr>
        <w:spacing w:line="360" w:lineRule="auto"/>
        <w:ind w:firstLine="0"/>
        <w:rPr>
          <w:rFonts w:ascii="Times New Roman" w:eastAsia="Times New Roman" w:hAnsi="Times New Roman" w:cs="Times New Roman"/>
          <w:sz w:val="24"/>
          <w:szCs w:val="24"/>
        </w:rPr>
      </w:pPr>
      <w:bookmarkStart w:id="1" w:name="_gjdgxs" w:colFirst="0" w:colLast="0"/>
      <w:bookmarkEnd w:id="1"/>
      <w:r w:rsidRPr="006C3F0C">
        <w:rPr>
          <w:rFonts w:ascii="Times New Roman" w:eastAsia="Times New Roman" w:hAnsi="Times New Roman" w:cs="Times New Roman"/>
          <w:sz w:val="24"/>
          <w:szCs w:val="24"/>
        </w:rPr>
        <w:t xml:space="preserve">Aira, M., Monroy, F., &amp; Domínguez, J. (2007). Earthworms strongly modify microbial biomass and activity triggering enzymatic activities during vermicomposting independently of the application rates of pig slurry. Science of the Total Environment, 385(1-3), 252-261. </w:t>
      </w:r>
      <w:hyperlink r:id="rId7" w:history="1">
        <w:r w:rsidRPr="006C3F0C">
          <w:rPr>
            <w:rStyle w:val="Hyperlink"/>
            <w:rFonts w:ascii="Times New Roman" w:eastAsia="Times New Roman" w:hAnsi="Times New Roman" w:cs="Times New Roman"/>
            <w:sz w:val="24"/>
            <w:szCs w:val="24"/>
          </w:rPr>
          <w:t>https://doi.org/10.1016/j.scitotenv.2007.06.031</w:t>
        </w:r>
      </w:hyperlink>
    </w:p>
    <w:p w14:paraId="550DB358" w14:textId="632DA58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Bhaduri, D., Sihi, D., Bhowmik, A., Verma, B. C., Munda, S., &amp; Dari, B. (2022). A review on effective soil health bio-indicators for ecosystem restoration and sustainability. Frontiers in Microbiology, 13, 938481. </w:t>
      </w:r>
      <w:hyperlink r:id="rId8" w:history="1">
        <w:r w:rsidRPr="006C3F0C">
          <w:rPr>
            <w:rStyle w:val="Hyperlink"/>
            <w:rFonts w:ascii="Times New Roman" w:eastAsia="Times New Roman" w:hAnsi="Times New Roman" w:cs="Times New Roman"/>
            <w:sz w:val="24"/>
            <w:szCs w:val="24"/>
          </w:rPr>
          <w:t>https://doi.org/10.3389/fmicb.2022.938481</w:t>
        </w:r>
      </w:hyperlink>
    </w:p>
    <w:p w14:paraId="5BD60CF3" w14:textId="59544123"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Bhavani, S., Shaker, K. C., Jayasree, G., &amp; Padmaja, B. (2017). Effects of </w:t>
      </w:r>
      <w:proofErr w:type="gramStart"/>
      <w:r w:rsidRPr="006C3F0C">
        <w:rPr>
          <w:rFonts w:ascii="Times New Roman" w:eastAsia="Times New Roman" w:hAnsi="Times New Roman" w:cs="Times New Roman"/>
          <w:sz w:val="24"/>
          <w:szCs w:val="24"/>
        </w:rPr>
        <w:t>long term</w:t>
      </w:r>
      <w:proofErr w:type="gramEnd"/>
      <w:r w:rsidRPr="006C3F0C">
        <w:rPr>
          <w:rFonts w:ascii="Times New Roman" w:eastAsia="Times New Roman" w:hAnsi="Times New Roman" w:cs="Times New Roman"/>
          <w:sz w:val="24"/>
          <w:szCs w:val="24"/>
        </w:rPr>
        <w:t xml:space="preserve"> application of inorganic and organic fertilizers on soil biological properties of rice. Journal of Pharmacognosy and Phytochemistry, 6(5), 1107-1110. </w:t>
      </w:r>
      <w:hyperlink r:id="rId9" w:history="1">
        <w:r w:rsidRPr="006C3F0C">
          <w:rPr>
            <w:rStyle w:val="Hyperlink"/>
            <w:rFonts w:ascii="Times New Roman" w:eastAsia="Times New Roman" w:hAnsi="Times New Roman" w:cs="Times New Roman"/>
            <w:sz w:val="24"/>
            <w:szCs w:val="24"/>
          </w:rPr>
          <w:t>https://www.phytojournal.com/archives/2017/vol6issue5/PartR/6-5-10-700.pdf</w:t>
        </w:r>
      </w:hyperlink>
    </w:p>
    <w:p w14:paraId="0B7165D4" w14:textId="7FCD1675"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Black, C. A., Evans, D. D., White, J. L., Ensminger, L. E., &amp; Clark, F. E. (1965). Methods of soil analysis. Part I: Physical and mineralogical properties, including statistics of measurement and sampling. American Society of Agronomy, Inc. </w:t>
      </w:r>
      <w:hyperlink r:id="rId10" w:history="1">
        <w:r w:rsidRPr="006C3F0C">
          <w:rPr>
            <w:rStyle w:val="Hyperlink"/>
            <w:rFonts w:ascii="Times New Roman" w:eastAsia="Times New Roman" w:hAnsi="Times New Roman" w:cs="Times New Roman"/>
            <w:sz w:val="24"/>
            <w:szCs w:val="24"/>
          </w:rPr>
          <w:t>https://doi.org/10.2134/agronmonogr9.1</w:t>
        </w:r>
      </w:hyperlink>
    </w:p>
    <w:p w14:paraId="04074577" w14:textId="222638D8"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 xml:space="preserve">Bray, R. H., &amp; Kurtz, L. T. (1945). Determination of total, organic, and available forms of phosphorus in soils. Soil Science, 59(1), 39–46. </w:t>
      </w:r>
      <w:hyperlink r:id="rId11" w:history="1">
        <w:r w:rsidRPr="006C3F0C">
          <w:rPr>
            <w:rStyle w:val="Hyperlink"/>
            <w:rFonts w:ascii="Times New Roman" w:eastAsia="Times New Roman" w:hAnsi="Times New Roman" w:cs="Times New Roman"/>
            <w:sz w:val="24"/>
            <w:szCs w:val="24"/>
          </w:rPr>
          <w:t>https://doi.org/10.1097/00010694-194501000-00006</w:t>
        </w:r>
      </w:hyperlink>
    </w:p>
    <w:p w14:paraId="611D7BCC" w14:textId="7484B9A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Bray, S. R., Kitajima, K., &amp; Mack, M. C. (2012). Temporal dynamics of microbial communities on decomposing leaf litter of 10 plant species in relation to decomposition rate. Soil Biology and Biochemistry, 49, 30–37. </w:t>
      </w:r>
      <w:hyperlink r:id="rId12" w:history="1">
        <w:r w:rsidRPr="006C3F0C">
          <w:rPr>
            <w:rStyle w:val="Hyperlink"/>
            <w:rFonts w:ascii="Times New Roman" w:eastAsia="Times New Roman" w:hAnsi="Times New Roman" w:cs="Times New Roman"/>
            <w:sz w:val="24"/>
            <w:szCs w:val="24"/>
          </w:rPr>
          <w:t>https://doi.org/10.1016/j.soilbio.2012.02.009</w:t>
        </w:r>
      </w:hyperlink>
    </w:p>
    <w:p w14:paraId="667D8AE8" w14:textId="6299FCC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Burns, R. G., </w:t>
      </w:r>
      <w:proofErr w:type="spellStart"/>
      <w:r w:rsidRPr="006C3F0C">
        <w:rPr>
          <w:rFonts w:ascii="Times New Roman" w:eastAsia="Times New Roman" w:hAnsi="Times New Roman" w:cs="Times New Roman"/>
          <w:sz w:val="24"/>
          <w:szCs w:val="24"/>
        </w:rPr>
        <w:t>DeForest</w:t>
      </w:r>
      <w:proofErr w:type="spellEnd"/>
      <w:r w:rsidRPr="006C3F0C">
        <w:rPr>
          <w:rFonts w:ascii="Times New Roman" w:eastAsia="Times New Roman" w:hAnsi="Times New Roman" w:cs="Times New Roman"/>
          <w:sz w:val="24"/>
          <w:szCs w:val="24"/>
        </w:rPr>
        <w:t xml:space="preserve">, J. L., Marxsen, J., Sinsabaugh, R. L., Stromberger, M. E., Wallenstein, M. D., Weintraub, M. N., &amp; </w:t>
      </w:r>
      <w:proofErr w:type="spellStart"/>
      <w:r w:rsidRPr="006C3F0C">
        <w:rPr>
          <w:rFonts w:ascii="Times New Roman" w:eastAsia="Times New Roman" w:hAnsi="Times New Roman" w:cs="Times New Roman"/>
          <w:sz w:val="24"/>
          <w:szCs w:val="24"/>
        </w:rPr>
        <w:t>Zoppini</w:t>
      </w:r>
      <w:proofErr w:type="spellEnd"/>
      <w:r w:rsidRPr="006C3F0C">
        <w:rPr>
          <w:rFonts w:ascii="Times New Roman" w:eastAsia="Times New Roman" w:hAnsi="Times New Roman" w:cs="Times New Roman"/>
          <w:sz w:val="24"/>
          <w:szCs w:val="24"/>
        </w:rPr>
        <w:t xml:space="preserve">, A. (2013). Soil enzymes in a changing environment: current knowledge and future directions. Soil Biology and Biochemistry, 58, 216-234. </w:t>
      </w:r>
      <w:hyperlink r:id="rId13" w:history="1">
        <w:r w:rsidRPr="006C3F0C">
          <w:rPr>
            <w:rStyle w:val="Hyperlink"/>
            <w:rFonts w:ascii="Times New Roman" w:eastAsia="Times New Roman" w:hAnsi="Times New Roman" w:cs="Times New Roman"/>
            <w:sz w:val="24"/>
            <w:szCs w:val="24"/>
          </w:rPr>
          <w:t>https://doi.org/10.1016/j.soilbio.2012.11.009</w:t>
        </w:r>
      </w:hyperlink>
    </w:p>
    <w:p w14:paraId="1ECE001A" w14:textId="674A245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Casida, L. E., Klein, D. A., &amp; Santoro, T. (1964). Soil dehydrogenase activity. Soil Science, 98(6), 371–376. </w:t>
      </w:r>
      <w:hyperlink r:id="rId14" w:history="1">
        <w:r w:rsidRPr="006C3F0C">
          <w:rPr>
            <w:rStyle w:val="Hyperlink"/>
            <w:rFonts w:ascii="Times New Roman" w:eastAsia="Times New Roman" w:hAnsi="Times New Roman" w:cs="Times New Roman"/>
            <w:sz w:val="24"/>
            <w:szCs w:val="24"/>
          </w:rPr>
          <w:t>https://doi.org/10.1097/00010694-196412000-00004</w:t>
        </w:r>
      </w:hyperlink>
    </w:p>
    <w:p w14:paraId="100ECCC8" w14:textId="2E4C1D8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Castellini, M., Bondì, C., Giglio, L., &amp; Iovino, M. (2024). Impact of vermicompost addition on water availability of differently textured soils. </w:t>
      </w:r>
      <w:proofErr w:type="spellStart"/>
      <w:r w:rsidRPr="006C3F0C">
        <w:rPr>
          <w:rFonts w:ascii="Times New Roman" w:eastAsia="Times New Roman" w:hAnsi="Times New Roman" w:cs="Times New Roman"/>
          <w:sz w:val="24"/>
          <w:szCs w:val="24"/>
        </w:rPr>
        <w:t>Heliyon</w:t>
      </w:r>
      <w:proofErr w:type="spellEnd"/>
      <w:r w:rsidRPr="006C3F0C">
        <w:rPr>
          <w:rFonts w:ascii="Times New Roman" w:eastAsia="Times New Roman" w:hAnsi="Times New Roman" w:cs="Times New Roman"/>
          <w:sz w:val="24"/>
          <w:szCs w:val="24"/>
        </w:rPr>
        <w:t xml:space="preserve">, 10(15), e35699. </w:t>
      </w:r>
      <w:hyperlink r:id="rId15" w:history="1">
        <w:r w:rsidRPr="006C3F0C">
          <w:rPr>
            <w:rStyle w:val="Hyperlink"/>
            <w:rFonts w:ascii="Times New Roman" w:eastAsia="Times New Roman" w:hAnsi="Times New Roman" w:cs="Times New Roman"/>
            <w:sz w:val="24"/>
            <w:szCs w:val="24"/>
          </w:rPr>
          <w:t>https://doi.org/10.1016/j.heliyon.2024.e35699</w:t>
        </w:r>
      </w:hyperlink>
    </w:p>
    <w:p w14:paraId="6FBB9ADA" w14:textId="38A3FD6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Chahal, S. S., Choudhary, O. P., &amp; Mavi, M. S. (2017). Organic amendments decomposability influences microbial activity in saline soils. Archives of Agronomy and Soil Science, 63(13), 1875-1888. </w:t>
      </w:r>
      <w:hyperlink r:id="rId16" w:history="1">
        <w:r w:rsidRPr="006C3F0C">
          <w:rPr>
            <w:rStyle w:val="Hyperlink"/>
            <w:rFonts w:ascii="Times New Roman" w:eastAsia="Times New Roman" w:hAnsi="Times New Roman" w:cs="Times New Roman"/>
            <w:sz w:val="24"/>
            <w:szCs w:val="24"/>
          </w:rPr>
          <w:t>https://doi.org/10.1080/03650340.2017.1308491</w:t>
        </w:r>
      </w:hyperlink>
    </w:p>
    <w:p w14:paraId="79F5E1F3" w14:textId="785A4CB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Chahal, S. S., Choudhary, O. P., &amp; Mavi, M. S. (2017). Organic amendments decomposability influences microbial activity in saline soils. Archives of Agronomy and Soil Science, 63(13), 1875-1888. </w:t>
      </w:r>
      <w:hyperlink r:id="rId17" w:history="1">
        <w:r w:rsidRPr="006C3F0C">
          <w:rPr>
            <w:rStyle w:val="Hyperlink"/>
            <w:rFonts w:ascii="Times New Roman" w:eastAsia="Times New Roman" w:hAnsi="Times New Roman" w:cs="Times New Roman"/>
            <w:sz w:val="24"/>
            <w:szCs w:val="24"/>
          </w:rPr>
          <w:t>https://doi.org/10.1080/03650340.2017.1308491</w:t>
        </w:r>
      </w:hyperlink>
    </w:p>
    <w:p w14:paraId="00EB08FA" w14:textId="3343913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Chang, E. H., Chung, R. S., &amp; Tsai, Y. H. (2007). Effect of different application rates of organic fertilizer on soil enzyme activity and microbial population. Soil Science and Plant Nutrition, 53(2), 132-140. </w:t>
      </w:r>
      <w:hyperlink r:id="rId18" w:history="1">
        <w:r w:rsidRPr="006C3F0C">
          <w:rPr>
            <w:rStyle w:val="Hyperlink"/>
            <w:rFonts w:ascii="Times New Roman" w:eastAsia="Times New Roman" w:hAnsi="Times New Roman" w:cs="Times New Roman"/>
            <w:sz w:val="24"/>
            <w:szCs w:val="24"/>
          </w:rPr>
          <w:t>https://doi.org/10.1111/j.1747-0765.2007.00122.x</w:t>
        </w:r>
      </w:hyperlink>
    </w:p>
    <w:p w14:paraId="10B1C111" w14:textId="3E937A1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Chaudhary, N., Lal, S., Singh, R., Meena, M., Meena, S. S., Meena, R. D., </w:t>
      </w:r>
      <w:proofErr w:type="spellStart"/>
      <w:r w:rsidRPr="006C3F0C">
        <w:rPr>
          <w:rFonts w:ascii="Times New Roman" w:eastAsia="Times New Roman" w:hAnsi="Times New Roman" w:cs="Times New Roman"/>
          <w:sz w:val="24"/>
          <w:szCs w:val="24"/>
        </w:rPr>
        <w:t>Aishwath</w:t>
      </w:r>
      <w:proofErr w:type="spellEnd"/>
      <w:r w:rsidRPr="006C3F0C">
        <w:rPr>
          <w:rFonts w:ascii="Times New Roman" w:eastAsia="Times New Roman" w:hAnsi="Times New Roman" w:cs="Times New Roman"/>
          <w:sz w:val="24"/>
          <w:szCs w:val="24"/>
        </w:rPr>
        <w:t xml:space="preserve">, O. P., Sharma, Y. K., Jangir, C. K., Bhardwaj, V., et al. (2025). Effect of organic amendments on sustainable production, quality and soil fertility in nigella (Nigella sativa L.). Discover Agriculture, 3(1), 39. </w:t>
      </w:r>
      <w:hyperlink r:id="rId19" w:history="1">
        <w:r w:rsidRPr="006C3F0C">
          <w:rPr>
            <w:rStyle w:val="Hyperlink"/>
            <w:rFonts w:ascii="Times New Roman" w:eastAsia="Times New Roman" w:hAnsi="Times New Roman" w:cs="Times New Roman"/>
            <w:sz w:val="24"/>
            <w:szCs w:val="24"/>
          </w:rPr>
          <w:t>https://doi.org/10.1007/s44279-025-00183-x</w:t>
        </w:r>
      </w:hyperlink>
    </w:p>
    <w:p w14:paraId="5AC727BA" w14:textId="2CF3B7E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Das, S. K., Ghosh, G. K., </w:t>
      </w:r>
      <w:proofErr w:type="spellStart"/>
      <w:r w:rsidRPr="006C3F0C">
        <w:rPr>
          <w:rFonts w:ascii="Times New Roman" w:eastAsia="Times New Roman" w:hAnsi="Times New Roman" w:cs="Times New Roman"/>
          <w:sz w:val="24"/>
          <w:szCs w:val="24"/>
        </w:rPr>
        <w:t>Avasthe</w:t>
      </w:r>
      <w:proofErr w:type="spellEnd"/>
      <w:r w:rsidRPr="006C3F0C">
        <w:rPr>
          <w:rFonts w:ascii="Times New Roman" w:eastAsia="Times New Roman" w:hAnsi="Times New Roman" w:cs="Times New Roman"/>
          <w:sz w:val="24"/>
          <w:szCs w:val="24"/>
        </w:rPr>
        <w:t xml:space="preserve">, R., Choudhury, B. U., Mishra, V. K., Kundu, M. C., Roy, A., Mondal, T., Lama, A., &amp; </w:t>
      </w:r>
      <w:proofErr w:type="spellStart"/>
      <w:r w:rsidRPr="006C3F0C">
        <w:rPr>
          <w:rFonts w:ascii="Times New Roman" w:eastAsia="Times New Roman" w:hAnsi="Times New Roman" w:cs="Times New Roman"/>
          <w:sz w:val="24"/>
          <w:szCs w:val="24"/>
        </w:rPr>
        <w:t>Dhakre</w:t>
      </w:r>
      <w:proofErr w:type="spellEnd"/>
      <w:r w:rsidRPr="006C3F0C">
        <w:rPr>
          <w:rFonts w:ascii="Times New Roman" w:eastAsia="Times New Roman" w:hAnsi="Times New Roman" w:cs="Times New Roman"/>
          <w:sz w:val="24"/>
          <w:szCs w:val="24"/>
        </w:rPr>
        <w:t xml:space="preserve">, D. S. (2023). Organic nutrient sources and biochar technology on microbial biomass carbon and soil enzyme activity in maize-black gram cropping system. Biomass Conversion and Biorefinery, 13(10), 9277-9287. </w:t>
      </w:r>
      <w:hyperlink r:id="rId20" w:history="1">
        <w:r w:rsidRPr="006C3F0C">
          <w:rPr>
            <w:rStyle w:val="Hyperlink"/>
            <w:rFonts w:ascii="Times New Roman" w:eastAsia="Times New Roman" w:hAnsi="Times New Roman" w:cs="Times New Roman"/>
            <w:sz w:val="24"/>
            <w:szCs w:val="24"/>
          </w:rPr>
          <w:t>https://doi.org/10.1007/s13399-021-01625-4</w:t>
        </w:r>
      </w:hyperlink>
    </w:p>
    <w:p w14:paraId="35FD3732" w14:textId="63EB3DA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Gazi, A., Maity, A., Khatua, N., Sengupta, S., Kundu, S., &amp; Sarkar, T. (2024). Effect of vermicompost on soil quality and crop productivity. International Journal of Agriculture Extension and Social Development, 7, 13-23. </w:t>
      </w:r>
      <w:hyperlink r:id="rId21" w:history="1">
        <w:r w:rsidRPr="006C3F0C">
          <w:rPr>
            <w:rStyle w:val="Hyperlink"/>
            <w:rFonts w:ascii="Times New Roman" w:eastAsia="Times New Roman" w:hAnsi="Times New Roman" w:cs="Times New Roman"/>
            <w:sz w:val="24"/>
            <w:szCs w:val="24"/>
          </w:rPr>
          <w:t>https://doi.org/10.33545/26180723.2024.v7.i4Sa.517</w:t>
        </w:r>
      </w:hyperlink>
    </w:p>
    <w:p w14:paraId="50FBF499" w14:textId="7433C3B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Gebrekidan, L., </w:t>
      </w:r>
      <w:proofErr w:type="spellStart"/>
      <w:r w:rsidRPr="006C3F0C">
        <w:rPr>
          <w:rFonts w:ascii="Times New Roman" w:eastAsia="Times New Roman" w:hAnsi="Times New Roman" w:cs="Times New Roman"/>
          <w:sz w:val="24"/>
          <w:szCs w:val="24"/>
        </w:rPr>
        <w:t>Wogi</w:t>
      </w:r>
      <w:proofErr w:type="spellEnd"/>
      <w:r w:rsidRPr="006C3F0C">
        <w:rPr>
          <w:rFonts w:ascii="Times New Roman" w:eastAsia="Times New Roman" w:hAnsi="Times New Roman" w:cs="Times New Roman"/>
          <w:sz w:val="24"/>
          <w:szCs w:val="24"/>
        </w:rPr>
        <w:t xml:space="preserve">, L., &amp; Chimdi, A. (2025). Integrated effect of NPS and vermicompost addition on the selected soil properties at the Bako Agricultural Research </w:t>
      </w:r>
      <w:proofErr w:type="spellStart"/>
      <w:r w:rsidRPr="006C3F0C">
        <w:rPr>
          <w:rFonts w:ascii="Times New Roman" w:eastAsia="Times New Roman" w:hAnsi="Times New Roman" w:cs="Times New Roman"/>
          <w:sz w:val="24"/>
          <w:szCs w:val="24"/>
        </w:rPr>
        <w:t>Center</w:t>
      </w:r>
      <w:proofErr w:type="spellEnd"/>
      <w:r w:rsidRPr="006C3F0C">
        <w:rPr>
          <w:rFonts w:ascii="Times New Roman" w:eastAsia="Times New Roman" w:hAnsi="Times New Roman" w:cs="Times New Roman"/>
          <w:sz w:val="24"/>
          <w:szCs w:val="24"/>
        </w:rPr>
        <w:t xml:space="preserve"> in </w:t>
      </w:r>
      <w:proofErr w:type="spellStart"/>
      <w:r w:rsidRPr="006C3F0C">
        <w:rPr>
          <w:rFonts w:ascii="Times New Roman" w:eastAsia="Times New Roman" w:hAnsi="Times New Roman" w:cs="Times New Roman"/>
          <w:sz w:val="24"/>
          <w:szCs w:val="24"/>
        </w:rPr>
        <w:t>Gobu</w:t>
      </w:r>
      <w:proofErr w:type="spellEnd"/>
      <w:r w:rsidRPr="006C3F0C">
        <w:rPr>
          <w:rFonts w:ascii="Times New Roman" w:eastAsia="Times New Roman" w:hAnsi="Times New Roman" w:cs="Times New Roman"/>
          <w:sz w:val="24"/>
          <w:szCs w:val="24"/>
        </w:rPr>
        <w:t xml:space="preserve"> </w:t>
      </w:r>
      <w:proofErr w:type="spellStart"/>
      <w:r w:rsidRPr="006C3F0C">
        <w:rPr>
          <w:rFonts w:ascii="Times New Roman" w:eastAsia="Times New Roman" w:hAnsi="Times New Roman" w:cs="Times New Roman"/>
          <w:sz w:val="24"/>
          <w:szCs w:val="24"/>
        </w:rPr>
        <w:t>Sayo</w:t>
      </w:r>
      <w:proofErr w:type="spellEnd"/>
      <w:r w:rsidRPr="006C3F0C">
        <w:rPr>
          <w:rFonts w:ascii="Times New Roman" w:eastAsia="Times New Roman" w:hAnsi="Times New Roman" w:cs="Times New Roman"/>
          <w:sz w:val="24"/>
          <w:szCs w:val="24"/>
        </w:rPr>
        <w:t xml:space="preserve"> </w:t>
      </w:r>
      <w:r w:rsidRPr="006C3F0C">
        <w:rPr>
          <w:rFonts w:ascii="Times New Roman" w:eastAsia="Times New Roman" w:hAnsi="Times New Roman" w:cs="Times New Roman"/>
          <w:sz w:val="24"/>
          <w:szCs w:val="24"/>
        </w:rPr>
        <w:lastRenderedPageBreak/>
        <w:t xml:space="preserve">District Western Oromia, Ethiopia. </w:t>
      </w:r>
      <w:proofErr w:type="spellStart"/>
      <w:r w:rsidRPr="006C3F0C">
        <w:rPr>
          <w:rFonts w:ascii="Times New Roman" w:eastAsia="Times New Roman" w:hAnsi="Times New Roman" w:cs="Times New Roman"/>
          <w:sz w:val="24"/>
          <w:szCs w:val="24"/>
        </w:rPr>
        <w:t>Discov</w:t>
      </w:r>
      <w:proofErr w:type="spellEnd"/>
      <w:r w:rsidRPr="006C3F0C">
        <w:rPr>
          <w:rFonts w:ascii="Times New Roman" w:eastAsia="Times New Roman" w:hAnsi="Times New Roman" w:cs="Times New Roman"/>
          <w:sz w:val="24"/>
          <w:szCs w:val="24"/>
        </w:rPr>
        <w:t xml:space="preserve"> Agric, 3, 27. </w:t>
      </w:r>
      <w:hyperlink r:id="rId22" w:history="1">
        <w:r w:rsidRPr="006C3F0C">
          <w:rPr>
            <w:rStyle w:val="Hyperlink"/>
            <w:rFonts w:ascii="Times New Roman" w:eastAsia="Times New Roman" w:hAnsi="Times New Roman" w:cs="Times New Roman"/>
            <w:sz w:val="24"/>
            <w:szCs w:val="24"/>
          </w:rPr>
          <w:t>https://doi.org/10.1007/s44279-024-00129-9</w:t>
        </w:r>
      </w:hyperlink>
    </w:p>
    <w:p w14:paraId="30C19070" w14:textId="2FE1F088"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George, B. S., Ashique, T. K., &amp; Binitha, N. K. (2017). Assessment of microbial properties of </w:t>
      </w:r>
      <w:proofErr w:type="spellStart"/>
      <w:r w:rsidRPr="006C3F0C">
        <w:rPr>
          <w:rFonts w:ascii="Times New Roman" w:eastAsia="Times New Roman" w:hAnsi="Times New Roman" w:cs="Times New Roman"/>
          <w:sz w:val="24"/>
          <w:szCs w:val="24"/>
        </w:rPr>
        <w:t>Pokkali</w:t>
      </w:r>
      <w:proofErr w:type="spellEnd"/>
      <w:r w:rsidRPr="006C3F0C">
        <w:rPr>
          <w:rFonts w:ascii="Times New Roman" w:eastAsia="Times New Roman" w:hAnsi="Times New Roman" w:cs="Times New Roman"/>
          <w:sz w:val="24"/>
          <w:szCs w:val="24"/>
        </w:rPr>
        <w:t xml:space="preserve"> soil in Kerala, India. International Journal of Current Microbiology and Applied Sciences, 6(12), 1964-1967. </w:t>
      </w:r>
      <w:hyperlink r:id="rId23" w:history="1">
        <w:r w:rsidRPr="006C3F0C">
          <w:rPr>
            <w:rStyle w:val="Hyperlink"/>
            <w:rFonts w:ascii="Times New Roman" w:eastAsia="Times New Roman" w:hAnsi="Times New Roman" w:cs="Times New Roman"/>
            <w:sz w:val="24"/>
            <w:szCs w:val="24"/>
          </w:rPr>
          <w:t>https://doi.org/10.20546/ijcmas.2017.612.224</w:t>
        </w:r>
      </w:hyperlink>
    </w:p>
    <w:p w14:paraId="31D3EA5F" w14:textId="74350303"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Haque, A. N. A., Uddin, M. K., Sulaiman, M. F., Amin, A. M</w:t>
      </w:r>
      <w:r w:rsidRPr="006C3F0C">
        <w:rPr>
          <w:rFonts w:ascii="Times New Roman" w:eastAsia="Times New Roman" w:hAnsi="Times New Roman" w:cs="Times New Roman"/>
          <w:sz w:val="24"/>
          <w:szCs w:val="24"/>
        </w:rPr>
        <w:t xml:space="preserve">., Hossain, M., </w:t>
      </w:r>
      <w:proofErr w:type="spellStart"/>
      <w:r w:rsidRPr="006C3F0C">
        <w:rPr>
          <w:rFonts w:ascii="Times New Roman" w:eastAsia="Times New Roman" w:hAnsi="Times New Roman" w:cs="Times New Roman"/>
          <w:sz w:val="24"/>
          <w:szCs w:val="24"/>
        </w:rPr>
        <w:t>Zaibon</w:t>
      </w:r>
      <w:proofErr w:type="spellEnd"/>
      <w:r w:rsidRPr="006C3F0C">
        <w:rPr>
          <w:rFonts w:ascii="Times New Roman" w:eastAsia="Times New Roman" w:hAnsi="Times New Roman" w:cs="Times New Roman"/>
          <w:sz w:val="24"/>
          <w:szCs w:val="24"/>
        </w:rPr>
        <w:t xml:space="preserve">, S., &amp; </w:t>
      </w:r>
      <w:proofErr w:type="spellStart"/>
      <w:r w:rsidRPr="006C3F0C">
        <w:rPr>
          <w:rFonts w:ascii="Times New Roman" w:eastAsia="Times New Roman" w:hAnsi="Times New Roman" w:cs="Times New Roman"/>
          <w:sz w:val="24"/>
          <w:szCs w:val="24"/>
        </w:rPr>
        <w:t>Mosharrof</w:t>
      </w:r>
      <w:proofErr w:type="spellEnd"/>
      <w:r w:rsidRPr="006C3F0C">
        <w:rPr>
          <w:rFonts w:ascii="Times New Roman" w:eastAsia="Times New Roman" w:hAnsi="Times New Roman" w:cs="Times New Roman"/>
          <w:sz w:val="24"/>
          <w:szCs w:val="24"/>
        </w:rPr>
        <w:t>, M. 2021. Assessing the increase in soil moisture storage capacity and nutrient enhancement of different organic amendments in paddy soil. </w:t>
      </w:r>
      <w:r w:rsidRPr="006C3F0C">
        <w:rPr>
          <w:rFonts w:ascii="Times New Roman" w:eastAsia="Times New Roman" w:hAnsi="Times New Roman" w:cs="Times New Roman"/>
          <w:i/>
          <w:sz w:val="24"/>
          <w:szCs w:val="24"/>
        </w:rPr>
        <w:t>Agriculture</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11</w:t>
      </w:r>
      <w:r w:rsidRPr="006C3F0C">
        <w:rPr>
          <w:rFonts w:ascii="Times New Roman" w:eastAsia="Times New Roman" w:hAnsi="Times New Roman" w:cs="Times New Roman"/>
          <w:sz w:val="24"/>
          <w:szCs w:val="24"/>
        </w:rPr>
        <w:t>(1): 44. https://doi.org/10.3390/agriculture11010044</w:t>
      </w:r>
    </w:p>
    <w:p w14:paraId="4E64072A" w14:textId="6B3C47E5"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Huang, K., Zhang, J., Tang, G., Bao, D., Wang, T., &amp; Kong, D. (2023). Impacts and mechanisms of biochar on soil microorganisms. Plant, Soil and Environment, 69(2), 45-54. </w:t>
      </w:r>
      <w:hyperlink r:id="rId24" w:history="1">
        <w:r w:rsidRPr="006C3F0C">
          <w:rPr>
            <w:rStyle w:val="Hyperlink"/>
            <w:rFonts w:ascii="Times New Roman" w:eastAsia="Times New Roman" w:hAnsi="Times New Roman" w:cs="Times New Roman"/>
            <w:sz w:val="24"/>
            <w:szCs w:val="24"/>
          </w:rPr>
          <w:t>https://doi.org/10.17221/348/2022-PSE</w:t>
        </w:r>
      </w:hyperlink>
    </w:p>
    <w:p w14:paraId="002FF62D" w14:textId="3D8CEC3A"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Hussain, N., &amp; Abbasi, S. A. (2018). Efficacy of the </w:t>
      </w:r>
      <w:proofErr w:type="spellStart"/>
      <w:r w:rsidRPr="006C3F0C">
        <w:rPr>
          <w:rFonts w:ascii="Times New Roman" w:eastAsia="Times New Roman" w:hAnsi="Times New Roman" w:cs="Times New Roman"/>
          <w:sz w:val="24"/>
          <w:szCs w:val="24"/>
        </w:rPr>
        <w:t>Vermicomposts</w:t>
      </w:r>
      <w:proofErr w:type="spellEnd"/>
      <w:r w:rsidRPr="006C3F0C">
        <w:rPr>
          <w:rFonts w:ascii="Times New Roman" w:eastAsia="Times New Roman" w:hAnsi="Times New Roman" w:cs="Times New Roman"/>
          <w:sz w:val="24"/>
          <w:szCs w:val="24"/>
        </w:rPr>
        <w:t xml:space="preserve"> of Different Organic Wastes as “Clean” Fertilizers: State-of-the-Art. Sustainability, 10(4), 1205. </w:t>
      </w:r>
      <w:hyperlink r:id="rId25" w:history="1">
        <w:r w:rsidRPr="006C3F0C">
          <w:rPr>
            <w:rStyle w:val="Hyperlink"/>
            <w:rFonts w:ascii="Times New Roman" w:eastAsia="Times New Roman" w:hAnsi="Times New Roman" w:cs="Times New Roman"/>
            <w:sz w:val="24"/>
            <w:szCs w:val="24"/>
          </w:rPr>
          <w:t>https://doi.org/10.3390/su10041205</w:t>
        </w:r>
      </w:hyperlink>
    </w:p>
    <w:p w14:paraId="2675703B" w14:textId="658D7E37" w:rsidR="002A4EBF" w:rsidRPr="006C3F0C" w:rsidRDefault="00622FED"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color w:val="0D0D0D" w:themeColor="text1" w:themeTint="F2"/>
          <w:sz w:val="24"/>
          <w:szCs w:val="24"/>
        </w:rPr>
        <w:t>Jackson</w:t>
      </w:r>
      <w:r w:rsidRPr="006C3F0C">
        <w:rPr>
          <w:rFonts w:ascii="Times New Roman" w:eastAsia="Times New Roman" w:hAnsi="Times New Roman" w:cs="Times New Roman"/>
          <w:color w:val="0D0D0D" w:themeColor="text1" w:themeTint="F2"/>
          <w:sz w:val="24"/>
          <w:szCs w:val="24"/>
        </w:rPr>
        <w:t>,</w:t>
      </w:r>
      <w:r w:rsidR="0043128A" w:rsidRPr="006C3F0C">
        <w:rPr>
          <w:rFonts w:ascii="Times New Roman" w:eastAsia="Times New Roman" w:hAnsi="Times New Roman" w:cs="Times New Roman"/>
          <w:color w:val="0D0D0D" w:themeColor="text1" w:themeTint="F2"/>
          <w:sz w:val="24"/>
          <w:szCs w:val="24"/>
        </w:rPr>
        <w:t xml:space="preserve"> M.L.</w:t>
      </w:r>
      <w:r w:rsidRPr="006C3F0C">
        <w:rPr>
          <w:rFonts w:ascii="Times New Roman" w:eastAsia="Times New Roman" w:hAnsi="Times New Roman" w:cs="Times New Roman"/>
          <w:color w:val="0D0D0D" w:themeColor="text1" w:themeTint="F2"/>
          <w:sz w:val="24"/>
          <w:szCs w:val="24"/>
        </w:rPr>
        <w:t xml:space="preserve"> 1973</w:t>
      </w:r>
      <w:r w:rsidR="0043128A" w:rsidRPr="006C3F0C">
        <w:rPr>
          <w:rFonts w:ascii="Times New Roman" w:eastAsia="Times New Roman" w:hAnsi="Times New Roman" w:cs="Times New Roman"/>
          <w:color w:val="0D0D0D" w:themeColor="text1" w:themeTint="F2"/>
          <w:sz w:val="24"/>
          <w:szCs w:val="24"/>
        </w:rPr>
        <w:t>. Soil Chemical analysis (2</w:t>
      </w:r>
      <w:r w:rsidR="0043128A" w:rsidRPr="006C3F0C">
        <w:rPr>
          <w:rFonts w:ascii="Times New Roman" w:eastAsia="Times New Roman" w:hAnsi="Times New Roman" w:cs="Times New Roman"/>
          <w:color w:val="0D0D0D" w:themeColor="text1" w:themeTint="F2"/>
          <w:sz w:val="24"/>
          <w:szCs w:val="24"/>
          <w:vertAlign w:val="superscript"/>
        </w:rPr>
        <w:t>nd</w:t>
      </w:r>
      <w:r w:rsidR="0043128A" w:rsidRPr="006C3F0C">
        <w:rPr>
          <w:rFonts w:ascii="Times New Roman" w:eastAsia="Times New Roman" w:hAnsi="Times New Roman" w:cs="Times New Roman"/>
          <w:color w:val="0D0D0D" w:themeColor="text1" w:themeTint="F2"/>
          <w:sz w:val="24"/>
          <w:szCs w:val="24"/>
        </w:rPr>
        <w:t xml:space="preserve"> edition). Prentice Hall of India (Pvt) Ltd. New Delhi, 148p.</w:t>
      </w:r>
    </w:p>
    <w:p w14:paraId="59BC8F78" w14:textId="098B83E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Jadhao, V. H., </w:t>
      </w:r>
      <w:proofErr w:type="spellStart"/>
      <w:r w:rsidRPr="006C3F0C">
        <w:rPr>
          <w:rFonts w:ascii="Times New Roman" w:eastAsia="Times New Roman" w:hAnsi="Times New Roman" w:cs="Times New Roman"/>
          <w:sz w:val="24"/>
          <w:szCs w:val="24"/>
        </w:rPr>
        <w:t>Gabhane</w:t>
      </w:r>
      <w:proofErr w:type="spellEnd"/>
      <w:r w:rsidRPr="006C3F0C">
        <w:rPr>
          <w:rFonts w:ascii="Times New Roman" w:eastAsia="Times New Roman" w:hAnsi="Times New Roman" w:cs="Times New Roman"/>
          <w:sz w:val="24"/>
          <w:szCs w:val="24"/>
        </w:rPr>
        <w:t xml:space="preserve">, V. V., Chandel, A., &amp; Satpute, U. (2019). Effect of potash management through </w:t>
      </w:r>
      <w:proofErr w:type="spellStart"/>
      <w:r w:rsidRPr="006C3F0C">
        <w:rPr>
          <w:rFonts w:ascii="Times New Roman" w:eastAsia="Times New Roman" w:hAnsi="Times New Roman" w:cs="Times New Roman"/>
          <w:sz w:val="24"/>
          <w:szCs w:val="24"/>
        </w:rPr>
        <w:t>gliricidia</w:t>
      </w:r>
      <w:proofErr w:type="spellEnd"/>
      <w:r w:rsidRPr="006C3F0C">
        <w:rPr>
          <w:rFonts w:ascii="Times New Roman" w:eastAsia="Times New Roman" w:hAnsi="Times New Roman" w:cs="Times New Roman"/>
          <w:sz w:val="24"/>
          <w:szCs w:val="24"/>
        </w:rPr>
        <w:t xml:space="preserve"> green leaf manuring on </w:t>
      </w:r>
      <w:proofErr w:type="spellStart"/>
      <w:r w:rsidRPr="006C3F0C">
        <w:rPr>
          <w:rFonts w:ascii="Times New Roman" w:eastAsia="Times New Roman" w:hAnsi="Times New Roman" w:cs="Times New Roman"/>
          <w:sz w:val="24"/>
          <w:szCs w:val="24"/>
        </w:rPr>
        <w:t>physico</w:t>
      </w:r>
      <w:proofErr w:type="spellEnd"/>
      <w:r w:rsidRPr="006C3F0C">
        <w:rPr>
          <w:rFonts w:ascii="Times New Roman" w:eastAsia="Times New Roman" w:hAnsi="Times New Roman" w:cs="Times New Roman"/>
          <w:sz w:val="24"/>
          <w:szCs w:val="24"/>
        </w:rPr>
        <w:t xml:space="preserve">-chemical and biological properties of </w:t>
      </w:r>
      <w:proofErr w:type="spellStart"/>
      <w:r w:rsidRPr="006C3F0C">
        <w:rPr>
          <w:rFonts w:ascii="Times New Roman" w:eastAsia="Times New Roman" w:hAnsi="Times New Roman" w:cs="Times New Roman"/>
          <w:sz w:val="24"/>
          <w:szCs w:val="24"/>
        </w:rPr>
        <w:t>vertisols</w:t>
      </w:r>
      <w:proofErr w:type="spellEnd"/>
      <w:r w:rsidRPr="006C3F0C">
        <w:rPr>
          <w:rFonts w:ascii="Times New Roman" w:eastAsia="Times New Roman" w:hAnsi="Times New Roman" w:cs="Times New Roman"/>
          <w:sz w:val="24"/>
          <w:szCs w:val="24"/>
        </w:rPr>
        <w:t xml:space="preserve">. Journal of Pharmacognosy and Phytochemistry, 8(6), 2162-2166. </w:t>
      </w:r>
      <w:hyperlink r:id="rId26" w:history="1">
        <w:r w:rsidRPr="006C3F0C">
          <w:rPr>
            <w:rStyle w:val="Hyperlink"/>
            <w:rFonts w:ascii="Times New Roman" w:eastAsia="Times New Roman" w:hAnsi="Times New Roman" w:cs="Times New Roman"/>
            <w:sz w:val="24"/>
            <w:szCs w:val="24"/>
          </w:rPr>
          <w:t>https://www.phytojournal.com/archives/2019/vol8issue6/PartAD/8-6-112-376.pdf</w:t>
        </w:r>
      </w:hyperlink>
    </w:p>
    <w:p w14:paraId="06F529A5" w14:textId="2EFE5B06"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Joergensen, R. G. (1995). Microbial biomass. In K. Alef &amp; P. </w:t>
      </w:r>
      <w:proofErr w:type="spellStart"/>
      <w:r w:rsidRPr="006C3F0C">
        <w:rPr>
          <w:rFonts w:ascii="Times New Roman" w:eastAsia="Times New Roman" w:hAnsi="Times New Roman" w:cs="Times New Roman"/>
          <w:sz w:val="24"/>
          <w:szCs w:val="24"/>
        </w:rPr>
        <w:t>Nannipieri</w:t>
      </w:r>
      <w:proofErr w:type="spellEnd"/>
      <w:r w:rsidRPr="006C3F0C">
        <w:rPr>
          <w:rFonts w:ascii="Times New Roman" w:eastAsia="Times New Roman" w:hAnsi="Times New Roman" w:cs="Times New Roman"/>
          <w:sz w:val="24"/>
          <w:szCs w:val="24"/>
        </w:rPr>
        <w:t xml:space="preserve"> (Eds.), Methods in applied soil microbiology and biochemistry (pp. 382–386). Academic Press. </w:t>
      </w:r>
      <w:hyperlink r:id="rId27" w:history="1">
        <w:r w:rsidRPr="006C3F0C">
          <w:rPr>
            <w:rStyle w:val="Hyperlink"/>
            <w:rFonts w:ascii="Times New Roman" w:eastAsia="Times New Roman" w:hAnsi="Times New Roman" w:cs="Times New Roman"/>
            <w:sz w:val="24"/>
            <w:szCs w:val="24"/>
          </w:rPr>
          <w:t>https://www.elsevier.com/books/methods-in-applied-soil-microbiology-and-biochemistry/alef/978-0-12-513840-6</w:t>
        </w:r>
      </w:hyperlink>
    </w:p>
    <w:p w14:paraId="0991A458" w14:textId="76EF8A5F"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Joseph, S., Cowie, A. L., Van </w:t>
      </w:r>
      <w:proofErr w:type="spellStart"/>
      <w:r w:rsidRPr="006C3F0C">
        <w:rPr>
          <w:rFonts w:ascii="Times New Roman" w:eastAsia="Times New Roman" w:hAnsi="Times New Roman" w:cs="Times New Roman"/>
          <w:sz w:val="24"/>
          <w:szCs w:val="24"/>
        </w:rPr>
        <w:t>Zwieten</w:t>
      </w:r>
      <w:proofErr w:type="spellEnd"/>
      <w:r w:rsidRPr="006C3F0C">
        <w:rPr>
          <w:rFonts w:ascii="Times New Roman" w:eastAsia="Times New Roman" w:hAnsi="Times New Roman" w:cs="Times New Roman"/>
          <w:sz w:val="24"/>
          <w:szCs w:val="24"/>
        </w:rPr>
        <w:t xml:space="preserve">, L., Bolan, N., Budai, A., Buss, W., </w:t>
      </w:r>
      <w:proofErr w:type="spellStart"/>
      <w:r w:rsidRPr="006C3F0C">
        <w:rPr>
          <w:rFonts w:ascii="Times New Roman" w:eastAsia="Times New Roman" w:hAnsi="Times New Roman" w:cs="Times New Roman"/>
          <w:sz w:val="24"/>
          <w:szCs w:val="24"/>
        </w:rPr>
        <w:t>Cayuela</w:t>
      </w:r>
      <w:proofErr w:type="spellEnd"/>
      <w:r w:rsidRPr="006C3F0C">
        <w:rPr>
          <w:rFonts w:ascii="Times New Roman" w:eastAsia="Times New Roman" w:hAnsi="Times New Roman" w:cs="Times New Roman"/>
          <w:sz w:val="24"/>
          <w:szCs w:val="24"/>
        </w:rPr>
        <w:t xml:space="preserve">, M. L., Graber, E. R., Ippolito, J. A., Kuzyakov, Y., Luo, Y., Ok, Y. S., </w:t>
      </w:r>
      <w:proofErr w:type="spellStart"/>
      <w:r w:rsidRPr="006C3F0C">
        <w:rPr>
          <w:rFonts w:ascii="Times New Roman" w:eastAsia="Times New Roman" w:hAnsi="Times New Roman" w:cs="Times New Roman"/>
          <w:sz w:val="24"/>
          <w:szCs w:val="24"/>
        </w:rPr>
        <w:t>Palansooriya</w:t>
      </w:r>
      <w:proofErr w:type="spellEnd"/>
      <w:r w:rsidRPr="006C3F0C">
        <w:rPr>
          <w:rFonts w:ascii="Times New Roman" w:eastAsia="Times New Roman" w:hAnsi="Times New Roman" w:cs="Times New Roman"/>
          <w:sz w:val="24"/>
          <w:szCs w:val="24"/>
        </w:rPr>
        <w:t xml:space="preserve">, K. N., Shepherd, J., Stephens, S., Weng, Z., &amp; Lehmann, J. (2021). How biochar works, and when it doesn't: A review of mechanisms controlling soil and plant responses to biochar. GCB Bioenergy, 13(11), 1731-1764. </w:t>
      </w:r>
      <w:hyperlink r:id="rId28" w:history="1">
        <w:r w:rsidRPr="006C3F0C">
          <w:rPr>
            <w:rStyle w:val="Hyperlink"/>
            <w:rFonts w:ascii="Times New Roman" w:eastAsia="Times New Roman" w:hAnsi="Times New Roman" w:cs="Times New Roman"/>
            <w:sz w:val="24"/>
            <w:szCs w:val="24"/>
          </w:rPr>
          <w:t>https://doi.org/10.1111/gcbb.12885</w:t>
        </w:r>
      </w:hyperlink>
    </w:p>
    <w:p w14:paraId="6E88210A" w14:textId="7191AA20"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Kaur, J., &amp; Kaur, G. (2021). Dehydrogenase activity as a biological indicator of soil health. Chemical Science Review and Letters, 10(39), 326-329. </w:t>
      </w:r>
      <w:hyperlink r:id="rId29" w:history="1">
        <w:r w:rsidRPr="006C3F0C">
          <w:rPr>
            <w:rStyle w:val="Hyperlink"/>
            <w:rFonts w:ascii="Times New Roman" w:eastAsia="Times New Roman" w:hAnsi="Times New Roman" w:cs="Times New Roman"/>
            <w:sz w:val="24"/>
            <w:szCs w:val="24"/>
          </w:rPr>
          <w:t>https://doi.org/10.37273/chesci.cs205205338</w:t>
        </w:r>
      </w:hyperlink>
    </w:p>
    <w:p w14:paraId="5BE87327" w14:textId="36C2E997"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Kuang C.T., Jiang C.Y., Li P.Z., Hu F. (2012): Effects of biochar amendments on soil organic carbon mineralisation and microbial biomas</w:t>
      </w:r>
      <w:r w:rsidRPr="006C3F0C">
        <w:rPr>
          <w:rFonts w:ascii="Times New Roman" w:eastAsia="Times New Roman" w:hAnsi="Times New Roman" w:cs="Times New Roman"/>
          <w:sz w:val="24"/>
          <w:szCs w:val="24"/>
        </w:rPr>
        <w:t>s in red paddy soils. Soils, 44: 570–575.</w:t>
      </w:r>
    </w:p>
    <w:p w14:paraId="16D341F4" w14:textId="47A5F49C"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Kumari, J. A., Rao, P. C., Padmaja, G., &amp; Madhavi, M. (2017). Effect of </w:t>
      </w:r>
      <w:proofErr w:type="spellStart"/>
      <w:r w:rsidRPr="006C3F0C">
        <w:rPr>
          <w:rFonts w:ascii="Times New Roman" w:eastAsia="Times New Roman" w:hAnsi="Times New Roman" w:cs="Times New Roman"/>
          <w:sz w:val="24"/>
          <w:szCs w:val="24"/>
        </w:rPr>
        <w:t>physico</w:t>
      </w:r>
      <w:proofErr w:type="spellEnd"/>
      <w:r w:rsidRPr="006C3F0C">
        <w:rPr>
          <w:rFonts w:ascii="Times New Roman" w:eastAsia="Times New Roman" w:hAnsi="Times New Roman" w:cs="Times New Roman"/>
          <w:sz w:val="24"/>
          <w:szCs w:val="24"/>
        </w:rPr>
        <w:t xml:space="preserve">-chemical properties on soil enzyme acid phosphatase activity of some soils in vegetable growing soils of Ranga Reddy District of Telangana State, India. International Journal of Current Microbiology and Applied Sciences, 6(10), 3496-3503. </w:t>
      </w:r>
      <w:hyperlink r:id="rId30" w:history="1">
        <w:r w:rsidRPr="006C3F0C">
          <w:rPr>
            <w:rStyle w:val="Hyperlink"/>
            <w:rFonts w:ascii="Times New Roman" w:eastAsia="Times New Roman" w:hAnsi="Times New Roman" w:cs="Times New Roman"/>
            <w:sz w:val="24"/>
            <w:szCs w:val="24"/>
          </w:rPr>
          <w:t>https://doi.org/10.20546/ijcmas.2017.610.412</w:t>
        </w:r>
      </w:hyperlink>
    </w:p>
    <w:p w14:paraId="2B167D7D" w14:textId="1AC07EC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Ladha, J. K., &amp; Reddy, P. M. (2019). The soil microbiome and crop nitrogen nutrition in anaerobic system: a case study in rice. In R. S. Zeigler (Ed.), Sustaining Global Food Security (pp. 278–302). CSIRO Publishing. </w:t>
      </w:r>
      <w:hyperlink r:id="rId31" w:history="1">
        <w:r w:rsidRPr="006C3F0C">
          <w:rPr>
            <w:rStyle w:val="Hyperlink"/>
            <w:rFonts w:ascii="Times New Roman" w:eastAsia="Times New Roman" w:hAnsi="Times New Roman" w:cs="Times New Roman"/>
            <w:sz w:val="24"/>
            <w:szCs w:val="24"/>
          </w:rPr>
          <w:t>https://www.publish.csiro.au/book/7833</w:t>
        </w:r>
      </w:hyperlink>
      <w:r w:rsidRPr="006C3F0C">
        <w:rPr>
          <w:rFonts w:ascii="Times New Roman" w:eastAsia="Times New Roman" w:hAnsi="Times New Roman" w:cs="Times New Roman"/>
          <w:sz w:val="24"/>
          <w:szCs w:val="24"/>
        </w:rPr>
        <w:t>.</w:t>
      </w:r>
    </w:p>
    <w:p w14:paraId="00F65020" w14:textId="5E6C1397"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Lazcano, C., &amp; Domínguez, J. (2011). The use of vermicompost in sustainable agriculture: impact on plant growth and soil fertility. In M. </w:t>
      </w:r>
      <w:proofErr w:type="spellStart"/>
      <w:r w:rsidRPr="006C3F0C">
        <w:rPr>
          <w:rFonts w:ascii="Times New Roman" w:eastAsia="Times New Roman" w:hAnsi="Times New Roman" w:cs="Times New Roman"/>
          <w:sz w:val="24"/>
          <w:szCs w:val="24"/>
        </w:rPr>
        <w:t>Miransari</w:t>
      </w:r>
      <w:proofErr w:type="spellEnd"/>
      <w:r w:rsidRPr="006C3F0C">
        <w:rPr>
          <w:rFonts w:ascii="Times New Roman" w:eastAsia="Times New Roman" w:hAnsi="Times New Roman" w:cs="Times New Roman"/>
          <w:sz w:val="24"/>
          <w:szCs w:val="24"/>
        </w:rPr>
        <w:t xml:space="preserve"> (Ed.), Soil Nutrients (p. 187). Nova Science Publishers. </w:t>
      </w:r>
      <w:hyperlink r:id="rId32" w:history="1">
        <w:r w:rsidRPr="006C3F0C">
          <w:rPr>
            <w:rStyle w:val="Hyperlink"/>
            <w:rFonts w:ascii="Times New Roman" w:eastAsia="Times New Roman" w:hAnsi="Times New Roman" w:cs="Times New Roman"/>
            <w:sz w:val="24"/>
            <w:szCs w:val="24"/>
          </w:rPr>
          <w:t>https://www.novapublishers.com/catalog/product_info.php?products_id=26000</w:t>
        </w:r>
      </w:hyperlink>
    </w:p>
    <w:p w14:paraId="0FA48813" w14:textId="1587E873"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Libutti, A., </w:t>
      </w:r>
      <w:proofErr w:type="spellStart"/>
      <w:r w:rsidRPr="006C3F0C">
        <w:rPr>
          <w:rFonts w:ascii="Times New Roman" w:eastAsia="Times New Roman" w:hAnsi="Times New Roman" w:cs="Times New Roman"/>
          <w:sz w:val="24"/>
          <w:szCs w:val="24"/>
        </w:rPr>
        <w:t>Cammerino</w:t>
      </w:r>
      <w:proofErr w:type="spellEnd"/>
      <w:r w:rsidRPr="006C3F0C">
        <w:rPr>
          <w:rFonts w:ascii="Times New Roman" w:eastAsia="Times New Roman" w:hAnsi="Times New Roman" w:cs="Times New Roman"/>
          <w:sz w:val="24"/>
          <w:szCs w:val="24"/>
        </w:rPr>
        <w:t xml:space="preserve">, A. R. B., Francavilla, M., &amp; Monteleone, M. (2019). Soil amendment with biochar affects water drainage and nutrient losses by leaching: Experimental evidence under field-grown conditions. Agronomy, 9(11), 758. </w:t>
      </w:r>
      <w:hyperlink r:id="rId33" w:history="1">
        <w:r w:rsidRPr="006C3F0C">
          <w:rPr>
            <w:rStyle w:val="Hyperlink"/>
            <w:rFonts w:ascii="Times New Roman" w:eastAsia="Times New Roman" w:hAnsi="Times New Roman" w:cs="Times New Roman"/>
            <w:sz w:val="24"/>
            <w:szCs w:val="24"/>
          </w:rPr>
          <w:t>https://doi.org/10.3390/agronomy9110758</w:t>
        </w:r>
      </w:hyperlink>
    </w:p>
    <w:p w14:paraId="09A271E1" w14:textId="2BC71605" w:rsidR="002A4EBF" w:rsidRPr="006C3F0C" w:rsidRDefault="00622FED"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Liu, S., Liang, C., Zhang, J., Chen, S., Cheng, J., Chang, M. and Xu, J., 2025. Effects of manure application on paddy soil phosphorus in China based on a meta-an</w:t>
      </w:r>
      <w:r w:rsidRPr="006C3F0C">
        <w:rPr>
          <w:rFonts w:ascii="Times New Roman" w:eastAsia="Times New Roman" w:hAnsi="Times New Roman" w:cs="Times New Roman"/>
          <w:sz w:val="24"/>
          <w:szCs w:val="24"/>
        </w:rPr>
        <w:t>alysis. </w:t>
      </w:r>
      <w:r w:rsidRPr="006C3F0C">
        <w:rPr>
          <w:rFonts w:ascii="Times New Roman" w:eastAsia="Times New Roman" w:hAnsi="Times New Roman" w:cs="Times New Roman"/>
          <w:i/>
          <w:sz w:val="24"/>
          <w:szCs w:val="24"/>
        </w:rPr>
        <w:t>Scientific Reports</w:t>
      </w:r>
      <w:r w:rsidRPr="006C3F0C">
        <w:rPr>
          <w:rFonts w:ascii="Times New Roman" w:eastAsia="Times New Roman" w:hAnsi="Times New Roman" w:cs="Times New Roman"/>
          <w:sz w:val="24"/>
          <w:szCs w:val="24"/>
        </w:rPr>
        <w:t>, </w:t>
      </w:r>
      <w:r w:rsidRPr="006C3F0C">
        <w:rPr>
          <w:rFonts w:ascii="Times New Roman" w:eastAsia="Times New Roman" w:hAnsi="Times New Roman" w:cs="Times New Roman"/>
          <w:i/>
          <w:sz w:val="24"/>
          <w:szCs w:val="24"/>
        </w:rPr>
        <w:t>15</w:t>
      </w:r>
      <w:r w:rsidRPr="006C3F0C">
        <w:rPr>
          <w:rFonts w:ascii="Times New Roman" w:eastAsia="Times New Roman" w:hAnsi="Times New Roman" w:cs="Times New Roman"/>
          <w:sz w:val="24"/>
          <w:szCs w:val="24"/>
        </w:rPr>
        <w:t>(1), p.36272.</w:t>
      </w:r>
    </w:p>
    <w:p w14:paraId="4CEFE639" w14:textId="1C1DFAF9"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Liu, W., Yang, Z., Ye, Q., Peng, Z., Zhu, S., Chen, H., Liu, D., Li, Y., Deng, L., Shu, X., &amp; Huang, H. (2023). Positive effects of organic amendments on soil microbes and their functionality in </w:t>
      </w:r>
      <w:proofErr w:type="spellStart"/>
      <w:r w:rsidRPr="006C3F0C">
        <w:rPr>
          <w:rFonts w:ascii="Times New Roman" w:eastAsia="Times New Roman" w:hAnsi="Times New Roman" w:cs="Times New Roman"/>
          <w:sz w:val="24"/>
          <w:szCs w:val="24"/>
        </w:rPr>
        <w:t>agro</w:t>
      </w:r>
      <w:proofErr w:type="spellEnd"/>
      <w:r w:rsidRPr="006C3F0C">
        <w:rPr>
          <w:rFonts w:ascii="Times New Roman" w:eastAsia="Times New Roman" w:hAnsi="Times New Roman" w:cs="Times New Roman"/>
          <w:sz w:val="24"/>
          <w:szCs w:val="24"/>
        </w:rPr>
        <w:t xml:space="preserve">-ecosystems. *Plants*, *12*(22), 3790. </w:t>
      </w:r>
      <w:hyperlink r:id="rId34" w:history="1">
        <w:r w:rsidRPr="006C3F0C">
          <w:rPr>
            <w:rStyle w:val="Hyperlink"/>
            <w:rFonts w:ascii="Times New Roman" w:eastAsia="Times New Roman" w:hAnsi="Times New Roman" w:cs="Times New Roman"/>
            <w:sz w:val="24"/>
            <w:szCs w:val="24"/>
          </w:rPr>
          <w:t>https://doi.org/10.3390/plants12223790</w:t>
        </w:r>
      </w:hyperlink>
    </w:p>
    <w:p w14:paraId="4B15AC23" w14:textId="3D383D2C" w:rsidR="00431AC3" w:rsidRPr="006C3F0C" w:rsidRDefault="00431AC3" w:rsidP="006C3F0C">
      <w:pPr>
        <w:spacing w:line="360" w:lineRule="auto"/>
        <w:ind w:firstLine="0"/>
        <w:rPr>
          <w:rFonts w:ascii="Times New Roman" w:eastAsia="Times New Roman" w:hAnsi="Times New Roman" w:cs="Times New Roman"/>
          <w:sz w:val="24"/>
          <w:szCs w:val="24"/>
        </w:rPr>
      </w:pPr>
      <w:proofErr w:type="spellStart"/>
      <w:r w:rsidRPr="006C3F0C">
        <w:rPr>
          <w:rFonts w:ascii="Times New Roman" w:eastAsia="Times New Roman" w:hAnsi="Times New Roman" w:cs="Times New Roman"/>
          <w:sz w:val="24"/>
          <w:szCs w:val="24"/>
        </w:rPr>
        <w:t>Nannipieri</w:t>
      </w:r>
      <w:proofErr w:type="spellEnd"/>
      <w:r w:rsidRPr="006C3F0C">
        <w:rPr>
          <w:rFonts w:ascii="Times New Roman" w:eastAsia="Times New Roman" w:hAnsi="Times New Roman" w:cs="Times New Roman"/>
          <w:sz w:val="24"/>
          <w:szCs w:val="24"/>
        </w:rPr>
        <w:t xml:space="preserve">, P., Giagnoni, L., Renella, G., Puglisi, E., </w:t>
      </w:r>
      <w:proofErr w:type="spellStart"/>
      <w:r w:rsidRPr="006C3F0C">
        <w:rPr>
          <w:rFonts w:ascii="Times New Roman" w:eastAsia="Times New Roman" w:hAnsi="Times New Roman" w:cs="Times New Roman"/>
          <w:sz w:val="24"/>
          <w:szCs w:val="24"/>
        </w:rPr>
        <w:t>Ceccanti</w:t>
      </w:r>
      <w:proofErr w:type="spellEnd"/>
      <w:r w:rsidRPr="006C3F0C">
        <w:rPr>
          <w:rFonts w:ascii="Times New Roman" w:eastAsia="Times New Roman" w:hAnsi="Times New Roman" w:cs="Times New Roman"/>
          <w:sz w:val="24"/>
          <w:szCs w:val="24"/>
        </w:rPr>
        <w:t xml:space="preserve">, B., </w:t>
      </w:r>
      <w:proofErr w:type="spellStart"/>
      <w:r w:rsidRPr="006C3F0C">
        <w:rPr>
          <w:rFonts w:ascii="Times New Roman" w:eastAsia="Times New Roman" w:hAnsi="Times New Roman" w:cs="Times New Roman"/>
          <w:sz w:val="24"/>
          <w:szCs w:val="24"/>
        </w:rPr>
        <w:t>Masciandaro</w:t>
      </w:r>
      <w:proofErr w:type="spellEnd"/>
      <w:r w:rsidRPr="006C3F0C">
        <w:rPr>
          <w:rFonts w:ascii="Times New Roman" w:eastAsia="Times New Roman" w:hAnsi="Times New Roman" w:cs="Times New Roman"/>
          <w:sz w:val="24"/>
          <w:szCs w:val="24"/>
        </w:rPr>
        <w:t xml:space="preserve">, G., </w:t>
      </w:r>
      <w:proofErr w:type="spellStart"/>
      <w:r w:rsidRPr="006C3F0C">
        <w:rPr>
          <w:rFonts w:ascii="Times New Roman" w:eastAsia="Times New Roman" w:hAnsi="Times New Roman" w:cs="Times New Roman"/>
          <w:sz w:val="24"/>
          <w:szCs w:val="24"/>
        </w:rPr>
        <w:t>Fornasier</w:t>
      </w:r>
      <w:proofErr w:type="spellEnd"/>
      <w:r w:rsidRPr="006C3F0C">
        <w:rPr>
          <w:rFonts w:ascii="Times New Roman" w:eastAsia="Times New Roman" w:hAnsi="Times New Roman" w:cs="Times New Roman"/>
          <w:sz w:val="24"/>
          <w:szCs w:val="24"/>
        </w:rPr>
        <w:t xml:space="preserve">, F., Moscatelli, M.C., &amp; Marinari, S. (2012). Soil enzymology: classical and molecular </w:t>
      </w:r>
      <w:r w:rsidRPr="006C3F0C">
        <w:rPr>
          <w:rFonts w:ascii="Times New Roman" w:eastAsia="Times New Roman" w:hAnsi="Times New Roman" w:cs="Times New Roman"/>
          <w:sz w:val="24"/>
          <w:szCs w:val="24"/>
        </w:rPr>
        <w:lastRenderedPageBreak/>
        <w:t xml:space="preserve">approaches. Biology and Fertility of Soils, 48(7), 743-762. </w:t>
      </w:r>
      <w:hyperlink r:id="rId35" w:history="1">
        <w:r w:rsidRPr="006C3F0C">
          <w:rPr>
            <w:rStyle w:val="Hyperlink"/>
            <w:rFonts w:ascii="Times New Roman" w:eastAsia="Times New Roman" w:hAnsi="Times New Roman" w:cs="Times New Roman"/>
            <w:sz w:val="24"/>
            <w:szCs w:val="24"/>
          </w:rPr>
          <w:t>https://doi.org/10.1007/s00374-012-0723-0</w:t>
        </w:r>
      </w:hyperlink>
    </w:p>
    <w:p w14:paraId="33661FCC" w14:textId="3F47B994"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Pooja, Rana, M. K., Sharma, A., </w:t>
      </w:r>
      <w:proofErr w:type="spellStart"/>
      <w:r w:rsidRPr="006C3F0C">
        <w:rPr>
          <w:rFonts w:ascii="Times New Roman" w:eastAsia="Times New Roman" w:hAnsi="Times New Roman" w:cs="Times New Roman"/>
          <w:sz w:val="24"/>
          <w:szCs w:val="24"/>
        </w:rPr>
        <w:t>Mehla</w:t>
      </w:r>
      <w:proofErr w:type="spellEnd"/>
      <w:r w:rsidRPr="006C3F0C">
        <w:rPr>
          <w:rFonts w:ascii="Times New Roman" w:eastAsia="Times New Roman" w:hAnsi="Times New Roman" w:cs="Times New Roman"/>
          <w:sz w:val="24"/>
          <w:szCs w:val="24"/>
        </w:rPr>
        <w:t xml:space="preserve">, O. P., Singh, D., Singh, A., &amp; Verma, S. (2022). Vermicompost effect on soil and field crops: A review. The Pharma Innovation Journal, 11(11), 2565-2569. </w:t>
      </w:r>
      <w:hyperlink r:id="rId36" w:history="1">
        <w:r w:rsidRPr="006C3F0C">
          <w:rPr>
            <w:rStyle w:val="Hyperlink"/>
            <w:rFonts w:ascii="Times New Roman" w:eastAsia="Times New Roman" w:hAnsi="Times New Roman" w:cs="Times New Roman"/>
            <w:sz w:val="24"/>
            <w:szCs w:val="24"/>
          </w:rPr>
          <w:t>https://doi.org/10.22271/tpi.2022.v11.i11ae.17113</w:t>
        </w:r>
      </w:hyperlink>
    </w:p>
    <w:p w14:paraId="0A8614C3" w14:textId="56FF8F6D"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Saha, S., Mina, B. L., Gopinath, K. A., Kundu, S., &amp; Gupta, H. S. (2008). Organic amendments affect biochemical properties of a subtemperate soil of the Indian Himalayas. *Nutrient Cycling in Agroecosystems*, *80*(3), 233-242. </w:t>
      </w:r>
      <w:hyperlink r:id="rId37" w:history="1">
        <w:r w:rsidRPr="006C3F0C">
          <w:rPr>
            <w:rStyle w:val="Hyperlink"/>
            <w:rFonts w:ascii="Times New Roman" w:eastAsia="Times New Roman" w:hAnsi="Times New Roman" w:cs="Times New Roman"/>
            <w:sz w:val="24"/>
            <w:szCs w:val="24"/>
          </w:rPr>
          <w:t>https://doi.org/10.1007/s10705-007-9139-x</w:t>
        </w:r>
      </w:hyperlink>
    </w:p>
    <w:p w14:paraId="160CEF9E" w14:textId="58A808D1"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Sarfraz, R., Nadeem, F., Yang, W., Tayyab, M., Khan, M. I., Mahmood, R., Guo, X., Xing, S., &amp; Kim, G. W. (2023). Evaluation of biochar and inorganic fertilizer on soil available phosphorus and bacterial community dynamics in acidic paddy soils for different incubation temperatures. Agronomy, 14(1), 26. </w:t>
      </w:r>
      <w:hyperlink r:id="rId38" w:history="1">
        <w:r w:rsidRPr="006C3F0C">
          <w:rPr>
            <w:rStyle w:val="Hyperlink"/>
            <w:rFonts w:ascii="Times New Roman" w:eastAsia="Times New Roman" w:hAnsi="Times New Roman" w:cs="Times New Roman"/>
            <w:sz w:val="24"/>
            <w:szCs w:val="24"/>
          </w:rPr>
          <w:t>https://doi.org/10.3390/agronomy14010026</w:t>
        </w:r>
      </w:hyperlink>
    </w:p>
    <w:p w14:paraId="3467981C" w14:textId="2E5C628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Semenov, M. V., Zhelezova, A. D., </w:t>
      </w:r>
      <w:proofErr w:type="spellStart"/>
      <w:r w:rsidRPr="006C3F0C">
        <w:rPr>
          <w:rFonts w:ascii="Times New Roman" w:eastAsia="Times New Roman" w:hAnsi="Times New Roman" w:cs="Times New Roman"/>
          <w:sz w:val="24"/>
          <w:szCs w:val="24"/>
        </w:rPr>
        <w:t>Ksenofontova</w:t>
      </w:r>
      <w:proofErr w:type="spellEnd"/>
      <w:r w:rsidRPr="006C3F0C">
        <w:rPr>
          <w:rFonts w:ascii="Times New Roman" w:eastAsia="Times New Roman" w:hAnsi="Times New Roman" w:cs="Times New Roman"/>
          <w:sz w:val="24"/>
          <w:szCs w:val="24"/>
        </w:rPr>
        <w:t xml:space="preserve">, N. A., Ivanova, E. A., Nikitin, D. A., &amp; Semenov, V. M. (2025). Microbiological Indicators for Assessing the Effects of Agricultural Practices on Soil Health: A Review. Agronomy, 15(2), 335. </w:t>
      </w:r>
      <w:hyperlink r:id="rId39" w:history="1">
        <w:r w:rsidRPr="006C3F0C">
          <w:rPr>
            <w:rStyle w:val="Hyperlink"/>
            <w:rFonts w:ascii="Times New Roman" w:eastAsia="Times New Roman" w:hAnsi="Times New Roman" w:cs="Times New Roman"/>
            <w:sz w:val="24"/>
            <w:szCs w:val="24"/>
          </w:rPr>
          <w:t>https://doi.org/10.3390/agronomy15020335</w:t>
        </w:r>
      </w:hyperlink>
    </w:p>
    <w:p w14:paraId="7FD9FD8F" w14:textId="63DFC65E" w:rsidR="00431AC3" w:rsidRPr="006C3F0C" w:rsidRDefault="00431AC3"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Patel, K. K., Priya, </w:t>
      </w:r>
      <w:proofErr w:type="spellStart"/>
      <w:r w:rsidRPr="006C3F0C">
        <w:rPr>
          <w:rFonts w:ascii="Times New Roman" w:eastAsia="Times New Roman" w:hAnsi="Times New Roman" w:cs="Times New Roman"/>
          <w:sz w:val="24"/>
          <w:szCs w:val="24"/>
        </w:rPr>
        <w:t>Tekam</w:t>
      </w:r>
      <w:proofErr w:type="spellEnd"/>
      <w:r w:rsidRPr="006C3F0C">
        <w:rPr>
          <w:rFonts w:ascii="Times New Roman" w:eastAsia="Times New Roman" w:hAnsi="Times New Roman" w:cs="Times New Roman"/>
          <w:sz w:val="24"/>
          <w:szCs w:val="24"/>
        </w:rPr>
        <w:t xml:space="preserve">, Y., Shah, A. K., Kumar, K., </w:t>
      </w:r>
      <w:proofErr w:type="spellStart"/>
      <w:r w:rsidRPr="006C3F0C">
        <w:rPr>
          <w:rFonts w:ascii="Times New Roman" w:eastAsia="Times New Roman" w:hAnsi="Times New Roman" w:cs="Times New Roman"/>
          <w:sz w:val="24"/>
          <w:szCs w:val="24"/>
        </w:rPr>
        <w:t>Kumhare</w:t>
      </w:r>
      <w:proofErr w:type="spellEnd"/>
      <w:r w:rsidRPr="006C3F0C">
        <w:rPr>
          <w:rFonts w:ascii="Times New Roman" w:eastAsia="Times New Roman" w:hAnsi="Times New Roman" w:cs="Times New Roman"/>
          <w:sz w:val="24"/>
          <w:szCs w:val="24"/>
        </w:rPr>
        <w:t xml:space="preserve">, A., &amp; Dwarka. (2024). Effect of Vermicompost on Soil Properties, Plant Growth and Environmental Sustainability: A Review. International Journal of Plant &amp; Soil Science, 36(12), 688-693. </w:t>
      </w:r>
      <w:hyperlink r:id="rId40" w:history="1">
        <w:r w:rsidRPr="006C3F0C">
          <w:rPr>
            <w:rStyle w:val="Hyperlink"/>
            <w:rFonts w:ascii="Times New Roman" w:eastAsia="Times New Roman" w:hAnsi="Times New Roman" w:cs="Times New Roman"/>
            <w:sz w:val="24"/>
            <w:szCs w:val="24"/>
          </w:rPr>
          <w:t>https://doi.org/10.9734/ijpss/2024/v36i125244</w:t>
        </w:r>
      </w:hyperlink>
    </w:p>
    <w:p w14:paraId="7D3F3E45" w14:textId="6C023347" w:rsidR="00431AC3" w:rsidRPr="006C3F0C" w:rsidRDefault="00431AC3" w:rsidP="006C3F0C">
      <w:pPr>
        <w:spacing w:line="360" w:lineRule="auto"/>
        <w:ind w:firstLine="0"/>
        <w:rPr>
          <w:rFonts w:ascii="Times New Roman" w:eastAsia="Times New Roman" w:hAnsi="Times New Roman" w:cs="Times New Roman"/>
          <w:color w:val="0D0D0D" w:themeColor="text1" w:themeTint="F2"/>
          <w:sz w:val="24"/>
          <w:szCs w:val="24"/>
        </w:rPr>
      </w:pPr>
      <w:r w:rsidRPr="006C3F0C">
        <w:rPr>
          <w:rFonts w:ascii="Times New Roman" w:eastAsia="Times New Roman" w:hAnsi="Times New Roman" w:cs="Times New Roman"/>
          <w:sz w:val="24"/>
          <w:szCs w:val="24"/>
        </w:rPr>
        <w:t xml:space="preserve">Singh, M., Swaroop, N., Thomas, T., Mohanta, S. R., &amp; Thomas, A. (2024). Effect of different level of NPK and vermicompost on </w:t>
      </w:r>
      <w:proofErr w:type="spellStart"/>
      <w:r w:rsidRPr="006C3F0C">
        <w:rPr>
          <w:rFonts w:ascii="Times New Roman" w:eastAsia="Times New Roman" w:hAnsi="Times New Roman" w:cs="Times New Roman"/>
          <w:sz w:val="24"/>
          <w:szCs w:val="24"/>
        </w:rPr>
        <w:t>physico</w:t>
      </w:r>
      <w:proofErr w:type="spellEnd"/>
      <w:r w:rsidRPr="006C3F0C">
        <w:rPr>
          <w:rFonts w:ascii="Times New Roman" w:eastAsia="Times New Roman" w:hAnsi="Times New Roman" w:cs="Times New Roman"/>
          <w:sz w:val="24"/>
          <w:szCs w:val="24"/>
        </w:rPr>
        <w:t xml:space="preserve">-chemical properties of soil growth and yield of green gram (Vigna radiata L.) Nandi-mungo. Intl. J. Res. Agron., 7(6), 740-744. </w:t>
      </w:r>
      <w:hyperlink r:id="rId41" w:history="1">
        <w:r w:rsidRPr="006C3F0C">
          <w:rPr>
            <w:rStyle w:val="Hyperlink"/>
            <w:rFonts w:ascii="Times New Roman" w:eastAsia="Times New Roman" w:hAnsi="Times New Roman" w:cs="Times New Roman"/>
            <w:sz w:val="24"/>
            <w:szCs w:val="24"/>
          </w:rPr>
          <w:t>https://doi.org/10.33545/2618060X.2024.v7.i6j.966</w:t>
        </w:r>
      </w:hyperlink>
    </w:p>
    <w:p w14:paraId="6B4EEB4F" w14:textId="2EC99757"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color w:val="0D0D0D" w:themeColor="text1" w:themeTint="F2"/>
          <w:sz w:val="24"/>
          <w:szCs w:val="24"/>
        </w:rPr>
        <w:t xml:space="preserve">Subbiah, B. V., &amp; Asija, G. L. (1956). A rapid procedure for the estimation of available nitrogen in soils. *Current Science*, *25*, 259–260. </w:t>
      </w:r>
      <w:hyperlink r:id="rId42" w:history="1">
        <w:r w:rsidRPr="006C3F0C">
          <w:rPr>
            <w:rStyle w:val="Hyperlink"/>
            <w:rFonts w:ascii="Times New Roman" w:eastAsia="Times New Roman" w:hAnsi="Times New Roman" w:cs="Times New Roman"/>
            <w:sz w:val="24"/>
            <w:szCs w:val="24"/>
          </w:rPr>
          <w:t>https://www.currentscience.ac.in/archive.htm</w:t>
        </w:r>
      </w:hyperlink>
    </w:p>
    <w:p w14:paraId="44E25938" w14:textId="609F339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Tabatabai, M. A., &amp; Bremner, J. M. (1969). Use of p-nitrophenyl phosphate for assay of soil phosphatase activity. Soil Biology and Biochemistry, 1(4), 301–307. </w:t>
      </w:r>
      <w:hyperlink r:id="rId43" w:history="1">
        <w:r w:rsidRPr="006C3F0C">
          <w:rPr>
            <w:rStyle w:val="Hyperlink"/>
            <w:rFonts w:ascii="Times New Roman" w:eastAsia="Times New Roman" w:hAnsi="Times New Roman" w:cs="Times New Roman"/>
            <w:sz w:val="24"/>
            <w:szCs w:val="24"/>
          </w:rPr>
          <w:t>https://doi.org/10.1016/0038-0717(69)90012-1</w:t>
        </w:r>
      </w:hyperlink>
    </w:p>
    <w:p w14:paraId="6D373F83" w14:textId="44EA58A8"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lastRenderedPageBreak/>
        <w:t xml:space="preserve">Wang, L., Yan, B., </w:t>
      </w:r>
      <w:proofErr w:type="spellStart"/>
      <w:r w:rsidRPr="006C3F0C">
        <w:rPr>
          <w:rFonts w:ascii="Times New Roman" w:eastAsia="Times New Roman" w:hAnsi="Times New Roman" w:cs="Times New Roman"/>
          <w:sz w:val="24"/>
          <w:szCs w:val="24"/>
        </w:rPr>
        <w:t>Prasher</w:t>
      </w:r>
      <w:proofErr w:type="spellEnd"/>
      <w:r w:rsidRPr="006C3F0C">
        <w:rPr>
          <w:rFonts w:ascii="Times New Roman" w:eastAsia="Times New Roman" w:hAnsi="Times New Roman" w:cs="Times New Roman"/>
          <w:sz w:val="24"/>
          <w:szCs w:val="24"/>
        </w:rPr>
        <w:t xml:space="preserve">, S. O., Ou, Y., Bian, Y., &amp; Cui, H. (2019). The response of microbial composition and enzyme activities to hydrological gradients in a riparian wetland. Journal of Soils and Sediments, 19(12), 4031-4041. </w:t>
      </w:r>
      <w:hyperlink r:id="rId44" w:history="1">
        <w:r w:rsidRPr="006C3F0C">
          <w:rPr>
            <w:rStyle w:val="Hyperlink"/>
            <w:rFonts w:ascii="Times New Roman" w:eastAsia="Times New Roman" w:hAnsi="Times New Roman" w:cs="Times New Roman"/>
            <w:sz w:val="24"/>
            <w:szCs w:val="24"/>
          </w:rPr>
          <w:t>https://doi.org/10.1007/s11368-019-02373-9</w:t>
        </w:r>
      </w:hyperlink>
    </w:p>
    <w:p w14:paraId="0656D1F0" w14:textId="50627619"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Wichern, F., Islam, M. R., </w:t>
      </w:r>
      <w:proofErr w:type="spellStart"/>
      <w:r w:rsidRPr="006C3F0C">
        <w:rPr>
          <w:rFonts w:ascii="Times New Roman" w:eastAsia="Times New Roman" w:hAnsi="Times New Roman" w:cs="Times New Roman"/>
          <w:sz w:val="24"/>
          <w:szCs w:val="24"/>
        </w:rPr>
        <w:t>Hemkemeyer</w:t>
      </w:r>
      <w:proofErr w:type="spellEnd"/>
      <w:r w:rsidRPr="006C3F0C">
        <w:rPr>
          <w:rFonts w:ascii="Times New Roman" w:eastAsia="Times New Roman" w:hAnsi="Times New Roman" w:cs="Times New Roman"/>
          <w:sz w:val="24"/>
          <w:szCs w:val="24"/>
        </w:rPr>
        <w:t xml:space="preserve">, M., Watson, C., &amp; Joergensen, R. G. (2020). Organic amendments alleviate salinity effects on soil microorganisms and mineralisation processes in aerobic and anaerobic paddy rice soils. Frontiers in Sustainable Food Systems. </w:t>
      </w:r>
      <w:hyperlink r:id="rId45" w:history="1">
        <w:r w:rsidRPr="006C3F0C">
          <w:rPr>
            <w:rStyle w:val="Hyperlink"/>
            <w:rFonts w:ascii="Times New Roman" w:eastAsia="Times New Roman" w:hAnsi="Times New Roman" w:cs="Times New Roman"/>
            <w:sz w:val="24"/>
            <w:szCs w:val="24"/>
          </w:rPr>
          <w:t>https://doi.org/10.3389/fsufs.2020.00030</w:t>
        </w:r>
      </w:hyperlink>
    </w:p>
    <w:p w14:paraId="60B79BFB" w14:textId="4AC1C00D"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Yang, Z., Luo, Y., Chen, H., Zhang, Y., Wu, S., Yang, M., Jia, J., Zhou, C., &amp; Zhou, Y. (2024). Vermicompost addition improved soil aggregate stability, enzyme activity, and soil nutrient status. Journal of Soil Science and Plant Nutrition, 24(4), 6760-6774. </w:t>
      </w:r>
      <w:hyperlink r:id="rId46" w:history="1">
        <w:r w:rsidRPr="006C3F0C">
          <w:rPr>
            <w:rStyle w:val="Hyperlink"/>
            <w:rFonts w:ascii="Times New Roman" w:eastAsia="Times New Roman" w:hAnsi="Times New Roman" w:cs="Times New Roman"/>
            <w:sz w:val="24"/>
            <w:szCs w:val="24"/>
          </w:rPr>
          <w:t>https://doi.org/10.1007/s42729-024-02002-6</w:t>
        </w:r>
      </w:hyperlink>
    </w:p>
    <w:p w14:paraId="259E9365" w14:textId="493BA0B4"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 J., Chen, Z., Ma, J., Ma, J., Zou, P., Sun, W., Wang, F., Yu, Q., &amp; Wang, Q. (2025). The Effect of Long-Term Organic Amendments on Soil Organic Carbon Accumulation via Regulating Microbial Traits in a Paddy Soil. Agriculture, 15(21), 2308. </w:t>
      </w:r>
      <w:hyperlink r:id="rId47" w:history="1">
        <w:r w:rsidRPr="006C3F0C">
          <w:rPr>
            <w:rStyle w:val="Hyperlink"/>
            <w:rFonts w:ascii="Times New Roman" w:eastAsia="Times New Roman" w:hAnsi="Times New Roman" w:cs="Times New Roman"/>
            <w:sz w:val="24"/>
            <w:szCs w:val="24"/>
          </w:rPr>
          <w:t>https://doi.org/10.3390/agriculture15212308</w:t>
        </w:r>
      </w:hyperlink>
    </w:p>
    <w:p w14:paraId="1595B573" w14:textId="651E861F"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Yeasmin, S., Noman, M., Betto, Z. S., Rahman, T., </w:t>
      </w:r>
      <w:proofErr w:type="spellStart"/>
      <w:r w:rsidRPr="006C3F0C">
        <w:rPr>
          <w:rFonts w:ascii="Times New Roman" w:eastAsia="Times New Roman" w:hAnsi="Times New Roman" w:cs="Times New Roman"/>
          <w:sz w:val="24"/>
          <w:szCs w:val="24"/>
        </w:rPr>
        <w:t>Sarly</w:t>
      </w:r>
      <w:proofErr w:type="spellEnd"/>
      <w:r w:rsidRPr="006C3F0C">
        <w:rPr>
          <w:rFonts w:ascii="Times New Roman" w:eastAsia="Times New Roman" w:hAnsi="Times New Roman" w:cs="Times New Roman"/>
          <w:sz w:val="24"/>
          <w:szCs w:val="24"/>
        </w:rPr>
        <w:t xml:space="preserve">, S. P., Islam, A. K. M. M., &amp; Anwar, M. P. (2025). Impact of organic and inorganic sources of nitrogen on soil fertility, nitrogen use efficiency, and carbon accumulation potential under subtropical rice-based cropping patterns in farmers’ fields. Nitrogen, 6(3), 86. </w:t>
      </w:r>
      <w:hyperlink r:id="rId48" w:history="1">
        <w:r w:rsidRPr="006C3F0C">
          <w:rPr>
            <w:rStyle w:val="Hyperlink"/>
            <w:rFonts w:ascii="Times New Roman" w:eastAsia="Times New Roman" w:hAnsi="Times New Roman" w:cs="Times New Roman"/>
            <w:sz w:val="24"/>
            <w:szCs w:val="24"/>
          </w:rPr>
          <w:t>https://doi.org/10.3390/nitrogen6030086</w:t>
        </w:r>
      </w:hyperlink>
    </w:p>
    <w:p w14:paraId="45CF5DED" w14:textId="1E9E1DE6" w:rsidR="006C3F0C"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Zhao, Y., Lu, Y., Zhuang, H., &amp; Shan, S. (2023). In-situ retention of nitrogen, phosphorus in agricultural drainage and soil nutrients by biochar at different temperatures and the effects on soil microbial response. Sci Total Environ, 904, 166292. </w:t>
      </w:r>
      <w:hyperlink r:id="rId49" w:history="1">
        <w:r w:rsidRPr="006C3F0C">
          <w:rPr>
            <w:rStyle w:val="Hyperlink"/>
            <w:rFonts w:ascii="Times New Roman" w:eastAsia="Times New Roman" w:hAnsi="Times New Roman" w:cs="Times New Roman"/>
            <w:sz w:val="24"/>
            <w:szCs w:val="24"/>
          </w:rPr>
          <w:t>https://doi.org/10.1016/j.scitotenv.2023.166292</w:t>
        </w:r>
      </w:hyperlink>
    </w:p>
    <w:p w14:paraId="182F9B3F" w14:textId="0C423BBB" w:rsidR="002A4EBF" w:rsidRPr="006C3F0C" w:rsidRDefault="006C3F0C" w:rsidP="006C3F0C">
      <w:pPr>
        <w:spacing w:line="360" w:lineRule="auto"/>
        <w:ind w:firstLine="0"/>
        <w:rPr>
          <w:rFonts w:ascii="Times New Roman" w:eastAsia="Times New Roman" w:hAnsi="Times New Roman" w:cs="Times New Roman"/>
          <w:sz w:val="24"/>
          <w:szCs w:val="24"/>
        </w:rPr>
      </w:pPr>
      <w:r w:rsidRPr="006C3F0C">
        <w:rPr>
          <w:rFonts w:ascii="Times New Roman" w:eastAsia="Times New Roman" w:hAnsi="Times New Roman" w:cs="Times New Roman"/>
          <w:sz w:val="24"/>
          <w:szCs w:val="24"/>
        </w:rPr>
        <w:t xml:space="preserve">Zhang, F., Wang, R., Yu, W., Liang, J., &amp; Liao, X. (2020). Influences of a vermicompost application on the phosphorus transformation and microbial activity in a paddy soil. Soil &amp; Water Research, 15(4), 199–210. </w:t>
      </w:r>
      <w:hyperlink r:id="rId50" w:history="1">
        <w:r w:rsidRPr="006C3F0C">
          <w:rPr>
            <w:rStyle w:val="Hyperlink"/>
            <w:rFonts w:ascii="Times New Roman" w:eastAsia="Times New Roman" w:hAnsi="Times New Roman" w:cs="Times New Roman"/>
            <w:sz w:val="24"/>
            <w:szCs w:val="24"/>
          </w:rPr>
          <w:t>https://doi.org/10.17221/91/2019-SWR</w:t>
        </w:r>
      </w:hyperlink>
      <w:r w:rsidRPr="006C3F0C">
        <w:rPr>
          <w:rFonts w:ascii="Times New Roman" w:eastAsia="Times New Roman" w:hAnsi="Times New Roman" w:cs="Times New Roman"/>
          <w:sz w:val="24"/>
          <w:szCs w:val="24"/>
        </w:rPr>
        <w:tab/>
      </w:r>
    </w:p>
    <w:sectPr w:rsidR="002A4EBF" w:rsidRPr="006C3F0C">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4861D" w14:textId="77777777" w:rsidR="00622FED" w:rsidRDefault="00622FED" w:rsidP="00AE49A2">
      <w:pPr>
        <w:spacing w:after="0"/>
      </w:pPr>
      <w:r>
        <w:separator/>
      </w:r>
    </w:p>
  </w:endnote>
  <w:endnote w:type="continuationSeparator" w:id="0">
    <w:p w14:paraId="029E323A" w14:textId="77777777" w:rsidR="00622FED" w:rsidRDefault="00622FED" w:rsidP="00AE49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1AA01" w14:textId="77777777" w:rsidR="00AE49A2" w:rsidRDefault="00AE4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8E3C0" w14:textId="77777777" w:rsidR="00AE49A2" w:rsidRDefault="00AE4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E46B0" w14:textId="77777777" w:rsidR="00AE49A2" w:rsidRDefault="00AE4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E7662" w14:textId="77777777" w:rsidR="00622FED" w:rsidRDefault="00622FED" w:rsidP="00AE49A2">
      <w:pPr>
        <w:spacing w:after="0"/>
      </w:pPr>
      <w:r>
        <w:separator/>
      </w:r>
    </w:p>
  </w:footnote>
  <w:footnote w:type="continuationSeparator" w:id="0">
    <w:p w14:paraId="10BAAD47" w14:textId="77777777" w:rsidR="00622FED" w:rsidRDefault="00622FED" w:rsidP="00AE49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38CCE" w14:textId="65DC8E77" w:rsidR="00AE49A2" w:rsidRDefault="00AE49A2">
    <w:pPr>
      <w:pStyle w:val="Header"/>
    </w:pPr>
    <w:r>
      <w:rPr>
        <w:noProof/>
      </w:rPr>
      <w:pict w14:anchorId="3DAB0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8"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37A14" w14:textId="22D9CA65" w:rsidR="00AE49A2" w:rsidRDefault="00AE49A2">
    <w:pPr>
      <w:pStyle w:val="Header"/>
    </w:pPr>
    <w:r>
      <w:rPr>
        <w:noProof/>
      </w:rPr>
      <w:pict w14:anchorId="39559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9"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CB1F0" w14:textId="6F4499BB" w:rsidR="00AE49A2" w:rsidRDefault="00AE49A2">
    <w:pPr>
      <w:pStyle w:val="Header"/>
    </w:pPr>
    <w:r>
      <w:rPr>
        <w:noProof/>
      </w:rPr>
      <w:pict w14:anchorId="08102A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6437"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B4417"/>
    <w:multiLevelType w:val="hybridMultilevel"/>
    <w:tmpl w:val="FE106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2E1B5C"/>
    <w:multiLevelType w:val="hybridMultilevel"/>
    <w:tmpl w:val="8AB4B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EBF"/>
    <w:rsid w:val="002A4EBF"/>
    <w:rsid w:val="0043128A"/>
    <w:rsid w:val="00431AC3"/>
    <w:rsid w:val="00462E4F"/>
    <w:rsid w:val="005A7748"/>
    <w:rsid w:val="00622FED"/>
    <w:rsid w:val="006C3F0C"/>
    <w:rsid w:val="00992E64"/>
    <w:rsid w:val="00A26619"/>
    <w:rsid w:val="00AE49A2"/>
    <w:rsid w:val="00DD15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0EF9CD"/>
  <w15:docId w15:val="{9B28360C-84DF-4F1E-B287-1510389F1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2"/>
        <w:szCs w:val="22"/>
        <w:lang w:val="en-IN" w:eastAsia="en-IN" w:bidi="ar-SA"/>
      </w:rPr>
    </w:rPrDefault>
    <w:pPrDefault>
      <w:pPr>
        <w:spacing w:after="160"/>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a0">
    <w:basedOn w:val="TableNormal"/>
    <w:pPr>
      <w:spacing w:after="0"/>
    </w:pPr>
    <w:tblPr>
      <w:tblStyleRowBandSize w:val="1"/>
      <w:tblStyleColBandSize w:val="1"/>
    </w:tblPr>
    <w:tblStylePr w:type="firstRow">
      <w:rPr>
        <w:b/>
      </w:rPr>
      <w:tblPr/>
      <w:tcPr>
        <w:tcBorders>
          <w:bottom w:val="single" w:sz="4" w:space="0" w:color="7F7F7F"/>
        </w:tcBorders>
      </w:tcPr>
    </w:tblStylePr>
    <w:tblStylePr w:type="lastRow">
      <w:rPr>
        <w:b/>
      </w:rPr>
      <w:tblPr/>
      <w:tcPr>
        <w:tcBorders>
          <w:top w:val="single" w:sz="4" w:space="0" w:color="7F7F7F"/>
        </w:tcBorders>
      </w:tcPr>
    </w:tblStylePr>
    <w:tblStylePr w:type="firstCol">
      <w:rPr>
        <w:b/>
      </w:rPr>
    </w:tblStylePr>
    <w:tblStylePr w:type="lastCol">
      <w:rPr>
        <w:b/>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Hyperlink">
    <w:name w:val="Hyperlink"/>
    <w:basedOn w:val="DefaultParagraphFont"/>
    <w:uiPriority w:val="99"/>
    <w:unhideWhenUsed/>
    <w:rsid w:val="0043128A"/>
    <w:rPr>
      <w:color w:val="0000FF" w:themeColor="hyperlink"/>
      <w:u w:val="single"/>
    </w:rPr>
  </w:style>
  <w:style w:type="character" w:styleId="UnresolvedMention">
    <w:name w:val="Unresolved Mention"/>
    <w:basedOn w:val="DefaultParagraphFont"/>
    <w:uiPriority w:val="99"/>
    <w:semiHidden/>
    <w:unhideWhenUsed/>
    <w:rsid w:val="0043128A"/>
    <w:rPr>
      <w:color w:val="605E5C"/>
      <w:shd w:val="clear" w:color="auto" w:fill="E1DFDD"/>
    </w:rPr>
  </w:style>
  <w:style w:type="paragraph" w:styleId="ListParagraph">
    <w:name w:val="List Paragraph"/>
    <w:basedOn w:val="Normal"/>
    <w:uiPriority w:val="34"/>
    <w:qFormat/>
    <w:rsid w:val="00431AC3"/>
    <w:pPr>
      <w:ind w:left="720"/>
      <w:contextualSpacing/>
    </w:pPr>
  </w:style>
  <w:style w:type="paragraph" w:styleId="Header">
    <w:name w:val="header"/>
    <w:basedOn w:val="Normal"/>
    <w:link w:val="HeaderChar"/>
    <w:uiPriority w:val="99"/>
    <w:unhideWhenUsed/>
    <w:rsid w:val="00AE49A2"/>
    <w:pPr>
      <w:tabs>
        <w:tab w:val="center" w:pos="4680"/>
        <w:tab w:val="right" w:pos="9360"/>
      </w:tabs>
      <w:spacing w:after="0"/>
    </w:pPr>
  </w:style>
  <w:style w:type="character" w:customStyle="1" w:styleId="HeaderChar">
    <w:name w:val="Header Char"/>
    <w:basedOn w:val="DefaultParagraphFont"/>
    <w:link w:val="Header"/>
    <w:uiPriority w:val="99"/>
    <w:rsid w:val="00AE49A2"/>
  </w:style>
  <w:style w:type="paragraph" w:styleId="Footer">
    <w:name w:val="footer"/>
    <w:basedOn w:val="Normal"/>
    <w:link w:val="FooterChar"/>
    <w:uiPriority w:val="99"/>
    <w:unhideWhenUsed/>
    <w:rsid w:val="00AE49A2"/>
    <w:pPr>
      <w:tabs>
        <w:tab w:val="center" w:pos="4680"/>
        <w:tab w:val="right" w:pos="9360"/>
      </w:tabs>
      <w:spacing w:after="0"/>
    </w:pPr>
  </w:style>
  <w:style w:type="character" w:customStyle="1" w:styleId="FooterChar">
    <w:name w:val="Footer Char"/>
    <w:basedOn w:val="DefaultParagraphFont"/>
    <w:link w:val="Footer"/>
    <w:uiPriority w:val="99"/>
    <w:rsid w:val="00AE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16/j.soilbio.2012.11.009" TargetMode="External"/><Relationship Id="rId18" Type="http://schemas.openxmlformats.org/officeDocument/2006/relationships/hyperlink" Target="https://doi.org/10.1111/j.1747-0765.2007.00122.x" TargetMode="External"/><Relationship Id="rId26" Type="http://schemas.openxmlformats.org/officeDocument/2006/relationships/hyperlink" Target="https://www.phytojournal.com/archives/2019/vol8issue6/PartAD/8-6-112-376.pdf" TargetMode="External"/><Relationship Id="rId39" Type="http://schemas.openxmlformats.org/officeDocument/2006/relationships/hyperlink" Target="https://doi.org/10.3390/agronomy15020335" TargetMode="External"/><Relationship Id="rId21" Type="http://schemas.openxmlformats.org/officeDocument/2006/relationships/hyperlink" Target="https://doi.org/10.33545/26180723.2024.v7.i4Sa.517" TargetMode="External"/><Relationship Id="rId34" Type="http://schemas.openxmlformats.org/officeDocument/2006/relationships/hyperlink" Target="https://doi.org/10.3390/plants12223790" TargetMode="External"/><Relationship Id="rId42" Type="http://schemas.openxmlformats.org/officeDocument/2006/relationships/hyperlink" Target="https://www.currentscience.ac.in/archive.htm" TargetMode="External"/><Relationship Id="rId47" Type="http://schemas.openxmlformats.org/officeDocument/2006/relationships/hyperlink" Target="https://doi.org/10.3390/agriculture15212308" TargetMode="External"/><Relationship Id="rId50" Type="http://schemas.openxmlformats.org/officeDocument/2006/relationships/hyperlink" Target="https://doi.org/10.17221/91/2019-SWR" TargetMode="External"/><Relationship Id="rId55" Type="http://schemas.openxmlformats.org/officeDocument/2006/relationships/header" Target="header3.xml"/><Relationship Id="rId7" Type="http://schemas.openxmlformats.org/officeDocument/2006/relationships/hyperlink" Target="https://doi.org/10.1016/j.scitotenv.2007.06.031" TargetMode="External"/><Relationship Id="rId2" Type="http://schemas.openxmlformats.org/officeDocument/2006/relationships/styles" Target="styles.xml"/><Relationship Id="rId16" Type="http://schemas.openxmlformats.org/officeDocument/2006/relationships/hyperlink" Target="https://doi.org/10.1080/03650340.2017.1308491" TargetMode="External"/><Relationship Id="rId29" Type="http://schemas.openxmlformats.org/officeDocument/2006/relationships/hyperlink" Target="https://doi.org/10.37273/chesci.cs205205338" TargetMode="External"/><Relationship Id="rId11" Type="http://schemas.openxmlformats.org/officeDocument/2006/relationships/hyperlink" Target="https://doi.org/10.1097/00010694-194501000-00006" TargetMode="External"/><Relationship Id="rId24" Type="http://schemas.openxmlformats.org/officeDocument/2006/relationships/hyperlink" Target="https://doi.org/10.17221/348/2022-PSE" TargetMode="External"/><Relationship Id="rId32" Type="http://schemas.openxmlformats.org/officeDocument/2006/relationships/hyperlink" Target="https://www.novapublishers.com/catalog/product_info.php?products_id=26000" TargetMode="External"/><Relationship Id="rId37" Type="http://schemas.openxmlformats.org/officeDocument/2006/relationships/hyperlink" Target="https://doi.org/10.1007/s10705-007-9139-x" TargetMode="External"/><Relationship Id="rId40" Type="http://schemas.openxmlformats.org/officeDocument/2006/relationships/hyperlink" Target="https://doi.org/10.9734/ijpss/2024/v36i125244" TargetMode="External"/><Relationship Id="rId45" Type="http://schemas.openxmlformats.org/officeDocument/2006/relationships/hyperlink" Target="https://doi.org/10.3389/fsufs.2020.00030"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doi.org/10.1007/s44279-025-00183-x" TargetMode="External"/><Relationship Id="rId4" Type="http://schemas.openxmlformats.org/officeDocument/2006/relationships/webSettings" Target="webSettings.xml"/><Relationship Id="rId9" Type="http://schemas.openxmlformats.org/officeDocument/2006/relationships/hyperlink" Target="https://www.phytojournal.com/archives/2017/vol6issue5/PartR/6-5-10-700.pdf" TargetMode="External"/><Relationship Id="rId14" Type="http://schemas.openxmlformats.org/officeDocument/2006/relationships/hyperlink" Target="https://doi.org/10.1097/00010694-196412000-00004" TargetMode="External"/><Relationship Id="rId22" Type="http://schemas.openxmlformats.org/officeDocument/2006/relationships/hyperlink" Target="https://doi.org/10.1007/s44279-024-00129-9" TargetMode="External"/><Relationship Id="rId27" Type="http://schemas.openxmlformats.org/officeDocument/2006/relationships/hyperlink" Target="https://www.elsevier.com/books/methods-in-applied-soil-microbiology-and-biochemistry/alef/978-0-12-513840-6" TargetMode="External"/><Relationship Id="rId30" Type="http://schemas.openxmlformats.org/officeDocument/2006/relationships/hyperlink" Target="https://doi.org/10.20546/ijcmas.2017.610.412" TargetMode="External"/><Relationship Id="rId35" Type="http://schemas.openxmlformats.org/officeDocument/2006/relationships/hyperlink" Target="https://doi.org/10.1007/s00374-012-0723-0" TargetMode="External"/><Relationship Id="rId43" Type="http://schemas.openxmlformats.org/officeDocument/2006/relationships/hyperlink" Target="https://doi.org/10.1016/0038-0717(69)90012-1" TargetMode="External"/><Relationship Id="rId48" Type="http://schemas.openxmlformats.org/officeDocument/2006/relationships/hyperlink" Target="https://doi.org/10.3390/nitrogen6030086" TargetMode="External"/><Relationship Id="rId56" Type="http://schemas.openxmlformats.org/officeDocument/2006/relationships/footer" Target="footer3.xml"/><Relationship Id="rId8" Type="http://schemas.openxmlformats.org/officeDocument/2006/relationships/hyperlink" Target="https://doi.org/10.3389/fmicb.2022.938481"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doi.org/10.1016/j.soilbio.2012.02.009" TargetMode="External"/><Relationship Id="rId17" Type="http://schemas.openxmlformats.org/officeDocument/2006/relationships/hyperlink" Target="https://doi.org/10.1080/03650340.2017.1308491" TargetMode="External"/><Relationship Id="rId25" Type="http://schemas.openxmlformats.org/officeDocument/2006/relationships/hyperlink" Target="https://doi.org/10.3390/su10041205" TargetMode="External"/><Relationship Id="rId33" Type="http://schemas.openxmlformats.org/officeDocument/2006/relationships/hyperlink" Target="https://doi.org/10.3390/agronomy9110758" TargetMode="External"/><Relationship Id="rId38" Type="http://schemas.openxmlformats.org/officeDocument/2006/relationships/hyperlink" Target="https://doi.org/10.3390/agronomy14010026" TargetMode="External"/><Relationship Id="rId46" Type="http://schemas.openxmlformats.org/officeDocument/2006/relationships/hyperlink" Target="https://doi.org/10.1007/s42729-024-02002-6" TargetMode="External"/><Relationship Id="rId20" Type="http://schemas.openxmlformats.org/officeDocument/2006/relationships/hyperlink" Target="https://doi.org/10.1007/s13399-021-01625-4" TargetMode="External"/><Relationship Id="rId41" Type="http://schemas.openxmlformats.org/officeDocument/2006/relationships/hyperlink" Target="https://doi.org/10.33545/2618060X.2024.v7.i6j.966"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heliyon.2024.e35699" TargetMode="External"/><Relationship Id="rId23" Type="http://schemas.openxmlformats.org/officeDocument/2006/relationships/hyperlink" Target="https://doi.org/10.20546/ijcmas.2017.612.224" TargetMode="External"/><Relationship Id="rId28" Type="http://schemas.openxmlformats.org/officeDocument/2006/relationships/hyperlink" Target="https://doi.org/10.1111/gcbb.12885" TargetMode="External"/><Relationship Id="rId36" Type="http://schemas.openxmlformats.org/officeDocument/2006/relationships/hyperlink" Target="https://doi.org/10.22271/tpi.2022.v11.i11ae.17113" TargetMode="External"/><Relationship Id="rId49" Type="http://schemas.openxmlformats.org/officeDocument/2006/relationships/hyperlink" Target="https://doi.org/10.1016/j.scitotenv.2023.166292" TargetMode="External"/><Relationship Id="rId57" Type="http://schemas.openxmlformats.org/officeDocument/2006/relationships/fontTable" Target="fontTable.xml"/><Relationship Id="rId10" Type="http://schemas.openxmlformats.org/officeDocument/2006/relationships/hyperlink" Target="https://doi.org/10.2134/agronmonogr9.1" TargetMode="External"/><Relationship Id="rId31" Type="http://schemas.openxmlformats.org/officeDocument/2006/relationships/hyperlink" Target="https://www.publish.csiro.au/book/7833" TargetMode="External"/><Relationship Id="rId44" Type="http://schemas.openxmlformats.org/officeDocument/2006/relationships/hyperlink" Target="https://doi.org/10.1007/s11368-019-02373-9"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5315</Words>
  <Characters>30302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Dell2</dc:creator>
  <cp:lastModifiedBy>SDI 1084</cp:lastModifiedBy>
  <cp:revision>5</cp:revision>
  <cp:lastPrinted>2025-12-02T05:52:00Z</cp:lastPrinted>
  <dcterms:created xsi:type="dcterms:W3CDTF">2025-12-02T05:52:00Z</dcterms:created>
  <dcterms:modified xsi:type="dcterms:W3CDTF">2025-12-03T09:42:00Z</dcterms:modified>
</cp:coreProperties>
</file>