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1C546" w14:textId="77777777" w:rsidR="001C7D1B" w:rsidRPr="00314DF8" w:rsidRDefault="00AA36BD" w:rsidP="00AA36BD">
      <w:pPr>
        <w:pStyle w:val="Heading1"/>
      </w:pPr>
      <w:bookmarkStart w:id="0" w:name="_Toc214381446"/>
      <w:r w:rsidRPr="00314DF8">
        <w:t>SHGs as Catalysts for Gender Equity: Successes, Failures, and New Pathways in India</w:t>
      </w:r>
      <w:bookmarkEnd w:id="0"/>
    </w:p>
    <w:p w14:paraId="5579ED10" w14:textId="77777777" w:rsidR="00AA36BD" w:rsidRPr="00314DF8" w:rsidRDefault="00AA36BD" w:rsidP="005D3956"/>
    <w:p w14:paraId="41886876" w14:textId="77777777" w:rsidR="00AA36BD" w:rsidRPr="00314DF8" w:rsidRDefault="00AA36BD" w:rsidP="00314DF8">
      <w:pPr>
        <w:pStyle w:val="Heading2"/>
      </w:pPr>
      <w:bookmarkStart w:id="1" w:name="_Toc214381447"/>
      <w:r w:rsidRPr="00314DF8">
        <w:rPr>
          <w:rStyle w:val="Strong"/>
          <w:b/>
          <w:bCs/>
        </w:rPr>
        <w:t>Abstract</w:t>
      </w:r>
      <w:bookmarkEnd w:id="1"/>
    </w:p>
    <w:p w14:paraId="291C550E" w14:textId="77777777" w:rsidR="00AA36BD" w:rsidRPr="00314DF8" w:rsidRDefault="00AA36BD" w:rsidP="00AA36BD">
      <w:pPr>
        <w:pStyle w:val="NormalWeb"/>
        <w:rPr>
          <w:lang w:val="en-GB"/>
        </w:rPr>
      </w:pPr>
      <w:r w:rsidRPr="00314DF8">
        <w:rPr>
          <w:lang w:val="en-GB"/>
        </w:rPr>
        <w:t>Women’s self-help groups (SHGs) have become one of India’s most visible policy instruments for tackling gendered poverty and exclusion. Since the 1990s, SHG–bank linkage programmes and the National Rural Livelihoods Mission (NRLM) have scaled SHGs from scattered NGO experiments to a nationwide architecture that reaches tens of millions of women. A large empirical literature documents positive effects on savings behaviour, access to credit, social capital and cert</w:t>
      </w:r>
      <w:bookmarkStart w:id="2" w:name="_GoBack"/>
      <w:bookmarkEnd w:id="2"/>
      <w:r w:rsidRPr="00314DF8">
        <w:rPr>
          <w:lang w:val="en-GB"/>
        </w:rPr>
        <w:t>ain dimensions of women’s agency, yet concerns remain about uneven coverage, modest transformative impact on gender norms, and risks of over-indebtedness and elite capture. This review synthesizes recent evidence on SHGs as catalysts for gender equity in India, critically examining where they succeed, where they fall short, and how they might be redesigned for a more transformative agenda. Drawing on quantitative and qualitative studies, impact evaluations and systematic reviews from diverse Indian states, the paper argues that SHGs work best as multi-dimensional platforms that combine financial inclusion with livelihoods support, political voice and gender-transformative content. However, gains are highly heterogeneous by caste, class, region and programme design. New pathways—such as integrating agricultural extension and nutrition, strengthening federated structures, and leveraging digital technologies—offer opportunities to deepen impact but also raise new equity and safeguarding challenges. The review concludes that SHGs can be powerful, but not sufficient, instruments for gender equity and must be embedded within broader efforts to redistribute resources, recognise care work and renegotiate power within households, markets and local states.</w:t>
      </w:r>
    </w:p>
    <w:p w14:paraId="3EF7B9ED" w14:textId="77777777" w:rsidR="00AA36BD" w:rsidRPr="00314DF8" w:rsidRDefault="00AA36BD" w:rsidP="00AA36BD">
      <w:pPr>
        <w:pStyle w:val="NormalWeb"/>
        <w:rPr>
          <w:lang w:val="en-GB"/>
        </w:rPr>
      </w:pPr>
      <w:r w:rsidRPr="00314DF8">
        <w:rPr>
          <w:rStyle w:val="Strong"/>
          <w:lang w:val="en-GB"/>
        </w:rPr>
        <w:t>Keywords:</w:t>
      </w:r>
      <w:r w:rsidRPr="00314DF8">
        <w:rPr>
          <w:lang w:val="en-GB"/>
        </w:rPr>
        <w:t xml:space="preserve"> self-help groups; women’s empowerment; gender equity; microfinance; India; collective action; political participation; financial inclusion</w:t>
      </w:r>
    </w:p>
    <w:p w14:paraId="40A489A5" w14:textId="77777777" w:rsidR="00AA36BD" w:rsidRPr="00314DF8" w:rsidRDefault="00AA36BD" w:rsidP="00AA36BD"/>
    <w:p w14:paraId="034162E6" w14:textId="77777777" w:rsidR="00AA36BD" w:rsidRPr="00314DF8" w:rsidRDefault="00AA36BD" w:rsidP="00AA36BD">
      <w:pPr>
        <w:pStyle w:val="Heading2"/>
        <w:rPr>
          <w:rFonts w:eastAsia="Times New Roman"/>
        </w:rPr>
      </w:pPr>
      <w:bookmarkStart w:id="3" w:name="_Toc214381448"/>
      <w:r w:rsidRPr="00314DF8">
        <w:rPr>
          <w:rFonts w:eastAsia="Times New Roman"/>
        </w:rPr>
        <w:t>1. Introduction</w:t>
      </w:r>
      <w:bookmarkEnd w:id="3"/>
    </w:p>
    <w:p w14:paraId="7E7BD0DE" w14:textId="77777777" w:rsidR="00AA36BD" w:rsidRPr="00314DF8" w:rsidRDefault="00AA36BD" w:rsidP="00AA36BD">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 xml:space="preserve">Women’s self-help groups (SHGs) have become one of the most visible institutional innovations in India’s efforts to tackle gendered poverty and social exclusion. Originating in NGO-led savings and credit groups, they have since been scaled up through the SHG–Bank Linkage Programme and the National Rural Livelihoods Mission (NRLM), reaching tens of millions of rural women. SHGs are expected to promote financial inclusion, expand livelihood opportunities and strengthen women’s bargaining power within households and communities, thereby contributing to gender equity and inclusive development (Deininger &amp; Liu, 2013; Swain &amp; Wallentin, 2009). </w:t>
      </w:r>
    </w:p>
    <w:p w14:paraId="6F08C125" w14:textId="77777777" w:rsidR="00AA36BD" w:rsidRPr="00314DF8" w:rsidRDefault="00AA36BD" w:rsidP="00AA36BD">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 xml:space="preserve">A substantial empirical literature has examined whether SHGs live up to these ambitions. Quantitative evaluations in India suggest that participation in SHGs can increase women’s savings, access to formal credit, asset ownership and household consumption, with some evidence of poverty reduction (Brody et al., 2017; Deininger &amp; Liu, 2013; Swain &amp; Wallentin, 2009). Studies that unpack the mechanisms of empowerment highlight that </w:t>
      </w:r>
      <w:r w:rsidRPr="00314DF8">
        <w:rPr>
          <w:rFonts w:ascii="Times New Roman" w:eastAsia="Times New Roman" w:hAnsi="Times New Roman" w:cs="Times New Roman"/>
          <w:sz w:val="24"/>
          <w:szCs w:val="24"/>
        </w:rPr>
        <w:lastRenderedPageBreak/>
        <w:t>economic dimensions—such as control over income, loans and productive assets—interact closely with autonomy in mobility, decision-making and attitudes toward gender norms (Bali Swain &amp; Wallentin, 2012). Systematic reviews across low- and middle-income countries further suggest that economic self-help group programmes tend to have positive, but modest and heterogeneous, effects on women’s economic, social and political empowerment (Brody et al., 2017).</w:t>
      </w:r>
      <w:r w:rsidR="00270A69" w:rsidRPr="00314DF8">
        <w:rPr>
          <w:rFonts w:ascii="Times New Roman" w:eastAsia="Times New Roman" w:hAnsi="Times New Roman" w:cs="Times New Roman"/>
          <w:sz w:val="24"/>
          <w:szCs w:val="24"/>
        </w:rPr>
        <w:t xml:space="preserve"> </w:t>
      </w:r>
    </w:p>
    <w:p w14:paraId="3DE699F5" w14:textId="77777777" w:rsidR="00AA36BD" w:rsidRPr="00314DF8" w:rsidRDefault="00AA36BD" w:rsidP="00AA36BD">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In the Indian context, SHGs are recognised not only as microfinance channels but as platforms for civic and political engagement. Large-sample studies show that women who are SHG members are more likely to attend village assemblies, interact with frontline officials and access public entitlement schemes than otherwise similar non-members (Kumar et al., 2019). Political science scholarship argues that dense networks of women’s groups can help narrow India’s gender gap in political participation by lowering coordination costs and building civic skills, even where household resources and bargaining power remain constrained (Prillaman, 202</w:t>
      </w:r>
      <w:r w:rsidR="00A948AB" w:rsidRPr="00314DF8">
        <w:rPr>
          <w:rFonts w:ascii="Times New Roman" w:eastAsia="Times New Roman" w:hAnsi="Times New Roman" w:cs="Times New Roman"/>
          <w:sz w:val="24"/>
          <w:szCs w:val="24"/>
        </w:rPr>
        <w:t>3</w:t>
      </w:r>
      <w:r w:rsidRPr="00314DF8">
        <w:rPr>
          <w:rFonts w:ascii="Times New Roman" w:eastAsia="Times New Roman" w:hAnsi="Times New Roman" w:cs="Times New Roman"/>
          <w:sz w:val="24"/>
          <w:szCs w:val="24"/>
        </w:rPr>
        <w:t>).</w:t>
      </w:r>
      <w:r w:rsidR="00270A69" w:rsidRPr="00314DF8">
        <w:rPr>
          <w:rFonts w:ascii="Times New Roman" w:eastAsia="Times New Roman" w:hAnsi="Times New Roman" w:cs="Times New Roman"/>
          <w:sz w:val="24"/>
          <w:szCs w:val="24"/>
        </w:rPr>
        <w:t xml:space="preserve"> </w:t>
      </w:r>
    </w:p>
    <w:p w14:paraId="52AD2D09" w14:textId="77777777" w:rsidR="00AA36BD" w:rsidRPr="00314DF8" w:rsidRDefault="00AA36BD" w:rsidP="00AA36BD">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 xml:space="preserve">Despite this encouraging body of work, important questions remain about the extent to which SHGs function as genuine catalysts for gender equity rather than instruments for narrowly defined financial inclusion. Evidence points to considerable variation in outcomes across states, social groups and programme designs, with some studies raising concerns about over-indebtedness, elite capture, increased work burdens and limited transformation of underlying gender norms (Brody et al., 2017; Deininger &amp; Liu, 2013). Less attention has been paid to synthesising “failures” and unintended consequences alongside successes, and to identifying design features and policy environments that enable SHGs to deliver more transformative change. </w:t>
      </w:r>
    </w:p>
    <w:p w14:paraId="58A594B9" w14:textId="77777777" w:rsidR="00AA36BD" w:rsidRPr="00314DF8" w:rsidRDefault="00AA36BD" w:rsidP="00AA36BD">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Against this backdrop, the objective of this article is to provide a critical, India-focused review of SHGs as catalysts for gender equity. Specifically, the review (a) maps the main domains—economic, social, political and bodily autonomy—through which SHGs are theorised and observed to influence women’s lives; (b) synthesises recent evidence on both positive impacts and limitations; and (c) outlines new pathways in programme design and policy integration that could enhance SHGs’ contributions to gender-equitable development. By foregrounding both successes and failures, the article seeks to inform future research and policy on how India’s SHG architecture can be more deliberately harnessed for gender justice.</w:t>
      </w:r>
    </w:p>
    <w:p w14:paraId="634770F8" w14:textId="77777777" w:rsidR="00823A48" w:rsidRPr="00314DF8" w:rsidRDefault="00A84EE2" w:rsidP="00A84EE2">
      <w:pPr>
        <w:pStyle w:val="Heading2"/>
      </w:pPr>
      <w:bookmarkStart w:id="4" w:name="_Toc214381449"/>
      <w:r w:rsidRPr="00314DF8">
        <w:t xml:space="preserve">2. </w:t>
      </w:r>
      <w:r w:rsidR="00823A48" w:rsidRPr="00314DF8">
        <w:t>Conceptualising gender equity and the SHG model</w:t>
      </w:r>
      <w:bookmarkEnd w:id="4"/>
    </w:p>
    <w:p w14:paraId="46C5CC49" w14:textId="77777777" w:rsidR="00823A48" w:rsidRPr="00314DF8" w:rsidRDefault="00823A48" w:rsidP="00314DF8">
      <w:pPr>
        <w:pStyle w:val="Heading3"/>
        <w:rPr>
          <w:lang w:val="en-GB"/>
        </w:rPr>
      </w:pPr>
      <w:bookmarkStart w:id="5" w:name="_Toc214381450"/>
      <w:r w:rsidRPr="00314DF8">
        <w:rPr>
          <w:lang w:val="en-GB"/>
        </w:rPr>
        <w:t>2.1 Gender equity, empowerment and agency</w:t>
      </w:r>
      <w:bookmarkEnd w:id="5"/>
    </w:p>
    <w:p w14:paraId="2D3ADF77" w14:textId="77777777" w:rsidR="00823A48" w:rsidRPr="00314DF8" w:rsidRDefault="00823A48" w:rsidP="00823A48">
      <w:pPr>
        <w:pStyle w:val="NormalWeb"/>
        <w:rPr>
          <w:lang w:val="en-GB"/>
        </w:rPr>
      </w:pPr>
      <w:r w:rsidRPr="00314DF8">
        <w:rPr>
          <w:lang w:val="en-GB"/>
        </w:rPr>
        <w:t xml:space="preserve">In this review, gender equity is understood as fairness in the distribution of resources, responsibilities and voice between women and men, recognising that women in India start from structurally disadvantaged positions in family, labour markets and public institutions. Equity therefore goes beyond formal equality in laws or programme access and concerns shifts in power relations that expand women’s substantive freedoms to live lives they have reason to value. Building on Kabeer’s widely used framework, empowerment is treated as a process through which women gain access to material and social resources, strengthen their agency to define and pursue strategic life choices, and translate these into achievements in domains such as livelihoods, mobility, political participation and bodily autonomy (Kabeer, 1999, 2005). From this perspective, gender equity is realised when such shifts in resources </w:t>
      </w:r>
      <w:r w:rsidRPr="00314DF8">
        <w:rPr>
          <w:lang w:val="en-GB"/>
        </w:rPr>
        <w:lastRenderedPageBreak/>
        <w:t>and agency are sufficiently deep and durable to alter the gendered “rules of the game” that structure everyday life.</w:t>
      </w:r>
    </w:p>
    <w:p w14:paraId="469BB4FE" w14:textId="77777777" w:rsidR="00823A48" w:rsidRPr="00314DF8" w:rsidRDefault="00823A48" w:rsidP="00823A48">
      <w:pPr>
        <w:pStyle w:val="NormalWeb"/>
        <w:rPr>
          <w:lang w:val="en-GB"/>
        </w:rPr>
      </w:pPr>
      <w:r w:rsidRPr="00314DF8">
        <w:rPr>
          <w:lang w:val="en-GB"/>
        </w:rPr>
        <w:t xml:space="preserve">Feminist scholars have cautioned that development practice frequently narrows empowerment to individual attributes—self-confidence, skills, income—while leaving intact wider structures of caste, class and patriarchy. Cornwall and Rivas (2015) distinguish instrumental approaches, which value women primarily as efficient implementers of poverty programmes, from transformative approaches that explicitly seek to redistribute power and voice and to challenge discriminatory norms and institutions. Recent research further highlights that women’s own aspirations, perceptions of injustice and “will to change” mediate whether new opportunities translate into altered gender relations (Buisson et al., 2022). At the same time, debates on measurement show that commonly used indicators—such as isolated decision-making questions or simple indices—capture certain dimensions of empowerment but often miss collective agency, norm change and resistance (Brody et al., 2017; </w:t>
      </w:r>
      <w:proofErr w:type="spellStart"/>
      <w:r w:rsidRPr="00314DF8">
        <w:rPr>
          <w:lang w:val="en-GB"/>
        </w:rPr>
        <w:t>Garikipati</w:t>
      </w:r>
      <w:proofErr w:type="spellEnd"/>
      <w:r w:rsidRPr="00314DF8">
        <w:rPr>
          <w:lang w:val="en-GB"/>
        </w:rPr>
        <w:t>, 2013). This review therefore adopts a multidimensional and relational understanding of gender equity, attending to material, relational and subjective dimensions, and to both individual and collective expressions of women’s agency.</w:t>
      </w:r>
    </w:p>
    <w:p w14:paraId="5E7B492A" w14:textId="77777777" w:rsidR="00823A48" w:rsidRPr="00314DF8" w:rsidRDefault="00823A48" w:rsidP="00314DF8">
      <w:pPr>
        <w:pStyle w:val="Heading3"/>
        <w:rPr>
          <w:lang w:val="en-GB"/>
        </w:rPr>
      </w:pPr>
      <w:bookmarkStart w:id="6" w:name="_Toc214381451"/>
      <w:r w:rsidRPr="00314DF8">
        <w:rPr>
          <w:lang w:val="en-GB"/>
        </w:rPr>
        <w:t>2.2 The SHG model as an empowerment intervention</w:t>
      </w:r>
      <w:bookmarkEnd w:id="6"/>
    </w:p>
    <w:p w14:paraId="3AB2C8BE" w14:textId="77777777" w:rsidR="00823A48" w:rsidRPr="00314DF8" w:rsidRDefault="00823A48" w:rsidP="00823A48">
      <w:pPr>
        <w:pStyle w:val="NormalWeb"/>
        <w:rPr>
          <w:lang w:val="en-GB"/>
        </w:rPr>
      </w:pPr>
      <w:r w:rsidRPr="00314DF8">
        <w:rPr>
          <w:lang w:val="en-GB"/>
        </w:rPr>
        <w:t>Women’s self-help groups (SHGs) in India typically comprise 10–20 members who meet regularly to save, lend and interact with external organisations. Originally promoted as a community-based microfinance mechanism, the SHG model has evolved into a multi-purpose platform through which governments and NGOs deliver livelihoods, health, nutrition, social protection and governance interventions. Empirical studies suggest that well-functioning SHGs can activate several pathways to empowerment. By pooling savings and providing small, often collateral-free loans, groups relax liquidity constraints, smooth consumption and allow women to invest in petty trade, agriculture and education. Quantitative work on Indian SHG programmes finds that these material gains can translate into higher contributions to household income, increased say in expenditure and greater control over small assets, although effects are heterogeneous and contingent on household and programme characteristics (Bali Swain &amp; Wallentin, 2012).</w:t>
      </w:r>
      <w:r w:rsidR="00270A69" w:rsidRPr="00314DF8">
        <w:rPr>
          <w:lang w:val="en-GB"/>
        </w:rPr>
        <w:t xml:space="preserve"> </w:t>
      </w:r>
    </w:p>
    <w:p w14:paraId="77CBFDDB" w14:textId="77777777" w:rsidR="00823A48" w:rsidRPr="00314DF8" w:rsidRDefault="00823A48" w:rsidP="00823A48">
      <w:pPr>
        <w:pStyle w:val="NormalWeb"/>
        <w:rPr>
          <w:lang w:val="en-GB"/>
        </w:rPr>
      </w:pPr>
      <w:r w:rsidRPr="00314DF8">
        <w:rPr>
          <w:lang w:val="en-GB"/>
        </w:rPr>
        <w:t>A second pathway operates through social capital and mutual support. Sanyal’s (2009) ethnographic research in West Bengal shows how group-based microfinance can transform women’s social networks and normative influence: repeated interactions in SHG meetings foster trust, reciprocity and norms of mutual help, enabling women to intervene collectively in cases of domestic violence, negotiate with local officials and organise for public goods. Nichols (2021) similarly finds that the effectiveness of SHGs as platforms for development programmes depends on the density and distribution of social capital—both within groups and between groups and implementing agencies—with more mature SHGs using their organisational strength to demand responsiveness from state and NGO actors. These findings support viewing SHGs not only as financial intermediaries but also as semi-public spaces where women deliberate, learn, experiment with leadership roles and gradually normalise their presence in community decision-making arenas.</w:t>
      </w:r>
    </w:p>
    <w:p w14:paraId="67D6BCC8" w14:textId="77777777" w:rsidR="00823A48" w:rsidRPr="00314DF8" w:rsidRDefault="00823A48" w:rsidP="00823A48">
      <w:pPr>
        <w:pStyle w:val="NormalWeb"/>
        <w:rPr>
          <w:lang w:val="en-GB"/>
        </w:rPr>
      </w:pPr>
      <w:r w:rsidRPr="00314DF8">
        <w:rPr>
          <w:lang w:val="en-GB"/>
        </w:rPr>
        <w:t xml:space="preserve">Early policy narratives often assumed a “virtuous spiral”, in which women’s access to credit would simultaneously enhance household welfare and strengthen their bargaining power. Critical scholarship has challenged this optimism. </w:t>
      </w:r>
      <w:proofErr w:type="spellStart"/>
      <w:r w:rsidRPr="00314DF8">
        <w:rPr>
          <w:lang w:val="en-GB"/>
        </w:rPr>
        <w:t>Mayoux</w:t>
      </w:r>
      <w:proofErr w:type="spellEnd"/>
      <w:r w:rsidRPr="00314DF8">
        <w:rPr>
          <w:lang w:val="en-GB"/>
        </w:rPr>
        <w:t xml:space="preserve"> (1999) documents how microfinance initiatives may increase women’s workloads and financial obligations without </w:t>
      </w:r>
      <w:r w:rsidRPr="00314DF8">
        <w:rPr>
          <w:lang w:val="en-GB"/>
        </w:rPr>
        <w:lastRenderedPageBreak/>
        <w:t xml:space="preserve">substantially shifting control over assets or decisions, particularly where men appropriate loans or profits or where women’s earnings are treated as a buffer against male income instability. </w:t>
      </w:r>
      <w:proofErr w:type="spellStart"/>
      <w:r w:rsidRPr="00314DF8">
        <w:rPr>
          <w:lang w:val="en-GB"/>
        </w:rPr>
        <w:t>Garikipati</w:t>
      </w:r>
      <w:proofErr w:type="spellEnd"/>
      <w:r w:rsidRPr="00314DF8">
        <w:rPr>
          <w:lang w:val="en-GB"/>
        </w:rPr>
        <w:t xml:space="preserve"> (2013) similarly argues that conventional indicators—loan repayment, participation in meetings, or enterprise ownership—can mask situations in which women absorb risks and responsibilities while retaining limited say over how resources are used. Such critiques underline the need to ask who benefits, who bears the costs and whether SHG participation alters the underlying gender contract, rather than assuming a straightforward linkage between financial inclusion and empowerment.</w:t>
      </w:r>
    </w:p>
    <w:p w14:paraId="3415392C" w14:textId="77777777" w:rsidR="00823A48" w:rsidRPr="00314DF8" w:rsidRDefault="00823A48" w:rsidP="00823A48">
      <w:pPr>
        <w:pStyle w:val="NormalWeb"/>
        <w:rPr>
          <w:lang w:val="en-GB"/>
        </w:rPr>
      </w:pPr>
      <w:r w:rsidRPr="00314DF8">
        <w:rPr>
          <w:lang w:val="en-GB"/>
        </w:rPr>
        <w:t>Despite these concerns, recent syntheses offer a cautiously optimistic view of SHGs as empowerment interventions when they are designed with broader social objectives. A Campbell systematic review and an updated meta-analysis by Brody and colleagues report that economic self-help group programmes, including Indian SHGs, generate modest but statistically significant average gains in women’s self-confidence, mobility, participation in household decision-making and engagement in collective action, especially when financial services are combined with training, gender dialogue or rights-based components (Brody et al., 2015, 2017). However, impacts on intimate partner violence, control over major assets and political representation are more mixed, underscoring that SHGs alone rarely overturn entrenched patriarchal structures.</w:t>
      </w:r>
    </w:p>
    <w:p w14:paraId="2D3F11C5" w14:textId="77777777" w:rsidR="00823A48" w:rsidRPr="00314DF8" w:rsidRDefault="00823A48" w:rsidP="00314DF8">
      <w:pPr>
        <w:pStyle w:val="Heading3"/>
        <w:rPr>
          <w:lang w:val="en-GB"/>
        </w:rPr>
      </w:pPr>
      <w:bookmarkStart w:id="7" w:name="_Toc214381452"/>
      <w:r w:rsidRPr="00314DF8">
        <w:rPr>
          <w:lang w:val="en-GB"/>
        </w:rPr>
        <w:t>2.3 Towards a gender-transformative SHG model</w:t>
      </w:r>
      <w:bookmarkEnd w:id="7"/>
    </w:p>
    <w:p w14:paraId="679982AA" w14:textId="77777777" w:rsidR="00823A48" w:rsidRPr="00314DF8" w:rsidRDefault="00823A48" w:rsidP="00823A48">
      <w:pPr>
        <w:pStyle w:val="NormalWeb"/>
        <w:rPr>
          <w:lang w:val="en-GB"/>
        </w:rPr>
      </w:pPr>
      <w:r w:rsidRPr="00314DF8">
        <w:rPr>
          <w:lang w:val="en-GB"/>
        </w:rPr>
        <w:t>Against this backdrop, the conceptual question is no longer simply whether SHGs empower women, but what forms of empowerment they foster and under what conditions these gains contribute to gender-transformative change. Following Cornwall and Rivas (2015), SHG-based interventions can be considered gender-transformative when they explicitly seek to challenge discriminatory norms, redistribute unpaid care and domestic work, support women’s collective organising, and influence institutional rules and practices. The literature suggests that this requires going beyond credit and livelihoods to create spaces for critical reflection on gender, to engage men and community leaders, and to forge alliances with wider feminist and rights-based movements. Evidence from other low-income settings indicates that programmes are more likely to shift harmful norms where women’s participation in groups is coupled with deliberate efforts to cultivate their aspirations and “will to change” and to support them when they face backlash (Buisson et al., 2022).</w:t>
      </w:r>
      <w:r w:rsidR="00270A69" w:rsidRPr="00314DF8">
        <w:rPr>
          <w:lang w:val="en-GB"/>
        </w:rPr>
        <w:t xml:space="preserve"> </w:t>
      </w:r>
    </w:p>
    <w:p w14:paraId="07369445" w14:textId="77777777" w:rsidR="00823A48" w:rsidRPr="00314DF8" w:rsidRDefault="00823A48" w:rsidP="00823A48">
      <w:pPr>
        <w:pStyle w:val="NormalWeb"/>
        <w:rPr>
          <w:lang w:val="en-GB"/>
        </w:rPr>
      </w:pPr>
      <w:r w:rsidRPr="00314DF8">
        <w:rPr>
          <w:lang w:val="en-GB"/>
        </w:rPr>
        <w:t>This review therefore conceptualises gender equity outcomes of SHGs as emerging from intersecting processes at multiple levels. At the micro level, SHGs can enhance women’s skills, self-efficacy and control over small but symbolically important financial resources (Bali Swain &amp; Wallentin, 2012; Buisson et al., 2022). At the meso level, dense SHG networks may build horizontal solidarity and vertical linkages to civil society organisations and local state actors, enabling women to articulate grievances and make collective claims (Nichols, 2021; Sanyal, 2009). At the macro level, federated SHG structures can participate in policy processes, monitor service delivery and contribute to a gradual redefinition of citizenship in more gender-equal terms, although these gains are uneven and often bypass the most marginalised. In the remainder of the article, the SHG model is therefore treated not as a uniform technical “solution” but as a flexible social and organisational form whose equity effects depend on design features, facilitation quality and the wider political economy of gender relations in India.</w:t>
      </w:r>
    </w:p>
    <w:p w14:paraId="53E2CCBE" w14:textId="77777777" w:rsidR="00823A48" w:rsidRPr="00314DF8" w:rsidRDefault="00823A48" w:rsidP="00823A48"/>
    <w:p w14:paraId="3ED57F46" w14:textId="77777777" w:rsidR="00AA36BD" w:rsidRPr="00314DF8" w:rsidRDefault="00AA36BD" w:rsidP="00AA36BD"/>
    <w:p w14:paraId="1F8069A3" w14:textId="77777777" w:rsidR="00823A48" w:rsidRPr="00314DF8" w:rsidRDefault="00823A48" w:rsidP="00314DF8">
      <w:pPr>
        <w:pStyle w:val="Heading2"/>
      </w:pPr>
      <w:bookmarkStart w:id="8" w:name="_Toc214381453"/>
      <w:r w:rsidRPr="00314DF8">
        <w:t>3. Evidence of successes: SHGs as catalysts for change</w:t>
      </w:r>
      <w:bookmarkEnd w:id="8"/>
    </w:p>
    <w:p w14:paraId="1C615773" w14:textId="77777777" w:rsidR="00823A48" w:rsidRPr="00314DF8" w:rsidRDefault="00823A48" w:rsidP="00823A48">
      <w:pPr>
        <w:pStyle w:val="NormalWeb"/>
        <w:rPr>
          <w:lang w:val="en-GB"/>
        </w:rPr>
      </w:pPr>
      <w:r w:rsidRPr="00314DF8">
        <w:rPr>
          <w:lang w:val="en-GB"/>
        </w:rPr>
        <w:t>A substantial body of empirical research from India now shows that women’s self-help groups (SHGs) can generate meaningful shifts in economic security, social relations and political voice, even if outcomes are heterogeneous across regions and social groups. Large-scale quasi-experimental evaluations, village-level case studies and systematic reviews converge in suggesting that SHGs do more than provide credit: they create collective capabilities that enable women to negotiate markets, institutions and norms in new ways (Brody et al., 2017; Deininger &amp; Liu, 2013; Kumar et al., 2021).</w:t>
      </w:r>
    </w:p>
    <w:p w14:paraId="5D64AA52" w14:textId="77777777" w:rsidR="00823A48" w:rsidRPr="00314DF8" w:rsidRDefault="00823A48" w:rsidP="00314DF8">
      <w:pPr>
        <w:pStyle w:val="Heading3"/>
        <w:rPr>
          <w:lang w:val="en-GB"/>
        </w:rPr>
      </w:pPr>
      <w:bookmarkStart w:id="9" w:name="_Toc214381454"/>
      <w:r w:rsidRPr="00314DF8">
        <w:rPr>
          <w:lang w:val="en-GB"/>
        </w:rPr>
        <w:t>3.1 Economic security, livelihoods and financial resilience</w:t>
      </w:r>
      <w:bookmarkEnd w:id="9"/>
    </w:p>
    <w:p w14:paraId="79E6F9EE" w14:textId="77777777" w:rsidR="00823A48" w:rsidRPr="00314DF8" w:rsidRDefault="00823A48" w:rsidP="00823A48">
      <w:pPr>
        <w:pStyle w:val="NormalWeb"/>
        <w:rPr>
          <w:lang w:val="en-GB"/>
        </w:rPr>
      </w:pPr>
      <w:r w:rsidRPr="00314DF8">
        <w:rPr>
          <w:lang w:val="en-GB"/>
        </w:rPr>
        <w:t>The strongest and most consistent evidence concerns improvements in women’s financial security and livelihood diversification. Evaluating a large SHG programme in Andhra Pradesh, Deininger and Liu (2013) find that participation is associated with higher household consumption, improved ability to smooth shocks and greater accumulation of livestock and productive assets, indicating that group-based microfinance can relax liquidity constraints while also strengthening resilience. Similarly, an evaluation of the SHG–Bank Linkage Programme shows that member households are less likely to be poor and report greater economic autonomy for women, particularly through enhanced control over savings and small loans (Sinha et al., 2012).</w:t>
      </w:r>
    </w:p>
    <w:p w14:paraId="2D0F201D" w14:textId="77777777" w:rsidR="00823A48" w:rsidRPr="00314DF8" w:rsidRDefault="00823A48" w:rsidP="00823A48">
      <w:pPr>
        <w:pStyle w:val="NormalWeb"/>
        <w:rPr>
          <w:lang w:val="en-GB"/>
        </w:rPr>
      </w:pPr>
      <w:r w:rsidRPr="00314DF8">
        <w:rPr>
          <w:lang w:val="en-GB"/>
        </w:rPr>
        <w:t>Micro-level studies from diverse states echo these patterns. Village-level research in West Bengal and tribal areas of Gujarat documents that SHG membership increases women’s independent income, facilitates small-scale enterprises and improves control over earnings (</w:t>
      </w:r>
      <w:proofErr w:type="spellStart"/>
      <w:r w:rsidRPr="00314DF8">
        <w:rPr>
          <w:lang w:val="en-GB"/>
        </w:rPr>
        <w:t>Bariya</w:t>
      </w:r>
      <w:proofErr w:type="spellEnd"/>
      <w:r w:rsidRPr="00314DF8">
        <w:rPr>
          <w:lang w:val="en-GB"/>
        </w:rPr>
        <w:t xml:space="preserve">, 2022; </w:t>
      </w:r>
      <w:proofErr w:type="spellStart"/>
      <w:r w:rsidRPr="00314DF8">
        <w:rPr>
          <w:lang w:val="en-GB"/>
        </w:rPr>
        <w:t>Garai</w:t>
      </w:r>
      <w:proofErr w:type="spellEnd"/>
      <w:r w:rsidRPr="00314DF8">
        <w:rPr>
          <w:lang w:val="en-GB"/>
        </w:rPr>
        <w:t xml:space="preserve"> et al., 2012). Survey-based work in Kashmir Valley shows that SHG-linked microfinance contributes simultaneously to economic, social, political and psychological empowerment, with particularly strong effects on women’s confidence to invest in income-generating activities (Khan et al., 2020).</w:t>
      </w:r>
    </w:p>
    <w:p w14:paraId="384FCDBB" w14:textId="77777777" w:rsidR="00823A48" w:rsidRPr="00314DF8" w:rsidRDefault="00823A48" w:rsidP="00823A48">
      <w:pPr>
        <w:pStyle w:val="NormalWeb"/>
        <w:rPr>
          <w:lang w:val="en-GB"/>
        </w:rPr>
      </w:pPr>
      <w:r w:rsidRPr="00314DF8">
        <w:rPr>
          <w:lang w:val="en-GB"/>
        </w:rPr>
        <w:t>Recent scholarship emphasises that economic benefits are magnified when credit is bundled with entrepreneurship support and business training. A mixed-methods study of SHG members in rural Maharashtra shows that combining microfinance with structured entrepreneurial engagement leads to stronger gains in asset ownership, business diversification and perceived economic empowerment compared with credit-only models (Pandhare et al., 2024). Taken together, these findings suggest that SHGs function as platforms for livelihood upgrading, not merely as conduits for subsidised loans.</w:t>
      </w:r>
    </w:p>
    <w:p w14:paraId="68944690" w14:textId="77777777" w:rsidR="00823A48" w:rsidRPr="00314DF8" w:rsidRDefault="00823A48" w:rsidP="00314DF8">
      <w:pPr>
        <w:pStyle w:val="Heading3"/>
        <w:rPr>
          <w:lang w:val="en-GB"/>
        </w:rPr>
      </w:pPr>
      <w:bookmarkStart w:id="10" w:name="_Toc214381455"/>
      <w:r w:rsidRPr="00314DF8">
        <w:rPr>
          <w:lang w:val="en-GB"/>
        </w:rPr>
        <w:t>3.2 Social, psychological and relational empowerment</w:t>
      </w:r>
      <w:bookmarkEnd w:id="10"/>
    </w:p>
    <w:p w14:paraId="1B63F508" w14:textId="77777777" w:rsidR="00823A48" w:rsidRPr="00314DF8" w:rsidRDefault="00823A48" w:rsidP="00823A48">
      <w:pPr>
        <w:pStyle w:val="NormalWeb"/>
        <w:rPr>
          <w:lang w:val="en-GB"/>
        </w:rPr>
      </w:pPr>
      <w:r w:rsidRPr="00314DF8">
        <w:rPr>
          <w:lang w:val="en-GB"/>
        </w:rPr>
        <w:t>Beyond income, SHGs have been shown to enhance women’s self-confidence, mobility and intra-household bargaining power. Using a large panel dataset from India, Swain and Wallentin (2009) develop an empowerment index and demonstrate that SHG participation significantly increases women’s decision-making authority in household expenditures, freedom of movement and perceived self-worth. In a follow-up analysis, Bali Swain and Wallentin (2012) identify programme design features—such as training quality and group cohesion—that are associated with especially high empowerment scores, indicating that “how” SHGs are implemented matters as much as simple membership.</w:t>
      </w:r>
    </w:p>
    <w:p w14:paraId="64BBEAE7" w14:textId="77777777" w:rsidR="00823A48" w:rsidRPr="00314DF8" w:rsidRDefault="00823A48" w:rsidP="00823A48">
      <w:pPr>
        <w:pStyle w:val="NormalWeb"/>
        <w:rPr>
          <w:lang w:val="en-GB"/>
        </w:rPr>
      </w:pPr>
      <w:r w:rsidRPr="00314DF8">
        <w:rPr>
          <w:lang w:val="en-GB"/>
        </w:rPr>
        <w:lastRenderedPageBreak/>
        <w:t xml:space="preserve">At the community level, SHGs strengthen bonding and bridging social capital. A study of </w:t>
      </w:r>
      <w:proofErr w:type="spellStart"/>
      <w:r w:rsidRPr="00314DF8">
        <w:rPr>
          <w:lang w:val="en-GB"/>
        </w:rPr>
        <w:t>Kudumbashree</w:t>
      </w:r>
      <w:proofErr w:type="spellEnd"/>
      <w:r w:rsidRPr="00314DF8">
        <w:rPr>
          <w:lang w:val="en-GB"/>
        </w:rPr>
        <w:t xml:space="preserve"> neighbourhood groups in Kerala shows that SHG networks create dense webs of mutual support, enhance women’s visibility in local public spaces and foster a sense of collective identity that spills over into community initiatives (Rajagopal, 2020). Case studies from West Bengal and multi-state extension contexts similarly report that SHGs facilitate peer learning, mutual childcare and informal dispute resolution, thereby expanding women’s social worlds beyond kinship networks (</w:t>
      </w:r>
      <w:proofErr w:type="spellStart"/>
      <w:r w:rsidRPr="00314DF8">
        <w:rPr>
          <w:lang w:val="en-GB"/>
        </w:rPr>
        <w:t>Bariya</w:t>
      </w:r>
      <w:proofErr w:type="spellEnd"/>
      <w:r w:rsidRPr="00314DF8">
        <w:rPr>
          <w:lang w:val="en-GB"/>
        </w:rPr>
        <w:t xml:space="preserve">, 2022; </w:t>
      </w:r>
      <w:proofErr w:type="spellStart"/>
      <w:r w:rsidRPr="00314DF8">
        <w:rPr>
          <w:lang w:val="en-GB"/>
        </w:rPr>
        <w:t>Garai</w:t>
      </w:r>
      <w:proofErr w:type="spellEnd"/>
      <w:r w:rsidRPr="00314DF8">
        <w:rPr>
          <w:lang w:val="en-GB"/>
        </w:rPr>
        <w:t xml:space="preserve"> et al., 2012).</w:t>
      </w:r>
    </w:p>
    <w:p w14:paraId="182F8633" w14:textId="77777777" w:rsidR="00823A48" w:rsidRPr="00314DF8" w:rsidRDefault="00823A48" w:rsidP="00823A48">
      <w:pPr>
        <w:pStyle w:val="NormalWeb"/>
        <w:rPr>
          <w:lang w:val="en-GB"/>
        </w:rPr>
      </w:pPr>
      <w:r w:rsidRPr="00314DF8">
        <w:rPr>
          <w:lang w:val="en-GB"/>
        </w:rPr>
        <w:t>Psychological empowerment is also evident in women’s narratives of reduced fear and enhanced voice. A systematic review of SHG programmes across South Asia finds consistent evidence of increases in self-efficacy, aspirations and perceived ability to influence community decisions, even where economic impacts are modest (Brody et al., 2017). In agriculture-focused programmes, SHG platforms have helped women articulate their information needs, negotiate with frontline extension workers and participate more actively in farm decision-making (Raghunathan et al., 2019). These strands of evidence point to SHGs as important “schools of citizenship” in which women practice collective deliberation, leadership and negotiation on a routine basis.</w:t>
      </w:r>
    </w:p>
    <w:p w14:paraId="723C03AD" w14:textId="77777777" w:rsidR="00823A48" w:rsidRPr="00314DF8" w:rsidRDefault="00823A48" w:rsidP="00314DF8">
      <w:pPr>
        <w:pStyle w:val="Heading3"/>
        <w:rPr>
          <w:lang w:val="en-GB"/>
        </w:rPr>
      </w:pPr>
      <w:bookmarkStart w:id="11" w:name="_Toc214381456"/>
      <w:r w:rsidRPr="00314DF8">
        <w:rPr>
          <w:lang w:val="en-GB"/>
        </w:rPr>
        <w:t>3.3 Political participation, citizenship and access to services</w:t>
      </w:r>
      <w:bookmarkEnd w:id="11"/>
    </w:p>
    <w:p w14:paraId="03660A0C" w14:textId="77777777" w:rsidR="00823A48" w:rsidRPr="00314DF8" w:rsidRDefault="00823A48" w:rsidP="00823A48">
      <w:pPr>
        <w:pStyle w:val="NormalWeb"/>
        <w:rPr>
          <w:lang w:val="en-GB"/>
        </w:rPr>
      </w:pPr>
      <w:r w:rsidRPr="00314DF8">
        <w:rPr>
          <w:lang w:val="en-GB"/>
        </w:rPr>
        <w:t xml:space="preserve">A newer but rapidly growing literature highlights the political and citizenship effects of women’s SHGs. Using data from five Indian states, Kumar et al. (2019) show that SHG members are more likely than non-members to vote, attend gram </w:t>
      </w:r>
      <w:proofErr w:type="spellStart"/>
      <w:r w:rsidRPr="00314DF8">
        <w:rPr>
          <w:lang w:val="en-GB"/>
        </w:rPr>
        <w:t>sabha</w:t>
      </w:r>
      <w:proofErr w:type="spellEnd"/>
      <w:r w:rsidRPr="00314DF8">
        <w:rPr>
          <w:lang w:val="en-GB"/>
        </w:rPr>
        <w:t xml:space="preserve"> meetings and contact elected representatives. The same study finds that membership is positively associated with awareness and utilisation of multiple public entitlement schemes, suggesting that SHGs help women navigate complex bureaucratic systems and claim benefits to which they are formally entitled (Kumar et al., 2019).</w:t>
      </w:r>
    </w:p>
    <w:p w14:paraId="7C9C2E1F" w14:textId="77777777" w:rsidR="00823A48" w:rsidRPr="00314DF8" w:rsidRDefault="00823A48" w:rsidP="00823A48">
      <w:pPr>
        <w:pStyle w:val="NormalWeb"/>
        <w:rPr>
          <w:lang w:val="en-GB"/>
        </w:rPr>
      </w:pPr>
      <w:r w:rsidRPr="00314DF8">
        <w:rPr>
          <w:lang w:val="en-GB"/>
        </w:rPr>
        <w:t>Subsequent work by the same group, drawing on a large-scale impact evaluation, shows that membership in federated SHGs is linked to significant increases in a multidimensional empowerment index capturing economic, social and political domains (Kumar et al., 2021). Raghunathan et al. (2019) further demonstrate that SHG participation improves women’s access to agricultural information and their role in farm decisions, outcomes that are themselves tied to more confident engagement with local state actors such as extension officers and Panchayat representatives.</w:t>
      </w:r>
    </w:p>
    <w:p w14:paraId="0EA24B35" w14:textId="77777777" w:rsidR="00823A48" w:rsidRPr="00314DF8" w:rsidRDefault="00823A48" w:rsidP="00823A48">
      <w:pPr>
        <w:pStyle w:val="NormalWeb"/>
        <w:rPr>
          <w:lang w:val="en-GB"/>
        </w:rPr>
      </w:pPr>
      <w:r w:rsidRPr="00314DF8">
        <w:rPr>
          <w:lang w:val="en-GB"/>
        </w:rPr>
        <w:t>Evidence from other institutional settings reinforces this picture of SHGs as vehicles for closing the gender gap in political life. Analysing a nationwide dataset, Prillaman (202</w:t>
      </w:r>
      <w:r w:rsidR="00A948AB" w:rsidRPr="00314DF8">
        <w:rPr>
          <w:lang w:val="en-GB"/>
        </w:rPr>
        <w:t>3</w:t>
      </w:r>
      <w:r w:rsidRPr="00314DF8">
        <w:rPr>
          <w:lang w:val="en-GB"/>
        </w:rPr>
        <w:t xml:space="preserve">) finds that membership in women’s groups—including SHGs—substantially increases women’s likelihood of political discussion, party work and candidacy, thereby narrowing the political participation gap between men and women. In Kerala, </w:t>
      </w:r>
      <w:proofErr w:type="spellStart"/>
      <w:r w:rsidRPr="00314DF8">
        <w:rPr>
          <w:lang w:val="en-GB"/>
        </w:rPr>
        <w:t>Kudumbashree</w:t>
      </w:r>
      <w:proofErr w:type="spellEnd"/>
      <w:r w:rsidRPr="00314DF8">
        <w:rPr>
          <w:lang w:val="en-GB"/>
        </w:rPr>
        <w:t xml:space="preserve"> neighbourhood groups have served as pipelines for women leaders entering local government and influencing anti-poverty programmes (Rajagopal, 2020).</w:t>
      </w:r>
    </w:p>
    <w:p w14:paraId="032BF21F" w14:textId="77777777" w:rsidR="00823A48" w:rsidRPr="00314DF8" w:rsidRDefault="00823A48" w:rsidP="00823A48">
      <w:pPr>
        <w:pStyle w:val="NormalWeb"/>
        <w:rPr>
          <w:lang w:val="en-GB"/>
        </w:rPr>
      </w:pPr>
      <w:r w:rsidRPr="00314DF8">
        <w:rPr>
          <w:lang w:val="en-GB"/>
        </w:rPr>
        <w:t xml:space="preserve">Although the relationship between empowerment and gender-based violence is complex, some studies suggest that SHGs can contribute to safer and more equitable relationships under certain conditions. In Andhra Pradesh, Sato et al. (2022) find that SHG participation is associated with a short-run reduction in domestic violence, especially when interventions explicitly address gender norms alongside credit provision. While medium-term dynamics are more ambiguous and are better discussed under challenges, these results nonetheless indicate </w:t>
      </w:r>
      <w:r w:rsidRPr="00314DF8">
        <w:rPr>
          <w:lang w:val="en-GB"/>
        </w:rPr>
        <w:lastRenderedPageBreak/>
        <w:t>that well-designed SHG programmes can support positive shifts in household power relations. Overall, the emerging evidence base portrays SHGs as multi-dimensional catalysts that link women’s everyday financial practices to broader forms of social and political transformation.</w:t>
      </w:r>
    </w:p>
    <w:p w14:paraId="47F435C6" w14:textId="77777777" w:rsidR="00823A48" w:rsidRPr="00314DF8" w:rsidRDefault="004D7303" w:rsidP="00314DF8">
      <w:pPr>
        <w:pStyle w:val="Heading2"/>
        <w:rPr>
          <w:rFonts w:eastAsia="Times New Roman"/>
        </w:rPr>
      </w:pPr>
      <w:bookmarkStart w:id="12" w:name="_Toc214381457"/>
      <w:r w:rsidRPr="00314DF8">
        <w:rPr>
          <w:rFonts w:eastAsia="Times New Roman"/>
        </w:rPr>
        <w:t xml:space="preserve">4. </w:t>
      </w:r>
      <w:r w:rsidR="00823A48" w:rsidRPr="00314DF8">
        <w:rPr>
          <w:rFonts w:eastAsia="Times New Roman"/>
        </w:rPr>
        <w:t>Failures, heterogeneity and unintended consequences</w:t>
      </w:r>
      <w:bookmarkEnd w:id="12"/>
    </w:p>
    <w:p w14:paraId="7EBFD4B4" w14:textId="77777777" w:rsidR="00823A48" w:rsidRPr="00314DF8" w:rsidRDefault="00823A48" w:rsidP="00314DF8">
      <w:pPr>
        <w:pStyle w:val="Heading3"/>
        <w:rPr>
          <w:lang w:val="en-GB"/>
        </w:rPr>
      </w:pPr>
      <w:bookmarkStart w:id="13" w:name="_Toc214381458"/>
      <w:r w:rsidRPr="00314DF8">
        <w:rPr>
          <w:lang w:val="en-GB"/>
        </w:rPr>
        <w:t>4.1 Uneven reach and intersectional exclusions</w:t>
      </w:r>
      <w:bookmarkEnd w:id="13"/>
    </w:p>
    <w:p w14:paraId="20500430" w14:textId="77777777" w:rsidR="00823A48" w:rsidRPr="00314DF8" w:rsidRDefault="00823A48" w:rsidP="00823A48">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Despite the celebratory rhetoric around SHGs, the evidence base shows that their benefits for gender equity are uneven across regions, caste groups and program designs. Large-scale evaluations of state-led SHG programs in India, such as the Andhra Pradesh model analysed by Deininger and Liu (2013), report significant gains in consumption, asset accumulation and some dimensions of women’s decision-making. However, these gains are not uniform: women from relatively better-connected villages and households with some prior assets are more likely to participate and to benefit, while the poorest and most marginalised continue to face barriers of information, social stigma and opportunity cost of time (Deininger &amp; Liu, 2013). In Odisha, Sahu (2015) finds that only 13.2% of SHG members in his sample can be classified as empowered on a composite index, underscoring that participation alone does not guarantee transformative change.</w:t>
      </w:r>
    </w:p>
    <w:p w14:paraId="38BD7696" w14:textId="77777777" w:rsidR="00823A48" w:rsidRPr="00314DF8" w:rsidRDefault="00823A48" w:rsidP="00823A48">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Heterogeneity is also visible at the level of intra-household decision-making. Using data from multiple Indian states, Swain and Wallentin (2012) show that empowerment outcomes depend strongly on initial conditions—women who start from a very low base of agency often gain less than those with some pre-existing bargaining power. More recent evidence from agriculture-focused SHGs confirms this pattern. Surendran Padmaja et al. (2023) find that SHG participation increases women’s role in agricultural decision-making by about 8–13 percentage points on average, but the gains are concentrated in certain domains (such as input choice) and are weaker where husbands retain strong control over marketing and land decisions. These findings indicate that SHGs tend to work “with the grain” of existing village hierarchies and gender contracts rather than automatically overturning them.</w:t>
      </w:r>
    </w:p>
    <w:p w14:paraId="577B2777" w14:textId="77777777" w:rsidR="00823A48" w:rsidRPr="00314DF8" w:rsidRDefault="00823A48" w:rsidP="00314DF8">
      <w:pPr>
        <w:pStyle w:val="Heading3"/>
        <w:rPr>
          <w:lang w:val="en-GB"/>
        </w:rPr>
      </w:pPr>
      <w:bookmarkStart w:id="14" w:name="_Toc214381459"/>
      <w:r w:rsidRPr="00314DF8">
        <w:rPr>
          <w:lang w:val="en-GB"/>
        </w:rPr>
        <w:t>4.2 Limits of empowerment and the persistence of patriarchal norms</w:t>
      </w:r>
      <w:bookmarkEnd w:id="14"/>
    </w:p>
    <w:p w14:paraId="2AA5EB4E" w14:textId="77777777" w:rsidR="00823A48" w:rsidRPr="00314DF8" w:rsidRDefault="00823A48" w:rsidP="00823A48">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A second strand of work points to the limited translation of economic gains into deeper shifts in gender norms. Sahu (2015) shows that length of SHG membership is positively related to economic and political dimensions of empowerment, but not to social indicators such as freedom of movement or reduction in discriminatory practices. Similarly, Swain and Wallentin (2012) find that even when women gain greater say in household budgeting, norms about mobility, sexuality and family honour remain largely intact. The implication is that SHGs may increase women’s responsibilities and visibility in the economic sphere without necessarily challenging patriarchal authority in the domestic sphere.</w:t>
      </w:r>
    </w:p>
    <w:p w14:paraId="3A40D877" w14:textId="77777777" w:rsidR="00823A48" w:rsidRPr="00314DF8" w:rsidRDefault="00823A48" w:rsidP="00823A48">
      <w:pPr>
        <w:spacing w:before="100" w:beforeAutospacing="1" w:after="100" w:afterAutospacing="1" w:line="240" w:lineRule="auto"/>
        <w:rPr>
          <w:rFonts w:ascii="Times New Roman" w:eastAsia="Times New Roman" w:hAnsi="Times New Roman" w:cs="Times New Roman"/>
          <w:sz w:val="24"/>
          <w:szCs w:val="24"/>
        </w:rPr>
      </w:pPr>
      <w:proofErr w:type="spellStart"/>
      <w:r w:rsidRPr="00314DF8">
        <w:rPr>
          <w:rFonts w:ascii="Times New Roman" w:eastAsia="Times New Roman" w:hAnsi="Times New Roman" w:cs="Times New Roman"/>
          <w:sz w:val="24"/>
          <w:szCs w:val="24"/>
        </w:rPr>
        <w:t>Garikipati</w:t>
      </w:r>
      <w:proofErr w:type="spellEnd"/>
      <w:r w:rsidRPr="00314DF8">
        <w:rPr>
          <w:rFonts w:ascii="Times New Roman" w:eastAsia="Times New Roman" w:hAnsi="Times New Roman" w:cs="Times New Roman"/>
          <w:sz w:val="24"/>
          <w:szCs w:val="24"/>
        </w:rPr>
        <w:t xml:space="preserve"> (2013) provides a powerful critique of evaluation approaches that focus on “outcome” indicators—such as who signs for loans or who attends meetings—while ignoring the “processes” of loan use and repayment. Her study from rural India shows that women may appear empowered on standard indicators even when male </w:t>
      </w:r>
      <w:proofErr w:type="gramStart"/>
      <w:r w:rsidRPr="00314DF8">
        <w:rPr>
          <w:rFonts w:ascii="Times New Roman" w:eastAsia="Times New Roman" w:hAnsi="Times New Roman" w:cs="Times New Roman"/>
          <w:sz w:val="24"/>
          <w:szCs w:val="24"/>
        </w:rPr>
        <w:t>relatives</w:t>
      </w:r>
      <w:proofErr w:type="gramEnd"/>
      <w:r w:rsidRPr="00314DF8">
        <w:rPr>
          <w:rFonts w:ascii="Times New Roman" w:eastAsia="Times New Roman" w:hAnsi="Times New Roman" w:cs="Times New Roman"/>
          <w:sz w:val="24"/>
          <w:szCs w:val="24"/>
        </w:rPr>
        <w:t xml:space="preserve"> appropriate loans and women bear the burdens of repayment, social sanction and reputational risk (</w:t>
      </w:r>
      <w:proofErr w:type="spellStart"/>
      <w:r w:rsidRPr="00314DF8">
        <w:rPr>
          <w:rFonts w:ascii="Times New Roman" w:eastAsia="Times New Roman" w:hAnsi="Times New Roman" w:cs="Times New Roman"/>
          <w:sz w:val="24"/>
          <w:szCs w:val="24"/>
        </w:rPr>
        <w:t>Garikipati</w:t>
      </w:r>
      <w:proofErr w:type="spellEnd"/>
      <w:r w:rsidRPr="00314DF8">
        <w:rPr>
          <w:rFonts w:ascii="Times New Roman" w:eastAsia="Times New Roman" w:hAnsi="Times New Roman" w:cs="Times New Roman"/>
          <w:sz w:val="24"/>
          <w:szCs w:val="24"/>
        </w:rPr>
        <w:t xml:space="preserve">, 2013). A global systematic review by Brody et al. (2017) reaches a similar conclusion: SHG </w:t>
      </w:r>
      <w:r w:rsidRPr="00314DF8">
        <w:rPr>
          <w:rFonts w:ascii="Times New Roman" w:eastAsia="Times New Roman" w:hAnsi="Times New Roman" w:cs="Times New Roman"/>
          <w:sz w:val="24"/>
          <w:szCs w:val="24"/>
        </w:rPr>
        <w:lastRenderedPageBreak/>
        <w:t>programs yield small but positive average impacts on women’s decision-making and mobility, yet effect sizes vary widely and are highly sensitive to how empowerment is measured and whose voice is captured.</w:t>
      </w:r>
    </w:p>
    <w:p w14:paraId="64BD31DB" w14:textId="77777777" w:rsidR="00823A48" w:rsidRPr="00314DF8" w:rsidRDefault="00823A48" w:rsidP="00823A48">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Qualitative work suggests that SHGs can, in some contexts, become platforms for feminist consciousness and collective resistance, but that such trajectories are fragile and contested. Chaudhuri and Morash (2019) document how some SHG members in India use the group space to discuss domestic violence, challenge male alcohol consumption and negotiate with local authorities. At the same time, they show that women leaders who push too hard against patriarchal norms risk backlash from men, local elites and even other women who fear reputational damage (Chaudhuri &amp; Morash, 2019). Empowerment here is experienced as a “double bind”: SHGs open spaces for agency but also expose women to new forms of surveillance and sanction.</w:t>
      </w:r>
    </w:p>
    <w:p w14:paraId="492E9C96" w14:textId="77777777" w:rsidR="00823A48" w:rsidRPr="00314DF8" w:rsidRDefault="00823A48" w:rsidP="00314DF8">
      <w:pPr>
        <w:pStyle w:val="Heading3"/>
        <w:rPr>
          <w:lang w:val="en-GB"/>
        </w:rPr>
      </w:pPr>
      <w:bookmarkStart w:id="15" w:name="_Toc214381460"/>
      <w:r w:rsidRPr="00314DF8">
        <w:rPr>
          <w:lang w:val="en-GB"/>
        </w:rPr>
        <w:t>4.3 Indebtedness, financial risk and group-level stress</w:t>
      </w:r>
      <w:bookmarkEnd w:id="15"/>
    </w:p>
    <w:p w14:paraId="1C3A1444" w14:textId="77777777" w:rsidR="00823A48" w:rsidRPr="00314DF8" w:rsidRDefault="00823A48" w:rsidP="00823A48">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The microfinance-led SHG model has been particularly criticised for generating new vulnerabilities through debt. Based on long-term fieldwork in rural Tamil Nadu, Guérin (2014) shows that SHG loans quickly become part of complex “debt juggling” strategies, where women manage multiple formal and informal loans to meet everyday consumption needs, ceremonial expenses and emergency costs. While credit can smooth consumption and support investment, it also embeds women in dense webs of obligation and hierarchy, where timely repayment is linked to moral worth and social belonging (Guérin, 2014).</w:t>
      </w:r>
    </w:p>
    <w:p w14:paraId="7B282C26" w14:textId="77777777" w:rsidR="00823A48" w:rsidRPr="00314DF8" w:rsidRDefault="00823A48" w:rsidP="00823A48">
      <w:pPr>
        <w:spacing w:before="100" w:beforeAutospacing="1" w:after="100" w:afterAutospacing="1" w:line="240" w:lineRule="auto"/>
        <w:rPr>
          <w:rFonts w:ascii="Times New Roman" w:eastAsia="Times New Roman" w:hAnsi="Times New Roman" w:cs="Times New Roman"/>
          <w:sz w:val="24"/>
          <w:szCs w:val="24"/>
        </w:rPr>
      </w:pPr>
      <w:proofErr w:type="spellStart"/>
      <w:r w:rsidRPr="00314DF8">
        <w:rPr>
          <w:rFonts w:ascii="Times New Roman" w:eastAsia="Times New Roman" w:hAnsi="Times New Roman" w:cs="Times New Roman"/>
          <w:sz w:val="24"/>
          <w:szCs w:val="24"/>
        </w:rPr>
        <w:t>Garikipati</w:t>
      </w:r>
      <w:proofErr w:type="spellEnd"/>
      <w:r w:rsidRPr="00314DF8">
        <w:rPr>
          <w:rFonts w:ascii="Times New Roman" w:eastAsia="Times New Roman" w:hAnsi="Times New Roman" w:cs="Times New Roman"/>
          <w:sz w:val="24"/>
          <w:szCs w:val="24"/>
        </w:rPr>
        <w:t xml:space="preserve"> et al. (2017) deepen this critique by distinguishing between “planned” loans (formal, programmatic) and “instant” loans (often informal, quickly accessed). Using survey data from Tamil Nadu, they find that only certain forms of debt—particularly instant loans that women themselves control—enhance women’s bargaining power, whereas planned microfinance loans have no clear positive impact and may even tighten social disciplining around repayment (</w:t>
      </w:r>
      <w:proofErr w:type="spellStart"/>
      <w:r w:rsidRPr="00314DF8">
        <w:rPr>
          <w:rFonts w:ascii="Times New Roman" w:eastAsia="Times New Roman" w:hAnsi="Times New Roman" w:cs="Times New Roman"/>
          <w:sz w:val="24"/>
          <w:szCs w:val="24"/>
        </w:rPr>
        <w:t>Garikipati</w:t>
      </w:r>
      <w:proofErr w:type="spellEnd"/>
      <w:r w:rsidRPr="00314DF8">
        <w:rPr>
          <w:rFonts w:ascii="Times New Roman" w:eastAsia="Times New Roman" w:hAnsi="Times New Roman" w:cs="Times New Roman"/>
          <w:sz w:val="24"/>
          <w:szCs w:val="24"/>
        </w:rPr>
        <w:t xml:space="preserve"> et al., 2017). For poor women who already shoulder unpaid care and productive labour, the pressure to maintain perfect repayment records for the sake of group reputation can translate into distress sales of assets, reduced food consumption, or intensified wage labour, with ambiguous implications for well-being.</w:t>
      </w:r>
    </w:p>
    <w:p w14:paraId="4F329787" w14:textId="77777777" w:rsidR="00823A48" w:rsidRPr="00314DF8" w:rsidRDefault="00823A48" w:rsidP="00823A48">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At the group level, financial stress can exacerbate intra-group tensions and elite capture. Better-off or more educated women may dominate leadership roles, influence loan allocation and enforce strict repayment rules that disproportionately burden poorer or socially marginal members. Quantitative studies that report significant empowerment gains among SHG members, such as Kumar et al. (2021), often note that positive effects are mediated by access to complementary services (training, livelihood interventions) and by group quality; weak or conflict-ridden groups deliver little benefit and may even deepen exclusion. Brody et al. (2017) highlight that few impact evaluations systematically document drop-out, default or conflict, leading to a publication bias towards “success stories” and an underestimation of harm.</w:t>
      </w:r>
    </w:p>
    <w:p w14:paraId="62EBFB45" w14:textId="77777777" w:rsidR="00823A48" w:rsidRPr="00314DF8" w:rsidRDefault="00823A48" w:rsidP="00314DF8">
      <w:pPr>
        <w:pStyle w:val="Heading3"/>
        <w:rPr>
          <w:lang w:val="en-GB"/>
        </w:rPr>
      </w:pPr>
      <w:bookmarkStart w:id="16" w:name="_Toc214381461"/>
      <w:r w:rsidRPr="00314DF8">
        <w:rPr>
          <w:lang w:val="en-GB"/>
        </w:rPr>
        <w:t>4.4 Political co-optation and fragile collective action</w:t>
      </w:r>
      <w:bookmarkEnd w:id="16"/>
    </w:p>
    <w:p w14:paraId="12136F1E" w14:textId="77777777" w:rsidR="00823A48" w:rsidRPr="00314DF8" w:rsidRDefault="00823A48" w:rsidP="00823A48">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 xml:space="preserve">Finally, the rapid institutionalisation of SHGs within state anti-poverty programmes has produced unintended political consequences. On the one hand, state-recognised SHG federations have secured women seats on local committees, increased their visibility in Gram </w:t>
      </w:r>
      <w:r w:rsidRPr="00314DF8">
        <w:rPr>
          <w:rFonts w:ascii="Times New Roman" w:eastAsia="Times New Roman" w:hAnsi="Times New Roman" w:cs="Times New Roman"/>
          <w:sz w:val="24"/>
          <w:szCs w:val="24"/>
        </w:rPr>
        <w:lastRenderedPageBreak/>
        <w:t xml:space="preserve">Sabhas and created channels to access entitlements. On the other hand, the same state patronage can limit the scope of women’s collective action, channelling their politics into narrowly defined, service-delivery-oriented roles. </w:t>
      </w:r>
      <w:proofErr w:type="spellStart"/>
      <w:r w:rsidRPr="00314DF8">
        <w:rPr>
          <w:rFonts w:ascii="Times New Roman" w:eastAsia="Times New Roman" w:hAnsi="Times New Roman" w:cs="Times New Roman"/>
          <w:sz w:val="24"/>
          <w:szCs w:val="24"/>
        </w:rPr>
        <w:t>Dulhunty</w:t>
      </w:r>
      <w:proofErr w:type="spellEnd"/>
      <w:r w:rsidRPr="00314DF8">
        <w:rPr>
          <w:rFonts w:ascii="Times New Roman" w:eastAsia="Times New Roman" w:hAnsi="Times New Roman" w:cs="Times New Roman"/>
          <w:sz w:val="24"/>
          <w:szCs w:val="24"/>
        </w:rPr>
        <w:t xml:space="preserve"> (2024) describes this as a “complex relationship” between SHGs and politics, where women’s collective identities are simultaneously enabled and constrained by bureaucratic and party-state agendas. Some SHGs become vehicles for </w:t>
      </w:r>
      <w:proofErr w:type="spellStart"/>
      <w:r w:rsidRPr="00314DF8">
        <w:rPr>
          <w:rFonts w:ascii="Times New Roman" w:eastAsia="Times New Roman" w:hAnsi="Times New Roman" w:cs="Times New Roman"/>
          <w:sz w:val="24"/>
          <w:szCs w:val="24"/>
        </w:rPr>
        <w:t>clientelistic</w:t>
      </w:r>
      <w:proofErr w:type="spellEnd"/>
      <w:r w:rsidRPr="00314DF8">
        <w:rPr>
          <w:rFonts w:ascii="Times New Roman" w:eastAsia="Times New Roman" w:hAnsi="Times New Roman" w:cs="Times New Roman"/>
          <w:sz w:val="24"/>
          <w:szCs w:val="24"/>
        </w:rPr>
        <w:t xml:space="preserve"> mobilisation; others internalise project logics that prioritise loan recovery and target achievement over more contentious gender justice claims (</w:t>
      </w:r>
      <w:proofErr w:type="spellStart"/>
      <w:r w:rsidRPr="00314DF8">
        <w:rPr>
          <w:rFonts w:ascii="Times New Roman" w:eastAsia="Times New Roman" w:hAnsi="Times New Roman" w:cs="Times New Roman"/>
          <w:sz w:val="24"/>
          <w:szCs w:val="24"/>
        </w:rPr>
        <w:t>Dulhunty</w:t>
      </w:r>
      <w:proofErr w:type="spellEnd"/>
      <w:r w:rsidRPr="00314DF8">
        <w:rPr>
          <w:rFonts w:ascii="Times New Roman" w:eastAsia="Times New Roman" w:hAnsi="Times New Roman" w:cs="Times New Roman"/>
          <w:sz w:val="24"/>
          <w:szCs w:val="24"/>
        </w:rPr>
        <w:t>, 2024).</w:t>
      </w:r>
    </w:p>
    <w:p w14:paraId="0E9A9EB4" w14:textId="77777777" w:rsidR="00823A48" w:rsidRPr="00314DF8" w:rsidRDefault="00823A48" w:rsidP="00823A48">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Chaudhuri and Morash (2019) show that SHGs linked to NGOs with explicit feminist agendas are somewhat more likely to take up issues such as violence, land rights and caste discrimination, yet they too depend on donor cycles and state permissions that can shut down more radical forms of organising. At scale, SHG programmes risk privileging managerial and technocratic understandings of empowerment—focusing on financial discipline, leadership training and “confidence-building”—over redistributive or rights-based politics. The meta-analysis by Brody et al. (2017) underscores that where SHG interventions are implemented as depoliticised, standardised packages, impacts on structural drivers of gender inequality are modest.</w:t>
      </w:r>
    </w:p>
    <w:p w14:paraId="5CC719D5" w14:textId="77777777" w:rsidR="00823A48" w:rsidRPr="00314DF8" w:rsidRDefault="00823A48" w:rsidP="00823A48">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 xml:space="preserve">In sum, the Indian SHG story is not one of simple success or failure but of patterned heterogeneity. Quantitative studies document clear gains in some dimensions of women’s economic and decision-making power (Deininger &amp; Liu, 2013; Kumar et al., 2021; Surendran Padmaja et al., 2023), yet critical scholarship reveals persistent exclusions, debt-related stress, normative backlash and political co-optation (Chaudhuri &amp; </w:t>
      </w:r>
      <w:proofErr w:type="spellStart"/>
      <w:r w:rsidRPr="00314DF8">
        <w:rPr>
          <w:rFonts w:ascii="Times New Roman" w:eastAsia="Times New Roman" w:hAnsi="Times New Roman" w:cs="Times New Roman"/>
          <w:sz w:val="24"/>
          <w:szCs w:val="24"/>
        </w:rPr>
        <w:t>Morash</w:t>
      </w:r>
      <w:proofErr w:type="spellEnd"/>
      <w:r w:rsidRPr="00314DF8">
        <w:rPr>
          <w:rFonts w:ascii="Times New Roman" w:eastAsia="Times New Roman" w:hAnsi="Times New Roman" w:cs="Times New Roman"/>
          <w:sz w:val="24"/>
          <w:szCs w:val="24"/>
        </w:rPr>
        <w:t xml:space="preserve">, 2019; </w:t>
      </w:r>
      <w:proofErr w:type="spellStart"/>
      <w:r w:rsidRPr="00314DF8">
        <w:rPr>
          <w:rFonts w:ascii="Times New Roman" w:eastAsia="Times New Roman" w:hAnsi="Times New Roman" w:cs="Times New Roman"/>
          <w:sz w:val="24"/>
          <w:szCs w:val="24"/>
        </w:rPr>
        <w:t>Dulhunty</w:t>
      </w:r>
      <w:proofErr w:type="spellEnd"/>
      <w:r w:rsidRPr="00314DF8">
        <w:rPr>
          <w:rFonts w:ascii="Times New Roman" w:eastAsia="Times New Roman" w:hAnsi="Times New Roman" w:cs="Times New Roman"/>
          <w:sz w:val="24"/>
          <w:szCs w:val="24"/>
        </w:rPr>
        <w:t xml:space="preserve">, 2024; </w:t>
      </w:r>
      <w:proofErr w:type="spellStart"/>
      <w:r w:rsidRPr="00314DF8">
        <w:rPr>
          <w:rFonts w:ascii="Times New Roman" w:eastAsia="Times New Roman" w:hAnsi="Times New Roman" w:cs="Times New Roman"/>
          <w:sz w:val="24"/>
          <w:szCs w:val="24"/>
        </w:rPr>
        <w:t>Garikipati</w:t>
      </w:r>
      <w:proofErr w:type="spellEnd"/>
      <w:r w:rsidRPr="00314DF8">
        <w:rPr>
          <w:rFonts w:ascii="Times New Roman" w:eastAsia="Times New Roman" w:hAnsi="Times New Roman" w:cs="Times New Roman"/>
          <w:sz w:val="24"/>
          <w:szCs w:val="24"/>
        </w:rPr>
        <w:t xml:space="preserve">, 2013; </w:t>
      </w:r>
      <w:proofErr w:type="spellStart"/>
      <w:r w:rsidRPr="00314DF8">
        <w:rPr>
          <w:rFonts w:ascii="Times New Roman" w:eastAsia="Times New Roman" w:hAnsi="Times New Roman" w:cs="Times New Roman"/>
          <w:sz w:val="24"/>
          <w:szCs w:val="24"/>
        </w:rPr>
        <w:t>Garikipati</w:t>
      </w:r>
      <w:proofErr w:type="spellEnd"/>
      <w:r w:rsidRPr="00314DF8">
        <w:rPr>
          <w:rFonts w:ascii="Times New Roman" w:eastAsia="Times New Roman" w:hAnsi="Times New Roman" w:cs="Times New Roman"/>
          <w:sz w:val="24"/>
          <w:szCs w:val="24"/>
        </w:rPr>
        <w:t xml:space="preserve"> et al., 2017; Guérin, 2014). Recognising this complexity is essential for designing the “next generation” of SHG interventions that centre women’s own priorities, mitigate risks and move beyond narrow credit-centric models of empowerment.</w:t>
      </w:r>
    </w:p>
    <w:p w14:paraId="5D36F44B" w14:textId="77777777" w:rsidR="00AA36BD" w:rsidRPr="00314DF8" w:rsidRDefault="00AA36BD" w:rsidP="00AA36BD"/>
    <w:p w14:paraId="2046BB03" w14:textId="77777777" w:rsidR="000216AD" w:rsidRPr="00314DF8" w:rsidRDefault="000216AD" w:rsidP="00314DF8">
      <w:pPr>
        <w:pStyle w:val="Heading2"/>
      </w:pPr>
      <w:bookmarkStart w:id="17" w:name="_Toc214381462"/>
      <w:r w:rsidRPr="00314DF8">
        <w:rPr>
          <w:rStyle w:val="Strong"/>
          <w:b/>
          <w:bCs/>
        </w:rPr>
        <w:t>5. New pathways for leveraging SHGs for gender equity</w:t>
      </w:r>
      <w:bookmarkEnd w:id="17"/>
    </w:p>
    <w:p w14:paraId="54812CCB" w14:textId="77777777" w:rsidR="000216AD" w:rsidRPr="00314DF8" w:rsidRDefault="000216AD" w:rsidP="00314DF8">
      <w:pPr>
        <w:pStyle w:val="Heading3"/>
        <w:rPr>
          <w:lang w:val="en-GB"/>
        </w:rPr>
      </w:pPr>
      <w:bookmarkStart w:id="18" w:name="_Toc214381463"/>
      <w:r w:rsidRPr="00314DF8">
        <w:rPr>
          <w:rStyle w:val="Strong"/>
          <w:b/>
          <w:bCs/>
          <w:lang w:val="en-GB"/>
        </w:rPr>
        <w:t>5.1 Reframing SHGs as multi-dimensional capability platforms</w:t>
      </w:r>
      <w:bookmarkEnd w:id="18"/>
    </w:p>
    <w:p w14:paraId="7AA04541" w14:textId="77777777" w:rsidR="000216AD" w:rsidRPr="00314DF8" w:rsidRDefault="000216AD" w:rsidP="000216AD">
      <w:pPr>
        <w:pStyle w:val="NormalWeb"/>
        <w:rPr>
          <w:lang w:val="en-GB"/>
        </w:rPr>
      </w:pPr>
      <w:r w:rsidRPr="00314DF8">
        <w:rPr>
          <w:lang w:val="en-GB"/>
        </w:rPr>
        <w:t>Future strategies need to move beyond treating SHGs primarily as microcredit devices and instead position them as platforms for expanding women’s capabilities, rights and resilience. Impact evaluations of mature SHG programmes show that when savings and credit are combined with livelihood support, training and political networking, women’s control over income, mobility, voice in community forums and aspirations all improve, although gains are uneven and often context-specific (Anand et al., 2020; Deininger &amp; Liu, 2013; Kumar et al., 2021). At the same time, SHG federations increasingly mediate access to social protection, agricultural extension and local infrastructure, expanding women’s bargaining power vis-à-vis local bureaucracies (Gugerty et al., 2019; Kumar et al., 2019). New pathways therefore involve intentionally designing SHG platforms around a “capability expansion” logic—linking financial services with entitlements, decent work, skills, and safety from violence rather than assuming that credit alone will trigger empowerment.</w:t>
      </w:r>
    </w:p>
    <w:p w14:paraId="718DC2D3" w14:textId="77777777" w:rsidR="000216AD" w:rsidRPr="00314DF8" w:rsidRDefault="000216AD" w:rsidP="000216AD">
      <w:pPr>
        <w:pStyle w:val="NormalWeb"/>
        <w:rPr>
          <w:lang w:val="en-GB"/>
        </w:rPr>
      </w:pPr>
      <w:r w:rsidRPr="00314DF8">
        <w:rPr>
          <w:lang w:val="en-GB"/>
        </w:rPr>
        <w:t xml:space="preserve">A capability-focused approach implies greater investments in high-quality facilitation, gender training and safe deliberative spaces inside groups. Evidence from Northern India suggests </w:t>
      </w:r>
      <w:r w:rsidRPr="00314DF8">
        <w:rPr>
          <w:lang w:val="en-GB"/>
        </w:rPr>
        <w:lastRenderedPageBreak/>
        <w:t>that SHG participation is most transformative when women are supported to articulate collective priorities, engage with officials and negotiate shifts in intra-household and community norms, rather than only managing loans (Anand et al., 2020; Nichols, 2021). This points to the need for curricula and facilitator incentives that explicitly prioritise voice, leadership and rights-claiming alongside financial performance indicators.</w:t>
      </w:r>
    </w:p>
    <w:p w14:paraId="66780E5D" w14:textId="77777777" w:rsidR="000216AD" w:rsidRPr="00314DF8" w:rsidRDefault="000216AD" w:rsidP="00314DF8">
      <w:pPr>
        <w:pStyle w:val="Heading3"/>
        <w:rPr>
          <w:lang w:val="en-GB"/>
        </w:rPr>
      </w:pPr>
      <w:bookmarkStart w:id="19" w:name="_Toc214381464"/>
      <w:r w:rsidRPr="00314DF8">
        <w:rPr>
          <w:rStyle w:val="Strong"/>
          <w:b/>
          <w:bCs/>
          <w:lang w:val="en-GB"/>
        </w:rPr>
        <w:t>5.2 Integrating gender-transformative health, nutrition and social protection agendas</w:t>
      </w:r>
      <w:bookmarkEnd w:id="19"/>
    </w:p>
    <w:p w14:paraId="26CBED6A" w14:textId="77777777" w:rsidR="000216AD" w:rsidRPr="00314DF8" w:rsidRDefault="000216AD" w:rsidP="000216AD">
      <w:pPr>
        <w:pStyle w:val="NormalWeb"/>
        <w:rPr>
          <w:lang w:val="en-GB"/>
        </w:rPr>
      </w:pPr>
      <w:r w:rsidRPr="00314DF8">
        <w:rPr>
          <w:lang w:val="en-GB"/>
        </w:rPr>
        <w:t>A second pathway is to deepen and improve “layering” of health, nutrition and social protection interventions onto existing SHG architectures. Large-scale experiments in Bihar and central–eastern India show that adding reproductive, maternal, newborn and child health and nutrition modules to SHG meetings can increase specific practices, link women to frontline workers and raise collective demand for services, although effects on anthropometry and diet quality have been modest and highly sensitive to implementation intensity (Mehta et al., 2020; Irani et al., 2021; Hazra et al., 2022; Kumar et al., 2024). Process evaluations emphasise the centrality of well-trained community mobilisers, supportive block-level staff, and monitoring systems that track both coverage and quality of health and nutrition messaging (Irani et al., 2021; Hazra et al., 2022).</w:t>
      </w:r>
      <w:r w:rsidR="00270A69" w:rsidRPr="00314DF8">
        <w:rPr>
          <w:lang w:val="en-GB"/>
        </w:rPr>
        <w:t xml:space="preserve"> </w:t>
      </w:r>
    </w:p>
    <w:p w14:paraId="785FB6FF" w14:textId="77777777" w:rsidR="000216AD" w:rsidRPr="00314DF8" w:rsidRDefault="000216AD" w:rsidP="000216AD">
      <w:pPr>
        <w:pStyle w:val="NormalWeb"/>
        <w:rPr>
          <w:lang w:val="en-GB"/>
        </w:rPr>
      </w:pPr>
      <w:r w:rsidRPr="00314DF8">
        <w:rPr>
          <w:lang w:val="en-GB"/>
        </w:rPr>
        <w:t>Emerging reviews find that SHG-based social and behaviour change communication is most promising when content addresses gendered constraints—such as time poverty, mobility, intra-household bargaining, or food taboos—and when collectives engage men, mothers-in-law and local leaders rather than targeting women in isolation (Verma et al., 2024; Pradhan et al., 2023, as cited in Verma et al., 2024). Future SHG-based health and nutrition strategies in India should thus be explicitly gender-transformative: they need to confront power relations and unpaid care burdens, rather than simply delivering information to women. Social protection programmes that already rely on women’s SHGs for last-mile delivery—such as public distribution, pensions or livelihood schemes—can similarly integrate dialogues around rights, grievance redress and gender-based violence, turning transactional encounters into opportunities for collective accountability (Gugerty et al., 2019; Ghosh et al., 2024).</w:t>
      </w:r>
      <w:r w:rsidR="00270A69" w:rsidRPr="00314DF8">
        <w:rPr>
          <w:lang w:val="en-GB"/>
        </w:rPr>
        <w:t xml:space="preserve"> </w:t>
      </w:r>
    </w:p>
    <w:p w14:paraId="0AFC5D62" w14:textId="77777777" w:rsidR="000216AD" w:rsidRPr="00314DF8" w:rsidRDefault="000216AD" w:rsidP="00314DF8">
      <w:pPr>
        <w:pStyle w:val="Heading3"/>
        <w:rPr>
          <w:lang w:val="en-GB"/>
        </w:rPr>
      </w:pPr>
      <w:bookmarkStart w:id="20" w:name="_Toc214381465"/>
      <w:r w:rsidRPr="00314DF8">
        <w:rPr>
          <w:rStyle w:val="Strong"/>
          <w:lang w:val="en-GB"/>
        </w:rPr>
        <w:t>5.3 Digital and data-driven SHGs for inclusive financial citizenship</w:t>
      </w:r>
      <w:bookmarkEnd w:id="20"/>
    </w:p>
    <w:p w14:paraId="0E973F1D" w14:textId="77777777" w:rsidR="000216AD" w:rsidRPr="00314DF8" w:rsidRDefault="000216AD" w:rsidP="000216AD">
      <w:pPr>
        <w:pStyle w:val="NormalWeb"/>
        <w:rPr>
          <w:lang w:val="en-GB"/>
        </w:rPr>
      </w:pPr>
      <w:r w:rsidRPr="00314DF8">
        <w:rPr>
          <w:lang w:val="en-GB"/>
        </w:rPr>
        <w:t>India’s rapid expansion of digital public infrastructure creates both opportunities and risks for SHG-based gender equity. On the one hand, digital payments, biometrically authenticated bank accounts and mobile platforms can reduce leakage, lower transaction costs and strengthen women’s claim to “financial citizenship” if they are the account holders and users (Duvendack et al., 2023). On the other hand, qualitative evidence from diverse digital financial initiatives warns that low literacy, device access gaps, caste-based exclusion and male capture of phones and passwords can reproduce or even deepen inequalities, with women often bearing the burden of biometric failures or fraud (Duvendack et al., 2023).</w:t>
      </w:r>
      <w:r w:rsidR="00270A69" w:rsidRPr="00314DF8">
        <w:rPr>
          <w:lang w:val="en-GB"/>
        </w:rPr>
        <w:t xml:space="preserve"> </w:t>
      </w:r>
    </w:p>
    <w:p w14:paraId="5B5CEC16" w14:textId="77777777" w:rsidR="000216AD" w:rsidRPr="00314DF8" w:rsidRDefault="000216AD" w:rsidP="000216AD">
      <w:pPr>
        <w:pStyle w:val="NormalWeb"/>
        <w:rPr>
          <w:lang w:val="en-GB"/>
        </w:rPr>
      </w:pPr>
      <w:r w:rsidRPr="00314DF8">
        <w:rPr>
          <w:lang w:val="en-GB"/>
        </w:rPr>
        <w:t xml:space="preserve">New pathways therefore involve using SHGs as laboratories for gender-just digitalisation. This includes supporting group-level “digital </w:t>
      </w:r>
      <w:proofErr w:type="spellStart"/>
      <w:r w:rsidRPr="00314DF8">
        <w:rPr>
          <w:lang w:val="en-GB"/>
        </w:rPr>
        <w:t>sakhi</w:t>
      </w:r>
      <w:proofErr w:type="spellEnd"/>
      <w:r w:rsidRPr="00314DF8">
        <w:rPr>
          <w:lang w:val="en-GB"/>
        </w:rPr>
        <w:t xml:space="preserve">” or champions, collective negotiation with banks and fintech providers over interface design and grievance redress, and routine audits of who actually initiates and authorises transactions. Integrating digital literacy, data rights and privacy into SHG training can help women better navigate Aadhaar-linked benefits, Unified Payments Interface (UPI) platforms and emerging credit scoring tools. At the same time, SHG federations can demand that state and private actors share disaggregated </w:t>
      </w:r>
      <w:r w:rsidRPr="00314DF8">
        <w:rPr>
          <w:lang w:val="en-GB"/>
        </w:rPr>
        <w:lastRenderedPageBreak/>
        <w:t>data on access and failure rates, enabling groups to identify where digital systems are underserving women in marginalised locations or social categories (Duvendack et al., 2023; Nichols, 2021).</w:t>
      </w:r>
      <w:r w:rsidR="00270A69" w:rsidRPr="00314DF8">
        <w:rPr>
          <w:lang w:val="en-GB"/>
        </w:rPr>
        <w:t xml:space="preserve"> </w:t>
      </w:r>
    </w:p>
    <w:p w14:paraId="16D9FCCF" w14:textId="77777777" w:rsidR="000216AD" w:rsidRPr="00314DF8" w:rsidRDefault="000216AD" w:rsidP="00314DF8">
      <w:pPr>
        <w:pStyle w:val="Heading3"/>
        <w:rPr>
          <w:lang w:val="en-GB"/>
        </w:rPr>
      </w:pPr>
      <w:bookmarkStart w:id="21" w:name="_Toc214381466"/>
      <w:r w:rsidRPr="00314DF8">
        <w:rPr>
          <w:rStyle w:val="Strong"/>
          <w:lang w:val="en-GB"/>
        </w:rPr>
        <w:t>5.4 Intersectional, federated and accountable SHG architectures</w:t>
      </w:r>
      <w:bookmarkEnd w:id="21"/>
    </w:p>
    <w:p w14:paraId="43C44B7E" w14:textId="77777777" w:rsidR="000216AD" w:rsidRPr="00314DF8" w:rsidRDefault="000216AD" w:rsidP="000216AD">
      <w:pPr>
        <w:pStyle w:val="NormalWeb"/>
        <w:rPr>
          <w:lang w:val="en-GB"/>
        </w:rPr>
      </w:pPr>
      <w:r w:rsidRPr="00314DF8">
        <w:rPr>
          <w:lang w:val="en-GB"/>
        </w:rPr>
        <w:t>A growing body of feminist and intersectional research shows that SHG programmes do not affect all women equally; benefits are patterned by caste, religion, marital status, disability and local gender norms (De Hoop et al., 2014; Karan et al., 2021). Studies from Odisha and Gujarat demonstrate that while some women experience increased autonomy and subjective well-being, others face heightened surveillance, domestic tensions or pressure to conform to dominant group norms, especially where group leaders share the social location of local elites (De Hoop et al., 2014; Karan et al., 2021). New pathways must therefore institutionalise intersectional diagnostics—mapping which women remain excluded or marginalised within and across SHGs—and create formal mechanisms for these voices to shape agendas.</w:t>
      </w:r>
    </w:p>
    <w:p w14:paraId="5C9106C0" w14:textId="77777777" w:rsidR="000216AD" w:rsidRPr="00314DF8" w:rsidRDefault="000216AD" w:rsidP="000216AD">
      <w:pPr>
        <w:pStyle w:val="NormalWeb"/>
        <w:rPr>
          <w:lang w:val="en-GB"/>
        </w:rPr>
      </w:pPr>
      <w:r w:rsidRPr="00314DF8">
        <w:rPr>
          <w:lang w:val="en-GB"/>
        </w:rPr>
        <w:t>Federated SHG structures offer important entry points. Evidence from multi-tier federations shows that apex bodies can magnify women’s bargaining power with banks and government, but they can also be captured by better-off or politically connected members unless representation rules, rotation norms and grievance systems are enforced (Gugerty et al., 2019; Nichols, 2021). Programmes can address this by reserving leadership positions for younger women, Dalit and Adivasi members, and single women; by investing in independent para-legal and social-audit capacities; and by allowing federations to set their own priorities rather than functioning only as delivery agents for externally designed schemes. Recent empirical work linking SHG participation to Sustainable Development Goal 5 (gender equality) suggests that such design choices significantly influence whether groups become sites of transformative solidarity or merely reproduce local hierarchies (Ghosh et al., 2024; Justin et al., 2025).</w:t>
      </w:r>
      <w:r w:rsidR="00270A69" w:rsidRPr="00314DF8">
        <w:rPr>
          <w:lang w:val="en-GB"/>
        </w:rPr>
        <w:t xml:space="preserve"> </w:t>
      </w:r>
    </w:p>
    <w:p w14:paraId="42BCD5C2" w14:textId="77777777" w:rsidR="000216AD" w:rsidRPr="00314DF8" w:rsidRDefault="000216AD" w:rsidP="00314DF8">
      <w:pPr>
        <w:pStyle w:val="Heading3"/>
        <w:rPr>
          <w:lang w:val="en-GB"/>
        </w:rPr>
      </w:pPr>
      <w:bookmarkStart w:id="22" w:name="_Toc214381467"/>
      <w:r w:rsidRPr="00314DF8">
        <w:rPr>
          <w:rStyle w:val="Strong"/>
          <w:b/>
          <w:bCs/>
          <w:lang w:val="en-GB"/>
        </w:rPr>
        <w:t>5.5 Strengthening evidence, measurement and learning systems</w:t>
      </w:r>
      <w:bookmarkEnd w:id="22"/>
    </w:p>
    <w:p w14:paraId="61613D6E" w14:textId="77777777" w:rsidR="000216AD" w:rsidRPr="00314DF8" w:rsidRDefault="000216AD" w:rsidP="000216AD">
      <w:pPr>
        <w:pStyle w:val="NormalWeb"/>
        <w:rPr>
          <w:lang w:val="en-GB"/>
        </w:rPr>
      </w:pPr>
      <w:r w:rsidRPr="00314DF8">
        <w:rPr>
          <w:lang w:val="en-GB"/>
        </w:rPr>
        <w:t>Finally, advancing gender equity through SHGs requires a more rigorous and reflexive evidence ecosystem. Systematic reviews and bibliometric analyses highlight that while SHG research has grown rapidly, it remains fragmented across disciplines and often lacks robust counterfactuals, norm-sensitive indicators and long-term follow-up (Brody et al., 2015; Justin et al., 2025). There is now increasing consensus that evaluations must go beyond simple participation or loan uptake metrics to measure changes in different dimensions of agency—individual, relational and collective—as well as unintended harms.</w:t>
      </w:r>
    </w:p>
    <w:p w14:paraId="6A7E8983" w14:textId="77777777" w:rsidR="000216AD" w:rsidRPr="00314DF8" w:rsidRDefault="000216AD" w:rsidP="000216AD">
      <w:pPr>
        <w:pStyle w:val="NormalWeb"/>
        <w:rPr>
          <w:lang w:val="en-GB"/>
        </w:rPr>
      </w:pPr>
      <w:r w:rsidRPr="00314DF8">
        <w:rPr>
          <w:lang w:val="en-GB"/>
        </w:rPr>
        <w:t>Recent advances in empowerment measurement, such as the project-level Women’s Empowerment in Agriculture Index (pro-WEAI), demonstrate the feasibility of multidimensional, comparable indicators that can be adapted to SHG-based rural programmes (Quisumbing et al., 2024). Mixed-methods syntheses show that group-based interventions are most likely to improve instrumental and collective agency, while intrinsic agency and gender norm change often remain stagnant without deliberate, well-resourced strategies (Quisumbing et al., 2024; Kumar et al., 2021). New pathways should therefore embed learning agendas into SHG interventions from the outset—using theory-driven impact pathways, participatory monitoring and flexible adaptation—to ensure that programmes can iteratively adjust intensity, content and partnerships in ways that genuinely shift power.</w:t>
      </w:r>
    </w:p>
    <w:p w14:paraId="136E5DA7" w14:textId="77777777" w:rsidR="000216AD" w:rsidRPr="00314DF8" w:rsidRDefault="000216AD" w:rsidP="000216AD">
      <w:pPr>
        <w:pStyle w:val="NormalWeb"/>
        <w:rPr>
          <w:lang w:val="en-GB"/>
        </w:rPr>
      </w:pPr>
      <w:r w:rsidRPr="00314DF8">
        <w:rPr>
          <w:lang w:val="en-GB"/>
        </w:rPr>
        <w:lastRenderedPageBreak/>
        <w:t>Across these pathways, the central challenge is to preserve what is distinctive about SHGs—their rootedness in everyday solidarities and mutual aid—while retooling them as ambitious, intersectional and digitally savvy platforms capable of advancing a broader project of gender justice in India’s transforming rural and peri-urban landscapes.</w:t>
      </w:r>
    </w:p>
    <w:p w14:paraId="0C0B9B33" w14:textId="77777777" w:rsidR="000216AD" w:rsidRPr="00314DF8" w:rsidRDefault="000216AD" w:rsidP="00314DF8">
      <w:pPr>
        <w:pStyle w:val="Heading2"/>
      </w:pPr>
      <w:bookmarkStart w:id="23" w:name="_Toc214381468"/>
      <w:r w:rsidRPr="00314DF8">
        <w:rPr>
          <w:rStyle w:val="Strong"/>
          <w:b/>
          <w:bCs/>
        </w:rPr>
        <w:t>6. Policy implications</w:t>
      </w:r>
      <w:bookmarkEnd w:id="23"/>
    </w:p>
    <w:p w14:paraId="344DAA9A" w14:textId="77777777" w:rsidR="000216AD" w:rsidRPr="00314DF8" w:rsidRDefault="000216AD" w:rsidP="000216AD">
      <w:pPr>
        <w:pStyle w:val="NormalWeb"/>
        <w:rPr>
          <w:lang w:val="en-GB"/>
        </w:rPr>
      </w:pPr>
      <w:r w:rsidRPr="00314DF8">
        <w:rPr>
          <w:lang w:val="en-GB"/>
        </w:rPr>
        <w:t>Policy design around women’s self-help groups (SHGs) in India now sits at a crossroads. Decades of investment through the National Rural Livelihoods Mission and state livelihood programs show that SHGs can expand women’s economic opportunities, civic participation and collective voice, but impacts are uneven and sometimes produce backlash or over-indebtedness (Deininger &amp; Liu, 2013; Brody et al., 2017; Gugerty et al., 2019). A new generation of policy needs to treat SHGs not as a stand-alone microfinance instrument but as a multi-sector, gender-transformative platform that is continuously adapted to local norms and intersectional inequalities (Nichols, 2021; Kumar et al., 2021).</w:t>
      </w:r>
    </w:p>
    <w:p w14:paraId="22969CD4" w14:textId="77777777" w:rsidR="000216AD" w:rsidRPr="00314DF8" w:rsidRDefault="000216AD" w:rsidP="00314DF8">
      <w:pPr>
        <w:pStyle w:val="Heading3"/>
        <w:rPr>
          <w:lang w:val="en-GB"/>
        </w:rPr>
      </w:pPr>
      <w:bookmarkStart w:id="24" w:name="_Toc214381469"/>
      <w:r w:rsidRPr="00314DF8">
        <w:rPr>
          <w:rStyle w:val="Strong"/>
          <w:lang w:val="en-GB"/>
        </w:rPr>
        <w:t>6.1 Designing SHGs as multi-sector, gender-transformative platforms</w:t>
      </w:r>
      <w:bookmarkEnd w:id="24"/>
    </w:p>
    <w:p w14:paraId="070B446A" w14:textId="77777777" w:rsidR="000216AD" w:rsidRPr="00314DF8" w:rsidRDefault="000216AD" w:rsidP="000216AD">
      <w:pPr>
        <w:pStyle w:val="NormalWeb"/>
        <w:rPr>
          <w:lang w:val="en-GB"/>
        </w:rPr>
      </w:pPr>
      <w:r w:rsidRPr="00314DF8">
        <w:rPr>
          <w:lang w:val="en-GB"/>
        </w:rPr>
        <w:t>Evidence from India’s health-layered SHG models in Bihar demonstrates that when carefully designed and adequately resourced, “plus” interventions on maternal, newborn and child health and nutrition can generate sizable gains beyond those of financial SHGs alone (Mehta et al., 2020; Hazra et al., 2022). Process evaluations of health, nutrition and sanitation layering underline that the quality, regularity and intensity of participatory training and home visits are as important as coverage, and that convergence between line departments and livelihood missions is critical for effectiveness (Irani et al., 2021; Hazra et al., 2022). Policy therefore needs to move away from ad hoc, donor-driven “add-ons” toward a nationally articulated layering framework that specifies minimum standards for content, facilitation skills, supervision and monitoring across domains such as health, social protection, climate resilience and gender norms. Cross-sector convergence units at state and district level, with explicit mandates to work through SHG federations, can help ensure that layering does not overload frontline workers or dilute core savings and credit functions (Nichols, 2021; Gugerty et al., 2019).</w:t>
      </w:r>
    </w:p>
    <w:p w14:paraId="564C505A" w14:textId="77777777" w:rsidR="000216AD" w:rsidRPr="00314DF8" w:rsidRDefault="000216AD" w:rsidP="00314DF8">
      <w:pPr>
        <w:pStyle w:val="Heading3"/>
        <w:rPr>
          <w:lang w:val="en-GB"/>
        </w:rPr>
      </w:pPr>
      <w:bookmarkStart w:id="25" w:name="_Toc214381470"/>
      <w:r w:rsidRPr="00314DF8">
        <w:rPr>
          <w:rStyle w:val="Strong"/>
          <w:lang w:val="en-GB"/>
        </w:rPr>
        <w:t>6.2 Addressing norms, intersectionality and intra-household dynamics</w:t>
      </w:r>
      <w:bookmarkEnd w:id="25"/>
    </w:p>
    <w:p w14:paraId="48B36F3A" w14:textId="77777777" w:rsidR="000216AD" w:rsidRPr="00314DF8" w:rsidRDefault="000216AD" w:rsidP="000216AD">
      <w:pPr>
        <w:pStyle w:val="NormalWeb"/>
        <w:rPr>
          <w:lang w:val="en-GB"/>
        </w:rPr>
      </w:pPr>
      <w:r w:rsidRPr="00314DF8">
        <w:rPr>
          <w:lang w:val="en-GB"/>
        </w:rPr>
        <w:t xml:space="preserve">Studies from Odisha and elsewhere show that SHG participation can improve women’s autonomy and subjective well-being only when program messages and collective gains are not perceived as violating prevailing gender norms; where norms are highly conservative, autonomy gains can coexist with psychological costs and community sanction (de Hoop et al., 2014; Kumar et al., 2019). Intersectional analyses reveal that women’s experiences in microfinance SHGs vary sharply by caste, religion, marital status and poverty status, and that poorly designed pressure to repay can reproduce patriarchal control and violence (Karan et al., 2021; Sahu, 2015). Intra-household studies further demonstrate that SHG membership does not automatically translate into decision-making power in agriculture or household budgeting unless programs explicitly negotiate roles and expectations with husbands and elders (Surendran Padmaja et al., 2023). Policy needs to institutionalise gender-norm and intersectionality diagnostics in SHG program design, including mandatory participatory analyses of risk of backlash, and to scale couple or family dialogues, male engagement and </w:t>
      </w:r>
      <w:r w:rsidRPr="00314DF8">
        <w:rPr>
          <w:lang w:val="en-GB"/>
        </w:rPr>
        <w:lastRenderedPageBreak/>
        <w:t>community-level norm change activities as core—not optional—components of SHG strategies (de Hoop et al., 2014; Karan et al., 2021).</w:t>
      </w:r>
    </w:p>
    <w:p w14:paraId="26BED871" w14:textId="77777777" w:rsidR="000216AD" w:rsidRPr="00314DF8" w:rsidRDefault="000216AD" w:rsidP="00314DF8">
      <w:pPr>
        <w:pStyle w:val="Heading3"/>
        <w:rPr>
          <w:lang w:val="en-GB"/>
        </w:rPr>
      </w:pPr>
      <w:bookmarkStart w:id="26" w:name="_Toc214381471"/>
      <w:r w:rsidRPr="00314DF8">
        <w:rPr>
          <w:rStyle w:val="Strong"/>
          <w:lang w:val="en-GB"/>
        </w:rPr>
        <w:t>6.3 Deepening financial inclusion while protecting women in a digital era</w:t>
      </w:r>
      <w:bookmarkEnd w:id="26"/>
    </w:p>
    <w:p w14:paraId="02822EC3" w14:textId="77777777" w:rsidR="000216AD" w:rsidRPr="00314DF8" w:rsidRDefault="000216AD" w:rsidP="000216AD">
      <w:pPr>
        <w:pStyle w:val="NormalWeb"/>
        <w:rPr>
          <w:lang w:val="en-GB"/>
        </w:rPr>
      </w:pPr>
      <w:r w:rsidRPr="00314DF8">
        <w:rPr>
          <w:lang w:val="en-GB"/>
        </w:rPr>
        <w:t>As India’s digital financial architecture expands, SHG members are increasingly targeted as users of digital payments, credit scoring and app-based credit products. Macro-level analyses of the country’s digital financial revolution show that gains in inclusion are uneven and may bypass or even endanger the poorest and least literate women when consumer protection is weak (Duvendack et al., 2023). Evidence from SHG-based microfinance programs already warns that pressure to maintain repayment rates can shift financial stress and reputational risk onto women, particularly where the main use of loans is for male-controlled enterprises or consumption smoothing (Sahu, 2015; Deininger &amp; Liu, 2013). Policy should therefore foreground responsible finance principles in SHG-linked credit and digital products, including caps on effective interest costs, clear disclosure in local languages, robust grievance redressal, and sex-disaggregated monitoring of over-indebtedness and financial violence (Duvendack et al., 2023). Embedding financial counselling, rights-based legal literacy and referral pathways into SHG training can further help women navigate the rapidly changing financial ecosystem.</w:t>
      </w:r>
    </w:p>
    <w:p w14:paraId="57489BCC" w14:textId="77777777" w:rsidR="000216AD" w:rsidRPr="00314DF8" w:rsidRDefault="000216AD" w:rsidP="00314DF8">
      <w:pPr>
        <w:pStyle w:val="Heading3"/>
        <w:rPr>
          <w:lang w:val="en-GB"/>
        </w:rPr>
      </w:pPr>
      <w:bookmarkStart w:id="27" w:name="_Toc214381472"/>
      <w:r w:rsidRPr="00314DF8">
        <w:rPr>
          <w:rStyle w:val="Strong"/>
          <w:lang w:val="en-GB"/>
        </w:rPr>
        <w:t>6.4 Embedding learning, accountability and long-term empowerment metrics</w:t>
      </w:r>
      <w:bookmarkEnd w:id="27"/>
    </w:p>
    <w:p w14:paraId="178DBA5B" w14:textId="77777777" w:rsidR="000216AD" w:rsidRPr="00314DF8" w:rsidRDefault="000216AD" w:rsidP="000216AD">
      <w:pPr>
        <w:pStyle w:val="NormalWeb"/>
        <w:rPr>
          <w:lang w:val="en-GB"/>
        </w:rPr>
      </w:pPr>
      <w:r w:rsidRPr="00314DF8">
        <w:rPr>
          <w:lang w:val="en-GB"/>
        </w:rPr>
        <w:t>A recurring lesson from systematic reviews and multi-country syntheses is that many SHG programs are not evaluated against clear theories of change, nor do they routinely measure transformative dimensions of empowerment such as collective agency, bodily autonomy, safety and voice in local governance (Brody et al., 2017; Quisumbing et al., 2024). Recent Indian and global reviews emphasise the need to harmonise indicators across economic, social and political domains and to track medium- and long-term trajectories, rather than short-term project outcomes (Ghosh et al., 2024; Justin et al., 2025; Quisumbing et al., 2024). Policy frameworks should mandate the routine use of validated empowerment tools adapted to the SHG context, ensure that data are disaggregated by age, caste, religion and disability, and require that findings are fed back to SHG federations in accessible formats to enable bottom-up accountability (Kumar et al., 2021; Nichols, 2021). Finally, national and state-level SHG policies should institutionalise independent learning collaboratives—bringing together researchers, practitioners, federations and line departments—to periodically review emerging evidence and to revise program guidelines, funding priorities and capacity-building curricula in light of what works, for whom, and under which social and institutional conditions (Gugerty et al., 2019; Justin et al., 2025).</w:t>
      </w:r>
    </w:p>
    <w:p w14:paraId="3332E5FD" w14:textId="77777777" w:rsidR="00AA36BD" w:rsidRPr="00314DF8" w:rsidRDefault="00AA36BD" w:rsidP="00AA36BD"/>
    <w:p w14:paraId="42ADE5D7" w14:textId="77777777" w:rsidR="00A84EE2" w:rsidRPr="00314DF8" w:rsidRDefault="00A84EE2" w:rsidP="004D7303">
      <w:pPr>
        <w:pStyle w:val="Heading2"/>
      </w:pPr>
      <w:bookmarkStart w:id="28" w:name="_Toc214381473"/>
      <w:r w:rsidRPr="00314DF8">
        <w:t>7. Conclusions</w:t>
      </w:r>
      <w:bookmarkEnd w:id="28"/>
    </w:p>
    <w:p w14:paraId="24573529" w14:textId="77777777" w:rsidR="00A84EE2" w:rsidRPr="00314DF8" w:rsidRDefault="00A84EE2" w:rsidP="00A84EE2">
      <w:pPr>
        <w:pStyle w:val="NormalWeb"/>
        <w:rPr>
          <w:lang w:val="en-GB"/>
        </w:rPr>
      </w:pPr>
      <w:r w:rsidRPr="00314DF8">
        <w:rPr>
          <w:lang w:val="en-GB"/>
        </w:rPr>
        <w:t xml:space="preserve">Women’s self-help groups in India represent one of the most ambitious and enduring experiments in collective organising for gender equity anywhere in the global South. Over three decades, they have moved from small NGO-led savings circles to a vast, state-supported architecture that reaches tens of millions of women through the SHG–bank linkage programme and rural livelihood missions. The evidence synthesised in this review suggests that SHGs have generated real, if uneven, gains across multiple domains: they have expanded women’s access to savings and credit, supported livelihood diversification and asset </w:t>
      </w:r>
      <w:r w:rsidRPr="00314DF8">
        <w:rPr>
          <w:lang w:val="en-GB"/>
        </w:rPr>
        <w:lastRenderedPageBreak/>
        <w:t>accumulation, broadened social networks and mobility, and opened up new spaces for political participation, citizenship and collective voice. In several contexts, SHG membership is associated with improvements in women’s self-confidence, perceptions of status and their ability to negotiate within households and with local institutions.</w:t>
      </w:r>
    </w:p>
    <w:p w14:paraId="409F2762" w14:textId="77777777" w:rsidR="00A84EE2" w:rsidRPr="00314DF8" w:rsidRDefault="00A84EE2" w:rsidP="00A84EE2">
      <w:pPr>
        <w:pStyle w:val="NormalWeb"/>
        <w:rPr>
          <w:lang w:val="en-GB"/>
        </w:rPr>
      </w:pPr>
      <w:r w:rsidRPr="00314DF8">
        <w:rPr>
          <w:lang w:val="en-GB"/>
        </w:rPr>
        <w:t>At the same time, the review highlights that SHGs have not, on their own, transformed the deep structures of patriarchy, caste and class that shape women’s lives. Participation and benefits remain skewed towards relatively better-off and better-connected women, while the poorest, the least literate and those at the intersections of multiple marginalities are still underrepresented. Economic gains are often modest and fragile, and can be accompanied by intensified workloads and new forms of financial stress. Normative change around mobility, sexuality and domestic labour is slow and contested, and instances of indebtedness, elite capture and political co-optation reveal that SHGs can reproduce, as well as challenge, local hierarchies.</w:t>
      </w:r>
    </w:p>
    <w:p w14:paraId="34B6AB00" w14:textId="77777777" w:rsidR="00A84EE2" w:rsidRPr="00314DF8" w:rsidRDefault="00A84EE2" w:rsidP="00A84EE2">
      <w:pPr>
        <w:pStyle w:val="NormalWeb"/>
        <w:rPr>
          <w:lang w:val="en-GB"/>
        </w:rPr>
      </w:pPr>
      <w:r w:rsidRPr="00314DF8">
        <w:rPr>
          <w:lang w:val="en-GB"/>
        </w:rPr>
        <w:t>These mixed realities point to an important re-framing. SHGs should not be viewed as a magic bullet for women’s empowerment, but as flexible social and organisational platforms whose effects depend on design choices, facilitation quality and the wider policy and political environment. Their most promising contributions emerge when savings and credit are deliberately combined with livelihoods support, health and nutrition initiatives, gender-transformative learning, digital and legal literacy, and opportunities for collective engagement with the state. Future policy and research should therefore focus less on whether SHGs “work” in a generic sense, and more on how they can be retooled to centre the priorities of the most marginalised women, mitigate risks, and connect everyday financial practices to broader struggles for rights, recognition and redistribution. In this more modest but realistic vision, SHGs are a necessary, but not sufficient, pillar of India’s long-term project of achieving substantive gender equity.</w:t>
      </w:r>
    </w:p>
    <w:p w14:paraId="5ECAF504" w14:textId="77777777" w:rsidR="00AA36BD" w:rsidRPr="00314DF8" w:rsidRDefault="00AA36BD" w:rsidP="00AA36BD">
      <w:pPr>
        <w:pStyle w:val="Heading2"/>
      </w:pPr>
      <w:bookmarkStart w:id="29" w:name="_Toc214381474"/>
      <w:r w:rsidRPr="00314DF8">
        <w:t>8. Limitations</w:t>
      </w:r>
      <w:bookmarkEnd w:id="29"/>
    </w:p>
    <w:p w14:paraId="2B268860" w14:textId="77777777" w:rsidR="00AA36BD" w:rsidRPr="00314DF8" w:rsidRDefault="00AA36BD" w:rsidP="00AA36BD">
      <w:pPr>
        <w:pStyle w:val="NormalWeb"/>
        <w:rPr>
          <w:lang w:val="en-GB"/>
        </w:rPr>
      </w:pPr>
      <w:r w:rsidRPr="00314DF8">
        <w:rPr>
          <w:lang w:val="en-GB"/>
        </w:rPr>
        <w:t>This review is constrained in several ways. First, it focuses only on peer-reviewed journal articles with identifiable digital object identifiers, thereby excluding a substantial grey-literature corpus of impact evaluations, government reports and NGO studies that often provide rich contextual detail and state-specific insights. As a result, some innovative programme models and emerging practices—particularly very recent digital SHG interventions or state-level pilots—are not captured here.</w:t>
      </w:r>
    </w:p>
    <w:p w14:paraId="004A9043" w14:textId="77777777" w:rsidR="00AA36BD" w:rsidRPr="00314DF8" w:rsidRDefault="00AA36BD" w:rsidP="00AA36BD">
      <w:pPr>
        <w:pStyle w:val="NormalWeb"/>
        <w:rPr>
          <w:lang w:val="en-GB"/>
        </w:rPr>
      </w:pPr>
      <w:r w:rsidRPr="00314DF8">
        <w:rPr>
          <w:lang w:val="en-GB"/>
        </w:rPr>
        <w:t>Second, the available peer-reviewed evidence itself is uneven. Rigorous quantitative evaluations are clustered in certain states and programme lineages, especially those with strong research partnerships, while large areas and smaller schemes remain under-studied. Many studies rely on cross-sectional data and matching methods rather than randomised or quasi-experimental designs, limiting the strength of causal inference. Self-reported empowerment measures may also be affected by social desirability bias and difficulties in capturing subtle changes in norms and relationships.</w:t>
      </w:r>
    </w:p>
    <w:p w14:paraId="478D1575" w14:textId="77777777" w:rsidR="00AA36BD" w:rsidRPr="00314DF8" w:rsidRDefault="00AA36BD" w:rsidP="00AA36BD">
      <w:pPr>
        <w:pStyle w:val="NormalWeb"/>
        <w:rPr>
          <w:lang w:val="en-GB"/>
        </w:rPr>
      </w:pPr>
      <w:r w:rsidRPr="00314DF8">
        <w:rPr>
          <w:lang w:val="en-GB"/>
        </w:rPr>
        <w:t xml:space="preserve">Third, the multi-dimensional nature of gender equity makes synthesis challenging. Studies operationalise empowerment using different indicators, scales and theoretical frameworks, making strict comparability difficult. Some concentrate on economic outcomes, others on social or political participation, and few adopt a life-course or intergenerational perspective. This review necessarily simplifies complex and context-specific processes into broad </w:t>
      </w:r>
      <w:r w:rsidRPr="00314DF8">
        <w:rPr>
          <w:lang w:val="en-GB"/>
        </w:rPr>
        <w:lastRenderedPageBreak/>
        <w:t>categories of “successes”, “failures” and “new pathways,” which risks underplaying internal diversity within each category.</w:t>
      </w:r>
    </w:p>
    <w:p w14:paraId="0A7D0F69" w14:textId="77777777" w:rsidR="00AA36BD" w:rsidRPr="00314DF8" w:rsidRDefault="00AA36BD" w:rsidP="00AA36BD">
      <w:pPr>
        <w:pStyle w:val="NormalWeb"/>
        <w:rPr>
          <w:lang w:val="en-GB"/>
        </w:rPr>
      </w:pPr>
      <w:r w:rsidRPr="00314DF8">
        <w:rPr>
          <w:lang w:val="en-GB"/>
        </w:rPr>
        <w:t>Finally, the review reflects the temporal horizon of published research. SHG programmes and the broader policy environment—such as changes in banking regulation, digital infrastructure and national schemes—are evolving rapidly. The impacts and challenges described here should therefore be seen as part of a moving landscape rather than a fixed verdict on the SHG approach. Future longitudinal and comparative research, especially that which centres the voices of SHG members themselves, will be crucial for understanding how these collectives continue to shape gender equity in India.</w:t>
      </w:r>
    </w:p>
    <w:p w14:paraId="7AC4F234" w14:textId="77777777" w:rsidR="00AA36BD" w:rsidRPr="00314DF8" w:rsidRDefault="00AA36BD" w:rsidP="00AA36BD"/>
    <w:p w14:paraId="708CA488" w14:textId="77777777" w:rsidR="00AA36BD" w:rsidRPr="00314DF8" w:rsidRDefault="00AA36BD" w:rsidP="00AA36BD">
      <w:pPr>
        <w:pStyle w:val="Heading2"/>
      </w:pPr>
      <w:bookmarkStart w:id="30" w:name="_Toc214381475"/>
      <w:r w:rsidRPr="00314DF8">
        <w:t>References</w:t>
      </w:r>
      <w:bookmarkEnd w:id="30"/>
    </w:p>
    <w:p w14:paraId="5E90E81F" w14:textId="77777777" w:rsidR="00314DF8" w:rsidRPr="00314DF8" w:rsidRDefault="00314DF8" w:rsidP="00314DF8">
      <w:pPr>
        <w:pStyle w:val="NormalWeb"/>
        <w:rPr>
          <w:lang w:val="en-GB"/>
        </w:rPr>
      </w:pPr>
      <w:r w:rsidRPr="00314DF8">
        <w:rPr>
          <w:lang w:val="en-GB"/>
        </w:rPr>
        <w:t xml:space="preserve">Anand, P., Saxena, S., Gonzales Martinez, R., &amp; Dang, H.-A. H. (2020). Can women’s self-help groups contribute to sustainable development? Evidence of capability changes from Northern India. </w:t>
      </w:r>
      <w:r w:rsidRPr="00314DF8">
        <w:rPr>
          <w:rStyle w:val="Emphasis"/>
          <w:lang w:val="en-GB"/>
        </w:rPr>
        <w:t>Journal of Human Development and Capabilities, 21</w:t>
      </w:r>
      <w:r w:rsidRPr="00314DF8">
        <w:rPr>
          <w:lang w:val="en-GB"/>
        </w:rPr>
        <w:t xml:space="preserve">(2), 137–160. </w:t>
      </w:r>
      <w:hyperlink r:id="rId8" w:history="1">
        <w:r w:rsidRPr="00314DF8">
          <w:rPr>
            <w:rStyle w:val="Hyperlink"/>
            <w:rFonts w:eastAsiaTheme="majorEastAsia"/>
            <w:lang w:val="en-GB"/>
          </w:rPr>
          <w:t>https://doi.org/10.1080/19452829.2020.1742100</w:t>
        </w:r>
      </w:hyperlink>
      <w:r w:rsidRPr="00314DF8">
        <w:rPr>
          <w:lang w:val="en-GB"/>
        </w:rPr>
        <w:t xml:space="preserve">  </w:t>
      </w:r>
    </w:p>
    <w:p w14:paraId="7825CAB2" w14:textId="77777777" w:rsidR="00314DF8" w:rsidRPr="00314DF8" w:rsidRDefault="00314DF8" w:rsidP="00314DF8">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 xml:space="preserve">Bali Swain, R., &amp; Wallentin, F. Y. (2012). Factors empowering women in Indian self-help group programs. </w:t>
      </w:r>
      <w:r w:rsidRPr="00314DF8">
        <w:rPr>
          <w:rFonts w:ascii="Times New Roman" w:eastAsia="Times New Roman" w:hAnsi="Times New Roman" w:cs="Times New Roman"/>
          <w:i/>
          <w:iCs/>
          <w:sz w:val="24"/>
          <w:szCs w:val="24"/>
        </w:rPr>
        <w:t>International Review of Applied Economics, 26</w:t>
      </w:r>
      <w:r w:rsidRPr="00314DF8">
        <w:rPr>
          <w:rFonts w:ascii="Times New Roman" w:eastAsia="Times New Roman" w:hAnsi="Times New Roman" w:cs="Times New Roman"/>
          <w:sz w:val="24"/>
          <w:szCs w:val="24"/>
        </w:rPr>
        <w:t xml:space="preserve">(4), 425–444. </w:t>
      </w:r>
      <w:hyperlink r:id="rId9" w:history="1">
        <w:r w:rsidRPr="00314DF8">
          <w:rPr>
            <w:rStyle w:val="Hyperlink"/>
            <w:rFonts w:ascii="Times New Roman" w:eastAsia="Times New Roman" w:hAnsi="Times New Roman" w:cs="Times New Roman"/>
            <w:sz w:val="24"/>
            <w:szCs w:val="24"/>
          </w:rPr>
          <w:t>https://doi.org/10.1080/02692171.2011.595398</w:t>
        </w:r>
      </w:hyperlink>
      <w:r w:rsidRPr="00314DF8">
        <w:rPr>
          <w:rFonts w:ascii="Times New Roman" w:eastAsia="Times New Roman" w:hAnsi="Times New Roman" w:cs="Times New Roman"/>
          <w:sz w:val="24"/>
          <w:szCs w:val="24"/>
        </w:rPr>
        <w:t xml:space="preserve">  </w:t>
      </w:r>
    </w:p>
    <w:p w14:paraId="5CDDFBE8" w14:textId="77777777" w:rsidR="00314DF8" w:rsidRPr="00314DF8" w:rsidRDefault="00314DF8" w:rsidP="00314DF8">
      <w:pPr>
        <w:pStyle w:val="NormalWeb"/>
        <w:rPr>
          <w:lang w:val="en-GB"/>
        </w:rPr>
      </w:pPr>
      <w:proofErr w:type="spellStart"/>
      <w:r w:rsidRPr="00314DF8">
        <w:rPr>
          <w:lang w:val="en-GB"/>
        </w:rPr>
        <w:t>Bariya</w:t>
      </w:r>
      <w:proofErr w:type="spellEnd"/>
      <w:r w:rsidRPr="00314DF8">
        <w:rPr>
          <w:lang w:val="en-GB"/>
        </w:rPr>
        <w:t xml:space="preserve">, M. K. (2022). Impact of self-help groups on empowerment of women. </w:t>
      </w:r>
      <w:r w:rsidRPr="00314DF8">
        <w:rPr>
          <w:rStyle w:val="Emphasis"/>
          <w:lang w:val="en-GB"/>
        </w:rPr>
        <w:t>Indian Research Journal of Extension Education, 22</w:t>
      </w:r>
      <w:r w:rsidRPr="00314DF8">
        <w:rPr>
          <w:lang w:val="en-GB"/>
        </w:rPr>
        <w:t xml:space="preserve">(4), 42–47. </w:t>
      </w:r>
      <w:hyperlink r:id="rId10" w:history="1">
        <w:r w:rsidRPr="00314DF8">
          <w:rPr>
            <w:rStyle w:val="Hyperlink"/>
            <w:rFonts w:eastAsiaTheme="majorEastAsia"/>
            <w:lang w:val="en-GB"/>
          </w:rPr>
          <w:t>https://doi.org/10.54986/irjee/2022/oct_dec/42-47</w:t>
        </w:r>
      </w:hyperlink>
      <w:r w:rsidRPr="00314DF8">
        <w:rPr>
          <w:lang w:val="en-GB"/>
        </w:rPr>
        <w:t xml:space="preserve"> </w:t>
      </w:r>
    </w:p>
    <w:p w14:paraId="4B15ED30" w14:textId="77777777" w:rsidR="00314DF8" w:rsidRPr="00314DF8" w:rsidRDefault="00314DF8" w:rsidP="00314DF8">
      <w:pPr>
        <w:pStyle w:val="NormalWeb"/>
        <w:rPr>
          <w:lang w:val="en-GB"/>
        </w:rPr>
      </w:pPr>
      <w:r w:rsidRPr="00314DF8">
        <w:rPr>
          <w:lang w:val="en-GB"/>
        </w:rPr>
        <w:t xml:space="preserve">Brody, C. M., de Hoop, T., </w:t>
      </w:r>
      <w:proofErr w:type="spellStart"/>
      <w:r w:rsidRPr="00314DF8">
        <w:rPr>
          <w:lang w:val="en-GB"/>
        </w:rPr>
        <w:t>Vojtkova</w:t>
      </w:r>
      <w:proofErr w:type="spellEnd"/>
      <w:r w:rsidRPr="00314DF8">
        <w:rPr>
          <w:lang w:val="en-GB"/>
        </w:rPr>
        <w:t xml:space="preserve">, M., Warnock, R., Dunbar, M., Murthy, P., &amp; Dworkin, S. L. (2015). Economic self-help group programs for improving women’s empowerment: A systematic review. </w:t>
      </w:r>
      <w:r w:rsidRPr="00314DF8">
        <w:rPr>
          <w:rStyle w:val="Emphasis"/>
          <w:rFonts w:eastAsiaTheme="majorEastAsia"/>
          <w:lang w:val="en-GB"/>
        </w:rPr>
        <w:t>Campbell Systematic Reviews, 11</w:t>
      </w:r>
      <w:r w:rsidRPr="00314DF8">
        <w:rPr>
          <w:lang w:val="en-GB"/>
        </w:rPr>
        <w:t xml:space="preserve">(19), 1–182. </w:t>
      </w:r>
      <w:hyperlink r:id="rId11" w:history="1">
        <w:r w:rsidRPr="00314DF8">
          <w:rPr>
            <w:rStyle w:val="Hyperlink"/>
            <w:rFonts w:eastAsiaTheme="majorEastAsia"/>
            <w:lang w:val="en-GB"/>
          </w:rPr>
          <w:t>https://doi.org/10.4073/csr.2015.19</w:t>
        </w:r>
      </w:hyperlink>
      <w:r w:rsidRPr="00314DF8">
        <w:rPr>
          <w:lang w:val="en-GB"/>
        </w:rPr>
        <w:t xml:space="preserve"> </w:t>
      </w:r>
    </w:p>
    <w:p w14:paraId="23393896" w14:textId="77777777" w:rsidR="00314DF8" w:rsidRPr="00314DF8" w:rsidRDefault="00314DF8" w:rsidP="00314DF8">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 xml:space="preserve">Brody, C., de Hoop, T., </w:t>
      </w:r>
      <w:proofErr w:type="spellStart"/>
      <w:r w:rsidRPr="00314DF8">
        <w:rPr>
          <w:rFonts w:ascii="Times New Roman" w:eastAsia="Times New Roman" w:hAnsi="Times New Roman" w:cs="Times New Roman"/>
          <w:sz w:val="24"/>
          <w:szCs w:val="24"/>
        </w:rPr>
        <w:t>Vojtkova</w:t>
      </w:r>
      <w:proofErr w:type="spellEnd"/>
      <w:r w:rsidRPr="00314DF8">
        <w:rPr>
          <w:rFonts w:ascii="Times New Roman" w:eastAsia="Times New Roman" w:hAnsi="Times New Roman" w:cs="Times New Roman"/>
          <w:sz w:val="24"/>
          <w:szCs w:val="24"/>
        </w:rPr>
        <w:t xml:space="preserve">, M., Warnock, R., Dunbar, M., Murthy, P., &amp; Dworkin, S. L. (2017). Can self-help group programs improve women’s empowerment? A systematic review. </w:t>
      </w:r>
      <w:r w:rsidRPr="00314DF8">
        <w:rPr>
          <w:rFonts w:ascii="Times New Roman" w:eastAsia="Times New Roman" w:hAnsi="Times New Roman" w:cs="Times New Roman"/>
          <w:i/>
          <w:iCs/>
          <w:sz w:val="24"/>
          <w:szCs w:val="24"/>
        </w:rPr>
        <w:t>Journal of Development Effectiveness, 9</w:t>
      </w:r>
      <w:r w:rsidRPr="00314DF8">
        <w:rPr>
          <w:rFonts w:ascii="Times New Roman" w:eastAsia="Times New Roman" w:hAnsi="Times New Roman" w:cs="Times New Roman"/>
          <w:sz w:val="24"/>
          <w:szCs w:val="24"/>
        </w:rPr>
        <w:t xml:space="preserve">(1), 15–40. </w:t>
      </w:r>
      <w:hyperlink r:id="rId12" w:history="1">
        <w:r w:rsidRPr="00314DF8">
          <w:rPr>
            <w:rStyle w:val="Hyperlink"/>
            <w:rFonts w:ascii="Times New Roman" w:eastAsia="Times New Roman" w:hAnsi="Times New Roman" w:cs="Times New Roman"/>
            <w:sz w:val="24"/>
            <w:szCs w:val="24"/>
          </w:rPr>
          <w:t>https://doi.org/10.1080/19439342.2016.1206607</w:t>
        </w:r>
      </w:hyperlink>
      <w:r w:rsidRPr="00314DF8">
        <w:rPr>
          <w:rFonts w:ascii="Times New Roman" w:eastAsia="Times New Roman" w:hAnsi="Times New Roman" w:cs="Times New Roman"/>
          <w:sz w:val="24"/>
          <w:szCs w:val="24"/>
        </w:rPr>
        <w:t xml:space="preserve">  </w:t>
      </w:r>
    </w:p>
    <w:p w14:paraId="653C866A" w14:textId="77777777" w:rsidR="00314DF8" w:rsidRPr="00314DF8" w:rsidRDefault="00314DF8" w:rsidP="00314DF8">
      <w:pPr>
        <w:pStyle w:val="NormalWeb"/>
        <w:rPr>
          <w:lang w:val="en-GB"/>
        </w:rPr>
      </w:pPr>
      <w:r w:rsidRPr="00314DF8">
        <w:rPr>
          <w:lang w:val="en-GB"/>
        </w:rPr>
        <w:t xml:space="preserve">Buisson, M.-C., Clément, F., &amp; Leder, S. (2022). Women’s empowerment and the will to change: Evidence from Nepal. </w:t>
      </w:r>
      <w:r w:rsidRPr="00314DF8">
        <w:rPr>
          <w:rStyle w:val="Emphasis"/>
          <w:rFonts w:eastAsiaTheme="majorEastAsia"/>
          <w:lang w:val="en-GB"/>
        </w:rPr>
        <w:t>Journal of Rural Studies, 94</w:t>
      </w:r>
      <w:r w:rsidRPr="00314DF8">
        <w:rPr>
          <w:lang w:val="en-GB"/>
        </w:rPr>
        <w:t xml:space="preserve">, 128–139. </w:t>
      </w:r>
      <w:hyperlink r:id="rId13" w:history="1">
        <w:r w:rsidRPr="00314DF8">
          <w:rPr>
            <w:rStyle w:val="Hyperlink"/>
            <w:rFonts w:eastAsiaTheme="majorEastAsia"/>
            <w:lang w:val="en-GB"/>
          </w:rPr>
          <w:t>https://doi.org/10.1016/j.jrurstud.2022.06.005</w:t>
        </w:r>
      </w:hyperlink>
      <w:r w:rsidRPr="00314DF8">
        <w:rPr>
          <w:lang w:val="en-GB"/>
        </w:rPr>
        <w:t xml:space="preserve"> </w:t>
      </w:r>
    </w:p>
    <w:p w14:paraId="5DFD8BFD" w14:textId="77777777" w:rsidR="00314DF8" w:rsidRPr="00314DF8" w:rsidRDefault="00314DF8" w:rsidP="00314DF8">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 xml:space="preserve">Chaudhuri, T., &amp; Morash, M. (2019). Building empowerment, resisting patriarchy: Women’s self-help groups in India as sites of activism. </w:t>
      </w:r>
      <w:r w:rsidRPr="00314DF8">
        <w:rPr>
          <w:rFonts w:ascii="Times New Roman" w:eastAsia="Times New Roman" w:hAnsi="Times New Roman" w:cs="Times New Roman"/>
          <w:i/>
          <w:iCs/>
          <w:sz w:val="24"/>
          <w:szCs w:val="24"/>
        </w:rPr>
        <w:t>Sociology of Development, 5</w:t>
      </w:r>
      <w:r w:rsidRPr="00314DF8">
        <w:rPr>
          <w:rFonts w:ascii="Times New Roman" w:eastAsia="Times New Roman" w:hAnsi="Times New Roman" w:cs="Times New Roman"/>
          <w:sz w:val="24"/>
          <w:szCs w:val="24"/>
        </w:rPr>
        <w:t xml:space="preserve">(4), 360–382. </w:t>
      </w:r>
      <w:hyperlink r:id="rId14" w:history="1">
        <w:r w:rsidRPr="00314DF8">
          <w:rPr>
            <w:rStyle w:val="Hyperlink"/>
            <w:rFonts w:ascii="Times New Roman" w:eastAsia="Times New Roman" w:hAnsi="Times New Roman" w:cs="Times New Roman"/>
            <w:sz w:val="24"/>
            <w:szCs w:val="24"/>
          </w:rPr>
          <w:t>https://doi.org/10.1525/sod.2019.5.4.360</w:t>
        </w:r>
      </w:hyperlink>
      <w:r w:rsidRPr="00314DF8">
        <w:rPr>
          <w:rFonts w:ascii="Times New Roman" w:eastAsia="Times New Roman" w:hAnsi="Times New Roman" w:cs="Times New Roman"/>
          <w:sz w:val="24"/>
          <w:szCs w:val="24"/>
        </w:rPr>
        <w:t xml:space="preserve"> </w:t>
      </w:r>
    </w:p>
    <w:p w14:paraId="62F04FEF" w14:textId="77777777" w:rsidR="00314DF8" w:rsidRPr="00314DF8" w:rsidRDefault="00314DF8" w:rsidP="00314DF8">
      <w:pPr>
        <w:pStyle w:val="NormalWeb"/>
        <w:rPr>
          <w:lang w:val="en-GB"/>
        </w:rPr>
      </w:pPr>
      <w:r w:rsidRPr="00314DF8">
        <w:rPr>
          <w:lang w:val="en-GB"/>
        </w:rPr>
        <w:t xml:space="preserve">Cornwall, A., &amp; Rivas, A.-M. (2015). From ‘gender equality and ‘women’s empowerment’ to global justice: Reclaiming a transformative agenda for gender and development. </w:t>
      </w:r>
      <w:r w:rsidRPr="00314DF8">
        <w:rPr>
          <w:rStyle w:val="Emphasis"/>
          <w:rFonts w:eastAsiaTheme="majorEastAsia"/>
          <w:lang w:val="en-GB"/>
        </w:rPr>
        <w:t>Third World Quarterly, 36</w:t>
      </w:r>
      <w:r w:rsidRPr="00314DF8">
        <w:rPr>
          <w:lang w:val="en-GB"/>
        </w:rPr>
        <w:t xml:space="preserve">(2), 396–415. </w:t>
      </w:r>
      <w:hyperlink r:id="rId15" w:history="1">
        <w:r w:rsidRPr="00314DF8">
          <w:rPr>
            <w:rStyle w:val="Hyperlink"/>
            <w:rFonts w:eastAsiaTheme="majorEastAsia"/>
            <w:lang w:val="en-GB"/>
          </w:rPr>
          <w:t>https://doi.org/10.1080/01436597.2015.1013341</w:t>
        </w:r>
      </w:hyperlink>
      <w:r w:rsidRPr="00314DF8">
        <w:rPr>
          <w:lang w:val="en-GB"/>
        </w:rPr>
        <w:t xml:space="preserve"> </w:t>
      </w:r>
    </w:p>
    <w:p w14:paraId="38377AA9" w14:textId="77777777" w:rsidR="00314DF8" w:rsidRPr="00314DF8" w:rsidRDefault="00314DF8" w:rsidP="00314DF8">
      <w:pPr>
        <w:pStyle w:val="NormalWeb"/>
        <w:rPr>
          <w:lang w:val="en-GB"/>
        </w:rPr>
      </w:pPr>
      <w:r w:rsidRPr="00314DF8">
        <w:rPr>
          <w:lang w:val="en-GB"/>
        </w:rPr>
        <w:lastRenderedPageBreak/>
        <w:t xml:space="preserve">De Hoop, T., van Kempen, L., Linssen, R., &amp; van </w:t>
      </w:r>
      <w:proofErr w:type="spellStart"/>
      <w:r w:rsidRPr="00314DF8">
        <w:rPr>
          <w:lang w:val="en-GB"/>
        </w:rPr>
        <w:t>Eerdewijk</w:t>
      </w:r>
      <w:proofErr w:type="spellEnd"/>
      <w:r w:rsidRPr="00314DF8">
        <w:rPr>
          <w:lang w:val="en-GB"/>
        </w:rPr>
        <w:t xml:space="preserve">, A. (2014). Women’s autonomy and subjective well-being: How gender norms shape the impact of self-help groups in Odisha, India. </w:t>
      </w:r>
      <w:r w:rsidRPr="00314DF8">
        <w:rPr>
          <w:rStyle w:val="Emphasis"/>
          <w:lang w:val="en-GB"/>
        </w:rPr>
        <w:t>Feminist Economics, 20</w:t>
      </w:r>
      <w:r w:rsidRPr="00314DF8">
        <w:rPr>
          <w:lang w:val="en-GB"/>
        </w:rPr>
        <w:t xml:space="preserve">(3), 103–135. </w:t>
      </w:r>
      <w:hyperlink r:id="rId16" w:history="1">
        <w:r w:rsidRPr="00314DF8">
          <w:rPr>
            <w:rStyle w:val="Hyperlink"/>
            <w:rFonts w:eastAsiaTheme="majorEastAsia"/>
            <w:lang w:val="en-GB"/>
          </w:rPr>
          <w:t>https://doi.org/10.1080/13545701.2014.893388</w:t>
        </w:r>
      </w:hyperlink>
      <w:r w:rsidRPr="00314DF8">
        <w:rPr>
          <w:lang w:val="en-GB"/>
        </w:rPr>
        <w:t xml:space="preserve">  </w:t>
      </w:r>
    </w:p>
    <w:p w14:paraId="43698261" w14:textId="77777777" w:rsidR="00314DF8" w:rsidRPr="00314DF8" w:rsidRDefault="00314DF8" w:rsidP="00314DF8">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 xml:space="preserve">Deininger, K., &amp; Liu, Y. (2013). Economic and social impacts of an innovative self-help group model in India. </w:t>
      </w:r>
      <w:r w:rsidRPr="00314DF8">
        <w:rPr>
          <w:rFonts w:ascii="Times New Roman" w:eastAsia="Times New Roman" w:hAnsi="Times New Roman" w:cs="Times New Roman"/>
          <w:i/>
          <w:iCs/>
          <w:sz w:val="24"/>
          <w:szCs w:val="24"/>
        </w:rPr>
        <w:t>World Development, 43</w:t>
      </w:r>
      <w:r w:rsidRPr="00314DF8">
        <w:rPr>
          <w:rFonts w:ascii="Times New Roman" w:eastAsia="Times New Roman" w:hAnsi="Times New Roman" w:cs="Times New Roman"/>
          <w:sz w:val="24"/>
          <w:szCs w:val="24"/>
        </w:rPr>
        <w:t xml:space="preserve">, 149–163. </w:t>
      </w:r>
      <w:hyperlink r:id="rId17" w:history="1">
        <w:r w:rsidRPr="00314DF8">
          <w:rPr>
            <w:rStyle w:val="Hyperlink"/>
            <w:rFonts w:ascii="Times New Roman" w:eastAsia="Times New Roman" w:hAnsi="Times New Roman" w:cs="Times New Roman"/>
            <w:sz w:val="24"/>
            <w:szCs w:val="24"/>
          </w:rPr>
          <w:t>https://doi.org/10.1016/j.worlddev.2012.09.019</w:t>
        </w:r>
      </w:hyperlink>
      <w:r w:rsidRPr="00314DF8">
        <w:rPr>
          <w:rFonts w:ascii="Times New Roman" w:eastAsia="Times New Roman" w:hAnsi="Times New Roman" w:cs="Times New Roman"/>
          <w:sz w:val="24"/>
          <w:szCs w:val="24"/>
        </w:rPr>
        <w:t xml:space="preserve"> </w:t>
      </w:r>
    </w:p>
    <w:p w14:paraId="41BBAD0A" w14:textId="77777777" w:rsidR="00314DF8" w:rsidRPr="00314DF8" w:rsidRDefault="00314DF8" w:rsidP="00314DF8">
      <w:pPr>
        <w:spacing w:before="100" w:beforeAutospacing="1" w:after="100" w:afterAutospacing="1" w:line="240" w:lineRule="auto"/>
        <w:rPr>
          <w:rFonts w:ascii="Times New Roman" w:eastAsia="Times New Roman" w:hAnsi="Times New Roman" w:cs="Times New Roman"/>
          <w:sz w:val="24"/>
          <w:szCs w:val="24"/>
        </w:rPr>
      </w:pPr>
      <w:proofErr w:type="spellStart"/>
      <w:r w:rsidRPr="00314DF8">
        <w:rPr>
          <w:rFonts w:ascii="Times New Roman" w:eastAsia="Times New Roman" w:hAnsi="Times New Roman" w:cs="Times New Roman"/>
          <w:sz w:val="24"/>
          <w:szCs w:val="24"/>
        </w:rPr>
        <w:t>Dulhunty</w:t>
      </w:r>
      <w:proofErr w:type="spellEnd"/>
      <w:r w:rsidRPr="00314DF8">
        <w:rPr>
          <w:rFonts w:ascii="Times New Roman" w:eastAsia="Times New Roman" w:hAnsi="Times New Roman" w:cs="Times New Roman"/>
          <w:sz w:val="24"/>
          <w:szCs w:val="24"/>
        </w:rPr>
        <w:t xml:space="preserve">, A. (2024). Self help groups and politics: A complex relationship. </w:t>
      </w:r>
      <w:r w:rsidRPr="00314DF8">
        <w:rPr>
          <w:rFonts w:ascii="Times New Roman" w:eastAsia="Times New Roman" w:hAnsi="Times New Roman" w:cs="Times New Roman"/>
          <w:i/>
          <w:iCs/>
          <w:sz w:val="24"/>
          <w:szCs w:val="24"/>
        </w:rPr>
        <w:t>Women’s Studies International Forum, 104</w:t>
      </w:r>
      <w:r w:rsidRPr="00314DF8">
        <w:rPr>
          <w:rFonts w:ascii="Times New Roman" w:eastAsia="Times New Roman" w:hAnsi="Times New Roman" w:cs="Times New Roman"/>
          <w:sz w:val="24"/>
          <w:szCs w:val="24"/>
        </w:rPr>
        <w:t xml:space="preserve">, 102893. </w:t>
      </w:r>
      <w:hyperlink r:id="rId18" w:history="1">
        <w:r w:rsidRPr="00314DF8">
          <w:rPr>
            <w:rStyle w:val="Hyperlink"/>
            <w:rFonts w:ascii="Times New Roman" w:eastAsia="Times New Roman" w:hAnsi="Times New Roman" w:cs="Times New Roman"/>
            <w:sz w:val="24"/>
            <w:szCs w:val="24"/>
          </w:rPr>
          <w:t>https://doi.org/10.1016/j.wsif.2024.102893</w:t>
        </w:r>
      </w:hyperlink>
      <w:r w:rsidRPr="00314DF8">
        <w:rPr>
          <w:rFonts w:ascii="Times New Roman" w:eastAsia="Times New Roman" w:hAnsi="Times New Roman" w:cs="Times New Roman"/>
          <w:sz w:val="24"/>
          <w:szCs w:val="24"/>
        </w:rPr>
        <w:t xml:space="preserve"> </w:t>
      </w:r>
    </w:p>
    <w:p w14:paraId="57EA1E64" w14:textId="77777777" w:rsidR="00314DF8" w:rsidRPr="00314DF8" w:rsidRDefault="00314DF8" w:rsidP="00314DF8">
      <w:pPr>
        <w:pStyle w:val="NormalWeb"/>
        <w:rPr>
          <w:lang w:val="en-GB"/>
        </w:rPr>
      </w:pPr>
      <w:r w:rsidRPr="00314DF8">
        <w:rPr>
          <w:lang w:val="en-GB"/>
        </w:rPr>
        <w:t xml:space="preserve">Duvendack, M., Sonne, L., &amp; </w:t>
      </w:r>
      <w:proofErr w:type="spellStart"/>
      <w:r w:rsidRPr="00314DF8">
        <w:rPr>
          <w:lang w:val="en-GB"/>
        </w:rPr>
        <w:t>Garikipati</w:t>
      </w:r>
      <w:proofErr w:type="spellEnd"/>
      <w:r w:rsidRPr="00314DF8">
        <w:rPr>
          <w:lang w:val="en-GB"/>
        </w:rPr>
        <w:t xml:space="preserve">, S. (2023). Gender inclusivity of India’s digital financial revolution for attainment of SDGs: Macro achievements and the micro experiences of targeted initiatives. </w:t>
      </w:r>
      <w:r w:rsidRPr="00314DF8">
        <w:rPr>
          <w:rStyle w:val="Emphasis"/>
          <w:lang w:val="en-GB"/>
        </w:rPr>
        <w:t>The European Journal of Development Research, 35</w:t>
      </w:r>
      <w:r w:rsidRPr="00314DF8">
        <w:rPr>
          <w:lang w:val="en-GB"/>
        </w:rPr>
        <w:t xml:space="preserve">(6), 1369–1391. </w:t>
      </w:r>
      <w:hyperlink r:id="rId19" w:tgtFrame="_new" w:history="1">
        <w:r w:rsidRPr="00314DF8">
          <w:rPr>
            <w:rStyle w:val="Hyperlink"/>
            <w:lang w:val="en-GB"/>
          </w:rPr>
          <w:t>https://doi.org/10.1057/s41287-023-00585-x</w:t>
        </w:r>
      </w:hyperlink>
      <w:r w:rsidRPr="00314DF8">
        <w:rPr>
          <w:lang w:val="en-GB"/>
        </w:rPr>
        <w:t xml:space="preserve"> </w:t>
      </w:r>
    </w:p>
    <w:p w14:paraId="4B9CC04A" w14:textId="77777777" w:rsidR="00314DF8" w:rsidRPr="00314DF8" w:rsidRDefault="00314DF8" w:rsidP="00314DF8">
      <w:pPr>
        <w:pStyle w:val="NormalWeb"/>
        <w:rPr>
          <w:lang w:val="en-GB"/>
        </w:rPr>
      </w:pPr>
      <w:r w:rsidRPr="00314DF8">
        <w:rPr>
          <w:lang w:val="en-GB"/>
        </w:rPr>
        <w:t xml:space="preserve">Garai, S., Mazumder, G., &amp; Maiti, S. (2012). Empowerment of women through self-help group approach: Empirical evidence from West Bengal, India. </w:t>
      </w:r>
      <w:r w:rsidRPr="00314DF8">
        <w:rPr>
          <w:rStyle w:val="Emphasis"/>
          <w:lang w:val="en-GB"/>
        </w:rPr>
        <w:t>African Journal of Agricultural Research, 7</w:t>
      </w:r>
      <w:r w:rsidRPr="00314DF8">
        <w:rPr>
          <w:lang w:val="en-GB"/>
        </w:rPr>
        <w:t xml:space="preserve">(48), 6395–6400. </w:t>
      </w:r>
      <w:hyperlink r:id="rId20" w:history="1">
        <w:r w:rsidRPr="00314DF8">
          <w:rPr>
            <w:rStyle w:val="Hyperlink"/>
            <w:rFonts w:eastAsiaTheme="majorEastAsia"/>
            <w:lang w:val="en-GB"/>
          </w:rPr>
          <w:t>https://doi.org/10.5897/AJAR12.1580</w:t>
        </w:r>
      </w:hyperlink>
      <w:r w:rsidRPr="00314DF8">
        <w:rPr>
          <w:lang w:val="en-GB"/>
        </w:rPr>
        <w:t xml:space="preserve"> </w:t>
      </w:r>
    </w:p>
    <w:p w14:paraId="5789A82E" w14:textId="77777777" w:rsidR="00314DF8" w:rsidRPr="00314DF8" w:rsidRDefault="00314DF8" w:rsidP="00314DF8">
      <w:pPr>
        <w:pStyle w:val="NormalWeb"/>
        <w:rPr>
          <w:lang w:val="en-GB"/>
        </w:rPr>
      </w:pPr>
      <w:proofErr w:type="spellStart"/>
      <w:r w:rsidRPr="00314DF8">
        <w:rPr>
          <w:lang w:val="en-GB"/>
        </w:rPr>
        <w:t>Garikipati</w:t>
      </w:r>
      <w:proofErr w:type="spellEnd"/>
      <w:r w:rsidRPr="00314DF8">
        <w:rPr>
          <w:lang w:val="en-GB"/>
        </w:rPr>
        <w:t xml:space="preserve">, S. (2013). Microcredit and women’s empowerment: Have we been looking at the wrong indicators? </w:t>
      </w:r>
      <w:r w:rsidRPr="00314DF8">
        <w:rPr>
          <w:rStyle w:val="Emphasis"/>
          <w:rFonts w:eastAsiaTheme="majorEastAsia"/>
          <w:lang w:val="en-GB"/>
        </w:rPr>
        <w:t>Oxford Development Studies, 41</w:t>
      </w:r>
      <w:r w:rsidRPr="00314DF8">
        <w:rPr>
          <w:lang w:val="en-GB"/>
        </w:rPr>
        <w:t xml:space="preserve">(S1), S53–S75. </w:t>
      </w:r>
      <w:hyperlink r:id="rId21" w:history="1">
        <w:r w:rsidRPr="00314DF8">
          <w:rPr>
            <w:rStyle w:val="Hyperlink"/>
            <w:rFonts w:eastAsiaTheme="majorEastAsia"/>
            <w:lang w:val="en-GB"/>
          </w:rPr>
          <w:t>https://doi.org/10.1080/13600818.2012.744387</w:t>
        </w:r>
      </w:hyperlink>
      <w:r w:rsidRPr="00314DF8">
        <w:rPr>
          <w:lang w:val="en-GB"/>
        </w:rPr>
        <w:t xml:space="preserve"> </w:t>
      </w:r>
    </w:p>
    <w:p w14:paraId="5705C99F" w14:textId="77777777" w:rsidR="00314DF8" w:rsidRPr="00314DF8" w:rsidRDefault="00314DF8" w:rsidP="00314DF8">
      <w:pPr>
        <w:spacing w:before="100" w:beforeAutospacing="1" w:after="100" w:afterAutospacing="1" w:line="240" w:lineRule="auto"/>
        <w:rPr>
          <w:rFonts w:ascii="Times New Roman" w:eastAsia="Times New Roman" w:hAnsi="Times New Roman" w:cs="Times New Roman"/>
          <w:sz w:val="24"/>
          <w:szCs w:val="24"/>
        </w:rPr>
      </w:pPr>
      <w:proofErr w:type="spellStart"/>
      <w:r w:rsidRPr="00314DF8">
        <w:rPr>
          <w:rFonts w:ascii="Times New Roman" w:eastAsia="Times New Roman" w:hAnsi="Times New Roman" w:cs="Times New Roman"/>
          <w:sz w:val="24"/>
          <w:szCs w:val="24"/>
        </w:rPr>
        <w:t>Garikipati</w:t>
      </w:r>
      <w:proofErr w:type="spellEnd"/>
      <w:r w:rsidRPr="00314DF8">
        <w:rPr>
          <w:rFonts w:ascii="Times New Roman" w:eastAsia="Times New Roman" w:hAnsi="Times New Roman" w:cs="Times New Roman"/>
          <w:sz w:val="24"/>
          <w:szCs w:val="24"/>
        </w:rPr>
        <w:t xml:space="preserve">, S., </w:t>
      </w:r>
      <w:proofErr w:type="spellStart"/>
      <w:r w:rsidRPr="00314DF8">
        <w:rPr>
          <w:rFonts w:ascii="Times New Roman" w:eastAsia="Times New Roman" w:hAnsi="Times New Roman" w:cs="Times New Roman"/>
          <w:sz w:val="24"/>
          <w:szCs w:val="24"/>
        </w:rPr>
        <w:t>Agier</w:t>
      </w:r>
      <w:proofErr w:type="spellEnd"/>
      <w:r w:rsidRPr="00314DF8">
        <w:rPr>
          <w:rFonts w:ascii="Times New Roman" w:eastAsia="Times New Roman" w:hAnsi="Times New Roman" w:cs="Times New Roman"/>
          <w:sz w:val="24"/>
          <w:szCs w:val="24"/>
        </w:rPr>
        <w:t xml:space="preserve">, I., Guérin, I., &amp; </w:t>
      </w:r>
      <w:proofErr w:type="spellStart"/>
      <w:r w:rsidRPr="00314DF8">
        <w:rPr>
          <w:rFonts w:ascii="Times New Roman" w:eastAsia="Times New Roman" w:hAnsi="Times New Roman" w:cs="Times New Roman"/>
          <w:sz w:val="24"/>
          <w:szCs w:val="24"/>
        </w:rPr>
        <w:t>Szafarz</w:t>
      </w:r>
      <w:proofErr w:type="spellEnd"/>
      <w:r w:rsidRPr="00314DF8">
        <w:rPr>
          <w:rFonts w:ascii="Times New Roman" w:eastAsia="Times New Roman" w:hAnsi="Times New Roman" w:cs="Times New Roman"/>
          <w:sz w:val="24"/>
          <w:szCs w:val="24"/>
        </w:rPr>
        <w:t xml:space="preserve">, A. (2017). The cost of empowerment: Multiple sources of women’s debt in rural India. </w:t>
      </w:r>
      <w:r w:rsidRPr="00314DF8">
        <w:rPr>
          <w:rFonts w:ascii="Times New Roman" w:eastAsia="Times New Roman" w:hAnsi="Times New Roman" w:cs="Times New Roman"/>
          <w:i/>
          <w:iCs/>
          <w:sz w:val="24"/>
          <w:szCs w:val="24"/>
        </w:rPr>
        <w:t>Journal of Development Studies, 53</w:t>
      </w:r>
      <w:r w:rsidRPr="00314DF8">
        <w:rPr>
          <w:rFonts w:ascii="Times New Roman" w:eastAsia="Times New Roman" w:hAnsi="Times New Roman" w:cs="Times New Roman"/>
          <w:sz w:val="24"/>
          <w:szCs w:val="24"/>
        </w:rPr>
        <w:t xml:space="preserve">(5), 700–722. </w:t>
      </w:r>
      <w:hyperlink r:id="rId22" w:history="1">
        <w:r w:rsidRPr="00314DF8">
          <w:rPr>
            <w:rStyle w:val="Hyperlink"/>
            <w:rFonts w:ascii="Times New Roman" w:eastAsia="Times New Roman" w:hAnsi="Times New Roman" w:cs="Times New Roman"/>
            <w:sz w:val="24"/>
            <w:szCs w:val="24"/>
          </w:rPr>
          <w:t>https://doi.org/10.1080/00220388.2016.1205734</w:t>
        </w:r>
      </w:hyperlink>
      <w:r w:rsidRPr="00314DF8">
        <w:rPr>
          <w:rFonts w:ascii="Times New Roman" w:eastAsia="Times New Roman" w:hAnsi="Times New Roman" w:cs="Times New Roman"/>
          <w:sz w:val="24"/>
          <w:szCs w:val="24"/>
        </w:rPr>
        <w:t xml:space="preserve"> </w:t>
      </w:r>
    </w:p>
    <w:p w14:paraId="1414BB98" w14:textId="77777777" w:rsidR="00314DF8" w:rsidRPr="00314DF8" w:rsidRDefault="00314DF8" w:rsidP="00314DF8">
      <w:pPr>
        <w:pStyle w:val="NormalWeb"/>
        <w:rPr>
          <w:lang w:val="en-GB"/>
        </w:rPr>
      </w:pPr>
      <w:r w:rsidRPr="00314DF8">
        <w:rPr>
          <w:lang w:val="en-GB"/>
        </w:rPr>
        <w:t xml:space="preserve">Ghosh, S., Mahapatra, M. S., Tandon, N., &amp; Tandon, D. (2024). Achieving sustainable development goal of women empowerment: A study among self-help groups in India. </w:t>
      </w:r>
      <w:r w:rsidRPr="00314DF8">
        <w:rPr>
          <w:rStyle w:val="Emphasis"/>
          <w:lang w:val="en-GB"/>
        </w:rPr>
        <w:t>FIIB Business Review, 13</w:t>
      </w:r>
      <w:r w:rsidRPr="00314DF8">
        <w:rPr>
          <w:lang w:val="en-GB"/>
        </w:rPr>
        <w:t xml:space="preserve">(4), 477–491. </w:t>
      </w:r>
      <w:hyperlink r:id="rId23" w:history="1">
        <w:r w:rsidRPr="00314DF8">
          <w:rPr>
            <w:rStyle w:val="Hyperlink"/>
            <w:rFonts w:eastAsiaTheme="majorEastAsia"/>
            <w:lang w:val="en-GB"/>
          </w:rPr>
          <w:t>https://doi.org/10.1177/23197145231169074</w:t>
        </w:r>
      </w:hyperlink>
      <w:r w:rsidRPr="00314DF8">
        <w:rPr>
          <w:lang w:val="en-GB"/>
        </w:rPr>
        <w:t xml:space="preserve">  </w:t>
      </w:r>
    </w:p>
    <w:p w14:paraId="7A6D8018" w14:textId="77777777" w:rsidR="00314DF8" w:rsidRPr="00314DF8" w:rsidRDefault="00314DF8" w:rsidP="00314DF8">
      <w:pPr>
        <w:pStyle w:val="NormalWeb"/>
        <w:rPr>
          <w:lang w:val="en-GB"/>
        </w:rPr>
      </w:pPr>
      <w:r w:rsidRPr="00314DF8">
        <w:rPr>
          <w:lang w:val="en-GB"/>
        </w:rPr>
        <w:t xml:space="preserve">Ghosh, S., Mahapatra, M. S., Tandon, N., &amp; Tandon, D. (2024). Achieving sustainable development goal of women empowerment: A study among self-help groups in India. </w:t>
      </w:r>
      <w:r w:rsidRPr="00314DF8">
        <w:rPr>
          <w:rStyle w:val="Emphasis"/>
          <w:lang w:val="en-GB"/>
        </w:rPr>
        <w:t>FIIB Business Review, 13</w:t>
      </w:r>
      <w:r w:rsidRPr="00314DF8">
        <w:rPr>
          <w:lang w:val="en-GB"/>
        </w:rPr>
        <w:t xml:space="preserve">(4), 477–491. </w:t>
      </w:r>
      <w:hyperlink r:id="rId24" w:history="1">
        <w:r w:rsidRPr="00314DF8">
          <w:rPr>
            <w:rStyle w:val="Hyperlink"/>
            <w:rFonts w:eastAsiaTheme="majorEastAsia"/>
            <w:lang w:val="en-GB"/>
          </w:rPr>
          <w:t>https://doi.org/10.1177/23197145231169074</w:t>
        </w:r>
      </w:hyperlink>
      <w:r w:rsidRPr="00314DF8">
        <w:rPr>
          <w:lang w:val="en-GB"/>
        </w:rPr>
        <w:t xml:space="preserve"> </w:t>
      </w:r>
    </w:p>
    <w:p w14:paraId="55D81CAB" w14:textId="77777777" w:rsidR="00314DF8" w:rsidRPr="00314DF8" w:rsidRDefault="00314DF8" w:rsidP="00314DF8">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 xml:space="preserve">Guérin, I. (2014). Juggling with debt, social ties, and values: The everyday use of microcredit in rural South India. </w:t>
      </w:r>
      <w:r w:rsidRPr="00314DF8">
        <w:rPr>
          <w:rFonts w:ascii="Times New Roman" w:eastAsia="Times New Roman" w:hAnsi="Times New Roman" w:cs="Times New Roman"/>
          <w:i/>
          <w:iCs/>
          <w:sz w:val="24"/>
          <w:szCs w:val="24"/>
        </w:rPr>
        <w:t>Current Anthropology, 55</w:t>
      </w:r>
      <w:r w:rsidRPr="00314DF8">
        <w:rPr>
          <w:rFonts w:ascii="Times New Roman" w:eastAsia="Times New Roman" w:hAnsi="Times New Roman" w:cs="Times New Roman"/>
          <w:sz w:val="24"/>
          <w:szCs w:val="24"/>
        </w:rPr>
        <w:t xml:space="preserve">(S9), S40–S50. </w:t>
      </w:r>
      <w:hyperlink r:id="rId25" w:history="1">
        <w:r w:rsidRPr="00314DF8">
          <w:rPr>
            <w:rStyle w:val="Hyperlink"/>
            <w:rFonts w:ascii="Times New Roman" w:eastAsia="Times New Roman" w:hAnsi="Times New Roman" w:cs="Times New Roman"/>
            <w:sz w:val="24"/>
            <w:szCs w:val="24"/>
          </w:rPr>
          <w:t>https://doi.org/10.1086/675929</w:t>
        </w:r>
      </w:hyperlink>
      <w:r w:rsidRPr="00314DF8">
        <w:rPr>
          <w:rFonts w:ascii="Times New Roman" w:eastAsia="Times New Roman" w:hAnsi="Times New Roman" w:cs="Times New Roman"/>
          <w:sz w:val="24"/>
          <w:szCs w:val="24"/>
        </w:rPr>
        <w:t xml:space="preserve"> </w:t>
      </w:r>
    </w:p>
    <w:p w14:paraId="5ED0A103" w14:textId="77777777" w:rsidR="00314DF8" w:rsidRPr="00314DF8" w:rsidRDefault="00314DF8" w:rsidP="00314DF8">
      <w:pPr>
        <w:pStyle w:val="NormalWeb"/>
        <w:rPr>
          <w:lang w:val="en-GB"/>
        </w:rPr>
      </w:pPr>
      <w:r w:rsidRPr="00314DF8">
        <w:rPr>
          <w:lang w:val="en-GB"/>
        </w:rPr>
        <w:t xml:space="preserve">Gugerty, M. K., </w:t>
      </w:r>
      <w:proofErr w:type="spellStart"/>
      <w:r w:rsidRPr="00314DF8">
        <w:rPr>
          <w:lang w:val="en-GB"/>
        </w:rPr>
        <w:t>Biscaye</w:t>
      </w:r>
      <w:proofErr w:type="spellEnd"/>
      <w:r w:rsidRPr="00314DF8">
        <w:rPr>
          <w:lang w:val="en-GB"/>
        </w:rPr>
        <w:t xml:space="preserve">, P. E., &amp; Anderson, C. L. (2019). Delivering development? Evidence on self-help groups as development intermediaries in South Asia and Africa. </w:t>
      </w:r>
      <w:r w:rsidRPr="00314DF8">
        <w:rPr>
          <w:rStyle w:val="Emphasis"/>
          <w:lang w:val="en-GB"/>
        </w:rPr>
        <w:t>Development Policy Review, 37</w:t>
      </w:r>
      <w:r w:rsidRPr="00314DF8">
        <w:rPr>
          <w:lang w:val="en-GB"/>
        </w:rPr>
        <w:t xml:space="preserve">(1), 129–151. </w:t>
      </w:r>
      <w:hyperlink r:id="rId26" w:history="1">
        <w:r w:rsidRPr="00314DF8">
          <w:rPr>
            <w:rStyle w:val="Hyperlink"/>
            <w:rFonts w:eastAsiaTheme="majorEastAsia"/>
            <w:lang w:val="en-GB"/>
          </w:rPr>
          <w:t>https://doi.org/10.1111/dpr.12381</w:t>
        </w:r>
      </w:hyperlink>
      <w:r w:rsidRPr="00314DF8">
        <w:rPr>
          <w:lang w:val="en-GB"/>
        </w:rPr>
        <w:t xml:space="preserve">  </w:t>
      </w:r>
    </w:p>
    <w:p w14:paraId="04BDE894" w14:textId="77777777" w:rsidR="00314DF8" w:rsidRPr="00314DF8" w:rsidRDefault="00314DF8" w:rsidP="00314DF8">
      <w:pPr>
        <w:pStyle w:val="NormalWeb"/>
        <w:rPr>
          <w:lang w:val="en-GB"/>
        </w:rPr>
      </w:pPr>
      <w:r w:rsidRPr="00314DF8">
        <w:rPr>
          <w:lang w:val="en-GB"/>
        </w:rPr>
        <w:t xml:space="preserve">Hazra, A., Das, A., Ahmad, J., Singh, S., Chaudhuri, I., Purty, A., … Desai, S. (2022). Matching intent with intensity: Implementation research on the intensity of health and nutrition programs with women’s self-help groups in India. </w:t>
      </w:r>
      <w:r w:rsidRPr="00314DF8">
        <w:rPr>
          <w:rStyle w:val="Emphasis"/>
          <w:lang w:val="en-GB"/>
        </w:rPr>
        <w:t>Global Health: Science and Practice, 10</w:t>
      </w:r>
      <w:r w:rsidRPr="00314DF8">
        <w:rPr>
          <w:lang w:val="en-GB"/>
        </w:rPr>
        <w:t xml:space="preserve">(1), e2100383. </w:t>
      </w:r>
      <w:hyperlink r:id="rId27" w:history="1">
        <w:r w:rsidRPr="00314DF8">
          <w:rPr>
            <w:rStyle w:val="Hyperlink"/>
            <w:rFonts w:eastAsiaTheme="majorEastAsia"/>
            <w:lang w:val="en-GB"/>
          </w:rPr>
          <w:t>https://doi.org/10.9745/GHSP-D-21-00383</w:t>
        </w:r>
      </w:hyperlink>
      <w:r w:rsidRPr="00314DF8">
        <w:rPr>
          <w:lang w:val="en-GB"/>
        </w:rPr>
        <w:t xml:space="preserve"> </w:t>
      </w:r>
    </w:p>
    <w:p w14:paraId="04902C3E" w14:textId="77777777" w:rsidR="00314DF8" w:rsidRPr="00314DF8" w:rsidRDefault="00314DF8" w:rsidP="00314DF8">
      <w:pPr>
        <w:pStyle w:val="NormalWeb"/>
        <w:rPr>
          <w:lang w:val="en-GB"/>
        </w:rPr>
      </w:pPr>
      <w:r w:rsidRPr="00314DF8">
        <w:rPr>
          <w:lang w:val="en-GB"/>
        </w:rPr>
        <w:t xml:space="preserve">Irani, L., Schooley, J., Supriya, &amp; Chaudhuri, I. (2021). Layering of a health, nutrition and sanitation programme onto microfinance-oriented self-help groups in rural India: Results </w:t>
      </w:r>
      <w:r w:rsidRPr="00314DF8">
        <w:rPr>
          <w:lang w:val="en-GB"/>
        </w:rPr>
        <w:lastRenderedPageBreak/>
        <w:t xml:space="preserve">from a process evaluation. </w:t>
      </w:r>
      <w:r w:rsidRPr="00314DF8">
        <w:rPr>
          <w:rStyle w:val="Emphasis"/>
          <w:lang w:val="en-GB"/>
        </w:rPr>
        <w:t>BMC Public Health, 21</w:t>
      </w:r>
      <w:r w:rsidRPr="00314DF8">
        <w:rPr>
          <w:lang w:val="en-GB"/>
        </w:rPr>
        <w:t xml:space="preserve">, 2131. </w:t>
      </w:r>
      <w:hyperlink r:id="rId28" w:history="1">
        <w:r w:rsidRPr="00314DF8">
          <w:rPr>
            <w:rStyle w:val="Hyperlink"/>
            <w:rFonts w:eastAsiaTheme="majorEastAsia"/>
            <w:lang w:val="en-GB"/>
          </w:rPr>
          <w:t>https://doi.org/10.1186/s12889-021-12049-0</w:t>
        </w:r>
      </w:hyperlink>
      <w:r w:rsidRPr="00314DF8">
        <w:rPr>
          <w:lang w:val="en-GB"/>
        </w:rPr>
        <w:t xml:space="preserve">   </w:t>
      </w:r>
    </w:p>
    <w:p w14:paraId="29FDFC06" w14:textId="77777777" w:rsidR="00314DF8" w:rsidRPr="00314DF8" w:rsidRDefault="00314DF8" w:rsidP="00314DF8">
      <w:pPr>
        <w:pStyle w:val="NormalWeb"/>
        <w:rPr>
          <w:lang w:val="en-GB"/>
        </w:rPr>
      </w:pPr>
      <w:r w:rsidRPr="00314DF8">
        <w:rPr>
          <w:lang w:val="en-GB"/>
        </w:rPr>
        <w:t xml:space="preserve">Justin, M. A. E., Cherian, N., &amp; Mathew, V. (2025). A 30 year bibliometric analysis on the role of women self-help groups in achieving well-being and sustainable development goals. </w:t>
      </w:r>
      <w:r w:rsidRPr="00314DF8">
        <w:rPr>
          <w:rStyle w:val="Emphasis"/>
          <w:lang w:val="en-GB"/>
        </w:rPr>
        <w:t>Discover Sustainability, 6</w:t>
      </w:r>
      <w:r w:rsidRPr="00314DF8">
        <w:rPr>
          <w:lang w:val="en-GB"/>
        </w:rPr>
        <w:t xml:space="preserve">, 1173. </w:t>
      </w:r>
      <w:hyperlink r:id="rId29" w:history="1">
        <w:r w:rsidRPr="00314DF8">
          <w:rPr>
            <w:rStyle w:val="Hyperlink"/>
            <w:rFonts w:eastAsiaTheme="majorEastAsia"/>
            <w:lang w:val="en-GB"/>
          </w:rPr>
          <w:t>https://doi.org/10.1007/s43621-025-01942-y</w:t>
        </w:r>
      </w:hyperlink>
      <w:r w:rsidRPr="00314DF8">
        <w:rPr>
          <w:lang w:val="en-GB"/>
        </w:rPr>
        <w:t xml:space="preserve">   </w:t>
      </w:r>
    </w:p>
    <w:p w14:paraId="0FBA402F" w14:textId="77777777" w:rsidR="00314DF8" w:rsidRPr="00314DF8" w:rsidRDefault="00314DF8" w:rsidP="00314DF8">
      <w:pPr>
        <w:pStyle w:val="NormalWeb"/>
        <w:rPr>
          <w:lang w:val="en-GB"/>
        </w:rPr>
      </w:pPr>
      <w:r w:rsidRPr="00314DF8">
        <w:rPr>
          <w:lang w:val="en-GB"/>
        </w:rPr>
        <w:t xml:space="preserve">Kabeer, N. (1999). Resources, agency, achievements: Reflections on the measurement of women’s empowerment. </w:t>
      </w:r>
      <w:r w:rsidRPr="00314DF8">
        <w:rPr>
          <w:rStyle w:val="Emphasis"/>
          <w:rFonts w:eastAsiaTheme="majorEastAsia"/>
          <w:lang w:val="en-GB"/>
        </w:rPr>
        <w:t>Development and Change, 30</w:t>
      </w:r>
      <w:r w:rsidRPr="00314DF8">
        <w:rPr>
          <w:lang w:val="en-GB"/>
        </w:rPr>
        <w:t xml:space="preserve">(3), 435–464. </w:t>
      </w:r>
      <w:hyperlink r:id="rId30" w:tgtFrame="_new" w:history="1">
        <w:r w:rsidRPr="00314DF8">
          <w:rPr>
            <w:rStyle w:val="Hyperlink"/>
            <w:lang w:val="en-GB"/>
          </w:rPr>
          <w:t>https://doi.org/10.1111/1467-7660.00125</w:t>
        </w:r>
      </w:hyperlink>
    </w:p>
    <w:p w14:paraId="773D01EB" w14:textId="77777777" w:rsidR="00314DF8" w:rsidRPr="00314DF8" w:rsidRDefault="00314DF8" w:rsidP="00314DF8">
      <w:pPr>
        <w:pStyle w:val="NormalWeb"/>
        <w:rPr>
          <w:lang w:val="en-GB"/>
        </w:rPr>
      </w:pPr>
      <w:r w:rsidRPr="00314DF8">
        <w:rPr>
          <w:lang w:val="en-GB"/>
        </w:rPr>
        <w:t xml:space="preserve">Kabeer, N. (2005). Gender equality and women’s empowerment: A critical analysis of the third Millennium Development Goal 1. </w:t>
      </w:r>
      <w:r w:rsidRPr="00314DF8">
        <w:rPr>
          <w:rStyle w:val="Emphasis"/>
          <w:rFonts w:eastAsiaTheme="majorEastAsia"/>
          <w:lang w:val="en-GB"/>
        </w:rPr>
        <w:t>Gender &amp; Development, 13</w:t>
      </w:r>
      <w:r w:rsidRPr="00314DF8">
        <w:rPr>
          <w:lang w:val="en-GB"/>
        </w:rPr>
        <w:t xml:space="preserve">(1), 13–24. </w:t>
      </w:r>
      <w:hyperlink r:id="rId31" w:history="1">
        <w:r w:rsidRPr="00314DF8">
          <w:rPr>
            <w:rStyle w:val="Hyperlink"/>
            <w:rFonts w:eastAsiaTheme="majorEastAsia"/>
            <w:lang w:val="en-GB"/>
          </w:rPr>
          <w:t>https://doi.org/10.1080/13552070512331332273</w:t>
        </w:r>
      </w:hyperlink>
      <w:r w:rsidRPr="00314DF8">
        <w:rPr>
          <w:lang w:val="en-GB"/>
        </w:rPr>
        <w:t xml:space="preserve"> </w:t>
      </w:r>
    </w:p>
    <w:p w14:paraId="7A7F9312" w14:textId="77777777" w:rsidR="00314DF8" w:rsidRPr="00314DF8" w:rsidRDefault="00314DF8" w:rsidP="00314DF8">
      <w:pPr>
        <w:pStyle w:val="NormalWeb"/>
        <w:rPr>
          <w:lang w:val="en-GB"/>
        </w:rPr>
      </w:pPr>
      <w:r w:rsidRPr="00314DF8">
        <w:rPr>
          <w:lang w:val="en-GB"/>
        </w:rPr>
        <w:t xml:space="preserve">Karan, P., Lee, J.-S., &amp; </w:t>
      </w:r>
      <w:proofErr w:type="spellStart"/>
      <w:r w:rsidRPr="00314DF8">
        <w:rPr>
          <w:lang w:val="en-GB"/>
        </w:rPr>
        <w:t>Hugman</w:t>
      </w:r>
      <w:proofErr w:type="spellEnd"/>
      <w:r w:rsidRPr="00314DF8">
        <w:rPr>
          <w:lang w:val="en-GB"/>
        </w:rPr>
        <w:t xml:space="preserve">, R. (2021). Combatting gender oppression: Applying intersectionality in microfinance self-help groups. </w:t>
      </w:r>
      <w:r w:rsidRPr="00314DF8">
        <w:rPr>
          <w:rStyle w:val="Emphasis"/>
          <w:lang w:val="en-GB"/>
        </w:rPr>
        <w:t>The European Journal of Development Research, 33</w:t>
      </w:r>
      <w:r w:rsidRPr="00314DF8">
        <w:rPr>
          <w:lang w:val="en-GB"/>
        </w:rPr>
        <w:t xml:space="preserve">(6), 1649–1665. </w:t>
      </w:r>
      <w:hyperlink r:id="rId32" w:history="1">
        <w:r w:rsidRPr="00314DF8">
          <w:rPr>
            <w:rStyle w:val="Hyperlink"/>
            <w:rFonts w:eastAsiaTheme="majorEastAsia"/>
            <w:lang w:val="en-GB"/>
          </w:rPr>
          <w:t>https://doi.org/10.1057/s41287-020-00309-5</w:t>
        </w:r>
      </w:hyperlink>
      <w:r w:rsidRPr="00314DF8">
        <w:rPr>
          <w:lang w:val="en-GB"/>
        </w:rPr>
        <w:t xml:space="preserve">  </w:t>
      </w:r>
    </w:p>
    <w:p w14:paraId="0B3A1FBD" w14:textId="77777777" w:rsidR="00314DF8" w:rsidRPr="00314DF8" w:rsidRDefault="00314DF8" w:rsidP="00314DF8">
      <w:pPr>
        <w:pStyle w:val="NormalWeb"/>
        <w:rPr>
          <w:lang w:val="en-GB"/>
        </w:rPr>
      </w:pPr>
      <w:r w:rsidRPr="00314DF8">
        <w:rPr>
          <w:lang w:val="en-GB"/>
        </w:rPr>
        <w:t xml:space="preserve">Karan, P., Lee, J.-S., &amp; </w:t>
      </w:r>
      <w:proofErr w:type="spellStart"/>
      <w:r w:rsidRPr="00314DF8">
        <w:rPr>
          <w:lang w:val="en-GB"/>
        </w:rPr>
        <w:t>Hugman</w:t>
      </w:r>
      <w:proofErr w:type="spellEnd"/>
      <w:r w:rsidRPr="00314DF8">
        <w:rPr>
          <w:lang w:val="en-GB"/>
        </w:rPr>
        <w:t xml:space="preserve">, R. (2021). Combatting gender oppression: Applying intersectionality in microfinance self-help groups. </w:t>
      </w:r>
      <w:r w:rsidRPr="00314DF8">
        <w:rPr>
          <w:rStyle w:val="Emphasis"/>
          <w:lang w:val="en-GB"/>
        </w:rPr>
        <w:t>European Journal of Development Research, 33</w:t>
      </w:r>
      <w:r w:rsidRPr="00314DF8">
        <w:rPr>
          <w:lang w:val="en-GB"/>
        </w:rPr>
        <w:t xml:space="preserve">(6), 1649–1665. </w:t>
      </w:r>
      <w:hyperlink r:id="rId33" w:history="1">
        <w:r w:rsidRPr="00314DF8">
          <w:rPr>
            <w:rStyle w:val="Hyperlink"/>
            <w:rFonts w:eastAsiaTheme="majorEastAsia"/>
            <w:lang w:val="en-GB"/>
          </w:rPr>
          <w:t>https://doi.org/10.1057/s41287-020-00309-5</w:t>
        </w:r>
      </w:hyperlink>
      <w:r w:rsidRPr="00314DF8">
        <w:rPr>
          <w:lang w:val="en-GB"/>
        </w:rPr>
        <w:t xml:space="preserve"> </w:t>
      </w:r>
    </w:p>
    <w:p w14:paraId="4FE0556C" w14:textId="77777777" w:rsidR="00314DF8" w:rsidRPr="00314DF8" w:rsidRDefault="00314DF8" w:rsidP="00314DF8">
      <w:pPr>
        <w:pStyle w:val="NormalWeb"/>
        <w:rPr>
          <w:lang w:val="en-GB"/>
        </w:rPr>
      </w:pPr>
      <w:r w:rsidRPr="00314DF8">
        <w:rPr>
          <w:lang w:val="en-GB"/>
        </w:rPr>
        <w:t xml:space="preserve">Khan, S. T., Bhat, M. A., &amp; </w:t>
      </w:r>
      <w:proofErr w:type="spellStart"/>
      <w:r w:rsidRPr="00314DF8">
        <w:rPr>
          <w:lang w:val="en-GB"/>
        </w:rPr>
        <w:t>Sangmi</w:t>
      </w:r>
      <w:proofErr w:type="spellEnd"/>
      <w:r w:rsidRPr="00314DF8">
        <w:rPr>
          <w:lang w:val="en-GB"/>
        </w:rPr>
        <w:t xml:space="preserve">, M.-U.-D. (2020). Impact of microfinance on economic, social, political and psychological empowerment: Evidence from women’s Self-Help Groups in Kashmir Valley, India. </w:t>
      </w:r>
      <w:r w:rsidRPr="00314DF8">
        <w:rPr>
          <w:rStyle w:val="Emphasis"/>
          <w:lang w:val="en-GB"/>
        </w:rPr>
        <w:t>FIIB Business Review, 12</w:t>
      </w:r>
      <w:r w:rsidRPr="00314DF8">
        <w:rPr>
          <w:lang w:val="en-GB"/>
        </w:rPr>
        <w:t xml:space="preserve">(1), 58–73. </w:t>
      </w:r>
      <w:hyperlink r:id="rId34" w:history="1">
        <w:r w:rsidRPr="00314DF8">
          <w:rPr>
            <w:rStyle w:val="Hyperlink"/>
            <w:rFonts w:eastAsiaTheme="majorEastAsia"/>
            <w:lang w:val="en-GB"/>
          </w:rPr>
          <w:t>https://doi.org/10.1177/2319714520972905</w:t>
        </w:r>
      </w:hyperlink>
      <w:r w:rsidRPr="00314DF8">
        <w:rPr>
          <w:lang w:val="en-GB"/>
        </w:rPr>
        <w:t xml:space="preserve"> </w:t>
      </w:r>
    </w:p>
    <w:p w14:paraId="6C3A002D" w14:textId="77777777" w:rsidR="00314DF8" w:rsidRPr="00314DF8" w:rsidRDefault="00314DF8" w:rsidP="00314DF8">
      <w:pPr>
        <w:pStyle w:val="NormalWeb"/>
        <w:rPr>
          <w:lang w:val="en-GB"/>
        </w:rPr>
      </w:pPr>
      <w:r w:rsidRPr="00314DF8">
        <w:rPr>
          <w:lang w:val="en-GB"/>
        </w:rPr>
        <w:t xml:space="preserve">Kumar, N., Raghunathan, K., Arrieta, A., Jilani, A., &amp; Pandey, S. (2021). The power of the collective empowers women: Evidence from Self-Help Groups in India. </w:t>
      </w:r>
      <w:r w:rsidRPr="00314DF8">
        <w:rPr>
          <w:rStyle w:val="Emphasis"/>
          <w:lang w:val="en-GB"/>
        </w:rPr>
        <w:t>World Development, 146</w:t>
      </w:r>
      <w:r w:rsidRPr="00314DF8">
        <w:rPr>
          <w:lang w:val="en-GB"/>
        </w:rPr>
        <w:t xml:space="preserve">, 105579. </w:t>
      </w:r>
      <w:hyperlink r:id="rId35" w:history="1">
        <w:r w:rsidRPr="00314DF8">
          <w:rPr>
            <w:rStyle w:val="Hyperlink"/>
            <w:rFonts w:eastAsiaTheme="majorEastAsia"/>
            <w:lang w:val="en-GB"/>
          </w:rPr>
          <w:t>https://doi.org/10.1016/j.worlddev.2021.105579</w:t>
        </w:r>
      </w:hyperlink>
      <w:r w:rsidRPr="00314DF8">
        <w:rPr>
          <w:lang w:val="en-GB"/>
        </w:rPr>
        <w:t xml:space="preserve"> </w:t>
      </w:r>
    </w:p>
    <w:p w14:paraId="0825A66D" w14:textId="77777777" w:rsidR="00314DF8" w:rsidRPr="00314DF8" w:rsidRDefault="00314DF8" w:rsidP="00314DF8">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 xml:space="preserve">Kumar, N., Raghunathan, K., Arrieta, A., Jilani, A., Chakrabarti, S., Menon, P., &amp; Quisumbing, A. R. (2019). Social networks, mobility, and political participation: The potential for women’s self-help groups to improve access and use of public entitlement schemes in India. </w:t>
      </w:r>
      <w:r w:rsidRPr="00314DF8">
        <w:rPr>
          <w:rFonts w:ascii="Times New Roman" w:eastAsia="Times New Roman" w:hAnsi="Times New Roman" w:cs="Times New Roman"/>
          <w:i/>
          <w:iCs/>
          <w:sz w:val="24"/>
          <w:szCs w:val="24"/>
        </w:rPr>
        <w:t>World Development, 114</w:t>
      </w:r>
      <w:r w:rsidRPr="00314DF8">
        <w:rPr>
          <w:rFonts w:ascii="Times New Roman" w:eastAsia="Times New Roman" w:hAnsi="Times New Roman" w:cs="Times New Roman"/>
          <w:sz w:val="24"/>
          <w:szCs w:val="24"/>
        </w:rPr>
        <w:t xml:space="preserve">, 28–41. </w:t>
      </w:r>
      <w:hyperlink r:id="rId36" w:history="1">
        <w:r w:rsidRPr="00314DF8">
          <w:rPr>
            <w:rStyle w:val="Hyperlink"/>
            <w:rFonts w:ascii="Times New Roman" w:eastAsia="Times New Roman" w:hAnsi="Times New Roman" w:cs="Times New Roman"/>
            <w:sz w:val="24"/>
            <w:szCs w:val="24"/>
          </w:rPr>
          <w:t>https://doi.org/10.1016/j.worlddev.2018.09.023</w:t>
        </w:r>
      </w:hyperlink>
      <w:r w:rsidRPr="00314DF8">
        <w:rPr>
          <w:rFonts w:ascii="Times New Roman" w:eastAsia="Times New Roman" w:hAnsi="Times New Roman" w:cs="Times New Roman"/>
          <w:sz w:val="24"/>
          <w:szCs w:val="24"/>
        </w:rPr>
        <w:t xml:space="preserve">  </w:t>
      </w:r>
    </w:p>
    <w:p w14:paraId="276E629D" w14:textId="77777777" w:rsidR="00314DF8" w:rsidRPr="00314DF8" w:rsidRDefault="00314DF8" w:rsidP="00314DF8">
      <w:pPr>
        <w:pStyle w:val="NormalWeb"/>
        <w:rPr>
          <w:lang w:val="en-GB"/>
        </w:rPr>
      </w:pPr>
      <w:r w:rsidRPr="00314DF8">
        <w:rPr>
          <w:lang w:val="en-GB"/>
        </w:rPr>
        <w:t xml:space="preserve">Kumar, N., Raghunathan, K., Quisumbing, A. R., Scott, S. P., Menon, P., Thai, G., Gupta, S., Nichols, C., &amp; WINGS Study Team. (2024). Women improving nutrition through self-help groups in India: Does nutrition information help? </w:t>
      </w:r>
      <w:r w:rsidRPr="00314DF8">
        <w:rPr>
          <w:rStyle w:val="Emphasis"/>
          <w:lang w:val="en-GB"/>
        </w:rPr>
        <w:t>Food Policy, 128</w:t>
      </w:r>
      <w:r w:rsidRPr="00314DF8">
        <w:rPr>
          <w:lang w:val="en-GB"/>
        </w:rPr>
        <w:t xml:space="preserve">, 102716. </w:t>
      </w:r>
      <w:hyperlink r:id="rId37" w:history="1">
        <w:r w:rsidRPr="00314DF8">
          <w:rPr>
            <w:rStyle w:val="Hyperlink"/>
            <w:rFonts w:eastAsiaTheme="majorEastAsia"/>
            <w:lang w:val="en-GB"/>
          </w:rPr>
          <w:t>https://doi.org/10.1016/j.foodpol.2024.102716</w:t>
        </w:r>
      </w:hyperlink>
      <w:r w:rsidRPr="00314DF8">
        <w:rPr>
          <w:lang w:val="en-GB"/>
        </w:rPr>
        <w:t xml:space="preserve">  </w:t>
      </w:r>
    </w:p>
    <w:p w14:paraId="50C9F1A8" w14:textId="77777777" w:rsidR="00314DF8" w:rsidRPr="00314DF8" w:rsidRDefault="00314DF8" w:rsidP="00314DF8">
      <w:pPr>
        <w:pStyle w:val="NormalWeb"/>
        <w:rPr>
          <w:lang w:val="en-GB"/>
        </w:rPr>
      </w:pPr>
      <w:proofErr w:type="spellStart"/>
      <w:r w:rsidRPr="00314DF8">
        <w:rPr>
          <w:lang w:val="en-GB"/>
        </w:rPr>
        <w:t>Mayoux</w:t>
      </w:r>
      <w:proofErr w:type="spellEnd"/>
      <w:r w:rsidRPr="00314DF8">
        <w:rPr>
          <w:lang w:val="en-GB"/>
        </w:rPr>
        <w:t xml:space="preserve">, L. (1999). Questioning virtuous spirals: Micro-finance and women’s empowerment in Africa. </w:t>
      </w:r>
      <w:r w:rsidRPr="00314DF8">
        <w:rPr>
          <w:rStyle w:val="Emphasis"/>
          <w:rFonts w:eastAsiaTheme="majorEastAsia"/>
          <w:lang w:val="en-GB"/>
        </w:rPr>
        <w:t>Journal of International Development, 11</w:t>
      </w:r>
      <w:r w:rsidRPr="00314DF8">
        <w:rPr>
          <w:lang w:val="en-GB"/>
        </w:rPr>
        <w:t xml:space="preserve">(7), 957–984. </w:t>
      </w:r>
      <w:hyperlink r:id="rId38" w:history="1">
        <w:r w:rsidRPr="00314DF8">
          <w:rPr>
            <w:rStyle w:val="Hyperlink"/>
            <w:rFonts w:eastAsiaTheme="majorEastAsia"/>
            <w:lang w:val="en-GB"/>
          </w:rPr>
          <w:t>https://doi.org/10.1002/(SICI)1099-1328(199911/12)11:7&lt;957::AID-JID623&gt;3.0.CO;2-#</w:t>
        </w:r>
      </w:hyperlink>
      <w:r w:rsidRPr="00314DF8">
        <w:rPr>
          <w:lang w:val="en-GB"/>
        </w:rPr>
        <w:t xml:space="preserve"> </w:t>
      </w:r>
    </w:p>
    <w:p w14:paraId="6E48A4F4" w14:textId="77777777" w:rsidR="00314DF8" w:rsidRPr="00314DF8" w:rsidRDefault="00314DF8" w:rsidP="00314DF8">
      <w:pPr>
        <w:pStyle w:val="NormalWeb"/>
        <w:rPr>
          <w:lang w:val="en-GB"/>
        </w:rPr>
      </w:pPr>
      <w:r w:rsidRPr="00314DF8">
        <w:rPr>
          <w:lang w:val="en-GB"/>
        </w:rPr>
        <w:t xml:space="preserve">Mehta, K. M., Irani, L., Chaudhuri, I., Mahapatra, T., Schooley, J., </w:t>
      </w:r>
      <w:proofErr w:type="spellStart"/>
      <w:r w:rsidRPr="00314DF8">
        <w:rPr>
          <w:lang w:val="en-GB"/>
        </w:rPr>
        <w:t>Srikantiah</w:t>
      </w:r>
      <w:proofErr w:type="spellEnd"/>
      <w:r w:rsidRPr="00314DF8">
        <w:rPr>
          <w:lang w:val="en-GB"/>
        </w:rPr>
        <w:t xml:space="preserve">, S., … Darmstadt, G. L. (2020). Health layering of self-help groups: Impacts on reproductive, </w:t>
      </w:r>
      <w:r w:rsidRPr="00314DF8">
        <w:rPr>
          <w:lang w:val="en-GB"/>
        </w:rPr>
        <w:lastRenderedPageBreak/>
        <w:t xml:space="preserve">maternal, newborn and child health and nutrition in Bihar, India. </w:t>
      </w:r>
      <w:r w:rsidRPr="00314DF8">
        <w:rPr>
          <w:rStyle w:val="Emphasis"/>
          <w:lang w:val="en-GB"/>
        </w:rPr>
        <w:t>Journal of Global Health, 10</w:t>
      </w:r>
      <w:r w:rsidRPr="00314DF8">
        <w:rPr>
          <w:lang w:val="en-GB"/>
        </w:rPr>
        <w:t xml:space="preserve">(2), 021007. </w:t>
      </w:r>
      <w:hyperlink r:id="rId39" w:history="1">
        <w:r w:rsidRPr="00314DF8">
          <w:rPr>
            <w:rStyle w:val="Hyperlink"/>
            <w:rFonts w:eastAsiaTheme="majorEastAsia"/>
            <w:lang w:val="en-GB"/>
          </w:rPr>
          <w:t>https://doi.org/10.7189/jogh.10.021007</w:t>
        </w:r>
      </w:hyperlink>
      <w:r w:rsidRPr="00314DF8">
        <w:rPr>
          <w:lang w:val="en-GB"/>
        </w:rPr>
        <w:t xml:space="preserve"> </w:t>
      </w:r>
    </w:p>
    <w:p w14:paraId="73ED0632" w14:textId="77777777" w:rsidR="00314DF8" w:rsidRPr="00314DF8" w:rsidRDefault="00314DF8" w:rsidP="00314DF8">
      <w:pPr>
        <w:pStyle w:val="NormalWeb"/>
        <w:rPr>
          <w:lang w:val="en-GB"/>
        </w:rPr>
      </w:pPr>
      <w:r w:rsidRPr="00314DF8">
        <w:rPr>
          <w:lang w:val="en-GB"/>
        </w:rPr>
        <w:t xml:space="preserve">Nichols, C. (2021). Self-help groups as platforms for development: The role of social capital. </w:t>
      </w:r>
      <w:r w:rsidRPr="00314DF8">
        <w:rPr>
          <w:rStyle w:val="Emphasis"/>
          <w:rFonts w:eastAsiaTheme="majorEastAsia"/>
          <w:lang w:val="en-GB"/>
        </w:rPr>
        <w:t>World Development, 146</w:t>
      </w:r>
      <w:r w:rsidRPr="00314DF8">
        <w:rPr>
          <w:lang w:val="en-GB"/>
        </w:rPr>
        <w:t xml:space="preserve">, 105575. </w:t>
      </w:r>
      <w:hyperlink r:id="rId40" w:history="1">
        <w:r w:rsidRPr="00314DF8">
          <w:rPr>
            <w:rStyle w:val="Hyperlink"/>
            <w:rFonts w:eastAsiaTheme="majorEastAsia"/>
            <w:lang w:val="en-GB"/>
          </w:rPr>
          <w:t>https://doi.org/10.1016/j.worlddev.2021.105575</w:t>
        </w:r>
      </w:hyperlink>
      <w:r w:rsidRPr="00314DF8">
        <w:rPr>
          <w:lang w:val="en-GB"/>
        </w:rPr>
        <w:t xml:space="preserve"> </w:t>
      </w:r>
    </w:p>
    <w:p w14:paraId="6713992F" w14:textId="77777777" w:rsidR="00314DF8" w:rsidRPr="00314DF8" w:rsidRDefault="00314DF8" w:rsidP="00314DF8">
      <w:pPr>
        <w:pStyle w:val="NormalWeb"/>
        <w:rPr>
          <w:lang w:val="en-GB"/>
        </w:rPr>
      </w:pPr>
      <w:r w:rsidRPr="00314DF8">
        <w:rPr>
          <w:lang w:val="en-GB"/>
        </w:rPr>
        <w:t xml:space="preserve">Pandhare, A., </w:t>
      </w:r>
      <w:proofErr w:type="spellStart"/>
      <w:r w:rsidRPr="00314DF8">
        <w:rPr>
          <w:lang w:val="en-GB"/>
        </w:rPr>
        <w:t>Bellampalli</w:t>
      </w:r>
      <w:proofErr w:type="spellEnd"/>
      <w:r w:rsidRPr="00314DF8">
        <w:rPr>
          <w:lang w:val="en-GB"/>
        </w:rPr>
        <w:t xml:space="preserve">, P. N., &amp; Yadava, N. (2024). Transforming rural women’s lives in India: The impact of microfinance and entrepreneurship on empowerment in Self-Help Groups. </w:t>
      </w:r>
      <w:r w:rsidRPr="00314DF8">
        <w:rPr>
          <w:rStyle w:val="Emphasis"/>
          <w:lang w:val="en-GB"/>
        </w:rPr>
        <w:t>Journal of Innovation and Entrepreneurship, 13</w:t>
      </w:r>
      <w:r w:rsidRPr="00314DF8">
        <w:rPr>
          <w:lang w:val="en-GB"/>
        </w:rPr>
        <w:t xml:space="preserve">, 62. </w:t>
      </w:r>
      <w:hyperlink r:id="rId41" w:history="1">
        <w:r w:rsidRPr="00314DF8">
          <w:rPr>
            <w:rStyle w:val="Hyperlink"/>
            <w:rFonts w:eastAsiaTheme="majorEastAsia"/>
            <w:lang w:val="en-GB"/>
          </w:rPr>
          <w:t>https://doi.org/10.1186/s13731-024-00419-y</w:t>
        </w:r>
      </w:hyperlink>
      <w:r w:rsidRPr="00314DF8">
        <w:rPr>
          <w:lang w:val="en-GB"/>
        </w:rPr>
        <w:t xml:space="preserve"> </w:t>
      </w:r>
    </w:p>
    <w:p w14:paraId="75E88500" w14:textId="77777777" w:rsidR="00314DF8" w:rsidRPr="00314DF8" w:rsidRDefault="00314DF8" w:rsidP="00314DF8">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 xml:space="preserve">Prillaman, S. A. (2023). Strength in numbers: how women's groups close India's political gender gap. American Journal of Political Science, 67(2), 390-410. </w:t>
      </w:r>
      <w:hyperlink r:id="rId42" w:history="1">
        <w:r w:rsidRPr="00314DF8">
          <w:rPr>
            <w:rStyle w:val="Hyperlink"/>
            <w:rFonts w:ascii="Times New Roman" w:eastAsia="Times New Roman" w:hAnsi="Times New Roman" w:cs="Times New Roman"/>
            <w:sz w:val="24"/>
            <w:szCs w:val="24"/>
          </w:rPr>
          <w:t>https://doi.org/10.1111/ajps.12651</w:t>
        </w:r>
      </w:hyperlink>
      <w:r w:rsidRPr="00314DF8">
        <w:rPr>
          <w:rFonts w:ascii="Times New Roman" w:eastAsia="Times New Roman" w:hAnsi="Times New Roman" w:cs="Times New Roman"/>
          <w:sz w:val="24"/>
          <w:szCs w:val="24"/>
        </w:rPr>
        <w:t xml:space="preserve"> </w:t>
      </w:r>
    </w:p>
    <w:p w14:paraId="74434489" w14:textId="77777777" w:rsidR="00314DF8" w:rsidRPr="00314DF8" w:rsidRDefault="00314DF8" w:rsidP="00314DF8">
      <w:pPr>
        <w:pStyle w:val="NormalWeb"/>
        <w:rPr>
          <w:lang w:val="en-GB"/>
        </w:rPr>
      </w:pPr>
      <w:r w:rsidRPr="00314DF8">
        <w:rPr>
          <w:lang w:val="en-GB"/>
        </w:rPr>
        <w:t xml:space="preserve">Quisumbing, A. R., </w:t>
      </w:r>
      <w:proofErr w:type="spellStart"/>
      <w:r w:rsidRPr="00314DF8">
        <w:rPr>
          <w:lang w:val="en-GB"/>
        </w:rPr>
        <w:t>Meinzen</w:t>
      </w:r>
      <w:proofErr w:type="spellEnd"/>
      <w:r w:rsidRPr="00314DF8">
        <w:rPr>
          <w:lang w:val="en-GB"/>
        </w:rPr>
        <w:t xml:space="preserve">-Dick, R., Malapit, H. J., Seymour, G., Heckert, J., Johnson, N., … GAAP2 for pro-WEAI Study Team. (2024). Enhancing agency and empowerment in agricultural development projects: A synthesis of mixed methods impact evaluations from the Gender, Agriculture, and Assets Project, Phase 2 (GAAP2). </w:t>
      </w:r>
      <w:r w:rsidRPr="00314DF8">
        <w:rPr>
          <w:rStyle w:val="Emphasis"/>
          <w:lang w:val="en-GB"/>
        </w:rPr>
        <w:t>Journal of Rural Studies, 108</w:t>
      </w:r>
      <w:r w:rsidRPr="00314DF8">
        <w:rPr>
          <w:lang w:val="en-GB"/>
        </w:rPr>
        <w:t xml:space="preserve">, 103295. </w:t>
      </w:r>
      <w:hyperlink r:id="rId43" w:history="1">
        <w:r w:rsidRPr="00314DF8">
          <w:rPr>
            <w:rStyle w:val="Hyperlink"/>
            <w:rFonts w:eastAsiaTheme="majorEastAsia"/>
            <w:lang w:val="en-GB"/>
          </w:rPr>
          <w:t>https://doi.org/10.1016/j.jrurstud.2024.103295</w:t>
        </w:r>
      </w:hyperlink>
      <w:r w:rsidRPr="00314DF8">
        <w:rPr>
          <w:lang w:val="en-GB"/>
        </w:rPr>
        <w:t xml:space="preserve"> </w:t>
      </w:r>
    </w:p>
    <w:p w14:paraId="53A93F91" w14:textId="77777777" w:rsidR="00314DF8" w:rsidRPr="00314DF8" w:rsidRDefault="00314DF8" w:rsidP="00314DF8">
      <w:pPr>
        <w:pStyle w:val="NormalWeb"/>
        <w:rPr>
          <w:lang w:val="en-GB"/>
        </w:rPr>
      </w:pPr>
      <w:r w:rsidRPr="00314DF8">
        <w:rPr>
          <w:lang w:val="en-GB"/>
        </w:rPr>
        <w:t xml:space="preserve">Raghunathan, K., Kannan, S., &amp; Quisumbing, A. R. (2019). Can women’s self-help groups improve access to information, decision-making, and agricultural practices? The Indian case. </w:t>
      </w:r>
      <w:r w:rsidRPr="00314DF8">
        <w:rPr>
          <w:rStyle w:val="Emphasis"/>
          <w:lang w:val="en-GB"/>
        </w:rPr>
        <w:t>Agricultural Economics, 50</w:t>
      </w:r>
      <w:r w:rsidRPr="00314DF8">
        <w:rPr>
          <w:lang w:val="en-GB"/>
        </w:rPr>
        <w:t xml:space="preserve">(5), 567–580. </w:t>
      </w:r>
      <w:hyperlink r:id="rId44" w:history="1">
        <w:r w:rsidRPr="00314DF8">
          <w:rPr>
            <w:rStyle w:val="Hyperlink"/>
            <w:rFonts w:eastAsiaTheme="majorEastAsia"/>
            <w:lang w:val="en-GB"/>
          </w:rPr>
          <w:t>https://doi.org/10.1111/agec.12510</w:t>
        </w:r>
      </w:hyperlink>
      <w:r w:rsidRPr="00314DF8">
        <w:rPr>
          <w:lang w:val="en-GB"/>
        </w:rPr>
        <w:t xml:space="preserve"> </w:t>
      </w:r>
    </w:p>
    <w:p w14:paraId="1EF88B00" w14:textId="77777777" w:rsidR="00314DF8" w:rsidRPr="00314DF8" w:rsidRDefault="00314DF8" w:rsidP="00314DF8">
      <w:pPr>
        <w:pStyle w:val="NormalWeb"/>
        <w:rPr>
          <w:lang w:val="en-GB"/>
        </w:rPr>
      </w:pPr>
      <w:r w:rsidRPr="00314DF8">
        <w:rPr>
          <w:lang w:val="en-GB"/>
        </w:rPr>
        <w:t>Rajagopal, N. (2020). Social impact of women SHGs: A study of NHGs of “</w:t>
      </w:r>
      <w:proofErr w:type="spellStart"/>
      <w:r w:rsidRPr="00314DF8">
        <w:rPr>
          <w:lang w:val="en-GB"/>
        </w:rPr>
        <w:t>Kudumbashree</w:t>
      </w:r>
      <w:proofErr w:type="spellEnd"/>
      <w:r w:rsidRPr="00314DF8">
        <w:rPr>
          <w:lang w:val="en-GB"/>
        </w:rPr>
        <w:t xml:space="preserve">” in Kerala. </w:t>
      </w:r>
      <w:r w:rsidRPr="00314DF8">
        <w:rPr>
          <w:rStyle w:val="Emphasis"/>
          <w:lang w:val="en-GB"/>
        </w:rPr>
        <w:t>Management and Labour Studies, 45</w:t>
      </w:r>
      <w:r w:rsidRPr="00314DF8">
        <w:rPr>
          <w:lang w:val="en-GB"/>
        </w:rPr>
        <w:t xml:space="preserve">(3), 317–336. </w:t>
      </w:r>
      <w:hyperlink r:id="rId45" w:history="1">
        <w:r w:rsidRPr="00314DF8">
          <w:rPr>
            <w:rStyle w:val="Hyperlink"/>
            <w:rFonts w:eastAsiaTheme="majorEastAsia"/>
            <w:lang w:val="en-GB"/>
          </w:rPr>
          <w:t>https://doi.org/10.1177/0258042X20922116</w:t>
        </w:r>
      </w:hyperlink>
      <w:r w:rsidRPr="00314DF8">
        <w:rPr>
          <w:lang w:val="en-GB"/>
        </w:rPr>
        <w:t xml:space="preserve"> </w:t>
      </w:r>
    </w:p>
    <w:p w14:paraId="3FF93300" w14:textId="77777777" w:rsidR="00314DF8" w:rsidRPr="00314DF8" w:rsidRDefault="00314DF8" w:rsidP="00314DF8">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 xml:space="preserve">Sahu, G. B. (2015). How effective is a self-help group led microfinance programme in empowering women? Evidence from rural India. </w:t>
      </w:r>
      <w:r w:rsidRPr="00314DF8">
        <w:rPr>
          <w:rFonts w:ascii="Times New Roman" w:eastAsia="Times New Roman" w:hAnsi="Times New Roman" w:cs="Times New Roman"/>
          <w:i/>
          <w:iCs/>
          <w:sz w:val="24"/>
          <w:szCs w:val="24"/>
        </w:rPr>
        <w:t>Journal of Asian and African Studies, 50</w:t>
      </w:r>
      <w:r w:rsidRPr="00314DF8">
        <w:rPr>
          <w:rFonts w:ascii="Times New Roman" w:eastAsia="Times New Roman" w:hAnsi="Times New Roman" w:cs="Times New Roman"/>
          <w:sz w:val="24"/>
          <w:szCs w:val="24"/>
        </w:rPr>
        <w:t xml:space="preserve">(5), 542–558. </w:t>
      </w:r>
      <w:hyperlink r:id="rId46" w:history="1">
        <w:r w:rsidRPr="00314DF8">
          <w:rPr>
            <w:rStyle w:val="Hyperlink"/>
            <w:rFonts w:ascii="Times New Roman" w:eastAsia="Times New Roman" w:hAnsi="Times New Roman" w:cs="Times New Roman"/>
            <w:sz w:val="24"/>
            <w:szCs w:val="24"/>
          </w:rPr>
          <w:t>https://doi.org/10.1177/0021909614548239</w:t>
        </w:r>
      </w:hyperlink>
      <w:r w:rsidRPr="00314DF8">
        <w:rPr>
          <w:rFonts w:ascii="Times New Roman" w:eastAsia="Times New Roman" w:hAnsi="Times New Roman" w:cs="Times New Roman"/>
          <w:sz w:val="24"/>
          <w:szCs w:val="24"/>
        </w:rPr>
        <w:t xml:space="preserve"> </w:t>
      </w:r>
    </w:p>
    <w:p w14:paraId="56266316" w14:textId="77777777" w:rsidR="00314DF8" w:rsidRPr="00314DF8" w:rsidRDefault="00314DF8" w:rsidP="00314DF8">
      <w:pPr>
        <w:pStyle w:val="NormalWeb"/>
        <w:rPr>
          <w:lang w:val="en-GB"/>
        </w:rPr>
      </w:pPr>
      <w:r w:rsidRPr="00314DF8">
        <w:rPr>
          <w:lang w:val="en-GB"/>
        </w:rPr>
        <w:t xml:space="preserve">Sanyal, P. (2009). From credit to collective action: The role of microfinance in promoting women’s social capital and normative influence. </w:t>
      </w:r>
      <w:r w:rsidRPr="00314DF8">
        <w:rPr>
          <w:rStyle w:val="Emphasis"/>
          <w:rFonts w:eastAsiaTheme="majorEastAsia"/>
          <w:lang w:val="en-GB"/>
        </w:rPr>
        <w:t>American Sociological Review, 74</w:t>
      </w:r>
      <w:r w:rsidRPr="00314DF8">
        <w:rPr>
          <w:lang w:val="en-GB"/>
        </w:rPr>
        <w:t xml:space="preserve">(4), 529–550. </w:t>
      </w:r>
      <w:hyperlink r:id="rId47" w:history="1">
        <w:r w:rsidRPr="00314DF8">
          <w:rPr>
            <w:rStyle w:val="Hyperlink"/>
            <w:rFonts w:eastAsiaTheme="majorEastAsia"/>
            <w:lang w:val="en-GB"/>
          </w:rPr>
          <w:t>https://doi.org/10.1177/000312240907400402</w:t>
        </w:r>
      </w:hyperlink>
      <w:r w:rsidRPr="00314DF8">
        <w:rPr>
          <w:lang w:val="en-GB"/>
        </w:rPr>
        <w:t xml:space="preserve"> </w:t>
      </w:r>
    </w:p>
    <w:p w14:paraId="19B425E6" w14:textId="77777777" w:rsidR="00314DF8" w:rsidRPr="00314DF8" w:rsidRDefault="00314DF8" w:rsidP="00314DF8">
      <w:pPr>
        <w:pStyle w:val="NormalWeb"/>
        <w:rPr>
          <w:lang w:val="en-GB"/>
        </w:rPr>
      </w:pPr>
      <w:r w:rsidRPr="00314DF8">
        <w:rPr>
          <w:lang w:val="en-GB"/>
        </w:rPr>
        <w:t xml:space="preserve">Sato, N., Shimamura, Y., &amp; </w:t>
      </w:r>
      <w:proofErr w:type="spellStart"/>
      <w:r w:rsidRPr="00314DF8">
        <w:rPr>
          <w:lang w:val="en-GB"/>
        </w:rPr>
        <w:t>Lastarria-Cornhiel</w:t>
      </w:r>
      <w:proofErr w:type="spellEnd"/>
      <w:r w:rsidRPr="00314DF8">
        <w:rPr>
          <w:lang w:val="en-GB"/>
        </w:rPr>
        <w:t xml:space="preserve">, S. (2022). The effects of women’s self-help group participation on domestic violence in Andhra Pradesh, India. </w:t>
      </w:r>
      <w:r w:rsidRPr="00314DF8">
        <w:rPr>
          <w:rStyle w:val="Emphasis"/>
          <w:lang w:val="en-GB"/>
        </w:rPr>
        <w:t>Feminist Economics, 28</w:t>
      </w:r>
      <w:r w:rsidRPr="00314DF8">
        <w:rPr>
          <w:lang w:val="en-GB"/>
        </w:rPr>
        <w:t xml:space="preserve">(1), 29–55. </w:t>
      </w:r>
      <w:hyperlink r:id="rId48" w:history="1">
        <w:r w:rsidRPr="00314DF8">
          <w:rPr>
            <w:rStyle w:val="Hyperlink"/>
            <w:rFonts w:eastAsiaTheme="majorEastAsia"/>
            <w:lang w:val="en-GB"/>
          </w:rPr>
          <w:t>https://doi.org/10.1080/13545701.2021.1987499</w:t>
        </w:r>
      </w:hyperlink>
      <w:r w:rsidRPr="00314DF8">
        <w:rPr>
          <w:lang w:val="en-GB"/>
        </w:rPr>
        <w:t xml:space="preserve"> </w:t>
      </w:r>
    </w:p>
    <w:p w14:paraId="2F1EB967" w14:textId="77777777" w:rsidR="00314DF8" w:rsidRPr="00314DF8" w:rsidRDefault="00314DF8" w:rsidP="00314DF8">
      <w:pPr>
        <w:pStyle w:val="NormalWeb"/>
        <w:rPr>
          <w:lang w:val="en-GB"/>
        </w:rPr>
      </w:pPr>
      <w:r w:rsidRPr="00314DF8">
        <w:rPr>
          <w:lang w:val="en-GB"/>
        </w:rPr>
        <w:t xml:space="preserve">Sinha, A., Parida, P. C., &amp; </w:t>
      </w:r>
      <w:proofErr w:type="spellStart"/>
      <w:r w:rsidRPr="00314DF8">
        <w:rPr>
          <w:lang w:val="en-GB"/>
        </w:rPr>
        <w:t>Baurah</w:t>
      </w:r>
      <w:proofErr w:type="spellEnd"/>
      <w:r w:rsidRPr="00314DF8">
        <w:rPr>
          <w:lang w:val="en-GB"/>
        </w:rPr>
        <w:t xml:space="preserve">, P. (2012). The impact of NABARD’s Self Help Group–Bank Linkage Programme on poverty and empowerment in India. </w:t>
      </w:r>
      <w:r w:rsidRPr="00314DF8">
        <w:rPr>
          <w:rStyle w:val="Emphasis"/>
          <w:lang w:val="en-GB"/>
        </w:rPr>
        <w:t>Contemporary South Asia, 20</w:t>
      </w:r>
      <w:r w:rsidRPr="00314DF8">
        <w:rPr>
          <w:lang w:val="en-GB"/>
        </w:rPr>
        <w:t xml:space="preserve">(4), 487–510. </w:t>
      </w:r>
      <w:hyperlink r:id="rId49" w:history="1">
        <w:r w:rsidRPr="00314DF8">
          <w:rPr>
            <w:rStyle w:val="Hyperlink"/>
            <w:rFonts w:eastAsiaTheme="majorEastAsia"/>
            <w:lang w:val="en-GB"/>
          </w:rPr>
          <w:t>https://doi.org/10.1080/09584935.2012.737306</w:t>
        </w:r>
      </w:hyperlink>
      <w:r w:rsidRPr="00314DF8">
        <w:rPr>
          <w:lang w:val="en-GB"/>
        </w:rPr>
        <w:t xml:space="preserve"> </w:t>
      </w:r>
    </w:p>
    <w:p w14:paraId="48BB7DE2" w14:textId="77777777" w:rsidR="00314DF8" w:rsidRPr="00314DF8" w:rsidRDefault="00314DF8" w:rsidP="00314DF8">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 xml:space="preserve">Surendran Padmaja, S., Aditya, K. S., Trivedi, P., &amp; Srinivas, K. (2023). Women self-help groups and intra-household decision-making in agriculture. </w:t>
      </w:r>
      <w:r w:rsidRPr="00314DF8">
        <w:rPr>
          <w:rFonts w:ascii="Times New Roman" w:eastAsia="Times New Roman" w:hAnsi="Times New Roman" w:cs="Times New Roman"/>
          <w:i/>
          <w:iCs/>
          <w:sz w:val="24"/>
          <w:szCs w:val="24"/>
        </w:rPr>
        <w:t>Annals of Public and Cooperative Economics, 94</w:t>
      </w:r>
      <w:r w:rsidRPr="00314DF8">
        <w:rPr>
          <w:rFonts w:ascii="Times New Roman" w:eastAsia="Times New Roman" w:hAnsi="Times New Roman" w:cs="Times New Roman"/>
          <w:sz w:val="24"/>
          <w:szCs w:val="24"/>
        </w:rPr>
        <w:t xml:space="preserve">(3), 857–876. </w:t>
      </w:r>
      <w:hyperlink r:id="rId50" w:history="1">
        <w:r w:rsidRPr="00314DF8">
          <w:rPr>
            <w:rStyle w:val="Hyperlink"/>
            <w:rFonts w:ascii="Times New Roman" w:eastAsia="Times New Roman" w:hAnsi="Times New Roman" w:cs="Times New Roman"/>
            <w:sz w:val="24"/>
            <w:szCs w:val="24"/>
          </w:rPr>
          <w:t>https://doi.org/10.1111/apce.12442</w:t>
        </w:r>
      </w:hyperlink>
      <w:r w:rsidRPr="00314DF8">
        <w:rPr>
          <w:rFonts w:ascii="Times New Roman" w:eastAsia="Times New Roman" w:hAnsi="Times New Roman" w:cs="Times New Roman"/>
          <w:sz w:val="24"/>
          <w:szCs w:val="24"/>
        </w:rPr>
        <w:t xml:space="preserve"> </w:t>
      </w:r>
    </w:p>
    <w:p w14:paraId="5BD91C4B" w14:textId="77777777" w:rsidR="00314DF8" w:rsidRPr="00314DF8" w:rsidRDefault="00314DF8" w:rsidP="00314DF8">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lastRenderedPageBreak/>
        <w:t xml:space="preserve">Swain, R. B., &amp; Wallentin, F. Y. (2009). Does microfinance empower women? Evidence from self-help groups in India. </w:t>
      </w:r>
      <w:r w:rsidRPr="00314DF8">
        <w:rPr>
          <w:rFonts w:ascii="Times New Roman" w:eastAsia="Times New Roman" w:hAnsi="Times New Roman" w:cs="Times New Roman"/>
          <w:i/>
          <w:iCs/>
          <w:sz w:val="24"/>
          <w:szCs w:val="24"/>
        </w:rPr>
        <w:t>International Review of Applied Economics, 23</w:t>
      </w:r>
      <w:r w:rsidRPr="00314DF8">
        <w:rPr>
          <w:rFonts w:ascii="Times New Roman" w:eastAsia="Times New Roman" w:hAnsi="Times New Roman" w:cs="Times New Roman"/>
          <w:sz w:val="24"/>
          <w:szCs w:val="24"/>
        </w:rPr>
        <w:t xml:space="preserve">(5), 541–556. </w:t>
      </w:r>
      <w:hyperlink r:id="rId51" w:history="1">
        <w:r w:rsidRPr="00314DF8">
          <w:rPr>
            <w:rStyle w:val="Hyperlink"/>
            <w:rFonts w:ascii="Times New Roman" w:eastAsia="Times New Roman" w:hAnsi="Times New Roman" w:cs="Times New Roman"/>
            <w:sz w:val="24"/>
            <w:szCs w:val="24"/>
          </w:rPr>
          <w:t>https://doi.org/10.1080/02692170903007540</w:t>
        </w:r>
      </w:hyperlink>
      <w:r w:rsidRPr="00314DF8">
        <w:rPr>
          <w:rFonts w:ascii="Times New Roman" w:eastAsia="Times New Roman" w:hAnsi="Times New Roman" w:cs="Times New Roman"/>
          <w:sz w:val="24"/>
          <w:szCs w:val="24"/>
        </w:rPr>
        <w:t xml:space="preserve">  </w:t>
      </w:r>
    </w:p>
    <w:p w14:paraId="331F573E" w14:textId="77777777" w:rsidR="00314DF8" w:rsidRPr="00314DF8" w:rsidRDefault="00314DF8" w:rsidP="00314DF8">
      <w:pPr>
        <w:spacing w:before="100" w:beforeAutospacing="1" w:after="100" w:afterAutospacing="1" w:line="240" w:lineRule="auto"/>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 xml:space="preserve">Swain, R. B., &amp; Wallentin, F. Y. (2012). Factors empowering women in Indian self-help group programs. </w:t>
      </w:r>
      <w:r w:rsidRPr="00314DF8">
        <w:rPr>
          <w:rFonts w:ascii="Times New Roman" w:eastAsia="Times New Roman" w:hAnsi="Times New Roman" w:cs="Times New Roman"/>
          <w:i/>
          <w:iCs/>
          <w:sz w:val="24"/>
          <w:szCs w:val="24"/>
        </w:rPr>
        <w:t>International Review of Applied Economics, 26</w:t>
      </w:r>
      <w:r w:rsidRPr="00314DF8">
        <w:rPr>
          <w:rFonts w:ascii="Times New Roman" w:eastAsia="Times New Roman" w:hAnsi="Times New Roman" w:cs="Times New Roman"/>
          <w:sz w:val="24"/>
          <w:szCs w:val="24"/>
        </w:rPr>
        <w:t xml:space="preserve">(4), 425–444. </w:t>
      </w:r>
      <w:hyperlink r:id="rId52" w:history="1">
        <w:r w:rsidRPr="00314DF8">
          <w:rPr>
            <w:rStyle w:val="Hyperlink"/>
            <w:rFonts w:ascii="Times New Roman" w:eastAsia="Times New Roman" w:hAnsi="Times New Roman" w:cs="Times New Roman"/>
            <w:sz w:val="24"/>
            <w:szCs w:val="24"/>
          </w:rPr>
          <w:t>https://doi.org/10.1080/02692171.2011.595398</w:t>
        </w:r>
      </w:hyperlink>
      <w:r w:rsidRPr="00314DF8">
        <w:rPr>
          <w:rFonts w:ascii="Times New Roman" w:eastAsia="Times New Roman" w:hAnsi="Times New Roman" w:cs="Times New Roman"/>
          <w:sz w:val="24"/>
          <w:szCs w:val="24"/>
        </w:rPr>
        <w:t xml:space="preserve"> </w:t>
      </w:r>
    </w:p>
    <w:p w14:paraId="5462B1E0" w14:textId="77777777" w:rsidR="00314DF8" w:rsidRPr="00314DF8" w:rsidRDefault="00314DF8" w:rsidP="00314DF8"/>
    <w:sectPr w:rsidR="00314DF8" w:rsidRPr="00314DF8" w:rsidSect="00CB6EB6">
      <w:headerReference w:type="even" r:id="rId53"/>
      <w:headerReference w:type="default" r:id="rId54"/>
      <w:footerReference w:type="even" r:id="rId55"/>
      <w:footerReference w:type="default" r:id="rId56"/>
      <w:headerReference w:type="first" r:id="rId57"/>
      <w:footerReference w:type="first" r:id="rId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0B209" w14:textId="77777777" w:rsidR="006410DD" w:rsidRDefault="006410DD" w:rsidP="0061212F">
      <w:pPr>
        <w:spacing w:after="0" w:line="240" w:lineRule="auto"/>
      </w:pPr>
      <w:r>
        <w:separator/>
      </w:r>
    </w:p>
  </w:endnote>
  <w:endnote w:type="continuationSeparator" w:id="0">
    <w:p w14:paraId="2BFDF6BF" w14:textId="77777777" w:rsidR="006410DD" w:rsidRDefault="006410DD" w:rsidP="00612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E5CC" w14:textId="77777777" w:rsidR="0061212F" w:rsidRDefault="006121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5ACDC" w14:textId="77777777" w:rsidR="0061212F" w:rsidRDefault="006121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3316A" w14:textId="77777777" w:rsidR="0061212F" w:rsidRDefault="006121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54575" w14:textId="77777777" w:rsidR="006410DD" w:rsidRDefault="006410DD" w:rsidP="0061212F">
      <w:pPr>
        <w:spacing w:after="0" w:line="240" w:lineRule="auto"/>
      </w:pPr>
      <w:r>
        <w:separator/>
      </w:r>
    </w:p>
  </w:footnote>
  <w:footnote w:type="continuationSeparator" w:id="0">
    <w:p w14:paraId="6970F952" w14:textId="77777777" w:rsidR="006410DD" w:rsidRDefault="006410DD" w:rsidP="00612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A4899" w14:textId="10210193" w:rsidR="0061212F" w:rsidRDefault="0061212F">
    <w:pPr>
      <w:pStyle w:val="Header"/>
    </w:pPr>
    <w:r>
      <w:rPr>
        <w:noProof/>
      </w:rPr>
      <w:pict w14:anchorId="6F64F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745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C3E96" w14:textId="3998F466" w:rsidR="0061212F" w:rsidRDefault="0061212F">
    <w:pPr>
      <w:pStyle w:val="Header"/>
    </w:pPr>
    <w:r>
      <w:rPr>
        <w:noProof/>
      </w:rPr>
      <w:pict w14:anchorId="0C5F28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745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C3CB7" w14:textId="0EF98263" w:rsidR="0061212F" w:rsidRDefault="0061212F">
    <w:pPr>
      <w:pStyle w:val="Header"/>
    </w:pPr>
    <w:r>
      <w:rPr>
        <w:noProof/>
      </w:rPr>
      <w:pict w14:anchorId="0FB788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745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22E3E"/>
    <w:multiLevelType w:val="hybridMultilevel"/>
    <w:tmpl w:val="7D106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04365"/>
    <w:multiLevelType w:val="multilevel"/>
    <w:tmpl w:val="87EC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0200D"/>
    <w:multiLevelType w:val="hybridMultilevel"/>
    <w:tmpl w:val="A7D06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987644"/>
    <w:multiLevelType w:val="multilevel"/>
    <w:tmpl w:val="CA1645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C44D77"/>
    <w:multiLevelType w:val="hybridMultilevel"/>
    <w:tmpl w:val="43EC3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2046C4"/>
    <w:multiLevelType w:val="hybridMultilevel"/>
    <w:tmpl w:val="1AD01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7440F3"/>
    <w:multiLevelType w:val="multilevel"/>
    <w:tmpl w:val="F6B62F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316582"/>
    <w:multiLevelType w:val="hybridMultilevel"/>
    <w:tmpl w:val="11F66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6A4162"/>
    <w:multiLevelType w:val="multilevel"/>
    <w:tmpl w:val="13F4E1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163D49"/>
    <w:multiLevelType w:val="hybridMultilevel"/>
    <w:tmpl w:val="D95A1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9A75C9"/>
    <w:multiLevelType w:val="multilevel"/>
    <w:tmpl w:val="DAEC2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D32207"/>
    <w:multiLevelType w:val="hybridMultilevel"/>
    <w:tmpl w:val="5296C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282772"/>
    <w:multiLevelType w:val="hybridMultilevel"/>
    <w:tmpl w:val="DD00C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FD61FA"/>
    <w:multiLevelType w:val="hybridMultilevel"/>
    <w:tmpl w:val="0256E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760084"/>
    <w:multiLevelType w:val="multilevel"/>
    <w:tmpl w:val="FFAE51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49545A"/>
    <w:multiLevelType w:val="multilevel"/>
    <w:tmpl w:val="97EE0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D53CC7"/>
    <w:multiLevelType w:val="multilevel"/>
    <w:tmpl w:val="AA786B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2"/>
  </w:num>
  <w:num w:numId="3">
    <w:abstractNumId w:val="5"/>
  </w:num>
  <w:num w:numId="4">
    <w:abstractNumId w:val="4"/>
  </w:num>
  <w:num w:numId="5">
    <w:abstractNumId w:val="10"/>
  </w:num>
  <w:num w:numId="6">
    <w:abstractNumId w:val="3"/>
  </w:num>
  <w:num w:numId="7">
    <w:abstractNumId w:val="11"/>
  </w:num>
  <w:num w:numId="8">
    <w:abstractNumId w:val="7"/>
  </w:num>
  <w:num w:numId="9">
    <w:abstractNumId w:val="2"/>
  </w:num>
  <w:num w:numId="10">
    <w:abstractNumId w:val="0"/>
  </w:num>
  <w:num w:numId="11">
    <w:abstractNumId w:val="13"/>
  </w:num>
  <w:num w:numId="12">
    <w:abstractNumId w:val="6"/>
  </w:num>
  <w:num w:numId="13">
    <w:abstractNumId w:val="9"/>
  </w:num>
  <w:num w:numId="14">
    <w:abstractNumId w:val="15"/>
  </w:num>
  <w:num w:numId="15">
    <w:abstractNumId w:val="16"/>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30C1"/>
    <w:rsid w:val="000216AD"/>
    <w:rsid w:val="000737BC"/>
    <w:rsid w:val="00075E21"/>
    <w:rsid w:val="0010713E"/>
    <w:rsid w:val="00193A52"/>
    <w:rsid w:val="001C7D1B"/>
    <w:rsid w:val="00242B5B"/>
    <w:rsid w:val="00270A69"/>
    <w:rsid w:val="0031000F"/>
    <w:rsid w:val="00314DF8"/>
    <w:rsid w:val="00355D51"/>
    <w:rsid w:val="003975AE"/>
    <w:rsid w:val="003A104D"/>
    <w:rsid w:val="0040321A"/>
    <w:rsid w:val="00421FB8"/>
    <w:rsid w:val="00436117"/>
    <w:rsid w:val="004C6311"/>
    <w:rsid w:val="004D7303"/>
    <w:rsid w:val="004F30C1"/>
    <w:rsid w:val="005D3956"/>
    <w:rsid w:val="0061212F"/>
    <w:rsid w:val="006410DD"/>
    <w:rsid w:val="006652ED"/>
    <w:rsid w:val="006E6395"/>
    <w:rsid w:val="00745B39"/>
    <w:rsid w:val="007C65E1"/>
    <w:rsid w:val="007E135D"/>
    <w:rsid w:val="00823A48"/>
    <w:rsid w:val="008E36B7"/>
    <w:rsid w:val="00952535"/>
    <w:rsid w:val="0097607C"/>
    <w:rsid w:val="00A051C7"/>
    <w:rsid w:val="00A2270F"/>
    <w:rsid w:val="00A84EE2"/>
    <w:rsid w:val="00A948AB"/>
    <w:rsid w:val="00AA36BD"/>
    <w:rsid w:val="00AE6351"/>
    <w:rsid w:val="00B02744"/>
    <w:rsid w:val="00B14423"/>
    <w:rsid w:val="00B25523"/>
    <w:rsid w:val="00B320B9"/>
    <w:rsid w:val="00BA0CA5"/>
    <w:rsid w:val="00BB7A21"/>
    <w:rsid w:val="00BF260A"/>
    <w:rsid w:val="00C379C1"/>
    <w:rsid w:val="00C60074"/>
    <w:rsid w:val="00C751D8"/>
    <w:rsid w:val="00C843BB"/>
    <w:rsid w:val="00CB6EB6"/>
    <w:rsid w:val="00D11754"/>
    <w:rsid w:val="00D402D4"/>
    <w:rsid w:val="00D4200B"/>
    <w:rsid w:val="00D462D2"/>
    <w:rsid w:val="00D75C9D"/>
    <w:rsid w:val="00DF746A"/>
    <w:rsid w:val="00E669FA"/>
    <w:rsid w:val="00E75547"/>
    <w:rsid w:val="00E8564D"/>
    <w:rsid w:val="00E96F0F"/>
    <w:rsid w:val="00EA45AB"/>
    <w:rsid w:val="00EB0F54"/>
    <w:rsid w:val="00EF0A23"/>
    <w:rsid w:val="00F50D2E"/>
    <w:rsid w:val="00F6047F"/>
    <w:rsid w:val="00FB6475"/>
    <w:rsid w:val="00FD0F73"/>
    <w:rsid w:val="00FD2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F98634"/>
  <w15:docId w15:val="{90247963-5DFC-4DBB-B22B-5543BB56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30C1"/>
  </w:style>
  <w:style w:type="paragraph" w:styleId="Heading1">
    <w:name w:val="heading 1"/>
    <w:basedOn w:val="Normal"/>
    <w:next w:val="Normal"/>
    <w:link w:val="Heading1Char"/>
    <w:uiPriority w:val="9"/>
    <w:qFormat/>
    <w:rsid w:val="00AE635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FD20B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C6007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unhideWhenUsed/>
    <w:qFormat/>
    <w:rsid w:val="006E6395"/>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7C65E1"/>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60074"/>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C6007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C60074"/>
    <w:rPr>
      <w:i/>
      <w:iCs/>
    </w:rPr>
  </w:style>
  <w:style w:type="character" w:customStyle="1" w:styleId="ms-1">
    <w:name w:val="ms-1"/>
    <w:basedOn w:val="DefaultParagraphFont"/>
    <w:rsid w:val="00B02744"/>
  </w:style>
  <w:style w:type="character" w:customStyle="1" w:styleId="max-w-15ch">
    <w:name w:val="max-w-[15ch]"/>
    <w:basedOn w:val="DefaultParagraphFont"/>
    <w:rsid w:val="00B02744"/>
  </w:style>
  <w:style w:type="character" w:customStyle="1" w:styleId="-me-1">
    <w:name w:val="-me-1"/>
    <w:basedOn w:val="DefaultParagraphFont"/>
    <w:rsid w:val="00B02744"/>
  </w:style>
  <w:style w:type="character" w:customStyle="1" w:styleId="Heading2Char">
    <w:name w:val="Heading 2 Char"/>
    <w:basedOn w:val="DefaultParagraphFont"/>
    <w:link w:val="Heading2"/>
    <w:uiPriority w:val="9"/>
    <w:rsid w:val="00FD20B9"/>
    <w:rPr>
      <w:rFonts w:asciiTheme="majorHAnsi" w:eastAsiaTheme="majorEastAsia" w:hAnsiTheme="majorHAnsi" w:cstheme="majorBidi"/>
      <w:b/>
      <w:bCs/>
      <w:color w:val="4472C4" w:themeColor="accent1"/>
      <w:sz w:val="26"/>
      <w:szCs w:val="26"/>
    </w:rPr>
  </w:style>
  <w:style w:type="character" w:styleId="Strong">
    <w:name w:val="Strong"/>
    <w:basedOn w:val="DefaultParagraphFont"/>
    <w:uiPriority w:val="22"/>
    <w:qFormat/>
    <w:rsid w:val="00D462D2"/>
    <w:rPr>
      <w:b/>
      <w:bCs/>
    </w:rPr>
  </w:style>
  <w:style w:type="paragraph" w:styleId="ListParagraph">
    <w:name w:val="List Paragraph"/>
    <w:basedOn w:val="Normal"/>
    <w:uiPriority w:val="34"/>
    <w:qFormat/>
    <w:rsid w:val="008E36B7"/>
    <w:pPr>
      <w:ind w:left="720"/>
      <w:contextualSpacing/>
    </w:pPr>
  </w:style>
  <w:style w:type="character" w:customStyle="1" w:styleId="Heading1Char">
    <w:name w:val="Heading 1 Char"/>
    <w:basedOn w:val="DefaultParagraphFont"/>
    <w:link w:val="Heading1"/>
    <w:uiPriority w:val="9"/>
    <w:rsid w:val="00AE6351"/>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unhideWhenUsed/>
    <w:rsid w:val="00AE6351"/>
    <w:rPr>
      <w:color w:val="0000FF"/>
      <w:u w:val="single"/>
    </w:rPr>
  </w:style>
  <w:style w:type="character" w:customStyle="1" w:styleId="Heading4Char">
    <w:name w:val="Heading 4 Char"/>
    <w:basedOn w:val="DefaultParagraphFont"/>
    <w:link w:val="Heading4"/>
    <w:uiPriority w:val="9"/>
    <w:rsid w:val="006E6395"/>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BA0CA5"/>
    <w:pPr>
      <w:spacing w:line="276" w:lineRule="auto"/>
      <w:outlineLvl w:val="9"/>
    </w:pPr>
    <w:rPr>
      <w:lang w:val="en-US"/>
    </w:rPr>
  </w:style>
  <w:style w:type="paragraph" w:styleId="TOC1">
    <w:name w:val="toc 1"/>
    <w:basedOn w:val="Normal"/>
    <w:next w:val="Normal"/>
    <w:autoRedefine/>
    <w:uiPriority w:val="39"/>
    <w:unhideWhenUsed/>
    <w:rsid w:val="00BA0CA5"/>
    <w:pPr>
      <w:spacing w:after="100"/>
    </w:pPr>
  </w:style>
  <w:style w:type="paragraph" w:styleId="TOC2">
    <w:name w:val="toc 2"/>
    <w:basedOn w:val="Normal"/>
    <w:next w:val="Normal"/>
    <w:autoRedefine/>
    <w:uiPriority w:val="39"/>
    <w:unhideWhenUsed/>
    <w:rsid w:val="00BA0CA5"/>
    <w:pPr>
      <w:spacing w:after="100"/>
      <w:ind w:left="220"/>
    </w:pPr>
  </w:style>
  <w:style w:type="paragraph" w:styleId="TOC3">
    <w:name w:val="toc 3"/>
    <w:basedOn w:val="Normal"/>
    <w:next w:val="Normal"/>
    <w:autoRedefine/>
    <w:uiPriority w:val="39"/>
    <w:unhideWhenUsed/>
    <w:rsid w:val="00BA0CA5"/>
    <w:pPr>
      <w:spacing w:after="100"/>
      <w:ind w:left="440"/>
    </w:pPr>
  </w:style>
  <w:style w:type="paragraph" w:styleId="BalloonText">
    <w:name w:val="Balloon Text"/>
    <w:basedOn w:val="Normal"/>
    <w:link w:val="BalloonTextChar"/>
    <w:uiPriority w:val="99"/>
    <w:semiHidden/>
    <w:unhideWhenUsed/>
    <w:rsid w:val="00BA0C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CA5"/>
    <w:rPr>
      <w:rFonts w:ascii="Tahoma" w:hAnsi="Tahoma" w:cs="Tahoma"/>
      <w:sz w:val="16"/>
      <w:szCs w:val="16"/>
    </w:rPr>
  </w:style>
  <w:style w:type="character" w:customStyle="1" w:styleId="Heading5Char">
    <w:name w:val="Heading 5 Char"/>
    <w:basedOn w:val="DefaultParagraphFont"/>
    <w:link w:val="Heading5"/>
    <w:uiPriority w:val="9"/>
    <w:semiHidden/>
    <w:rsid w:val="007C65E1"/>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612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12F"/>
  </w:style>
  <w:style w:type="paragraph" w:styleId="Footer">
    <w:name w:val="footer"/>
    <w:basedOn w:val="Normal"/>
    <w:link w:val="FooterChar"/>
    <w:uiPriority w:val="99"/>
    <w:unhideWhenUsed/>
    <w:rsid w:val="00612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90979">
      <w:bodyDiv w:val="1"/>
      <w:marLeft w:val="0"/>
      <w:marRight w:val="0"/>
      <w:marTop w:val="0"/>
      <w:marBottom w:val="0"/>
      <w:divBdr>
        <w:top w:val="none" w:sz="0" w:space="0" w:color="auto"/>
        <w:left w:val="none" w:sz="0" w:space="0" w:color="auto"/>
        <w:bottom w:val="none" w:sz="0" w:space="0" w:color="auto"/>
        <w:right w:val="none" w:sz="0" w:space="0" w:color="auto"/>
      </w:divBdr>
    </w:div>
    <w:div w:id="171605149">
      <w:bodyDiv w:val="1"/>
      <w:marLeft w:val="0"/>
      <w:marRight w:val="0"/>
      <w:marTop w:val="0"/>
      <w:marBottom w:val="0"/>
      <w:divBdr>
        <w:top w:val="none" w:sz="0" w:space="0" w:color="auto"/>
        <w:left w:val="none" w:sz="0" w:space="0" w:color="auto"/>
        <w:bottom w:val="none" w:sz="0" w:space="0" w:color="auto"/>
        <w:right w:val="none" w:sz="0" w:space="0" w:color="auto"/>
      </w:divBdr>
    </w:div>
    <w:div w:id="232199047">
      <w:bodyDiv w:val="1"/>
      <w:marLeft w:val="0"/>
      <w:marRight w:val="0"/>
      <w:marTop w:val="0"/>
      <w:marBottom w:val="0"/>
      <w:divBdr>
        <w:top w:val="none" w:sz="0" w:space="0" w:color="auto"/>
        <w:left w:val="none" w:sz="0" w:space="0" w:color="auto"/>
        <w:bottom w:val="none" w:sz="0" w:space="0" w:color="auto"/>
        <w:right w:val="none" w:sz="0" w:space="0" w:color="auto"/>
      </w:divBdr>
    </w:div>
    <w:div w:id="276107465">
      <w:bodyDiv w:val="1"/>
      <w:marLeft w:val="0"/>
      <w:marRight w:val="0"/>
      <w:marTop w:val="0"/>
      <w:marBottom w:val="0"/>
      <w:divBdr>
        <w:top w:val="none" w:sz="0" w:space="0" w:color="auto"/>
        <w:left w:val="none" w:sz="0" w:space="0" w:color="auto"/>
        <w:bottom w:val="none" w:sz="0" w:space="0" w:color="auto"/>
        <w:right w:val="none" w:sz="0" w:space="0" w:color="auto"/>
      </w:divBdr>
    </w:div>
    <w:div w:id="279725977">
      <w:bodyDiv w:val="1"/>
      <w:marLeft w:val="0"/>
      <w:marRight w:val="0"/>
      <w:marTop w:val="0"/>
      <w:marBottom w:val="0"/>
      <w:divBdr>
        <w:top w:val="none" w:sz="0" w:space="0" w:color="auto"/>
        <w:left w:val="none" w:sz="0" w:space="0" w:color="auto"/>
        <w:bottom w:val="none" w:sz="0" w:space="0" w:color="auto"/>
        <w:right w:val="none" w:sz="0" w:space="0" w:color="auto"/>
      </w:divBdr>
    </w:div>
    <w:div w:id="308246895">
      <w:bodyDiv w:val="1"/>
      <w:marLeft w:val="0"/>
      <w:marRight w:val="0"/>
      <w:marTop w:val="0"/>
      <w:marBottom w:val="0"/>
      <w:divBdr>
        <w:top w:val="none" w:sz="0" w:space="0" w:color="auto"/>
        <w:left w:val="none" w:sz="0" w:space="0" w:color="auto"/>
        <w:bottom w:val="none" w:sz="0" w:space="0" w:color="auto"/>
        <w:right w:val="none" w:sz="0" w:space="0" w:color="auto"/>
      </w:divBdr>
    </w:div>
    <w:div w:id="309408786">
      <w:bodyDiv w:val="1"/>
      <w:marLeft w:val="0"/>
      <w:marRight w:val="0"/>
      <w:marTop w:val="0"/>
      <w:marBottom w:val="0"/>
      <w:divBdr>
        <w:top w:val="none" w:sz="0" w:space="0" w:color="auto"/>
        <w:left w:val="none" w:sz="0" w:space="0" w:color="auto"/>
        <w:bottom w:val="none" w:sz="0" w:space="0" w:color="auto"/>
        <w:right w:val="none" w:sz="0" w:space="0" w:color="auto"/>
      </w:divBdr>
    </w:div>
    <w:div w:id="317852689">
      <w:bodyDiv w:val="1"/>
      <w:marLeft w:val="0"/>
      <w:marRight w:val="0"/>
      <w:marTop w:val="0"/>
      <w:marBottom w:val="0"/>
      <w:divBdr>
        <w:top w:val="none" w:sz="0" w:space="0" w:color="auto"/>
        <w:left w:val="none" w:sz="0" w:space="0" w:color="auto"/>
        <w:bottom w:val="none" w:sz="0" w:space="0" w:color="auto"/>
        <w:right w:val="none" w:sz="0" w:space="0" w:color="auto"/>
      </w:divBdr>
    </w:div>
    <w:div w:id="404107360">
      <w:bodyDiv w:val="1"/>
      <w:marLeft w:val="0"/>
      <w:marRight w:val="0"/>
      <w:marTop w:val="0"/>
      <w:marBottom w:val="0"/>
      <w:divBdr>
        <w:top w:val="none" w:sz="0" w:space="0" w:color="auto"/>
        <w:left w:val="none" w:sz="0" w:space="0" w:color="auto"/>
        <w:bottom w:val="none" w:sz="0" w:space="0" w:color="auto"/>
        <w:right w:val="none" w:sz="0" w:space="0" w:color="auto"/>
      </w:divBdr>
    </w:div>
    <w:div w:id="426385722">
      <w:bodyDiv w:val="1"/>
      <w:marLeft w:val="0"/>
      <w:marRight w:val="0"/>
      <w:marTop w:val="0"/>
      <w:marBottom w:val="0"/>
      <w:divBdr>
        <w:top w:val="none" w:sz="0" w:space="0" w:color="auto"/>
        <w:left w:val="none" w:sz="0" w:space="0" w:color="auto"/>
        <w:bottom w:val="none" w:sz="0" w:space="0" w:color="auto"/>
        <w:right w:val="none" w:sz="0" w:space="0" w:color="auto"/>
      </w:divBdr>
    </w:div>
    <w:div w:id="432163637">
      <w:bodyDiv w:val="1"/>
      <w:marLeft w:val="0"/>
      <w:marRight w:val="0"/>
      <w:marTop w:val="0"/>
      <w:marBottom w:val="0"/>
      <w:divBdr>
        <w:top w:val="none" w:sz="0" w:space="0" w:color="auto"/>
        <w:left w:val="none" w:sz="0" w:space="0" w:color="auto"/>
        <w:bottom w:val="none" w:sz="0" w:space="0" w:color="auto"/>
        <w:right w:val="none" w:sz="0" w:space="0" w:color="auto"/>
      </w:divBdr>
    </w:div>
    <w:div w:id="462506679">
      <w:bodyDiv w:val="1"/>
      <w:marLeft w:val="0"/>
      <w:marRight w:val="0"/>
      <w:marTop w:val="0"/>
      <w:marBottom w:val="0"/>
      <w:divBdr>
        <w:top w:val="none" w:sz="0" w:space="0" w:color="auto"/>
        <w:left w:val="none" w:sz="0" w:space="0" w:color="auto"/>
        <w:bottom w:val="none" w:sz="0" w:space="0" w:color="auto"/>
        <w:right w:val="none" w:sz="0" w:space="0" w:color="auto"/>
      </w:divBdr>
    </w:div>
    <w:div w:id="505097272">
      <w:bodyDiv w:val="1"/>
      <w:marLeft w:val="0"/>
      <w:marRight w:val="0"/>
      <w:marTop w:val="0"/>
      <w:marBottom w:val="0"/>
      <w:divBdr>
        <w:top w:val="none" w:sz="0" w:space="0" w:color="auto"/>
        <w:left w:val="none" w:sz="0" w:space="0" w:color="auto"/>
        <w:bottom w:val="none" w:sz="0" w:space="0" w:color="auto"/>
        <w:right w:val="none" w:sz="0" w:space="0" w:color="auto"/>
      </w:divBdr>
    </w:div>
    <w:div w:id="550730937">
      <w:bodyDiv w:val="1"/>
      <w:marLeft w:val="0"/>
      <w:marRight w:val="0"/>
      <w:marTop w:val="0"/>
      <w:marBottom w:val="0"/>
      <w:divBdr>
        <w:top w:val="none" w:sz="0" w:space="0" w:color="auto"/>
        <w:left w:val="none" w:sz="0" w:space="0" w:color="auto"/>
        <w:bottom w:val="none" w:sz="0" w:space="0" w:color="auto"/>
        <w:right w:val="none" w:sz="0" w:space="0" w:color="auto"/>
      </w:divBdr>
    </w:div>
    <w:div w:id="658657362">
      <w:bodyDiv w:val="1"/>
      <w:marLeft w:val="0"/>
      <w:marRight w:val="0"/>
      <w:marTop w:val="0"/>
      <w:marBottom w:val="0"/>
      <w:divBdr>
        <w:top w:val="none" w:sz="0" w:space="0" w:color="auto"/>
        <w:left w:val="none" w:sz="0" w:space="0" w:color="auto"/>
        <w:bottom w:val="none" w:sz="0" w:space="0" w:color="auto"/>
        <w:right w:val="none" w:sz="0" w:space="0" w:color="auto"/>
      </w:divBdr>
    </w:div>
    <w:div w:id="666132531">
      <w:bodyDiv w:val="1"/>
      <w:marLeft w:val="0"/>
      <w:marRight w:val="0"/>
      <w:marTop w:val="0"/>
      <w:marBottom w:val="0"/>
      <w:divBdr>
        <w:top w:val="none" w:sz="0" w:space="0" w:color="auto"/>
        <w:left w:val="none" w:sz="0" w:space="0" w:color="auto"/>
        <w:bottom w:val="none" w:sz="0" w:space="0" w:color="auto"/>
        <w:right w:val="none" w:sz="0" w:space="0" w:color="auto"/>
      </w:divBdr>
    </w:div>
    <w:div w:id="725909279">
      <w:bodyDiv w:val="1"/>
      <w:marLeft w:val="0"/>
      <w:marRight w:val="0"/>
      <w:marTop w:val="0"/>
      <w:marBottom w:val="0"/>
      <w:divBdr>
        <w:top w:val="none" w:sz="0" w:space="0" w:color="auto"/>
        <w:left w:val="none" w:sz="0" w:space="0" w:color="auto"/>
        <w:bottom w:val="none" w:sz="0" w:space="0" w:color="auto"/>
        <w:right w:val="none" w:sz="0" w:space="0" w:color="auto"/>
      </w:divBdr>
    </w:div>
    <w:div w:id="763693881">
      <w:bodyDiv w:val="1"/>
      <w:marLeft w:val="0"/>
      <w:marRight w:val="0"/>
      <w:marTop w:val="0"/>
      <w:marBottom w:val="0"/>
      <w:divBdr>
        <w:top w:val="none" w:sz="0" w:space="0" w:color="auto"/>
        <w:left w:val="none" w:sz="0" w:space="0" w:color="auto"/>
        <w:bottom w:val="none" w:sz="0" w:space="0" w:color="auto"/>
        <w:right w:val="none" w:sz="0" w:space="0" w:color="auto"/>
      </w:divBdr>
    </w:div>
    <w:div w:id="771317155">
      <w:bodyDiv w:val="1"/>
      <w:marLeft w:val="0"/>
      <w:marRight w:val="0"/>
      <w:marTop w:val="0"/>
      <w:marBottom w:val="0"/>
      <w:divBdr>
        <w:top w:val="none" w:sz="0" w:space="0" w:color="auto"/>
        <w:left w:val="none" w:sz="0" w:space="0" w:color="auto"/>
        <w:bottom w:val="none" w:sz="0" w:space="0" w:color="auto"/>
        <w:right w:val="none" w:sz="0" w:space="0" w:color="auto"/>
      </w:divBdr>
      <w:divsChild>
        <w:div w:id="1214271018">
          <w:marLeft w:val="0"/>
          <w:marRight w:val="0"/>
          <w:marTop w:val="0"/>
          <w:marBottom w:val="0"/>
          <w:divBdr>
            <w:top w:val="none" w:sz="0" w:space="0" w:color="auto"/>
            <w:left w:val="none" w:sz="0" w:space="0" w:color="auto"/>
            <w:bottom w:val="none" w:sz="0" w:space="0" w:color="auto"/>
            <w:right w:val="none" w:sz="0" w:space="0" w:color="auto"/>
          </w:divBdr>
          <w:divsChild>
            <w:div w:id="9723359">
              <w:marLeft w:val="0"/>
              <w:marRight w:val="0"/>
              <w:marTop w:val="0"/>
              <w:marBottom w:val="0"/>
              <w:divBdr>
                <w:top w:val="none" w:sz="0" w:space="0" w:color="auto"/>
                <w:left w:val="none" w:sz="0" w:space="0" w:color="auto"/>
                <w:bottom w:val="none" w:sz="0" w:space="0" w:color="auto"/>
                <w:right w:val="none" w:sz="0" w:space="0" w:color="auto"/>
              </w:divBdr>
              <w:divsChild>
                <w:div w:id="1191841656">
                  <w:marLeft w:val="0"/>
                  <w:marRight w:val="0"/>
                  <w:marTop w:val="0"/>
                  <w:marBottom w:val="0"/>
                  <w:divBdr>
                    <w:top w:val="none" w:sz="0" w:space="0" w:color="auto"/>
                    <w:left w:val="none" w:sz="0" w:space="0" w:color="auto"/>
                    <w:bottom w:val="none" w:sz="0" w:space="0" w:color="auto"/>
                    <w:right w:val="none" w:sz="0" w:space="0" w:color="auto"/>
                  </w:divBdr>
                  <w:divsChild>
                    <w:div w:id="1296526479">
                      <w:marLeft w:val="0"/>
                      <w:marRight w:val="0"/>
                      <w:marTop w:val="0"/>
                      <w:marBottom w:val="0"/>
                      <w:divBdr>
                        <w:top w:val="none" w:sz="0" w:space="0" w:color="auto"/>
                        <w:left w:val="none" w:sz="0" w:space="0" w:color="auto"/>
                        <w:bottom w:val="none" w:sz="0" w:space="0" w:color="auto"/>
                        <w:right w:val="none" w:sz="0" w:space="0" w:color="auto"/>
                      </w:divBdr>
                      <w:divsChild>
                        <w:div w:id="1729302568">
                          <w:marLeft w:val="0"/>
                          <w:marRight w:val="0"/>
                          <w:marTop w:val="0"/>
                          <w:marBottom w:val="0"/>
                          <w:divBdr>
                            <w:top w:val="none" w:sz="0" w:space="0" w:color="auto"/>
                            <w:left w:val="none" w:sz="0" w:space="0" w:color="auto"/>
                            <w:bottom w:val="none" w:sz="0" w:space="0" w:color="auto"/>
                            <w:right w:val="none" w:sz="0" w:space="0" w:color="auto"/>
                          </w:divBdr>
                          <w:divsChild>
                            <w:div w:id="26562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01752">
      <w:bodyDiv w:val="1"/>
      <w:marLeft w:val="0"/>
      <w:marRight w:val="0"/>
      <w:marTop w:val="0"/>
      <w:marBottom w:val="0"/>
      <w:divBdr>
        <w:top w:val="none" w:sz="0" w:space="0" w:color="auto"/>
        <w:left w:val="none" w:sz="0" w:space="0" w:color="auto"/>
        <w:bottom w:val="none" w:sz="0" w:space="0" w:color="auto"/>
        <w:right w:val="none" w:sz="0" w:space="0" w:color="auto"/>
      </w:divBdr>
      <w:divsChild>
        <w:div w:id="1763598551">
          <w:marLeft w:val="0"/>
          <w:marRight w:val="0"/>
          <w:marTop w:val="0"/>
          <w:marBottom w:val="0"/>
          <w:divBdr>
            <w:top w:val="none" w:sz="0" w:space="0" w:color="auto"/>
            <w:left w:val="none" w:sz="0" w:space="0" w:color="auto"/>
            <w:bottom w:val="none" w:sz="0" w:space="0" w:color="auto"/>
            <w:right w:val="none" w:sz="0" w:space="0" w:color="auto"/>
          </w:divBdr>
          <w:divsChild>
            <w:div w:id="1716926280">
              <w:marLeft w:val="0"/>
              <w:marRight w:val="0"/>
              <w:marTop w:val="0"/>
              <w:marBottom w:val="0"/>
              <w:divBdr>
                <w:top w:val="none" w:sz="0" w:space="0" w:color="auto"/>
                <w:left w:val="none" w:sz="0" w:space="0" w:color="auto"/>
                <w:bottom w:val="none" w:sz="0" w:space="0" w:color="auto"/>
                <w:right w:val="none" w:sz="0" w:space="0" w:color="auto"/>
              </w:divBdr>
              <w:divsChild>
                <w:div w:id="600794862">
                  <w:marLeft w:val="0"/>
                  <w:marRight w:val="0"/>
                  <w:marTop w:val="0"/>
                  <w:marBottom w:val="0"/>
                  <w:divBdr>
                    <w:top w:val="none" w:sz="0" w:space="0" w:color="auto"/>
                    <w:left w:val="none" w:sz="0" w:space="0" w:color="auto"/>
                    <w:bottom w:val="none" w:sz="0" w:space="0" w:color="auto"/>
                    <w:right w:val="none" w:sz="0" w:space="0" w:color="auto"/>
                  </w:divBdr>
                  <w:divsChild>
                    <w:div w:id="1731801970">
                      <w:marLeft w:val="0"/>
                      <w:marRight w:val="0"/>
                      <w:marTop w:val="0"/>
                      <w:marBottom w:val="0"/>
                      <w:divBdr>
                        <w:top w:val="none" w:sz="0" w:space="0" w:color="auto"/>
                        <w:left w:val="none" w:sz="0" w:space="0" w:color="auto"/>
                        <w:bottom w:val="none" w:sz="0" w:space="0" w:color="auto"/>
                        <w:right w:val="none" w:sz="0" w:space="0" w:color="auto"/>
                      </w:divBdr>
                      <w:divsChild>
                        <w:div w:id="1499270264">
                          <w:marLeft w:val="0"/>
                          <w:marRight w:val="0"/>
                          <w:marTop w:val="0"/>
                          <w:marBottom w:val="0"/>
                          <w:divBdr>
                            <w:top w:val="none" w:sz="0" w:space="0" w:color="auto"/>
                            <w:left w:val="none" w:sz="0" w:space="0" w:color="auto"/>
                            <w:bottom w:val="none" w:sz="0" w:space="0" w:color="auto"/>
                            <w:right w:val="none" w:sz="0" w:space="0" w:color="auto"/>
                          </w:divBdr>
                          <w:divsChild>
                            <w:div w:id="16553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242771">
      <w:bodyDiv w:val="1"/>
      <w:marLeft w:val="0"/>
      <w:marRight w:val="0"/>
      <w:marTop w:val="0"/>
      <w:marBottom w:val="0"/>
      <w:divBdr>
        <w:top w:val="none" w:sz="0" w:space="0" w:color="auto"/>
        <w:left w:val="none" w:sz="0" w:space="0" w:color="auto"/>
        <w:bottom w:val="none" w:sz="0" w:space="0" w:color="auto"/>
        <w:right w:val="none" w:sz="0" w:space="0" w:color="auto"/>
      </w:divBdr>
    </w:div>
    <w:div w:id="982538002">
      <w:bodyDiv w:val="1"/>
      <w:marLeft w:val="0"/>
      <w:marRight w:val="0"/>
      <w:marTop w:val="0"/>
      <w:marBottom w:val="0"/>
      <w:divBdr>
        <w:top w:val="none" w:sz="0" w:space="0" w:color="auto"/>
        <w:left w:val="none" w:sz="0" w:space="0" w:color="auto"/>
        <w:bottom w:val="none" w:sz="0" w:space="0" w:color="auto"/>
        <w:right w:val="none" w:sz="0" w:space="0" w:color="auto"/>
      </w:divBdr>
    </w:div>
    <w:div w:id="1014113671">
      <w:bodyDiv w:val="1"/>
      <w:marLeft w:val="0"/>
      <w:marRight w:val="0"/>
      <w:marTop w:val="0"/>
      <w:marBottom w:val="0"/>
      <w:divBdr>
        <w:top w:val="none" w:sz="0" w:space="0" w:color="auto"/>
        <w:left w:val="none" w:sz="0" w:space="0" w:color="auto"/>
        <w:bottom w:val="none" w:sz="0" w:space="0" w:color="auto"/>
        <w:right w:val="none" w:sz="0" w:space="0" w:color="auto"/>
      </w:divBdr>
    </w:div>
    <w:div w:id="1152869072">
      <w:bodyDiv w:val="1"/>
      <w:marLeft w:val="0"/>
      <w:marRight w:val="0"/>
      <w:marTop w:val="0"/>
      <w:marBottom w:val="0"/>
      <w:divBdr>
        <w:top w:val="none" w:sz="0" w:space="0" w:color="auto"/>
        <w:left w:val="none" w:sz="0" w:space="0" w:color="auto"/>
        <w:bottom w:val="none" w:sz="0" w:space="0" w:color="auto"/>
        <w:right w:val="none" w:sz="0" w:space="0" w:color="auto"/>
      </w:divBdr>
    </w:div>
    <w:div w:id="1159888391">
      <w:bodyDiv w:val="1"/>
      <w:marLeft w:val="0"/>
      <w:marRight w:val="0"/>
      <w:marTop w:val="0"/>
      <w:marBottom w:val="0"/>
      <w:divBdr>
        <w:top w:val="none" w:sz="0" w:space="0" w:color="auto"/>
        <w:left w:val="none" w:sz="0" w:space="0" w:color="auto"/>
        <w:bottom w:val="none" w:sz="0" w:space="0" w:color="auto"/>
        <w:right w:val="none" w:sz="0" w:space="0" w:color="auto"/>
      </w:divBdr>
    </w:div>
    <w:div w:id="1184711969">
      <w:bodyDiv w:val="1"/>
      <w:marLeft w:val="0"/>
      <w:marRight w:val="0"/>
      <w:marTop w:val="0"/>
      <w:marBottom w:val="0"/>
      <w:divBdr>
        <w:top w:val="none" w:sz="0" w:space="0" w:color="auto"/>
        <w:left w:val="none" w:sz="0" w:space="0" w:color="auto"/>
        <w:bottom w:val="none" w:sz="0" w:space="0" w:color="auto"/>
        <w:right w:val="none" w:sz="0" w:space="0" w:color="auto"/>
      </w:divBdr>
    </w:div>
    <w:div w:id="1250893676">
      <w:bodyDiv w:val="1"/>
      <w:marLeft w:val="0"/>
      <w:marRight w:val="0"/>
      <w:marTop w:val="0"/>
      <w:marBottom w:val="0"/>
      <w:divBdr>
        <w:top w:val="none" w:sz="0" w:space="0" w:color="auto"/>
        <w:left w:val="none" w:sz="0" w:space="0" w:color="auto"/>
        <w:bottom w:val="none" w:sz="0" w:space="0" w:color="auto"/>
        <w:right w:val="none" w:sz="0" w:space="0" w:color="auto"/>
      </w:divBdr>
    </w:div>
    <w:div w:id="1294411575">
      <w:bodyDiv w:val="1"/>
      <w:marLeft w:val="0"/>
      <w:marRight w:val="0"/>
      <w:marTop w:val="0"/>
      <w:marBottom w:val="0"/>
      <w:divBdr>
        <w:top w:val="none" w:sz="0" w:space="0" w:color="auto"/>
        <w:left w:val="none" w:sz="0" w:space="0" w:color="auto"/>
        <w:bottom w:val="none" w:sz="0" w:space="0" w:color="auto"/>
        <w:right w:val="none" w:sz="0" w:space="0" w:color="auto"/>
      </w:divBdr>
    </w:div>
    <w:div w:id="1335187471">
      <w:bodyDiv w:val="1"/>
      <w:marLeft w:val="0"/>
      <w:marRight w:val="0"/>
      <w:marTop w:val="0"/>
      <w:marBottom w:val="0"/>
      <w:divBdr>
        <w:top w:val="none" w:sz="0" w:space="0" w:color="auto"/>
        <w:left w:val="none" w:sz="0" w:space="0" w:color="auto"/>
        <w:bottom w:val="none" w:sz="0" w:space="0" w:color="auto"/>
        <w:right w:val="none" w:sz="0" w:space="0" w:color="auto"/>
      </w:divBdr>
    </w:div>
    <w:div w:id="1382246597">
      <w:bodyDiv w:val="1"/>
      <w:marLeft w:val="0"/>
      <w:marRight w:val="0"/>
      <w:marTop w:val="0"/>
      <w:marBottom w:val="0"/>
      <w:divBdr>
        <w:top w:val="none" w:sz="0" w:space="0" w:color="auto"/>
        <w:left w:val="none" w:sz="0" w:space="0" w:color="auto"/>
        <w:bottom w:val="none" w:sz="0" w:space="0" w:color="auto"/>
        <w:right w:val="none" w:sz="0" w:space="0" w:color="auto"/>
      </w:divBdr>
    </w:div>
    <w:div w:id="1423405983">
      <w:bodyDiv w:val="1"/>
      <w:marLeft w:val="0"/>
      <w:marRight w:val="0"/>
      <w:marTop w:val="0"/>
      <w:marBottom w:val="0"/>
      <w:divBdr>
        <w:top w:val="none" w:sz="0" w:space="0" w:color="auto"/>
        <w:left w:val="none" w:sz="0" w:space="0" w:color="auto"/>
        <w:bottom w:val="none" w:sz="0" w:space="0" w:color="auto"/>
        <w:right w:val="none" w:sz="0" w:space="0" w:color="auto"/>
      </w:divBdr>
    </w:div>
    <w:div w:id="1576548829">
      <w:bodyDiv w:val="1"/>
      <w:marLeft w:val="0"/>
      <w:marRight w:val="0"/>
      <w:marTop w:val="0"/>
      <w:marBottom w:val="0"/>
      <w:divBdr>
        <w:top w:val="none" w:sz="0" w:space="0" w:color="auto"/>
        <w:left w:val="none" w:sz="0" w:space="0" w:color="auto"/>
        <w:bottom w:val="none" w:sz="0" w:space="0" w:color="auto"/>
        <w:right w:val="none" w:sz="0" w:space="0" w:color="auto"/>
      </w:divBdr>
    </w:div>
    <w:div w:id="1605839795">
      <w:bodyDiv w:val="1"/>
      <w:marLeft w:val="0"/>
      <w:marRight w:val="0"/>
      <w:marTop w:val="0"/>
      <w:marBottom w:val="0"/>
      <w:divBdr>
        <w:top w:val="none" w:sz="0" w:space="0" w:color="auto"/>
        <w:left w:val="none" w:sz="0" w:space="0" w:color="auto"/>
        <w:bottom w:val="none" w:sz="0" w:space="0" w:color="auto"/>
        <w:right w:val="none" w:sz="0" w:space="0" w:color="auto"/>
      </w:divBdr>
    </w:div>
    <w:div w:id="1619143549">
      <w:bodyDiv w:val="1"/>
      <w:marLeft w:val="0"/>
      <w:marRight w:val="0"/>
      <w:marTop w:val="0"/>
      <w:marBottom w:val="0"/>
      <w:divBdr>
        <w:top w:val="none" w:sz="0" w:space="0" w:color="auto"/>
        <w:left w:val="none" w:sz="0" w:space="0" w:color="auto"/>
        <w:bottom w:val="none" w:sz="0" w:space="0" w:color="auto"/>
        <w:right w:val="none" w:sz="0" w:space="0" w:color="auto"/>
      </w:divBdr>
    </w:div>
    <w:div w:id="1644313526">
      <w:bodyDiv w:val="1"/>
      <w:marLeft w:val="0"/>
      <w:marRight w:val="0"/>
      <w:marTop w:val="0"/>
      <w:marBottom w:val="0"/>
      <w:divBdr>
        <w:top w:val="none" w:sz="0" w:space="0" w:color="auto"/>
        <w:left w:val="none" w:sz="0" w:space="0" w:color="auto"/>
        <w:bottom w:val="none" w:sz="0" w:space="0" w:color="auto"/>
        <w:right w:val="none" w:sz="0" w:space="0" w:color="auto"/>
      </w:divBdr>
    </w:div>
    <w:div w:id="1709639961">
      <w:bodyDiv w:val="1"/>
      <w:marLeft w:val="0"/>
      <w:marRight w:val="0"/>
      <w:marTop w:val="0"/>
      <w:marBottom w:val="0"/>
      <w:divBdr>
        <w:top w:val="none" w:sz="0" w:space="0" w:color="auto"/>
        <w:left w:val="none" w:sz="0" w:space="0" w:color="auto"/>
        <w:bottom w:val="none" w:sz="0" w:space="0" w:color="auto"/>
        <w:right w:val="none" w:sz="0" w:space="0" w:color="auto"/>
      </w:divBdr>
    </w:div>
    <w:div w:id="1720590215">
      <w:bodyDiv w:val="1"/>
      <w:marLeft w:val="0"/>
      <w:marRight w:val="0"/>
      <w:marTop w:val="0"/>
      <w:marBottom w:val="0"/>
      <w:divBdr>
        <w:top w:val="none" w:sz="0" w:space="0" w:color="auto"/>
        <w:left w:val="none" w:sz="0" w:space="0" w:color="auto"/>
        <w:bottom w:val="none" w:sz="0" w:space="0" w:color="auto"/>
        <w:right w:val="none" w:sz="0" w:space="0" w:color="auto"/>
      </w:divBdr>
    </w:div>
    <w:div w:id="1729380241">
      <w:bodyDiv w:val="1"/>
      <w:marLeft w:val="0"/>
      <w:marRight w:val="0"/>
      <w:marTop w:val="0"/>
      <w:marBottom w:val="0"/>
      <w:divBdr>
        <w:top w:val="none" w:sz="0" w:space="0" w:color="auto"/>
        <w:left w:val="none" w:sz="0" w:space="0" w:color="auto"/>
        <w:bottom w:val="none" w:sz="0" w:space="0" w:color="auto"/>
        <w:right w:val="none" w:sz="0" w:space="0" w:color="auto"/>
      </w:divBdr>
    </w:div>
    <w:div w:id="1753311864">
      <w:bodyDiv w:val="1"/>
      <w:marLeft w:val="0"/>
      <w:marRight w:val="0"/>
      <w:marTop w:val="0"/>
      <w:marBottom w:val="0"/>
      <w:divBdr>
        <w:top w:val="none" w:sz="0" w:space="0" w:color="auto"/>
        <w:left w:val="none" w:sz="0" w:space="0" w:color="auto"/>
        <w:bottom w:val="none" w:sz="0" w:space="0" w:color="auto"/>
        <w:right w:val="none" w:sz="0" w:space="0" w:color="auto"/>
      </w:divBdr>
    </w:div>
    <w:div w:id="1797991041">
      <w:bodyDiv w:val="1"/>
      <w:marLeft w:val="0"/>
      <w:marRight w:val="0"/>
      <w:marTop w:val="0"/>
      <w:marBottom w:val="0"/>
      <w:divBdr>
        <w:top w:val="none" w:sz="0" w:space="0" w:color="auto"/>
        <w:left w:val="none" w:sz="0" w:space="0" w:color="auto"/>
        <w:bottom w:val="none" w:sz="0" w:space="0" w:color="auto"/>
        <w:right w:val="none" w:sz="0" w:space="0" w:color="auto"/>
      </w:divBdr>
    </w:div>
    <w:div w:id="1808627052">
      <w:bodyDiv w:val="1"/>
      <w:marLeft w:val="0"/>
      <w:marRight w:val="0"/>
      <w:marTop w:val="0"/>
      <w:marBottom w:val="0"/>
      <w:divBdr>
        <w:top w:val="none" w:sz="0" w:space="0" w:color="auto"/>
        <w:left w:val="none" w:sz="0" w:space="0" w:color="auto"/>
        <w:bottom w:val="none" w:sz="0" w:space="0" w:color="auto"/>
        <w:right w:val="none" w:sz="0" w:space="0" w:color="auto"/>
      </w:divBdr>
    </w:div>
    <w:div w:id="1919056952">
      <w:bodyDiv w:val="1"/>
      <w:marLeft w:val="0"/>
      <w:marRight w:val="0"/>
      <w:marTop w:val="0"/>
      <w:marBottom w:val="0"/>
      <w:divBdr>
        <w:top w:val="none" w:sz="0" w:space="0" w:color="auto"/>
        <w:left w:val="none" w:sz="0" w:space="0" w:color="auto"/>
        <w:bottom w:val="none" w:sz="0" w:space="0" w:color="auto"/>
        <w:right w:val="none" w:sz="0" w:space="0" w:color="auto"/>
      </w:divBdr>
    </w:div>
    <w:div w:id="1919896774">
      <w:bodyDiv w:val="1"/>
      <w:marLeft w:val="0"/>
      <w:marRight w:val="0"/>
      <w:marTop w:val="0"/>
      <w:marBottom w:val="0"/>
      <w:divBdr>
        <w:top w:val="none" w:sz="0" w:space="0" w:color="auto"/>
        <w:left w:val="none" w:sz="0" w:space="0" w:color="auto"/>
        <w:bottom w:val="none" w:sz="0" w:space="0" w:color="auto"/>
        <w:right w:val="none" w:sz="0" w:space="0" w:color="auto"/>
      </w:divBdr>
    </w:div>
    <w:div w:id="1988625395">
      <w:bodyDiv w:val="1"/>
      <w:marLeft w:val="0"/>
      <w:marRight w:val="0"/>
      <w:marTop w:val="0"/>
      <w:marBottom w:val="0"/>
      <w:divBdr>
        <w:top w:val="none" w:sz="0" w:space="0" w:color="auto"/>
        <w:left w:val="none" w:sz="0" w:space="0" w:color="auto"/>
        <w:bottom w:val="none" w:sz="0" w:space="0" w:color="auto"/>
        <w:right w:val="none" w:sz="0" w:space="0" w:color="auto"/>
      </w:divBdr>
    </w:div>
    <w:div w:id="2046128771">
      <w:bodyDiv w:val="1"/>
      <w:marLeft w:val="0"/>
      <w:marRight w:val="0"/>
      <w:marTop w:val="0"/>
      <w:marBottom w:val="0"/>
      <w:divBdr>
        <w:top w:val="none" w:sz="0" w:space="0" w:color="auto"/>
        <w:left w:val="none" w:sz="0" w:space="0" w:color="auto"/>
        <w:bottom w:val="none" w:sz="0" w:space="0" w:color="auto"/>
        <w:right w:val="none" w:sz="0" w:space="0" w:color="auto"/>
      </w:divBdr>
    </w:div>
    <w:div w:id="2050958649">
      <w:bodyDiv w:val="1"/>
      <w:marLeft w:val="0"/>
      <w:marRight w:val="0"/>
      <w:marTop w:val="0"/>
      <w:marBottom w:val="0"/>
      <w:divBdr>
        <w:top w:val="none" w:sz="0" w:space="0" w:color="auto"/>
        <w:left w:val="none" w:sz="0" w:space="0" w:color="auto"/>
        <w:bottom w:val="none" w:sz="0" w:space="0" w:color="auto"/>
        <w:right w:val="none" w:sz="0" w:space="0" w:color="auto"/>
      </w:divBdr>
    </w:div>
    <w:div w:id="213910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rurstud.2022.06.005" TargetMode="External"/><Relationship Id="rId18" Type="http://schemas.openxmlformats.org/officeDocument/2006/relationships/hyperlink" Target="https://doi.org/10.1016/j.wsif.2024.102893" TargetMode="External"/><Relationship Id="rId26" Type="http://schemas.openxmlformats.org/officeDocument/2006/relationships/hyperlink" Target="https://doi.org/10.1111/dpr.12381" TargetMode="External"/><Relationship Id="rId39" Type="http://schemas.openxmlformats.org/officeDocument/2006/relationships/hyperlink" Target="https://doi.org/10.7189/jogh.10.021007" TargetMode="External"/><Relationship Id="rId21" Type="http://schemas.openxmlformats.org/officeDocument/2006/relationships/hyperlink" Target="https://doi.org/10.1080/13600818.2012.744387" TargetMode="External"/><Relationship Id="rId34" Type="http://schemas.openxmlformats.org/officeDocument/2006/relationships/hyperlink" Target="https://doi.org/10.1177/2319714520972905" TargetMode="External"/><Relationship Id="rId42" Type="http://schemas.openxmlformats.org/officeDocument/2006/relationships/hyperlink" Target="https://doi.org/10.1111/ajps.12651" TargetMode="External"/><Relationship Id="rId47" Type="http://schemas.openxmlformats.org/officeDocument/2006/relationships/hyperlink" Target="https://doi.org/10.1177/000312240907400402" TargetMode="External"/><Relationship Id="rId50" Type="http://schemas.openxmlformats.org/officeDocument/2006/relationships/hyperlink" Target="https://doi.org/10.1111/apce.12442"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13545701.2014.893388" TargetMode="External"/><Relationship Id="rId29" Type="http://schemas.openxmlformats.org/officeDocument/2006/relationships/hyperlink" Target="https://doi.org/10.1007/s43621-025-01942-y" TargetMode="External"/><Relationship Id="rId11" Type="http://schemas.openxmlformats.org/officeDocument/2006/relationships/hyperlink" Target="https://doi.org/10.4073/csr.2015.19" TargetMode="External"/><Relationship Id="rId24" Type="http://schemas.openxmlformats.org/officeDocument/2006/relationships/hyperlink" Target="https://doi.org/10.1177/23197145231169074" TargetMode="External"/><Relationship Id="rId32" Type="http://schemas.openxmlformats.org/officeDocument/2006/relationships/hyperlink" Target="https://doi.org/10.1057/s41287-020-00309-5" TargetMode="External"/><Relationship Id="rId37" Type="http://schemas.openxmlformats.org/officeDocument/2006/relationships/hyperlink" Target="https://doi.org/10.1016/j.foodpol.2024.102716" TargetMode="External"/><Relationship Id="rId40" Type="http://schemas.openxmlformats.org/officeDocument/2006/relationships/hyperlink" Target="https://doi.org/10.1016/j.worlddev.2021.105575" TargetMode="External"/><Relationship Id="rId45" Type="http://schemas.openxmlformats.org/officeDocument/2006/relationships/hyperlink" Target="https://doi.org/10.1177/0258042X20922116"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webSettings" Target="webSettings.xml"/><Relationship Id="rId19" Type="http://schemas.openxmlformats.org/officeDocument/2006/relationships/hyperlink" Target="https://doi.org/10.1057/s41287-023-00585-x" TargetMode="External"/><Relationship Id="rId4" Type="http://schemas.openxmlformats.org/officeDocument/2006/relationships/settings" Target="settings.xml"/><Relationship Id="rId9" Type="http://schemas.openxmlformats.org/officeDocument/2006/relationships/hyperlink" Target="https://doi.org/10.1080/02692171.2011.595398" TargetMode="External"/><Relationship Id="rId14" Type="http://schemas.openxmlformats.org/officeDocument/2006/relationships/hyperlink" Target="https://doi.org/10.1525/sod.2019.5.4.360" TargetMode="External"/><Relationship Id="rId22" Type="http://schemas.openxmlformats.org/officeDocument/2006/relationships/hyperlink" Target="https://doi.org/10.1080/00220388.2016.1205734" TargetMode="External"/><Relationship Id="rId27" Type="http://schemas.openxmlformats.org/officeDocument/2006/relationships/hyperlink" Target="https://doi.org/10.9745/GHSP-D-21-00383" TargetMode="External"/><Relationship Id="rId30" Type="http://schemas.openxmlformats.org/officeDocument/2006/relationships/hyperlink" Target="https://doi.org/10.1111/1467-7660.00125" TargetMode="External"/><Relationship Id="rId35" Type="http://schemas.openxmlformats.org/officeDocument/2006/relationships/hyperlink" Target="https://doi.org/10.1016/j.worlddev.2021.105579" TargetMode="External"/><Relationship Id="rId43" Type="http://schemas.openxmlformats.org/officeDocument/2006/relationships/hyperlink" Target="https://doi.org/10.1016/j.jrurstud.2024.103295" TargetMode="External"/><Relationship Id="rId48" Type="http://schemas.openxmlformats.org/officeDocument/2006/relationships/hyperlink" Target="https://doi.org/10.1080/13545701.2021.1987499" TargetMode="External"/><Relationship Id="rId56" Type="http://schemas.openxmlformats.org/officeDocument/2006/relationships/footer" Target="footer2.xml"/><Relationship Id="rId8" Type="http://schemas.openxmlformats.org/officeDocument/2006/relationships/hyperlink" Target="https://doi.org/10.1080/19452829.2020.1742100" TargetMode="External"/><Relationship Id="rId51" Type="http://schemas.openxmlformats.org/officeDocument/2006/relationships/hyperlink" Target="https://doi.org/10.1080/02692170903007540" TargetMode="External"/><Relationship Id="rId3" Type="http://schemas.openxmlformats.org/officeDocument/2006/relationships/styles" Target="styles.xml"/><Relationship Id="rId12" Type="http://schemas.openxmlformats.org/officeDocument/2006/relationships/hyperlink" Target="https://doi.org/10.1080/19439342.2016.1206607" TargetMode="External"/><Relationship Id="rId17" Type="http://schemas.openxmlformats.org/officeDocument/2006/relationships/hyperlink" Target="https://doi.org/10.1016/j.worlddev.2012.09.019" TargetMode="External"/><Relationship Id="rId25" Type="http://schemas.openxmlformats.org/officeDocument/2006/relationships/hyperlink" Target="https://doi.org/10.1086/675929" TargetMode="External"/><Relationship Id="rId33" Type="http://schemas.openxmlformats.org/officeDocument/2006/relationships/hyperlink" Target="https://doi.org/10.1057/s41287-020-00309-5" TargetMode="External"/><Relationship Id="rId38" Type="http://schemas.openxmlformats.org/officeDocument/2006/relationships/hyperlink" Target="https://doi.org/10.1002/(SICI)1099-1328(199911/12)11:7%3c957::AID-JID623%3e3.0.CO;2-" TargetMode="External"/><Relationship Id="rId46" Type="http://schemas.openxmlformats.org/officeDocument/2006/relationships/hyperlink" Target="https://doi.org/10.1177/0021909614548239" TargetMode="External"/><Relationship Id="rId59" Type="http://schemas.openxmlformats.org/officeDocument/2006/relationships/fontTable" Target="fontTable.xml"/><Relationship Id="rId20" Type="http://schemas.openxmlformats.org/officeDocument/2006/relationships/hyperlink" Target="https://doi.org/10.5897/AJAR12.1580" TargetMode="External"/><Relationship Id="rId41" Type="http://schemas.openxmlformats.org/officeDocument/2006/relationships/hyperlink" Target="https://doi.org/10.1186/s13731-024-00419-y"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0/01436597.2015.1013341" TargetMode="External"/><Relationship Id="rId23" Type="http://schemas.openxmlformats.org/officeDocument/2006/relationships/hyperlink" Target="https://doi.org/10.1177/23197145231169074" TargetMode="External"/><Relationship Id="rId28" Type="http://schemas.openxmlformats.org/officeDocument/2006/relationships/hyperlink" Target="https://doi.org/10.1186/s12889-021-12049-0" TargetMode="External"/><Relationship Id="rId36" Type="http://schemas.openxmlformats.org/officeDocument/2006/relationships/hyperlink" Target="https://doi.org/10.1016/j.worlddev.2018.09.023" TargetMode="External"/><Relationship Id="rId49" Type="http://schemas.openxmlformats.org/officeDocument/2006/relationships/hyperlink" Target="https://doi.org/10.1080/09584935.2012.737306" TargetMode="External"/><Relationship Id="rId57" Type="http://schemas.openxmlformats.org/officeDocument/2006/relationships/header" Target="header3.xml"/><Relationship Id="rId10" Type="http://schemas.openxmlformats.org/officeDocument/2006/relationships/hyperlink" Target="https://doi.org/10.54986/irjee/2022/oct_dec/42-47" TargetMode="External"/><Relationship Id="rId31" Type="http://schemas.openxmlformats.org/officeDocument/2006/relationships/hyperlink" Target="https://doi.org/10.1080/13552070512331332273" TargetMode="External"/><Relationship Id="rId44" Type="http://schemas.openxmlformats.org/officeDocument/2006/relationships/hyperlink" Target="https://doi.org/10.1111/agec.12510" TargetMode="External"/><Relationship Id="rId52" Type="http://schemas.openxmlformats.org/officeDocument/2006/relationships/hyperlink" Target="https://doi.org/10.1080/02692171.2011.595398"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07F7D5-99A2-466C-9F10-8E0396930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19</Pages>
  <Words>9567</Words>
  <Characters>54538</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23</cp:revision>
  <dcterms:created xsi:type="dcterms:W3CDTF">2025-09-24T12:45:00Z</dcterms:created>
  <dcterms:modified xsi:type="dcterms:W3CDTF">2025-11-19T07:13:00Z</dcterms:modified>
</cp:coreProperties>
</file>