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D1C80" w14:textId="77777777" w:rsidR="00754C9A" w:rsidRDefault="00754C9A" w:rsidP="00441B6F">
      <w:pPr>
        <w:pStyle w:val="Title"/>
        <w:spacing w:after="0"/>
        <w:jc w:val="both"/>
        <w:rPr>
          <w:rFonts w:ascii="Arial" w:hAnsi="Arial" w:cs="Arial"/>
        </w:rPr>
      </w:pPr>
    </w:p>
    <w:p w14:paraId="035B0E94" w14:textId="77777777" w:rsidR="00163BC4" w:rsidRPr="00163BC4" w:rsidRDefault="00DF5252" w:rsidP="00441B6F">
      <w:pPr>
        <w:pStyle w:val="Author"/>
        <w:spacing w:line="240" w:lineRule="auto"/>
        <w:rPr>
          <w:rFonts w:ascii="Arial" w:hAnsi="Arial" w:cs="Arial"/>
          <w:bCs/>
          <w:iCs/>
          <w:kern w:val="28"/>
          <w:sz w:val="36"/>
        </w:rPr>
      </w:pPr>
      <w:r w:rsidRPr="00DF5252">
        <w:rPr>
          <w:rFonts w:ascii="Arial" w:hAnsi="Arial" w:cs="Arial"/>
          <w:bCs/>
          <w:iCs/>
          <w:kern w:val="28"/>
          <w:sz w:val="36"/>
        </w:rPr>
        <w:t>SEASONALITY, SUSTAINABILITY, GAINS, AND GAPS IN THE IMPLEMENTATION OF SCHOOL GOVERNING COUNCIL PROGRAMS AND INITIATIVES IN DEPED CAMARINES SUR</w:t>
      </w:r>
      <w:r w:rsidR="00231920">
        <w:rPr>
          <w:rFonts w:ascii="Arial" w:hAnsi="Arial" w:cs="Arial"/>
          <w:bCs/>
          <w:iCs/>
          <w:kern w:val="28"/>
          <w:sz w:val="36"/>
        </w:rPr>
        <w:t xml:space="preserve"> </w:t>
      </w:r>
    </w:p>
    <w:p w14:paraId="574B0075" w14:textId="77777777" w:rsidR="00A258C3" w:rsidRPr="00790ADA" w:rsidRDefault="00A258C3" w:rsidP="00441B6F">
      <w:pPr>
        <w:pStyle w:val="Author"/>
        <w:spacing w:line="240" w:lineRule="auto"/>
        <w:jc w:val="both"/>
        <w:rPr>
          <w:rFonts w:ascii="Arial" w:hAnsi="Arial" w:cs="Arial"/>
          <w:sz w:val="36"/>
        </w:rPr>
      </w:pPr>
    </w:p>
    <w:p w14:paraId="26B13DB5" w14:textId="77777777" w:rsidR="002C57D2" w:rsidRPr="00FB3A86" w:rsidRDefault="002C57D2" w:rsidP="00441B6F">
      <w:pPr>
        <w:pStyle w:val="Affiliation"/>
        <w:spacing w:after="0" w:line="240" w:lineRule="auto"/>
        <w:jc w:val="both"/>
        <w:rPr>
          <w:rFonts w:ascii="Arial" w:hAnsi="Arial" w:cs="Arial"/>
        </w:rPr>
      </w:pPr>
    </w:p>
    <w:p w14:paraId="7899104F" w14:textId="77777777" w:rsidR="00B01FCD" w:rsidRPr="00FB3A86" w:rsidRDefault="00BB3C51" w:rsidP="00441B6F">
      <w:pPr>
        <w:pStyle w:val="Copyright"/>
        <w:spacing w:after="0" w:line="240" w:lineRule="auto"/>
        <w:jc w:val="both"/>
        <w:rPr>
          <w:rFonts w:ascii="Arial" w:hAnsi="Arial" w:cs="Arial"/>
        </w:rPr>
        <w:sectPr w:rsidR="00B01FCD" w:rsidRPr="00FB3A86" w:rsidSect="001B17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6151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139273" w14:textId="471B292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E601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46F73" w14:paraId="2C96EEBE" w14:textId="77777777" w:rsidTr="00E46F73">
        <w:tc>
          <w:tcPr>
            <w:tcW w:w="9576" w:type="dxa"/>
            <w:shd w:val="clear" w:color="auto" w:fill="F2F2F2"/>
          </w:tcPr>
          <w:p w14:paraId="52C2F6D6" w14:textId="77777777" w:rsidR="00E46F73" w:rsidRPr="00E46F73" w:rsidRDefault="00E46F73" w:rsidP="00E46F73">
            <w:pPr>
              <w:pStyle w:val="NormalWeb"/>
              <w:spacing w:before="0" w:beforeAutospacing="0" w:after="0" w:afterAutospacing="0"/>
              <w:jc w:val="both"/>
              <w:rPr>
                <w:rFonts w:ascii="Arial" w:hAnsi="Arial" w:cs="Arial"/>
                <w:color w:val="0E101A"/>
                <w:sz w:val="20"/>
              </w:rPr>
            </w:pPr>
            <w:r w:rsidRPr="00E46F73">
              <w:rPr>
                <w:rStyle w:val="Strong"/>
                <w:rFonts w:ascii="Arial" w:hAnsi="Arial" w:cs="Arial"/>
                <w:color w:val="0E101A"/>
                <w:sz w:val="20"/>
              </w:rPr>
              <w:t xml:space="preserve">Aims: </w:t>
            </w:r>
            <w:r w:rsidRPr="00E46F73">
              <w:rPr>
                <w:rFonts w:ascii="Arial" w:hAnsi="Arial" w:cs="Arial"/>
                <w:color w:val="0E101A"/>
                <w:sz w:val="20"/>
              </w:rPr>
              <w:t>This study aimed to identify and analyze the seasonality and sustainability issues, gains, and gaps encountered by schools in implementing School Governing Council (SGC) programs and initiatives in the Department of Education (DepEd), Camarines Sur, Philippines.</w:t>
            </w:r>
          </w:p>
          <w:p w14:paraId="1C84428A" w14:textId="77777777" w:rsidR="00E46F73" w:rsidRPr="00E46F73" w:rsidRDefault="00E46F73" w:rsidP="00E46F73">
            <w:pPr>
              <w:pStyle w:val="NormalWeb"/>
              <w:spacing w:before="0" w:beforeAutospacing="0" w:after="0" w:afterAutospacing="0"/>
              <w:jc w:val="both"/>
              <w:rPr>
                <w:rFonts w:ascii="Arial" w:hAnsi="Arial" w:cs="Arial"/>
                <w:color w:val="0E101A"/>
                <w:sz w:val="20"/>
              </w:rPr>
            </w:pPr>
            <w:r w:rsidRPr="00E46F73">
              <w:rPr>
                <w:rStyle w:val="Strong"/>
                <w:rFonts w:ascii="Arial" w:hAnsi="Arial" w:cs="Arial"/>
                <w:color w:val="0E101A"/>
                <w:sz w:val="20"/>
              </w:rPr>
              <w:t>Study design:</w:t>
            </w:r>
            <w:r w:rsidRPr="00E46F73">
              <w:rPr>
                <w:rFonts w:ascii="Arial" w:hAnsi="Arial" w:cs="Arial"/>
                <w:color w:val="0E101A"/>
                <w:sz w:val="20"/>
              </w:rPr>
              <w:t xml:space="preserve"> This research employed a qualitative descriptive design, using thematic analysis to identify patterns and themes in stakeholder responses.</w:t>
            </w:r>
          </w:p>
          <w:p w14:paraId="18F976F6" w14:textId="77777777" w:rsidR="00E46F73" w:rsidRPr="00E46F73" w:rsidRDefault="00E46F73" w:rsidP="00E46F73">
            <w:pPr>
              <w:pStyle w:val="NormalWeb"/>
              <w:spacing w:before="0" w:beforeAutospacing="0" w:after="0" w:afterAutospacing="0"/>
              <w:jc w:val="both"/>
              <w:rPr>
                <w:rFonts w:ascii="Arial" w:hAnsi="Arial" w:cs="Arial"/>
                <w:color w:val="0E101A"/>
                <w:sz w:val="20"/>
              </w:rPr>
            </w:pPr>
            <w:r w:rsidRPr="00E46F73">
              <w:rPr>
                <w:rStyle w:val="Strong"/>
                <w:rFonts w:ascii="Arial" w:hAnsi="Arial" w:cs="Arial"/>
                <w:color w:val="0E101A"/>
                <w:sz w:val="20"/>
              </w:rPr>
              <w:t>Place and Duration of Study:</w:t>
            </w:r>
            <w:r w:rsidRPr="00E46F73">
              <w:rPr>
                <w:rFonts w:ascii="Arial" w:hAnsi="Arial" w:cs="Arial"/>
                <w:color w:val="0E101A"/>
                <w:sz w:val="20"/>
              </w:rPr>
              <w:t xml:space="preserve"> Department of Education, Division of Camarines Sur, Philippines, between August 2022 and May 2023. </w:t>
            </w:r>
          </w:p>
          <w:p w14:paraId="35557224" w14:textId="77777777" w:rsidR="00E46F73" w:rsidRPr="00E46F73" w:rsidRDefault="00E46F73" w:rsidP="00E46F73">
            <w:pPr>
              <w:pStyle w:val="NormalWeb"/>
              <w:spacing w:before="0" w:beforeAutospacing="0" w:after="0" w:afterAutospacing="0"/>
              <w:jc w:val="both"/>
              <w:rPr>
                <w:rFonts w:ascii="Arial" w:hAnsi="Arial" w:cs="Arial"/>
                <w:color w:val="0E101A"/>
                <w:sz w:val="20"/>
              </w:rPr>
            </w:pPr>
            <w:r w:rsidRPr="00E46F73">
              <w:rPr>
                <w:rStyle w:val="Strong"/>
                <w:rFonts w:ascii="Arial" w:hAnsi="Arial" w:cs="Arial"/>
                <w:color w:val="0E101A"/>
                <w:sz w:val="20"/>
              </w:rPr>
              <w:t>Methodology:</w:t>
            </w:r>
            <w:r w:rsidRPr="00E46F73">
              <w:rPr>
                <w:rFonts w:ascii="Arial" w:hAnsi="Arial" w:cs="Arial"/>
                <w:color w:val="0E101A"/>
                <w:sz w:val="20"/>
              </w:rPr>
              <w:t xml:space="preserve"> Data were collected through key informant interviews and a survey with 176 participants comprising school administrators, SGC members, teachers, and community stakeholders from five congressional districts in Camarines Sur. Thematic analysis was employed to identify recurring themes related to seasonality issues, sustainability challenges, gains, and gaps in SGC implementation. Frequency counts were used to rank the prominence of identified themes.</w:t>
            </w:r>
          </w:p>
          <w:p w14:paraId="2A08A074" w14:textId="77777777" w:rsidR="00E46F73" w:rsidRPr="00E46F73" w:rsidRDefault="00E46F73" w:rsidP="00E46F73">
            <w:pPr>
              <w:pStyle w:val="NormalWeb"/>
              <w:spacing w:before="0" w:beforeAutospacing="0" w:after="0" w:afterAutospacing="0"/>
              <w:jc w:val="both"/>
              <w:rPr>
                <w:rFonts w:ascii="Arial" w:hAnsi="Arial" w:cs="Arial"/>
                <w:color w:val="0E101A"/>
                <w:sz w:val="20"/>
              </w:rPr>
            </w:pPr>
            <w:r w:rsidRPr="00E46F73">
              <w:rPr>
                <w:rStyle w:val="Strong"/>
                <w:rFonts w:ascii="Arial" w:hAnsi="Arial" w:cs="Arial"/>
                <w:color w:val="0E101A"/>
                <w:sz w:val="20"/>
              </w:rPr>
              <w:t>Results:</w:t>
            </w:r>
            <w:r w:rsidRPr="00E46F73">
              <w:rPr>
                <w:rFonts w:ascii="Arial" w:hAnsi="Arial" w:cs="Arial"/>
                <w:color w:val="0E101A"/>
                <w:sz w:val="20"/>
              </w:rPr>
              <w:t xml:space="preserve"> Funding availability emerged as the most critical factor affecting both seasonality (frequency = 8, rank = 1) and sustainability (frequency = 8, rank = 1) of SGC programs. Staff training and development (frequency = 7, rank = 2) and conflicts with school calendar and policy changes (frequency = 6, rank = 3.5) were significant seasonality concerns. For sustainability, lack of dedicated time and commitment of SGC members (frequency = 7, rank = 2) and partnership sustainability (frequency = 6, rank = 3) were prominent issues. Shared governance (frequency = 8, rank = 1), better school climate (frequency = 7, rank = 2.5), and improved school-community relations (frequency = 7, rank = 2.5) were the most significant improvements. A lack of training for SGC members (frequency = 8, rank = 2), a poor comprehension of roles and responsibilities (frequency = 8, rank = 2), and a lack of resources (frequency = 8, rank = 2) were found to be significant implementation gaps.</w:t>
            </w:r>
          </w:p>
          <w:p w14:paraId="28003FA9" w14:textId="77777777" w:rsidR="00505F06" w:rsidRPr="00E46F73" w:rsidRDefault="00E46F73" w:rsidP="00E46F73">
            <w:pPr>
              <w:pStyle w:val="NormalWeb"/>
              <w:spacing w:before="0" w:beforeAutospacing="0" w:after="0" w:afterAutospacing="0"/>
              <w:jc w:val="both"/>
              <w:rPr>
                <w:rFonts w:ascii="Arial" w:hAnsi="Arial" w:cs="Arial"/>
                <w:color w:val="0E101A"/>
                <w:sz w:val="20"/>
              </w:rPr>
            </w:pPr>
            <w:r w:rsidRPr="00E46F73">
              <w:rPr>
                <w:rStyle w:val="Strong"/>
                <w:rFonts w:ascii="Arial" w:hAnsi="Arial" w:cs="Arial"/>
                <w:color w:val="0E101A"/>
                <w:sz w:val="20"/>
              </w:rPr>
              <w:t>Conclusion:</w:t>
            </w:r>
            <w:r w:rsidRPr="00E46F73">
              <w:rPr>
                <w:rFonts w:ascii="Arial" w:hAnsi="Arial" w:cs="Arial"/>
                <w:color w:val="0E101A"/>
                <w:sz w:val="20"/>
              </w:rPr>
              <w:t xml:space="preserve"> Although the implementation of SGC has improved school climate and shared governance, sustainability is threatened by ongoing issues with funding, capacity building, and stakeholder engagement. To close these gaps and guarantee efficient and long-lasting school governance in Philippine basic education, comprehensive strategies are needed. These strategies include systematic training programs, precise role delineation, ongoing funding mechanisms, and improved community participation frameworks.</w:t>
            </w:r>
          </w:p>
        </w:tc>
      </w:tr>
    </w:tbl>
    <w:p w14:paraId="3551B947" w14:textId="77777777" w:rsidR="00636EB2" w:rsidRDefault="00636EB2" w:rsidP="00441B6F">
      <w:pPr>
        <w:pStyle w:val="Body"/>
        <w:spacing w:after="0"/>
        <w:rPr>
          <w:rFonts w:ascii="Arial" w:hAnsi="Arial" w:cs="Arial"/>
          <w:i/>
        </w:rPr>
      </w:pPr>
    </w:p>
    <w:p w14:paraId="1B3DB2DC" w14:textId="77777777" w:rsidR="0024282C" w:rsidRPr="00D36EFE" w:rsidRDefault="00A24E7E" w:rsidP="00441B6F">
      <w:pPr>
        <w:pStyle w:val="Body"/>
        <w:spacing w:after="0"/>
        <w:rPr>
          <w:rFonts w:ascii="Arial" w:hAnsi="Arial" w:cs="Arial"/>
          <w:i/>
        </w:rPr>
      </w:pPr>
      <w:r>
        <w:rPr>
          <w:rFonts w:ascii="Arial" w:hAnsi="Arial" w:cs="Arial"/>
          <w:i/>
        </w:rPr>
        <w:t xml:space="preserve">Keywords: </w:t>
      </w:r>
      <w:r w:rsidR="003B71D7" w:rsidRPr="003B71D7">
        <w:rPr>
          <w:rFonts w:ascii="Arial" w:hAnsi="Arial" w:cs="Arial"/>
          <w:i/>
        </w:rPr>
        <w:t>School Governing Council, school governance, basic education, seasonality issues, sustainability challenges, shared governance</w:t>
      </w:r>
    </w:p>
    <w:p w14:paraId="29036223" w14:textId="77777777" w:rsidR="00505F06" w:rsidRDefault="00505F06" w:rsidP="00441B6F">
      <w:pPr>
        <w:pStyle w:val="Body"/>
        <w:spacing w:after="0"/>
        <w:rPr>
          <w:rFonts w:ascii="Arial" w:hAnsi="Arial" w:cs="Arial"/>
          <w:i/>
        </w:rPr>
      </w:pPr>
    </w:p>
    <w:p w14:paraId="01D8A5BF" w14:textId="77777777" w:rsidR="002C4461" w:rsidRPr="00A24E7E" w:rsidRDefault="002C4461" w:rsidP="00441B6F">
      <w:pPr>
        <w:pStyle w:val="Body"/>
        <w:spacing w:after="0"/>
        <w:rPr>
          <w:rFonts w:ascii="Arial" w:hAnsi="Arial" w:cs="Arial"/>
          <w:i/>
        </w:rPr>
      </w:pPr>
    </w:p>
    <w:p w14:paraId="6F5B395F"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9B4D911" w14:textId="77777777" w:rsidR="00790ADA" w:rsidRPr="00FB3A86" w:rsidRDefault="00790ADA" w:rsidP="00441B6F">
      <w:pPr>
        <w:pStyle w:val="AbstHead"/>
        <w:spacing w:after="0"/>
        <w:jc w:val="both"/>
        <w:rPr>
          <w:rFonts w:ascii="Arial" w:hAnsi="Arial" w:cs="Arial"/>
        </w:rPr>
      </w:pPr>
    </w:p>
    <w:p w14:paraId="49F82CC7" w14:textId="77777777" w:rsidR="003D4F8A" w:rsidRPr="003D4F8A" w:rsidRDefault="003D4F8A" w:rsidP="003D4F8A">
      <w:pPr>
        <w:pStyle w:val="Body"/>
        <w:spacing w:after="0"/>
        <w:rPr>
          <w:rFonts w:ascii="Arial" w:hAnsi="Arial" w:cs="Arial"/>
        </w:rPr>
      </w:pPr>
      <w:r w:rsidRPr="003D4F8A">
        <w:rPr>
          <w:rFonts w:ascii="Arial" w:hAnsi="Arial" w:cs="Arial"/>
        </w:rPr>
        <w:t xml:space="preserve">Since many stakeholders must actively participate in decision-making processes for schools to be effective, democratizing school governance has emerged as a key component of global educational reform. According to recent research, participatory school governance models support inclusive decision-making, stakeholder engagement, and collaborative approaches that enhance policy legitimacy and educational effectiveness (Nantale, 2024). In the Philippines, the Department of Education (DepEd) has institutionalized the School Governing Council (SGC) as a mechanism to promote participatory governance, transparency, and accountability in public basic education institutions through DepEd Order No. 26, series 2022. To address the specific needs and challenges of each school community, the SGC serves as an essential forum </w:t>
      </w:r>
      <w:r w:rsidR="00893C4E">
        <w:rPr>
          <w:rFonts w:ascii="Arial" w:hAnsi="Arial" w:cs="Arial"/>
        </w:rPr>
        <w:t xml:space="preserve">that unites educators, parents, </w:t>
      </w:r>
      <w:r w:rsidRPr="003D4F8A">
        <w:rPr>
          <w:rFonts w:ascii="Arial" w:hAnsi="Arial" w:cs="Arial"/>
        </w:rPr>
        <w:t xml:space="preserve">community </w:t>
      </w:r>
      <w:r w:rsidR="00893C4E">
        <w:rPr>
          <w:rFonts w:ascii="Arial" w:hAnsi="Arial" w:cs="Arial"/>
        </w:rPr>
        <w:t xml:space="preserve">members, school administrators, and </w:t>
      </w:r>
      <w:r w:rsidRPr="003D4F8A">
        <w:rPr>
          <w:rFonts w:ascii="Arial" w:hAnsi="Arial" w:cs="Arial"/>
        </w:rPr>
        <w:t>local government representatives.</w:t>
      </w:r>
    </w:p>
    <w:p w14:paraId="50DAB2B2" w14:textId="77777777" w:rsidR="003D4F8A" w:rsidRPr="003D4F8A" w:rsidRDefault="003D4F8A" w:rsidP="003D4F8A">
      <w:pPr>
        <w:pStyle w:val="Body"/>
        <w:spacing w:after="0"/>
        <w:rPr>
          <w:rFonts w:ascii="Arial" w:hAnsi="Arial" w:cs="Arial"/>
        </w:rPr>
      </w:pPr>
    </w:p>
    <w:p w14:paraId="71063FC9" w14:textId="77777777" w:rsidR="003D4F8A" w:rsidRPr="003D4F8A" w:rsidRDefault="003D4F8A" w:rsidP="003D4F8A">
      <w:pPr>
        <w:pStyle w:val="Body"/>
        <w:spacing w:after="0"/>
        <w:rPr>
          <w:rFonts w:ascii="Arial" w:hAnsi="Arial" w:cs="Arial"/>
        </w:rPr>
      </w:pPr>
      <w:r w:rsidRPr="003D4F8A">
        <w:rPr>
          <w:rFonts w:ascii="Arial" w:hAnsi="Arial" w:cs="Arial"/>
        </w:rPr>
        <w:t>The purpose of school governing councils is to assist, counsel, and direct school administration in developing and implementing initiatives and programs that improve the quality of education. SGCs seek to maintain alignment with national educational standards and policies while ensuring that schools are responsive to learner needs and community contexts through shared governance structures. Effective school governance necessitates strong collaborative leadership from principals and school councils, and the creation and execution of successful educational policies depend on responsiveness, accountability, transparency, and stakeholder engagement, according to recent international research (Supriadi et al., 2021). Academic results, as well as the larger social environment of schools and their interactions with the local community, are directly impacted by the success of SGC programs and initiatives.</w:t>
      </w:r>
    </w:p>
    <w:p w14:paraId="17C9FC28" w14:textId="77777777" w:rsidR="003D4F8A" w:rsidRPr="003D4F8A" w:rsidRDefault="003D4F8A" w:rsidP="003D4F8A">
      <w:pPr>
        <w:pStyle w:val="Body"/>
        <w:spacing w:after="0"/>
        <w:rPr>
          <w:rFonts w:ascii="Arial" w:hAnsi="Arial" w:cs="Arial"/>
        </w:rPr>
      </w:pPr>
    </w:p>
    <w:p w14:paraId="3ADB4101" w14:textId="77777777" w:rsidR="003D4F8A" w:rsidRPr="003D4F8A" w:rsidRDefault="003D4F8A" w:rsidP="003D4F8A">
      <w:pPr>
        <w:pStyle w:val="Body"/>
        <w:spacing w:after="0"/>
        <w:rPr>
          <w:rFonts w:ascii="Arial" w:hAnsi="Arial" w:cs="Arial"/>
        </w:rPr>
      </w:pPr>
      <w:r w:rsidRPr="003D4F8A">
        <w:rPr>
          <w:rFonts w:ascii="Arial" w:hAnsi="Arial" w:cs="Arial"/>
        </w:rPr>
        <w:t>Despite the promising framework of SGCs, implementation in actual school contexts presents multifaceted challenges. Schools operate within complex ecosystems influenced by resource availability, policy changes, seasonal variations, and varying levels of stakeholder capacity and commitment. According to a 2025 study on school governance in complex contexts in the Philippines, school administrators must use systems-informed frameworks to support sustainable interventions because they face interrelated challenges that go beyond instructional supervision, such as financial management, stakeholder engagement, and strategic planning (Enad, 2025). Developing focused interventions that improve school governance structures requires an understanding of the particular issues influencing SGC efficacy.</w:t>
      </w:r>
    </w:p>
    <w:p w14:paraId="08599F3B" w14:textId="77777777" w:rsidR="003D4F8A" w:rsidRPr="003D4F8A" w:rsidRDefault="003D4F8A" w:rsidP="003D4F8A">
      <w:pPr>
        <w:pStyle w:val="Body"/>
        <w:spacing w:after="0"/>
        <w:rPr>
          <w:rFonts w:ascii="Arial" w:hAnsi="Arial" w:cs="Arial"/>
        </w:rPr>
      </w:pPr>
    </w:p>
    <w:p w14:paraId="713E4211" w14:textId="77777777" w:rsidR="003D4F8A" w:rsidRPr="003D4F8A" w:rsidRDefault="003D4F8A" w:rsidP="003D4F8A">
      <w:pPr>
        <w:pStyle w:val="Body"/>
        <w:spacing w:after="0"/>
        <w:rPr>
          <w:rFonts w:ascii="Arial" w:hAnsi="Arial" w:cs="Arial"/>
        </w:rPr>
      </w:pPr>
      <w:r w:rsidRPr="003D4F8A">
        <w:rPr>
          <w:rFonts w:ascii="Arial" w:hAnsi="Arial" w:cs="Arial"/>
        </w:rPr>
        <w:t>The global shift toward participatory educational governance has been documented across diverse contexts. The Democracy Starts in Schools project (2024–2027) in Georgia exemplifies a global commitment to improving youth involvement in decision-making processes through democratic school culture and participatory school governance (Council of Europe, 2024). In a similar vein, current research highlights t</w:t>
      </w:r>
      <w:r w:rsidR="00AD2E8C">
        <w:rPr>
          <w:rFonts w:ascii="Arial" w:hAnsi="Arial" w:cs="Arial"/>
        </w:rPr>
        <w:t xml:space="preserve">hat transparent decision-making </w:t>
      </w:r>
      <w:r w:rsidRPr="003D4F8A">
        <w:rPr>
          <w:rFonts w:ascii="Arial" w:hAnsi="Arial" w:cs="Arial"/>
        </w:rPr>
        <w:t>proc</w:t>
      </w:r>
      <w:r w:rsidR="00AD2E8C">
        <w:rPr>
          <w:rFonts w:ascii="Arial" w:hAnsi="Arial" w:cs="Arial"/>
        </w:rPr>
        <w:t xml:space="preserve">edures, well-defined roles, and cooperative </w:t>
      </w:r>
      <w:r w:rsidRPr="003D4F8A">
        <w:rPr>
          <w:rFonts w:ascii="Arial" w:hAnsi="Arial" w:cs="Arial"/>
        </w:rPr>
        <w:t>leadership structures that foster shared accountability and institutional legitimacy are necessary for efficient school governance (Connolly &amp; James, 2024). These global patterns highlight how participatory governance is widely acknowledged as essential to democratic growth and high-quality education.</w:t>
      </w:r>
    </w:p>
    <w:p w14:paraId="7C7989BF" w14:textId="77777777" w:rsidR="003D4F8A" w:rsidRPr="003D4F8A" w:rsidRDefault="003D4F8A" w:rsidP="003D4F8A">
      <w:pPr>
        <w:pStyle w:val="Body"/>
        <w:spacing w:after="0"/>
        <w:rPr>
          <w:rFonts w:ascii="Arial" w:hAnsi="Arial" w:cs="Arial"/>
        </w:rPr>
      </w:pPr>
    </w:p>
    <w:p w14:paraId="5DA66317" w14:textId="77777777" w:rsidR="003D4F8A" w:rsidRPr="003D4F8A" w:rsidRDefault="003D4F8A" w:rsidP="003D4F8A">
      <w:pPr>
        <w:pStyle w:val="Body"/>
        <w:spacing w:after="0"/>
        <w:rPr>
          <w:rFonts w:ascii="Arial" w:hAnsi="Arial" w:cs="Arial"/>
        </w:rPr>
      </w:pPr>
      <w:r w:rsidRPr="003D4F8A">
        <w:rPr>
          <w:rFonts w:ascii="Arial" w:hAnsi="Arial" w:cs="Arial"/>
        </w:rPr>
        <w:t xml:space="preserve">Research on school governance in developing countries, particularly in Southeast Asian contexts, has highlighted persistent issues related to resource constraints, capacity limitations, and sustainability of reform initiatives. In the Philippine context, where public schools serve diverse communities with varying socioeconomic conditions, implementing </w:t>
      </w:r>
      <w:r w:rsidRPr="003D4F8A">
        <w:rPr>
          <w:rFonts w:ascii="Arial" w:hAnsi="Arial" w:cs="Arial"/>
        </w:rPr>
        <w:lastRenderedPageBreak/>
        <w:t>SGC programs faces unique challenges that warrant systematic investigation. A World Bank study (2016) on basic education service delivery in the Philippines found that school-level accountability through School Governing Councils is generally weak, with limited parental awareness of SGCs. However, parents participate more actively in Parent Teacher Associations. The study emphasized the need to strengthen SGC roles and address funding and quality inequalities through improved financing mechanisms.</w:t>
      </w:r>
    </w:p>
    <w:p w14:paraId="53344930" w14:textId="77777777" w:rsidR="003D4F8A" w:rsidRPr="003D4F8A" w:rsidRDefault="003D4F8A" w:rsidP="003D4F8A">
      <w:pPr>
        <w:pStyle w:val="Body"/>
        <w:spacing w:after="0"/>
        <w:rPr>
          <w:rFonts w:ascii="Arial" w:hAnsi="Arial" w:cs="Arial"/>
        </w:rPr>
      </w:pPr>
    </w:p>
    <w:p w14:paraId="17E89C7E" w14:textId="77777777" w:rsidR="003D4F8A" w:rsidRPr="003D4F8A" w:rsidRDefault="003D4F8A" w:rsidP="003D4F8A">
      <w:pPr>
        <w:pStyle w:val="Body"/>
        <w:spacing w:after="0"/>
        <w:rPr>
          <w:rFonts w:ascii="Arial" w:hAnsi="Arial" w:cs="Arial"/>
        </w:rPr>
      </w:pPr>
      <w:r w:rsidRPr="003D4F8A">
        <w:rPr>
          <w:rFonts w:ascii="Arial" w:hAnsi="Arial" w:cs="Arial"/>
        </w:rPr>
        <w:t>Significant implementation challenges are revealed by recent studies conducted in the Philippines. The availability of officers and members for regular meetings was identified as the main challenge in a 2023 assessment of School Governing Council implementation in Philippine schools, which found a moderately significant relationship between perceived implementation and actual evaluation results (De Lara &amp; </w:t>
      </w:r>
      <w:proofErr w:type="spellStart"/>
      <w:r w:rsidRPr="003D4F8A">
        <w:rPr>
          <w:rFonts w:ascii="Arial" w:hAnsi="Arial" w:cs="Arial"/>
        </w:rPr>
        <w:t>Pañares</w:t>
      </w:r>
      <w:proofErr w:type="spellEnd"/>
      <w:r w:rsidRPr="003D4F8A">
        <w:rPr>
          <w:rFonts w:ascii="Arial" w:hAnsi="Arial" w:cs="Arial"/>
        </w:rPr>
        <w:t xml:space="preserve">, 2023). Perceived implementation and actual evaluation results were found to be somewhat correlated in another 2023 study on School-Based Management implementation as perceived by SGC members in </w:t>
      </w:r>
      <w:proofErr w:type="spellStart"/>
      <w:r w:rsidRPr="003D4F8A">
        <w:rPr>
          <w:rFonts w:ascii="Arial" w:hAnsi="Arial" w:cs="Arial"/>
        </w:rPr>
        <w:t>Gingoog</w:t>
      </w:r>
      <w:proofErr w:type="spellEnd"/>
      <w:r w:rsidRPr="003D4F8A">
        <w:rPr>
          <w:rFonts w:ascii="Arial" w:hAnsi="Arial" w:cs="Arial"/>
        </w:rPr>
        <w:t xml:space="preserve"> City. To achieve advanced SBM implementation, it is advised that stakeholders aim for greater levels of achievement (De Lara &amp; </w:t>
      </w:r>
      <w:proofErr w:type="spellStart"/>
      <w:r w:rsidRPr="003D4F8A">
        <w:rPr>
          <w:rFonts w:ascii="Arial" w:hAnsi="Arial" w:cs="Arial"/>
        </w:rPr>
        <w:t>Pañares</w:t>
      </w:r>
      <w:proofErr w:type="spellEnd"/>
      <w:r w:rsidRPr="003D4F8A">
        <w:rPr>
          <w:rFonts w:ascii="Arial" w:hAnsi="Arial" w:cs="Arial"/>
        </w:rPr>
        <w:t xml:space="preserve">, 2023). </w:t>
      </w:r>
    </w:p>
    <w:p w14:paraId="51C85062" w14:textId="77777777" w:rsidR="003D4F8A" w:rsidRPr="003D4F8A" w:rsidRDefault="003D4F8A" w:rsidP="003D4F8A">
      <w:pPr>
        <w:pStyle w:val="Body"/>
        <w:spacing w:after="0"/>
        <w:rPr>
          <w:rFonts w:ascii="Arial" w:hAnsi="Arial" w:cs="Arial"/>
        </w:rPr>
      </w:pPr>
    </w:p>
    <w:p w14:paraId="0CC0ABCD" w14:textId="77777777" w:rsidR="003D4F8A" w:rsidRPr="003D4F8A" w:rsidRDefault="003D4F8A" w:rsidP="003D4F8A">
      <w:pPr>
        <w:pStyle w:val="Body"/>
        <w:spacing w:after="0"/>
        <w:rPr>
          <w:rFonts w:ascii="Arial" w:hAnsi="Arial" w:cs="Arial"/>
        </w:rPr>
      </w:pPr>
      <w:r w:rsidRPr="003D4F8A">
        <w:rPr>
          <w:rFonts w:ascii="Arial" w:hAnsi="Arial" w:cs="Arial"/>
        </w:rPr>
        <w:t>According to earlier research, while participatory governance structures have a great deal of potential to enhance educational outcomes, their success is largely dependent on proper planning, resource allocation, and ongoing stakeholder engagement. According to research, schools that have robust accountability systems and transparent governance structures generate more long-lasting reforms than those that rely on opaque, top-down directives (Lucky, 2025). Furthermore, students' democratic involvement in school administration is still in its infancy in many nations, with little acknowledgement of their decision-making power, underscoring ongoing difficulties in achieving proper participatory governance (Sousa &amp; Ferreira, 2024).</w:t>
      </w:r>
    </w:p>
    <w:p w14:paraId="568B9609" w14:textId="77777777" w:rsidR="003D4F8A" w:rsidRPr="003D4F8A" w:rsidRDefault="003D4F8A" w:rsidP="003D4F8A">
      <w:pPr>
        <w:pStyle w:val="Body"/>
        <w:spacing w:after="0"/>
        <w:rPr>
          <w:rFonts w:ascii="Arial" w:hAnsi="Arial" w:cs="Arial"/>
        </w:rPr>
      </w:pPr>
    </w:p>
    <w:p w14:paraId="4407CACF" w14:textId="77777777" w:rsidR="003D4F8A" w:rsidRPr="003D4F8A" w:rsidRDefault="003D4F8A" w:rsidP="003D4F8A">
      <w:pPr>
        <w:pStyle w:val="Body"/>
        <w:spacing w:after="0"/>
        <w:rPr>
          <w:rFonts w:ascii="Arial" w:hAnsi="Arial" w:cs="Arial"/>
        </w:rPr>
      </w:pPr>
      <w:r w:rsidRPr="003D4F8A">
        <w:rPr>
          <w:rFonts w:ascii="Arial" w:hAnsi="Arial" w:cs="Arial"/>
        </w:rPr>
        <w:t>This study fills in a crucial knowledge gap regarding the particular seasonality and sustainability challenges, as well as the successes and shortcomings, of SGC implementation in DepEd Camarines Sur. Seasonality issues include things like funding cycles, school calendar conflicts, and weather-related difficulties that cause temporal variations or periodic disruptions in program implementation. Sustainability issues include things like resource availability, member commitment, and institutional support systems that have an impact on the long-term sustainability and continuity of SGC programs. By examining both the achievements and failures in SGC implementation, this study provides evidence-based insights that can direct policy development and practice improvement.</w:t>
      </w:r>
    </w:p>
    <w:p w14:paraId="79FC447B" w14:textId="77777777" w:rsidR="003D4F8A" w:rsidRPr="003D4F8A" w:rsidRDefault="003D4F8A" w:rsidP="003D4F8A">
      <w:pPr>
        <w:pStyle w:val="Body"/>
        <w:spacing w:after="0"/>
        <w:rPr>
          <w:rFonts w:ascii="Arial" w:hAnsi="Arial" w:cs="Arial"/>
        </w:rPr>
      </w:pPr>
    </w:p>
    <w:p w14:paraId="5DDC285B" w14:textId="77777777" w:rsidR="003D4F8A" w:rsidRPr="003D4F8A" w:rsidRDefault="003D4F8A" w:rsidP="003D4F8A">
      <w:pPr>
        <w:pStyle w:val="Body"/>
        <w:spacing w:after="0"/>
        <w:rPr>
          <w:rFonts w:ascii="Arial" w:hAnsi="Arial" w:cs="Arial"/>
        </w:rPr>
      </w:pPr>
      <w:r w:rsidRPr="003D4F8A">
        <w:rPr>
          <w:rFonts w:ascii="Arial" w:hAnsi="Arial" w:cs="Arial"/>
        </w:rPr>
        <w:t>Given the Philippine government's ongoing emphasis on school-based management and localized governance as tactics for raising educational quality and relevance, the study's conclusions are especially pertinent. The revised School-Based Management System introduced through DepEd Order No. 007, series 2024, underscores the continuing policy commitment to strengthening school-level governance structures. To better serve Filipino students, educational leaders, legislators, and communities can strengthen school governance structures by knowing what works, what does not, and why.</w:t>
      </w:r>
    </w:p>
    <w:p w14:paraId="620506B2" w14:textId="77777777" w:rsidR="003D4F8A" w:rsidRPr="003D4F8A" w:rsidRDefault="003D4F8A" w:rsidP="003D4F8A">
      <w:pPr>
        <w:pStyle w:val="Body"/>
        <w:spacing w:after="0"/>
        <w:rPr>
          <w:rFonts w:ascii="Arial" w:hAnsi="Arial" w:cs="Arial"/>
        </w:rPr>
      </w:pPr>
    </w:p>
    <w:p w14:paraId="75DEBA1F" w14:textId="77777777" w:rsidR="00B01FCD" w:rsidRDefault="003D4F8A" w:rsidP="003D4F8A">
      <w:pPr>
        <w:pStyle w:val="Body"/>
        <w:spacing w:after="0"/>
        <w:rPr>
          <w:rFonts w:ascii="Arial" w:hAnsi="Arial" w:cs="Arial"/>
        </w:rPr>
      </w:pPr>
      <w:r w:rsidRPr="003D4F8A">
        <w:rPr>
          <w:rFonts w:ascii="Arial" w:hAnsi="Arial" w:cs="Arial"/>
        </w:rPr>
        <w:t xml:space="preserve">By offering empirical data from a particular Philippine context, this study adds to the scant literature on the difficulties and results of SGC implementation in developing nations and advances the larger conversation on educational governance. The study is consistent with recent research that highlights how organizational maturity in school governance can influence strategy, guide decision-making, and support development (Clapham, 2024). The study's focus on both problems and achievements offers a balanced perspective that can inform more nuanced, context-appropriate interventions to </w:t>
      </w:r>
      <w:r w:rsidRPr="003D4F8A">
        <w:rPr>
          <w:rFonts w:ascii="Arial" w:hAnsi="Arial" w:cs="Arial"/>
        </w:rPr>
        <w:lastRenderedPageBreak/>
        <w:t>strengthen school governance in Philippine basic education, ultimately contributing to improved access, quality, and equity in educational service delivery.</w:t>
      </w:r>
    </w:p>
    <w:p w14:paraId="7C9720D5" w14:textId="77777777" w:rsidR="00790ADA" w:rsidRPr="00FB3A86" w:rsidRDefault="00790ADA" w:rsidP="00441B6F">
      <w:pPr>
        <w:pStyle w:val="Body"/>
        <w:spacing w:after="0"/>
        <w:rPr>
          <w:rFonts w:ascii="Arial" w:hAnsi="Arial" w:cs="Arial"/>
        </w:rPr>
      </w:pPr>
    </w:p>
    <w:p w14:paraId="4CD38908" w14:textId="77777777" w:rsidR="007F7B32" w:rsidRDefault="00902823" w:rsidP="00441B6F">
      <w:pPr>
        <w:pStyle w:val="AbstHead"/>
        <w:spacing w:after="0"/>
        <w:jc w:val="both"/>
        <w:rPr>
          <w:rFonts w:ascii="Arial" w:hAnsi="Arial" w:cs="Arial"/>
        </w:rPr>
      </w:pPr>
      <w:r>
        <w:rPr>
          <w:rFonts w:ascii="Arial" w:hAnsi="Arial" w:cs="Arial"/>
        </w:rPr>
        <w:t>2. material and method</w:t>
      </w:r>
      <w:r w:rsidR="00156D94">
        <w:rPr>
          <w:rFonts w:ascii="Arial" w:hAnsi="Arial" w:cs="Arial"/>
        </w:rPr>
        <w:t>s</w:t>
      </w:r>
    </w:p>
    <w:p w14:paraId="6A3CE945" w14:textId="77777777" w:rsidR="00790ADA" w:rsidRPr="00FB3A86" w:rsidRDefault="00790ADA" w:rsidP="00441B6F">
      <w:pPr>
        <w:pStyle w:val="AbstHead"/>
        <w:spacing w:after="0"/>
        <w:jc w:val="both"/>
        <w:rPr>
          <w:rFonts w:ascii="Arial" w:hAnsi="Arial" w:cs="Arial"/>
        </w:rPr>
      </w:pPr>
    </w:p>
    <w:p w14:paraId="3DCDF573"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965F7B" w:rsidRPr="00965F7B">
        <w:rPr>
          <w:rFonts w:ascii="Arial" w:hAnsi="Arial" w:cs="Arial"/>
          <w:b/>
          <w:sz w:val="22"/>
        </w:rPr>
        <w:t>Research Design</w:t>
      </w:r>
      <w:r w:rsidR="00C30A0F" w:rsidRPr="00C30A0F">
        <w:rPr>
          <w:rFonts w:ascii="Arial" w:hAnsi="Arial" w:cs="Arial"/>
          <w:b/>
          <w:sz w:val="22"/>
        </w:rPr>
        <w:t xml:space="preserve"> </w:t>
      </w:r>
      <w:r w:rsidRPr="00FB3A86">
        <w:rPr>
          <w:rFonts w:ascii="Arial" w:hAnsi="Arial" w:cs="Arial"/>
        </w:rPr>
        <w:t xml:space="preserve">  </w:t>
      </w:r>
    </w:p>
    <w:p w14:paraId="214E2082" w14:textId="77777777" w:rsidR="00505F06" w:rsidRDefault="00505F06" w:rsidP="00441B6F">
      <w:pPr>
        <w:pStyle w:val="Body"/>
        <w:spacing w:after="0"/>
        <w:rPr>
          <w:rFonts w:ascii="Arial" w:hAnsi="Arial" w:cs="Arial"/>
        </w:rPr>
      </w:pPr>
    </w:p>
    <w:p w14:paraId="4D41EC00" w14:textId="77777777" w:rsidR="005A2BA6" w:rsidRDefault="00A25D52" w:rsidP="00441B6F">
      <w:pPr>
        <w:pStyle w:val="Body"/>
        <w:spacing w:after="0"/>
        <w:rPr>
          <w:rFonts w:ascii="Arial" w:hAnsi="Arial" w:cs="Arial"/>
        </w:rPr>
      </w:pPr>
      <w:r w:rsidRPr="00A25D52">
        <w:rPr>
          <w:rFonts w:ascii="Arial" w:hAnsi="Arial" w:cs="Arial"/>
        </w:rPr>
        <w:t>This study employed a qualitative descriptive research design to explore and analyze the seasonality and sustainability issues, gains, and gaps in the implementation of School Governing Council programs and initiatives in DepEd Camarines Sur. Because it can capture the complex experiences, viewpoints, and contextual elements that affect SGC implementation in real school settings, the qualitative approach was selected. The main analytical framework was thematic analysis, which enabled systematic identification of patterns and themes emerging from participant responses.</w:t>
      </w:r>
    </w:p>
    <w:p w14:paraId="75078E7E" w14:textId="77777777" w:rsidR="00F1195A" w:rsidRDefault="00F1195A" w:rsidP="00441B6F">
      <w:pPr>
        <w:pStyle w:val="Body"/>
        <w:spacing w:after="0"/>
        <w:rPr>
          <w:rFonts w:ascii="Arial" w:hAnsi="Arial" w:cs="Arial"/>
        </w:rPr>
      </w:pPr>
    </w:p>
    <w:p w14:paraId="3DF27774" w14:textId="77777777" w:rsidR="00E02CF0" w:rsidRDefault="00E02CF0" w:rsidP="00E02CF0">
      <w:pPr>
        <w:pStyle w:val="Body"/>
        <w:spacing w:after="0"/>
        <w:rPr>
          <w:rFonts w:ascii="Arial" w:hAnsi="Arial" w:cs="Arial"/>
        </w:rPr>
      </w:pPr>
      <w:r w:rsidRPr="00E02CF0">
        <w:rPr>
          <w:rFonts w:ascii="Arial" w:hAnsi="Arial" w:cs="Arial"/>
          <w:b/>
          <w:caps/>
          <w:sz w:val="22"/>
        </w:rPr>
        <w:t xml:space="preserve">2.2 </w:t>
      </w:r>
      <w:r w:rsidR="00994605" w:rsidRPr="00E02CF0">
        <w:rPr>
          <w:rFonts w:ascii="Arial" w:hAnsi="Arial" w:cs="Arial"/>
          <w:b/>
          <w:sz w:val="22"/>
        </w:rPr>
        <w:t>Research Locale</w:t>
      </w:r>
      <w:r w:rsidR="00994605" w:rsidRPr="00C30A0F">
        <w:rPr>
          <w:rFonts w:ascii="Arial" w:hAnsi="Arial" w:cs="Arial"/>
          <w:b/>
          <w:sz w:val="22"/>
        </w:rPr>
        <w:t xml:space="preserve"> </w:t>
      </w:r>
      <w:r w:rsidR="00994605" w:rsidRPr="00FB3A86">
        <w:rPr>
          <w:rFonts w:ascii="Arial" w:hAnsi="Arial" w:cs="Arial"/>
        </w:rPr>
        <w:t xml:space="preserve">  </w:t>
      </w:r>
    </w:p>
    <w:p w14:paraId="19DD6466" w14:textId="77777777" w:rsidR="00E02CF0" w:rsidRDefault="00E02CF0" w:rsidP="00E02CF0">
      <w:pPr>
        <w:pStyle w:val="Body"/>
        <w:spacing w:after="0"/>
        <w:rPr>
          <w:rFonts w:ascii="Arial" w:hAnsi="Arial" w:cs="Arial"/>
        </w:rPr>
      </w:pPr>
    </w:p>
    <w:p w14:paraId="5D616CED" w14:textId="77777777" w:rsidR="00F1195A" w:rsidRDefault="00A94904" w:rsidP="00E02CF0">
      <w:pPr>
        <w:pStyle w:val="Body"/>
        <w:spacing w:after="0"/>
        <w:rPr>
          <w:rFonts w:ascii="Arial" w:hAnsi="Arial" w:cs="Arial"/>
        </w:rPr>
      </w:pPr>
      <w:r w:rsidRPr="00A94904">
        <w:rPr>
          <w:rFonts w:ascii="Arial" w:hAnsi="Arial" w:cs="Arial"/>
        </w:rPr>
        <w:t>The Department of Education, Division of Camarines Sur, Philippines, is responsible for the public schools where the study was conducted. The Bicol Region's Camarines Sur offers a representative sample for analyzing the difficulties and results of SGC implementation because it is a typical Philippine educational division with a variety of school contexts, from urban to rural.</w:t>
      </w:r>
    </w:p>
    <w:p w14:paraId="7D9CB20F" w14:textId="77777777" w:rsidR="00994605" w:rsidRDefault="00994605" w:rsidP="00E02CF0">
      <w:pPr>
        <w:pStyle w:val="Body"/>
        <w:spacing w:after="0"/>
        <w:rPr>
          <w:rFonts w:ascii="Arial" w:hAnsi="Arial" w:cs="Arial"/>
        </w:rPr>
      </w:pPr>
    </w:p>
    <w:p w14:paraId="7F67F436" w14:textId="77777777" w:rsidR="00460089" w:rsidRDefault="00F06E63" w:rsidP="00460089">
      <w:pPr>
        <w:pStyle w:val="Body"/>
        <w:spacing w:after="0"/>
        <w:rPr>
          <w:rFonts w:ascii="Arial" w:hAnsi="Arial" w:cs="Arial"/>
        </w:rPr>
      </w:pPr>
      <w:r w:rsidRPr="00F06E63">
        <w:rPr>
          <w:rFonts w:ascii="Arial" w:hAnsi="Arial" w:cs="Arial"/>
          <w:b/>
          <w:caps/>
          <w:sz w:val="22"/>
        </w:rPr>
        <w:t xml:space="preserve">2.3 </w:t>
      </w:r>
      <w:r>
        <w:rPr>
          <w:rFonts w:ascii="Arial" w:hAnsi="Arial" w:cs="Arial"/>
          <w:b/>
          <w:sz w:val="22"/>
        </w:rPr>
        <w:t>Participants a</w:t>
      </w:r>
      <w:r w:rsidRPr="00F06E63">
        <w:rPr>
          <w:rFonts w:ascii="Arial" w:hAnsi="Arial" w:cs="Arial"/>
          <w:b/>
          <w:sz w:val="22"/>
        </w:rPr>
        <w:t>nd Sampling</w:t>
      </w:r>
      <w:r w:rsidRPr="00FB3A86">
        <w:rPr>
          <w:rFonts w:ascii="Arial" w:hAnsi="Arial" w:cs="Arial"/>
        </w:rPr>
        <w:t xml:space="preserve">  </w:t>
      </w:r>
    </w:p>
    <w:p w14:paraId="5210CB1B" w14:textId="77777777" w:rsidR="00460089" w:rsidRDefault="00460089" w:rsidP="00460089">
      <w:pPr>
        <w:pStyle w:val="Body"/>
        <w:spacing w:after="0"/>
        <w:rPr>
          <w:rFonts w:ascii="Arial" w:hAnsi="Arial" w:cs="Arial"/>
        </w:rPr>
      </w:pPr>
    </w:p>
    <w:p w14:paraId="694C9EA7" w14:textId="77777777" w:rsidR="00460089" w:rsidRPr="000D6C75" w:rsidRDefault="00E2268D" w:rsidP="00460089">
      <w:pPr>
        <w:pStyle w:val="Body"/>
        <w:spacing w:after="0"/>
        <w:rPr>
          <w:rFonts w:ascii="Arial" w:hAnsi="Arial" w:cs="Arial"/>
        </w:rPr>
      </w:pPr>
      <w:r w:rsidRPr="00E2268D">
        <w:rPr>
          <w:rFonts w:ascii="Arial" w:hAnsi="Arial" w:cs="Arial"/>
        </w:rPr>
        <w:t>To guarantee representation from all stakeholder groups involved in SGC operations, participants were chosen using quota sampling. School principals, SGC chairpersons, teacher representatives, parent representatives, community members, and representatives of local government units from five Camarines Sur congressional districts made up the sample of 176 participants. Active participation in SGC activities for at least six months and willingness to take part in the study were among the selection criteria.</w:t>
      </w:r>
    </w:p>
    <w:p w14:paraId="3B6F5053" w14:textId="77777777" w:rsidR="00D00E91" w:rsidRDefault="00D00E91" w:rsidP="00460089">
      <w:pPr>
        <w:pStyle w:val="Body"/>
        <w:spacing w:after="0"/>
        <w:rPr>
          <w:rFonts w:ascii="Arial" w:hAnsi="Arial" w:cs="Arial"/>
          <w:color w:val="FF0000"/>
        </w:rPr>
      </w:pPr>
    </w:p>
    <w:p w14:paraId="386949F5" w14:textId="77777777" w:rsidR="00CD2803" w:rsidRDefault="0095153E" w:rsidP="00CD2803">
      <w:pPr>
        <w:pStyle w:val="Body"/>
        <w:spacing w:after="0"/>
        <w:rPr>
          <w:rFonts w:ascii="Arial" w:hAnsi="Arial" w:cs="Arial"/>
        </w:rPr>
      </w:pPr>
      <w:r w:rsidRPr="0095153E">
        <w:rPr>
          <w:rFonts w:ascii="Arial" w:hAnsi="Arial" w:cs="Arial"/>
          <w:b/>
          <w:caps/>
          <w:sz w:val="22"/>
        </w:rPr>
        <w:t xml:space="preserve">2.4 </w:t>
      </w:r>
      <w:r w:rsidRPr="0095153E">
        <w:rPr>
          <w:rFonts w:ascii="Arial" w:hAnsi="Arial" w:cs="Arial"/>
          <w:b/>
          <w:sz w:val="22"/>
        </w:rPr>
        <w:t>Data Collection</w:t>
      </w:r>
    </w:p>
    <w:p w14:paraId="3A47129F" w14:textId="77777777" w:rsidR="00CD2803" w:rsidRDefault="00CD2803" w:rsidP="00CD2803">
      <w:pPr>
        <w:pStyle w:val="Body"/>
        <w:spacing w:after="0"/>
        <w:rPr>
          <w:rFonts w:ascii="Arial" w:hAnsi="Arial" w:cs="Arial"/>
        </w:rPr>
      </w:pPr>
    </w:p>
    <w:p w14:paraId="53A236B3" w14:textId="77777777" w:rsidR="00CA0513" w:rsidRPr="005D2701" w:rsidRDefault="00E2268D" w:rsidP="00CA0513">
      <w:pPr>
        <w:pStyle w:val="Body"/>
        <w:spacing w:after="0"/>
        <w:rPr>
          <w:rFonts w:ascii="Arial" w:hAnsi="Arial" w:cs="Arial"/>
        </w:rPr>
      </w:pPr>
      <w:r w:rsidRPr="00E2268D">
        <w:rPr>
          <w:rFonts w:ascii="Arial" w:hAnsi="Arial" w:cs="Arial"/>
        </w:rPr>
        <w:t>Data were collected through key informant interviews and a survey conducted between August 2022 and May 2023. The survey was conducted among school administrators, teachers, and members of School governing councils to gather their perceptions and experiences on the operationalization of School governing councils. The key informant interview was conducted with school administrators, teachers, and members of SGCs who have knowledge and expertise in operationalizing SGCs in their schools. The interview was designed to gather their perceptions of the structure, functions, and roles of SGCs, as well as their experiences in implementing the system. The interview includes both closed-ended and open-ended questions. Quantitative information about the key informants' opinions can be obtained by using closed-ended questions. On the other hand, open-ended questions can be used to gather qualitative information about their experiences and to elicit recommendations for improvement.</w:t>
      </w:r>
    </w:p>
    <w:p w14:paraId="1119622C" w14:textId="77777777" w:rsidR="00BE503E" w:rsidRDefault="00BE503E" w:rsidP="00BE503E">
      <w:pPr>
        <w:pStyle w:val="Body"/>
        <w:spacing w:after="0"/>
        <w:rPr>
          <w:rFonts w:ascii="Arial" w:hAnsi="Arial" w:cs="Arial"/>
        </w:rPr>
      </w:pPr>
    </w:p>
    <w:p w14:paraId="15D7F01A" w14:textId="77777777" w:rsidR="00B2265D" w:rsidRDefault="00521345" w:rsidP="00B2265D">
      <w:pPr>
        <w:pStyle w:val="Body"/>
        <w:spacing w:after="0"/>
        <w:rPr>
          <w:rFonts w:ascii="Arial" w:hAnsi="Arial" w:cs="Arial"/>
        </w:rPr>
      </w:pPr>
      <w:r w:rsidRPr="00521345">
        <w:rPr>
          <w:rFonts w:ascii="Arial" w:hAnsi="Arial" w:cs="Arial"/>
          <w:b/>
          <w:caps/>
          <w:sz w:val="22"/>
        </w:rPr>
        <w:t xml:space="preserve">2.5 </w:t>
      </w:r>
      <w:r w:rsidRPr="00521345">
        <w:rPr>
          <w:rFonts w:ascii="Arial" w:hAnsi="Arial" w:cs="Arial"/>
          <w:b/>
          <w:sz w:val="22"/>
        </w:rPr>
        <w:t>Data Analysis</w:t>
      </w:r>
      <w:r w:rsidR="00B2265D" w:rsidRPr="00C30A0F">
        <w:rPr>
          <w:rFonts w:ascii="Arial" w:hAnsi="Arial" w:cs="Arial"/>
          <w:b/>
          <w:sz w:val="22"/>
        </w:rPr>
        <w:t xml:space="preserve"> </w:t>
      </w:r>
      <w:r w:rsidR="00B2265D" w:rsidRPr="00FB3A86">
        <w:rPr>
          <w:rFonts w:ascii="Arial" w:hAnsi="Arial" w:cs="Arial"/>
        </w:rPr>
        <w:t xml:space="preserve">  </w:t>
      </w:r>
    </w:p>
    <w:p w14:paraId="1822DF2D" w14:textId="77777777" w:rsidR="00B2265D" w:rsidRDefault="00B2265D" w:rsidP="00B2265D">
      <w:pPr>
        <w:pStyle w:val="Body"/>
        <w:spacing w:after="0"/>
        <w:rPr>
          <w:rFonts w:ascii="Arial" w:hAnsi="Arial" w:cs="Arial"/>
        </w:rPr>
      </w:pPr>
    </w:p>
    <w:p w14:paraId="0CD89100" w14:textId="77777777" w:rsidR="002E5B59" w:rsidRDefault="002E5B59" w:rsidP="002E5B59">
      <w:pPr>
        <w:pStyle w:val="Body"/>
        <w:spacing w:after="0"/>
        <w:rPr>
          <w:rFonts w:ascii="Arial" w:hAnsi="Arial" w:cs="Arial"/>
        </w:rPr>
      </w:pPr>
      <w:r w:rsidRPr="002E5B59">
        <w:rPr>
          <w:rFonts w:ascii="Arial" w:hAnsi="Arial" w:cs="Arial"/>
        </w:rPr>
        <w:t xml:space="preserve">Thematic analysis was conducted following the framework proposed by Braun and Clarke (2006). The analytical process involved six phases: familiarization with data through repeated reading of transcripts; generation of initial codes; searching for themes; reviewing themes; defining and naming themes; and producing the final analysis. Two researchers </w:t>
      </w:r>
      <w:r w:rsidRPr="002E5B59">
        <w:rPr>
          <w:rFonts w:ascii="Arial" w:hAnsi="Arial" w:cs="Arial"/>
        </w:rPr>
        <w:lastRenderedPageBreak/>
        <w:t>independently coded the data to enhance reliability, with discrepancies resolved through discussion and consensus.</w:t>
      </w:r>
    </w:p>
    <w:p w14:paraId="6B3F63B2" w14:textId="77777777" w:rsidR="002E5B59" w:rsidRPr="002E5B59" w:rsidRDefault="002E5B59" w:rsidP="002E5B59">
      <w:pPr>
        <w:pStyle w:val="Body"/>
        <w:spacing w:after="0"/>
        <w:rPr>
          <w:rFonts w:ascii="Arial" w:hAnsi="Arial" w:cs="Arial"/>
        </w:rPr>
      </w:pPr>
    </w:p>
    <w:p w14:paraId="79E0946E" w14:textId="77777777" w:rsidR="00BE503E" w:rsidRDefault="002E5B59" w:rsidP="002E5B59">
      <w:pPr>
        <w:pStyle w:val="Body"/>
        <w:spacing w:after="0"/>
        <w:rPr>
          <w:rFonts w:ascii="Arial" w:hAnsi="Arial" w:cs="Arial"/>
        </w:rPr>
      </w:pPr>
      <w:r w:rsidRPr="002E5B59">
        <w:rPr>
          <w:rFonts w:ascii="Arial" w:hAnsi="Arial" w:cs="Arial"/>
        </w:rPr>
        <w:t>In order to rank issues according to prevalence, frequency counts were used to measure the prominence of identified themes across participant responses. Higher priority was given in the analysis to themes that appeared consistently across several participants and contexts. Frequency ranking offered a methodical approach to determining the most important problems that needed to be addressed in the implementation of SGC.</w:t>
      </w:r>
    </w:p>
    <w:p w14:paraId="37AB280A" w14:textId="77777777" w:rsidR="00AC74AB" w:rsidRPr="00D00E91" w:rsidRDefault="00AC74AB" w:rsidP="00C40C71">
      <w:pPr>
        <w:pStyle w:val="Body"/>
        <w:spacing w:after="0"/>
        <w:rPr>
          <w:rFonts w:ascii="Arial" w:hAnsi="Arial" w:cs="Arial"/>
          <w:color w:val="FF0000"/>
        </w:rPr>
      </w:pPr>
    </w:p>
    <w:p w14:paraId="3C2BC6A6" w14:textId="77777777" w:rsidR="000D027E" w:rsidRDefault="006A2F43" w:rsidP="000D027E">
      <w:pPr>
        <w:pStyle w:val="Body"/>
        <w:spacing w:after="0"/>
        <w:rPr>
          <w:rFonts w:ascii="Arial" w:hAnsi="Arial" w:cs="Arial"/>
        </w:rPr>
      </w:pPr>
      <w:r w:rsidRPr="006A2F43">
        <w:rPr>
          <w:rFonts w:ascii="Arial" w:hAnsi="Arial" w:cs="Arial"/>
          <w:b/>
          <w:caps/>
          <w:sz w:val="22"/>
        </w:rPr>
        <w:t xml:space="preserve">2.6 </w:t>
      </w:r>
      <w:r w:rsidR="00EB5E61" w:rsidRPr="006A2F43">
        <w:rPr>
          <w:rFonts w:ascii="Arial" w:hAnsi="Arial" w:cs="Arial"/>
          <w:b/>
          <w:sz w:val="22"/>
        </w:rPr>
        <w:t>Ethical Considerations</w:t>
      </w:r>
      <w:r w:rsidR="00EB5E61" w:rsidRPr="00C30A0F">
        <w:rPr>
          <w:rFonts w:ascii="Arial" w:hAnsi="Arial" w:cs="Arial"/>
          <w:b/>
          <w:sz w:val="22"/>
        </w:rPr>
        <w:t xml:space="preserve"> </w:t>
      </w:r>
      <w:r w:rsidR="00EB5E61" w:rsidRPr="00FB3A86">
        <w:rPr>
          <w:rFonts w:ascii="Arial" w:hAnsi="Arial" w:cs="Arial"/>
        </w:rPr>
        <w:t xml:space="preserve">  </w:t>
      </w:r>
    </w:p>
    <w:p w14:paraId="76709EED" w14:textId="77777777" w:rsidR="00222F74" w:rsidRPr="00222F74" w:rsidRDefault="00222F74" w:rsidP="00222F74">
      <w:pPr>
        <w:pStyle w:val="Body"/>
        <w:spacing w:after="0"/>
        <w:rPr>
          <w:rFonts w:ascii="Arial" w:hAnsi="Arial" w:cs="Arial"/>
        </w:rPr>
      </w:pPr>
    </w:p>
    <w:p w14:paraId="598DD505" w14:textId="77777777" w:rsidR="002E5B59" w:rsidRDefault="002E5B59" w:rsidP="002E5B59">
      <w:pPr>
        <w:pStyle w:val="Body"/>
        <w:spacing w:after="0"/>
        <w:rPr>
          <w:rFonts w:ascii="Arial" w:hAnsi="Arial" w:cs="Arial"/>
        </w:rPr>
      </w:pPr>
      <w:r w:rsidRPr="002E5B59">
        <w:rPr>
          <w:rFonts w:ascii="Arial" w:hAnsi="Arial" w:cs="Arial"/>
        </w:rPr>
        <w:t>Ethical approval for this study was obtained from the CBSUA Institutional Review Committee for Graduate Studies. Written informed consent was secured from all participants after providing detailed information about the study's purpose, procedures, potential risks, and benefits. Participants were assured of confidentiality and anonymity, with all identifying information removed from transcripts and reports. Participants were informed of their right to withdraw from the stu</w:t>
      </w:r>
      <w:r>
        <w:rPr>
          <w:rFonts w:ascii="Arial" w:hAnsi="Arial" w:cs="Arial"/>
        </w:rPr>
        <w:t>dy at any time without penalty.</w:t>
      </w:r>
    </w:p>
    <w:p w14:paraId="31320273" w14:textId="77777777" w:rsidR="002E5B59" w:rsidRPr="002E5B59" w:rsidRDefault="002E5B59" w:rsidP="002E5B59">
      <w:pPr>
        <w:pStyle w:val="Body"/>
        <w:spacing w:after="0"/>
        <w:rPr>
          <w:rFonts w:ascii="Arial" w:hAnsi="Arial" w:cs="Arial"/>
        </w:rPr>
      </w:pPr>
    </w:p>
    <w:p w14:paraId="6694C340" w14:textId="77777777" w:rsidR="00994605" w:rsidRDefault="002E5B59" w:rsidP="002E5B59">
      <w:pPr>
        <w:pStyle w:val="Body"/>
        <w:spacing w:after="0"/>
        <w:rPr>
          <w:rFonts w:ascii="Arial" w:hAnsi="Arial" w:cs="Arial"/>
        </w:rPr>
      </w:pPr>
      <w:r w:rsidRPr="002E5B59">
        <w:rPr>
          <w:rFonts w:ascii="Arial" w:hAnsi="Arial" w:cs="Arial"/>
        </w:rPr>
        <w:t>The Camarines Sur Schools Division Superintendent granted permission to conduct research in DepEd schools via the appropriate channels. School principals granted additional permission to conduct research in their respective establishments.</w:t>
      </w:r>
    </w:p>
    <w:p w14:paraId="74136768" w14:textId="77777777" w:rsidR="00D509BD" w:rsidRDefault="00D509BD" w:rsidP="00222F74">
      <w:pPr>
        <w:pStyle w:val="Body"/>
        <w:spacing w:after="0"/>
        <w:rPr>
          <w:rFonts w:ascii="Arial" w:hAnsi="Arial" w:cs="Arial"/>
        </w:rPr>
      </w:pPr>
    </w:p>
    <w:p w14:paraId="2772F5F9" w14:textId="77777777" w:rsidR="00932841" w:rsidRDefault="00A869F8" w:rsidP="00932841">
      <w:pPr>
        <w:pStyle w:val="Body"/>
        <w:spacing w:after="0"/>
        <w:rPr>
          <w:rFonts w:ascii="Arial" w:hAnsi="Arial" w:cs="Arial"/>
        </w:rPr>
      </w:pPr>
      <w:r w:rsidRPr="00A869F8">
        <w:rPr>
          <w:rFonts w:ascii="Arial" w:hAnsi="Arial" w:cs="Arial"/>
          <w:b/>
          <w:caps/>
          <w:sz w:val="22"/>
        </w:rPr>
        <w:t xml:space="preserve">2.7 </w:t>
      </w:r>
      <w:r>
        <w:rPr>
          <w:rFonts w:ascii="Arial" w:hAnsi="Arial" w:cs="Arial"/>
          <w:b/>
          <w:sz w:val="22"/>
        </w:rPr>
        <w:t>Validity a</w:t>
      </w:r>
      <w:r w:rsidRPr="00A869F8">
        <w:rPr>
          <w:rFonts w:ascii="Arial" w:hAnsi="Arial" w:cs="Arial"/>
          <w:b/>
          <w:sz w:val="22"/>
        </w:rPr>
        <w:t>nd Reliability</w:t>
      </w:r>
      <w:r w:rsidRPr="00C30A0F">
        <w:rPr>
          <w:rFonts w:ascii="Arial" w:hAnsi="Arial" w:cs="Arial"/>
          <w:b/>
          <w:sz w:val="22"/>
        </w:rPr>
        <w:t xml:space="preserve"> </w:t>
      </w:r>
      <w:r w:rsidRPr="00FB3A86">
        <w:rPr>
          <w:rFonts w:ascii="Arial" w:hAnsi="Arial" w:cs="Arial"/>
        </w:rPr>
        <w:t xml:space="preserve">  </w:t>
      </w:r>
    </w:p>
    <w:p w14:paraId="0053083C" w14:textId="77777777" w:rsidR="00932841" w:rsidRDefault="00932841" w:rsidP="00932841">
      <w:pPr>
        <w:pStyle w:val="Body"/>
        <w:spacing w:after="0"/>
        <w:rPr>
          <w:rFonts w:ascii="Arial" w:hAnsi="Arial" w:cs="Arial"/>
        </w:rPr>
      </w:pPr>
    </w:p>
    <w:p w14:paraId="0C6F90CF" w14:textId="77777777" w:rsidR="00D509BD" w:rsidRDefault="00BA69F9" w:rsidP="00932841">
      <w:pPr>
        <w:pStyle w:val="Body"/>
        <w:spacing w:after="0"/>
        <w:rPr>
          <w:rFonts w:ascii="Arial" w:hAnsi="Arial" w:cs="Arial"/>
        </w:rPr>
      </w:pPr>
      <w:r w:rsidRPr="00BA69F9">
        <w:rPr>
          <w:rFonts w:ascii="Arial" w:hAnsi="Arial" w:cs="Arial"/>
        </w:rPr>
        <w:t>Several techniques were used to improve the reliability of the results. In order to confirm the accuracy of interpretations, member checking was carried out by sharing preliminary findin</w:t>
      </w:r>
      <w:r w:rsidR="00ED2341">
        <w:rPr>
          <w:rFonts w:ascii="Arial" w:hAnsi="Arial" w:cs="Arial"/>
        </w:rPr>
        <w:t xml:space="preserve">gs with chosen participants. In order to </w:t>
      </w:r>
      <w:r w:rsidRPr="00BA69F9">
        <w:rPr>
          <w:rFonts w:ascii="Arial" w:hAnsi="Arial" w:cs="Arial"/>
        </w:rPr>
        <w:t>find convergent viewpoints, triangulation was accomplished by comparing data from various stakeholder groups. Analytical interpretations were externally verified through peer debriefing sessions with education researchers who were not directly involved in the study.</w:t>
      </w:r>
    </w:p>
    <w:p w14:paraId="2F1312B8" w14:textId="77777777" w:rsidR="00790ADA" w:rsidRDefault="00790ADA" w:rsidP="00441B6F">
      <w:pPr>
        <w:pStyle w:val="Body"/>
        <w:spacing w:after="0"/>
        <w:rPr>
          <w:rFonts w:ascii="Arial" w:hAnsi="Arial" w:cs="Arial"/>
        </w:rPr>
      </w:pPr>
    </w:p>
    <w:p w14:paraId="09C1E392" w14:textId="77777777" w:rsidR="00105590" w:rsidRPr="00FB3A86" w:rsidRDefault="00105590" w:rsidP="00441B6F">
      <w:pPr>
        <w:pStyle w:val="Body"/>
        <w:spacing w:after="0"/>
        <w:rPr>
          <w:rFonts w:ascii="Arial" w:hAnsi="Arial" w:cs="Arial"/>
        </w:rPr>
      </w:pPr>
    </w:p>
    <w:p w14:paraId="6E440E3F" w14:textId="77777777" w:rsidR="00902823" w:rsidRDefault="00000F8F" w:rsidP="00441B6F">
      <w:pPr>
        <w:pStyle w:val="Head1"/>
        <w:spacing w:after="0"/>
        <w:jc w:val="both"/>
        <w:rPr>
          <w:rFonts w:ascii="Arial" w:hAnsi="Arial" w:cs="Arial"/>
        </w:rPr>
      </w:pPr>
      <w:r w:rsidRPr="00B362EE">
        <w:rPr>
          <w:rFonts w:ascii="Arial" w:hAnsi="Arial" w:cs="Arial"/>
        </w:rPr>
        <w:t>3</w:t>
      </w:r>
      <w:r w:rsidR="00902823" w:rsidRPr="00B362EE">
        <w:rPr>
          <w:rFonts w:ascii="Arial" w:hAnsi="Arial" w:cs="Arial"/>
        </w:rPr>
        <w:t xml:space="preserve">. </w:t>
      </w:r>
      <w:r w:rsidRPr="00B362EE">
        <w:rPr>
          <w:rFonts w:ascii="Arial" w:hAnsi="Arial" w:cs="Arial"/>
        </w:rPr>
        <w:t>results and discussion</w:t>
      </w:r>
    </w:p>
    <w:p w14:paraId="43E383E8" w14:textId="77777777" w:rsidR="00863BD3" w:rsidRPr="00FB3A86" w:rsidRDefault="00863BD3" w:rsidP="00441B6F">
      <w:pPr>
        <w:pStyle w:val="Body"/>
        <w:spacing w:after="0"/>
        <w:rPr>
          <w:rFonts w:ascii="Arial" w:hAnsi="Arial" w:cs="Arial"/>
        </w:rPr>
      </w:pPr>
    </w:p>
    <w:p w14:paraId="0A4824A4" w14:textId="77777777" w:rsidR="00A71B97"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8701EB" w:rsidRPr="008701EB">
        <w:rPr>
          <w:rFonts w:ascii="Arial" w:hAnsi="Arial" w:cs="Arial"/>
          <w:b/>
          <w:sz w:val="22"/>
        </w:rPr>
        <w:t>Seasonality Issues Encountered by Schools in the Implementation of School Governing Council Programs and Initiatives</w:t>
      </w:r>
      <w:r w:rsidRPr="00FB3A86">
        <w:rPr>
          <w:rFonts w:ascii="Arial" w:hAnsi="Arial" w:cs="Arial"/>
        </w:rPr>
        <w:t xml:space="preserve"> </w:t>
      </w:r>
    </w:p>
    <w:p w14:paraId="0CB25464" w14:textId="77777777" w:rsidR="00A71B97" w:rsidRDefault="00A71B97" w:rsidP="00441B6F">
      <w:pPr>
        <w:pStyle w:val="Body"/>
        <w:spacing w:after="0"/>
        <w:rPr>
          <w:rFonts w:ascii="Arial" w:hAnsi="Arial" w:cs="Arial"/>
        </w:rPr>
      </w:pPr>
    </w:p>
    <w:p w14:paraId="305C2545" w14:textId="77777777" w:rsidR="0035665F" w:rsidRPr="0035665F" w:rsidRDefault="0035665F" w:rsidP="0035665F">
      <w:pPr>
        <w:pStyle w:val="Body"/>
        <w:spacing w:after="0"/>
        <w:rPr>
          <w:rFonts w:ascii="Arial" w:hAnsi="Arial" w:cs="Arial"/>
        </w:rPr>
      </w:pPr>
      <w:r w:rsidRPr="0035665F">
        <w:rPr>
          <w:rFonts w:ascii="Arial" w:hAnsi="Arial" w:cs="Arial"/>
        </w:rPr>
        <w:t>Many seasonality factors that cause temporal disruptions and variations in program effectiveness have a significant impact on the implementation of School Governing Council programs and initiatives in DepEd Camarines Sur. Schools must navigate multiple time-sensitive challenges that affect their capacity to maintain consistent, effective SGC operations throughout the academic year.</w:t>
      </w:r>
    </w:p>
    <w:p w14:paraId="5A0E9099" w14:textId="77777777" w:rsidR="0035665F" w:rsidRPr="0035665F" w:rsidRDefault="0035665F" w:rsidP="0035665F">
      <w:pPr>
        <w:pStyle w:val="Body"/>
        <w:spacing w:after="0"/>
        <w:rPr>
          <w:rFonts w:ascii="Arial" w:hAnsi="Arial" w:cs="Arial"/>
        </w:rPr>
      </w:pPr>
    </w:p>
    <w:p w14:paraId="7BCE10D3" w14:textId="77777777" w:rsidR="00C30A0F" w:rsidRDefault="0035665F" w:rsidP="0035665F">
      <w:pPr>
        <w:pStyle w:val="Body"/>
        <w:spacing w:after="0"/>
        <w:rPr>
          <w:rFonts w:ascii="Arial" w:hAnsi="Arial" w:cs="Arial"/>
        </w:rPr>
      </w:pPr>
      <w:r w:rsidRPr="0035665F">
        <w:rPr>
          <w:rFonts w:ascii="Arial" w:hAnsi="Arial" w:cs="Arial"/>
        </w:rPr>
        <w:t>Analysis of participant responses revealed six primary themes related to seasonality issues, with varying degrees of impact on SGC implementation. Table 1 presents the frequency and ranking of these seasonality factors.</w:t>
      </w:r>
    </w:p>
    <w:p w14:paraId="2B68674A" w14:textId="77777777" w:rsidR="00B1576D" w:rsidRDefault="00B1576D" w:rsidP="00B1576D">
      <w:pPr>
        <w:pStyle w:val="Body"/>
        <w:spacing w:after="0"/>
        <w:rPr>
          <w:rFonts w:ascii="Arial" w:hAnsi="Arial" w:cs="Arial"/>
        </w:rPr>
      </w:pPr>
    </w:p>
    <w:p w14:paraId="5F4F4671" w14:textId="77777777" w:rsidR="009A68A6" w:rsidRDefault="009A68A6" w:rsidP="00B1576D">
      <w:pPr>
        <w:pStyle w:val="Body"/>
        <w:spacing w:after="0"/>
        <w:rPr>
          <w:rFonts w:ascii="Arial" w:hAnsi="Arial" w:cs="Arial"/>
        </w:rPr>
      </w:pPr>
    </w:p>
    <w:p w14:paraId="7F4E3E9B" w14:textId="77777777" w:rsidR="007C5F97" w:rsidRPr="007C5F97" w:rsidRDefault="007C5F97" w:rsidP="007C5F97">
      <w:pPr>
        <w:jc w:val="both"/>
        <w:rPr>
          <w:rFonts w:ascii="Arial" w:hAnsi="Arial" w:cs="Arial"/>
        </w:rPr>
      </w:pPr>
      <w:r w:rsidRPr="007C5F97">
        <w:rPr>
          <w:rFonts w:ascii="Arial" w:hAnsi="Arial" w:cs="Arial"/>
          <w:b/>
          <w:bCs/>
        </w:rPr>
        <w:t>Table 1.</w:t>
      </w:r>
      <w:r w:rsidRPr="007C5F97">
        <w:rPr>
          <w:rFonts w:ascii="Arial" w:hAnsi="Arial" w:cs="Arial"/>
        </w:rPr>
        <w:t xml:space="preserve"> </w:t>
      </w:r>
      <w:r w:rsidRPr="007C5F97">
        <w:rPr>
          <w:rFonts w:ascii="Arial" w:hAnsi="Arial" w:cs="Arial"/>
          <w:i/>
          <w:iCs/>
        </w:rPr>
        <w:t>Seasonality Issues Encountered by Schools in the Implementation of School Governing Council Programs and Initiatives</w:t>
      </w:r>
    </w:p>
    <w:tbl>
      <w:tblPr>
        <w:tblStyle w:val="TableGrid"/>
        <w:tblW w:w="81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2206"/>
        <w:gridCol w:w="1268"/>
      </w:tblGrid>
      <w:tr w:rsidR="007C5F97" w:rsidRPr="007C5F97" w14:paraId="4EC4CB9B" w14:textId="77777777" w:rsidTr="00F3618F">
        <w:trPr>
          <w:trHeight w:val="272"/>
          <w:jc w:val="center"/>
        </w:trPr>
        <w:tc>
          <w:tcPr>
            <w:tcW w:w="4637" w:type="dxa"/>
            <w:tcBorders>
              <w:top w:val="single" w:sz="4" w:space="0" w:color="auto"/>
              <w:bottom w:val="single" w:sz="4" w:space="0" w:color="auto"/>
            </w:tcBorders>
            <w:vAlign w:val="center"/>
            <w:hideMark/>
          </w:tcPr>
          <w:p w14:paraId="77C4AD2D" w14:textId="77777777" w:rsidR="007C5F97" w:rsidRPr="007C5F97" w:rsidRDefault="007C5F97" w:rsidP="00E44EF8">
            <w:pPr>
              <w:jc w:val="center"/>
              <w:rPr>
                <w:rFonts w:ascii="Arial" w:eastAsia="Times New Roman" w:hAnsi="Arial" w:cs="Arial"/>
                <w:b/>
                <w:bCs/>
                <w:sz w:val="20"/>
                <w:szCs w:val="20"/>
              </w:rPr>
            </w:pPr>
            <w:r w:rsidRPr="007C5F97">
              <w:rPr>
                <w:rFonts w:ascii="Arial" w:eastAsia="Times New Roman" w:hAnsi="Arial" w:cs="Arial"/>
                <w:b/>
                <w:bCs/>
                <w:sz w:val="20"/>
                <w:szCs w:val="20"/>
              </w:rPr>
              <w:t>Themes</w:t>
            </w:r>
          </w:p>
        </w:tc>
        <w:tc>
          <w:tcPr>
            <w:tcW w:w="0" w:type="auto"/>
            <w:tcBorders>
              <w:top w:val="single" w:sz="4" w:space="0" w:color="auto"/>
              <w:bottom w:val="single" w:sz="4" w:space="0" w:color="auto"/>
            </w:tcBorders>
            <w:vAlign w:val="center"/>
            <w:hideMark/>
          </w:tcPr>
          <w:p w14:paraId="4F3494B4" w14:textId="77777777" w:rsidR="007C5F97" w:rsidRPr="007C5F97" w:rsidRDefault="007C5F97" w:rsidP="00E44EF8">
            <w:pPr>
              <w:jc w:val="center"/>
              <w:rPr>
                <w:rFonts w:ascii="Arial" w:eastAsia="Times New Roman" w:hAnsi="Arial" w:cs="Arial"/>
                <w:b/>
                <w:bCs/>
                <w:sz w:val="20"/>
                <w:szCs w:val="20"/>
              </w:rPr>
            </w:pPr>
            <w:r w:rsidRPr="007C5F97">
              <w:rPr>
                <w:rFonts w:ascii="Arial" w:eastAsia="Times New Roman" w:hAnsi="Arial" w:cs="Arial"/>
                <w:b/>
                <w:bCs/>
                <w:sz w:val="20"/>
                <w:szCs w:val="20"/>
              </w:rPr>
              <w:t>Frequency</w:t>
            </w:r>
          </w:p>
        </w:tc>
        <w:tc>
          <w:tcPr>
            <w:tcW w:w="0" w:type="auto"/>
            <w:tcBorders>
              <w:top w:val="single" w:sz="4" w:space="0" w:color="auto"/>
              <w:bottom w:val="single" w:sz="4" w:space="0" w:color="auto"/>
            </w:tcBorders>
            <w:vAlign w:val="center"/>
            <w:hideMark/>
          </w:tcPr>
          <w:p w14:paraId="2F3992E3" w14:textId="77777777" w:rsidR="007C5F97" w:rsidRPr="007C5F97" w:rsidRDefault="007C5F97" w:rsidP="00E44EF8">
            <w:pPr>
              <w:jc w:val="center"/>
              <w:rPr>
                <w:rFonts w:ascii="Arial" w:eastAsia="Times New Roman" w:hAnsi="Arial" w:cs="Arial"/>
                <w:b/>
                <w:bCs/>
                <w:sz w:val="20"/>
                <w:szCs w:val="20"/>
              </w:rPr>
            </w:pPr>
            <w:r w:rsidRPr="007C5F97">
              <w:rPr>
                <w:rFonts w:ascii="Arial" w:eastAsia="Times New Roman" w:hAnsi="Arial" w:cs="Arial"/>
                <w:b/>
                <w:bCs/>
                <w:sz w:val="20"/>
                <w:szCs w:val="20"/>
              </w:rPr>
              <w:t>Rank</w:t>
            </w:r>
          </w:p>
        </w:tc>
      </w:tr>
      <w:tr w:rsidR="007C5F97" w:rsidRPr="007C5F97" w14:paraId="3EB0E1DE" w14:textId="77777777" w:rsidTr="00F3618F">
        <w:trPr>
          <w:trHeight w:val="272"/>
          <w:jc w:val="center"/>
        </w:trPr>
        <w:tc>
          <w:tcPr>
            <w:tcW w:w="4637" w:type="dxa"/>
            <w:tcBorders>
              <w:top w:val="single" w:sz="4" w:space="0" w:color="auto"/>
            </w:tcBorders>
            <w:vAlign w:val="center"/>
            <w:hideMark/>
          </w:tcPr>
          <w:p w14:paraId="6EC3DB89"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Funding Availability</w:t>
            </w:r>
          </w:p>
        </w:tc>
        <w:tc>
          <w:tcPr>
            <w:tcW w:w="0" w:type="auto"/>
            <w:tcBorders>
              <w:top w:val="single" w:sz="4" w:space="0" w:color="auto"/>
            </w:tcBorders>
            <w:vAlign w:val="center"/>
            <w:hideMark/>
          </w:tcPr>
          <w:p w14:paraId="6ACA1BFD"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8</w:t>
            </w:r>
          </w:p>
        </w:tc>
        <w:tc>
          <w:tcPr>
            <w:tcW w:w="0" w:type="auto"/>
            <w:tcBorders>
              <w:top w:val="single" w:sz="4" w:space="0" w:color="auto"/>
            </w:tcBorders>
            <w:vAlign w:val="center"/>
            <w:hideMark/>
          </w:tcPr>
          <w:p w14:paraId="66A0B79D"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1</w:t>
            </w:r>
          </w:p>
        </w:tc>
      </w:tr>
      <w:tr w:rsidR="007C5F97" w:rsidRPr="007C5F97" w14:paraId="75723E18" w14:textId="77777777" w:rsidTr="00F3618F">
        <w:trPr>
          <w:trHeight w:val="260"/>
          <w:jc w:val="center"/>
        </w:trPr>
        <w:tc>
          <w:tcPr>
            <w:tcW w:w="4637" w:type="dxa"/>
            <w:vAlign w:val="center"/>
            <w:hideMark/>
          </w:tcPr>
          <w:p w14:paraId="22D5E7B4"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lastRenderedPageBreak/>
              <w:t>Staff Training and Development</w:t>
            </w:r>
          </w:p>
        </w:tc>
        <w:tc>
          <w:tcPr>
            <w:tcW w:w="0" w:type="auto"/>
            <w:vAlign w:val="center"/>
            <w:hideMark/>
          </w:tcPr>
          <w:p w14:paraId="0326A70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7</w:t>
            </w:r>
          </w:p>
        </w:tc>
        <w:tc>
          <w:tcPr>
            <w:tcW w:w="0" w:type="auto"/>
            <w:vAlign w:val="center"/>
            <w:hideMark/>
          </w:tcPr>
          <w:p w14:paraId="7CE19731"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2</w:t>
            </w:r>
          </w:p>
        </w:tc>
      </w:tr>
      <w:tr w:rsidR="007C5F97" w:rsidRPr="007C5F97" w14:paraId="257C7444" w14:textId="77777777" w:rsidTr="00F3618F">
        <w:trPr>
          <w:trHeight w:val="272"/>
          <w:jc w:val="center"/>
        </w:trPr>
        <w:tc>
          <w:tcPr>
            <w:tcW w:w="4637" w:type="dxa"/>
            <w:vAlign w:val="center"/>
            <w:hideMark/>
          </w:tcPr>
          <w:p w14:paraId="3AC502E6"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Conflict with School Calendar</w:t>
            </w:r>
          </w:p>
        </w:tc>
        <w:tc>
          <w:tcPr>
            <w:tcW w:w="0" w:type="auto"/>
            <w:vAlign w:val="center"/>
            <w:hideMark/>
          </w:tcPr>
          <w:p w14:paraId="330D05DA"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6</w:t>
            </w:r>
          </w:p>
        </w:tc>
        <w:tc>
          <w:tcPr>
            <w:tcW w:w="0" w:type="auto"/>
            <w:vAlign w:val="center"/>
            <w:hideMark/>
          </w:tcPr>
          <w:p w14:paraId="15A63CF0"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3.5</w:t>
            </w:r>
          </w:p>
        </w:tc>
      </w:tr>
      <w:tr w:rsidR="007C5F97" w:rsidRPr="007C5F97" w14:paraId="14D4A9AF" w14:textId="77777777" w:rsidTr="00F3618F">
        <w:trPr>
          <w:trHeight w:val="272"/>
          <w:jc w:val="center"/>
        </w:trPr>
        <w:tc>
          <w:tcPr>
            <w:tcW w:w="4637" w:type="dxa"/>
            <w:vAlign w:val="center"/>
            <w:hideMark/>
          </w:tcPr>
          <w:p w14:paraId="32852D9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Changes in Government Policies</w:t>
            </w:r>
          </w:p>
        </w:tc>
        <w:tc>
          <w:tcPr>
            <w:tcW w:w="0" w:type="auto"/>
            <w:vAlign w:val="center"/>
            <w:hideMark/>
          </w:tcPr>
          <w:p w14:paraId="3A31FDDA"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6</w:t>
            </w:r>
          </w:p>
        </w:tc>
        <w:tc>
          <w:tcPr>
            <w:tcW w:w="0" w:type="auto"/>
            <w:vAlign w:val="center"/>
            <w:hideMark/>
          </w:tcPr>
          <w:p w14:paraId="2AE4566F"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3.5</w:t>
            </w:r>
          </w:p>
        </w:tc>
      </w:tr>
      <w:tr w:rsidR="007C5F97" w:rsidRPr="007C5F97" w14:paraId="50EE1BCF" w14:textId="77777777" w:rsidTr="00F3618F">
        <w:trPr>
          <w:trHeight w:val="272"/>
          <w:jc w:val="center"/>
        </w:trPr>
        <w:tc>
          <w:tcPr>
            <w:tcW w:w="4637" w:type="dxa"/>
            <w:vAlign w:val="center"/>
            <w:hideMark/>
          </w:tcPr>
          <w:p w14:paraId="3D7E4B6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Weather Conditions</w:t>
            </w:r>
          </w:p>
        </w:tc>
        <w:tc>
          <w:tcPr>
            <w:tcW w:w="0" w:type="auto"/>
            <w:vAlign w:val="center"/>
            <w:hideMark/>
          </w:tcPr>
          <w:p w14:paraId="311EB9E8"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5</w:t>
            </w:r>
          </w:p>
        </w:tc>
        <w:tc>
          <w:tcPr>
            <w:tcW w:w="0" w:type="auto"/>
            <w:vAlign w:val="center"/>
            <w:hideMark/>
          </w:tcPr>
          <w:p w14:paraId="02CEC1D1"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5</w:t>
            </w:r>
          </w:p>
        </w:tc>
      </w:tr>
      <w:tr w:rsidR="007C5F97" w:rsidRPr="007C5F97" w14:paraId="221CC9D4" w14:textId="77777777" w:rsidTr="00F3618F">
        <w:trPr>
          <w:trHeight w:val="272"/>
          <w:jc w:val="center"/>
        </w:trPr>
        <w:tc>
          <w:tcPr>
            <w:tcW w:w="4637" w:type="dxa"/>
            <w:tcBorders>
              <w:bottom w:val="single" w:sz="4" w:space="0" w:color="auto"/>
            </w:tcBorders>
            <w:vAlign w:val="center"/>
            <w:hideMark/>
          </w:tcPr>
          <w:p w14:paraId="59ADA679"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Availability of Technology</w:t>
            </w:r>
          </w:p>
        </w:tc>
        <w:tc>
          <w:tcPr>
            <w:tcW w:w="0" w:type="auto"/>
            <w:tcBorders>
              <w:bottom w:val="single" w:sz="4" w:space="0" w:color="auto"/>
            </w:tcBorders>
            <w:vAlign w:val="center"/>
            <w:hideMark/>
          </w:tcPr>
          <w:p w14:paraId="75D84B5E"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3</w:t>
            </w:r>
          </w:p>
        </w:tc>
        <w:tc>
          <w:tcPr>
            <w:tcW w:w="0" w:type="auto"/>
            <w:tcBorders>
              <w:bottom w:val="single" w:sz="4" w:space="0" w:color="auto"/>
            </w:tcBorders>
            <w:vAlign w:val="center"/>
            <w:hideMark/>
          </w:tcPr>
          <w:p w14:paraId="05D04612" w14:textId="77777777" w:rsidR="007C5F97" w:rsidRPr="007C5F97" w:rsidRDefault="007C5F97" w:rsidP="00E44EF8">
            <w:pPr>
              <w:jc w:val="center"/>
              <w:rPr>
                <w:rFonts w:ascii="Arial" w:eastAsia="Times New Roman" w:hAnsi="Arial" w:cs="Arial"/>
                <w:sz w:val="20"/>
                <w:szCs w:val="20"/>
              </w:rPr>
            </w:pPr>
            <w:r w:rsidRPr="007C5F97">
              <w:rPr>
                <w:rFonts w:ascii="Arial" w:eastAsia="Times New Roman" w:hAnsi="Arial" w:cs="Arial"/>
                <w:sz w:val="20"/>
                <w:szCs w:val="20"/>
              </w:rPr>
              <w:t>6</w:t>
            </w:r>
          </w:p>
        </w:tc>
      </w:tr>
    </w:tbl>
    <w:p w14:paraId="457780B7" w14:textId="77777777" w:rsidR="00B1576D" w:rsidRDefault="00B1576D" w:rsidP="00B1576D">
      <w:pPr>
        <w:pStyle w:val="Body"/>
        <w:spacing w:after="0"/>
        <w:rPr>
          <w:rFonts w:ascii="Arial" w:hAnsi="Arial" w:cs="Arial"/>
        </w:rPr>
      </w:pPr>
    </w:p>
    <w:p w14:paraId="1491B6E3" w14:textId="77777777" w:rsidR="00B46E43" w:rsidRPr="00B46E43" w:rsidRDefault="00B46E43" w:rsidP="00B46E43">
      <w:pPr>
        <w:pStyle w:val="Body"/>
        <w:spacing w:after="0"/>
        <w:rPr>
          <w:rFonts w:ascii="Arial" w:hAnsi="Arial" w:cs="Arial"/>
        </w:rPr>
      </w:pPr>
      <w:r w:rsidRPr="0078144E">
        <w:rPr>
          <w:rFonts w:ascii="Arial" w:hAnsi="Arial" w:cs="Arial"/>
          <w:b/>
        </w:rPr>
        <w:t>Funding Availability</w:t>
      </w:r>
      <w:r w:rsidRPr="00B46E43">
        <w:rPr>
          <w:rFonts w:ascii="Arial" w:hAnsi="Arial" w:cs="Arial"/>
        </w:rPr>
        <w:t xml:space="preserve"> emerged as the most critical seasonality factor, ranking first in frequency (n = 8). The significant influence of financial resources on the temporal patterns of SGC program implementation is highlighted by this finding. Schools' ability to carry out planned initiatives is directly impacted by the cyclical nature of budget allocations and disbursements, which produces predictable periods of resource abundance and scarcity. Schools are forced to postpone or reduce activities when funding is delayed or insufficient, which results in implementation gaps and decreased program effectiveness. This observation is consistent with research showing how budgetary limitations cause delays and force educational programs to be rescheduled, which ultimately reduces their impact (Colonia et al., 2024).</w:t>
      </w:r>
    </w:p>
    <w:p w14:paraId="3521E41A" w14:textId="77777777" w:rsidR="00B46E43" w:rsidRPr="00B46E43" w:rsidRDefault="00B46E43" w:rsidP="00B46E43">
      <w:pPr>
        <w:pStyle w:val="Body"/>
        <w:spacing w:after="0"/>
        <w:rPr>
          <w:rFonts w:ascii="Arial" w:hAnsi="Arial" w:cs="Arial"/>
        </w:rPr>
      </w:pPr>
    </w:p>
    <w:p w14:paraId="703897C7" w14:textId="77777777" w:rsidR="00B46E43" w:rsidRPr="00B46E43" w:rsidRDefault="00B46E43" w:rsidP="00B46E43">
      <w:pPr>
        <w:pStyle w:val="Body"/>
        <w:spacing w:after="0"/>
        <w:rPr>
          <w:rFonts w:ascii="Arial" w:hAnsi="Arial" w:cs="Arial"/>
        </w:rPr>
      </w:pPr>
      <w:r w:rsidRPr="0078144E">
        <w:rPr>
          <w:rFonts w:ascii="Arial" w:hAnsi="Arial" w:cs="Arial"/>
          <w:b/>
        </w:rPr>
        <w:t>Staff Training and Development</w:t>
      </w:r>
      <w:r w:rsidRPr="00B46E43">
        <w:rPr>
          <w:rFonts w:ascii="Arial" w:hAnsi="Arial" w:cs="Arial"/>
        </w:rPr>
        <w:t xml:space="preserve"> ranked second (frequency = 7, rank = 2), indicating its substantial influence on SGC seasonality. Seasonal patterns govern the availability of training opportunities for SGC members and school personnel, which are frequently concentrated during particular times, like summer vacations or the start of the school year. SGC members may not have the skills needed to carry out programs successfully if training is unavailable or scheduled improperly, which could result in delays and poor quality. This result supports studies that highlight how poor planning and capacity building lead to program implementation bottlenecks and lower governance quality (Clapham, 2024).</w:t>
      </w:r>
    </w:p>
    <w:p w14:paraId="4623A16F" w14:textId="77777777" w:rsidR="00B46E43" w:rsidRPr="00B46E43" w:rsidRDefault="00B46E43" w:rsidP="00B46E43">
      <w:pPr>
        <w:pStyle w:val="Body"/>
        <w:spacing w:after="0"/>
        <w:rPr>
          <w:rFonts w:ascii="Arial" w:hAnsi="Arial" w:cs="Arial"/>
        </w:rPr>
      </w:pPr>
    </w:p>
    <w:p w14:paraId="5FF4E7C7" w14:textId="77777777" w:rsidR="00B46E43" w:rsidRPr="00B46E43" w:rsidRDefault="00B46E43" w:rsidP="00B46E43">
      <w:pPr>
        <w:pStyle w:val="Body"/>
        <w:spacing w:after="0"/>
        <w:rPr>
          <w:rFonts w:ascii="Arial" w:hAnsi="Arial" w:cs="Arial"/>
        </w:rPr>
      </w:pPr>
      <w:r w:rsidRPr="002A49BC">
        <w:rPr>
          <w:rFonts w:ascii="Arial" w:hAnsi="Arial" w:cs="Arial"/>
          <w:b/>
        </w:rPr>
        <w:t>Conflicts with School Calendar and Changes in Government Policies</w:t>
      </w:r>
      <w:r w:rsidRPr="00B46E43">
        <w:rPr>
          <w:rFonts w:ascii="Arial" w:hAnsi="Arial" w:cs="Arial"/>
        </w:rPr>
        <w:t xml:space="preserve"> were tied for third place (frequency = 6, rank = 3.5), both representing significant seasonal challenges. When SGC activities must contend with the rigorous schedule of academic requirements, exams, school events, and administrative deadlines, school calendar conflicts occur. There is little time for SGC meetings and program execution during certain times, especially during exam weeks or significant school events. In a similar vein, policy changes frequently coincide with election cycles or fiscal year transitions, resulting in uncertain times and necessitating modifications to established policies and practices. Similar phenomena are documented in studies, which point out that as schools adjust to new regulations and requirements, policy changes require program modifications and cause implementation delays (Hadley et al., 2024).</w:t>
      </w:r>
    </w:p>
    <w:p w14:paraId="516CAFEF" w14:textId="77777777" w:rsidR="00B46E43" w:rsidRPr="00B46E43" w:rsidRDefault="00B46E43" w:rsidP="00B46E43">
      <w:pPr>
        <w:pStyle w:val="Body"/>
        <w:spacing w:after="0"/>
        <w:rPr>
          <w:rFonts w:ascii="Arial" w:hAnsi="Arial" w:cs="Arial"/>
        </w:rPr>
      </w:pPr>
    </w:p>
    <w:p w14:paraId="51A63A37" w14:textId="77777777" w:rsidR="00B46E43" w:rsidRPr="00B46E43" w:rsidRDefault="00B46E43" w:rsidP="00B46E43">
      <w:pPr>
        <w:pStyle w:val="Body"/>
        <w:spacing w:after="0"/>
        <w:rPr>
          <w:rFonts w:ascii="Arial" w:hAnsi="Arial" w:cs="Arial"/>
        </w:rPr>
      </w:pPr>
      <w:r w:rsidRPr="00265353">
        <w:rPr>
          <w:rFonts w:ascii="Arial" w:hAnsi="Arial" w:cs="Arial"/>
          <w:b/>
        </w:rPr>
        <w:t>Weather Conditions</w:t>
      </w:r>
      <w:r w:rsidRPr="00B46E43">
        <w:rPr>
          <w:rFonts w:ascii="Arial" w:hAnsi="Arial" w:cs="Arial"/>
        </w:rPr>
        <w:t xml:space="preserve"> ranked fifth (frequency = 5, rank = 5), reflecting the Philippines' tropical climate characterized by distinct wet and dry seasons, as well as vulnerability to typhoons and other weather disturbances. Unpredictable disruptions in SGC activities can result from severe weather that damages facilities, cancels meetings, and interferes with school operations. Its lower ranking, however, indicates that schools have created flexible ways to deal with weather-related difficulties. Although program planning is impacted by environmental factors, schools can manage weather-related difficulties by incorporating contingency planning into their schedules (Estrada &amp; Mori, 2025).</w:t>
      </w:r>
    </w:p>
    <w:p w14:paraId="71143A60" w14:textId="77777777" w:rsidR="00B46E43" w:rsidRPr="00B46E43" w:rsidRDefault="00B46E43" w:rsidP="00B46E43">
      <w:pPr>
        <w:pStyle w:val="Body"/>
        <w:spacing w:after="0"/>
        <w:rPr>
          <w:rFonts w:ascii="Arial" w:hAnsi="Arial" w:cs="Arial"/>
        </w:rPr>
      </w:pPr>
    </w:p>
    <w:p w14:paraId="30107262" w14:textId="77777777" w:rsidR="00B46E43" w:rsidRPr="00B46E43" w:rsidRDefault="00B46E43" w:rsidP="00B46E43">
      <w:pPr>
        <w:pStyle w:val="Body"/>
        <w:spacing w:after="0"/>
        <w:rPr>
          <w:rFonts w:ascii="Arial" w:hAnsi="Arial" w:cs="Arial"/>
        </w:rPr>
      </w:pPr>
      <w:r w:rsidRPr="009F282D">
        <w:rPr>
          <w:rFonts w:ascii="Arial" w:hAnsi="Arial" w:cs="Arial"/>
          <w:b/>
        </w:rPr>
        <w:t>Availability of Technology</w:t>
      </w:r>
      <w:r w:rsidRPr="00B46E43">
        <w:rPr>
          <w:rFonts w:ascii="Arial" w:hAnsi="Arial" w:cs="Arial"/>
        </w:rPr>
        <w:t xml:space="preserve"> was the least influential seasonality factor (frequency = 3, rank = 6), suggesting that technological constraints, while present, do not create significant temporal variations in SGC implementation within the study context. This may reflect either </w:t>
      </w:r>
      <w:r w:rsidRPr="00B46E43">
        <w:rPr>
          <w:rFonts w:ascii="Arial" w:hAnsi="Arial" w:cs="Arial"/>
        </w:rPr>
        <w:lastRenderedPageBreak/>
        <w:t>limited reliance on technology for SGC operations or relatively stable patterns of technology access throughout the year.</w:t>
      </w:r>
    </w:p>
    <w:p w14:paraId="0200D6AC" w14:textId="77777777" w:rsidR="00B46E43" w:rsidRPr="00B46E43" w:rsidRDefault="00B46E43" w:rsidP="00B46E43">
      <w:pPr>
        <w:pStyle w:val="Body"/>
        <w:spacing w:after="0"/>
        <w:rPr>
          <w:rFonts w:ascii="Arial" w:hAnsi="Arial" w:cs="Arial"/>
        </w:rPr>
      </w:pPr>
    </w:p>
    <w:p w14:paraId="75383961" w14:textId="77777777" w:rsidR="00B46E43" w:rsidRPr="00B46E43" w:rsidRDefault="00B46E43" w:rsidP="00B46E43">
      <w:pPr>
        <w:pStyle w:val="Body"/>
        <w:spacing w:after="0"/>
        <w:rPr>
          <w:rFonts w:ascii="Arial" w:hAnsi="Arial" w:cs="Arial"/>
        </w:rPr>
      </w:pPr>
      <w:r w:rsidRPr="00B46E43">
        <w:rPr>
          <w:rFonts w:ascii="Arial" w:hAnsi="Arial" w:cs="Arial"/>
        </w:rPr>
        <w:t>These results are in line with earlier studies on school-based initiatives. Even well-designed programs find it difficult to sustain momentum in the absence of steady financial support, according to resea</w:t>
      </w:r>
      <w:r w:rsidR="005B2C55">
        <w:rPr>
          <w:rFonts w:ascii="Arial" w:hAnsi="Arial" w:cs="Arial"/>
        </w:rPr>
        <w:t xml:space="preserve">rch on school-based programs in </w:t>
      </w:r>
      <w:r w:rsidRPr="00B46E43">
        <w:rPr>
          <w:rFonts w:ascii="Arial" w:hAnsi="Arial" w:cs="Arial"/>
        </w:rPr>
        <w:t>resource-constrained settings that identified funding availability and administrative support as critical determinants of program success and sustainability (Guzman, 2022).</w:t>
      </w:r>
    </w:p>
    <w:p w14:paraId="08FE4796" w14:textId="77777777" w:rsidR="00B46E43" w:rsidRPr="00B46E43" w:rsidRDefault="00B46E43" w:rsidP="00B46E43">
      <w:pPr>
        <w:pStyle w:val="Body"/>
        <w:spacing w:after="0"/>
        <w:rPr>
          <w:rFonts w:ascii="Arial" w:hAnsi="Arial" w:cs="Arial"/>
        </w:rPr>
      </w:pPr>
    </w:p>
    <w:p w14:paraId="1E0D0DF3" w14:textId="77777777" w:rsidR="00B46E43" w:rsidRPr="00B46E43" w:rsidRDefault="00FC01B8" w:rsidP="00B46E43">
      <w:pPr>
        <w:pStyle w:val="Body"/>
        <w:spacing w:after="0"/>
        <w:rPr>
          <w:rFonts w:ascii="Arial" w:hAnsi="Arial" w:cs="Arial"/>
        </w:rPr>
      </w:pPr>
      <w:r>
        <w:rPr>
          <w:rFonts w:ascii="Arial" w:hAnsi="Arial" w:cs="Arial"/>
        </w:rPr>
        <w:t>Research on</w:t>
      </w:r>
      <w:r w:rsidR="005B2C55">
        <w:rPr>
          <w:rFonts w:ascii="Arial" w:hAnsi="Arial" w:cs="Arial"/>
        </w:rPr>
        <w:t xml:space="preserve"> stakeholder participation initiatives identified </w:t>
      </w:r>
      <w:r w:rsidR="00774BE4">
        <w:rPr>
          <w:rFonts w:ascii="Arial" w:hAnsi="Arial" w:cs="Arial"/>
        </w:rPr>
        <w:t xml:space="preserve">professional </w:t>
      </w:r>
      <w:r w:rsidR="00B46E43" w:rsidRPr="00B46E43">
        <w:rPr>
          <w:rFonts w:ascii="Arial" w:hAnsi="Arial" w:cs="Arial"/>
        </w:rPr>
        <w:t>development and capacity building as key success factors, highlighting the necessity of continual training for program efficacy (</w:t>
      </w:r>
      <w:proofErr w:type="spellStart"/>
      <w:r w:rsidR="00B46E43" w:rsidRPr="00B46E43">
        <w:rPr>
          <w:rFonts w:ascii="Arial" w:hAnsi="Arial" w:cs="Arial"/>
        </w:rPr>
        <w:t>Jaso</w:t>
      </w:r>
      <w:proofErr w:type="spellEnd"/>
      <w:r w:rsidR="00B46E43" w:rsidRPr="00B46E43">
        <w:rPr>
          <w:rFonts w:ascii="Arial" w:hAnsi="Arial" w:cs="Arial"/>
        </w:rPr>
        <w:t xml:space="preserve"> &amp; </w:t>
      </w:r>
      <w:proofErr w:type="spellStart"/>
      <w:r w:rsidR="00B46E43" w:rsidRPr="00B46E43">
        <w:rPr>
          <w:rFonts w:ascii="Arial" w:hAnsi="Arial" w:cs="Arial"/>
        </w:rPr>
        <w:t>Moleño</w:t>
      </w:r>
      <w:proofErr w:type="spellEnd"/>
      <w:r w:rsidR="00B46E43" w:rsidRPr="00B46E43">
        <w:rPr>
          <w:rFonts w:ascii="Arial" w:hAnsi="Arial" w:cs="Arial"/>
        </w:rPr>
        <w:t>, 2023). The importance of training as a seasonality issue in the current study is directly supported by their research, which highlighted the necessity of continuous capacity building for program effectiveness.</w:t>
      </w:r>
    </w:p>
    <w:p w14:paraId="75DCEF8D" w14:textId="77777777" w:rsidR="00B46E43" w:rsidRPr="00B46E43" w:rsidRDefault="00B46E43" w:rsidP="00B46E43">
      <w:pPr>
        <w:pStyle w:val="Body"/>
        <w:spacing w:after="0"/>
        <w:rPr>
          <w:rFonts w:ascii="Arial" w:hAnsi="Arial" w:cs="Arial"/>
        </w:rPr>
      </w:pPr>
    </w:p>
    <w:p w14:paraId="37DEF0FB" w14:textId="77777777" w:rsidR="00B46E43" w:rsidRPr="00B46E43" w:rsidRDefault="00B46E43" w:rsidP="00B46E43">
      <w:pPr>
        <w:pStyle w:val="Body"/>
        <w:spacing w:after="0"/>
        <w:rPr>
          <w:rFonts w:ascii="Arial" w:hAnsi="Arial" w:cs="Arial"/>
        </w:rPr>
      </w:pPr>
      <w:r w:rsidRPr="00B46E43">
        <w:rPr>
          <w:rFonts w:ascii="Arial" w:hAnsi="Arial" w:cs="Arial"/>
        </w:rPr>
        <w:t>Research on educational program sustainability found that policy adoption and stakeholder engagement played significant roles in enhancing program continuity, underscoring how governance frameworks can create both opportunities and challenges for school programs (Peng et al., 2024). Their work underscores how policy changes can create both opportunities and challenges for school programs, supporting this study's identification of policy changes as a primary seasonality concern.</w:t>
      </w:r>
    </w:p>
    <w:p w14:paraId="7ECF914A" w14:textId="77777777" w:rsidR="00B46E43" w:rsidRPr="00B46E43" w:rsidRDefault="00B46E43" w:rsidP="00B46E43">
      <w:pPr>
        <w:pStyle w:val="Body"/>
        <w:spacing w:after="0"/>
        <w:rPr>
          <w:rFonts w:ascii="Arial" w:hAnsi="Arial" w:cs="Arial"/>
        </w:rPr>
      </w:pPr>
    </w:p>
    <w:p w14:paraId="7C05C85A" w14:textId="77777777" w:rsidR="007C5F97" w:rsidRPr="00B46E43" w:rsidRDefault="00B46E43" w:rsidP="00B46E43">
      <w:pPr>
        <w:pStyle w:val="Body"/>
        <w:spacing w:after="0"/>
        <w:rPr>
          <w:rFonts w:ascii="Arial" w:hAnsi="Arial" w:cs="Arial"/>
        </w:rPr>
      </w:pPr>
      <w:r w:rsidRPr="00B46E43">
        <w:rPr>
          <w:rFonts w:ascii="Arial" w:hAnsi="Arial" w:cs="Arial"/>
        </w:rPr>
        <w:t>The convergence of findings across these studies and the current research suggests that seasonality issues in SGC implementation are not isolated phenomena but reflect broader patterns in educational program management. Schools must develop strategies that account for these predictable seasonal variations, including establishing contingency funds, scheduling training during optimal periods, aligning SGC activities with the school calendar, maintaining policy awareness and adaptability, and building resilience to weather-related disruptions.</w:t>
      </w:r>
    </w:p>
    <w:p w14:paraId="04E42A4C" w14:textId="77777777" w:rsidR="00505F06" w:rsidRDefault="00505F06" w:rsidP="00441B6F">
      <w:pPr>
        <w:pStyle w:val="Body"/>
        <w:spacing w:after="0"/>
        <w:rPr>
          <w:rFonts w:ascii="Arial" w:hAnsi="Arial" w:cs="Arial"/>
        </w:rPr>
      </w:pPr>
    </w:p>
    <w:p w14:paraId="403753FE" w14:textId="77777777" w:rsidR="0022272A" w:rsidRDefault="0022272A" w:rsidP="0022272A">
      <w:pPr>
        <w:pStyle w:val="Body"/>
        <w:spacing w:after="0"/>
        <w:rPr>
          <w:rFonts w:ascii="Arial" w:hAnsi="Arial" w:cs="Arial"/>
        </w:rPr>
      </w:pPr>
      <w:r w:rsidRPr="00B553A8">
        <w:rPr>
          <w:rFonts w:ascii="Arial" w:hAnsi="Arial" w:cs="Arial"/>
          <w:b/>
          <w:caps/>
          <w:sz w:val="22"/>
        </w:rPr>
        <w:t>3</w:t>
      </w:r>
      <w:r w:rsidR="00ED5478" w:rsidRPr="00B553A8">
        <w:rPr>
          <w:rFonts w:ascii="Arial" w:hAnsi="Arial" w:cs="Arial"/>
          <w:b/>
          <w:caps/>
          <w:sz w:val="22"/>
        </w:rPr>
        <w:t>.2</w:t>
      </w:r>
      <w:r w:rsidRPr="00B553A8">
        <w:rPr>
          <w:rFonts w:ascii="Arial" w:hAnsi="Arial" w:cs="Arial"/>
          <w:b/>
          <w:caps/>
          <w:sz w:val="22"/>
        </w:rPr>
        <w:t xml:space="preserve"> </w:t>
      </w:r>
      <w:r w:rsidR="00DF1040" w:rsidRPr="00B553A8">
        <w:rPr>
          <w:rFonts w:ascii="Arial" w:hAnsi="Arial" w:cs="Arial"/>
          <w:b/>
          <w:sz w:val="22"/>
        </w:rPr>
        <w:t>Sustainability Issues Encountered by Schools in the Implementation of School Governing Council Programs and Initiatives</w:t>
      </w:r>
      <w:r w:rsidRPr="00FB3A86">
        <w:rPr>
          <w:rFonts w:ascii="Arial" w:hAnsi="Arial" w:cs="Arial"/>
        </w:rPr>
        <w:t xml:space="preserve"> </w:t>
      </w:r>
    </w:p>
    <w:p w14:paraId="259DFB76" w14:textId="77777777" w:rsidR="0022272A" w:rsidRDefault="0022272A" w:rsidP="0022272A">
      <w:pPr>
        <w:pStyle w:val="Body"/>
        <w:spacing w:after="0"/>
        <w:rPr>
          <w:rFonts w:ascii="Arial" w:hAnsi="Arial" w:cs="Arial"/>
        </w:rPr>
      </w:pPr>
    </w:p>
    <w:p w14:paraId="38C49C95" w14:textId="77777777" w:rsidR="0022272A" w:rsidRDefault="002C2DAE" w:rsidP="0073180E">
      <w:pPr>
        <w:pStyle w:val="Body"/>
        <w:spacing w:after="0"/>
        <w:rPr>
          <w:rFonts w:ascii="Arial" w:hAnsi="Arial" w:cs="Arial"/>
        </w:rPr>
      </w:pPr>
      <w:r w:rsidRPr="002C2DAE">
        <w:rPr>
          <w:rFonts w:ascii="Arial" w:hAnsi="Arial" w:cs="Arial"/>
        </w:rPr>
        <w:t>Sustainability issues jeopardize the long-term sustainability and continuity of SGC programs and initiatives, while seasonality issues cause temporal disruptions. Developing strategies that guarantee SGC programs continue to operate successfully for extended periods of time, ultimately contributing to sustained improvements in school quality and student outcomes, requires an understanding of these sustainability factors. Six key sustainability themes influencing SGC implementation in DepEd Camarines Sur were identified by analysis. The frequency and ranking of these sustainability issues are shown in Table 2.</w:t>
      </w:r>
    </w:p>
    <w:p w14:paraId="69B7DB3D" w14:textId="77777777" w:rsidR="00FB05C5" w:rsidRDefault="00FB05C5" w:rsidP="0073180E">
      <w:pPr>
        <w:pStyle w:val="Body"/>
        <w:spacing w:after="0"/>
        <w:rPr>
          <w:rFonts w:ascii="Arial" w:hAnsi="Arial" w:cs="Arial"/>
        </w:rPr>
      </w:pPr>
    </w:p>
    <w:p w14:paraId="4D62AE91" w14:textId="77777777" w:rsidR="00DA6D62" w:rsidRPr="00DA6D62" w:rsidRDefault="00DA6D62" w:rsidP="00DA6D62">
      <w:pPr>
        <w:jc w:val="both"/>
        <w:rPr>
          <w:rFonts w:ascii="Arial" w:hAnsi="Arial" w:cs="Arial"/>
        </w:rPr>
      </w:pPr>
      <w:r w:rsidRPr="00DA6D62">
        <w:rPr>
          <w:rFonts w:ascii="Arial" w:hAnsi="Arial" w:cs="Arial"/>
          <w:b/>
          <w:bCs/>
        </w:rPr>
        <w:t>Table 2.</w:t>
      </w:r>
      <w:r w:rsidRPr="00DA6D62">
        <w:rPr>
          <w:rFonts w:ascii="Arial" w:hAnsi="Arial" w:cs="Arial"/>
        </w:rPr>
        <w:t xml:space="preserve"> </w:t>
      </w:r>
      <w:r w:rsidRPr="00DA6D62">
        <w:rPr>
          <w:rFonts w:ascii="Arial" w:hAnsi="Arial" w:cs="Arial"/>
          <w:i/>
          <w:iCs/>
        </w:rPr>
        <w:t>Sustainability Issues Encountered by Schools in the Implementation of School Governing Council Programs and Initiatives</w:t>
      </w:r>
    </w:p>
    <w:tbl>
      <w:tblPr>
        <w:tblStyle w:val="TableGrid"/>
        <w:tblW w:w="8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1624"/>
        <w:gridCol w:w="934"/>
      </w:tblGrid>
      <w:tr w:rsidR="00DA6D62" w:rsidRPr="00DA6D62" w14:paraId="2DFD5102" w14:textId="77777777" w:rsidTr="00856739">
        <w:trPr>
          <w:trHeight w:val="254"/>
          <w:jc w:val="center"/>
        </w:trPr>
        <w:tc>
          <w:tcPr>
            <w:tcW w:w="5572" w:type="dxa"/>
            <w:tcBorders>
              <w:top w:val="single" w:sz="4" w:space="0" w:color="auto"/>
              <w:bottom w:val="single" w:sz="4" w:space="0" w:color="auto"/>
            </w:tcBorders>
            <w:vAlign w:val="center"/>
            <w:hideMark/>
          </w:tcPr>
          <w:p w14:paraId="5DCFD0BB" w14:textId="77777777" w:rsidR="00DA6D62" w:rsidRPr="00DA6D62" w:rsidRDefault="00DA6D62" w:rsidP="00DA6D62">
            <w:pPr>
              <w:jc w:val="center"/>
              <w:rPr>
                <w:rFonts w:ascii="Arial" w:eastAsia="Times New Roman" w:hAnsi="Arial" w:cs="Arial"/>
                <w:b/>
                <w:bCs/>
                <w:sz w:val="20"/>
                <w:szCs w:val="20"/>
              </w:rPr>
            </w:pPr>
            <w:r w:rsidRPr="00DA6D62">
              <w:rPr>
                <w:rFonts w:ascii="Arial" w:eastAsia="Times New Roman" w:hAnsi="Arial" w:cs="Arial"/>
                <w:b/>
                <w:bCs/>
                <w:sz w:val="20"/>
                <w:szCs w:val="20"/>
              </w:rPr>
              <w:t>Themes</w:t>
            </w:r>
          </w:p>
        </w:tc>
        <w:tc>
          <w:tcPr>
            <w:tcW w:w="0" w:type="auto"/>
            <w:tcBorders>
              <w:top w:val="single" w:sz="4" w:space="0" w:color="auto"/>
              <w:bottom w:val="single" w:sz="4" w:space="0" w:color="auto"/>
            </w:tcBorders>
            <w:vAlign w:val="center"/>
            <w:hideMark/>
          </w:tcPr>
          <w:p w14:paraId="088790E5" w14:textId="77777777" w:rsidR="00DA6D62" w:rsidRPr="00DA6D62" w:rsidRDefault="00DA6D62" w:rsidP="00DA6D62">
            <w:pPr>
              <w:jc w:val="center"/>
              <w:rPr>
                <w:rFonts w:ascii="Arial" w:eastAsia="Times New Roman" w:hAnsi="Arial" w:cs="Arial"/>
                <w:b/>
                <w:bCs/>
                <w:sz w:val="20"/>
                <w:szCs w:val="20"/>
              </w:rPr>
            </w:pPr>
            <w:r w:rsidRPr="00DA6D62">
              <w:rPr>
                <w:rFonts w:ascii="Arial" w:eastAsia="Times New Roman" w:hAnsi="Arial" w:cs="Arial"/>
                <w:b/>
                <w:bCs/>
                <w:sz w:val="20"/>
                <w:szCs w:val="20"/>
              </w:rPr>
              <w:t>Frequency</w:t>
            </w:r>
          </w:p>
        </w:tc>
        <w:tc>
          <w:tcPr>
            <w:tcW w:w="0" w:type="auto"/>
            <w:tcBorders>
              <w:top w:val="single" w:sz="4" w:space="0" w:color="auto"/>
              <w:bottom w:val="single" w:sz="4" w:space="0" w:color="auto"/>
            </w:tcBorders>
            <w:vAlign w:val="center"/>
            <w:hideMark/>
          </w:tcPr>
          <w:p w14:paraId="53CE5770" w14:textId="77777777" w:rsidR="00DA6D62" w:rsidRPr="00DA6D62" w:rsidRDefault="00DA6D62" w:rsidP="00DA6D62">
            <w:pPr>
              <w:jc w:val="center"/>
              <w:rPr>
                <w:rFonts w:ascii="Arial" w:eastAsia="Times New Roman" w:hAnsi="Arial" w:cs="Arial"/>
                <w:b/>
                <w:bCs/>
                <w:sz w:val="20"/>
                <w:szCs w:val="20"/>
              </w:rPr>
            </w:pPr>
            <w:r w:rsidRPr="00DA6D62">
              <w:rPr>
                <w:rFonts w:ascii="Arial" w:eastAsia="Times New Roman" w:hAnsi="Arial" w:cs="Arial"/>
                <w:b/>
                <w:bCs/>
                <w:sz w:val="20"/>
                <w:szCs w:val="20"/>
              </w:rPr>
              <w:t>Rank</w:t>
            </w:r>
          </w:p>
        </w:tc>
      </w:tr>
      <w:tr w:rsidR="00DA6D62" w:rsidRPr="00DA6D62" w14:paraId="678F96D9" w14:textId="77777777" w:rsidTr="00856739">
        <w:trPr>
          <w:trHeight w:val="254"/>
          <w:jc w:val="center"/>
        </w:trPr>
        <w:tc>
          <w:tcPr>
            <w:tcW w:w="5572" w:type="dxa"/>
            <w:tcBorders>
              <w:top w:val="single" w:sz="4" w:space="0" w:color="auto"/>
            </w:tcBorders>
            <w:vAlign w:val="center"/>
            <w:hideMark/>
          </w:tcPr>
          <w:p w14:paraId="6A199416"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Funding Availability</w:t>
            </w:r>
          </w:p>
        </w:tc>
        <w:tc>
          <w:tcPr>
            <w:tcW w:w="0" w:type="auto"/>
            <w:tcBorders>
              <w:top w:val="single" w:sz="4" w:space="0" w:color="auto"/>
            </w:tcBorders>
            <w:vAlign w:val="center"/>
            <w:hideMark/>
          </w:tcPr>
          <w:p w14:paraId="72531271"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8</w:t>
            </w:r>
          </w:p>
        </w:tc>
        <w:tc>
          <w:tcPr>
            <w:tcW w:w="0" w:type="auto"/>
            <w:tcBorders>
              <w:top w:val="single" w:sz="4" w:space="0" w:color="auto"/>
            </w:tcBorders>
            <w:vAlign w:val="center"/>
            <w:hideMark/>
          </w:tcPr>
          <w:p w14:paraId="77F75BF4"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1</w:t>
            </w:r>
          </w:p>
        </w:tc>
      </w:tr>
      <w:tr w:rsidR="00DA6D62" w:rsidRPr="00DA6D62" w14:paraId="04CD120B" w14:textId="77777777" w:rsidTr="00856739">
        <w:trPr>
          <w:trHeight w:val="243"/>
          <w:jc w:val="center"/>
        </w:trPr>
        <w:tc>
          <w:tcPr>
            <w:tcW w:w="5572" w:type="dxa"/>
            <w:vAlign w:val="center"/>
            <w:hideMark/>
          </w:tcPr>
          <w:p w14:paraId="0A9B02BD"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Lack of Dedicated Time/Commitment of SGC Members</w:t>
            </w:r>
          </w:p>
        </w:tc>
        <w:tc>
          <w:tcPr>
            <w:tcW w:w="0" w:type="auto"/>
            <w:vAlign w:val="center"/>
            <w:hideMark/>
          </w:tcPr>
          <w:p w14:paraId="77C4C275"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7</w:t>
            </w:r>
          </w:p>
        </w:tc>
        <w:tc>
          <w:tcPr>
            <w:tcW w:w="0" w:type="auto"/>
            <w:vAlign w:val="center"/>
            <w:hideMark/>
          </w:tcPr>
          <w:p w14:paraId="5264EC60"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2</w:t>
            </w:r>
          </w:p>
        </w:tc>
      </w:tr>
      <w:tr w:rsidR="00DA6D62" w:rsidRPr="00DA6D62" w14:paraId="5E7957D2" w14:textId="77777777" w:rsidTr="00856739">
        <w:trPr>
          <w:trHeight w:val="254"/>
          <w:jc w:val="center"/>
        </w:trPr>
        <w:tc>
          <w:tcPr>
            <w:tcW w:w="5572" w:type="dxa"/>
            <w:vAlign w:val="center"/>
            <w:hideMark/>
          </w:tcPr>
          <w:p w14:paraId="4A39EA71"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Partnership Sustainability</w:t>
            </w:r>
          </w:p>
        </w:tc>
        <w:tc>
          <w:tcPr>
            <w:tcW w:w="0" w:type="auto"/>
            <w:vAlign w:val="center"/>
            <w:hideMark/>
          </w:tcPr>
          <w:p w14:paraId="2AE3BE9A"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6</w:t>
            </w:r>
          </w:p>
        </w:tc>
        <w:tc>
          <w:tcPr>
            <w:tcW w:w="0" w:type="auto"/>
            <w:vAlign w:val="center"/>
            <w:hideMark/>
          </w:tcPr>
          <w:p w14:paraId="7E13F3B5"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3</w:t>
            </w:r>
          </w:p>
        </w:tc>
      </w:tr>
      <w:tr w:rsidR="00DA6D62" w:rsidRPr="00DA6D62" w14:paraId="33604F62" w14:textId="77777777" w:rsidTr="00856739">
        <w:trPr>
          <w:trHeight w:val="254"/>
          <w:jc w:val="center"/>
        </w:trPr>
        <w:tc>
          <w:tcPr>
            <w:tcW w:w="5572" w:type="dxa"/>
            <w:vAlign w:val="center"/>
            <w:hideMark/>
          </w:tcPr>
          <w:p w14:paraId="702AF0DF"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Resistance to Change</w:t>
            </w:r>
          </w:p>
        </w:tc>
        <w:tc>
          <w:tcPr>
            <w:tcW w:w="0" w:type="auto"/>
            <w:vAlign w:val="center"/>
            <w:hideMark/>
          </w:tcPr>
          <w:p w14:paraId="3A679632"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5</w:t>
            </w:r>
          </w:p>
        </w:tc>
        <w:tc>
          <w:tcPr>
            <w:tcW w:w="0" w:type="auto"/>
            <w:vAlign w:val="center"/>
            <w:hideMark/>
          </w:tcPr>
          <w:p w14:paraId="32F9C751"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4</w:t>
            </w:r>
          </w:p>
        </w:tc>
      </w:tr>
      <w:tr w:rsidR="00DA6D62" w:rsidRPr="00DA6D62" w14:paraId="4F329658" w14:textId="77777777" w:rsidTr="00856739">
        <w:trPr>
          <w:trHeight w:val="254"/>
          <w:jc w:val="center"/>
        </w:trPr>
        <w:tc>
          <w:tcPr>
            <w:tcW w:w="5572" w:type="dxa"/>
            <w:vAlign w:val="center"/>
            <w:hideMark/>
          </w:tcPr>
          <w:p w14:paraId="10D23E18"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Monitoring and Evaluation</w:t>
            </w:r>
          </w:p>
        </w:tc>
        <w:tc>
          <w:tcPr>
            <w:tcW w:w="0" w:type="auto"/>
            <w:vAlign w:val="center"/>
            <w:hideMark/>
          </w:tcPr>
          <w:p w14:paraId="6CA4C9E0"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4</w:t>
            </w:r>
          </w:p>
        </w:tc>
        <w:tc>
          <w:tcPr>
            <w:tcW w:w="0" w:type="auto"/>
            <w:vAlign w:val="center"/>
            <w:hideMark/>
          </w:tcPr>
          <w:p w14:paraId="08E18832"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5</w:t>
            </w:r>
          </w:p>
        </w:tc>
      </w:tr>
      <w:tr w:rsidR="00DA6D62" w:rsidRPr="00DA6D62" w14:paraId="674FB55A" w14:textId="77777777" w:rsidTr="00856739">
        <w:trPr>
          <w:trHeight w:val="254"/>
          <w:jc w:val="center"/>
        </w:trPr>
        <w:tc>
          <w:tcPr>
            <w:tcW w:w="5572" w:type="dxa"/>
            <w:tcBorders>
              <w:bottom w:val="single" w:sz="4" w:space="0" w:color="auto"/>
            </w:tcBorders>
            <w:vAlign w:val="center"/>
            <w:hideMark/>
          </w:tcPr>
          <w:p w14:paraId="62BE7FF0"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Curriculum Alignment</w:t>
            </w:r>
          </w:p>
        </w:tc>
        <w:tc>
          <w:tcPr>
            <w:tcW w:w="0" w:type="auto"/>
            <w:tcBorders>
              <w:bottom w:val="single" w:sz="4" w:space="0" w:color="auto"/>
            </w:tcBorders>
            <w:vAlign w:val="center"/>
            <w:hideMark/>
          </w:tcPr>
          <w:p w14:paraId="413F0F73"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3</w:t>
            </w:r>
          </w:p>
        </w:tc>
        <w:tc>
          <w:tcPr>
            <w:tcW w:w="0" w:type="auto"/>
            <w:tcBorders>
              <w:bottom w:val="single" w:sz="4" w:space="0" w:color="auto"/>
            </w:tcBorders>
            <w:vAlign w:val="center"/>
            <w:hideMark/>
          </w:tcPr>
          <w:p w14:paraId="2B4092E2" w14:textId="77777777" w:rsidR="00DA6D62" w:rsidRPr="00DA6D62" w:rsidRDefault="00DA6D62" w:rsidP="00DA6D62">
            <w:pPr>
              <w:jc w:val="center"/>
              <w:rPr>
                <w:rFonts w:ascii="Arial" w:eastAsia="Times New Roman" w:hAnsi="Arial" w:cs="Arial"/>
                <w:sz w:val="20"/>
                <w:szCs w:val="20"/>
              </w:rPr>
            </w:pPr>
            <w:r w:rsidRPr="00DA6D62">
              <w:rPr>
                <w:rFonts w:ascii="Arial" w:eastAsia="Times New Roman" w:hAnsi="Arial" w:cs="Arial"/>
                <w:sz w:val="20"/>
                <w:szCs w:val="20"/>
              </w:rPr>
              <w:t>6</w:t>
            </w:r>
          </w:p>
        </w:tc>
      </w:tr>
    </w:tbl>
    <w:p w14:paraId="77ED21F2" w14:textId="77777777" w:rsidR="00FB05C5" w:rsidRDefault="00FB05C5" w:rsidP="0073180E">
      <w:pPr>
        <w:pStyle w:val="Body"/>
        <w:spacing w:after="0"/>
        <w:rPr>
          <w:rFonts w:ascii="Arial" w:hAnsi="Arial" w:cs="Arial"/>
        </w:rPr>
      </w:pPr>
    </w:p>
    <w:p w14:paraId="5F3C4277" w14:textId="77777777" w:rsidR="00B553A8" w:rsidRDefault="00B553A8" w:rsidP="00B553A8">
      <w:pPr>
        <w:pStyle w:val="Body"/>
        <w:spacing w:after="0"/>
        <w:rPr>
          <w:rFonts w:ascii="Arial" w:hAnsi="Arial" w:cs="Arial"/>
        </w:rPr>
      </w:pPr>
      <w:r w:rsidRPr="00B553A8">
        <w:rPr>
          <w:rFonts w:ascii="Arial" w:hAnsi="Arial" w:cs="Arial"/>
        </w:rPr>
        <w:lastRenderedPageBreak/>
        <w:t xml:space="preserve">In both the seasonality and sustainability categories, </w:t>
      </w:r>
      <w:r w:rsidRPr="00D10B9E">
        <w:rPr>
          <w:rFonts w:ascii="Arial" w:hAnsi="Arial" w:cs="Arial"/>
          <w:b/>
        </w:rPr>
        <w:t>funding availability</w:t>
      </w:r>
      <w:r w:rsidRPr="00B553A8">
        <w:rPr>
          <w:rFonts w:ascii="Arial" w:hAnsi="Arial" w:cs="Arial"/>
        </w:rPr>
        <w:t xml:space="preserve"> remained the most important sustainability concern (frequency = 8, rank = 1). This dual prominence highlights how important financial resources are to the long-term sustainability and temporal trends of SGC programs. Regardless of other advantageous circumstances, schools cannot sustain their initiatives without consistent and reliable funding. Similar results are found in studies, which show that long-term program viability and the success of school governance initiatives depend on financial sustainability (</w:t>
      </w:r>
      <w:proofErr w:type="spellStart"/>
      <w:r w:rsidRPr="00B553A8">
        <w:rPr>
          <w:rFonts w:ascii="Arial" w:hAnsi="Arial" w:cs="Arial"/>
        </w:rPr>
        <w:t>Shybalkina</w:t>
      </w:r>
      <w:proofErr w:type="spellEnd"/>
      <w:r w:rsidRPr="00B553A8">
        <w:rPr>
          <w:rFonts w:ascii="Arial" w:hAnsi="Arial" w:cs="Arial"/>
        </w:rPr>
        <w:t xml:space="preserve"> and </w:t>
      </w:r>
      <w:proofErr w:type="spellStart"/>
      <w:r w:rsidRPr="00B553A8">
        <w:rPr>
          <w:rFonts w:ascii="Arial" w:hAnsi="Arial" w:cs="Arial"/>
        </w:rPr>
        <w:t>Nabatchi</w:t>
      </w:r>
      <w:proofErr w:type="spellEnd"/>
      <w:r w:rsidRPr="00B553A8">
        <w:rPr>
          <w:rFonts w:ascii="Arial" w:hAnsi="Arial" w:cs="Arial"/>
        </w:rPr>
        <w:t>, 2024).</w:t>
      </w:r>
    </w:p>
    <w:p w14:paraId="25CEAB52" w14:textId="77777777" w:rsidR="00B553A8" w:rsidRPr="00B553A8" w:rsidRDefault="00B553A8" w:rsidP="00B553A8">
      <w:pPr>
        <w:pStyle w:val="Body"/>
        <w:spacing w:after="0"/>
        <w:rPr>
          <w:rFonts w:ascii="Arial" w:hAnsi="Arial" w:cs="Arial"/>
        </w:rPr>
      </w:pPr>
    </w:p>
    <w:p w14:paraId="048F2556" w14:textId="77777777" w:rsidR="00B553A8" w:rsidRPr="00B553A8" w:rsidRDefault="00B553A8" w:rsidP="00B553A8">
      <w:pPr>
        <w:pStyle w:val="Body"/>
        <w:spacing w:after="0"/>
        <w:rPr>
          <w:rFonts w:ascii="Arial" w:hAnsi="Arial" w:cs="Arial"/>
        </w:rPr>
      </w:pPr>
      <w:r w:rsidRPr="00B553A8">
        <w:rPr>
          <w:rFonts w:ascii="Arial" w:hAnsi="Arial" w:cs="Arial"/>
        </w:rPr>
        <w:t>The second-highest ranking</w:t>
      </w:r>
      <w:r w:rsidR="00D10B9E">
        <w:rPr>
          <w:rFonts w:ascii="Arial" w:hAnsi="Arial" w:cs="Arial"/>
        </w:rPr>
        <w:t xml:space="preserve"> (frequency = 7, rank = 2) was </w:t>
      </w:r>
      <w:r w:rsidR="00D10B9E" w:rsidRPr="00D10B9E">
        <w:rPr>
          <w:rFonts w:ascii="Arial" w:hAnsi="Arial" w:cs="Arial"/>
          <w:b/>
        </w:rPr>
        <w:t>lack of dedi</w:t>
      </w:r>
      <w:r w:rsidR="00D10B9E">
        <w:rPr>
          <w:rFonts w:ascii="Arial" w:hAnsi="Arial" w:cs="Arial"/>
          <w:b/>
        </w:rPr>
        <w:t>cated time and commitment of SGC</w:t>
      </w:r>
      <w:r w:rsidR="00D10B9E" w:rsidRPr="00D10B9E">
        <w:rPr>
          <w:rFonts w:ascii="Arial" w:hAnsi="Arial" w:cs="Arial"/>
          <w:b/>
        </w:rPr>
        <w:t xml:space="preserve"> members</w:t>
      </w:r>
      <w:r w:rsidRPr="00B553A8">
        <w:rPr>
          <w:rFonts w:ascii="Arial" w:hAnsi="Arial" w:cs="Arial"/>
        </w:rPr>
        <w:t>," underscoring a serious human resource issue. In addition to their demanding personal and professional obligations, SGC members—especially parents and community representatives—frequently volunteer their time. Even well-funded programs suffer from uneven leadership, insufficient follow-through, and waning momentum in the absence of sincere dedication and sufficient time allocation. According to research, stakeholder commitment and engagement are important factors that determine how effective governing bodies are, and time and resource constraints are major obstacles to continued participation (Gillen, 2024).</w:t>
      </w:r>
    </w:p>
    <w:p w14:paraId="0297FEBB" w14:textId="77777777" w:rsidR="00B553A8" w:rsidRPr="00B553A8" w:rsidRDefault="00B553A8" w:rsidP="00B553A8">
      <w:pPr>
        <w:pStyle w:val="Body"/>
        <w:spacing w:after="0"/>
        <w:rPr>
          <w:rFonts w:ascii="Arial" w:hAnsi="Arial" w:cs="Arial"/>
        </w:rPr>
      </w:pPr>
    </w:p>
    <w:p w14:paraId="1C13FF0A" w14:textId="77777777" w:rsidR="00B553A8" w:rsidRPr="00B553A8" w:rsidRDefault="00B553A8" w:rsidP="00B553A8">
      <w:pPr>
        <w:pStyle w:val="Body"/>
        <w:spacing w:after="0"/>
        <w:rPr>
          <w:rFonts w:ascii="Arial" w:hAnsi="Arial" w:cs="Arial"/>
        </w:rPr>
      </w:pPr>
      <w:r w:rsidRPr="00B553A8">
        <w:rPr>
          <w:rFonts w:ascii="Arial" w:hAnsi="Arial" w:cs="Arial"/>
        </w:rPr>
        <w:t xml:space="preserve">Third place went to </w:t>
      </w:r>
      <w:r w:rsidR="009B1E2F" w:rsidRPr="009B1E2F">
        <w:rPr>
          <w:rFonts w:ascii="Arial" w:hAnsi="Arial" w:cs="Arial"/>
          <w:b/>
        </w:rPr>
        <w:t>partnership sustainability</w:t>
      </w:r>
      <w:r w:rsidRPr="00B553A8">
        <w:rPr>
          <w:rFonts w:ascii="Arial" w:hAnsi="Arial" w:cs="Arial"/>
        </w:rPr>
        <w:t xml:space="preserve"> (frequency = 6, rank = 3), which reflects the difficulties schools have in sustaining fruitful relationships with outside organizations, local government agencies, non-governmental organizations, and community groups. Establishing initial partnerships may be rather simple, but maintaining them over time calls for constant communication, shared commitment, and mutual gain. Research has shown that establishing solid, trusting relationships, guaranteeing reciprocal advantages, and considering partnerships as dynamic resources rather than transactional agreements are all necessary for partnership sustainability (Ngobeni, 2024).</w:t>
      </w:r>
    </w:p>
    <w:p w14:paraId="462BD177" w14:textId="77777777" w:rsidR="00B553A8" w:rsidRPr="00B553A8" w:rsidRDefault="00B553A8" w:rsidP="00B553A8">
      <w:pPr>
        <w:pStyle w:val="Body"/>
        <w:spacing w:after="0"/>
        <w:rPr>
          <w:rFonts w:ascii="Arial" w:hAnsi="Arial" w:cs="Arial"/>
        </w:rPr>
      </w:pPr>
    </w:p>
    <w:p w14:paraId="1A0FA0DE" w14:textId="77777777" w:rsidR="00B553A8" w:rsidRPr="00B553A8" w:rsidRDefault="009B1E2F" w:rsidP="00B553A8">
      <w:pPr>
        <w:pStyle w:val="Body"/>
        <w:spacing w:after="0"/>
        <w:rPr>
          <w:rFonts w:ascii="Arial" w:hAnsi="Arial" w:cs="Arial"/>
        </w:rPr>
      </w:pPr>
      <w:r>
        <w:rPr>
          <w:rFonts w:ascii="Arial" w:hAnsi="Arial" w:cs="Arial"/>
          <w:b/>
        </w:rPr>
        <w:t>Resistance to c</w:t>
      </w:r>
      <w:r w:rsidR="00B553A8" w:rsidRPr="009B1E2F">
        <w:rPr>
          <w:rFonts w:ascii="Arial" w:hAnsi="Arial" w:cs="Arial"/>
          <w:b/>
        </w:rPr>
        <w:t>hange</w:t>
      </w:r>
      <w:r w:rsidR="00B553A8" w:rsidRPr="00B553A8">
        <w:rPr>
          <w:rFonts w:ascii="Arial" w:hAnsi="Arial" w:cs="Arial"/>
        </w:rPr>
        <w:t xml:space="preserve"> came in at number four (frequency = 5, rank = 4), suggesting that some stakeholders might be against or resistant to new initiatives that SGCs introduce. A number of factors, such as comfort with current procedures, skepticism about novel ideas, worries about an increase in workload, or disagreements with SGC priorities, may contribute to this resistance. According to research, stakeholder participation in decision-making processes, strategic change management, and proven benefits are necessary to overcome resistance to change, which is a recurring problem in educational settings (Verger et al. 2024).</w:t>
      </w:r>
    </w:p>
    <w:p w14:paraId="649B27EF" w14:textId="77777777" w:rsidR="00B553A8" w:rsidRPr="00B553A8" w:rsidRDefault="00B553A8" w:rsidP="00B553A8">
      <w:pPr>
        <w:pStyle w:val="Body"/>
        <w:spacing w:after="0"/>
        <w:rPr>
          <w:rFonts w:ascii="Arial" w:hAnsi="Arial" w:cs="Arial"/>
        </w:rPr>
      </w:pPr>
    </w:p>
    <w:p w14:paraId="2F57DA03" w14:textId="77777777" w:rsidR="00B553A8" w:rsidRPr="00B553A8" w:rsidRDefault="00B553A8" w:rsidP="00B553A8">
      <w:pPr>
        <w:pStyle w:val="Body"/>
        <w:spacing w:after="0"/>
        <w:rPr>
          <w:rFonts w:ascii="Arial" w:hAnsi="Arial" w:cs="Arial"/>
        </w:rPr>
      </w:pPr>
      <w:r w:rsidRPr="00B44DB6">
        <w:rPr>
          <w:rFonts w:ascii="Arial" w:hAnsi="Arial" w:cs="Arial"/>
          <w:b/>
        </w:rPr>
        <w:t>Monitoring and evaluation</w:t>
      </w:r>
      <w:r w:rsidRPr="00B553A8">
        <w:rPr>
          <w:rFonts w:ascii="Arial" w:hAnsi="Arial" w:cs="Arial"/>
        </w:rPr>
        <w:t xml:space="preserve"> came in fifth place (frequency = 4, rank = 5), indicating that the sustainability of SGC initiatives is jeopardized by insufficient assessment mechanisms. Schools cannot ascertain whether programs are producing the desired results, pinpoint areas for improvement, or show stakeholders that they are accountable without systematic monitoring and evaluation. Effective evaluation methods are crucial for program optimization and long-term impact, according to studies, and they serve as the foundation for ongoing funding and program improvement (Chacha et al. 2023).</w:t>
      </w:r>
    </w:p>
    <w:p w14:paraId="585364ED" w14:textId="77777777" w:rsidR="00B553A8" w:rsidRPr="00B553A8" w:rsidRDefault="00B553A8" w:rsidP="00B553A8">
      <w:pPr>
        <w:pStyle w:val="Body"/>
        <w:spacing w:after="0"/>
        <w:rPr>
          <w:rFonts w:ascii="Arial" w:hAnsi="Arial" w:cs="Arial"/>
        </w:rPr>
      </w:pPr>
    </w:p>
    <w:p w14:paraId="1253CF03" w14:textId="77777777" w:rsidR="00B553A8" w:rsidRPr="00B553A8" w:rsidRDefault="00B553A8" w:rsidP="00B553A8">
      <w:pPr>
        <w:pStyle w:val="Body"/>
        <w:spacing w:after="0"/>
        <w:rPr>
          <w:rFonts w:ascii="Arial" w:hAnsi="Arial" w:cs="Arial"/>
        </w:rPr>
      </w:pPr>
      <w:r w:rsidRPr="00B553A8">
        <w:rPr>
          <w:rFonts w:ascii="Arial" w:hAnsi="Arial" w:cs="Arial"/>
        </w:rPr>
        <w:t xml:space="preserve">Although still important, </w:t>
      </w:r>
      <w:r w:rsidRPr="00B44DB6">
        <w:rPr>
          <w:rFonts w:ascii="Arial" w:hAnsi="Arial" w:cs="Arial"/>
          <w:b/>
        </w:rPr>
        <w:t>curriculum alignment</w:t>
      </w:r>
      <w:r w:rsidRPr="00B553A8">
        <w:rPr>
          <w:rFonts w:ascii="Arial" w:hAnsi="Arial" w:cs="Arial"/>
        </w:rPr>
        <w:t xml:space="preserve"> was the least common sustainability concern (frequency = 3, rank = 6). SGC initiatives must complement rather than conflict with the school's academic mission in order to be sustained. According to research, initiatives are more likely to receive continuous administrative support and be integrated into regular school operations when they are in line with curriculum and academic goals (</w:t>
      </w:r>
      <w:proofErr w:type="spellStart"/>
      <w:r w:rsidRPr="00B553A8">
        <w:rPr>
          <w:rFonts w:ascii="Arial" w:hAnsi="Arial" w:cs="Arial"/>
        </w:rPr>
        <w:t>Pepugal</w:t>
      </w:r>
      <w:proofErr w:type="spellEnd"/>
      <w:r w:rsidRPr="00B553A8">
        <w:rPr>
          <w:rFonts w:ascii="Arial" w:hAnsi="Arial" w:cs="Arial"/>
        </w:rPr>
        <w:t>, 2022).</w:t>
      </w:r>
    </w:p>
    <w:p w14:paraId="343963AF" w14:textId="77777777" w:rsidR="00B553A8" w:rsidRPr="00B553A8" w:rsidRDefault="00B553A8" w:rsidP="00B553A8">
      <w:pPr>
        <w:pStyle w:val="Body"/>
        <w:spacing w:after="0"/>
        <w:rPr>
          <w:rFonts w:ascii="Arial" w:hAnsi="Arial" w:cs="Arial"/>
        </w:rPr>
      </w:pPr>
    </w:p>
    <w:p w14:paraId="18B1EFE4" w14:textId="77777777" w:rsidR="00B553A8" w:rsidRPr="00B553A8" w:rsidRDefault="00B553A8" w:rsidP="00B553A8">
      <w:pPr>
        <w:pStyle w:val="Body"/>
        <w:spacing w:after="0"/>
        <w:rPr>
          <w:rFonts w:ascii="Arial" w:hAnsi="Arial" w:cs="Arial"/>
        </w:rPr>
      </w:pPr>
      <w:r w:rsidRPr="00B553A8">
        <w:rPr>
          <w:rFonts w:ascii="Arial" w:hAnsi="Arial" w:cs="Arial"/>
        </w:rPr>
        <w:t xml:space="preserve">These results are consistent with global studies on the sustainability of school programs. Monitoring and evaluation were found to be essential for long-term success in research on </w:t>
      </w:r>
      <w:r w:rsidRPr="00B553A8">
        <w:rPr>
          <w:rFonts w:ascii="Arial" w:hAnsi="Arial" w:cs="Arial"/>
        </w:rPr>
        <w:lastRenderedPageBreak/>
        <w:t>school program sustainability, showing that programs with strong assessment systems were more likely to endure and successfully adapt over time (Sattar et al. 2022). Funding availability, curriculum alignment, and monitoring systems were found to be important sustainability factors in research on educational program sustainability, highlighting the complexity of sustainability issues (</w:t>
      </w:r>
      <w:proofErr w:type="spellStart"/>
      <w:r w:rsidRPr="00B553A8">
        <w:rPr>
          <w:rFonts w:ascii="Arial" w:hAnsi="Arial" w:cs="Arial"/>
        </w:rPr>
        <w:t>Murugi</w:t>
      </w:r>
      <w:proofErr w:type="spellEnd"/>
      <w:r w:rsidRPr="00B553A8">
        <w:rPr>
          <w:rFonts w:ascii="Arial" w:hAnsi="Arial" w:cs="Arial"/>
        </w:rPr>
        <w:t xml:space="preserve"> and </w:t>
      </w:r>
      <w:proofErr w:type="spellStart"/>
      <w:r w:rsidRPr="00B553A8">
        <w:rPr>
          <w:rFonts w:ascii="Arial" w:hAnsi="Arial" w:cs="Arial"/>
        </w:rPr>
        <w:t>Mugwe</w:t>
      </w:r>
      <w:proofErr w:type="spellEnd"/>
      <w:r w:rsidRPr="00B553A8">
        <w:rPr>
          <w:rFonts w:ascii="Arial" w:hAnsi="Arial" w:cs="Arial"/>
        </w:rPr>
        <w:t>, 2023). Their study highlights how complex sustainability issues are, necessitating consideration of the financial, educational, and evaluation aspects.</w:t>
      </w:r>
    </w:p>
    <w:p w14:paraId="7D4CC3F5" w14:textId="77777777" w:rsidR="00B553A8" w:rsidRPr="00B553A8" w:rsidRDefault="00B553A8" w:rsidP="00B553A8">
      <w:pPr>
        <w:pStyle w:val="Body"/>
        <w:spacing w:after="0"/>
        <w:rPr>
          <w:rFonts w:ascii="Arial" w:hAnsi="Arial" w:cs="Arial"/>
        </w:rPr>
      </w:pPr>
    </w:p>
    <w:p w14:paraId="05068ECF" w14:textId="77777777" w:rsidR="00B553A8" w:rsidRPr="00B553A8" w:rsidRDefault="00B553A8" w:rsidP="00B553A8">
      <w:pPr>
        <w:pStyle w:val="Body"/>
        <w:spacing w:after="0"/>
        <w:rPr>
          <w:rFonts w:ascii="Arial" w:hAnsi="Arial" w:cs="Arial"/>
        </w:rPr>
      </w:pPr>
      <w:r w:rsidRPr="00B553A8">
        <w:rPr>
          <w:rFonts w:ascii="Arial" w:hAnsi="Arial" w:cs="Arial"/>
        </w:rPr>
        <w:t>These sustainability issues are made more complex by the Philippine setting. Funding limitations are a recurring barrier to decentralization efforts, according to the Philippine Institute for Development Studies, which notes that insufficient and erratic funding restricts local governance bodies' ability to carry out programs successfully. Stakeholder engagement deficiencies are also highlighted in World Bank reports on basic education in the Philippines as obstacles to successful program implementation, highlighting the necessity of ongoing community involvement. Resistance to change was identified as a common obstacle in the implementation of educational reform in the Philippines by an Asian Development Bank study. The study suggested tactics that involve stakeholders at every stage of the reform process and uphold open lines of communication. The significance of established monitoring was emphasized in the United Nations Development Program's study on education sector planning in the Philippines.</w:t>
      </w:r>
    </w:p>
    <w:p w14:paraId="67A157F7" w14:textId="77777777" w:rsidR="00B553A8" w:rsidRPr="00B553A8" w:rsidRDefault="00B553A8" w:rsidP="00B553A8">
      <w:pPr>
        <w:pStyle w:val="Body"/>
        <w:spacing w:after="0"/>
        <w:rPr>
          <w:rFonts w:ascii="Arial" w:hAnsi="Arial" w:cs="Arial"/>
        </w:rPr>
      </w:pPr>
    </w:p>
    <w:p w14:paraId="33B8847C" w14:textId="77777777" w:rsidR="0022272A" w:rsidRPr="00B553A8" w:rsidRDefault="00B553A8" w:rsidP="00B553A8">
      <w:pPr>
        <w:pStyle w:val="Body"/>
        <w:spacing w:after="0"/>
        <w:rPr>
          <w:rFonts w:ascii="Arial" w:hAnsi="Arial" w:cs="Arial"/>
        </w:rPr>
      </w:pPr>
      <w:r w:rsidRPr="00B553A8">
        <w:rPr>
          <w:rFonts w:ascii="Arial" w:hAnsi="Arial" w:cs="Arial"/>
        </w:rPr>
        <w:t>These results imply that a comprehensive, cooperative strategy involving all stakeholders is necessary for sustainability. Local contexts must be taken into account, programs must be modified appropriately, and strong systems for funding, monitoring, evaluation, member engagement, partnership management, and change facilitation must be established. SGC programs can only have a long-lasting positive impact by giving these interrelated factors careful consideration.</w:t>
      </w:r>
    </w:p>
    <w:p w14:paraId="48BF5626" w14:textId="77777777" w:rsidR="00981420" w:rsidRDefault="00981420" w:rsidP="00DB6287">
      <w:pPr>
        <w:pStyle w:val="Body"/>
        <w:spacing w:after="0"/>
        <w:rPr>
          <w:rFonts w:ascii="Arial" w:hAnsi="Arial" w:cs="Arial"/>
        </w:rPr>
      </w:pPr>
    </w:p>
    <w:p w14:paraId="6F58C61F" w14:textId="77777777" w:rsidR="00B3723A" w:rsidRDefault="00B3723A" w:rsidP="00B3723A">
      <w:pPr>
        <w:pStyle w:val="Body"/>
        <w:spacing w:after="0"/>
        <w:rPr>
          <w:rFonts w:ascii="Arial" w:hAnsi="Arial" w:cs="Arial"/>
        </w:rPr>
      </w:pPr>
      <w:r w:rsidRPr="00827E2E">
        <w:rPr>
          <w:rFonts w:ascii="Arial" w:hAnsi="Arial" w:cs="Arial"/>
          <w:b/>
          <w:caps/>
          <w:sz w:val="22"/>
        </w:rPr>
        <w:t>3.</w:t>
      </w:r>
      <w:r w:rsidR="00222A47" w:rsidRPr="00827E2E">
        <w:rPr>
          <w:rFonts w:ascii="Arial" w:hAnsi="Arial" w:cs="Arial"/>
          <w:b/>
          <w:caps/>
          <w:sz w:val="22"/>
        </w:rPr>
        <w:t>3</w:t>
      </w:r>
      <w:r w:rsidRPr="00827E2E">
        <w:rPr>
          <w:rFonts w:ascii="Arial" w:hAnsi="Arial" w:cs="Arial"/>
          <w:b/>
          <w:caps/>
          <w:sz w:val="22"/>
        </w:rPr>
        <w:t xml:space="preserve"> </w:t>
      </w:r>
      <w:r w:rsidR="00222A47" w:rsidRPr="00827E2E">
        <w:rPr>
          <w:rFonts w:ascii="Arial" w:hAnsi="Arial" w:cs="Arial"/>
          <w:b/>
          <w:sz w:val="22"/>
        </w:rPr>
        <w:t>Gains in the Implementation of School Governing Council Programs and Initiatives</w:t>
      </w:r>
      <w:r w:rsidRPr="00FB3A86">
        <w:rPr>
          <w:rFonts w:ascii="Arial" w:hAnsi="Arial" w:cs="Arial"/>
        </w:rPr>
        <w:t xml:space="preserve"> </w:t>
      </w:r>
    </w:p>
    <w:p w14:paraId="3BB576B1" w14:textId="77777777" w:rsidR="00B3723A" w:rsidRDefault="00B3723A" w:rsidP="00B3723A">
      <w:pPr>
        <w:pStyle w:val="Body"/>
        <w:spacing w:after="0"/>
        <w:rPr>
          <w:rFonts w:ascii="Arial" w:hAnsi="Arial" w:cs="Arial"/>
        </w:rPr>
      </w:pPr>
    </w:p>
    <w:p w14:paraId="3B973FA4" w14:textId="77777777" w:rsidR="00981420" w:rsidRDefault="00BD5B7A" w:rsidP="008C7527">
      <w:pPr>
        <w:pStyle w:val="Body"/>
        <w:spacing w:after="0"/>
        <w:rPr>
          <w:rFonts w:ascii="Arial" w:hAnsi="Arial" w:cs="Arial"/>
        </w:rPr>
      </w:pPr>
      <w:r w:rsidRPr="00BD5B7A">
        <w:rPr>
          <w:rFonts w:ascii="Arial" w:hAnsi="Arial" w:cs="Arial"/>
        </w:rPr>
        <w:t>Schools in DepEd Camarines Sur have benefited greatly from the implementation of SGC programs and initiatives, despite the major obstacles mentioned in the preceding sections. These benefits show the worth and potential of shared governance structures when they are put into practice successfully, which justifies ongoing funding for SGC support and development. Eight noteworthy benefits of SGC implementation were found by analysis. The frequency and ranking of these advantages are shown in Table 3.</w:t>
      </w:r>
    </w:p>
    <w:p w14:paraId="34713A2A" w14:textId="77777777" w:rsidR="00E77ACC" w:rsidRDefault="00E77ACC" w:rsidP="008C7527">
      <w:pPr>
        <w:pStyle w:val="Body"/>
        <w:spacing w:after="0"/>
        <w:rPr>
          <w:rFonts w:ascii="Arial" w:hAnsi="Arial" w:cs="Arial"/>
        </w:rPr>
      </w:pPr>
    </w:p>
    <w:p w14:paraId="76D130F3" w14:textId="77777777" w:rsidR="001C6649" w:rsidRPr="001C6649" w:rsidRDefault="001C6649" w:rsidP="001C6649">
      <w:pPr>
        <w:jc w:val="both"/>
        <w:rPr>
          <w:rFonts w:ascii="Arial" w:hAnsi="Arial" w:cs="Arial"/>
        </w:rPr>
      </w:pPr>
      <w:r w:rsidRPr="001C6649">
        <w:rPr>
          <w:rFonts w:ascii="Arial" w:hAnsi="Arial" w:cs="Arial"/>
          <w:b/>
          <w:bCs/>
        </w:rPr>
        <w:t>Table 3. Gains in the Implementation of SGC Programs and Initiatives</w:t>
      </w:r>
    </w:p>
    <w:tbl>
      <w:tblPr>
        <w:tblStyle w:val="TableGrid"/>
        <w:tblW w:w="8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1874"/>
        <w:gridCol w:w="1078"/>
      </w:tblGrid>
      <w:tr w:rsidR="001C6649" w:rsidRPr="001C6649" w14:paraId="76685CD9" w14:textId="77777777" w:rsidTr="002F0425">
        <w:trPr>
          <w:trHeight w:val="274"/>
          <w:jc w:val="center"/>
        </w:trPr>
        <w:tc>
          <w:tcPr>
            <w:tcW w:w="5239" w:type="dxa"/>
            <w:tcBorders>
              <w:top w:val="single" w:sz="4" w:space="0" w:color="auto"/>
              <w:bottom w:val="single" w:sz="4" w:space="0" w:color="auto"/>
            </w:tcBorders>
            <w:hideMark/>
          </w:tcPr>
          <w:p w14:paraId="524FD65C" w14:textId="77777777" w:rsidR="001C6649" w:rsidRPr="001C6649" w:rsidRDefault="001C6649" w:rsidP="002F0425">
            <w:pPr>
              <w:jc w:val="center"/>
              <w:rPr>
                <w:rFonts w:ascii="Arial" w:eastAsia="Times New Roman" w:hAnsi="Arial" w:cs="Arial"/>
                <w:b/>
                <w:bCs/>
                <w:sz w:val="20"/>
                <w:szCs w:val="20"/>
              </w:rPr>
            </w:pPr>
            <w:r w:rsidRPr="001C6649">
              <w:rPr>
                <w:rFonts w:ascii="Arial" w:eastAsia="Times New Roman" w:hAnsi="Arial" w:cs="Arial"/>
                <w:b/>
                <w:bCs/>
                <w:sz w:val="20"/>
                <w:szCs w:val="20"/>
              </w:rPr>
              <w:t>Themes</w:t>
            </w:r>
          </w:p>
        </w:tc>
        <w:tc>
          <w:tcPr>
            <w:tcW w:w="0" w:type="auto"/>
            <w:tcBorders>
              <w:top w:val="single" w:sz="4" w:space="0" w:color="auto"/>
              <w:bottom w:val="single" w:sz="4" w:space="0" w:color="auto"/>
            </w:tcBorders>
            <w:hideMark/>
          </w:tcPr>
          <w:p w14:paraId="5BDF5978" w14:textId="77777777" w:rsidR="001C6649" w:rsidRPr="001C6649" w:rsidRDefault="001C6649" w:rsidP="002F0425">
            <w:pPr>
              <w:jc w:val="center"/>
              <w:rPr>
                <w:rFonts w:ascii="Arial" w:eastAsia="Times New Roman" w:hAnsi="Arial" w:cs="Arial"/>
                <w:b/>
                <w:bCs/>
                <w:sz w:val="20"/>
                <w:szCs w:val="20"/>
              </w:rPr>
            </w:pPr>
            <w:r w:rsidRPr="001C6649">
              <w:rPr>
                <w:rFonts w:ascii="Arial" w:eastAsia="Times New Roman" w:hAnsi="Arial" w:cs="Arial"/>
                <w:b/>
                <w:bCs/>
                <w:sz w:val="20"/>
                <w:szCs w:val="20"/>
              </w:rPr>
              <w:t>Frequency</w:t>
            </w:r>
          </w:p>
        </w:tc>
        <w:tc>
          <w:tcPr>
            <w:tcW w:w="0" w:type="auto"/>
            <w:tcBorders>
              <w:top w:val="single" w:sz="4" w:space="0" w:color="auto"/>
              <w:bottom w:val="single" w:sz="4" w:space="0" w:color="auto"/>
            </w:tcBorders>
            <w:hideMark/>
          </w:tcPr>
          <w:p w14:paraId="22782677" w14:textId="77777777" w:rsidR="001C6649" w:rsidRPr="001C6649" w:rsidRDefault="001C6649" w:rsidP="002F0425">
            <w:pPr>
              <w:jc w:val="center"/>
              <w:rPr>
                <w:rFonts w:ascii="Arial" w:eastAsia="Times New Roman" w:hAnsi="Arial" w:cs="Arial"/>
                <w:b/>
                <w:bCs/>
                <w:sz w:val="20"/>
                <w:szCs w:val="20"/>
              </w:rPr>
            </w:pPr>
            <w:r w:rsidRPr="001C6649">
              <w:rPr>
                <w:rFonts w:ascii="Arial" w:eastAsia="Times New Roman" w:hAnsi="Arial" w:cs="Arial"/>
                <w:b/>
                <w:bCs/>
                <w:sz w:val="20"/>
                <w:szCs w:val="20"/>
              </w:rPr>
              <w:t>Rank</w:t>
            </w:r>
          </w:p>
        </w:tc>
      </w:tr>
      <w:tr w:rsidR="001C6649" w:rsidRPr="001C6649" w14:paraId="0F0AE7BA" w14:textId="77777777" w:rsidTr="002F0425">
        <w:trPr>
          <w:trHeight w:val="274"/>
          <w:jc w:val="center"/>
        </w:trPr>
        <w:tc>
          <w:tcPr>
            <w:tcW w:w="5239" w:type="dxa"/>
            <w:tcBorders>
              <w:top w:val="single" w:sz="4" w:space="0" w:color="auto"/>
            </w:tcBorders>
            <w:hideMark/>
          </w:tcPr>
          <w:p w14:paraId="1CBEE4D3"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Shared Governance</w:t>
            </w:r>
          </w:p>
        </w:tc>
        <w:tc>
          <w:tcPr>
            <w:tcW w:w="0" w:type="auto"/>
            <w:tcBorders>
              <w:top w:val="single" w:sz="4" w:space="0" w:color="auto"/>
            </w:tcBorders>
            <w:hideMark/>
          </w:tcPr>
          <w:p w14:paraId="625D2D05"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8</w:t>
            </w:r>
          </w:p>
        </w:tc>
        <w:tc>
          <w:tcPr>
            <w:tcW w:w="0" w:type="auto"/>
            <w:tcBorders>
              <w:top w:val="single" w:sz="4" w:space="0" w:color="auto"/>
            </w:tcBorders>
            <w:hideMark/>
          </w:tcPr>
          <w:p w14:paraId="2B9505C4"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1</w:t>
            </w:r>
          </w:p>
        </w:tc>
      </w:tr>
      <w:tr w:rsidR="001C6649" w:rsidRPr="001C6649" w14:paraId="4C809FAE" w14:textId="77777777" w:rsidTr="002F0425">
        <w:trPr>
          <w:trHeight w:val="262"/>
          <w:jc w:val="center"/>
        </w:trPr>
        <w:tc>
          <w:tcPr>
            <w:tcW w:w="5239" w:type="dxa"/>
            <w:hideMark/>
          </w:tcPr>
          <w:p w14:paraId="306894E7"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Improved School Climate</w:t>
            </w:r>
          </w:p>
        </w:tc>
        <w:tc>
          <w:tcPr>
            <w:tcW w:w="0" w:type="auto"/>
            <w:hideMark/>
          </w:tcPr>
          <w:p w14:paraId="37251C96"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7</w:t>
            </w:r>
          </w:p>
        </w:tc>
        <w:tc>
          <w:tcPr>
            <w:tcW w:w="0" w:type="auto"/>
            <w:hideMark/>
          </w:tcPr>
          <w:p w14:paraId="25C688F3"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2.5</w:t>
            </w:r>
          </w:p>
        </w:tc>
      </w:tr>
      <w:tr w:rsidR="001C6649" w:rsidRPr="001C6649" w14:paraId="71181DCE" w14:textId="77777777" w:rsidTr="002F0425">
        <w:trPr>
          <w:trHeight w:val="274"/>
          <w:jc w:val="center"/>
        </w:trPr>
        <w:tc>
          <w:tcPr>
            <w:tcW w:w="5239" w:type="dxa"/>
            <w:hideMark/>
          </w:tcPr>
          <w:p w14:paraId="7D7AA20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Enhanced School and Community Relations</w:t>
            </w:r>
          </w:p>
        </w:tc>
        <w:tc>
          <w:tcPr>
            <w:tcW w:w="0" w:type="auto"/>
            <w:hideMark/>
          </w:tcPr>
          <w:p w14:paraId="64A72C94"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7</w:t>
            </w:r>
          </w:p>
        </w:tc>
        <w:tc>
          <w:tcPr>
            <w:tcW w:w="0" w:type="auto"/>
            <w:hideMark/>
          </w:tcPr>
          <w:p w14:paraId="7C66069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2.5</w:t>
            </w:r>
          </w:p>
        </w:tc>
      </w:tr>
      <w:tr w:rsidR="001C6649" w:rsidRPr="001C6649" w14:paraId="05A69E0F" w14:textId="77777777" w:rsidTr="002F0425">
        <w:trPr>
          <w:trHeight w:val="274"/>
          <w:jc w:val="center"/>
        </w:trPr>
        <w:tc>
          <w:tcPr>
            <w:tcW w:w="5239" w:type="dxa"/>
            <w:hideMark/>
          </w:tcPr>
          <w:p w14:paraId="453C5C5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Enhanced Transparency</w:t>
            </w:r>
          </w:p>
        </w:tc>
        <w:tc>
          <w:tcPr>
            <w:tcW w:w="0" w:type="auto"/>
            <w:hideMark/>
          </w:tcPr>
          <w:p w14:paraId="37AFAD8E"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6</w:t>
            </w:r>
          </w:p>
        </w:tc>
        <w:tc>
          <w:tcPr>
            <w:tcW w:w="0" w:type="auto"/>
            <w:hideMark/>
          </w:tcPr>
          <w:p w14:paraId="69A1F7A7"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4</w:t>
            </w:r>
          </w:p>
        </w:tc>
      </w:tr>
      <w:tr w:rsidR="001C6649" w:rsidRPr="001C6649" w14:paraId="08872C88" w14:textId="77777777" w:rsidTr="002F0425">
        <w:trPr>
          <w:trHeight w:val="274"/>
          <w:jc w:val="center"/>
        </w:trPr>
        <w:tc>
          <w:tcPr>
            <w:tcW w:w="5239" w:type="dxa"/>
            <w:hideMark/>
          </w:tcPr>
          <w:p w14:paraId="640A5780"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Increased Stakeholder Involvement</w:t>
            </w:r>
          </w:p>
        </w:tc>
        <w:tc>
          <w:tcPr>
            <w:tcW w:w="0" w:type="auto"/>
            <w:hideMark/>
          </w:tcPr>
          <w:p w14:paraId="7BCBB039"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5</w:t>
            </w:r>
          </w:p>
        </w:tc>
        <w:tc>
          <w:tcPr>
            <w:tcW w:w="0" w:type="auto"/>
            <w:hideMark/>
          </w:tcPr>
          <w:p w14:paraId="50347C08"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5</w:t>
            </w:r>
          </w:p>
        </w:tc>
      </w:tr>
      <w:tr w:rsidR="001C6649" w:rsidRPr="001C6649" w14:paraId="26D2750C" w14:textId="77777777" w:rsidTr="002F0425">
        <w:trPr>
          <w:trHeight w:val="274"/>
          <w:jc w:val="center"/>
        </w:trPr>
        <w:tc>
          <w:tcPr>
            <w:tcW w:w="5239" w:type="dxa"/>
            <w:hideMark/>
          </w:tcPr>
          <w:p w14:paraId="44C406EB"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Increased Accountability</w:t>
            </w:r>
          </w:p>
        </w:tc>
        <w:tc>
          <w:tcPr>
            <w:tcW w:w="0" w:type="auto"/>
            <w:hideMark/>
          </w:tcPr>
          <w:p w14:paraId="2F4A30FA"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4</w:t>
            </w:r>
          </w:p>
        </w:tc>
        <w:tc>
          <w:tcPr>
            <w:tcW w:w="0" w:type="auto"/>
            <w:hideMark/>
          </w:tcPr>
          <w:p w14:paraId="4C45A4DC"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6</w:t>
            </w:r>
          </w:p>
        </w:tc>
      </w:tr>
      <w:tr w:rsidR="001C6649" w:rsidRPr="001C6649" w14:paraId="2319570B" w14:textId="77777777" w:rsidTr="00F079E1">
        <w:trPr>
          <w:trHeight w:val="274"/>
          <w:jc w:val="center"/>
        </w:trPr>
        <w:tc>
          <w:tcPr>
            <w:tcW w:w="5239" w:type="dxa"/>
            <w:hideMark/>
          </w:tcPr>
          <w:p w14:paraId="72E12120"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Improved Academic Performance</w:t>
            </w:r>
          </w:p>
        </w:tc>
        <w:tc>
          <w:tcPr>
            <w:tcW w:w="0" w:type="auto"/>
            <w:hideMark/>
          </w:tcPr>
          <w:p w14:paraId="41C0CBAD"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3</w:t>
            </w:r>
          </w:p>
        </w:tc>
        <w:tc>
          <w:tcPr>
            <w:tcW w:w="0" w:type="auto"/>
            <w:hideMark/>
          </w:tcPr>
          <w:p w14:paraId="1C5279DA"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7</w:t>
            </w:r>
          </w:p>
        </w:tc>
      </w:tr>
      <w:tr w:rsidR="001C6649" w:rsidRPr="001C6649" w14:paraId="0E71ADBA" w14:textId="77777777" w:rsidTr="00F079E1">
        <w:trPr>
          <w:trHeight w:val="262"/>
          <w:jc w:val="center"/>
        </w:trPr>
        <w:tc>
          <w:tcPr>
            <w:tcW w:w="5239" w:type="dxa"/>
            <w:tcBorders>
              <w:bottom w:val="single" w:sz="4" w:space="0" w:color="auto"/>
            </w:tcBorders>
            <w:hideMark/>
          </w:tcPr>
          <w:p w14:paraId="1E2D1957"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Increased Funding Opportunities</w:t>
            </w:r>
          </w:p>
        </w:tc>
        <w:tc>
          <w:tcPr>
            <w:tcW w:w="0" w:type="auto"/>
            <w:tcBorders>
              <w:bottom w:val="single" w:sz="4" w:space="0" w:color="auto"/>
            </w:tcBorders>
            <w:hideMark/>
          </w:tcPr>
          <w:p w14:paraId="4331D800"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2</w:t>
            </w:r>
          </w:p>
        </w:tc>
        <w:tc>
          <w:tcPr>
            <w:tcW w:w="0" w:type="auto"/>
            <w:tcBorders>
              <w:bottom w:val="single" w:sz="4" w:space="0" w:color="auto"/>
            </w:tcBorders>
            <w:hideMark/>
          </w:tcPr>
          <w:p w14:paraId="6A385715" w14:textId="77777777" w:rsidR="001C6649" w:rsidRPr="001C6649" w:rsidRDefault="001C6649" w:rsidP="002F0425">
            <w:pPr>
              <w:jc w:val="center"/>
              <w:rPr>
                <w:rFonts w:ascii="Arial" w:eastAsia="Times New Roman" w:hAnsi="Arial" w:cs="Arial"/>
                <w:sz w:val="20"/>
                <w:szCs w:val="20"/>
              </w:rPr>
            </w:pPr>
            <w:r w:rsidRPr="001C6649">
              <w:rPr>
                <w:rFonts w:ascii="Arial" w:eastAsia="Times New Roman" w:hAnsi="Arial" w:cs="Arial"/>
                <w:sz w:val="20"/>
                <w:szCs w:val="20"/>
              </w:rPr>
              <w:t>8</w:t>
            </w:r>
          </w:p>
        </w:tc>
      </w:tr>
    </w:tbl>
    <w:p w14:paraId="3A227E08" w14:textId="77777777" w:rsidR="00E77ACC" w:rsidRDefault="00E77ACC" w:rsidP="008C7527">
      <w:pPr>
        <w:pStyle w:val="Body"/>
        <w:spacing w:after="0"/>
        <w:rPr>
          <w:rFonts w:ascii="Arial" w:hAnsi="Arial" w:cs="Arial"/>
        </w:rPr>
      </w:pPr>
    </w:p>
    <w:p w14:paraId="5849BAFE" w14:textId="77777777" w:rsidR="00827E2E" w:rsidRPr="00827E2E" w:rsidRDefault="00827E2E" w:rsidP="00827E2E">
      <w:pPr>
        <w:pStyle w:val="Body"/>
        <w:spacing w:after="0"/>
        <w:rPr>
          <w:rFonts w:ascii="Arial" w:hAnsi="Arial" w:cs="Arial"/>
        </w:rPr>
      </w:pPr>
      <w:r w:rsidRPr="00827E2E">
        <w:rPr>
          <w:rFonts w:ascii="Arial" w:hAnsi="Arial" w:cs="Arial"/>
        </w:rPr>
        <w:t xml:space="preserve">The most notable improvement (frequency = 8, rank = 1) was </w:t>
      </w:r>
      <w:r w:rsidRPr="00827E2E">
        <w:rPr>
          <w:rFonts w:ascii="Arial" w:hAnsi="Arial" w:cs="Arial"/>
          <w:b/>
        </w:rPr>
        <w:t>shared governance</w:t>
      </w:r>
      <w:r w:rsidRPr="00827E2E">
        <w:rPr>
          <w:rFonts w:ascii="Arial" w:hAnsi="Arial" w:cs="Arial"/>
        </w:rPr>
        <w:t>, suggesting that SGC implementation has effectively created more participatory decision-</w:t>
      </w:r>
      <w:r w:rsidRPr="00827E2E">
        <w:rPr>
          <w:rFonts w:ascii="Arial" w:hAnsi="Arial" w:cs="Arial"/>
        </w:rPr>
        <w:lastRenderedPageBreak/>
        <w:t>making structures in schools. This discovery signifies a fundamental change from conventional hierarchical governance models to more inclusive and democratic ones where a variety of stakeholders influence school policies and direction. The high shared governance ranking indicates that schools have made great strides in allocating power and incorporating a range of perspectives in decisions that impact the school community. According to research by Adams and Kirst (1999), shared governance organizational structures are associated with better decision-making and organizational performance because they allow for a wider range of viewpoints and specialties to be applied to challenging educational issues.</w:t>
      </w:r>
    </w:p>
    <w:p w14:paraId="1F97840F" w14:textId="77777777" w:rsidR="00827E2E" w:rsidRPr="00827E2E" w:rsidRDefault="00827E2E" w:rsidP="00827E2E">
      <w:pPr>
        <w:pStyle w:val="Body"/>
        <w:spacing w:after="0"/>
        <w:rPr>
          <w:rFonts w:ascii="Arial" w:hAnsi="Arial" w:cs="Arial"/>
        </w:rPr>
      </w:pPr>
    </w:p>
    <w:p w14:paraId="12B1E880" w14:textId="77777777" w:rsidR="00827E2E" w:rsidRPr="00827E2E" w:rsidRDefault="00827E2E" w:rsidP="00827E2E">
      <w:pPr>
        <w:pStyle w:val="Body"/>
        <w:spacing w:after="0"/>
        <w:rPr>
          <w:rFonts w:ascii="Arial" w:hAnsi="Arial" w:cs="Arial"/>
        </w:rPr>
      </w:pPr>
      <w:r w:rsidRPr="00601508">
        <w:rPr>
          <w:rFonts w:ascii="Arial" w:hAnsi="Arial" w:cs="Arial"/>
          <w:b/>
        </w:rPr>
        <w:t>Improved school climate</w:t>
      </w:r>
      <w:r w:rsidRPr="00827E2E">
        <w:rPr>
          <w:rFonts w:ascii="Arial" w:hAnsi="Arial" w:cs="Arial"/>
        </w:rPr>
        <w:t xml:space="preserve"> tied for second place (frequency = 7, rank = 2.5), indicating that SGC programs have had a positive impact on schools' social and emotional environments. The quality of relationships, sense of security, organizational culture, and general atmosphere that define a school are all included in the concept of school climate. The implementation of SGC appears to have improved school climate by fostering more positive interactions among stakeholders, increasing a sense of ownership and belonging, and creating more supportive teaching and learning environments. Cohen </w:t>
      </w:r>
      <w:r w:rsidR="000D715E">
        <w:rPr>
          <w:rFonts w:ascii="Arial" w:hAnsi="Arial" w:cs="Arial"/>
        </w:rPr>
        <w:t>et al.</w:t>
      </w:r>
      <w:r w:rsidRPr="00827E2E">
        <w:rPr>
          <w:rFonts w:ascii="Arial" w:hAnsi="Arial" w:cs="Arial"/>
        </w:rPr>
        <w:t xml:space="preserve"> (2009) confirmed the importance of this finding by finding significant positive correlations between academic performance and stakeholder satisfaction as well as school climate.</w:t>
      </w:r>
    </w:p>
    <w:p w14:paraId="4E31410E" w14:textId="77777777" w:rsidR="00827E2E" w:rsidRPr="00827E2E" w:rsidRDefault="00827E2E" w:rsidP="00827E2E">
      <w:pPr>
        <w:pStyle w:val="Body"/>
        <w:spacing w:after="0"/>
        <w:rPr>
          <w:rFonts w:ascii="Arial" w:hAnsi="Arial" w:cs="Arial"/>
        </w:rPr>
      </w:pPr>
    </w:p>
    <w:p w14:paraId="529985A9" w14:textId="77777777" w:rsidR="00827E2E" w:rsidRPr="00827E2E" w:rsidRDefault="00827E2E" w:rsidP="00827E2E">
      <w:pPr>
        <w:pStyle w:val="Body"/>
        <w:spacing w:after="0"/>
        <w:rPr>
          <w:rFonts w:ascii="Arial" w:hAnsi="Arial" w:cs="Arial"/>
        </w:rPr>
      </w:pPr>
      <w:r w:rsidRPr="00827E2E">
        <w:rPr>
          <w:rFonts w:ascii="Arial" w:hAnsi="Arial" w:cs="Arial"/>
        </w:rPr>
        <w:t xml:space="preserve">Additionally, </w:t>
      </w:r>
      <w:r w:rsidR="00B234A9" w:rsidRPr="00B234A9">
        <w:rPr>
          <w:rFonts w:ascii="Arial" w:hAnsi="Arial" w:cs="Arial"/>
          <w:b/>
        </w:rPr>
        <w:t>enhanced school and community relations</w:t>
      </w:r>
      <w:r w:rsidR="00B234A9" w:rsidRPr="00827E2E">
        <w:rPr>
          <w:rFonts w:ascii="Arial" w:hAnsi="Arial" w:cs="Arial"/>
        </w:rPr>
        <w:t xml:space="preserve"> </w:t>
      </w:r>
      <w:r w:rsidRPr="00827E2E">
        <w:rPr>
          <w:rFonts w:ascii="Arial" w:hAnsi="Arial" w:cs="Arial"/>
        </w:rPr>
        <w:t>scored 2.5 (frequency = 7, tied for second place), suggesting that SGC initiatives have effectively improved ties between local communities and schools. This increase is a result of better communication channels, stronger collaborations between schools and community organizations, increased community awareness of school activities, and increased community involvement in school affairs. Communities gain more ownership and investment in their local schools, and schools gain access to community resources and support as a result of these improved relationships.</w:t>
      </w:r>
    </w:p>
    <w:p w14:paraId="66A97A7C" w14:textId="77777777" w:rsidR="00827E2E" w:rsidRPr="00827E2E" w:rsidRDefault="00827E2E" w:rsidP="00827E2E">
      <w:pPr>
        <w:pStyle w:val="Body"/>
        <w:spacing w:after="0"/>
        <w:rPr>
          <w:rFonts w:ascii="Arial" w:hAnsi="Arial" w:cs="Arial"/>
        </w:rPr>
      </w:pPr>
    </w:p>
    <w:p w14:paraId="0ECCDBF0" w14:textId="77777777" w:rsidR="00827E2E" w:rsidRPr="00827E2E" w:rsidRDefault="00D41CA0" w:rsidP="00827E2E">
      <w:pPr>
        <w:pStyle w:val="Body"/>
        <w:spacing w:after="0"/>
        <w:rPr>
          <w:rFonts w:ascii="Arial" w:hAnsi="Arial" w:cs="Arial"/>
        </w:rPr>
      </w:pPr>
      <w:r w:rsidRPr="00BD6AC3">
        <w:rPr>
          <w:rFonts w:ascii="Arial" w:hAnsi="Arial" w:cs="Arial"/>
          <w:b/>
        </w:rPr>
        <w:t>Enhanced t</w:t>
      </w:r>
      <w:r w:rsidR="00827E2E" w:rsidRPr="00BD6AC3">
        <w:rPr>
          <w:rFonts w:ascii="Arial" w:hAnsi="Arial" w:cs="Arial"/>
          <w:b/>
        </w:rPr>
        <w:t>ransparency</w:t>
      </w:r>
      <w:r w:rsidR="00827E2E" w:rsidRPr="00827E2E">
        <w:rPr>
          <w:rFonts w:ascii="Arial" w:hAnsi="Arial" w:cs="Arial"/>
        </w:rPr>
        <w:t xml:space="preserve"> came in at number four (frequency = 6, rank = 4), indicating that the implementation of SGC has increased the transparency and visibility of school governance procedures for stakeholders. Greater stakeholder access to school data and reports, clearer communication of policies and procedures, easier access to information about school decisions, and more candid discussion of opportunities and challenges are all examples of increased transparency. According to </w:t>
      </w:r>
      <w:proofErr w:type="spellStart"/>
      <w:r w:rsidR="00827E2E" w:rsidRPr="00827E2E">
        <w:rPr>
          <w:rFonts w:ascii="Arial" w:hAnsi="Arial" w:cs="Arial"/>
        </w:rPr>
        <w:t>Leithwood</w:t>
      </w:r>
      <w:proofErr w:type="spellEnd"/>
      <w:r w:rsidR="00827E2E" w:rsidRPr="00827E2E">
        <w:rPr>
          <w:rFonts w:ascii="Arial" w:hAnsi="Arial" w:cs="Arial"/>
        </w:rPr>
        <w:t xml:space="preserve"> and Menzies (1998), by decreasing information asymmetries and boosting accountability, transparency in school governance increases stakeholder trust and improves institutional effectiveness.</w:t>
      </w:r>
    </w:p>
    <w:p w14:paraId="641E4773" w14:textId="77777777" w:rsidR="00827E2E" w:rsidRPr="00827E2E" w:rsidRDefault="00827E2E" w:rsidP="00827E2E">
      <w:pPr>
        <w:pStyle w:val="Body"/>
        <w:spacing w:after="0"/>
        <w:rPr>
          <w:rFonts w:ascii="Arial" w:hAnsi="Arial" w:cs="Arial"/>
        </w:rPr>
      </w:pPr>
    </w:p>
    <w:p w14:paraId="78A7E8A1" w14:textId="77777777" w:rsidR="00827E2E" w:rsidRPr="00827E2E" w:rsidRDefault="00BD6AC3" w:rsidP="00827E2E">
      <w:pPr>
        <w:pStyle w:val="Body"/>
        <w:spacing w:after="0"/>
        <w:rPr>
          <w:rFonts w:ascii="Arial" w:hAnsi="Arial" w:cs="Arial"/>
        </w:rPr>
      </w:pPr>
      <w:r w:rsidRPr="005B2435">
        <w:rPr>
          <w:rFonts w:ascii="Arial" w:hAnsi="Arial" w:cs="Arial"/>
          <w:b/>
        </w:rPr>
        <w:t>Increased stakeholder i</w:t>
      </w:r>
      <w:r w:rsidR="00827E2E" w:rsidRPr="005B2435">
        <w:rPr>
          <w:rFonts w:ascii="Arial" w:hAnsi="Arial" w:cs="Arial"/>
          <w:b/>
        </w:rPr>
        <w:t>nvolvement</w:t>
      </w:r>
      <w:r w:rsidR="00827E2E" w:rsidRPr="00827E2E">
        <w:rPr>
          <w:rFonts w:ascii="Arial" w:hAnsi="Arial" w:cs="Arial"/>
        </w:rPr>
        <w:t xml:space="preserve"> came in at number five (frequency = 5, rank = 5), suggesting that SGC initiatives have been successful in encouraging greater involvement in school affairs outside of conventional governance frameworks. This gain reflects observable increases in student voice in appropriate contexts, parent involvement, community member engagement, and local government interest in school development. Because diverse participation guarantees that decisions reflect a thorough understanding of community needs and resources, Epstein </w:t>
      </w:r>
      <w:r w:rsidR="00F256CD">
        <w:rPr>
          <w:rFonts w:ascii="Arial" w:hAnsi="Arial" w:cs="Arial"/>
        </w:rPr>
        <w:t>et al.</w:t>
      </w:r>
      <w:r w:rsidR="00827E2E" w:rsidRPr="00827E2E">
        <w:rPr>
          <w:rFonts w:ascii="Arial" w:hAnsi="Arial" w:cs="Arial"/>
        </w:rPr>
        <w:t xml:space="preserve"> (2019) showed that meaningful stakeholder involvement in school governance correlates with better educational outcomes.</w:t>
      </w:r>
    </w:p>
    <w:p w14:paraId="5C94713B" w14:textId="77777777" w:rsidR="00827E2E" w:rsidRPr="00827E2E" w:rsidRDefault="00827E2E" w:rsidP="00827E2E">
      <w:pPr>
        <w:pStyle w:val="Body"/>
        <w:spacing w:after="0"/>
        <w:rPr>
          <w:rFonts w:ascii="Arial" w:hAnsi="Arial" w:cs="Arial"/>
        </w:rPr>
      </w:pPr>
    </w:p>
    <w:p w14:paraId="45C8D14E" w14:textId="77777777" w:rsidR="00827E2E" w:rsidRPr="00827E2E" w:rsidRDefault="00827E2E" w:rsidP="00827E2E">
      <w:pPr>
        <w:pStyle w:val="Body"/>
        <w:spacing w:after="0"/>
        <w:rPr>
          <w:rFonts w:ascii="Arial" w:hAnsi="Arial" w:cs="Arial"/>
        </w:rPr>
      </w:pPr>
      <w:r w:rsidRPr="00827E2E">
        <w:rPr>
          <w:rFonts w:ascii="Arial" w:hAnsi="Arial" w:cs="Arial"/>
        </w:rPr>
        <w:t xml:space="preserve">Even though it appears less frequently, </w:t>
      </w:r>
      <w:r w:rsidRPr="002F15D3">
        <w:rPr>
          <w:rFonts w:ascii="Arial" w:hAnsi="Arial" w:cs="Arial"/>
          <w:b/>
        </w:rPr>
        <w:t>increased accountability</w:t>
      </w:r>
      <w:r w:rsidRPr="00827E2E">
        <w:rPr>
          <w:rFonts w:ascii="Arial" w:hAnsi="Arial" w:cs="Arial"/>
        </w:rPr>
        <w:t>—ranked sixth (frequency = 4, rank = 6)—represents a significant benefit of SGC implementation. Clearer performance standards, more organized reporting systems, improved oversight of resource use, and closer ties between choices and results have all strengthened accountability mechanisms.</w:t>
      </w:r>
    </w:p>
    <w:p w14:paraId="44127441" w14:textId="77777777" w:rsidR="00827E2E" w:rsidRPr="00827E2E" w:rsidRDefault="00827E2E" w:rsidP="00827E2E">
      <w:pPr>
        <w:pStyle w:val="Body"/>
        <w:spacing w:after="0"/>
        <w:rPr>
          <w:rFonts w:ascii="Arial" w:hAnsi="Arial" w:cs="Arial"/>
        </w:rPr>
      </w:pPr>
    </w:p>
    <w:p w14:paraId="1302B011" w14:textId="77777777" w:rsidR="00827E2E" w:rsidRPr="00827E2E" w:rsidRDefault="003664A2" w:rsidP="00827E2E">
      <w:pPr>
        <w:pStyle w:val="Body"/>
        <w:spacing w:after="0"/>
        <w:rPr>
          <w:rFonts w:ascii="Arial" w:hAnsi="Arial" w:cs="Arial"/>
        </w:rPr>
      </w:pPr>
      <w:r w:rsidRPr="00382124">
        <w:rPr>
          <w:rFonts w:ascii="Arial" w:hAnsi="Arial" w:cs="Arial"/>
          <w:b/>
        </w:rPr>
        <w:t>Improved academic p</w:t>
      </w:r>
      <w:r w:rsidR="00827E2E" w:rsidRPr="00382124">
        <w:rPr>
          <w:rFonts w:ascii="Arial" w:hAnsi="Arial" w:cs="Arial"/>
          <w:b/>
        </w:rPr>
        <w:t>erformance</w:t>
      </w:r>
      <w:r w:rsidR="00827E2E" w:rsidRPr="00827E2E">
        <w:rPr>
          <w:rFonts w:ascii="Arial" w:hAnsi="Arial" w:cs="Arial"/>
        </w:rPr>
        <w:t xml:space="preserve"> came in at number seven (frequency = 3, rank = 7) with a lower frequency, indicating that although some schools have seen improvements in </w:t>
      </w:r>
      <w:r w:rsidR="00827E2E" w:rsidRPr="00827E2E">
        <w:rPr>
          <w:rFonts w:ascii="Arial" w:hAnsi="Arial" w:cs="Arial"/>
        </w:rPr>
        <w:lastRenderedPageBreak/>
        <w:t>academic performance, this gain is not as widely reported as benefits related to governance and the climate. This result is consistent with Hill and Lake's (2002) observation that improvements in academic performance frequently take longer to manifest than changes in governance because improved governance must first have an impact on instructional strategies and school operations before it can affect student achievement. The comparatively low ranking reflects the longer time horizons usually needed for governance reforms to translate into quantifiable academic outcomes, rather than downplaying the significance of this gain.</w:t>
      </w:r>
    </w:p>
    <w:p w14:paraId="69293678" w14:textId="77777777" w:rsidR="00827E2E" w:rsidRPr="00827E2E" w:rsidRDefault="00827E2E" w:rsidP="00827E2E">
      <w:pPr>
        <w:pStyle w:val="Body"/>
        <w:spacing w:after="0"/>
        <w:rPr>
          <w:rFonts w:ascii="Arial" w:hAnsi="Arial" w:cs="Arial"/>
        </w:rPr>
      </w:pPr>
    </w:p>
    <w:p w14:paraId="6D1B7F92" w14:textId="77777777" w:rsidR="00827E2E" w:rsidRPr="00827E2E" w:rsidRDefault="009B25E9" w:rsidP="00827E2E">
      <w:pPr>
        <w:pStyle w:val="Body"/>
        <w:spacing w:after="0"/>
        <w:rPr>
          <w:rFonts w:ascii="Arial" w:hAnsi="Arial" w:cs="Arial"/>
        </w:rPr>
      </w:pPr>
      <w:r w:rsidRPr="0036278A">
        <w:rPr>
          <w:rFonts w:ascii="Arial" w:hAnsi="Arial" w:cs="Arial"/>
          <w:b/>
        </w:rPr>
        <w:t>Increased funding o</w:t>
      </w:r>
      <w:r w:rsidR="00827E2E" w:rsidRPr="0036278A">
        <w:rPr>
          <w:rFonts w:ascii="Arial" w:hAnsi="Arial" w:cs="Arial"/>
          <w:b/>
        </w:rPr>
        <w:t>pportunities</w:t>
      </w:r>
      <w:r w:rsidR="00827E2E" w:rsidRPr="00827E2E">
        <w:rPr>
          <w:rFonts w:ascii="Arial" w:hAnsi="Arial" w:cs="Arial"/>
        </w:rPr>
        <w:t xml:space="preserve"> was ranked lowest (frequency = 2, rank = 8), suggesting that although some schools have benefited from new funding sources made possible by SGC initiatives, this advantage is not shared by all. Although these opportunities seem to materialize less frequently than other gains, improved community relationships and partnerships may open doors to additional resources from local government, the private sector, or community organizations.</w:t>
      </w:r>
    </w:p>
    <w:p w14:paraId="52F9E60B" w14:textId="77777777" w:rsidR="00827E2E" w:rsidRPr="00827E2E" w:rsidRDefault="00827E2E" w:rsidP="00827E2E">
      <w:pPr>
        <w:pStyle w:val="Body"/>
        <w:spacing w:after="0"/>
        <w:rPr>
          <w:rFonts w:ascii="Arial" w:hAnsi="Arial" w:cs="Arial"/>
        </w:rPr>
      </w:pPr>
    </w:p>
    <w:p w14:paraId="57FB2450" w14:textId="77777777" w:rsidR="00827E2E" w:rsidRPr="00827E2E" w:rsidRDefault="00827E2E" w:rsidP="00827E2E">
      <w:pPr>
        <w:pStyle w:val="Body"/>
        <w:spacing w:after="0"/>
        <w:rPr>
          <w:rFonts w:ascii="Arial" w:hAnsi="Arial" w:cs="Arial"/>
        </w:rPr>
      </w:pPr>
      <w:r w:rsidRPr="00827E2E">
        <w:rPr>
          <w:rFonts w:ascii="Arial" w:hAnsi="Arial" w:cs="Arial"/>
        </w:rPr>
        <w:t>These results are in good agreement with research conducted worldwide on school governing councils. According to research, School Governing Councils can improve school governance and boost stakeholder involvement, especially when school leaders show a high level of commitment and when all stakeholders' roles and responsibilities are clearly defined (Villarreal and Rodríguez, 2011). Additionally, their study demonstrated that SGCs can improve student outcomes, particularly when they concentrate on enhancing instructional strategies. Research has shown that school governance structures can enhance school climate and school-community relations, especially when trust, collaboration, and shared accountability among stakeholders are prioritized (Brenton &amp; Slawinski, 2023). Additionally, their research showed that SGCs improve student outcomes and resource management by fostering greater accountability and transparency in decision-making processes.</w:t>
      </w:r>
    </w:p>
    <w:p w14:paraId="58ACF59D" w14:textId="77777777" w:rsidR="00827E2E" w:rsidRPr="00827E2E" w:rsidRDefault="00827E2E" w:rsidP="00827E2E">
      <w:pPr>
        <w:pStyle w:val="Body"/>
        <w:spacing w:after="0"/>
        <w:rPr>
          <w:rFonts w:ascii="Arial" w:hAnsi="Arial" w:cs="Arial"/>
        </w:rPr>
      </w:pPr>
    </w:p>
    <w:p w14:paraId="7E577F18" w14:textId="77777777" w:rsidR="00D25C2A" w:rsidRPr="00827E2E" w:rsidRDefault="00827E2E" w:rsidP="00827E2E">
      <w:pPr>
        <w:pStyle w:val="Body"/>
        <w:spacing w:after="0"/>
        <w:rPr>
          <w:rFonts w:ascii="Arial" w:hAnsi="Arial" w:cs="Arial"/>
        </w:rPr>
      </w:pPr>
      <w:r w:rsidRPr="00827E2E">
        <w:rPr>
          <w:rFonts w:ascii="Arial" w:hAnsi="Arial" w:cs="Arial"/>
        </w:rPr>
        <w:t>The results of this study show that, in spite of its difficulties, SGC implementation yields significant advantages that support ongoing funding and improvement. The fundamental promise of participatory governance appears to be being fulfilled in DepEd Camarines Sur schools, as evidenced by the prominence of shared governance, improved school climate, and improved community relations. The lower rankings for funding gains and academic performance, however, point to areas that require more assistance and development in order to reach SGC's full potential.</w:t>
      </w:r>
    </w:p>
    <w:p w14:paraId="7DB3AD9B" w14:textId="77777777" w:rsidR="00B37BF4" w:rsidRDefault="00B37BF4" w:rsidP="009C55D1">
      <w:pPr>
        <w:pStyle w:val="Body"/>
        <w:spacing w:after="0"/>
        <w:rPr>
          <w:rFonts w:ascii="Arial" w:hAnsi="Arial" w:cs="Arial"/>
        </w:rPr>
      </w:pPr>
    </w:p>
    <w:p w14:paraId="7118171B" w14:textId="77777777" w:rsidR="00D275EB" w:rsidRDefault="00D275EB" w:rsidP="00D275EB">
      <w:pPr>
        <w:pStyle w:val="Body"/>
        <w:spacing w:after="0"/>
        <w:rPr>
          <w:rFonts w:ascii="Arial" w:hAnsi="Arial" w:cs="Arial"/>
        </w:rPr>
      </w:pPr>
      <w:r w:rsidRPr="00A86873">
        <w:rPr>
          <w:rFonts w:ascii="Arial" w:hAnsi="Arial" w:cs="Arial"/>
          <w:b/>
          <w:caps/>
          <w:sz w:val="22"/>
        </w:rPr>
        <w:t>3.</w:t>
      </w:r>
      <w:r w:rsidR="001D2D57" w:rsidRPr="00A86873">
        <w:rPr>
          <w:rFonts w:ascii="Arial" w:hAnsi="Arial" w:cs="Arial"/>
          <w:b/>
          <w:caps/>
          <w:sz w:val="22"/>
        </w:rPr>
        <w:t>4</w:t>
      </w:r>
      <w:r w:rsidRPr="00A86873">
        <w:rPr>
          <w:rFonts w:ascii="Arial" w:hAnsi="Arial" w:cs="Arial"/>
          <w:b/>
          <w:caps/>
          <w:sz w:val="22"/>
        </w:rPr>
        <w:t xml:space="preserve"> </w:t>
      </w:r>
      <w:r w:rsidR="002222FF" w:rsidRPr="00A86873">
        <w:rPr>
          <w:rFonts w:ascii="Arial" w:hAnsi="Arial" w:cs="Arial"/>
          <w:b/>
          <w:sz w:val="22"/>
        </w:rPr>
        <w:t>Gaps in the Implementation of School Governing Council Programs and Initiatives</w:t>
      </w:r>
      <w:r w:rsidRPr="00FB3A86">
        <w:rPr>
          <w:rFonts w:ascii="Arial" w:hAnsi="Arial" w:cs="Arial"/>
        </w:rPr>
        <w:t xml:space="preserve"> </w:t>
      </w:r>
    </w:p>
    <w:p w14:paraId="443B5421" w14:textId="77777777" w:rsidR="00D275EB" w:rsidRDefault="00D275EB" w:rsidP="00D275EB">
      <w:pPr>
        <w:pStyle w:val="Body"/>
        <w:spacing w:after="0"/>
        <w:rPr>
          <w:rFonts w:ascii="Arial" w:hAnsi="Arial" w:cs="Arial"/>
        </w:rPr>
      </w:pPr>
    </w:p>
    <w:p w14:paraId="3317506E" w14:textId="77777777" w:rsidR="00B37BF4" w:rsidRDefault="00A86873" w:rsidP="00AE3279">
      <w:pPr>
        <w:pStyle w:val="Body"/>
        <w:spacing w:after="0"/>
        <w:rPr>
          <w:rFonts w:ascii="Arial" w:hAnsi="Arial" w:cs="Arial"/>
        </w:rPr>
      </w:pPr>
      <w:r w:rsidRPr="00A86873">
        <w:rPr>
          <w:rFonts w:ascii="Arial" w:hAnsi="Arial" w:cs="Arial"/>
        </w:rPr>
        <w:t>Although SGC implementation has produced notable gains, there are still significant gaps that limit the full potential of these governance structures. In order to strengthen SGC effectiveness and guarantee that the benefits of shared governance reach all schools and communities in DepEd Camarines Sur, it is imperative to identify and address these gaps. Analysis revealed eight significant implementation gaps. Table 4 displays the frequency and ranking of these deficiencies.</w:t>
      </w:r>
    </w:p>
    <w:p w14:paraId="207548A8" w14:textId="77777777" w:rsidR="004800C2" w:rsidRDefault="004800C2" w:rsidP="00AE3279">
      <w:pPr>
        <w:pStyle w:val="Body"/>
        <w:spacing w:after="0"/>
        <w:rPr>
          <w:rFonts w:ascii="Arial" w:hAnsi="Arial" w:cs="Arial"/>
        </w:rPr>
      </w:pPr>
    </w:p>
    <w:p w14:paraId="4E710D74" w14:textId="77777777" w:rsidR="00AB562D" w:rsidRPr="00AB562D" w:rsidRDefault="00AB562D" w:rsidP="00AB562D">
      <w:pPr>
        <w:jc w:val="both"/>
        <w:rPr>
          <w:rFonts w:ascii="Arial" w:hAnsi="Arial" w:cs="Arial"/>
        </w:rPr>
      </w:pPr>
      <w:r w:rsidRPr="00AB562D">
        <w:rPr>
          <w:rFonts w:ascii="Arial" w:hAnsi="Arial" w:cs="Arial"/>
          <w:b/>
          <w:bCs/>
        </w:rPr>
        <w:t>Table 4. Gaps in the Implementation of SGC Programs and Initiatives</w:t>
      </w:r>
    </w:p>
    <w:tbl>
      <w:tblPr>
        <w:tblStyle w:val="TableGrid"/>
        <w:tblW w:w="8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0"/>
        <w:gridCol w:w="1514"/>
        <w:gridCol w:w="871"/>
      </w:tblGrid>
      <w:tr w:rsidR="00AB562D" w:rsidRPr="00AB562D" w14:paraId="5BC0152F" w14:textId="77777777" w:rsidTr="00F744BF">
        <w:trPr>
          <w:trHeight w:val="278"/>
          <w:jc w:val="center"/>
        </w:trPr>
        <w:tc>
          <w:tcPr>
            <w:tcW w:w="5870" w:type="dxa"/>
            <w:tcBorders>
              <w:top w:val="single" w:sz="4" w:space="0" w:color="auto"/>
              <w:bottom w:val="single" w:sz="4" w:space="0" w:color="auto"/>
            </w:tcBorders>
            <w:hideMark/>
          </w:tcPr>
          <w:p w14:paraId="621DEC5C" w14:textId="77777777" w:rsidR="00AB562D" w:rsidRPr="00AB562D" w:rsidRDefault="00AB562D" w:rsidP="008E597D">
            <w:pPr>
              <w:jc w:val="center"/>
              <w:rPr>
                <w:rFonts w:ascii="Arial" w:eastAsia="Times New Roman" w:hAnsi="Arial" w:cs="Arial"/>
                <w:b/>
                <w:bCs/>
                <w:sz w:val="20"/>
                <w:szCs w:val="20"/>
              </w:rPr>
            </w:pPr>
            <w:r w:rsidRPr="00AB562D">
              <w:rPr>
                <w:rFonts w:ascii="Arial" w:eastAsia="Times New Roman" w:hAnsi="Arial" w:cs="Arial"/>
                <w:b/>
                <w:bCs/>
                <w:sz w:val="20"/>
                <w:szCs w:val="20"/>
              </w:rPr>
              <w:t>Themes</w:t>
            </w:r>
          </w:p>
        </w:tc>
        <w:tc>
          <w:tcPr>
            <w:tcW w:w="0" w:type="auto"/>
            <w:tcBorders>
              <w:top w:val="single" w:sz="4" w:space="0" w:color="auto"/>
              <w:bottom w:val="single" w:sz="4" w:space="0" w:color="auto"/>
            </w:tcBorders>
            <w:hideMark/>
          </w:tcPr>
          <w:p w14:paraId="310181BB" w14:textId="77777777" w:rsidR="00AB562D" w:rsidRPr="00AB562D" w:rsidRDefault="00AB562D" w:rsidP="008E597D">
            <w:pPr>
              <w:jc w:val="center"/>
              <w:rPr>
                <w:rFonts w:ascii="Arial" w:eastAsia="Times New Roman" w:hAnsi="Arial" w:cs="Arial"/>
                <w:b/>
                <w:bCs/>
                <w:sz w:val="20"/>
                <w:szCs w:val="20"/>
              </w:rPr>
            </w:pPr>
            <w:r w:rsidRPr="00AB562D">
              <w:rPr>
                <w:rFonts w:ascii="Arial" w:eastAsia="Times New Roman" w:hAnsi="Arial" w:cs="Arial"/>
                <w:b/>
                <w:bCs/>
                <w:sz w:val="20"/>
                <w:szCs w:val="20"/>
              </w:rPr>
              <w:t>Frequency</w:t>
            </w:r>
          </w:p>
        </w:tc>
        <w:tc>
          <w:tcPr>
            <w:tcW w:w="0" w:type="auto"/>
            <w:tcBorders>
              <w:top w:val="single" w:sz="4" w:space="0" w:color="auto"/>
              <w:bottom w:val="single" w:sz="4" w:space="0" w:color="auto"/>
            </w:tcBorders>
            <w:hideMark/>
          </w:tcPr>
          <w:p w14:paraId="21DAA386" w14:textId="77777777" w:rsidR="00AB562D" w:rsidRPr="00AB562D" w:rsidRDefault="00AB562D" w:rsidP="008E597D">
            <w:pPr>
              <w:jc w:val="center"/>
              <w:rPr>
                <w:rFonts w:ascii="Arial" w:eastAsia="Times New Roman" w:hAnsi="Arial" w:cs="Arial"/>
                <w:b/>
                <w:bCs/>
                <w:sz w:val="20"/>
                <w:szCs w:val="20"/>
              </w:rPr>
            </w:pPr>
            <w:r w:rsidRPr="00AB562D">
              <w:rPr>
                <w:rFonts w:ascii="Arial" w:eastAsia="Times New Roman" w:hAnsi="Arial" w:cs="Arial"/>
                <w:b/>
                <w:bCs/>
                <w:sz w:val="20"/>
                <w:szCs w:val="20"/>
              </w:rPr>
              <w:t>Rank</w:t>
            </w:r>
          </w:p>
        </w:tc>
      </w:tr>
      <w:tr w:rsidR="00AB562D" w:rsidRPr="00AB562D" w14:paraId="1D76ECB6" w14:textId="77777777" w:rsidTr="00F744BF">
        <w:trPr>
          <w:trHeight w:val="278"/>
          <w:jc w:val="center"/>
        </w:trPr>
        <w:tc>
          <w:tcPr>
            <w:tcW w:w="5870" w:type="dxa"/>
            <w:tcBorders>
              <w:top w:val="single" w:sz="4" w:space="0" w:color="auto"/>
            </w:tcBorders>
            <w:hideMark/>
          </w:tcPr>
          <w:p w14:paraId="72F98D2E"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Lack of Training of SGC Members</w:t>
            </w:r>
          </w:p>
        </w:tc>
        <w:tc>
          <w:tcPr>
            <w:tcW w:w="0" w:type="auto"/>
            <w:tcBorders>
              <w:top w:val="single" w:sz="4" w:space="0" w:color="auto"/>
            </w:tcBorders>
            <w:hideMark/>
          </w:tcPr>
          <w:p w14:paraId="6AAA0722"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c>
          <w:tcPr>
            <w:tcW w:w="0" w:type="auto"/>
            <w:tcBorders>
              <w:top w:val="single" w:sz="4" w:space="0" w:color="auto"/>
            </w:tcBorders>
            <w:hideMark/>
          </w:tcPr>
          <w:p w14:paraId="17E09313"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r>
      <w:tr w:rsidR="00AB562D" w:rsidRPr="00AB562D" w14:paraId="7112281F" w14:textId="77777777" w:rsidTr="00F744BF">
        <w:trPr>
          <w:trHeight w:val="266"/>
          <w:jc w:val="center"/>
        </w:trPr>
        <w:tc>
          <w:tcPr>
            <w:tcW w:w="5870" w:type="dxa"/>
            <w:hideMark/>
          </w:tcPr>
          <w:p w14:paraId="7663CD6B"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Capacity/Understanding of Roles and Responsibilities</w:t>
            </w:r>
          </w:p>
        </w:tc>
        <w:tc>
          <w:tcPr>
            <w:tcW w:w="0" w:type="auto"/>
            <w:hideMark/>
          </w:tcPr>
          <w:p w14:paraId="6DCC70C3"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c>
          <w:tcPr>
            <w:tcW w:w="0" w:type="auto"/>
            <w:hideMark/>
          </w:tcPr>
          <w:p w14:paraId="570EE273"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r>
      <w:tr w:rsidR="00AB562D" w:rsidRPr="00AB562D" w14:paraId="19CE7393" w14:textId="77777777" w:rsidTr="00F744BF">
        <w:trPr>
          <w:trHeight w:val="278"/>
          <w:jc w:val="center"/>
        </w:trPr>
        <w:tc>
          <w:tcPr>
            <w:tcW w:w="5870" w:type="dxa"/>
            <w:hideMark/>
          </w:tcPr>
          <w:p w14:paraId="609A1F0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Resources/Lack of Funding</w:t>
            </w:r>
          </w:p>
        </w:tc>
        <w:tc>
          <w:tcPr>
            <w:tcW w:w="0" w:type="auto"/>
            <w:hideMark/>
          </w:tcPr>
          <w:p w14:paraId="13A43904"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c>
          <w:tcPr>
            <w:tcW w:w="0" w:type="auto"/>
            <w:hideMark/>
          </w:tcPr>
          <w:p w14:paraId="1E2C0527"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r>
      <w:tr w:rsidR="00AB562D" w:rsidRPr="00AB562D" w14:paraId="0475C352" w14:textId="77777777" w:rsidTr="00F744BF">
        <w:trPr>
          <w:trHeight w:val="278"/>
          <w:jc w:val="center"/>
        </w:trPr>
        <w:tc>
          <w:tcPr>
            <w:tcW w:w="5870" w:type="dxa"/>
            <w:hideMark/>
          </w:tcPr>
          <w:p w14:paraId="2034900B"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Community Involvement</w:t>
            </w:r>
          </w:p>
        </w:tc>
        <w:tc>
          <w:tcPr>
            <w:tcW w:w="0" w:type="auto"/>
            <w:hideMark/>
          </w:tcPr>
          <w:p w14:paraId="1B86ADF8"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7</w:t>
            </w:r>
          </w:p>
        </w:tc>
        <w:tc>
          <w:tcPr>
            <w:tcW w:w="0" w:type="auto"/>
            <w:hideMark/>
          </w:tcPr>
          <w:p w14:paraId="18CCD0DF"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4</w:t>
            </w:r>
          </w:p>
        </w:tc>
      </w:tr>
      <w:tr w:rsidR="00AB562D" w:rsidRPr="00AB562D" w14:paraId="1665EE55" w14:textId="77777777" w:rsidTr="00F744BF">
        <w:trPr>
          <w:trHeight w:val="278"/>
          <w:jc w:val="center"/>
        </w:trPr>
        <w:tc>
          <w:tcPr>
            <w:tcW w:w="5870" w:type="dxa"/>
            <w:hideMark/>
          </w:tcPr>
          <w:p w14:paraId="34D2DF21"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lastRenderedPageBreak/>
              <w:t>Inadequate Communication</w:t>
            </w:r>
          </w:p>
        </w:tc>
        <w:tc>
          <w:tcPr>
            <w:tcW w:w="0" w:type="auto"/>
            <w:hideMark/>
          </w:tcPr>
          <w:p w14:paraId="18C6D3A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6</w:t>
            </w:r>
          </w:p>
        </w:tc>
        <w:tc>
          <w:tcPr>
            <w:tcW w:w="0" w:type="auto"/>
            <w:hideMark/>
          </w:tcPr>
          <w:p w14:paraId="1EB1646A"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5</w:t>
            </w:r>
          </w:p>
        </w:tc>
      </w:tr>
      <w:tr w:rsidR="00AB562D" w:rsidRPr="00AB562D" w14:paraId="489D84D5" w14:textId="77777777" w:rsidTr="00F744BF">
        <w:trPr>
          <w:trHeight w:val="278"/>
          <w:jc w:val="center"/>
        </w:trPr>
        <w:tc>
          <w:tcPr>
            <w:tcW w:w="5870" w:type="dxa"/>
            <w:hideMark/>
          </w:tcPr>
          <w:p w14:paraId="5F74F2B7"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Inadequate Monitoring and Evaluation</w:t>
            </w:r>
          </w:p>
        </w:tc>
        <w:tc>
          <w:tcPr>
            <w:tcW w:w="0" w:type="auto"/>
            <w:hideMark/>
          </w:tcPr>
          <w:p w14:paraId="24904D65"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5</w:t>
            </w:r>
          </w:p>
        </w:tc>
        <w:tc>
          <w:tcPr>
            <w:tcW w:w="0" w:type="auto"/>
            <w:hideMark/>
          </w:tcPr>
          <w:p w14:paraId="4EF5D948"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6</w:t>
            </w:r>
          </w:p>
        </w:tc>
      </w:tr>
      <w:tr w:rsidR="00AB562D" w:rsidRPr="00AB562D" w14:paraId="63379C55" w14:textId="77777777" w:rsidTr="00F744BF">
        <w:trPr>
          <w:trHeight w:val="278"/>
          <w:jc w:val="center"/>
        </w:trPr>
        <w:tc>
          <w:tcPr>
            <w:tcW w:w="5870" w:type="dxa"/>
            <w:hideMark/>
          </w:tcPr>
          <w:p w14:paraId="5DFDCBE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Resistance to Change</w:t>
            </w:r>
          </w:p>
        </w:tc>
        <w:tc>
          <w:tcPr>
            <w:tcW w:w="0" w:type="auto"/>
            <w:hideMark/>
          </w:tcPr>
          <w:p w14:paraId="6C832AD0"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2</w:t>
            </w:r>
          </w:p>
        </w:tc>
        <w:tc>
          <w:tcPr>
            <w:tcW w:w="0" w:type="auto"/>
            <w:hideMark/>
          </w:tcPr>
          <w:p w14:paraId="7F0E509D"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7</w:t>
            </w:r>
          </w:p>
        </w:tc>
      </w:tr>
      <w:tr w:rsidR="00AB562D" w:rsidRPr="00AB562D" w14:paraId="02B5D7CC" w14:textId="77777777" w:rsidTr="00F744BF">
        <w:trPr>
          <w:trHeight w:val="266"/>
          <w:jc w:val="center"/>
        </w:trPr>
        <w:tc>
          <w:tcPr>
            <w:tcW w:w="5870" w:type="dxa"/>
            <w:tcBorders>
              <w:bottom w:val="single" w:sz="4" w:space="0" w:color="auto"/>
            </w:tcBorders>
            <w:hideMark/>
          </w:tcPr>
          <w:p w14:paraId="6775481C"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Limited Support for Staff</w:t>
            </w:r>
          </w:p>
        </w:tc>
        <w:tc>
          <w:tcPr>
            <w:tcW w:w="0" w:type="auto"/>
            <w:tcBorders>
              <w:bottom w:val="single" w:sz="4" w:space="0" w:color="auto"/>
            </w:tcBorders>
            <w:hideMark/>
          </w:tcPr>
          <w:p w14:paraId="195C5535"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1</w:t>
            </w:r>
          </w:p>
        </w:tc>
        <w:tc>
          <w:tcPr>
            <w:tcW w:w="0" w:type="auto"/>
            <w:tcBorders>
              <w:bottom w:val="single" w:sz="4" w:space="0" w:color="auto"/>
            </w:tcBorders>
            <w:hideMark/>
          </w:tcPr>
          <w:p w14:paraId="063D8F79" w14:textId="77777777" w:rsidR="00AB562D" w:rsidRPr="00AB562D" w:rsidRDefault="00AB562D" w:rsidP="008E597D">
            <w:pPr>
              <w:jc w:val="center"/>
              <w:rPr>
                <w:rFonts w:ascii="Arial" w:eastAsia="Times New Roman" w:hAnsi="Arial" w:cs="Arial"/>
                <w:sz w:val="20"/>
                <w:szCs w:val="20"/>
              </w:rPr>
            </w:pPr>
            <w:r w:rsidRPr="00AB562D">
              <w:rPr>
                <w:rFonts w:ascii="Arial" w:eastAsia="Times New Roman" w:hAnsi="Arial" w:cs="Arial"/>
                <w:sz w:val="20"/>
                <w:szCs w:val="20"/>
              </w:rPr>
              <w:t>8</w:t>
            </w:r>
          </w:p>
        </w:tc>
      </w:tr>
    </w:tbl>
    <w:p w14:paraId="1524617D" w14:textId="77777777" w:rsidR="004800C2" w:rsidRDefault="004800C2" w:rsidP="00AE3279">
      <w:pPr>
        <w:pStyle w:val="Body"/>
        <w:spacing w:after="0"/>
        <w:rPr>
          <w:rFonts w:ascii="Arial" w:hAnsi="Arial" w:cs="Arial"/>
        </w:rPr>
      </w:pPr>
    </w:p>
    <w:p w14:paraId="2FBCAA9E" w14:textId="77777777" w:rsidR="004D0E89" w:rsidRPr="004D0E89" w:rsidRDefault="004D0E89" w:rsidP="004D0E89">
      <w:pPr>
        <w:pStyle w:val="Body"/>
        <w:spacing w:after="0"/>
        <w:rPr>
          <w:rFonts w:ascii="Arial" w:hAnsi="Arial" w:cs="Arial"/>
        </w:rPr>
      </w:pPr>
      <w:r w:rsidRPr="008568AB">
        <w:rPr>
          <w:rFonts w:ascii="Arial" w:hAnsi="Arial" w:cs="Arial"/>
          <w:b/>
        </w:rPr>
        <w:t>Lack of training for SGC members</w:t>
      </w:r>
      <w:r w:rsidRPr="004D0E89">
        <w:rPr>
          <w:rFonts w:ascii="Arial" w:hAnsi="Arial" w:cs="Arial"/>
        </w:rPr>
        <w:t xml:space="preserve">, </w:t>
      </w:r>
      <w:r w:rsidRPr="008568AB">
        <w:rPr>
          <w:rFonts w:ascii="Arial" w:hAnsi="Arial" w:cs="Arial"/>
          <w:b/>
        </w:rPr>
        <w:t>limited capacity and understanding of roles and responsibilities</w:t>
      </w:r>
      <w:r w:rsidRPr="004D0E89">
        <w:rPr>
          <w:rFonts w:ascii="Arial" w:hAnsi="Arial" w:cs="Arial"/>
        </w:rPr>
        <w:t xml:space="preserve">, and </w:t>
      </w:r>
      <w:r w:rsidRPr="008568AB">
        <w:rPr>
          <w:rFonts w:ascii="Arial" w:hAnsi="Arial" w:cs="Arial"/>
          <w:b/>
        </w:rPr>
        <w:t>limited resources and lack of funding</w:t>
      </w:r>
      <w:r w:rsidRPr="004D0E89">
        <w:rPr>
          <w:rFonts w:ascii="Arial" w:hAnsi="Arial" w:cs="Arial"/>
        </w:rPr>
        <w:t xml:space="preserve"> are the three gaps that are tied for the most prominent position (frequency = 8, rank = 2 each). These three factors' equal ranking indicates that they are related aspects of a basic capacity deficit in SG</w:t>
      </w:r>
      <w:r w:rsidR="00DD73E2">
        <w:rPr>
          <w:rFonts w:ascii="Arial" w:hAnsi="Arial" w:cs="Arial"/>
        </w:rPr>
        <w:t>C implementation. The lack of tr</w:t>
      </w:r>
      <w:r w:rsidR="00571CCC">
        <w:rPr>
          <w:rFonts w:ascii="Arial" w:hAnsi="Arial" w:cs="Arial"/>
        </w:rPr>
        <w:t xml:space="preserve">aining for SGC </w:t>
      </w:r>
      <w:r w:rsidR="00B60E5C">
        <w:rPr>
          <w:rFonts w:ascii="Arial" w:hAnsi="Arial" w:cs="Arial"/>
        </w:rPr>
        <w:t>m</w:t>
      </w:r>
      <w:r w:rsidRPr="004D0E89">
        <w:rPr>
          <w:rFonts w:ascii="Arial" w:hAnsi="Arial" w:cs="Arial"/>
        </w:rPr>
        <w:t xml:space="preserve">embers shows that many council members are ill-prepared to carry out their duties. Membership in SGC necessitates knowledge of legal and policy frameworks, educational concerns, cooperative decision-making procedures, and governance principles. Members might not have the information and abilities needed to make a significant contribution to school governance in the absence of systematic training. Because of this gap, well-meaning members are unable to participate fully, or councils are unable to function effectively. Malen </w:t>
      </w:r>
      <w:r w:rsidR="00E53F6B">
        <w:rPr>
          <w:rFonts w:ascii="Arial" w:hAnsi="Arial" w:cs="Arial"/>
        </w:rPr>
        <w:t>et al.</w:t>
      </w:r>
      <w:r w:rsidRPr="004D0E89">
        <w:rPr>
          <w:rFonts w:ascii="Arial" w:hAnsi="Arial" w:cs="Arial"/>
        </w:rPr>
        <w:t xml:space="preserve"> (1990) found insufficient preparation.</w:t>
      </w:r>
    </w:p>
    <w:p w14:paraId="73EA2E56" w14:textId="77777777" w:rsidR="004D0E89" w:rsidRPr="004D0E89" w:rsidRDefault="004D0E89" w:rsidP="004D0E89">
      <w:pPr>
        <w:pStyle w:val="Body"/>
        <w:spacing w:after="0"/>
        <w:rPr>
          <w:rFonts w:ascii="Arial" w:hAnsi="Arial" w:cs="Arial"/>
        </w:rPr>
      </w:pPr>
    </w:p>
    <w:p w14:paraId="7A008942" w14:textId="77777777" w:rsidR="004D0E89" w:rsidRPr="004D0E89" w:rsidRDefault="004A781F" w:rsidP="004D0E89">
      <w:pPr>
        <w:pStyle w:val="Body"/>
        <w:spacing w:after="0"/>
        <w:rPr>
          <w:rFonts w:ascii="Arial" w:hAnsi="Arial" w:cs="Arial"/>
        </w:rPr>
      </w:pPr>
      <w:r>
        <w:rPr>
          <w:rFonts w:ascii="Arial" w:hAnsi="Arial" w:cs="Arial"/>
        </w:rPr>
        <w:t xml:space="preserve">A related but different gap is </w:t>
      </w:r>
      <w:r w:rsidRPr="004A781F">
        <w:rPr>
          <w:rFonts w:ascii="Arial" w:hAnsi="Arial" w:cs="Arial"/>
          <w:b/>
        </w:rPr>
        <w:t>limited capacity and understanding of roles and responsibilities</w:t>
      </w:r>
      <w:r w:rsidR="004D0E89" w:rsidRPr="004D0E89">
        <w:rPr>
          <w:rFonts w:ascii="Arial" w:hAnsi="Arial" w:cs="Arial"/>
        </w:rPr>
        <w:t>, which focuses on clarity regarding what SGC members should do and how they should operate within the governance structure. Even with training, councils may be paralyzed or face conflicts with school administration due to unclear expectations for member participation, uncertainty about decision-making authority, ambiguity about reporting relationships and accountability, and ambiguity about the boundaries between administrative and governance roles. For effective governance operations and fruitful stakeholder relationships, role clarity is crucial.</w:t>
      </w:r>
    </w:p>
    <w:p w14:paraId="019E9819" w14:textId="77777777" w:rsidR="004D0E89" w:rsidRPr="004D0E89" w:rsidRDefault="004D0E89" w:rsidP="004D0E89">
      <w:pPr>
        <w:pStyle w:val="Body"/>
        <w:spacing w:after="0"/>
        <w:rPr>
          <w:rFonts w:ascii="Arial" w:hAnsi="Arial" w:cs="Arial"/>
        </w:rPr>
      </w:pPr>
    </w:p>
    <w:p w14:paraId="3C3DB8F2" w14:textId="77777777" w:rsidR="004D0E89" w:rsidRPr="004D0E89" w:rsidRDefault="004D0E89" w:rsidP="004D0E89">
      <w:pPr>
        <w:pStyle w:val="Body"/>
        <w:spacing w:after="0"/>
        <w:rPr>
          <w:rFonts w:ascii="Arial" w:hAnsi="Arial" w:cs="Arial"/>
        </w:rPr>
      </w:pPr>
      <w:r w:rsidRPr="004D0E89">
        <w:rPr>
          <w:rFonts w:ascii="Arial" w:hAnsi="Arial" w:cs="Arial"/>
        </w:rPr>
        <w:t xml:space="preserve">This triad of fundamental gaps is completed by </w:t>
      </w:r>
      <w:r w:rsidR="00AB0966" w:rsidRPr="00AB0966">
        <w:rPr>
          <w:rFonts w:ascii="Arial" w:hAnsi="Arial" w:cs="Arial"/>
          <w:b/>
        </w:rPr>
        <w:t>limited resources and lack of funding</w:t>
      </w:r>
      <w:r w:rsidRPr="004D0E89">
        <w:rPr>
          <w:rFonts w:ascii="Arial" w:hAnsi="Arial" w:cs="Arial"/>
        </w:rPr>
        <w:t>, which stand for the tangible obstacles that keep SGCs from carrying out their mandates and putting their ideas into practice. Meeting conduct, funding approved programs, initiative materials and supplies, and training and capacity building support are all impacted by resource constraints. The prevalence of funding gaps in both the implementation and sustainability analyses highlights resource availability as a widespread issue affecting every aspect of SGC operations.</w:t>
      </w:r>
    </w:p>
    <w:p w14:paraId="26ECE8CB" w14:textId="77777777" w:rsidR="004D0E89" w:rsidRPr="004D0E89" w:rsidRDefault="004D0E89" w:rsidP="004D0E89">
      <w:pPr>
        <w:pStyle w:val="Body"/>
        <w:spacing w:after="0"/>
        <w:rPr>
          <w:rFonts w:ascii="Arial" w:hAnsi="Arial" w:cs="Arial"/>
        </w:rPr>
      </w:pPr>
    </w:p>
    <w:p w14:paraId="69AB809F" w14:textId="77777777" w:rsidR="004D0E89" w:rsidRPr="004D0E89" w:rsidRDefault="004D0E89" w:rsidP="004D0E89">
      <w:pPr>
        <w:pStyle w:val="Body"/>
        <w:spacing w:after="0"/>
        <w:rPr>
          <w:rFonts w:ascii="Arial" w:hAnsi="Arial" w:cs="Arial"/>
        </w:rPr>
      </w:pPr>
      <w:r w:rsidRPr="007B0098">
        <w:rPr>
          <w:rFonts w:ascii="Arial" w:hAnsi="Arial" w:cs="Arial"/>
          <w:b/>
        </w:rPr>
        <w:t xml:space="preserve">Limited </w:t>
      </w:r>
      <w:r w:rsidR="007B0098" w:rsidRPr="007B0098">
        <w:rPr>
          <w:rFonts w:ascii="Arial" w:hAnsi="Arial" w:cs="Arial"/>
          <w:b/>
        </w:rPr>
        <w:t>community involvement</w:t>
      </w:r>
      <w:r w:rsidR="007B0098" w:rsidRPr="004D0E89">
        <w:rPr>
          <w:rFonts w:ascii="Arial" w:hAnsi="Arial" w:cs="Arial"/>
        </w:rPr>
        <w:t xml:space="preserve"> </w:t>
      </w:r>
      <w:r w:rsidRPr="004D0E89">
        <w:rPr>
          <w:rFonts w:ascii="Arial" w:hAnsi="Arial" w:cs="Arial"/>
        </w:rPr>
        <w:t>came in fourth place (frequency = 7, rank = 4), suggesting that despite improvements in community relations, a sizable portion of the community is still not involved in SGC activities. Lack of knowledge about SGC's existence and operations, the belief that participation won't make a difference, time constraints and conflicting priorities, cultural or socioeconomic barriers to participation, or inadequate school outreach to engage diverse community segments are all potential causes of low community participation. According to Henderson and Mapp (2002), schools should adopt more methodical and inclusive approaches to community mobilization since sustained community engagement necessitates deliberate tactics and ongoing relationship-building initiatives.</w:t>
      </w:r>
    </w:p>
    <w:p w14:paraId="73723B89" w14:textId="77777777" w:rsidR="004D0E89" w:rsidRPr="004D0E89" w:rsidRDefault="004D0E89" w:rsidP="004D0E89">
      <w:pPr>
        <w:pStyle w:val="Body"/>
        <w:spacing w:after="0"/>
        <w:rPr>
          <w:rFonts w:ascii="Arial" w:hAnsi="Arial" w:cs="Arial"/>
        </w:rPr>
      </w:pPr>
    </w:p>
    <w:p w14:paraId="0062E691" w14:textId="77777777" w:rsidR="004D0E89" w:rsidRPr="004D0E89" w:rsidRDefault="00622607" w:rsidP="004D0E89">
      <w:pPr>
        <w:pStyle w:val="Body"/>
        <w:spacing w:after="0"/>
        <w:rPr>
          <w:rFonts w:ascii="Arial" w:hAnsi="Arial" w:cs="Arial"/>
        </w:rPr>
      </w:pPr>
      <w:r w:rsidRPr="00300D77">
        <w:rPr>
          <w:rFonts w:ascii="Arial" w:hAnsi="Arial" w:cs="Arial"/>
          <w:b/>
        </w:rPr>
        <w:t>Inadequate c</w:t>
      </w:r>
      <w:r w:rsidR="004D0E89" w:rsidRPr="00300D77">
        <w:rPr>
          <w:rFonts w:ascii="Arial" w:hAnsi="Arial" w:cs="Arial"/>
          <w:b/>
        </w:rPr>
        <w:t>ommunication</w:t>
      </w:r>
      <w:r w:rsidR="004D0E89" w:rsidRPr="004D0E89">
        <w:rPr>
          <w:rFonts w:ascii="Arial" w:hAnsi="Arial" w:cs="Arial"/>
        </w:rPr>
        <w:t xml:space="preserve"> was ranked fifth (frequency = 6, rank = 5), indicating a lack of communication between stakeholders. Inadequate sharing of SGC decisions and activities, a lack of feedback channels for stakeholder input, poor internal communication among SGC members, and a restricted use of various communication channels to reach various audiences are all examples of communication gaps. Bagin </w:t>
      </w:r>
      <w:r w:rsidR="00D073EF">
        <w:rPr>
          <w:rFonts w:ascii="Arial" w:hAnsi="Arial" w:cs="Arial"/>
        </w:rPr>
        <w:t>et al.</w:t>
      </w:r>
      <w:r w:rsidR="004D0E89" w:rsidRPr="004D0E89">
        <w:rPr>
          <w:rFonts w:ascii="Arial" w:hAnsi="Arial" w:cs="Arial"/>
        </w:rPr>
        <w:t xml:space="preserve"> (2008) showed that effective communication systems are necessary for both stakeholder involvement and successful school governance because they foster understanding, trust, and coordinated action.</w:t>
      </w:r>
    </w:p>
    <w:p w14:paraId="6D33FC73" w14:textId="77777777" w:rsidR="004D0E89" w:rsidRPr="004D0E89" w:rsidRDefault="004D0E89" w:rsidP="004D0E89">
      <w:pPr>
        <w:pStyle w:val="Body"/>
        <w:spacing w:after="0"/>
        <w:rPr>
          <w:rFonts w:ascii="Arial" w:hAnsi="Arial" w:cs="Arial"/>
        </w:rPr>
      </w:pPr>
    </w:p>
    <w:p w14:paraId="7E68B552" w14:textId="77777777" w:rsidR="004D0E89" w:rsidRPr="004D0E89" w:rsidRDefault="004D0E89" w:rsidP="004D0E89">
      <w:pPr>
        <w:pStyle w:val="Body"/>
        <w:spacing w:after="0"/>
        <w:rPr>
          <w:rFonts w:ascii="Arial" w:hAnsi="Arial" w:cs="Arial"/>
        </w:rPr>
      </w:pPr>
      <w:r w:rsidRPr="00300D77">
        <w:rPr>
          <w:rFonts w:ascii="Arial" w:hAnsi="Arial" w:cs="Arial"/>
          <w:b/>
        </w:rPr>
        <w:t xml:space="preserve">Inadequate </w:t>
      </w:r>
      <w:r w:rsidR="00300D77" w:rsidRPr="00300D77">
        <w:rPr>
          <w:rFonts w:ascii="Arial" w:hAnsi="Arial" w:cs="Arial"/>
          <w:b/>
        </w:rPr>
        <w:t>monitoring and evaluation</w:t>
      </w:r>
      <w:r w:rsidR="00300D77" w:rsidRPr="004D0E89">
        <w:rPr>
          <w:rFonts w:ascii="Arial" w:hAnsi="Arial" w:cs="Arial"/>
        </w:rPr>
        <w:t xml:space="preserve"> </w:t>
      </w:r>
      <w:r w:rsidRPr="004D0E89">
        <w:rPr>
          <w:rFonts w:ascii="Arial" w:hAnsi="Arial" w:cs="Arial"/>
        </w:rPr>
        <w:t xml:space="preserve">came in at number six (frequency = 5, rank = 6), pointing to flaws in the assessment systems that would allow SGCs to monitor development, show impact, spot issues early, and make evidence-based changes. Councils function partially blindly in the absence of thorough monitoring and evaluation, unable to ascertain whether their efforts yield the desired outcomes or how to enhance their methods. Systematic assessment, which provides the feedback loops required for organizational learning and adaptation, is crucial for program improvement and accountability in education, according to </w:t>
      </w:r>
      <w:proofErr w:type="spellStart"/>
      <w:r w:rsidRPr="004D0E89">
        <w:rPr>
          <w:rFonts w:ascii="Arial" w:hAnsi="Arial" w:cs="Arial"/>
        </w:rPr>
        <w:t>Stufflebeam</w:t>
      </w:r>
      <w:proofErr w:type="spellEnd"/>
      <w:r w:rsidRPr="004D0E89">
        <w:rPr>
          <w:rFonts w:ascii="Arial" w:hAnsi="Arial" w:cs="Arial"/>
        </w:rPr>
        <w:t xml:space="preserve"> and </w:t>
      </w:r>
      <w:proofErr w:type="spellStart"/>
      <w:r w:rsidRPr="004D0E89">
        <w:rPr>
          <w:rFonts w:ascii="Arial" w:hAnsi="Arial" w:cs="Arial"/>
        </w:rPr>
        <w:t>Shinkfield</w:t>
      </w:r>
      <w:proofErr w:type="spellEnd"/>
      <w:r w:rsidRPr="004D0E89">
        <w:rPr>
          <w:rFonts w:ascii="Arial" w:hAnsi="Arial" w:cs="Arial"/>
        </w:rPr>
        <w:t xml:space="preserve"> (2007).</w:t>
      </w:r>
    </w:p>
    <w:p w14:paraId="12010872" w14:textId="77777777" w:rsidR="004D0E89" w:rsidRPr="004D0E89" w:rsidRDefault="004D0E89" w:rsidP="004D0E89">
      <w:pPr>
        <w:pStyle w:val="Body"/>
        <w:spacing w:after="0"/>
        <w:rPr>
          <w:rFonts w:ascii="Arial" w:hAnsi="Arial" w:cs="Arial"/>
        </w:rPr>
      </w:pPr>
    </w:p>
    <w:p w14:paraId="4CADC86B" w14:textId="77777777" w:rsidR="004D0E89" w:rsidRPr="004D0E89" w:rsidRDefault="004D0E89" w:rsidP="004D0E89">
      <w:pPr>
        <w:pStyle w:val="Body"/>
        <w:spacing w:after="0"/>
        <w:rPr>
          <w:rFonts w:ascii="Arial" w:hAnsi="Arial" w:cs="Arial"/>
        </w:rPr>
      </w:pPr>
      <w:r w:rsidRPr="004D0E89">
        <w:rPr>
          <w:rFonts w:ascii="Arial" w:hAnsi="Arial" w:cs="Arial"/>
        </w:rPr>
        <w:t xml:space="preserve">In contrast to capacity and resource gaps, </w:t>
      </w:r>
      <w:r w:rsidRPr="00E74032">
        <w:rPr>
          <w:rFonts w:ascii="Arial" w:hAnsi="Arial" w:cs="Arial"/>
          <w:b/>
        </w:rPr>
        <w:t>resistance to change</w:t>
      </w:r>
      <w:r w:rsidRPr="004D0E89">
        <w:rPr>
          <w:rFonts w:ascii="Arial" w:hAnsi="Arial" w:cs="Arial"/>
        </w:rPr>
        <w:t xml:space="preserve"> emerged as the seventh gap (frequency = 2, rank = 7). Although resistance does exist, its lower ranking implies that it is not a universal barrier or that schools have come up with ways to deal with it. Fullan (2007) pointed out that although resistance to change is a frequent obstacle in educational reform, it can be overcome with inclusive procedures, transparent communication, and proven advantages. The comparatively low frequency might suggest that, in cases where SGCs have been successfully implemented, there has been enough buy-in to reduce active resistance.</w:t>
      </w:r>
    </w:p>
    <w:p w14:paraId="41EE83E4" w14:textId="77777777" w:rsidR="004D0E89" w:rsidRPr="004D0E89" w:rsidRDefault="004D0E89" w:rsidP="004D0E89">
      <w:pPr>
        <w:pStyle w:val="Body"/>
        <w:spacing w:after="0"/>
        <w:rPr>
          <w:rFonts w:ascii="Arial" w:hAnsi="Arial" w:cs="Arial"/>
        </w:rPr>
      </w:pPr>
    </w:p>
    <w:p w14:paraId="7646A58E" w14:textId="77777777" w:rsidR="004D0E89" w:rsidRPr="004D0E89" w:rsidRDefault="004D0E89" w:rsidP="004D0E89">
      <w:pPr>
        <w:pStyle w:val="Body"/>
        <w:spacing w:after="0"/>
        <w:rPr>
          <w:rFonts w:ascii="Arial" w:hAnsi="Arial" w:cs="Arial"/>
        </w:rPr>
      </w:pPr>
      <w:r w:rsidRPr="00E74032">
        <w:rPr>
          <w:rFonts w:ascii="Arial" w:hAnsi="Arial" w:cs="Arial"/>
          <w:b/>
        </w:rPr>
        <w:t xml:space="preserve">Limited </w:t>
      </w:r>
      <w:r w:rsidR="00E74032" w:rsidRPr="00E74032">
        <w:rPr>
          <w:rFonts w:ascii="Arial" w:hAnsi="Arial" w:cs="Arial"/>
          <w:b/>
        </w:rPr>
        <w:t>support for staff</w:t>
      </w:r>
      <w:r w:rsidR="00E74032" w:rsidRPr="004D0E89">
        <w:rPr>
          <w:rFonts w:ascii="Arial" w:hAnsi="Arial" w:cs="Arial"/>
        </w:rPr>
        <w:t xml:space="preserve"> </w:t>
      </w:r>
      <w:r w:rsidRPr="004D0E89">
        <w:rPr>
          <w:rFonts w:ascii="Arial" w:hAnsi="Arial" w:cs="Arial"/>
        </w:rPr>
        <w:t>ranked last (frequency = 1, rank = 8), suggesting that while some staff members may lack adequate support for implementing SGC initiatives, this is not a widespread concern across the study context. This finding may reflect prioritization of SGC member capacity over staff support, or it may indicate that staff generally receive adequate support relative to other implementation challenges. Darling-Hammond et al. (2017) emphasized that educational reforms require substantial staff support for successful implementation, suggesting that even though this gap ranks low, it should not be ignored entirely.</w:t>
      </w:r>
    </w:p>
    <w:p w14:paraId="0F4A2FBA" w14:textId="77777777" w:rsidR="004D0E89" w:rsidRPr="004D0E89" w:rsidRDefault="004D0E89" w:rsidP="004D0E89">
      <w:pPr>
        <w:pStyle w:val="Body"/>
        <w:spacing w:after="0"/>
        <w:rPr>
          <w:rFonts w:ascii="Arial" w:hAnsi="Arial" w:cs="Arial"/>
        </w:rPr>
      </w:pPr>
    </w:p>
    <w:p w14:paraId="2C159EDB" w14:textId="77777777" w:rsidR="004D0E89" w:rsidRPr="004D0E89" w:rsidRDefault="004D0E89" w:rsidP="004D0E89">
      <w:pPr>
        <w:pStyle w:val="Body"/>
        <w:spacing w:after="0"/>
        <w:rPr>
          <w:rFonts w:ascii="Arial" w:hAnsi="Arial" w:cs="Arial"/>
        </w:rPr>
      </w:pPr>
      <w:r w:rsidRPr="004D0E89">
        <w:rPr>
          <w:rFonts w:ascii="Arial" w:hAnsi="Arial" w:cs="Arial"/>
        </w:rPr>
        <w:t>These results are consistent with more extensive studies on Philippine educational reform. Funding limitations have been identified by the Philippine Institute for Development Studies as major obstacles to decentralization projects like SGC, pointing out that a lack of resources restricts the ability to purchase supplies, train staff, and carry out programs successfully. Limited stakeholder engagement is confirmed as a critical gap in World Bank reports on basic education in the Philippines, highlighting the importance of meaningful participation from parents, teachers, and community members for program efficacy and responsiveness to local needs. Resistance to change was noted as a major obstacle in an Asian Development Bank study on Philippine educational reform, which suggested tactics that involve stakeholders in the reform process and uphold efficient communication. Research on education sector planning in the Philippines conducted by the United Nations Development Program emphasized the significance of well-established methods.</w:t>
      </w:r>
    </w:p>
    <w:p w14:paraId="547BF872" w14:textId="77777777" w:rsidR="004D0E89" w:rsidRPr="004D0E89" w:rsidRDefault="004D0E89" w:rsidP="004D0E89">
      <w:pPr>
        <w:pStyle w:val="Body"/>
        <w:spacing w:after="0"/>
        <w:rPr>
          <w:rFonts w:ascii="Arial" w:hAnsi="Arial" w:cs="Arial"/>
        </w:rPr>
      </w:pPr>
    </w:p>
    <w:p w14:paraId="32F712CB" w14:textId="77777777" w:rsidR="004D0E89" w:rsidRPr="004D0E89" w:rsidRDefault="004D0E89" w:rsidP="004D0E89">
      <w:pPr>
        <w:pStyle w:val="Body"/>
        <w:spacing w:after="0"/>
        <w:rPr>
          <w:rFonts w:ascii="Arial" w:hAnsi="Arial" w:cs="Arial"/>
        </w:rPr>
      </w:pPr>
      <w:r w:rsidRPr="004D0E89">
        <w:rPr>
          <w:rFonts w:ascii="Arial" w:hAnsi="Arial" w:cs="Arial"/>
        </w:rPr>
        <w:t>The results of the current study are consistent with both national and international findings, indicating that the gaps found are not specific to Camarines Sur but rather represent more general trends in educational governance reform. Effective SGC implementation necessitates simultaneous attention to human capital development and material support, as evidenced by the prevalence of capacity-building gaps (training, role clarity) and resource constraints. A complex implementation landscape is revealed by the relationship between gains and gaps. Even though schools have made great strides in shared governance, school climate, and community relations, ongoing deficiencies in capacity, resources, and training pose a threat to future advancement or even undermine gains already made. The data suggest that the early stages of SGC implementation may focus successfully on structural and relational changes (establishing councils, building relationships, creating participation mechanisms), but on deeper institutionalization.</w:t>
      </w:r>
    </w:p>
    <w:p w14:paraId="4B98C65E" w14:textId="77777777" w:rsidR="004D0E89" w:rsidRPr="004D0E89" w:rsidRDefault="004D0E89" w:rsidP="004D0E89">
      <w:pPr>
        <w:pStyle w:val="Body"/>
        <w:spacing w:after="0"/>
        <w:rPr>
          <w:rFonts w:ascii="Arial" w:hAnsi="Arial" w:cs="Arial"/>
        </w:rPr>
      </w:pPr>
    </w:p>
    <w:p w14:paraId="3EFEEF12" w14:textId="77777777" w:rsidR="004D0E89" w:rsidRPr="004D0E89" w:rsidRDefault="004D0E89" w:rsidP="004D0E89">
      <w:pPr>
        <w:pStyle w:val="Body"/>
        <w:spacing w:after="0"/>
        <w:rPr>
          <w:rFonts w:ascii="Arial" w:hAnsi="Arial" w:cs="Arial"/>
        </w:rPr>
      </w:pPr>
      <w:r w:rsidRPr="004D0E89">
        <w:rPr>
          <w:rFonts w:ascii="Arial" w:hAnsi="Arial" w:cs="Arial"/>
        </w:rPr>
        <w:t>Comprehensive, cooperative interventions involving numerous stakeholders and addressing interrelated issues are necessary to close these gaps. The development of inclusive community engagement strategies that reach diverse populations and create meaningful participation opportunities; the establishment of sustainable funding mechanisms that provide predictable resources for SGC operations and initiatives; the implementation of robust communication systems using multiple channels and ensuring bidirectional information flow; the development of monitoring and evaluation frameworks that enable councils to assess their effectiveness and demonstrate accountability; and systematic training programs for all SGC members covering governance principles, educational policy, collaborative decision-making, and specific role expectations.</w:t>
      </w:r>
    </w:p>
    <w:p w14:paraId="55266718" w14:textId="77777777" w:rsidR="004D0E89" w:rsidRPr="004D0E89" w:rsidRDefault="004D0E89" w:rsidP="004D0E89">
      <w:pPr>
        <w:pStyle w:val="Body"/>
        <w:spacing w:after="0"/>
        <w:rPr>
          <w:rFonts w:ascii="Arial" w:hAnsi="Arial" w:cs="Arial"/>
        </w:rPr>
      </w:pPr>
    </w:p>
    <w:p w14:paraId="3D4DF097" w14:textId="77777777" w:rsidR="00330715" w:rsidRDefault="004D0E89" w:rsidP="004D0E89">
      <w:pPr>
        <w:pStyle w:val="Body"/>
        <w:spacing w:after="0"/>
        <w:rPr>
          <w:rFonts w:ascii="Arial" w:hAnsi="Arial" w:cs="Arial"/>
        </w:rPr>
      </w:pPr>
      <w:r w:rsidRPr="004D0E89">
        <w:rPr>
          <w:rFonts w:ascii="Arial" w:hAnsi="Arial" w:cs="Arial"/>
        </w:rPr>
        <w:t>The results show that although SGC implementation has made significant progress in creating participatory governance structures and enhancing school climate and community relations, fundamental capacity and resource limitations must be addressed if these reforms are to reach their full potential. SGCs can only achieve their goal of revolutionizing school governance in Philippine basic education by paying consistent attention to these gaps and providing sufficient funding, policy frameworks, and investments in capacity-building.</w:t>
      </w:r>
    </w:p>
    <w:p w14:paraId="7213A7C5" w14:textId="77777777" w:rsidR="00E053D0" w:rsidRDefault="00E053D0" w:rsidP="00441B6F">
      <w:pPr>
        <w:pStyle w:val="Body"/>
        <w:spacing w:after="0"/>
        <w:rPr>
          <w:rFonts w:ascii="Arial" w:hAnsi="Arial" w:cs="Arial"/>
        </w:rPr>
      </w:pPr>
    </w:p>
    <w:p w14:paraId="77182560" w14:textId="77777777" w:rsidR="00790ADA" w:rsidRPr="00FB3A86" w:rsidRDefault="00790ADA" w:rsidP="00441B6F">
      <w:pPr>
        <w:pStyle w:val="Body"/>
        <w:spacing w:after="0"/>
        <w:rPr>
          <w:rFonts w:ascii="Arial" w:hAnsi="Arial" w:cs="Arial"/>
        </w:rPr>
      </w:pPr>
    </w:p>
    <w:p w14:paraId="745EDAF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03491D" w14:textId="77777777" w:rsidR="00790ADA" w:rsidRPr="00FB3A86" w:rsidRDefault="00790ADA" w:rsidP="00441B6F">
      <w:pPr>
        <w:pStyle w:val="ConcHead"/>
        <w:spacing w:after="0"/>
        <w:jc w:val="both"/>
        <w:rPr>
          <w:rFonts w:ascii="Arial" w:hAnsi="Arial" w:cs="Arial"/>
        </w:rPr>
      </w:pPr>
    </w:p>
    <w:p w14:paraId="7718C276" w14:textId="77777777" w:rsidR="00CB2A34" w:rsidRPr="00CB2A34" w:rsidRDefault="00CB2A34" w:rsidP="00CB2A34">
      <w:pPr>
        <w:pStyle w:val="Body"/>
        <w:spacing w:after="0"/>
        <w:rPr>
          <w:rFonts w:ascii="Arial" w:hAnsi="Arial" w:cs="Arial"/>
        </w:rPr>
      </w:pPr>
      <w:r w:rsidRPr="00CB2A34">
        <w:rPr>
          <w:rFonts w:ascii="Arial" w:hAnsi="Arial" w:cs="Arial"/>
        </w:rPr>
        <w:t>The seasonality and sustainability problems, successes, and shortcomings in the execution of School Governing Council programs and initiatives in DepEd Camarines Sur, Philippines, were investigated in this study. The results show a complicated implementation environment with notable successes and ongoing difficulties that jeopardize long-term efficacy and sustainability. The most important factor influencing the sustainability and seasonality of SGC programs was found to be funding availability, which ranked first in both categories. This result emphasizes how crucial sufficient and reliable financial resources are to the success of school governance reform. Other important seasonality issues that cause temporal disruptions in program implementation include policy changes, staff training and development, and conflicts with the school calendar.</w:t>
      </w:r>
    </w:p>
    <w:p w14:paraId="0BE91C7C" w14:textId="77777777" w:rsidR="00CB2A34" w:rsidRPr="00CB2A34" w:rsidRDefault="00CB2A34" w:rsidP="00CB2A34">
      <w:pPr>
        <w:pStyle w:val="Body"/>
        <w:spacing w:after="0"/>
        <w:rPr>
          <w:rFonts w:ascii="Arial" w:hAnsi="Arial" w:cs="Arial"/>
        </w:rPr>
      </w:pPr>
    </w:p>
    <w:p w14:paraId="08F67F04" w14:textId="77777777" w:rsidR="00CB2A34" w:rsidRPr="00CB2A34" w:rsidRDefault="00CB2A34" w:rsidP="00CB2A34">
      <w:pPr>
        <w:pStyle w:val="Body"/>
        <w:spacing w:after="0"/>
        <w:rPr>
          <w:rFonts w:ascii="Arial" w:hAnsi="Arial" w:cs="Arial"/>
        </w:rPr>
      </w:pPr>
      <w:r w:rsidRPr="00CB2A34">
        <w:rPr>
          <w:rFonts w:ascii="Arial" w:hAnsi="Arial" w:cs="Arial"/>
        </w:rPr>
        <w:t>Beyond funding, SGC members' lack of commitment and time, partnership sustainability, resistance to change, insufficient monitoring and evaluation, and problems with curriculum alignment are examples of sustainability challenges. Together, these elements pose a threat to SGC programs' long-term sustainability and necessitate methodical attention to guarantee efficacy and continuity. Notwithstanding these obstacles, SGC implementation has produced significant benefits, chief among them being improved school climate, shared governance, and school-community relations. These accomplishments show that when implemented successfully, participatory governance structures can yield significant advantages, resulting in more democratic, inclusive, and responsive school environments. However, improvements in funding opportunities and academic performance were less commonly reported, indicating that more time and support may be required to fully realize SGC's potential.</w:t>
      </w:r>
    </w:p>
    <w:p w14:paraId="7373783E" w14:textId="77777777" w:rsidR="00CB2A34" w:rsidRPr="00CB2A34" w:rsidRDefault="00CB2A34" w:rsidP="00CB2A34">
      <w:pPr>
        <w:pStyle w:val="Body"/>
        <w:spacing w:after="0"/>
        <w:rPr>
          <w:rFonts w:ascii="Arial" w:hAnsi="Arial" w:cs="Arial"/>
        </w:rPr>
      </w:pPr>
    </w:p>
    <w:p w14:paraId="2FD8E0C7" w14:textId="77777777" w:rsidR="00CB2A34" w:rsidRPr="00CB2A34" w:rsidRDefault="00CB2A34" w:rsidP="00CB2A34">
      <w:pPr>
        <w:pStyle w:val="Body"/>
        <w:spacing w:after="0"/>
        <w:rPr>
          <w:rFonts w:ascii="Arial" w:hAnsi="Arial" w:cs="Arial"/>
        </w:rPr>
      </w:pPr>
      <w:r w:rsidRPr="00CB2A34">
        <w:rPr>
          <w:rFonts w:ascii="Arial" w:hAnsi="Arial" w:cs="Arial"/>
        </w:rPr>
        <w:t xml:space="preserve">There are still significant implementation gaps, especially with regard to SGC member training, role and responsibility comprehension, resource availability, community involvement, communication systems, and monitoring and evaluation mechanisms. To increase SGC effectiveness and guarantee fair benefits for all schools, these gaps represent significant challenges that must be overcome. A number of important policy and practice priorities are indicated by the convergence of results from analyses of seasonality, sustainability, gains, and gaps. First, the long-term sustainability and temporal consistency of SGC programs depend on the establishment of sustainable funding mechanisms with </w:t>
      </w:r>
      <w:r w:rsidRPr="00CB2A34">
        <w:rPr>
          <w:rFonts w:ascii="Arial" w:hAnsi="Arial" w:cs="Arial"/>
        </w:rPr>
        <w:lastRenderedPageBreak/>
        <w:t>predictable allocations. Second, for SGC members to operate efficiently, comprehensive capacity-building programs must offer methodical training, precise role definitions, and continuous support. Third, in order to increase participation and strengthen stakeholder investment in school governance, inclusive community engagement strategies are required.</w:t>
      </w:r>
    </w:p>
    <w:p w14:paraId="2E340EAE" w14:textId="77777777" w:rsidR="00CB2A34" w:rsidRPr="00CB2A34" w:rsidRDefault="00CB2A34" w:rsidP="00CB2A34">
      <w:pPr>
        <w:pStyle w:val="Body"/>
        <w:spacing w:after="0"/>
        <w:rPr>
          <w:rFonts w:ascii="Arial" w:hAnsi="Arial" w:cs="Arial"/>
        </w:rPr>
      </w:pPr>
    </w:p>
    <w:p w14:paraId="1E2401A1" w14:textId="77777777" w:rsidR="00CB2A34" w:rsidRPr="00CB2A34" w:rsidRDefault="00CB2A34" w:rsidP="00CB2A34">
      <w:pPr>
        <w:pStyle w:val="Body"/>
        <w:spacing w:after="0"/>
        <w:rPr>
          <w:rFonts w:ascii="Arial" w:hAnsi="Arial" w:cs="Arial"/>
        </w:rPr>
      </w:pPr>
      <w:r w:rsidRPr="00CB2A34">
        <w:rPr>
          <w:rFonts w:ascii="Arial" w:hAnsi="Arial" w:cs="Arial"/>
        </w:rPr>
        <w:t>These results have significant ramifications for educational practice and policy in the Philippines and other comparable settings. Adequate resource allocation for SGC operations should be given top priority by policymakers, who should also create supportive policy environments, comprehensive training programs, and clear governance frameworks. Strong partnerships, open communication, inclusive community engagement, and the implementation of methodical assessment procedures should be the main priorities for school administrators and SGC members. Future studies should look at the long-term effects of SGC implementation on student outcomes, investigate effective ways to close identified gaps, look into how different contexts affect SGC effectiveness, and evaluate the connection between particular governance practices and educational quality. In order to comprehend how SGC programs change over time and what elements lead to long-term success, longitudinal studies would be especially helpful.</w:t>
      </w:r>
    </w:p>
    <w:p w14:paraId="665F3DDA" w14:textId="77777777" w:rsidR="00CB2A34" w:rsidRPr="00CB2A34" w:rsidRDefault="00CB2A34" w:rsidP="00CB2A34">
      <w:pPr>
        <w:pStyle w:val="Body"/>
        <w:spacing w:after="0"/>
        <w:rPr>
          <w:rFonts w:ascii="Arial" w:hAnsi="Arial" w:cs="Arial"/>
        </w:rPr>
      </w:pPr>
    </w:p>
    <w:p w14:paraId="6ED4AF28" w14:textId="77777777" w:rsidR="00B01FCD" w:rsidRDefault="00CB2A34" w:rsidP="00CB2A34">
      <w:pPr>
        <w:pStyle w:val="Body"/>
        <w:spacing w:after="0"/>
        <w:rPr>
          <w:rFonts w:ascii="Arial" w:hAnsi="Arial" w:cs="Arial"/>
        </w:rPr>
      </w:pPr>
      <w:r w:rsidRPr="00CB2A34">
        <w:rPr>
          <w:rFonts w:ascii="Arial" w:hAnsi="Arial" w:cs="Arial"/>
        </w:rPr>
        <w:t>One promising tool for democratizing school governance and raising the standard of instruction in basic education in the Philippines is the School Governing Council. Even though there are significant implementation challenges, the results show how beneficial participatory governance structures are. Schools can increase the efficacy of SGC and guarantee that all students and communities benefit from shared governance by filling in the gaps through thorough, cooperative, and context-sensitive interventions.</w:t>
      </w:r>
    </w:p>
    <w:p w14:paraId="70507F00" w14:textId="77777777" w:rsidR="00790ADA" w:rsidRPr="00FB3A86" w:rsidRDefault="00790ADA" w:rsidP="00441B6F">
      <w:pPr>
        <w:pStyle w:val="Body"/>
        <w:spacing w:after="0"/>
        <w:rPr>
          <w:rFonts w:ascii="Arial" w:hAnsi="Arial" w:cs="Arial"/>
        </w:rPr>
      </w:pPr>
    </w:p>
    <w:p w14:paraId="1A652CA6" w14:textId="77777777" w:rsidR="002B685A" w:rsidRDefault="002B685A" w:rsidP="00441B6F">
      <w:pPr>
        <w:pStyle w:val="ReferHead"/>
        <w:spacing w:after="0"/>
        <w:jc w:val="both"/>
        <w:rPr>
          <w:rFonts w:ascii="Arial" w:hAnsi="Arial" w:cs="Arial"/>
          <w:b w:val="0"/>
          <w:caps w:val="0"/>
          <w:sz w:val="20"/>
        </w:rPr>
      </w:pPr>
    </w:p>
    <w:p w14:paraId="366EA9D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4E771052" w14:textId="77777777" w:rsidR="002B685A" w:rsidRPr="002B685A" w:rsidRDefault="002B685A" w:rsidP="00441B6F">
      <w:pPr>
        <w:pStyle w:val="ReferHead"/>
        <w:spacing w:after="0"/>
        <w:jc w:val="both"/>
        <w:rPr>
          <w:rFonts w:ascii="Arial" w:hAnsi="Arial" w:cs="Arial"/>
          <w:bCs/>
        </w:rPr>
      </w:pPr>
    </w:p>
    <w:p w14:paraId="48BA0ADB" w14:textId="77777777" w:rsidR="001A29D8" w:rsidRPr="000D4093" w:rsidRDefault="004C19EE" w:rsidP="00441B6F">
      <w:pPr>
        <w:pStyle w:val="ReferHead"/>
        <w:spacing w:after="0"/>
        <w:jc w:val="both"/>
        <w:rPr>
          <w:rFonts w:ascii="Arial" w:hAnsi="Arial" w:cs="Arial"/>
          <w:b w:val="0"/>
          <w:caps w:val="0"/>
          <w:sz w:val="20"/>
          <w:u w:val="single"/>
        </w:rPr>
      </w:pPr>
      <w:r w:rsidRPr="004C19EE">
        <w:rPr>
          <w:rFonts w:ascii="Arial" w:hAnsi="Arial" w:cs="Arial"/>
          <w:b w:val="0"/>
          <w:caps w:val="0"/>
          <w:sz w:val="20"/>
        </w:rPr>
        <w:t>All authors declare that written informed consent was obtained from all participants for their participation in this research study. Participants were informed of their right to withdraw at any time without penalty. All identifying information has been removed to protect participant confidentiality.</w:t>
      </w:r>
    </w:p>
    <w:p w14:paraId="243F5112" w14:textId="77777777" w:rsidR="005C784C" w:rsidRDefault="005C784C" w:rsidP="00441B6F">
      <w:pPr>
        <w:pStyle w:val="ReferHead"/>
        <w:spacing w:after="0"/>
        <w:jc w:val="both"/>
        <w:rPr>
          <w:rFonts w:ascii="Arial" w:hAnsi="Arial" w:cs="Arial"/>
          <w:b w:val="0"/>
          <w:caps w:val="0"/>
          <w:sz w:val="20"/>
        </w:rPr>
      </w:pPr>
    </w:p>
    <w:p w14:paraId="2C15ED64"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040E49A" w14:textId="77777777" w:rsidR="005C784C" w:rsidRPr="002B685A" w:rsidRDefault="005C784C" w:rsidP="00441B6F">
      <w:pPr>
        <w:pStyle w:val="ReferHead"/>
        <w:spacing w:after="0"/>
        <w:jc w:val="both"/>
        <w:rPr>
          <w:rFonts w:ascii="Arial" w:hAnsi="Arial" w:cs="Arial"/>
          <w:bCs/>
        </w:rPr>
      </w:pPr>
    </w:p>
    <w:p w14:paraId="348EC887" w14:textId="77777777" w:rsidR="0041027F" w:rsidRDefault="002A22D7" w:rsidP="00441B6F">
      <w:pPr>
        <w:pStyle w:val="ReferHead"/>
        <w:spacing w:after="0"/>
        <w:jc w:val="both"/>
        <w:rPr>
          <w:rFonts w:ascii="Arial" w:hAnsi="Arial" w:cs="Arial"/>
          <w:b w:val="0"/>
          <w:caps w:val="0"/>
          <w:sz w:val="20"/>
        </w:rPr>
      </w:pPr>
      <w:r w:rsidRPr="00A91B2F">
        <w:rPr>
          <w:rFonts w:ascii="Arial" w:hAnsi="Arial" w:cs="Arial"/>
          <w:b w:val="0"/>
          <w:caps w:val="0"/>
          <w:sz w:val="20"/>
        </w:rPr>
        <w:t xml:space="preserve">All authors hereby declare that all research activities have been examined and approved by the </w:t>
      </w:r>
      <w:r w:rsidR="002B7BAF" w:rsidRPr="00A91B2F">
        <w:rPr>
          <w:rFonts w:ascii="Arial" w:hAnsi="Arial" w:cs="Arial"/>
          <w:b w:val="0"/>
          <w:caps w:val="0"/>
          <w:sz w:val="20"/>
        </w:rPr>
        <w:t>CBSUA</w:t>
      </w:r>
      <w:r w:rsidRPr="00A91B2F">
        <w:rPr>
          <w:rFonts w:ascii="Arial" w:hAnsi="Arial" w:cs="Arial"/>
          <w:b w:val="0"/>
          <w:caps w:val="0"/>
          <w:sz w:val="20"/>
        </w:rPr>
        <w:t xml:space="preserve"> Institutional Review </w:t>
      </w:r>
      <w:r w:rsidR="009B301B" w:rsidRPr="00A91B2F">
        <w:rPr>
          <w:rFonts w:ascii="Arial" w:hAnsi="Arial" w:cs="Arial"/>
          <w:b w:val="0"/>
          <w:caps w:val="0"/>
          <w:sz w:val="20"/>
        </w:rPr>
        <w:t>Committee for Graduate Studies</w:t>
      </w:r>
      <w:r w:rsidRPr="00A91B2F">
        <w:rPr>
          <w:rFonts w:ascii="Arial" w:hAnsi="Arial" w:cs="Arial"/>
          <w:b w:val="0"/>
          <w:caps w:val="0"/>
          <w:sz w:val="20"/>
        </w:rPr>
        <w:t>. This study was performed in accordance with the ethical s</w:t>
      </w:r>
      <w:r w:rsidR="00D42F16" w:rsidRPr="00A91B2F">
        <w:rPr>
          <w:rFonts w:ascii="Arial" w:hAnsi="Arial" w:cs="Arial"/>
          <w:b w:val="0"/>
          <w:caps w:val="0"/>
          <w:sz w:val="20"/>
        </w:rPr>
        <w:t xml:space="preserve">tandards. </w:t>
      </w:r>
      <w:r w:rsidRPr="00A91B2F">
        <w:rPr>
          <w:rFonts w:ascii="Arial" w:hAnsi="Arial" w:cs="Arial"/>
          <w:b w:val="0"/>
          <w:caps w:val="0"/>
          <w:sz w:val="20"/>
        </w:rPr>
        <w:t>Informed consent was obtained from all participants included in the study after full explanation of the research purpose and procedures.</w:t>
      </w:r>
    </w:p>
    <w:p w14:paraId="78B1FBC0" w14:textId="77777777" w:rsidR="001E6834" w:rsidRDefault="001E6834" w:rsidP="00441B6F">
      <w:pPr>
        <w:pStyle w:val="ReferHead"/>
        <w:spacing w:after="0"/>
        <w:jc w:val="both"/>
        <w:rPr>
          <w:rFonts w:ascii="Arial" w:hAnsi="Arial" w:cs="Arial"/>
          <w:b w:val="0"/>
          <w:caps w:val="0"/>
          <w:sz w:val="20"/>
        </w:rPr>
      </w:pPr>
    </w:p>
    <w:p w14:paraId="11F6DDB3" w14:textId="77777777" w:rsidR="001E6834" w:rsidRDefault="001E6834" w:rsidP="00441B6F">
      <w:pPr>
        <w:pStyle w:val="ReferHead"/>
        <w:spacing w:after="0"/>
        <w:jc w:val="both"/>
        <w:rPr>
          <w:rFonts w:ascii="Arial" w:hAnsi="Arial" w:cs="Arial"/>
          <w:b w:val="0"/>
          <w:caps w:val="0"/>
          <w:sz w:val="20"/>
        </w:rPr>
      </w:pPr>
    </w:p>
    <w:p w14:paraId="6E6C667F" w14:textId="77777777" w:rsidR="001E6834" w:rsidRPr="001E6834" w:rsidRDefault="001E6834" w:rsidP="001E6834">
      <w:pPr>
        <w:spacing w:after="200" w:line="276" w:lineRule="auto"/>
        <w:jc w:val="both"/>
        <w:outlineLvl w:val="0"/>
        <w:rPr>
          <w:rFonts w:ascii="Arial" w:eastAsiaTheme="minorEastAsia" w:hAnsi="Arial" w:cs="Arial"/>
          <w:sz w:val="22"/>
          <w:szCs w:val="22"/>
          <w:lang w:val="en-GB" w:eastAsia="en-GB"/>
        </w:rPr>
      </w:pPr>
      <w:r w:rsidRPr="001E6834">
        <w:rPr>
          <w:rFonts w:ascii="Arial" w:eastAsiaTheme="minorEastAsia" w:hAnsi="Arial" w:cs="Arial"/>
          <w:b/>
          <w:bCs/>
          <w:sz w:val="22"/>
          <w:szCs w:val="22"/>
          <w:lang w:val="en-GB" w:eastAsia="en-GB"/>
        </w:rPr>
        <w:t>COMPETING INTERESTS DISCLAIMER:</w:t>
      </w:r>
    </w:p>
    <w:p w14:paraId="4FA50089" w14:textId="77777777" w:rsidR="001E6834" w:rsidRPr="001E6834" w:rsidRDefault="001E6834" w:rsidP="001E6834">
      <w:pPr>
        <w:spacing w:after="200" w:line="276" w:lineRule="auto"/>
        <w:rPr>
          <w:rFonts w:asciiTheme="minorHAnsi" w:eastAsiaTheme="minorEastAsia" w:hAnsiTheme="minorHAnsi" w:cstheme="minorBidi"/>
          <w:sz w:val="22"/>
          <w:szCs w:val="22"/>
          <w:lang w:val="en-GB" w:eastAsia="en-GB"/>
        </w:rPr>
      </w:pPr>
      <w:r w:rsidRPr="001E683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26FE10" w14:textId="77777777" w:rsidR="001E6834" w:rsidRPr="00A91B2F" w:rsidRDefault="001E6834" w:rsidP="00441B6F">
      <w:pPr>
        <w:pStyle w:val="ReferHead"/>
        <w:spacing w:after="0"/>
        <w:jc w:val="both"/>
        <w:rPr>
          <w:rFonts w:ascii="Arial" w:hAnsi="Arial" w:cs="Arial"/>
          <w:b w:val="0"/>
          <w:caps w:val="0"/>
          <w:sz w:val="20"/>
          <w:u w:val="single"/>
        </w:rPr>
      </w:pPr>
    </w:p>
    <w:p w14:paraId="64AFC20D" w14:textId="77777777" w:rsidR="00860000" w:rsidRDefault="00860000" w:rsidP="00441B6F">
      <w:pPr>
        <w:pStyle w:val="ReferHead"/>
        <w:spacing w:after="0"/>
        <w:jc w:val="both"/>
        <w:rPr>
          <w:rFonts w:ascii="Arial" w:hAnsi="Arial" w:cs="Arial"/>
        </w:rPr>
      </w:pPr>
    </w:p>
    <w:p w14:paraId="45B452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DB3EC7" w14:textId="77777777" w:rsidR="00790ADA" w:rsidRDefault="00790ADA" w:rsidP="00441B6F">
      <w:pPr>
        <w:pStyle w:val="ReferHead"/>
        <w:spacing w:after="0"/>
        <w:jc w:val="both"/>
        <w:rPr>
          <w:rFonts w:ascii="Arial" w:hAnsi="Arial" w:cs="Arial"/>
          <w:sz w:val="20"/>
        </w:rPr>
      </w:pPr>
    </w:p>
    <w:p w14:paraId="43041A01"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Adams, J. E., &amp; Kirst, M. W. (1999). New demands and concepts for educational accountability: Striving for results in an era of excellence. In J. Murphy &amp; K. S. Louis (Eds.), </w:t>
      </w:r>
      <w:r w:rsidRPr="0092759D">
        <w:rPr>
          <w:rStyle w:val="Emphasis"/>
          <w:rFonts w:ascii="Arial" w:hAnsi="Arial" w:cs="Arial"/>
          <w:sz w:val="20"/>
          <w:szCs w:val="20"/>
        </w:rPr>
        <w:t>Handbook of research on educational administration</w:t>
      </w:r>
      <w:r w:rsidRPr="0092759D">
        <w:rPr>
          <w:rFonts w:ascii="Arial" w:hAnsi="Arial" w:cs="Arial"/>
          <w:sz w:val="20"/>
          <w:szCs w:val="20"/>
        </w:rPr>
        <w:t xml:space="preserve"> (2nd ed., pp. 463-489). Jossey-Bass.</w:t>
      </w:r>
    </w:p>
    <w:p w14:paraId="0F667DAB"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Bagin, D., Gallagher, D. R., &amp; Moore, E. H. (2008). </w:t>
      </w:r>
      <w:r w:rsidRPr="0092759D">
        <w:rPr>
          <w:rStyle w:val="Emphasis"/>
          <w:rFonts w:ascii="Arial" w:hAnsi="Arial" w:cs="Arial"/>
          <w:sz w:val="20"/>
          <w:szCs w:val="20"/>
        </w:rPr>
        <w:t>The school and community relations</w:t>
      </w:r>
      <w:r w:rsidRPr="0092759D">
        <w:rPr>
          <w:rFonts w:ascii="Arial" w:hAnsi="Arial" w:cs="Arial"/>
          <w:sz w:val="20"/>
          <w:szCs w:val="20"/>
        </w:rPr>
        <w:t xml:space="preserve"> (9th ed.). Allyn &amp; Bacon.</w:t>
      </w:r>
    </w:p>
    <w:p w14:paraId="69EFD2C6" w14:textId="77777777" w:rsidR="00BE3326" w:rsidRPr="003A4F0C" w:rsidRDefault="00BE3326" w:rsidP="003A4F0C">
      <w:pPr>
        <w:jc w:val="both"/>
        <w:rPr>
          <w:rFonts w:ascii="Arial" w:hAnsi="Arial" w:cs="Arial"/>
          <w:szCs w:val="24"/>
        </w:rPr>
      </w:pPr>
      <w:r w:rsidRPr="003A4F0C">
        <w:rPr>
          <w:rFonts w:ascii="Arial" w:hAnsi="Arial" w:cs="Arial"/>
          <w:szCs w:val="24"/>
        </w:rPr>
        <w:t xml:space="preserve">Brenton, J., &amp; Slawinski, N. (2023). Collaborating for Community Regeneration: Facilitating Partnerships in, Through, and for Place. </w:t>
      </w:r>
      <w:r w:rsidRPr="003A4F0C">
        <w:rPr>
          <w:rFonts w:ascii="Arial" w:hAnsi="Arial" w:cs="Arial"/>
          <w:i/>
          <w:iCs/>
          <w:szCs w:val="24"/>
        </w:rPr>
        <w:t>Journal of Business Ethics 2023 184:4</w:t>
      </w:r>
      <w:r w:rsidRPr="003A4F0C">
        <w:rPr>
          <w:rFonts w:ascii="Arial" w:hAnsi="Arial" w:cs="Arial"/>
          <w:szCs w:val="24"/>
        </w:rPr>
        <w:t xml:space="preserve">, </w:t>
      </w:r>
      <w:r w:rsidRPr="003A4F0C">
        <w:rPr>
          <w:rFonts w:ascii="Arial" w:hAnsi="Arial" w:cs="Arial"/>
          <w:i/>
          <w:iCs/>
          <w:szCs w:val="24"/>
        </w:rPr>
        <w:t>184</w:t>
      </w:r>
      <w:r w:rsidRPr="003A4F0C">
        <w:rPr>
          <w:rFonts w:ascii="Arial" w:hAnsi="Arial" w:cs="Arial"/>
          <w:szCs w:val="24"/>
        </w:rPr>
        <w:t xml:space="preserve">(4), 815–834. </w:t>
      </w:r>
      <w:hyperlink r:id="rId14" w:history="1">
        <w:r w:rsidRPr="003A4F0C">
          <w:rPr>
            <w:rStyle w:val="Hyperlink"/>
            <w:rFonts w:ascii="Arial" w:hAnsi="Arial" w:cs="Arial"/>
            <w:szCs w:val="24"/>
          </w:rPr>
          <w:t>https://doi.org/10.1007/S10551-023-05365-5</w:t>
        </w:r>
      </w:hyperlink>
    </w:p>
    <w:p w14:paraId="3075E4FA" w14:textId="77777777" w:rsidR="00BE3326" w:rsidRPr="00E169DC" w:rsidRDefault="00BE3326" w:rsidP="00E169DC">
      <w:pPr>
        <w:jc w:val="both"/>
        <w:rPr>
          <w:rFonts w:ascii="Arial" w:hAnsi="Arial" w:cs="Arial"/>
          <w:szCs w:val="24"/>
        </w:rPr>
      </w:pPr>
      <w:r w:rsidRPr="005D155B">
        <w:rPr>
          <w:rFonts w:ascii="Arial" w:hAnsi="Arial" w:cs="Arial"/>
          <w:szCs w:val="24"/>
        </w:rPr>
        <w:t xml:space="preserve">Chacha, M., Tangi, F., &amp; </w:t>
      </w:r>
      <w:proofErr w:type="spellStart"/>
      <w:r w:rsidRPr="005D155B">
        <w:rPr>
          <w:rFonts w:ascii="Arial" w:hAnsi="Arial" w:cs="Arial"/>
          <w:szCs w:val="24"/>
        </w:rPr>
        <w:t>Mhagama</w:t>
      </w:r>
      <w:proofErr w:type="spellEnd"/>
      <w:r w:rsidRPr="005D155B">
        <w:rPr>
          <w:rFonts w:ascii="Arial" w:hAnsi="Arial" w:cs="Arial"/>
          <w:szCs w:val="24"/>
        </w:rPr>
        <w:t xml:space="preserve">, M. (2023). Challenges facing stakeholders’ participation in improving teaching and learning process in public secondary schools in </w:t>
      </w:r>
      <w:proofErr w:type="spellStart"/>
      <w:r w:rsidRPr="005D155B">
        <w:rPr>
          <w:rFonts w:ascii="Arial" w:hAnsi="Arial" w:cs="Arial"/>
          <w:szCs w:val="24"/>
        </w:rPr>
        <w:t>Rorya</w:t>
      </w:r>
      <w:proofErr w:type="spellEnd"/>
      <w:r w:rsidRPr="005D155B">
        <w:rPr>
          <w:rFonts w:ascii="Arial" w:hAnsi="Arial" w:cs="Arial"/>
          <w:szCs w:val="24"/>
        </w:rPr>
        <w:t xml:space="preserve"> District, Mara, Tanzania. </w:t>
      </w:r>
      <w:r w:rsidRPr="005D155B">
        <w:rPr>
          <w:rFonts w:ascii="Arial" w:hAnsi="Arial" w:cs="Arial"/>
          <w:i/>
          <w:iCs/>
          <w:szCs w:val="24"/>
        </w:rPr>
        <w:t>International Journal of Humanities and Education Development (IJHED)</w:t>
      </w:r>
      <w:r w:rsidRPr="005D155B">
        <w:rPr>
          <w:rFonts w:ascii="Arial" w:hAnsi="Arial" w:cs="Arial"/>
          <w:szCs w:val="24"/>
        </w:rPr>
        <w:t xml:space="preserve">, </w:t>
      </w:r>
      <w:r w:rsidRPr="005D155B">
        <w:rPr>
          <w:rFonts w:ascii="Arial" w:hAnsi="Arial" w:cs="Arial"/>
          <w:i/>
          <w:iCs/>
          <w:szCs w:val="24"/>
        </w:rPr>
        <w:t>5</w:t>
      </w:r>
      <w:r w:rsidRPr="005D155B">
        <w:rPr>
          <w:rFonts w:ascii="Arial" w:hAnsi="Arial" w:cs="Arial"/>
          <w:szCs w:val="24"/>
        </w:rPr>
        <w:t xml:space="preserve">(6), 30–36. </w:t>
      </w:r>
      <w:hyperlink r:id="rId15" w:history="1">
        <w:r w:rsidRPr="00E169DC">
          <w:rPr>
            <w:rStyle w:val="Hyperlink"/>
            <w:rFonts w:ascii="Arial" w:hAnsi="Arial" w:cs="Arial"/>
            <w:szCs w:val="24"/>
          </w:rPr>
          <w:t>https://doi.org/10.22161/JHED.5.6.4</w:t>
        </w:r>
      </w:hyperlink>
    </w:p>
    <w:p w14:paraId="35DE05A4" w14:textId="77777777" w:rsidR="00BE3326" w:rsidRPr="00726E70" w:rsidRDefault="00BE3326" w:rsidP="00726E70">
      <w:pPr>
        <w:jc w:val="both"/>
        <w:rPr>
          <w:rFonts w:ascii="Arial" w:hAnsi="Arial" w:cs="Arial"/>
        </w:rPr>
      </w:pPr>
      <w:r w:rsidRPr="00726E70">
        <w:rPr>
          <w:rFonts w:ascii="Arial" w:hAnsi="Arial" w:cs="Arial"/>
        </w:rPr>
        <w:t xml:space="preserve">Clapham, A. (2024). Undiminishing school governance: investigating ‘governance maturity theory’ for school governing bodies. </w:t>
      </w:r>
      <w:r w:rsidRPr="00726E70">
        <w:rPr>
          <w:rFonts w:ascii="Arial" w:hAnsi="Arial" w:cs="Arial"/>
          <w:i/>
          <w:iCs/>
        </w:rPr>
        <w:t>Journal of Education Policy</w:t>
      </w:r>
      <w:r w:rsidRPr="00726E70">
        <w:rPr>
          <w:rFonts w:ascii="Arial" w:hAnsi="Arial" w:cs="Arial"/>
        </w:rPr>
        <w:t xml:space="preserve">, </w:t>
      </w:r>
      <w:r w:rsidRPr="00726E70">
        <w:rPr>
          <w:rFonts w:ascii="Arial" w:hAnsi="Arial" w:cs="Arial"/>
          <w:i/>
          <w:iCs/>
        </w:rPr>
        <w:t>39</w:t>
      </w:r>
      <w:r w:rsidRPr="00726E70">
        <w:rPr>
          <w:rFonts w:ascii="Arial" w:hAnsi="Arial" w:cs="Arial"/>
        </w:rPr>
        <w:t xml:space="preserve">(6), 899–918. </w:t>
      </w:r>
      <w:hyperlink r:id="rId16" w:history="1">
        <w:r w:rsidRPr="00726E70">
          <w:rPr>
            <w:rStyle w:val="Hyperlink"/>
            <w:rFonts w:ascii="Arial" w:hAnsi="Arial" w:cs="Arial"/>
          </w:rPr>
          <w:t>https://doi.org/10.1080/02680939.2024.2337031</w:t>
        </w:r>
      </w:hyperlink>
      <w:r w:rsidRPr="00726E70">
        <w:rPr>
          <w:rFonts w:ascii="Arial" w:hAnsi="Arial" w:cs="Arial"/>
        </w:rPr>
        <w:t xml:space="preserve"> </w:t>
      </w:r>
    </w:p>
    <w:p w14:paraId="218B2E9C" w14:textId="77777777" w:rsidR="00BE3326" w:rsidRPr="003F452D" w:rsidRDefault="00BE3326" w:rsidP="003F452D">
      <w:pPr>
        <w:rPr>
          <w:rFonts w:ascii="Arial" w:hAnsi="Arial" w:cs="Arial"/>
        </w:rPr>
      </w:pPr>
      <w:r w:rsidRPr="003F452D">
        <w:rPr>
          <w:rFonts w:ascii="Arial" w:hAnsi="Arial" w:cs="Arial"/>
        </w:rPr>
        <w:t xml:space="preserve">Cohen, J., </w:t>
      </w:r>
      <w:proofErr w:type="spellStart"/>
      <w:r w:rsidRPr="003F452D">
        <w:rPr>
          <w:rFonts w:ascii="Arial" w:hAnsi="Arial" w:cs="Arial"/>
        </w:rPr>
        <w:t>Mccabe</w:t>
      </w:r>
      <w:proofErr w:type="spellEnd"/>
      <w:r w:rsidRPr="003F452D">
        <w:rPr>
          <w:rFonts w:ascii="Arial" w:hAnsi="Arial" w:cs="Arial"/>
        </w:rPr>
        <w:t xml:space="preserve">, E. M., Michelli, N. M., &amp; Pickeral, T. (2009). School climate: Research, policy, practice, and teacher education. </w:t>
      </w:r>
      <w:r w:rsidRPr="003F452D">
        <w:rPr>
          <w:rFonts w:ascii="Arial" w:hAnsi="Arial" w:cs="Arial"/>
          <w:i/>
          <w:iCs/>
        </w:rPr>
        <w:t>Teachers College Record</w:t>
      </w:r>
      <w:r w:rsidRPr="003F452D">
        <w:rPr>
          <w:rFonts w:ascii="Arial" w:hAnsi="Arial" w:cs="Arial"/>
        </w:rPr>
        <w:t xml:space="preserve">, </w:t>
      </w:r>
      <w:r w:rsidRPr="003F452D">
        <w:rPr>
          <w:rFonts w:ascii="Arial" w:hAnsi="Arial" w:cs="Arial"/>
          <w:i/>
          <w:iCs/>
        </w:rPr>
        <w:t>111</w:t>
      </w:r>
      <w:r w:rsidRPr="003F452D">
        <w:rPr>
          <w:rFonts w:ascii="Arial" w:hAnsi="Arial" w:cs="Arial"/>
        </w:rPr>
        <w:t xml:space="preserve">(1), 180–213. </w:t>
      </w:r>
      <w:hyperlink r:id="rId17" w:history="1">
        <w:r w:rsidRPr="00B24A7E">
          <w:rPr>
            <w:rStyle w:val="Hyperlink"/>
            <w:rFonts w:ascii="Arial" w:hAnsi="Arial" w:cs="Arial"/>
          </w:rPr>
          <w:t>https://doi.org/10.1177/016146810911100108;PAGE:STRING:ARTICLE/CHAPTER</w:t>
        </w:r>
      </w:hyperlink>
      <w:r>
        <w:rPr>
          <w:rFonts w:ascii="Arial" w:hAnsi="Arial" w:cs="Arial"/>
        </w:rPr>
        <w:t xml:space="preserve"> </w:t>
      </w:r>
    </w:p>
    <w:p w14:paraId="7387DBD4" w14:textId="77777777" w:rsidR="00BE3326" w:rsidRDefault="00BE3326" w:rsidP="00655054">
      <w:pPr>
        <w:jc w:val="both"/>
        <w:rPr>
          <w:rFonts w:ascii="Arial" w:hAnsi="Arial" w:cs="Arial"/>
          <w:szCs w:val="24"/>
        </w:rPr>
      </w:pPr>
      <w:r>
        <w:rPr>
          <w:rFonts w:ascii="Arial" w:hAnsi="Arial" w:cs="Arial"/>
          <w:szCs w:val="24"/>
        </w:rPr>
        <w:t>Colonia, R. C.</w:t>
      </w:r>
      <w:r w:rsidRPr="00F7277A">
        <w:rPr>
          <w:rFonts w:ascii="Arial" w:hAnsi="Arial" w:cs="Arial"/>
          <w:szCs w:val="24"/>
        </w:rPr>
        <w:t xml:space="preserve">, Jr., Osias, N. C., &amp; Comon, J. D. (2024). Stakeholders’ Participation on the Implementation of </w:t>
      </w:r>
      <w:proofErr w:type="spellStart"/>
      <w:r w:rsidRPr="00F7277A">
        <w:rPr>
          <w:rFonts w:ascii="Arial" w:hAnsi="Arial" w:cs="Arial"/>
          <w:szCs w:val="24"/>
        </w:rPr>
        <w:t>Brigada</w:t>
      </w:r>
      <w:proofErr w:type="spellEnd"/>
      <w:r w:rsidRPr="00F7277A">
        <w:rPr>
          <w:rFonts w:ascii="Arial" w:hAnsi="Arial" w:cs="Arial"/>
          <w:szCs w:val="24"/>
        </w:rPr>
        <w:t xml:space="preserve"> </w:t>
      </w:r>
      <w:proofErr w:type="spellStart"/>
      <w:r w:rsidRPr="00F7277A">
        <w:rPr>
          <w:rFonts w:ascii="Arial" w:hAnsi="Arial" w:cs="Arial"/>
          <w:szCs w:val="24"/>
        </w:rPr>
        <w:t>Eskwela</w:t>
      </w:r>
      <w:proofErr w:type="spellEnd"/>
      <w:r w:rsidRPr="00F7277A">
        <w:rPr>
          <w:rFonts w:ascii="Arial" w:hAnsi="Arial" w:cs="Arial"/>
          <w:szCs w:val="24"/>
        </w:rPr>
        <w:t xml:space="preserve"> Program: Basis for an Intervention Plan. </w:t>
      </w:r>
      <w:r w:rsidRPr="00F7277A">
        <w:rPr>
          <w:rFonts w:ascii="Arial" w:hAnsi="Arial" w:cs="Arial"/>
          <w:i/>
          <w:iCs/>
          <w:szCs w:val="24"/>
        </w:rPr>
        <w:t>European Modern Studies Journal</w:t>
      </w:r>
      <w:r w:rsidRPr="00F7277A">
        <w:rPr>
          <w:rFonts w:ascii="Arial" w:hAnsi="Arial" w:cs="Arial"/>
          <w:szCs w:val="24"/>
        </w:rPr>
        <w:t xml:space="preserve">, </w:t>
      </w:r>
      <w:r w:rsidRPr="00F7277A">
        <w:rPr>
          <w:rFonts w:ascii="Arial" w:hAnsi="Arial" w:cs="Arial"/>
          <w:i/>
          <w:iCs/>
          <w:szCs w:val="24"/>
        </w:rPr>
        <w:t>8</w:t>
      </w:r>
      <w:r w:rsidRPr="00F7277A">
        <w:rPr>
          <w:rFonts w:ascii="Arial" w:hAnsi="Arial" w:cs="Arial"/>
          <w:szCs w:val="24"/>
        </w:rPr>
        <w:t xml:space="preserve">(3), 659–686. </w:t>
      </w:r>
      <w:hyperlink r:id="rId18" w:history="1">
        <w:r w:rsidRPr="00C04DA8">
          <w:rPr>
            <w:rStyle w:val="Hyperlink"/>
            <w:rFonts w:ascii="Arial" w:hAnsi="Arial" w:cs="Arial"/>
            <w:szCs w:val="24"/>
          </w:rPr>
          <w:t>https://doi.org/10.59573/EMSJ.8(3).2024.41</w:t>
        </w:r>
      </w:hyperlink>
    </w:p>
    <w:p w14:paraId="3E0946F5" w14:textId="77777777" w:rsidR="00BE3326" w:rsidRDefault="00BE3326" w:rsidP="00973524">
      <w:pPr>
        <w:rPr>
          <w:rFonts w:ascii="Arial" w:hAnsi="Arial" w:cs="Arial"/>
        </w:rPr>
      </w:pPr>
      <w:r w:rsidRPr="00973524">
        <w:rPr>
          <w:rFonts w:ascii="Arial" w:hAnsi="Arial" w:cs="Arial"/>
        </w:rPr>
        <w:t xml:space="preserve">Connolly, M., &amp; James, C. (2024). Developing and proposing rational and valid principles for effective school governance in England. </w:t>
      </w:r>
      <w:r w:rsidRPr="00973524">
        <w:rPr>
          <w:rFonts w:ascii="Arial" w:hAnsi="Arial" w:cs="Arial"/>
          <w:i/>
          <w:iCs/>
        </w:rPr>
        <w:t>Educational Management Administration and Leadership</w:t>
      </w:r>
      <w:r w:rsidRPr="00973524">
        <w:rPr>
          <w:rFonts w:ascii="Arial" w:hAnsi="Arial" w:cs="Arial"/>
        </w:rPr>
        <w:t xml:space="preserve">, </w:t>
      </w:r>
      <w:r w:rsidRPr="00973524">
        <w:rPr>
          <w:rFonts w:ascii="Arial" w:hAnsi="Arial" w:cs="Arial"/>
          <w:i/>
          <w:iCs/>
        </w:rPr>
        <w:t>52</w:t>
      </w:r>
      <w:r w:rsidRPr="00973524">
        <w:rPr>
          <w:rFonts w:ascii="Arial" w:hAnsi="Arial" w:cs="Arial"/>
        </w:rPr>
        <w:t xml:space="preserve">(2), 417–434. </w:t>
      </w:r>
      <w:hyperlink r:id="rId19" w:history="1">
        <w:r w:rsidRPr="00973524">
          <w:rPr>
            <w:rStyle w:val="Hyperlink"/>
            <w:rFonts w:ascii="Arial" w:hAnsi="Arial" w:cs="Arial"/>
          </w:rPr>
          <w:t>https://doi.org/10.1177/17411432221077507;WEBSITE:WEBSITE:SAGE;ISSUE:ISSUE:DOI</w:t>
        </w:r>
      </w:hyperlink>
      <w:r w:rsidRPr="00973524">
        <w:rPr>
          <w:rFonts w:ascii="Arial" w:hAnsi="Arial" w:cs="Arial"/>
        </w:rPr>
        <w:t xml:space="preserve"> </w:t>
      </w:r>
    </w:p>
    <w:p w14:paraId="04F3F10F"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Council of Europe. (2024). Democracy starts in schools II: Engaging school children in decision making processes in schools and communities in Georgia. Retrieved from </w:t>
      </w:r>
      <w:hyperlink r:id="rId20" w:history="1">
        <w:r w:rsidRPr="0092759D">
          <w:rPr>
            <w:rStyle w:val="Hyperlink"/>
            <w:rFonts w:ascii="Arial" w:hAnsi="Arial" w:cs="Arial"/>
            <w:sz w:val="20"/>
            <w:szCs w:val="20"/>
          </w:rPr>
          <w:t>https://www.coe.int/en/web/education/democracy-starts-in-schools-ii</w:t>
        </w:r>
      </w:hyperlink>
    </w:p>
    <w:p w14:paraId="1D738DF0"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De Lara, N. R., &amp; </w:t>
      </w:r>
      <w:proofErr w:type="spellStart"/>
      <w:r w:rsidRPr="0092759D">
        <w:rPr>
          <w:rFonts w:ascii="Arial" w:hAnsi="Arial" w:cs="Arial"/>
          <w:sz w:val="20"/>
          <w:szCs w:val="20"/>
        </w:rPr>
        <w:t>Pañares</w:t>
      </w:r>
      <w:proofErr w:type="spellEnd"/>
      <w:r w:rsidRPr="0092759D">
        <w:rPr>
          <w:rFonts w:ascii="Arial" w:hAnsi="Arial" w:cs="Arial"/>
          <w:sz w:val="20"/>
          <w:szCs w:val="20"/>
        </w:rPr>
        <w:t xml:space="preserve">, N. C. (2023). Implementation of school-based management as perceived by the school governing council. </w:t>
      </w:r>
      <w:r w:rsidRPr="00A6501B">
        <w:rPr>
          <w:rStyle w:val="Emphasis"/>
          <w:rFonts w:ascii="Arial" w:hAnsi="Arial" w:cs="Arial"/>
          <w:i w:val="0"/>
          <w:sz w:val="20"/>
          <w:szCs w:val="20"/>
        </w:rPr>
        <w:t>International Journal of Research Publications</w:t>
      </w:r>
      <w:r w:rsidRPr="00A6501B">
        <w:rPr>
          <w:rFonts w:ascii="Arial" w:hAnsi="Arial" w:cs="Arial"/>
          <w:i/>
          <w:sz w:val="20"/>
          <w:szCs w:val="20"/>
        </w:rPr>
        <w:t>, 129</w:t>
      </w:r>
      <w:r w:rsidRPr="0092759D">
        <w:rPr>
          <w:rFonts w:ascii="Arial" w:hAnsi="Arial" w:cs="Arial"/>
          <w:sz w:val="20"/>
          <w:szCs w:val="20"/>
        </w:rPr>
        <w:t xml:space="preserve">(1), 457-470. </w:t>
      </w:r>
      <w:hyperlink r:id="rId21" w:history="1">
        <w:r w:rsidRPr="0092759D">
          <w:rPr>
            <w:rStyle w:val="Hyperlink"/>
            <w:rFonts w:ascii="Arial" w:hAnsi="Arial" w:cs="Arial"/>
            <w:sz w:val="20"/>
            <w:szCs w:val="20"/>
          </w:rPr>
          <w:t>https://doi.org/10.47119/IJRP1001291720235295</w:t>
        </w:r>
      </w:hyperlink>
    </w:p>
    <w:p w14:paraId="75190095" w14:textId="77777777" w:rsidR="00BE3326" w:rsidRPr="005B760E" w:rsidRDefault="00BE3326" w:rsidP="005B760E">
      <w:pPr>
        <w:jc w:val="both"/>
        <w:rPr>
          <w:rFonts w:ascii="Arial" w:hAnsi="Arial" w:cs="Arial"/>
          <w:szCs w:val="24"/>
        </w:rPr>
      </w:pPr>
      <w:r w:rsidRPr="005B760E">
        <w:rPr>
          <w:rFonts w:ascii="Arial" w:hAnsi="Arial" w:cs="Arial"/>
          <w:szCs w:val="24"/>
        </w:rPr>
        <w:t xml:space="preserve">Enad, F. (2025). School Governance in Complex Contexts: A Systems-Informed Framework for Public School Leadership. </w:t>
      </w:r>
      <w:r w:rsidRPr="005B760E">
        <w:rPr>
          <w:rFonts w:ascii="Arial" w:hAnsi="Arial" w:cs="Arial"/>
          <w:i/>
          <w:iCs/>
          <w:szCs w:val="24"/>
        </w:rPr>
        <w:t xml:space="preserve">International Journal </w:t>
      </w:r>
      <w:proofErr w:type="gramStart"/>
      <w:r w:rsidRPr="005B760E">
        <w:rPr>
          <w:rFonts w:ascii="Arial" w:hAnsi="Arial" w:cs="Arial"/>
          <w:i/>
          <w:iCs/>
          <w:szCs w:val="24"/>
        </w:rPr>
        <w:t>For</w:t>
      </w:r>
      <w:proofErr w:type="gramEnd"/>
      <w:r w:rsidRPr="005B760E">
        <w:rPr>
          <w:rFonts w:ascii="Arial" w:hAnsi="Arial" w:cs="Arial"/>
          <w:i/>
          <w:iCs/>
          <w:szCs w:val="24"/>
        </w:rPr>
        <w:t xml:space="preserve"> Multidisciplinary Research</w:t>
      </w:r>
      <w:r w:rsidRPr="005B760E">
        <w:rPr>
          <w:rFonts w:ascii="Arial" w:hAnsi="Arial" w:cs="Arial"/>
          <w:szCs w:val="24"/>
        </w:rPr>
        <w:t xml:space="preserve">, </w:t>
      </w:r>
      <w:r w:rsidRPr="005B760E">
        <w:rPr>
          <w:rFonts w:ascii="Arial" w:hAnsi="Arial" w:cs="Arial"/>
          <w:i/>
          <w:iCs/>
          <w:szCs w:val="24"/>
        </w:rPr>
        <w:t>7</w:t>
      </w:r>
      <w:r w:rsidRPr="005B760E">
        <w:rPr>
          <w:rFonts w:ascii="Arial" w:hAnsi="Arial" w:cs="Arial"/>
          <w:szCs w:val="24"/>
        </w:rPr>
        <w:t xml:space="preserve">(4). </w:t>
      </w:r>
      <w:hyperlink r:id="rId22" w:history="1">
        <w:r w:rsidRPr="005B760E">
          <w:rPr>
            <w:rStyle w:val="Hyperlink"/>
            <w:rFonts w:ascii="Arial" w:hAnsi="Arial" w:cs="Arial"/>
            <w:szCs w:val="24"/>
          </w:rPr>
          <w:t>https://doi.org/10.36948/IJFMR.2025.V07I04.52442</w:t>
        </w:r>
      </w:hyperlink>
      <w:r w:rsidRPr="005B760E">
        <w:rPr>
          <w:rFonts w:ascii="Arial" w:hAnsi="Arial" w:cs="Arial"/>
          <w:szCs w:val="24"/>
        </w:rPr>
        <w:t xml:space="preserve"> </w:t>
      </w:r>
    </w:p>
    <w:p w14:paraId="5B385082"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Epstein, J. L., </w:t>
      </w:r>
      <w:r w:rsidR="000E1DD5">
        <w:rPr>
          <w:rFonts w:ascii="Arial" w:hAnsi="Arial" w:cs="Arial"/>
          <w:sz w:val="20"/>
          <w:szCs w:val="20"/>
        </w:rPr>
        <w:t>Sanders, M. G.,</w:t>
      </w:r>
      <w:r w:rsidR="000E1DD5" w:rsidRPr="000E1DD5">
        <w:rPr>
          <w:rFonts w:ascii="Arial" w:hAnsi="Arial" w:cs="Arial"/>
          <w:sz w:val="20"/>
          <w:szCs w:val="20"/>
        </w:rPr>
        <w:t xml:space="preserve"> Sheldon, S</w:t>
      </w:r>
      <w:r w:rsidR="007072AA">
        <w:rPr>
          <w:rFonts w:ascii="Arial" w:hAnsi="Arial" w:cs="Arial"/>
          <w:sz w:val="20"/>
          <w:szCs w:val="20"/>
        </w:rPr>
        <w:t>.</w:t>
      </w:r>
      <w:r w:rsidR="00EA6004">
        <w:rPr>
          <w:rFonts w:ascii="Arial" w:hAnsi="Arial" w:cs="Arial"/>
          <w:sz w:val="20"/>
          <w:szCs w:val="20"/>
        </w:rPr>
        <w:t xml:space="preserve"> B.,</w:t>
      </w:r>
      <w:r w:rsidR="000E1DD5" w:rsidRPr="000E1DD5">
        <w:rPr>
          <w:rFonts w:ascii="Arial" w:hAnsi="Arial" w:cs="Arial"/>
          <w:sz w:val="20"/>
          <w:szCs w:val="20"/>
        </w:rPr>
        <w:t xml:space="preserve"> Simon, B</w:t>
      </w:r>
      <w:r w:rsidR="00EA6004">
        <w:rPr>
          <w:rFonts w:ascii="Arial" w:hAnsi="Arial" w:cs="Arial"/>
          <w:sz w:val="20"/>
          <w:szCs w:val="20"/>
        </w:rPr>
        <w:t>. S.,</w:t>
      </w:r>
      <w:r w:rsidR="000E1DD5" w:rsidRPr="000E1DD5">
        <w:rPr>
          <w:rFonts w:ascii="Arial" w:hAnsi="Arial" w:cs="Arial"/>
          <w:sz w:val="20"/>
          <w:szCs w:val="20"/>
        </w:rPr>
        <w:t xml:space="preserve"> Salinas, K</w:t>
      </w:r>
      <w:r w:rsidR="00EA6004">
        <w:rPr>
          <w:rFonts w:ascii="Arial" w:hAnsi="Arial" w:cs="Arial"/>
          <w:sz w:val="20"/>
          <w:szCs w:val="20"/>
        </w:rPr>
        <w:t>.</w:t>
      </w:r>
      <w:r w:rsidR="000E1DD5" w:rsidRPr="000E1DD5">
        <w:rPr>
          <w:rFonts w:ascii="Arial" w:hAnsi="Arial" w:cs="Arial"/>
          <w:sz w:val="20"/>
          <w:szCs w:val="20"/>
        </w:rPr>
        <w:t xml:space="preserve"> C</w:t>
      </w:r>
      <w:r w:rsidR="00EA6004">
        <w:rPr>
          <w:rFonts w:ascii="Arial" w:hAnsi="Arial" w:cs="Arial"/>
          <w:sz w:val="20"/>
          <w:szCs w:val="20"/>
        </w:rPr>
        <w:t>.,</w:t>
      </w:r>
      <w:r w:rsidR="000E1DD5" w:rsidRPr="000E1DD5">
        <w:rPr>
          <w:rFonts w:ascii="Arial" w:hAnsi="Arial" w:cs="Arial"/>
          <w:sz w:val="20"/>
          <w:szCs w:val="20"/>
        </w:rPr>
        <w:t xml:space="preserve"> </w:t>
      </w:r>
      <w:proofErr w:type="spellStart"/>
      <w:r w:rsidR="000E1DD5" w:rsidRPr="000E1DD5">
        <w:rPr>
          <w:rFonts w:ascii="Arial" w:hAnsi="Arial" w:cs="Arial"/>
          <w:sz w:val="20"/>
          <w:szCs w:val="20"/>
        </w:rPr>
        <w:t>Jansorn</w:t>
      </w:r>
      <w:proofErr w:type="spellEnd"/>
      <w:r w:rsidR="000E1DD5" w:rsidRPr="000E1DD5">
        <w:rPr>
          <w:rFonts w:ascii="Arial" w:hAnsi="Arial" w:cs="Arial"/>
          <w:sz w:val="20"/>
          <w:szCs w:val="20"/>
        </w:rPr>
        <w:t>, N</w:t>
      </w:r>
      <w:r w:rsidR="00EA6004">
        <w:rPr>
          <w:rFonts w:ascii="Arial" w:hAnsi="Arial" w:cs="Arial"/>
          <w:sz w:val="20"/>
          <w:szCs w:val="20"/>
        </w:rPr>
        <w:t>.</w:t>
      </w:r>
      <w:r w:rsidR="00F256CD">
        <w:rPr>
          <w:rFonts w:ascii="Arial" w:hAnsi="Arial" w:cs="Arial"/>
          <w:sz w:val="20"/>
          <w:szCs w:val="20"/>
        </w:rPr>
        <w:t>,</w:t>
      </w:r>
      <w:r w:rsidR="000E1DD5" w:rsidRPr="000E1DD5">
        <w:rPr>
          <w:rFonts w:ascii="Arial" w:hAnsi="Arial" w:cs="Arial"/>
          <w:sz w:val="20"/>
          <w:szCs w:val="20"/>
        </w:rPr>
        <w:t xml:space="preserve"> Rodriguez</w:t>
      </w:r>
      <w:r w:rsidR="00F256CD">
        <w:rPr>
          <w:rFonts w:ascii="Arial" w:hAnsi="Arial" w:cs="Arial"/>
          <w:sz w:val="20"/>
          <w:szCs w:val="20"/>
        </w:rPr>
        <w:t>,</w:t>
      </w:r>
      <w:r w:rsidR="000E1DD5" w:rsidRPr="000E1DD5">
        <w:rPr>
          <w:rFonts w:ascii="Arial" w:hAnsi="Arial" w:cs="Arial"/>
          <w:sz w:val="20"/>
          <w:szCs w:val="20"/>
        </w:rPr>
        <w:t xml:space="preserve"> V</w:t>
      </w:r>
      <w:r w:rsidR="00F256CD">
        <w:rPr>
          <w:rFonts w:ascii="Arial" w:hAnsi="Arial" w:cs="Arial"/>
          <w:sz w:val="20"/>
          <w:szCs w:val="20"/>
        </w:rPr>
        <w:t>.,</w:t>
      </w:r>
      <w:r w:rsidR="000E1DD5" w:rsidRPr="000E1DD5">
        <w:rPr>
          <w:rFonts w:ascii="Arial" w:hAnsi="Arial" w:cs="Arial"/>
          <w:sz w:val="20"/>
          <w:szCs w:val="20"/>
        </w:rPr>
        <w:t xml:space="preserve"> Voorhis, F</w:t>
      </w:r>
      <w:r w:rsidR="00F256CD">
        <w:rPr>
          <w:rFonts w:ascii="Arial" w:hAnsi="Arial" w:cs="Arial"/>
          <w:sz w:val="20"/>
          <w:szCs w:val="20"/>
        </w:rPr>
        <w:t>.</w:t>
      </w:r>
      <w:r w:rsidR="000E1DD5" w:rsidRPr="000E1DD5">
        <w:rPr>
          <w:rFonts w:ascii="Arial" w:hAnsi="Arial" w:cs="Arial"/>
          <w:sz w:val="20"/>
          <w:szCs w:val="20"/>
        </w:rPr>
        <w:t xml:space="preserve"> L.</w:t>
      </w:r>
      <w:r w:rsidR="00F256CD">
        <w:rPr>
          <w:rFonts w:ascii="Arial" w:hAnsi="Arial" w:cs="Arial"/>
          <w:sz w:val="20"/>
          <w:szCs w:val="20"/>
        </w:rPr>
        <w:t>,</w:t>
      </w:r>
      <w:r w:rsidR="000E1DD5" w:rsidRPr="000E1DD5">
        <w:rPr>
          <w:rFonts w:ascii="Arial" w:hAnsi="Arial" w:cs="Arial"/>
          <w:sz w:val="20"/>
          <w:szCs w:val="20"/>
        </w:rPr>
        <w:t xml:space="preserve"> Martin, C</w:t>
      </w:r>
      <w:r w:rsidR="00F256CD">
        <w:rPr>
          <w:rFonts w:ascii="Arial" w:hAnsi="Arial" w:cs="Arial"/>
          <w:sz w:val="20"/>
          <w:szCs w:val="20"/>
        </w:rPr>
        <w:t>.</w:t>
      </w:r>
      <w:r w:rsidR="000E1DD5" w:rsidRPr="000E1DD5">
        <w:rPr>
          <w:rFonts w:ascii="Arial" w:hAnsi="Arial" w:cs="Arial"/>
          <w:sz w:val="20"/>
          <w:szCs w:val="20"/>
        </w:rPr>
        <w:t xml:space="preserve"> S.</w:t>
      </w:r>
      <w:r w:rsidR="00F256CD">
        <w:rPr>
          <w:rFonts w:ascii="Arial" w:hAnsi="Arial" w:cs="Arial"/>
          <w:sz w:val="20"/>
          <w:szCs w:val="20"/>
        </w:rPr>
        <w:t>,</w:t>
      </w:r>
      <w:r w:rsidR="000E1DD5" w:rsidRPr="000E1DD5">
        <w:rPr>
          <w:rFonts w:ascii="Arial" w:hAnsi="Arial" w:cs="Arial"/>
          <w:sz w:val="20"/>
          <w:szCs w:val="20"/>
        </w:rPr>
        <w:t xml:space="preserve"> Thomas, B</w:t>
      </w:r>
      <w:r w:rsidR="00F256CD">
        <w:rPr>
          <w:rFonts w:ascii="Arial" w:hAnsi="Arial" w:cs="Arial"/>
          <w:sz w:val="20"/>
          <w:szCs w:val="20"/>
        </w:rPr>
        <w:t>.</w:t>
      </w:r>
      <w:r w:rsidR="000E1DD5" w:rsidRPr="000E1DD5">
        <w:rPr>
          <w:rFonts w:ascii="Arial" w:hAnsi="Arial" w:cs="Arial"/>
          <w:sz w:val="20"/>
          <w:szCs w:val="20"/>
        </w:rPr>
        <w:t xml:space="preserve"> G.</w:t>
      </w:r>
      <w:r w:rsidR="00F256CD">
        <w:rPr>
          <w:rFonts w:ascii="Arial" w:hAnsi="Arial" w:cs="Arial"/>
          <w:sz w:val="20"/>
          <w:szCs w:val="20"/>
        </w:rPr>
        <w:t>,</w:t>
      </w:r>
      <w:r w:rsidR="000E1DD5" w:rsidRPr="000E1DD5">
        <w:rPr>
          <w:rFonts w:ascii="Arial" w:hAnsi="Arial" w:cs="Arial"/>
          <w:sz w:val="20"/>
          <w:szCs w:val="20"/>
        </w:rPr>
        <w:t xml:space="preserve"> Greenfeld, M</w:t>
      </w:r>
      <w:r w:rsidR="00EA6004">
        <w:rPr>
          <w:rFonts w:ascii="Arial" w:hAnsi="Arial" w:cs="Arial"/>
          <w:sz w:val="20"/>
          <w:szCs w:val="20"/>
        </w:rPr>
        <w:t>.</w:t>
      </w:r>
      <w:r w:rsidR="000E1DD5" w:rsidRPr="000E1DD5">
        <w:rPr>
          <w:rFonts w:ascii="Arial" w:hAnsi="Arial" w:cs="Arial"/>
          <w:sz w:val="20"/>
          <w:szCs w:val="20"/>
        </w:rPr>
        <w:t xml:space="preserve"> D.</w:t>
      </w:r>
      <w:r w:rsidR="00EA6004">
        <w:rPr>
          <w:rFonts w:ascii="Arial" w:hAnsi="Arial" w:cs="Arial"/>
          <w:sz w:val="20"/>
          <w:szCs w:val="20"/>
        </w:rPr>
        <w:t>,</w:t>
      </w:r>
      <w:r w:rsidR="000E1DD5" w:rsidRPr="000E1DD5">
        <w:rPr>
          <w:rFonts w:ascii="Arial" w:hAnsi="Arial" w:cs="Arial"/>
          <w:sz w:val="20"/>
          <w:szCs w:val="20"/>
        </w:rPr>
        <w:t xml:space="preserve"> Hutchins, D</w:t>
      </w:r>
      <w:r w:rsidR="00EA6004">
        <w:rPr>
          <w:rFonts w:ascii="Arial" w:hAnsi="Arial" w:cs="Arial"/>
          <w:sz w:val="20"/>
          <w:szCs w:val="20"/>
        </w:rPr>
        <w:t>.</w:t>
      </w:r>
      <w:r w:rsidR="000E1DD5" w:rsidRPr="000E1DD5">
        <w:rPr>
          <w:rFonts w:ascii="Arial" w:hAnsi="Arial" w:cs="Arial"/>
          <w:sz w:val="20"/>
          <w:szCs w:val="20"/>
        </w:rPr>
        <w:t xml:space="preserve"> J.</w:t>
      </w:r>
      <w:r w:rsidR="00EA6004">
        <w:rPr>
          <w:rFonts w:ascii="Arial" w:hAnsi="Arial" w:cs="Arial"/>
          <w:sz w:val="20"/>
          <w:szCs w:val="20"/>
        </w:rPr>
        <w:t>,</w:t>
      </w:r>
      <w:r w:rsidR="000E1DD5" w:rsidRPr="000E1DD5">
        <w:rPr>
          <w:rFonts w:ascii="Arial" w:hAnsi="Arial" w:cs="Arial"/>
          <w:sz w:val="20"/>
          <w:szCs w:val="20"/>
        </w:rPr>
        <w:t xml:space="preserve"> Williams, K</w:t>
      </w:r>
      <w:r w:rsidR="00EA6004">
        <w:rPr>
          <w:rFonts w:ascii="Arial" w:hAnsi="Arial" w:cs="Arial"/>
          <w:sz w:val="20"/>
          <w:szCs w:val="20"/>
        </w:rPr>
        <w:t>. J</w:t>
      </w:r>
      <w:r w:rsidRPr="0092759D">
        <w:rPr>
          <w:rFonts w:ascii="Arial" w:hAnsi="Arial" w:cs="Arial"/>
          <w:sz w:val="20"/>
          <w:szCs w:val="20"/>
        </w:rPr>
        <w:t xml:space="preserve">. (2019). </w:t>
      </w:r>
      <w:r w:rsidRPr="0092759D">
        <w:rPr>
          <w:rStyle w:val="Emphasis"/>
          <w:rFonts w:ascii="Arial" w:hAnsi="Arial" w:cs="Arial"/>
          <w:sz w:val="20"/>
          <w:szCs w:val="20"/>
        </w:rPr>
        <w:t>School, family, and community partnerships: Your handbook for action</w:t>
      </w:r>
      <w:r w:rsidRPr="0092759D">
        <w:rPr>
          <w:rFonts w:ascii="Arial" w:hAnsi="Arial" w:cs="Arial"/>
          <w:sz w:val="20"/>
          <w:szCs w:val="20"/>
        </w:rPr>
        <w:t xml:space="preserve"> (4th ed.). Corwin Press.</w:t>
      </w:r>
    </w:p>
    <w:p w14:paraId="1A757926" w14:textId="77777777" w:rsidR="00BE3326" w:rsidRDefault="00BE3326" w:rsidP="003D0BD2">
      <w:pPr>
        <w:rPr>
          <w:rFonts w:ascii="Arial" w:hAnsi="Arial" w:cs="Arial"/>
        </w:rPr>
      </w:pPr>
      <w:r>
        <w:rPr>
          <w:rFonts w:ascii="Arial" w:hAnsi="Arial" w:cs="Arial"/>
        </w:rPr>
        <w:t>Estrada, F., &amp; Mori, G. (2025</w:t>
      </w:r>
      <w:r w:rsidRPr="002A0DF5">
        <w:rPr>
          <w:rFonts w:ascii="Arial" w:hAnsi="Arial" w:cs="Arial"/>
        </w:rPr>
        <w:t xml:space="preserve">). Stakeholders’ participation and challenges in school activities. </w:t>
      </w:r>
      <w:r w:rsidRPr="002A0DF5">
        <w:rPr>
          <w:rFonts w:ascii="Arial" w:hAnsi="Arial" w:cs="Arial"/>
          <w:i/>
          <w:iCs/>
        </w:rPr>
        <w:t>HO CHI MINH CITY OPEN UNIVERSITY JOURNAL OF SCIENCE - SOCIAL SCIENCES</w:t>
      </w:r>
      <w:r w:rsidRPr="002A0DF5">
        <w:rPr>
          <w:rFonts w:ascii="Arial" w:hAnsi="Arial" w:cs="Arial"/>
        </w:rPr>
        <w:t xml:space="preserve">, </w:t>
      </w:r>
      <w:r w:rsidRPr="002A0DF5">
        <w:rPr>
          <w:rFonts w:ascii="Arial" w:hAnsi="Arial" w:cs="Arial"/>
          <w:i/>
          <w:iCs/>
        </w:rPr>
        <w:t>16</w:t>
      </w:r>
      <w:r w:rsidRPr="002A0DF5">
        <w:rPr>
          <w:rFonts w:ascii="Arial" w:hAnsi="Arial" w:cs="Arial"/>
        </w:rPr>
        <w:t xml:space="preserve">(9). </w:t>
      </w:r>
      <w:hyperlink r:id="rId23" w:history="1">
        <w:r w:rsidRPr="003D6F95">
          <w:rPr>
            <w:rStyle w:val="Hyperlink"/>
            <w:rFonts w:ascii="Arial" w:hAnsi="Arial" w:cs="Arial"/>
          </w:rPr>
          <w:t>https://doi.org/10.46223/HCMCOUJS.SOCI.EN.16.9.4473.2026</w:t>
        </w:r>
      </w:hyperlink>
      <w:r w:rsidRPr="003D6F95">
        <w:rPr>
          <w:rFonts w:ascii="Arial" w:hAnsi="Arial" w:cs="Arial"/>
        </w:rPr>
        <w:t xml:space="preserve"> </w:t>
      </w:r>
    </w:p>
    <w:p w14:paraId="27B56C31"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Fullan, M. (2007). </w:t>
      </w:r>
      <w:r w:rsidRPr="0092759D">
        <w:rPr>
          <w:rStyle w:val="Emphasis"/>
          <w:rFonts w:ascii="Arial" w:hAnsi="Arial" w:cs="Arial"/>
          <w:sz w:val="20"/>
          <w:szCs w:val="20"/>
        </w:rPr>
        <w:t>The new meaning of educational change</w:t>
      </w:r>
      <w:r w:rsidRPr="0092759D">
        <w:rPr>
          <w:rFonts w:ascii="Arial" w:hAnsi="Arial" w:cs="Arial"/>
          <w:sz w:val="20"/>
          <w:szCs w:val="20"/>
        </w:rPr>
        <w:t xml:space="preserve"> (4th ed.). Teachers College Press.</w:t>
      </w:r>
    </w:p>
    <w:p w14:paraId="76044EEB" w14:textId="77777777" w:rsidR="00BE3326" w:rsidRPr="00E9697E" w:rsidRDefault="00BE3326" w:rsidP="00E9697E">
      <w:pPr>
        <w:jc w:val="both"/>
        <w:rPr>
          <w:rFonts w:ascii="Arial" w:hAnsi="Arial" w:cs="Arial"/>
          <w:szCs w:val="24"/>
        </w:rPr>
      </w:pPr>
      <w:r w:rsidRPr="00E9697E">
        <w:rPr>
          <w:rFonts w:ascii="Arial" w:hAnsi="Arial" w:cs="Arial"/>
          <w:szCs w:val="24"/>
        </w:rPr>
        <w:t xml:space="preserve">Gillen, S. M. </w:t>
      </w:r>
      <w:r w:rsidRPr="00842F10">
        <w:rPr>
          <w:rFonts w:ascii="Arial" w:hAnsi="Arial" w:cs="Arial"/>
          <w:szCs w:val="24"/>
        </w:rPr>
        <w:t xml:space="preserve">(2024). STAKEHOLDER ENGAGEMENT: CHALLENGES, METRICS, AND TACTICAL SOLUTIONS IN HIGHER EDUCATION STRATEGIC PLANNING. </w:t>
      </w:r>
      <w:r w:rsidRPr="00842F10">
        <w:rPr>
          <w:rFonts w:ascii="Arial" w:hAnsi="Arial" w:cs="Arial"/>
          <w:i/>
          <w:iCs/>
          <w:szCs w:val="24"/>
        </w:rPr>
        <w:t>Murray State Theses and Dissertations</w:t>
      </w:r>
      <w:r w:rsidRPr="00842F10">
        <w:rPr>
          <w:rFonts w:ascii="Arial" w:hAnsi="Arial" w:cs="Arial"/>
          <w:szCs w:val="24"/>
        </w:rPr>
        <w:t xml:space="preserve">. </w:t>
      </w:r>
      <w:hyperlink r:id="rId24" w:history="1">
        <w:r w:rsidRPr="00E9697E">
          <w:rPr>
            <w:rStyle w:val="Hyperlink"/>
            <w:rFonts w:ascii="Arial" w:hAnsi="Arial" w:cs="Arial"/>
            <w:szCs w:val="24"/>
          </w:rPr>
          <w:t>https://digitalcommons.murraystate.edu/etd/362</w:t>
        </w:r>
      </w:hyperlink>
    </w:p>
    <w:p w14:paraId="1E547347" w14:textId="77777777" w:rsidR="00BE3326" w:rsidRDefault="00BE3326" w:rsidP="00653D12">
      <w:pPr>
        <w:jc w:val="both"/>
        <w:rPr>
          <w:rFonts w:ascii="Arial" w:hAnsi="Arial" w:cs="Arial"/>
          <w:szCs w:val="24"/>
        </w:rPr>
      </w:pPr>
      <w:r w:rsidRPr="00DA630B">
        <w:rPr>
          <w:rFonts w:ascii="Arial" w:hAnsi="Arial" w:cs="Arial"/>
          <w:szCs w:val="24"/>
        </w:rPr>
        <w:t>Guzman, J. C. (2022). STAKEHOLDERS’ PARTICIPATION IN SCH</w:t>
      </w:r>
      <w:r>
        <w:rPr>
          <w:rFonts w:ascii="Arial" w:hAnsi="Arial" w:cs="Arial"/>
          <w:szCs w:val="24"/>
        </w:rPr>
        <w:t>OOL IMPROVEMENT PLAN AND SCHOOL</w:t>
      </w:r>
      <w:r w:rsidRPr="00DA630B">
        <w:rPr>
          <w:rFonts w:ascii="Arial" w:hAnsi="Arial" w:cs="Arial"/>
          <w:szCs w:val="24"/>
        </w:rPr>
        <w:t xml:space="preserve"> PERFORMANCE OF SECONDARY SCHOOLS. </w:t>
      </w:r>
      <w:r w:rsidRPr="00DA630B">
        <w:rPr>
          <w:rFonts w:ascii="Arial" w:hAnsi="Arial" w:cs="Arial"/>
          <w:i/>
          <w:iCs/>
          <w:szCs w:val="24"/>
        </w:rPr>
        <w:t xml:space="preserve">International Journal </w:t>
      </w:r>
      <w:r w:rsidRPr="00DA630B">
        <w:rPr>
          <w:rFonts w:ascii="Arial" w:hAnsi="Arial" w:cs="Arial"/>
          <w:i/>
          <w:iCs/>
          <w:szCs w:val="24"/>
        </w:rPr>
        <w:lastRenderedPageBreak/>
        <w:t>of Arts, Sciences and Education</w:t>
      </w:r>
      <w:r w:rsidRPr="00DA630B">
        <w:rPr>
          <w:rFonts w:ascii="Arial" w:hAnsi="Arial" w:cs="Arial"/>
          <w:szCs w:val="24"/>
        </w:rPr>
        <w:t xml:space="preserve">, </w:t>
      </w:r>
      <w:r w:rsidRPr="00DA630B">
        <w:rPr>
          <w:rFonts w:ascii="Arial" w:hAnsi="Arial" w:cs="Arial"/>
          <w:i/>
          <w:iCs/>
          <w:szCs w:val="24"/>
        </w:rPr>
        <w:t>3</w:t>
      </w:r>
      <w:r w:rsidRPr="00DA630B">
        <w:rPr>
          <w:rFonts w:ascii="Arial" w:hAnsi="Arial" w:cs="Arial"/>
          <w:szCs w:val="24"/>
        </w:rPr>
        <w:t xml:space="preserve">(July Special Issue), 51–66. </w:t>
      </w:r>
      <w:hyperlink r:id="rId25" w:history="1">
        <w:r w:rsidRPr="00C04DA8">
          <w:rPr>
            <w:rStyle w:val="Hyperlink"/>
            <w:rFonts w:ascii="Arial" w:hAnsi="Arial" w:cs="Arial"/>
            <w:szCs w:val="24"/>
          </w:rPr>
          <w:t>https://ijase.org/index.php/ijase/article/view/159</w:t>
        </w:r>
      </w:hyperlink>
    </w:p>
    <w:p w14:paraId="28D71F78" w14:textId="77777777" w:rsidR="00BE3326" w:rsidRPr="00FE28B0" w:rsidRDefault="00BE3326" w:rsidP="00FE28B0">
      <w:pPr>
        <w:jc w:val="both"/>
        <w:rPr>
          <w:rFonts w:ascii="Arial" w:hAnsi="Arial" w:cs="Arial"/>
          <w:szCs w:val="24"/>
        </w:rPr>
      </w:pPr>
      <w:r w:rsidRPr="003D0BD2">
        <w:rPr>
          <w:rFonts w:ascii="Arial" w:hAnsi="Arial" w:cs="Arial"/>
          <w:szCs w:val="24"/>
        </w:rPr>
        <w:t xml:space="preserve">Hadley, F., Harrison, L. J., Lavina, L., </w:t>
      </w:r>
      <w:proofErr w:type="spellStart"/>
      <w:r w:rsidRPr="003D0BD2">
        <w:rPr>
          <w:rFonts w:ascii="Arial" w:hAnsi="Arial" w:cs="Arial"/>
          <w:szCs w:val="24"/>
        </w:rPr>
        <w:t>Barblett</w:t>
      </w:r>
      <w:proofErr w:type="spellEnd"/>
      <w:r w:rsidRPr="003D0BD2">
        <w:rPr>
          <w:rFonts w:ascii="Arial" w:hAnsi="Arial" w:cs="Arial"/>
          <w:szCs w:val="24"/>
        </w:rPr>
        <w:t xml:space="preserve">, L., Irvine, S., Bobongie-Harris, F., &amp; Cartmel, J. (2023). Engaging stakeholders to inform policy developments in early childhood education and outside school hours care. </w:t>
      </w:r>
      <w:r w:rsidRPr="003D0BD2">
        <w:rPr>
          <w:rFonts w:ascii="Arial" w:hAnsi="Arial" w:cs="Arial"/>
          <w:i/>
          <w:iCs/>
          <w:szCs w:val="24"/>
        </w:rPr>
        <w:t>Frontiers in Education</w:t>
      </w:r>
      <w:r w:rsidRPr="003D0BD2">
        <w:rPr>
          <w:rFonts w:ascii="Arial" w:hAnsi="Arial" w:cs="Arial"/>
          <w:szCs w:val="24"/>
        </w:rPr>
        <w:t xml:space="preserve">, </w:t>
      </w:r>
      <w:r w:rsidRPr="003D0BD2">
        <w:rPr>
          <w:rFonts w:ascii="Arial" w:hAnsi="Arial" w:cs="Arial"/>
          <w:i/>
          <w:iCs/>
          <w:szCs w:val="24"/>
        </w:rPr>
        <w:t>8</w:t>
      </w:r>
      <w:r w:rsidRPr="003D0BD2">
        <w:rPr>
          <w:rFonts w:ascii="Arial" w:hAnsi="Arial" w:cs="Arial"/>
          <w:szCs w:val="24"/>
        </w:rPr>
        <w:t xml:space="preserve">, 1212952. </w:t>
      </w:r>
      <w:hyperlink r:id="rId26" w:history="1">
        <w:r w:rsidRPr="00FE28B0">
          <w:rPr>
            <w:rStyle w:val="Hyperlink"/>
            <w:rFonts w:ascii="Arial" w:hAnsi="Arial" w:cs="Arial"/>
            <w:szCs w:val="24"/>
          </w:rPr>
          <w:t>https://doi.org/10.3389/FEDUC.2023.1212952/BIBTEX</w:t>
        </w:r>
      </w:hyperlink>
    </w:p>
    <w:p w14:paraId="5FDF0CAB"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Henderson, A. T., &amp; Mapp, K. L. (2002). </w:t>
      </w:r>
      <w:r w:rsidRPr="0092759D">
        <w:rPr>
          <w:rStyle w:val="Emphasis"/>
          <w:rFonts w:ascii="Arial" w:hAnsi="Arial" w:cs="Arial"/>
          <w:sz w:val="20"/>
          <w:szCs w:val="20"/>
        </w:rPr>
        <w:t>A new wave of evidence: The impact of school, family, and community connections on student achievement</w:t>
      </w:r>
      <w:r w:rsidRPr="0092759D">
        <w:rPr>
          <w:rFonts w:ascii="Arial" w:hAnsi="Arial" w:cs="Arial"/>
          <w:sz w:val="20"/>
          <w:szCs w:val="20"/>
        </w:rPr>
        <w:t>. Southwest Educational Development Laboratory.</w:t>
      </w:r>
    </w:p>
    <w:p w14:paraId="0AF5E04E"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Hill, P. T., &amp; Lake, R. J. (2002). Standards and accountability in Washington State. In D. Ravitch (Ed.), </w:t>
      </w:r>
      <w:r w:rsidRPr="0092759D">
        <w:rPr>
          <w:rStyle w:val="Emphasis"/>
          <w:rFonts w:ascii="Arial" w:hAnsi="Arial" w:cs="Arial"/>
          <w:sz w:val="20"/>
          <w:szCs w:val="20"/>
        </w:rPr>
        <w:t>Brookings papers on education policy</w:t>
      </w:r>
      <w:r w:rsidRPr="0092759D">
        <w:rPr>
          <w:rFonts w:ascii="Arial" w:hAnsi="Arial" w:cs="Arial"/>
          <w:sz w:val="20"/>
          <w:szCs w:val="20"/>
        </w:rPr>
        <w:t xml:space="preserve"> (pp. 199-234). Brookings Institution Press.</w:t>
      </w:r>
    </w:p>
    <w:p w14:paraId="15AABE32" w14:textId="77777777" w:rsidR="00BE3326" w:rsidRPr="007131DA" w:rsidRDefault="00BE3326" w:rsidP="007131DA">
      <w:pPr>
        <w:jc w:val="both"/>
        <w:rPr>
          <w:rFonts w:ascii="Arial" w:hAnsi="Arial" w:cs="Arial"/>
          <w:szCs w:val="24"/>
        </w:rPr>
      </w:pPr>
      <w:r w:rsidRPr="00874938">
        <w:rPr>
          <w:rFonts w:ascii="Arial" w:hAnsi="Arial" w:cs="Arial"/>
          <w:szCs w:val="24"/>
        </w:rPr>
        <w:t xml:space="preserve">Jaso, G. G., &amp; </w:t>
      </w:r>
      <w:proofErr w:type="spellStart"/>
      <w:r w:rsidRPr="00874938">
        <w:rPr>
          <w:rFonts w:ascii="Arial" w:hAnsi="Arial" w:cs="Arial"/>
          <w:szCs w:val="24"/>
        </w:rPr>
        <w:t>Moleño</w:t>
      </w:r>
      <w:proofErr w:type="spellEnd"/>
      <w:r w:rsidRPr="00874938">
        <w:rPr>
          <w:rFonts w:ascii="Arial" w:hAnsi="Arial" w:cs="Arial"/>
          <w:szCs w:val="24"/>
        </w:rPr>
        <w:t>, R. B. (2023). Extent of Participation of Schools’ Stakeholders to School-ini</w:t>
      </w:r>
      <w:r>
        <w:rPr>
          <w:rFonts w:ascii="Arial" w:hAnsi="Arial" w:cs="Arial"/>
          <w:szCs w:val="24"/>
        </w:rPr>
        <w:t>tiated Activities: A Convergent</w:t>
      </w:r>
      <w:r w:rsidRPr="00874938">
        <w:rPr>
          <w:rFonts w:ascii="Arial" w:hAnsi="Arial" w:cs="Arial"/>
          <w:szCs w:val="24"/>
        </w:rPr>
        <w:t xml:space="preserve"> Parallel Approach. </w:t>
      </w:r>
      <w:r w:rsidRPr="00874938">
        <w:rPr>
          <w:rFonts w:ascii="Arial" w:hAnsi="Arial" w:cs="Arial"/>
          <w:i/>
          <w:iCs/>
          <w:szCs w:val="24"/>
        </w:rPr>
        <w:t>Asian Journal of Education and Social Studies</w:t>
      </w:r>
      <w:r w:rsidRPr="00874938">
        <w:rPr>
          <w:rFonts w:ascii="Arial" w:hAnsi="Arial" w:cs="Arial"/>
          <w:szCs w:val="24"/>
        </w:rPr>
        <w:t xml:space="preserve">, </w:t>
      </w:r>
      <w:r w:rsidRPr="00874938">
        <w:rPr>
          <w:rFonts w:ascii="Arial" w:hAnsi="Arial" w:cs="Arial"/>
          <w:i/>
          <w:iCs/>
          <w:szCs w:val="24"/>
        </w:rPr>
        <w:t>49</w:t>
      </w:r>
      <w:r w:rsidRPr="00874938">
        <w:rPr>
          <w:rFonts w:ascii="Arial" w:hAnsi="Arial" w:cs="Arial"/>
          <w:szCs w:val="24"/>
        </w:rPr>
        <w:t xml:space="preserve">(4), 278–293. </w:t>
      </w:r>
      <w:hyperlink r:id="rId27" w:history="1">
        <w:r w:rsidRPr="007131DA">
          <w:rPr>
            <w:rStyle w:val="Hyperlink"/>
            <w:rFonts w:ascii="Arial" w:hAnsi="Arial" w:cs="Arial"/>
            <w:szCs w:val="24"/>
          </w:rPr>
          <w:t>https://doi.org/10.9734/AJESS/2023/V49I41207</w:t>
        </w:r>
      </w:hyperlink>
    </w:p>
    <w:p w14:paraId="524F3DEF"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proofErr w:type="spellStart"/>
      <w:r w:rsidRPr="0092759D">
        <w:rPr>
          <w:rFonts w:ascii="Arial" w:hAnsi="Arial" w:cs="Arial"/>
          <w:sz w:val="20"/>
          <w:szCs w:val="20"/>
        </w:rPr>
        <w:t>Leithwood</w:t>
      </w:r>
      <w:proofErr w:type="spellEnd"/>
      <w:r w:rsidRPr="0092759D">
        <w:rPr>
          <w:rFonts w:ascii="Arial" w:hAnsi="Arial" w:cs="Arial"/>
          <w:sz w:val="20"/>
          <w:szCs w:val="20"/>
        </w:rPr>
        <w:t xml:space="preserve">, K., &amp; Menzies, T. (1998). Forms and effects of school-based management: A review. </w:t>
      </w:r>
      <w:r w:rsidRPr="005D3303">
        <w:rPr>
          <w:rStyle w:val="Emphasis"/>
          <w:rFonts w:ascii="Arial" w:hAnsi="Arial" w:cs="Arial"/>
          <w:i w:val="0"/>
          <w:sz w:val="20"/>
          <w:szCs w:val="20"/>
        </w:rPr>
        <w:t>Educational Policy</w:t>
      </w:r>
      <w:r w:rsidRPr="005D3303">
        <w:rPr>
          <w:rFonts w:ascii="Arial" w:hAnsi="Arial" w:cs="Arial"/>
          <w:i/>
          <w:sz w:val="20"/>
          <w:szCs w:val="20"/>
        </w:rPr>
        <w:t>, 12</w:t>
      </w:r>
      <w:r w:rsidRPr="0092759D">
        <w:rPr>
          <w:rFonts w:ascii="Arial" w:hAnsi="Arial" w:cs="Arial"/>
          <w:sz w:val="20"/>
          <w:szCs w:val="20"/>
        </w:rPr>
        <w:t>(3), 325-346.</w:t>
      </w:r>
    </w:p>
    <w:p w14:paraId="4507D563" w14:textId="77777777" w:rsidR="00BE3326" w:rsidRDefault="00BE3326" w:rsidP="00733348">
      <w:pPr>
        <w:jc w:val="both"/>
        <w:rPr>
          <w:rFonts w:ascii="Arial" w:hAnsi="Arial" w:cs="Arial"/>
        </w:rPr>
      </w:pPr>
      <w:r>
        <w:rPr>
          <w:rFonts w:ascii="Arial" w:hAnsi="Arial" w:cs="Arial"/>
        </w:rPr>
        <w:t>Lucky, A.</w:t>
      </w:r>
      <w:r w:rsidRPr="00D02BCB">
        <w:rPr>
          <w:rFonts w:ascii="Arial" w:hAnsi="Arial" w:cs="Arial"/>
        </w:rPr>
        <w:t xml:space="preserve"> (2025). Transparency and accoun</w:t>
      </w:r>
      <w:r>
        <w:rPr>
          <w:rFonts w:ascii="Arial" w:hAnsi="Arial" w:cs="Arial"/>
        </w:rPr>
        <w:t xml:space="preserve">tability in school governance. </w:t>
      </w:r>
      <w:r w:rsidRPr="00B509D8">
        <w:rPr>
          <w:rFonts w:ascii="Arial" w:hAnsi="Arial" w:cs="Arial"/>
          <w:i/>
        </w:rPr>
        <w:t>IDOSR Journal of Banking Economics and Social Sciences, 10</w:t>
      </w:r>
      <w:r w:rsidRPr="00D02BCB">
        <w:rPr>
          <w:rFonts w:ascii="Arial" w:hAnsi="Arial" w:cs="Arial"/>
        </w:rPr>
        <w:t xml:space="preserve">(1), </w:t>
      </w:r>
      <w:r>
        <w:rPr>
          <w:rFonts w:ascii="Arial" w:hAnsi="Arial" w:cs="Arial"/>
        </w:rPr>
        <w:t xml:space="preserve">8-14. </w:t>
      </w:r>
      <w:hyperlink r:id="rId28" w:history="1">
        <w:r w:rsidRPr="00C04DA8">
          <w:rPr>
            <w:rStyle w:val="Hyperlink"/>
            <w:rFonts w:ascii="Arial" w:hAnsi="Arial" w:cs="Arial"/>
          </w:rPr>
          <w:t>https://doi.org/10.59298/JBESS/2025/101814</w:t>
        </w:r>
      </w:hyperlink>
      <w:r>
        <w:rPr>
          <w:rFonts w:ascii="Arial" w:hAnsi="Arial" w:cs="Arial"/>
        </w:rPr>
        <w:t xml:space="preserve"> </w:t>
      </w:r>
    </w:p>
    <w:p w14:paraId="58920F74" w14:textId="77777777" w:rsidR="00BE3326" w:rsidRPr="0004768F" w:rsidRDefault="00BE3326" w:rsidP="0004768F">
      <w:pPr>
        <w:shd w:val="clear" w:color="auto" w:fill="FFFFFF"/>
        <w:jc w:val="both"/>
        <w:rPr>
          <w:rFonts w:ascii="Arial" w:hAnsi="Arial" w:cs="Arial"/>
        </w:rPr>
      </w:pPr>
      <w:r w:rsidRPr="0004768F">
        <w:rPr>
          <w:rFonts w:ascii="Arial" w:hAnsi="Arial" w:cs="Arial"/>
        </w:rPr>
        <w:t xml:space="preserve">Malen B., Ogawa R. T., &amp; Kranz J. (1990). What do we know about </w:t>
      </w:r>
      <w:proofErr w:type="gramStart"/>
      <w:r w:rsidRPr="0004768F">
        <w:rPr>
          <w:rFonts w:ascii="Arial" w:hAnsi="Arial" w:cs="Arial"/>
        </w:rPr>
        <w:t>school based</w:t>
      </w:r>
      <w:proofErr w:type="gramEnd"/>
      <w:r w:rsidRPr="0004768F">
        <w:rPr>
          <w:rFonts w:ascii="Arial" w:hAnsi="Arial" w:cs="Arial"/>
        </w:rPr>
        <w:t xml:space="preserve"> management? A case study of the literature—a call for research. In Clune W. H., &amp; Witte J. F. (Eds.), </w:t>
      </w:r>
      <w:r w:rsidRPr="0004768F">
        <w:rPr>
          <w:rFonts w:ascii="Arial" w:hAnsi="Arial" w:cs="Arial"/>
          <w:i/>
          <w:iCs/>
        </w:rPr>
        <w:t>Choice and control in American education: Vol. 2. The practice of choice, decentralization and school restructuring.</w:t>
      </w:r>
      <w:r w:rsidRPr="0004768F">
        <w:rPr>
          <w:rFonts w:ascii="Arial" w:hAnsi="Arial" w:cs="Arial"/>
        </w:rPr>
        <w:t> London: Falmer.</w:t>
      </w:r>
    </w:p>
    <w:p w14:paraId="7667C2D5" w14:textId="77777777" w:rsidR="00BE3326" w:rsidRPr="00AF3D4D" w:rsidRDefault="00BE3326" w:rsidP="00AF3D4D">
      <w:pPr>
        <w:jc w:val="both"/>
        <w:rPr>
          <w:rFonts w:ascii="Arial" w:hAnsi="Arial" w:cs="Arial"/>
          <w:szCs w:val="24"/>
        </w:rPr>
      </w:pPr>
      <w:r w:rsidRPr="00C450E8">
        <w:rPr>
          <w:rFonts w:ascii="Arial" w:hAnsi="Arial" w:cs="Arial"/>
          <w:szCs w:val="24"/>
        </w:rPr>
        <w:t xml:space="preserve">Murugi, M. R., &amp; </w:t>
      </w:r>
      <w:proofErr w:type="spellStart"/>
      <w:r w:rsidRPr="00C450E8">
        <w:rPr>
          <w:rFonts w:ascii="Arial" w:hAnsi="Arial" w:cs="Arial"/>
          <w:szCs w:val="24"/>
        </w:rPr>
        <w:t>Mugwe</w:t>
      </w:r>
      <w:proofErr w:type="spellEnd"/>
      <w:r w:rsidRPr="00C450E8">
        <w:rPr>
          <w:rFonts w:ascii="Arial" w:hAnsi="Arial" w:cs="Arial"/>
          <w:szCs w:val="24"/>
        </w:rPr>
        <w:t xml:space="preserve">, M. (2023). Stakeholders’ Involvement and School Leadership for Effective Implementation of Strategic Planning. </w:t>
      </w:r>
      <w:r w:rsidRPr="00C450E8">
        <w:rPr>
          <w:rFonts w:ascii="Arial" w:hAnsi="Arial" w:cs="Arial"/>
          <w:i/>
          <w:iCs/>
          <w:szCs w:val="24"/>
        </w:rPr>
        <w:t>Journal of Research Innovation and Implications in Education</w:t>
      </w:r>
      <w:r w:rsidRPr="00C450E8">
        <w:rPr>
          <w:rFonts w:ascii="Arial" w:hAnsi="Arial" w:cs="Arial"/>
          <w:szCs w:val="24"/>
        </w:rPr>
        <w:t xml:space="preserve">, </w:t>
      </w:r>
      <w:r w:rsidRPr="00C450E8">
        <w:rPr>
          <w:rFonts w:ascii="Arial" w:hAnsi="Arial" w:cs="Arial"/>
          <w:i/>
          <w:iCs/>
          <w:szCs w:val="24"/>
        </w:rPr>
        <w:t>7</w:t>
      </w:r>
      <w:r w:rsidRPr="00C450E8">
        <w:rPr>
          <w:rFonts w:ascii="Arial" w:hAnsi="Arial" w:cs="Arial"/>
          <w:szCs w:val="24"/>
        </w:rPr>
        <w:t xml:space="preserve">(2), 277–286. </w:t>
      </w:r>
      <w:hyperlink r:id="rId29" w:history="1">
        <w:r w:rsidRPr="00AF3D4D">
          <w:rPr>
            <w:rStyle w:val="Hyperlink"/>
            <w:rFonts w:ascii="Arial" w:hAnsi="Arial" w:cs="Arial"/>
            <w:szCs w:val="24"/>
          </w:rPr>
          <w:t>https://doi.org/10.59765/fa59zan3</w:t>
        </w:r>
      </w:hyperlink>
    </w:p>
    <w:p w14:paraId="05AA6297" w14:textId="77777777" w:rsidR="00BE3326" w:rsidRDefault="00BE3326" w:rsidP="00AF7C65">
      <w:pPr>
        <w:pStyle w:val="whitespace-normal"/>
        <w:spacing w:before="0" w:beforeAutospacing="0" w:after="0" w:afterAutospacing="0"/>
        <w:jc w:val="both"/>
        <w:rPr>
          <w:rFonts w:ascii="Arial" w:hAnsi="Arial" w:cs="Arial"/>
          <w:sz w:val="20"/>
          <w:szCs w:val="20"/>
        </w:rPr>
      </w:pPr>
      <w:r w:rsidRPr="00A74801">
        <w:rPr>
          <w:rFonts w:ascii="Arial" w:hAnsi="Arial" w:cs="Arial"/>
          <w:sz w:val="20"/>
          <w:szCs w:val="20"/>
        </w:rPr>
        <w:t xml:space="preserve">Nantale, H. (2024). Stakeholder engagement in educational policy development. </w:t>
      </w:r>
      <w:r w:rsidRPr="00AA529D">
        <w:rPr>
          <w:rFonts w:ascii="Arial" w:hAnsi="Arial" w:cs="Arial"/>
          <w:i/>
          <w:sz w:val="20"/>
          <w:szCs w:val="20"/>
        </w:rPr>
        <w:t>Eurasian Experiment Journal of Arts and Management, 6</w:t>
      </w:r>
      <w:r>
        <w:rPr>
          <w:rFonts w:ascii="Arial" w:hAnsi="Arial" w:cs="Arial"/>
          <w:sz w:val="20"/>
          <w:szCs w:val="20"/>
        </w:rPr>
        <w:t>(1</w:t>
      </w:r>
      <w:r w:rsidRPr="00A74801">
        <w:rPr>
          <w:rFonts w:ascii="Arial" w:hAnsi="Arial" w:cs="Arial"/>
          <w:sz w:val="20"/>
          <w:szCs w:val="20"/>
        </w:rPr>
        <w:t xml:space="preserve">), </w:t>
      </w:r>
      <w:r>
        <w:rPr>
          <w:rFonts w:ascii="Arial" w:hAnsi="Arial" w:cs="Arial"/>
          <w:sz w:val="20"/>
          <w:szCs w:val="20"/>
        </w:rPr>
        <w:t>17-20.</w:t>
      </w:r>
    </w:p>
    <w:p w14:paraId="7494DC0C" w14:textId="77777777" w:rsidR="00BE3326" w:rsidRPr="000D380A" w:rsidRDefault="00BE3326" w:rsidP="000D380A">
      <w:pPr>
        <w:jc w:val="both"/>
        <w:rPr>
          <w:rFonts w:ascii="Arial" w:hAnsi="Arial" w:cs="Arial"/>
          <w:szCs w:val="24"/>
        </w:rPr>
      </w:pPr>
      <w:r w:rsidRPr="009674E4">
        <w:rPr>
          <w:rFonts w:ascii="Arial" w:hAnsi="Arial" w:cs="Arial"/>
          <w:szCs w:val="24"/>
        </w:rPr>
        <w:t xml:space="preserve">Ngobeni, S. (2024). Establishing sustainable school-community partnerships: strategies for school management teams. </w:t>
      </w:r>
      <w:r w:rsidRPr="009674E4">
        <w:rPr>
          <w:rFonts w:ascii="Arial" w:hAnsi="Arial" w:cs="Arial"/>
          <w:i/>
          <w:iCs/>
          <w:szCs w:val="24"/>
        </w:rPr>
        <w:t>International Journal of Leadership in Education</w:t>
      </w:r>
      <w:r w:rsidR="00876318">
        <w:rPr>
          <w:rFonts w:ascii="Arial" w:hAnsi="Arial" w:cs="Arial"/>
          <w:i/>
          <w:iCs/>
          <w:szCs w:val="24"/>
        </w:rPr>
        <w:t xml:space="preserve">, </w:t>
      </w:r>
      <w:r w:rsidR="00876318" w:rsidRPr="00872172">
        <w:rPr>
          <w:rFonts w:ascii="Arial" w:hAnsi="Arial" w:cs="Arial"/>
          <w:iCs/>
          <w:szCs w:val="24"/>
        </w:rPr>
        <w:t>1-20</w:t>
      </w:r>
      <w:r w:rsidRPr="009674E4">
        <w:rPr>
          <w:rFonts w:ascii="Arial" w:hAnsi="Arial" w:cs="Arial"/>
          <w:szCs w:val="24"/>
        </w:rPr>
        <w:t xml:space="preserve">. </w:t>
      </w:r>
      <w:hyperlink r:id="rId30" w:history="1">
        <w:r w:rsidRPr="000D380A">
          <w:rPr>
            <w:rStyle w:val="Hyperlink"/>
            <w:rFonts w:ascii="Arial" w:hAnsi="Arial" w:cs="Arial"/>
            <w:szCs w:val="24"/>
          </w:rPr>
          <w:t>https://doi.org/10.1080/13603124.2024.2369987;PAGE:STRING:ARTICLE/CHAPTER</w:t>
        </w:r>
      </w:hyperlink>
    </w:p>
    <w:p w14:paraId="0DCAA41C" w14:textId="77777777" w:rsidR="00BE3326" w:rsidRPr="00793965" w:rsidRDefault="00BE3326" w:rsidP="00793965">
      <w:pPr>
        <w:jc w:val="both"/>
        <w:rPr>
          <w:rFonts w:ascii="Arial" w:hAnsi="Arial" w:cs="Arial"/>
          <w:szCs w:val="24"/>
        </w:rPr>
      </w:pPr>
      <w:r w:rsidRPr="000F5E84">
        <w:rPr>
          <w:rFonts w:ascii="Arial" w:hAnsi="Arial" w:cs="Arial"/>
          <w:szCs w:val="24"/>
        </w:rPr>
        <w:t xml:space="preserve">Peng, Y., Alias, B. S., &amp; Mansor, A. N. (2024). Application of Stakeholder Theory in Education Management: A Comprehensive Systematic Literature Review (SLR). </w:t>
      </w:r>
      <w:r w:rsidRPr="000F5E84">
        <w:rPr>
          <w:rFonts w:ascii="Arial" w:hAnsi="Arial" w:cs="Arial"/>
          <w:i/>
          <w:iCs/>
          <w:szCs w:val="24"/>
        </w:rPr>
        <w:t>International Journal of Learning, Teaching and Educational Research</w:t>
      </w:r>
      <w:r w:rsidRPr="000F5E84">
        <w:rPr>
          <w:rFonts w:ascii="Arial" w:hAnsi="Arial" w:cs="Arial"/>
          <w:szCs w:val="24"/>
        </w:rPr>
        <w:t xml:space="preserve">, </w:t>
      </w:r>
      <w:r w:rsidRPr="000F5E84">
        <w:rPr>
          <w:rFonts w:ascii="Arial" w:hAnsi="Arial" w:cs="Arial"/>
          <w:i/>
          <w:iCs/>
          <w:szCs w:val="24"/>
        </w:rPr>
        <w:t>23</w:t>
      </w:r>
      <w:r w:rsidRPr="000F5E84">
        <w:rPr>
          <w:rFonts w:ascii="Arial" w:hAnsi="Arial" w:cs="Arial"/>
          <w:szCs w:val="24"/>
        </w:rPr>
        <w:t xml:space="preserve">(6), 1–31. </w:t>
      </w:r>
      <w:hyperlink r:id="rId31" w:history="1">
        <w:r w:rsidRPr="00793965">
          <w:rPr>
            <w:rStyle w:val="Hyperlink"/>
            <w:rFonts w:ascii="Arial" w:hAnsi="Arial" w:cs="Arial"/>
            <w:szCs w:val="24"/>
          </w:rPr>
          <w:t>https://doi.org/10.26803/IJLTER.23.6.1</w:t>
        </w:r>
      </w:hyperlink>
    </w:p>
    <w:p w14:paraId="32068171" w14:textId="77777777" w:rsidR="00BE3326" w:rsidRPr="005A23A6" w:rsidRDefault="00BE3326" w:rsidP="005A23A6">
      <w:pPr>
        <w:jc w:val="both"/>
        <w:rPr>
          <w:rFonts w:ascii="Arial" w:hAnsi="Arial" w:cs="Arial"/>
          <w:szCs w:val="24"/>
        </w:rPr>
      </w:pPr>
      <w:proofErr w:type="spellStart"/>
      <w:r w:rsidRPr="00351655">
        <w:rPr>
          <w:rFonts w:ascii="Arial" w:hAnsi="Arial" w:cs="Arial"/>
          <w:szCs w:val="24"/>
        </w:rPr>
        <w:t>Pepugal</w:t>
      </w:r>
      <w:proofErr w:type="spellEnd"/>
      <w:r w:rsidRPr="00351655">
        <w:rPr>
          <w:rFonts w:ascii="Arial" w:hAnsi="Arial" w:cs="Arial"/>
          <w:szCs w:val="24"/>
        </w:rPr>
        <w:t xml:space="preserve">, E. T. (2022). Levels of Perception on School-Based Management Implementation in San Luis National High School, Philippines. </w:t>
      </w:r>
      <w:r w:rsidRPr="00351655">
        <w:rPr>
          <w:rFonts w:ascii="Arial" w:hAnsi="Arial" w:cs="Arial"/>
          <w:i/>
          <w:iCs/>
          <w:szCs w:val="24"/>
        </w:rPr>
        <w:t>American Journal of Multidisciplinary Research and Innovation</w:t>
      </w:r>
      <w:r w:rsidRPr="00351655">
        <w:rPr>
          <w:rFonts w:ascii="Arial" w:hAnsi="Arial" w:cs="Arial"/>
          <w:szCs w:val="24"/>
        </w:rPr>
        <w:t xml:space="preserve">, </w:t>
      </w:r>
      <w:r w:rsidRPr="00351655">
        <w:rPr>
          <w:rFonts w:ascii="Arial" w:hAnsi="Arial" w:cs="Arial"/>
          <w:i/>
          <w:iCs/>
          <w:szCs w:val="24"/>
        </w:rPr>
        <w:t>1</w:t>
      </w:r>
      <w:r w:rsidRPr="00351655">
        <w:rPr>
          <w:rFonts w:ascii="Arial" w:hAnsi="Arial" w:cs="Arial"/>
          <w:szCs w:val="24"/>
        </w:rPr>
        <w:t xml:space="preserve">(4), 26–34. </w:t>
      </w:r>
      <w:hyperlink r:id="rId32" w:history="1">
        <w:r w:rsidRPr="005A23A6">
          <w:rPr>
            <w:rStyle w:val="Hyperlink"/>
            <w:rFonts w:ascii="Arial" w:hAnsi="Arial" w:cs="Arial"/>
            <w:szCs w:val="24"/>
          </w:rPr>
          <w:t>https://doi.org/10.54536/AJMRI.V1I4.516</w:t>
        </w:r>
      </w:hyperlink>
    </w:p>
    <w:p w14:paraId="3EA09987" w14:textId="77777777" w:rsidR="00BE3326" w:rsidRPr="00862A77" w:rsidRDefault="00BE3326" w:rsidP="00862A77">
      <w:pPr>
        <w:jc w:val="both"/>
        <w:rPr>
          <w:rFonts w:ascii="Arial" w:hAnsi="Arial" w:cs="Arial"/>
          <w:szCs w:val="24"/>
        </w:rPr>
      </w:pPr>
      <w:r w:rsidRPr="007E047F">
        <w:rPr>
          <w:rFonts w:ascii="Arial" w:hAnsi="Arial" w:cs="Arial"/>
          <w:szCs w:val="24"/>
        </w:rPr>
        <w:t xml:space="preserve">Sattar, T., Ullah, M. I., &amp; Ahmad, B. (2022). The Role of Stakeholders Participation, Goal Directness and Learning Context in Determining Student Academic Performance: Student Engagement as a Mediator. </w:t>
      </w:r>
      <w:r w:rsidRPr="007E047F">
        <w:rPr>
          <w:rFonts w:ascii="Arial" w:hAnsi="Arial" w:cs="Arial"/>
          <w:i/>
          <w:iCs/>
          <w:szCs w:val="24"/>
        </w:rPr>
        <w:t>Frontiers in Psychology</w:t>
      </w:r>
      <w:r w:rsidRPr="007E047F">
        <w:rPr>
          <w:rFonts w:ascii="Arial" w:hAnsi="Arial" w:cs="Arial"/>
          <w:szCs w:val="24"/>
        </w:rPr>
        <w:t xml:space="preserve">, </w:t>
      </w:r>
      <w:r w:rsidRPr="007E047F">
        <w:rPr>
          <w:rFonts w:ascii="Arial" w:hAnsi="Arial" w:cs="Arial"/>
          <w:i/>
          <w:iCs/>
          <w:szCs w:val="24"/>
        </w:rPr>
        <w:t>13</w:t>
      </w:r>
      <w:r w:rsidRPr="007E047F">
        <w:rPr>
          <w:rFonts w:ascii="Arial" w:hAnsi="Arial" w:cs="Arial"/>
          <w:szCs w:val="24"/>
        </w:rPr>
        <w:t xml:space="preserve">, 875174. </w:t>
      </w:r>
      <w:hyperlink r:id="rId33" w:history="1">
        <w:r w:rsidRPr="00862A77">
          <w:rPr>
            <w:rStyle w:val="Hyperlink"/>
            <w:rFonts w:ascii="Arial" w:hAnsi="Arial" w:cs="Arial"/>
            <w:szCs w:val="24"/>
          </w:rPr>
          <w:t>https://doi.org/10.3389/FPSYG.2022.875174/BIBTEX</w:t>
        </w:r>
      </w:hyperlink>
    </w:p>
    <w:p w14:paraId="322EA2D7" w14:textId="77777777" w:rsidR="00BE3326" w:rsidRDefault="00BE3326" w:rsidP="00F778FF">
      <w:pPr>
        <w:jc w:val="both"/>
        <w:rPr>
          <w:rFonts w:ascii="Arial" w:hAnsi="Arial" w:cs="Arial"/>
        </w:rPr>
      </w:pPr>
      <w:proofErr w:type="spellStart"/>
      <w:r w:rsidRPr="00F778FF">
        <w:rPr>
          <w:rFonts w:ascii="Arial" w:hAnsi="Arial" w:cs="Arial"/>
        </w:rPr>
        <w:t>Shybalkina</w:t>
      </w:r>
      <w:proofErr w:type="spellEnd"/>
      <w:r w:rsidRPr="00F778FF">
        <w:rPr>
          <w:rFonts w:ascii="Arial" w:hAnsi="Arial" w:cs="Arial"/>
        </w:rPr>
        <w:t xml:space="preserve">, I., &amp; </w:t>
      </w:r>
      <w:proofErr w:type="spellStart"/>
      <w:r w:rsidRPr="00F778FF">
        <w:rPr>
          <w:rFonts w:ascii="Arial" w:hAnsi="Arial" w:cs="Arial"/>
        </w:rPr>
        <w:t>Nabatchi</w:t>
      </w:r>
      <w:proofErr w:type="spellEnd"/>
      <w:r w:rsidRPr="00F778FF">
        <w:rPr>
          <w:rFonts w:ascii="Arial" w:hAnsi="Arial" w:cs="Arial"/>
        </w:rPr>
        <w:t xml:space="preserve">, T. (2024). School Participatory Budgeting: An Emerging Governance Tool and Its Managerial Considerations. </w:t>
      </w:r>
      <w:r w:rsidRPr="00F778FF">
        <w:rPr>
          <w:rFonts w:ascii="Arial" w:hAnsi="Arial" w:cs="Arial"/>
          <w:i/>
          <w:iCs/>
        </w:rPr>
        <w:t>Administration and Society</w:t>
      </w:r>
      <w:r w:rsidRPr="00F778FF">
        <w:rPr>
          <w:rFonts w:ascii="Arial" w:hAnsi="Arial" w:cs="Arial"/>
        </w:rPr>
        <w:t xml:space="preserve">, </w:t>
      </w:r>
      <w:r w:rsidRPr="00F778FF">
        <w:rPr>
          <w:rFonts w:ascii="Arial" w:hAnsi="Arial" w:cs="Arial"/>
          <w:i/>
          <w:iCs/>
        </w:rPr>
        <w:t>56</w:t>
      </w:r>
      <w:r w:rsidRPr="00F778FF">
        <w:rPr>
          <w:rFonts w:ascii="Arial" w:hAnsi="Arial" w:cs="Arial"/>
        </w:rPr>
        <w:t xml:space="preserve">(4), 419–445. </w:t>
      </w:r>
      <w:hyperlink r:id="rId34" w:history="1">
        <w:r w:rsidRPr="00C04DA8">
          <w:rPr>
            <w:rStyle w:val="Hyperlink"/>
            <w:rFonts w:ascii="Arial" w:hAnsi="Arial" w:cs="Arial"/>
          </w:rPr>
          <w:t>https://doi.org/10.1177/00953997241236940;PAGEGROUP:STRING:PUBLICATION</w:t>
        </w:r>
      </w:hyperlink>
    </w:p>
    <w:p w14:paraId="4229E0EE"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Sousa, I., &amp; Ferreira, E. (2024). Students' participation in democratic school management: A systematic literature review. </w:t>
      </w:r>
      <w:r w:rsidRPr="00E50A64">
        <w:rPr>
          <w:rStyle w:val="Emphasis"/>
          <w:rFonts w:ascii="Arial" w:hAnsi="Arial" w:cs="Arial"/>
          <w:i w:val="0"/>
          <w:sz w:val="20"/>
          <w:szCs w:val="20"/>
        </w:rPr>
        <w:t>Journal of Social Science Education</w:t>
      </w:r>
      <w:r w:rsidRPr="00E50A64">
        <w:rPr>
          <w:rFonts w:ascii="Arial" w:hAnsi="Arial" w:cs="Arial"/>
          <w:i/>
          <w:sz w:val="20"/>
          <w:szCs w:val="20"/>
        </w:rPr>
        <w:t>, 23</w:t>
      </w:r>
      <w:r w:rsidRPr="0092759D">
        <w:rPr>
          <w:rFonts w:ascii="Arial" w:hAnsi="Arial" w:cs="Arial"/>
          <w:sz w:val="20"/>
          <w:szCs w:val="20"/>
        </w:rPr>
        <w:t>(1), 4-20.</w:t>
      </w:r>
    </w:p>
    <w:p w14:paraId="5BA6E798"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Stufflebeam, D. L., &amp; </w:t>
      </w:r>
      <w:proofErr w:type="spellStart"/>
      <w:r w:rsidRPr="0092759D">
        <w:rPr>
          <w:rFonts w:ascii="Arial" w:hAnsi="Arial" w:cs="Arial"/>
          <w:sz w:val="20"/>
          <w:szCs w:val="20"/>
        </w:rPr>
        <w:t>Shinkfield</w:t>
      </w:r>
      <w:proofErr w:type="spellEnd"/>
      <w:r w:rsidRPr="0092759D">
        <w:rPr>
          <w:rFonts w:ascii="Arial" w:hAnsi="Arial" w:cs="Arial"/>
          <w:sz w:val="20"/>
          <w:szCs w:val="20"/>
        </w:rPr>
        <w:t xml:space="preserve">, A. J. (2007). </w:t>
      </w:r>
      <w:r w:rsidRPr="0092759D">
        <w:rPr>
          <w:rStyle w:val="Emphasis"/>
          <w:rFonts w:ascii="Arial" w:hAnsi="Arial" w:cs="Arial"/>
          <w:sz w:val="20"/>
          <w:szCs w:val="20"/>
        </w:rPr>
        <w:t>Evaluation theory, models, and applications</w:t>
      </w:r>
      <w:r w:rsidRPr="0092759D">
        <w:rPr>
          <w:rFonts w:ascii="Arial" w:hAnsi="Arial" w:cs="Arial"/>
          <w:sz w:val="20"/>
          <w:szCs w:val="20"/>
        </w:rPr>
        <w:t>. Jossey-Bass.</w:t>
      </w:r>
    </w:p>
    <w:p w14:paraId="2D0FA9F5"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 xml:space="preserve">Supriadi, D., Usman, H., Jabar, A., &amp; </w:t>
      </w:r>
      <w:proofErr w:type="spellStart"/>
      <w:r w:rsidRPr="0092759D">
        <w:rPr>
          <w:rFonts w:ascii="Arial" w:hAnsi="Arial" w:cs="Arial"/>
          <w:sz w:val="20"/>
          <w:szCs w:val="20"/>
        </w:rPr>
        <w:t>Widyastuti</w:t>
      </w:r>
      <w:proofErr w:type="spellEnd"/>
      <w:r w:rsidRPr="0092759D">
        <w:rPr>
          <w:rFonts w:ascii="Arial" w:hAnsi="Arial" w:cs="Arial"/>
          <w:sz w:val="20"/>
          <w:szCs w:val="20"/>
        </w:rPr>
        <w:t xml:space="preserve">, I. (2021). Good school governance: An approach to principal's decision-making quality in Indonesian vocational school. </w:t>
      </w:r>
      <w:r w:rsidRPr="002A64C4">
        <w:rPr>
          <w:rStyle w:val="Emphasis"/>
          <w:rFonts w:ascii="Arial" w:hAnsi="Arial" w:cs="Arial"/>
          <w:i w:val="0"/>
          <w:sz w:val="20"/>
          <w:szCs w:val="20"/>
        </w:rPr>
        <w:t xml:space="preserve">Research in </w:t>
      </w:r>
      <w:r w:rsidRPr="002A64C4">
        <w:rPr>
          <w:rStyle w:val="Emphasis"/>
          <w:rFonts w:ascii="Arial" w:hAnsi="Arial" w:cs="Arial"/>
          <w:i w:val="0"/>
          <w:sz w:val="20"/>
          <w:szCs w:val="20"/>
        </w:rPr>
        <w:lastRenderedPageBreak/>
        <w:t>Educational Administration &amp; Leadership</w:t>
      </w:r>
      <w:r w:rsidRPr="002A64C4">
        <w:rPr>
          <w:rFonts w:ascii="Arial" w:hAnsi="Arial" w:cs="Arial"/>
          <w:i/>
          <w:sz w:val="20"/>
          <w:szCs w:val="20"/>
        </w:rPr>
        <w:t>, 6</w:t>
      </w:r>
      <w:r w:rsidRPr="0092759D">
        <w:rPr>
          <w:rFonts w:ascii="Arial" w:hAnsi="Arial" w:cs="Arial"/>
          <w:sz w:val="20"/>
          <w:szCs w:val="20"/>
        </w:rPr>
        <w:t xml:space="preserve">(4), 796-831. </w:t>
      </w:r>
      <w:hyperlink r:id="rId35" w:history="1">
        <w:r w:rsidRPr="0092759D">
          <w:rPr>
            <w:rStyle w:val="Hyperlink"/>
            <w:rFonts w:ascii="Arial" w:hAnsi="Arial" w:cs="Arial"/>
            <w:sz w:val="20"/>
            <w:szCs w:val="20"/>
          </w:rPr>
          <w:t>https://doi.org/10.30828/real/2021.4.2</w:t>
        </w:r>
      </w:hyperlink>
    </w:p>
    <w:p w14:paraId="4CF7D985" w14:textId="77777777" w:rsidR="00BE3326" w:rsidRPr="00BF798F" w:rsidRDefault="00BE3326" w:rsidP="00BF798F">
      <w:pPr>
        <w:jc w:val="both"/>
        <w:rPr>
          <w:rFonts w:ascii="Arial" w:hAnsi="Arial" w:cs="Arial"/>
          <w:szCs w:val="24"/>
        </w:rPr>
      </w:pPr>
      <w:r w:rsidRPr="004E0E67">
        <w:rPr>
          <w:rFonts w:ascii="Arial" w:hAnsi="Arial" w:cs="Arial"/>
          <w:szCs w:val="24"/>
        </w:rPr>
        <w:t xml:space="preserve">Verger, A., </w:t>
      </w:r>
      <w:proofErr w:type="spellStart"/>
      <w:r w:rsidRPr="004E0E67">
        <w:rPr>
          <w:rFonts w:ascii="Arial" w:hAnsi="Arial" w:cs="Arial"/>
          <w:szCs w:val="24"/>
        </w:rPr>
        <w:t>Parcerisa</w:t>
      </w:r>
      <w:proofErr w:type="spellEnd"/>
      <w:r w:rsidRPr="004E0E67">
        <w:rPr>
          <w:rFonts w:ascii="Arial" w:hAnsi="Arial" w:cs="Arial"/>
          <w:szCs w:val="24"/>
        </w:rPr>
        <w:t xml:space="preserve">, L., </w:t>
      </w:r>
      <w:proofErr w:type="spellStart"/>
      <w:r w:rsidRPr="004E0E67">
        <w:rPr>
          <w:rFonts w:ascii="Arial" w:hAnsi="Arial" w:cs="Arial"/>
          <w:szCs w:val="24"/>
        </w:rPr>
        <w:t>Pagès</w:t>
      </w:r>
      <w:proofErr w:type="spellEnd"/>
      <w:r w:rsidRPr="004E0E67">
        <w:rPr>
          <w:rFonts w:ascii="Arial" w:hAnsi="Arial" w:cs="Arial"/>
          <w:szCs w:val="24"/>
        </w:rPr>
        <w:t xml:space="preserve">, M., &amp; </w:t>
      </w:r>
      <w:proofErr w:type="spellStart"/>
      <w:r w:rsidRPr="004E0E67">
        <w:rPr>
          <w:rFonts w:ascii="Arial" w:hAnsi="Arial" w:cs="Arial"/>
          <w:szCs w:val="24"/>
        </w:rPr>
        <w:t>Camphuijsen</w:t>
      </w:r>
      <w:proofErr w:type="spellEnd"/>
      <w:r w:rsidRPr="004E0E67">
        <w:rPr>
          <w:rFonts w:ascii="Arial" w:hAnsi="Arial" w:cs="Arial"/>
          <w:szCs w:val="24"/>
        </w:rPr>
        <w:t xml:space="preserve">, M. (2024). School autonomy with accountability as a cross-national policy model: diverse adoptions, practices and impacts. </w:t>
      </w:r>
      <w:r w:rsidRPr="004E0E67">
        <w:rPr>
          <w:rFonts w:ascii="Arial" w:hAnsi="Arial" w:cs="Arial"/>
          <w:i/>
          <w:iCs/>
          <w:szCs w:val="24"/>
        </w:rPr>
        <w:t>Nordic Journal of Studies in Educational Policy</w:t>
      </w:r>
      <w:r w:rsidRPr="004E0E67">
        <w:rPr>
          <w:rFonts w:ascii="Arial" w:hAnsi="Arial" w:cs="Arial"/>
          <w:szCs w:val="24"/>
        </w:rPr>
        <w:t xml:space="preserve">, </w:t>
      </w:r>
      <w:r w:rsidRPr="004E0E67">
        <w:rPr>
          <w:rFonts w:ascii="Arial" w:hAnsi="Arial" w:cs="Arial"/>
          <w:i/>
          <w:iCs/>
          <w:szCs w:val="24"/>
        </w:rPr>
        <w:t>10</w:t>
      </w:r>
      <w:r w:rsidRPr="004E0E67">
        <w:rPr>
          <w:rFonts w:ascii="Arial" w:hAnsi="Arial" w:cs="Arial"/>
          <w:szCs w:val="24"/>
        </w:rPr>
        <w:t xml:space="preserve">(3), 167–179. </w:t>
      </w:r>
      <w:hyperlink r:id="rId36" w:history="1">
        <w:r w:rsidRPr="00BF798F">
          <w:rPr>
            <w:rStyle w:val="Hyperlink"/>
            <w:rFonts w:ascii="Arial" w:hAnsi="Arial" w:cs="Arial"/>
            <w:szCs w:val="24"/>
          </w:rPr>
          <w:t>https://doi.org/10.1080/20020317.2024.2430706;JOURNAL:JOURNAL:ZNST19;WGROUP:STRING:PUBLICATION</w:t>
        </w:r>
      </w:hyperlink>
    </w:p>
    <w:p w14:paraId="5B60A206" w14:textId="77777777" w:rsidR="00BE3326" w:rsidRDefault="00BE3326" w:rsidP="004C05BC">
      <w:pPr>
        <w:jc w:val="both"/>
        <w:rPr>
          <w:rFonts w:ascii="Arial" w:hAnsi="Arial" w:cs="Arial"/>
          <w:szCs w:val="24"/>
        </w:rPr>
      </w:pPr>
      <w:r w:rsidRPr="004C05BC">
        <w:rPr>
          <w:rFonts w:ascii="Arial" w:hAnsi="Arial" w:cs="Arial"/>
          <w:szCs w:val="24"/>
        </w:rPr>
        <w:t>Villarrea</w:t>
      </w:r>
      <w:r>
        <w:rPr>
          <w:rFonts w:ascii="Arial" w:hAnsi="Arial" w:cs="Arial"/>
          <w:szCs w:val="24"/>
        </w:rPr>
        <w:t>l, A., &amp; Rodríguez, R. G. (2011</w:t>
      </w:r>
      <w:r w:rsidRPr="004C05BC">
        <w:rPr>
          <w:rFonts w:ascii="Arial" w:hAnsi="Arial" w:cs="Arial"/>
          <w:szCs w:val="24"/>
        </w:rPr>
        <w:t>). Expanding school governance through participatory community engagement: A framew</w:t>
      </w:r>
      <w:r>
        <w:rPr>
          <w:rFonts w:ascii="Arial" w:hAnsi="Arial" w:cs="Arial"/>
          <w:szCs w:val="24"/>
        </w:rPr>
        <w:t xml:space="preserve">ork for equity and excellence. </w:t>
      </w:r>
      <w:r w:rsidRPr="00E80519">
        <w:rPr>
          <w:rFonts w:ascii="Arial" w:hAnsi="Arial" w:cs="Arial"/>
          <w:i/>
          <w:szCs w:val="24"/>
        </w:rPr>
        <w:t>IDRA Newsletter</w:t>
      </w:r>
      <w:r w:rsidRPr="004C05BC">
        <w:rPr>
          <w:rFonts w:ascii="Arial" w:hAnsi="Arial" w:cs="Arial"/>
          <w:szCs w:val="24"/>
        </w:rPr>
        <w:t>.</w:t>
      </w:r>
    </w:p>
    <w:p w14:paraId="2534B0CD" w14:textId="77777777" w:rsidR="00BE3326" w:rsidRPr="0092759D" w:rsidRDefault="00BE3326" w:rsidP="00AF7C65">
      <w:pPr>
        <w:pStyle w:val="whitespace-normal"/>
        <w:spacing w:before="0" w:beforeAutospacing="0" w:after="0" w:afterAutospacing="0"/>
        <w:jc w:val="both"/>
        <w:rPr>
          <w:rFonts w:ascii="Arial" w:hAnsi="Arial" w:cs="Arial"/>
          <w:sz w:val="20"/>
          <w:szCs w:val="20"/>
        </w:rPr>
      </w:pPr>
      <w:r w:rsidRPr="0092759D">
        <w:rPr>
          <w:rFonts w:ascii="Arial" w:hAnsi="Arial" w:cs="Arial"/>
          <w:sz w:val="20"/>
          <w:szCs w:val="20"/>
        </w:rPr>
        <w:t>World Bank. (2016). Assessing basic education service delivery in the Philippines: Public education expenditure tracking and quantitative service delivery study. Washington, DC: World Bank Group.</w:t>
      </w:r>
    </w:p>
    <w:p w14:paraId="716F5C2C" w14:textId="77777777" w:rsidR="00AF7C65" w:rsidRPr="00AF7C65" w:rsidRDefault="00AF7C65" w:rsidP="00441B6F">
      <w:pPr>
        <w:pStyle w:val="ReferHead"/>
        <w:spacing w:after="0"/>
        <w:jc w:val="both"/>
        <w:rPr>
          <w:rFonts w:ascii="Arial" w:hAnsi="Arial" w:cs="Arial"/>
          <w:b w:val="0"/>
          <w:sz w:val="20"/>
        </w:rPr>
      </w:pPr>
    </w:p>
    <w:p w14:paraId="582FEA8F" w14:textId="77777777" w:rsidR="004D4277" w:rsidRPr="00FB3A86" w:rsidRDefault="004D4277" w:rsidP="00441B6F">
      <w:pPr>
        <w:pStyle w:val="Appendix"/>
        <w:spacing w:after="0"/>
        <w:jc w:val="both"/>
        <w:rPr>
          <w:rFonts w:ascii="Arial" w:hAnsi="Arial" w:cs="Arial"/>
          <w:b w:val="0"/>
        </w:rPr>
        <w:sectPr w:rsidR="004D4277" w:rsidRPr="00FB3A86" w:rsidSect="001B1757">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4146636A" w14:textId="77777777" w:rsidR="0048440D" w:rsidRPr="00FB3A86" w:rsidRDefault="0048440D" w:rsidP="00AF7C65">
      <w:pPr>
        <w:pStyle w:val="Body"/>
        <w:spacing w:after="0"/>
        <w:rPr>
          <w:rFonts w:ascii="Arial" w:hAnsi="Arial" w:cs="Arial"/>
          <w:b/>
        </w:rPr>
      </w:pPr>
    </w:p>
    <w:sectPr w:rsidR="0048440D" w:rsidRPr="00FB3A86" w:rsidSect="001B17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9E351" w14:textId="77777777" w:rsidR="00BB3C51" w:rsidRDefault="00BB3C51" w:rsidP="00C37E61">
      <w:r>
        <w:separator/>
      </w:r>
    </w:p>
  </w:endnote>
  <w:endnote w:type="continuationSeparator" w:id="0">
    <w:p w14:paraId="519AA7DF" w14:textId="77777777" w:rsidR="00BB3C51" w:rsidRDefault="00BB3C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BCFE" w14:textId="77777777" w:rsidR="001B1757" w:rsidRDefault="001B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C6BF" w14:textId="44E5CD55" w:rsidR="00C37E61" w:rsidRPr="00EF508A" w:rsidRDefault="00C31674" w:rsidP="00EF508A">
    <w:pPr>
      <w:pStyle w:val="Footer"/>
    </w:pPr>
    <w:r w:rsidRPr="00EF50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FC0A" w14:textId="6C95FB2E" w:rsidR="00754C9A" w:rsidRPr="0016015D" w:rsidRDefault="00754C9A" w:rsidP="0016015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50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BF582" w14:textId="77777777" w:rsidR="00BB3C51" w:rsidRDefault="00BB3C51" w:rsidP="00C37E61">
      <w:r>
        <w:separator/>
      </w:r>
    </w:p>
  </w:footnote>
  <w:footnote w:type="continuationSeparator" w:id="0">
    <w:p w14:paraId="345E8F60" w14:textId="77777777" w:rsidR="00BB3C51" w:rsidRDefault="00BB3C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B3DE" w14:textId="3ABBE8E5" w:rsidR="001B1757" w:rsidRDefault="001B1757">
    <w:pPr>
      <w:pStyle w:val="Header"/>
    </w:pPr>
    <w:r>
      <w:rPr>
        <w:noProof/>
      </w:rPr>
      <w:pict w14:anchorId="0EFA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72997" w14:textId="0D834317" w:rsidR="001B1757" w:rsidRDefault="001B1757">
    <w:pPr>
      <w:pStyle w:val="Header"/>
    </w:pPr>
    <w:r>
      <w:rPr>
        <w:noProof/>
      </w:rPr>
      <w:pict w14:anchorId="793BF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D5D6" w14:textId="30349CD9" w:rsidR="00296529" w:rsidRPr="00296529" w:rsidRDefault="001B1757" w:rsidP="00296529">
    <w:pPr>
      <w:ind w:left="2160"/>
      <w:jc w:val="center"/>
      <w:rPr>
        <w:rFonts w:ascii="Times New Roman" w:eastAsia="Calibri" w:hAnsi="Times New Roman"/>
        <w:i/>
        <w:sz w:val="18"/>
        <w:szCs w:val="22"/>
      </w:rPr>
    </w:pPr>
    <w:r>
      <w:rPr>
        <w:noProof/>
      </w:rPr>
      <w:pict w14:anchorId="7777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E0484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428D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2E39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7055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821A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3848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2C52" w14:textId="7BB2F34B" w:rsidR="001B1757" w:rsidRDefault="001B1757">
    <w:pPr>
      <w:pStyle w:val="Header"/>
    </w:pPr>
    <w:r>
      <w:rPr>
        <w:noProof/>
      </w:rPr>
      <w:pict w14:anchorId="74084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A327" w14:textId="0D5E56CE" w:rsidR="001B1757" w:rsidRDefault="001B1757">
    <w:pPr>
      <w:pStyle w:val="Header"/>
    </w:pPr>
    <w:r>
      <w:rPr>
        <w:noProof/>
      </w:rPr>
      <w:pict w14:anchorId="1A822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D04B" w14:textId="11D85FE8" w:rsidR="001B1757" w:rsidRDefault="001B1757">
    <w:pPr>
      <w:pStyle w:val="Header"/>
    </w:pPr>
    <w:r>
      <w:rPr>
        <w:noProof/>
      </w:rPr>
      <w:pict w14:anchorId="50E23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0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1E8"/>
    <w:rsid w:val="000071CC"/>
    <w:rsid w:val="00007299"/>
    <w:rsid w:val="00017364"/>
    <w:rsid w:val="0002573E"/>
    <w:rsid w:val="00030174"/>
    <w:rsid w:val="0004579C"/>
    <w:rsid w:val="00045925"/>
    <w:rsid w:val="0004768F"/>
    <w:rsid w:val="000520AB"/>
    <w:rsid w:val="0005654E"/>
    <w:rsid w:val="00057A11"/>
    <w:rsid w:val="00060980"/>
    <w:rsid w:val="0006130B"/>
    <w:rsid w:val="000615B4"/>
    <w:rsid w:val="00063FBC"/>
    <w:rsid w:val="00067062"/>
    <w:rsid w:val="00072367"/>
    <w:rsid w:val="000749AC"/>
    <w:rsid w:val="000802EA"/>
    <w:rsid w:val="000829E1"/>
    <w:rsid w:val="00083B62"/>
    <w:rsid w:val="000941C2"/>
    <w:rsid w:val="00094C3F"/>
    <w:rsid w:val="000A3482"/>
    <w:rsid w:val="000A47FA"/>
    <w:rsid w:val="000A49CC"/>
    <w:rsid w:val="000A567A"/>
    <w:rsid w:val="000A65D3"/>
    <w:rsid w:val="000B1E33"/>
    <w:rsid w:val="000B4DD9"/>
    <w:rsid w:val="000C635C"/>
    <w:rsid w:val="000D027E"/>
    <w:rsid w:val="000D380A"/>
    <w:rsid w:val="000D4093"/>
    <w:rsid w:val="000D689F"/>
    <w:rsid w:val="000D6C75"/>
    <w:rsid w:val="000D715E"/>
    <w:rsid w:val="000D7302"/>
    <w:rsid w:val="000E1DD5"/>
    <w:rsid w:val="000E515B"/>
    <w:rsid w:val="000E7B7B"/>
    <w:rsid w:val="000E7D62"/>
    <w:rsid w:val="000F5E84"/>
    <w:rsid w:val="000F6E02"/>
    <w:rsid w:val="00103357"/>
    <w:rsid w:val="00105590"/>
    <w:rsid w:val="00112D16"/>
    <w:rsid w:val="00123C9F"/>
    <w:rsid w:val="00126190"/>
    <w:rsid w:val="00130437"/>
    <w:rsid w:val="00130F17"/>
    <w:rsid w:val="001320BF"/>
    <w:rsid w:val="001338E5"/>
    <w:rsid w:val="001472BC"/>
    <w:rsid w:val="00152FD2"/>
    <w:rsid w:val="00156D94"/>
    <w:rsid w:val="0016015D"/>
    <w:rsid w:val="00163401"/>
    <w:rsid w:val="00163BC4"/>
    <w:rsid w:val="0016757B"/>
    <w:rsid w:val="0017511B"/>
    <w:rsid w:val="00186051"/>
    <w:rsid w:val="00191062"/>
    <w:rsid w:val="00192B72"/>
    <w:rsid w:val="001961E5"/>
    <w:rsid w:val="001A29D8"/>
    <w:rsid w:val="001A3A49"/>
    <w:rsid w:val="001A5CAA"/>
    <w:rsid w:val="001B0427"/>
    <w:rsid w:val="001B1757"/>
    <w:rsid w:val="001B3656"/>
    <w:rsid w:val="001B7E86"/>
    <w:rsid w:val="001C342E"/>
    <w:rsid w:val="001C486D"/>
    <w:rsid w:val="001C6649"/>
    <w:rsid w:val="001D2846"/>
    <w:rsid w:val="001D2D57"/>
    <w:rsid w:val="001D3A51"/>
    <w:rsid w:val="001D6860"/>
    <w:rsid w:val="001E10D2"/>
    <w:rsid w:val="001E1414"/>
    <w:rsid w:val="001E25B4"/>
    <w:rsid w:val="001E44FE"/>
    <w:rsid w:val="001E6834"/>
    <w:rsid w:val="00200154"/>
    <w:rsid w:val="00200595"/>
    <w:rsid w:val="00204274"/>
    <w:rsid w:val="00204835"/>
    <w:rsid w:val="0020651C"/>
    <w:rsid w:val="00210F0D"/>
    <w:rsid w:val="002124B3"/>
    <w:rsid w:val="00215E4E"/>
    <w:rsid w:val="00221829"/>
    <w:rsid w:val="002222FF"/>
    <w:rsid w:val="0022272A"/>
    <w:rsid w:val="00222A47"/>
    <w:rsid w:val="00222F74"/>
    <w:rsid w:val="00231920"/>
    <w:rsid w:val="0023195C"/>
    <w:rsid w:val="00232E78"/>
    <w:rsid w:val="0024282C"/>
    <w:rsid w:val="002460DC"/>
    <w:rsid w:val="00250985"/>
    <w:rsid w:val="002556F6"/>
    <w:rsid w:val="002562B6"/>
    <w:rsid w:val="0025713C"/>
    <w:rsid w:val="002647F4"/>
    <w:rsid w:val="00265353"/>
    <w:rsid w:val="0027458C"/>
    <w:rsid w:val="00281AE7"/>
    <w:rsid w:val="00283105"/>
    <w:rsid w:val="00284C4C"/>
    <w:rsid w:val="00287E68"/>
    <w:rsid w:val="00295AB4"/>
    <w:rsid w:val="00296529"/>
    <w:rsid w:val="0029789E"/>
    <w:rsid w:val="002A0DF5"/>
    <w:rsid w:val="002A22D7"/>
    <w:rsid w:val="002A49BC"/>
    <w:rsid w:val="002A64C4"/>
    <w:rsid w:val="002B21DE"/>
    <w:rsid w:val="002B27FB"/>
    <w:rsid w:val="002B685A"/>
    <w:rsid w:val="002B7BAF"/>
    <w:rsid w:val="002C21C6"/>
    <w:rsid w:val="002C2DAE"/>
    <w:rsid w:val="002C4461"/>
    <w:rsid w:val="002C57D2"/>
    <w:rsid w:val="002D2BC5"/>
    <w:rsid w:val="002E0186"/>
    <w:rsid w:val="002E0D56"/>
    <w:rsid w:val="002E3BA4"/>
    <w:rsid w:val="002E5B59"/>
    <w:rsid w:val="002F0425"/>
    <w:rsid w:val="002F15D3"/>
    <w:rsid w:val="002F248A"/>
    <w:rsid w:val="002F4225"/>
    <w:rsid w:val="002F51EF"/>
    <w:rsid w:val="003000D0"/>
    <w:rsid w:val="00300994"/>
    <w:rsid w:val="00300D77"/>
    <w:rsid w:val="00307094"/>
    <w:rsid w:val="00307DCF"/>
    <w:rsid w:val="00313AAE"/>
    <w:rsid w:val="00315186"/>
    <w:rsid w:val="003164C8"/>
    <w:rsid w:val="00317288"/>
    <w:rsid w:val="00322F43"/>
    <w:rsid w:val="00330715"/>
    <w:rsid w:val="00330AF3"/>
    <w:rsid w:val="0033343E"/>
    <w:rsid w:val="003400E9"/>
    <w:rsid w:val="003437CB"/>
    <w:rsid w:val="00343D1E"/>
    <w:rsid w:val="00346F37"/>
    <w:rsid w:val="003512C2"/>
    <w:rsid w:val="00351366"/>
    <w:rsid w:val="00351655"/>
    <w:rsid w:val="0035665F"/>
    <w:rsid w:val="00356C4A"/>
    <w:rsid w:val="0036278A"/>
    <w:rsid w:val="00363644"/>
    <w:rsid w:val="00365AAD"/>
    <w:rsid w:val="003664A2"/>
    <w:rsid w:val="003711BD"/>
    <w:rsid w:val="00371FB6"/>
    <w:rsid w:val="003743D7"/>
    <w:rsid w:val="003763C1"/>
    <w:rsid w:val="00376BA6"/>
    <w:rsid w:val="00376BBE"/>
    <w:rsid w:val="00377860"/>
    <w:rsid w:val="00380DBA"/>
    <w:rsid w:val="00380F73"/>
    <w:rsid w:val="00382124"/>
    <w:rsid w:val="00382D14"/>
    <w:rsid w:val="00382F8E"/>
    <w:rsid w:val="00385165"/>
    <w:rsid w:val="003905D2"/>
    <w:rsid w:val="0039224F"/>
    <w:rsid w:val="00393631"/>
    <w:rsid w:val="003A43A4"/>
    <w:rsid w:val="003A4F0C"/>
    <w:rsid w:val="003A7E18"/>
    <w:rsid w:val="003B4346"/>
    <w:rsid w:val="003B6CE2"/>
    <w:rsid w:val="003B71D7"/>
    <w:rsid w:val="003C08AB"/>
    <w:rsid w:val="003C1D00"/>
    <w:rsid w:val="003C4C86"/>
    <w:rsid w:val="003C6258"/>
    <w:rsid w:val="003D0BD2"/>
    <w:rsid w:val="003D4F8A"/>
    <w:rsid w:val="003D6F95"/>
    <w:rsid w:val="003E264E"/>
    <w:rsid w:val="003E2904"/>
    <w:rsid w:val="003E49FF"/>
    <w:rsid w:val="003E6D34"/>
    <w:rsid w:val="003F36D7"/>
    <w:rsid w:val="003F452D"/>
    <w:rsid w:val="003F7B8C"/>
    <w:rsid w:val="004014B3"/>
    <w:rsid w:val="00401927"/>
    <w:rsid w:val="00402C18"/>
    <w:rsid w:val="0041027F"/>
    <w:rsid w:val="004114FF"/>
    <w:rsid w:val="00412475"/>
    <w:rsid w:val="004174AC"/>
    <w:rsid w:val="00423789"/>
    <w:rsid w:val="00424F81"/>
    <w:rsid w:val="00426685"/>
    <w:rsid w:val="00440F43"/>
    <w:rsid w:val="00441B6F"/>
    <w:rsid w:val="004434B3"/>
    <w:rsid w:val="00444E4D"/>
    <w:rsid w:val="00446221"/>
    <w:rsid w:val="00450E62"/>
    <w:rsid w:val="00451C85"/>
    <w:rsid w:val="004539DB"/>
    <w:rsid w:val="00460089"/>
    <w:rsid w:val="00465464"/>
    <w:rsid w:val="00471A80"/>
    <w:rsid w:val="004800C2"/>
    <w:rsid w:val="004808EA"/>
    <w:rsid w:val="0048440D"/>
    <w:rsid w:val="00486B54"/>
    <w:rsid w:val="004879B8"/>
    <w:rsid w:val="004946E5"/>
    <w:rsid w:val="004A05E8"/>
    <w:rsid w:val="004A1B46"/>
    <w:rsid w:val="004A781F"/>
    <w:rsid w:val="004B504A"/>
    <w:rsid w:val="004C05BC"/>
    <w:rsid w:val="004C19EE"/>
    <w:rsid w:val="004C434C"/>
    <w:rsid w:val="004C48D0"/>
    <w:rsid w:val="004D0E89"/>
    <w:rsid w:val="004D305E"/>
    <w:rsid w:val="004D4277"/>
    <w:rsid w:val="004D5B6F"/>
    <w:rsid w:val="004D7F84"/>
    <w:rsid w:val="004E04AF"/>
    <w:rsid w:val="004E0E67"/>
    <w:rsid w:val="004F109C"/>
    <w:rsid w:val="004F2F7F"/>
    <w:rsid w:val="004F415B"/>
    <w:rsid w:val="00502516"/>
    <w:rsid w:val="00505C23"/>
    <w:rsid w:val="00505F06"/>
    <w:rsid w:val="00506828"/>
    <w:rsid w:val="0051001C"/>
    <w:rsid w:val="0051403B"/>
    <w:rsid w:val="005155EF"/>
    <w:rsid w:val="00521345"/>
    <w:rsid w:val="0053056E"/>
    <w:rsid w:val="005362BA"/>
    <w:rsid w:val="00546183"/>
    <w:rsid w:val="00550222"/>
    <w:rsid w:val="00554FDA"/>
    <w:rsid w:val="0055514B"/>
    <w:rsid w:val="0056442F"/>
    <w:rsid w:val="00571CCC"/>
    <w:rsid w:val="005938EF"/>
    <w:rsid w:val="00594EF7"/>
    <w:rsid w:val="00596793"/>
    <w:rsid w:val="005A23A6"/>
    <w:rsid w:val="005A2BA6"/>
    <w:rsid w:val="005A5844"/>
    <w:rsid w:val="005A5DDB"/>
    <w:rsid w:val="005A74A8"/>
    <w:rsid w:val="005B0DA1"/>
    <w:rsid w:val="005B12FC"/>
    <w:rsid w:val="005B2435"/>
    <w:rsid w:val="005B2C55"/>
    <w:rsid w:val="005B760E"/>
    <w:rsid w:val="005C0D54"/>
    <w:rsid w:val="005C5F1D"/>
    <w:rsid w:val="005C784C"/>
    <w:rsid w:val="005D155B"/>
    <w:rsid w:val="005D17F6"/>
    <w:rsid w:val="005D2701"/>
    <w:rsid w:val="005D3303"/>
    <w:rsid w:val="005D388F"/>
    <w:rsid w:val="005D5717"/>
    <w:rsid w:val="005E4109"/>
    <w:rsid w:val="005E5539"/>
    <w:rsid w:val="005F2A95"/>
    <w:rsid w:val="005F430C"/>
    <w:rsid w:val="005F6150"/>
    <w:rsid w:val="00601508"/>
    <w:rsid w:val="00602BF5"/>
    <w:rsid w:val="006077CC"/>
    <w:rsid w:val="00611CFD"/>
    <w:rsid w:val="00616A47"/>
    <w:rsid w:val="006172D2"/>
    <w:rsid w:val="00617FDD"/>
    <w:rsid w:val="0062053A"/>
    <w:rsid w:val="006213B6"/>
    <w:rsid w:val="00622607"/>
    <w:rsid w:val="00623AAF"/>
    <w:rsid w:val="0062651D"/>
    <w:rsid w:val="00633614"/>
    <w:rsid w:val="00633F68"/>
    <w:rsid w:val="00636EB2"/>
    <w:rsid w:val="006375B8"/>
    <w:rsid w:val="00653D12"/>
    <w:rsid w:val="00655054"/>
    <w:rsid w:val="0066472C"/>
    <w:rsid w:val="0066510A"/>
    <w:rsid w:val="00667A93"/>
    <w:rsid w:val="00673F9F"/>
    <w:rsid w:val="00674F02"/>
    <w:rsid w:val="0067746F"/>
    <w:rsid w:val="00680880"/>
    <w:rsid w:val="0068165E"/>
    <w:rsid w:val="00681E48"/>
    <w:rsid w:val="00685A02"/>
    <w:rsid w:val="00686953"/>
    <w:rsid w:val="00687DEA"/>
    <w:rsid w:val="00687E67"/>
    <w:rsid w:val="00694CB5"/>
    <w:rsid w:val="006959AA"/>
    <w:rsid w:val="006967F7"/>
    <w:rsid w:val="006A0FF1"/>
    <w:rsid w:val="006A250C"/>
    <w:rsid w:val="006A2F43"/>
    <w:rsid w:val="006A39BB"/>
    <w:rsid w:val="006B21D3"/>
    <w:rsid w:val="006B3391"/>
    <w:rsid w:val="006B4BB2"/>
    <w:rsid w:val="006B57D0"/>
    <w:rsid w:val="006B68AF"/>
    <w:rsid w:val="006B6E24"/>
    <w:rsid w:val="006B7DDE"/>
    <w:rsid w:val="006C47F2"/>
    <w:rsid w:val="006C6FD9"/>
    <w:rsid w:val="006D30FF"/>
    <w:rsid w:val="006D5DE2"/>
    <w:rsid w:val="006D6940"/>
    <w:rsid w:val="006D6D77"/>
    <w:rsid w:val="006F11EC"/>
    <w:rsid w:val="006F3697"/>
    <w:rsid w:val="006F680A"/>
    <w:rsid w:val="0070082C"/>
    <w:rsid w:val="0070341F"/>
    <w:rsid w:val="007072AA"/>
    <w:rsid w:val="007131DA"/>
    <w:rsid w:val="0072287C"/>
    <w:rsid w:val="00726E70"/>
    <w:rsid w:val="0073178B"/>
    <w:rsid w:val="0073180E"/>
    <w:rsid w:val="00731D32"/>
    <w:rsid w:val="00733348"/>
    <w:rsid w:val="007369E6"/>
    <w:rsid w:val="00737B72"/>
    <w:rsid w:val="00746E59"/>
    <w:rsid w:val="00754352"/>
    <w:rsid w:val="00754C9A"/>
    <w:rsid w:val="0075599A"/>
    <w:rsid w:val="00755E8D"/>
    <w:rsid w:val="007569F2"/>
    <w:rsid w:val="00761D52"/>
    <w:rsid w:val="007626F3"/>
    <w:rsid w:val="007645EB"/>
    <w:rsid w:val="00767567"/>
    <w:rsid w:val="00774BE4"/>
    <w:rsid w:val="00776030"/>
    <w:rsid w:val="00776A75"/>
    <w:rsid w:val="00777016"/>
    <w:rsid w:val="0077749E"/>
    <w:rsid w:val="00777D2E"/>
    <w:rsid w:val="0078098D"/>
    <w:rsid w:val="0078144E"/>
    <w:rsid w:val="007827E6"/>
    <w:rsid w:val="00790ADA"/>
    <w:rsid w:val="00790FE5"/>
    <w:rsid w:val="00793965"/>
    <w:rsid w:val="00796F78"/>
    <w:rsid w:val="007A4C4E"/>
    <w:rsid w:val="007B0098"/>
    <w:rsid w:val="007B04C0"/>
    <w:rsid w:val="007B385B"/>
    <w:rsid w:val="007B6DE6"/>
    <w:rsid w:val="007C4EC3"/>
    <w:rsid w:val="007C5F97"/>
    <w:rsid w:val="007C655C"/>
    <w:rsid w:val="007C7675"/>
    <w:rsid w:val="007C7932"/>
    <w:rsid w:val="007D2288"/>
    <w:rsid w:val="007D2A41"/>
    <w:rsid w:val="007D2A60"/>
    <w:rsid w:val="007E047F"/>
    <w:rsid w:val="007E088F"/>
    <w:rsid w:val="007E17B0"/>
    <w:rsid w:val="007E24BB"/>
    <w:rsid w:val="007F31DC"/>
    <w:rsid w:val="007F3BF1"/>
    <w:rsid w:val="007F69D4"/>
    <w:rsid w:val="007F7B32"/>
    <w:rsid w:val="00804BC2"/>
    <w:rsid w:val="00811CE0"/>
    <w:rsid w:val="0081431A"/>
    <w:rsid w:val="008241E5"/>
    <w:rsid w:val="00827E2E"/>
    <w:rsid w:val="0083216F"/>
    <w:rsid w:val="008368D1"/>
    <w:rsid w:val="008428ED"/>
    <w:rsid w:val="00842F10"/>
    <w:rsid w:val="00843C27"/>
    <w:rsid w:val="00846BAF"/>
    <w:rsid w:val="0085307D"/>
    <w:rsid w:val="008539C4"/>
    <w:rsid w:val="00856739"/>
    <w:rsid w:val="008568AB"/>
    <w:rsid w:val="00857D45"/>
    <w:rsid w:val="00860000"/>
    <w:rsid w:val="0086122A"/>
    <w:rsid w:val="00861A00"/>
    <w:rsid w:val="0086248D"/>
    <w:rsid w:val="00862A77"/>
    <w:rsid w:val="00863BD3"/>
    <w:rsid w:val="008641ED"/>
    <w:rsid w:val="008658BA"/>
    <w:rsid w:val="0086595C"/>
    <w:rsid w:val="00866A99"/>
    <w:rsid w:val="00866D66"/>
    <w:rsid w:val="008671C6"/>
    <w:rsid w:val="008701EB"/>
    <w:rsid w:val="00872172"/>
    <w:rsid w:val="00874938"/>
    <w:rsid w:val="00874AD3"/>
    <w:rsid w:val="00875803"/>
    <w:rsid w:val="00876318"/>
    <w:rsid w:val="008833EE"/>
    <w:rsid w:val="00893C4E"/>
    <w:rsid w:val="00894C18"/>
    <w:rsid w:val="008A26BD"/>
    <w:rsid w:val="008B2360"/>
    <w:rsid w:val="008B405B"/>
    <w:rsid w:val="008B40B4"/>
    <w:rsid w:val="008B459E"/>
    <w:rsid w:val="008B55AD"/>
    <w:rsid w:val="008C19A3"/>
    <w:rsid w:val="008C7527"/>
    <w:rsid w:val="008E13AE"/>
    <w:rsid w:val="008E1506"/>
    <w:rsid w:val="008E507C"/>
    <w:rsid w:val="008E597D"/>
    <w:rsid w:val="008E710C"/>
    <w:rsid w:val="008F635E"/>
    <w:rsid w:val="008F69D6"/>
    <w:rsid w:val="008F7125"/>
    <w:rsid w:val="00902823"/>
    <w:rsid w:val="00910739"/>
    <w:rsid w:val="009132F2"/>
    <w:rsid w:val="00915CA6"/>
    <w:rsid w:val="00917FE3"/>
    <w:rsid w:val="00923BD4"/>
    <w:rsid w:val="0092759D"/>
    <w:rsid w:val="00927834"/>
    <w:rsid w:val="00932841"/>
    <w:rsid w:val="009354CD"/>
    <w:rsid w:val="00940D86"/>
    <w:rsid w:val="00946387"/>
    <w:rsid w:val="00946428"/>
    <w:rsid w:val="009500A6"/>
    <w:rsid w:val="0095153E"/>
    <w:rsid w:val="009522BE"/>
    <w:rsid w:val="00952E18"/>
    <w:rsid w:val="00953C1C"/>
    <w:rsid w:val="00957C18"/>
    <w:rsid w:val="009603CE"/>
    <w:rsid w:val="0096194D"/>
    <w:rsid w:val="009659BA"/>
    <w:rsid w:val="00965F7B"/>
    <w:rsid w:val="009674E4"/>
    <w:rsid w:val="00970C99"/>
    <w:rsid w:val="00973524"/>
    <w:rsid w:val="00981420"/>
    <w:rsid w:val="00983040"/>
    <w:rsid w:val="009863A8"/>
    <w:rsid w:val="00986FB6"/>
    <w:rsid w:val="0098735B"/>
    <w:rsid w:val="00993130"/>
    <w:rsid w:val="00994605"/>
    <w:rsid w:val="009975D0"/>
    <w:rsid w:val="009A3EB4"/>
    <w:rsid w:val="009A68A6"/>
    <w:rsid w:val="009B0F87"/>
    <w:rsid w:val="009B1636"/>
    <w:rsid w:val="009B1E2F"/>
    <w:rsid w:val="009B25E9"/>
    <w:rsid w:val="009B301B"/>
    <w:rsid w:val="009B3FB9"/>
    <w:rsid w:val="009C2465"/>
    <w:rsid w:val="009C30F8"/>
    <w:rsid w:val="009C55D1"/>
    <w:rsid w:val="009D0D7C"/>
    <w:rsid w:val="009D2EED"/>
    <w:rsid w:val="009D35A0"/>
    <w:rsid w:val="009D3AC6"/>
    <w:rsid w:val="009D7227"/>
    <w:rsid w:val="009D7EB7"/>
    <w:rsid w:val="009E048A"/>
    <w:rsid w:val="009E08E9"/>
    <w:rsid w:val="009E2E25"/>
    <w:rsid w:val="009E3DB9"/>
    <w:rsid w:val="009E6E35"/>
    <w:rsid w:val="009F0EDA"/>
    <w:rsid w:val="009F2812"/>
    <w:rsid w:val="009F282D"/>
    <w:rsid w:val="00A01CC6"/>
    <w:rsid w:val="00A02D98"/>
    <w:rsid w:val="00A03B96"/>
    <w:rsid w:val="00A05AB8"/>
    <w:rsid w:val="00A05B19"/>
    <w:rsid w:val="00A06A17"/>
    <w:rsid w:val="00A077C9"/>
    <w:rsid w:val="00A1134E"/>
    <w:rsid w:val="00A21DD3"/>
    <w:rsid w:val="00A24E7E"/>
    <w:rsid w:val="00A258C3"/>
    <w:rsid w:val="00A25D52"/>
    <w:rsid w:val="00A347C0"/>
    <w:rsid w:val="00A51431"/>
    <w:rsid w:val="00A539AD"/>
    <w:rsid w:val="00A5586F"/>
    <w:rsid w:val="00A622C4"/>
    <w:rsid w:val="00A646FE"/>
    <w:rsid w:val="00A6501B"/>
    <w:rsid w:val="00A71B97"/>
    <w:rsid w:val="00A74801"/>
    <w:rsid w:val="00A815A0"/>
    <w:rsid w:val="00A822A2"/>
    <w:rsid w:val="00A83C2F"/>
    <w:rsid w:val="00A86873"/>
    <w:rsid w:val="00A869F8"/>
    <w:rsid w:val="00A91B2F"/>
    <w:rsid w:val="00A92134"/>
    <w:rsid w:val="00A94063"/>
    <w:rsid w:val="00A94904"/>
    <w:rsid w:val="00AA032C"/>
    <w:rsid w:val="00AA3900"/>
    <w:rsid w:val="00AA48F7"/>
    <w:rsid w:val="00AA529D"/>
    <w:rsid w:val="00AA6219"/>
    <w:rsid w:val="00AA74E0"/>
    <w:rsid w:val="00AB0966"/>
    <w:rsid w:val="00AB46D0"/>
    <w:rsid w:val="00AB562D"/>
    <w:rsid w:val="00AB703F"/>
    <w:rsid w:val="00AB7659"/>
    <w:rsid w:val="00AC41C4"/>
    <w:rsid w:val="00AC6BB8"/>
    <w:rsid w:val="00AC74AB"/>
    <w:rsid w:val="00AD2E8C"/>
    <w:rsid w:val="00AE008F"/>
    <w:rsid w:val="00AE3279"/>
    <w:rsid w:val="00AE7337"/>
    <w:rsid w:val="00AE7A45"/>
    <w:rsid w:val="00AF20FA"/>
    <w:rsid w:val="00AF2A5C"/>
    <w:rsid w:val="00AF367A"/>
    <w:rsid w:val="00AF3D4D"/>
    <w:rsid w:val="00AF49B6"/>
    <w:rsid w:val="00AF588B"/>
    <w:rsid w:val="00AF7C65"/>
    <w:rsid w:val="00B00BAA"/>
    <w:rsid w:val="00B01FCD"/>
    <w:rsid w:val="00B06C2B"/>
    <w:rsid w:val="00B1576D"/>
    <w:rsid w:val="00B1776C"/>
    <w:rsid w:val="00B2265D"/>
    <w:rsid w:val="00B234A9"/>
    <w:rsid w:val="00B362EE"/>
    <w:rsid w:val="00B3723A"/>
    <w:rsid w:val="00B37BF4"/>
    <w:rsid w:val="00B4211F"/>
    <w:rsid w:val="00B43EA9"/>
    <w:rsid w:val="00B44DB6"/>
    <w:rsid w:val="00B4625A"/>
    <w:rsid w:val="00B46E43"/>
    <w:rsid w:val="00B509D8"/>
    <w:rsid w:val="00B52583"/>
    <w:rsid w:val="00B52896"/>
    <w:rsid w:val="00B553A8"/>
    <w:rsid w:val="00B60E5C"/>
    <w:rsid w:val="00B66A93"/>
    <w:rsid w:val="00B8030F"/>
    <w:rsid w:val="00B90E54"/>
    <w:rsid w:val="00B92464"/>
    <w:rsid w:val="00B950D9"/>
    <w:rsid w:val="00B95236"/>
    <w:rsid w:val="00B96BD9"/>
    <w:rsid w:val="00BA1B01"/>
    <w:rsid w:val="00BA2641"/>
    <w:rsid w:val="00BA3FD2"/>
    <w:rsid w:val="00BA69F9"/>
    <w:rsid w:val="00BB304F"/>
    <w:rsid w:val="00BB37AA"/>
    <w:rsid w:val="00BB3C10"/>
    <w:rsid w:val="00BB3C51"/>
    <w:rsid w:val="00BC1D9E"/>
    <w:rsid w:val="00BC53A0"/>
    <w:rsid w:val="00BC7009"/>
    <w:rsid w:val="00BD34CB"/>
    <w:rsid w:val="00BD35E3"/>
    <w:rsid w:val="00BD369C"/>
    <w:rsid w:val="00BD4A1E"/>
    <w:rsid w:val="00BD5B7A"/>
    <w:rsid w:val="00BD6AC3"/>
    <w:rsid w:val="00BE2271"/>
    <w:rsid w:val="00BE3326"/>
    <w:rsid w:val="00BE503E"/>
    <w:rsid w:val="00BE62AD"/>
    <w:rsid w:val="00BE6633"/>
    <w:rsid w:val="00BF121F"/>
    <w:rsid w:val="00BF1F80"/>
    <w:rsid w:val="00BF798F"/>
    <w:rsid w:val="00C0501C"/>
    <w:rsid w:val="00C13FD3"/>
    <w:rsid w:val="00C160FB"/>
    <w:rsid w:val="00C166EF"/>
    <w:rsid w:val="00C17EB0"/>
    <w:rsid w:val="00C20EB5"/>
    <w:rsid w:val="00C2342C"/>
    <w:rsid w:val="00C23B5C"/>
    <w:rsid w:val="00C27CA0"/>
    <w:rsid w:val="00C27F5F"/>
    <w:rsid w:val="00C30A0F"/>
    <w:rsid w:val="00C31674"/>
    <w:rsid w:val="00C32CA1"/>
    <w:rsid w:val="00C346DD"/>
    <w:rsid w:val="00C37E61"/>
    <w:rsid w:val="00C40C71"/>
    <w:rsid w:val="00C4331C"/>
    <w:rsid w:val="00C450E8"/>
    <w:rsid w:val="00C45401"/>
    <w:rsid w:val="00C519BE"/>
    <w:rsid w:val="00C55BFE"/>
    <w:rsid w:val="00C676CF"/>
    <w:rsid w:val="00C70020"/>
    <w:rsid w:val="00C70F1B"/>
    <w:rsid w:val="00C71A47"/>
    <w:rsid w:val="00C7464C"/>
    <w:rsid w:val="00C74F94"/>
    <w:rsid w:val="00C826A4"/>
    <w:rsid w:val="00C82C69"/>
    <w:rsid w:val="00C85588"/>
    <w:rsid w:val="00C86288"/>
    <w:rsid w:val="00C904E5"/>
    <w:rsid w:val="00CA0513"/>
    <w:rsid w:val="00CA7762"/>
    <w:rsid w:val="00CB2A34"/>
    <w:rsid w:val="00CB62C8"/>
    <w:rsid w:val="00CD0E16"/>
    <w:rsid w:val="00CD2803"/>
    <w:rsid w:val="00CD572B"/>
    <w:rsid w:val="00CD6755"/>
    <w:rsid w:val="00CD6856"/>
    <w:rsid w:val="00CE0089"/>
    <w:rsid w:val="00CE0B2F"/>
    <w:rsid w:val="00CE793C"/>
    <w:rsid w:val="00CF193C"/>
    <w:rsid w:val="00CF2737"/>
    <w:rsid w:val="00CF60D3"/>
    <w:rsid w:val="00D00E91"/>
    <w:rsid w:val="00D02BCB"/>
    <w:rsid w:val="00D073EF"/>
    <w:rsid w:val="00D1043E"/>
    <w:rsid w:val="00D10B9E"/>
    <w:rsid w:val="00D150EE"/>
    <w:rsid w:val="00D173F1"/>
    <w:rsid w:val="00D25C2A"/>
    <w:rsid w:val="00D2632D"/>
    <w:rsid w:val="00D275EB"/>
    <w:rsid w:val="00D304E4"/>
    <w:rsid w:val="00D320DF"/>
    <w:rsid w:val="00D361B0"/>
    <w:rsid w:val="00D36EFE"/>
    <w:rsid w:val="00D41CA0"/>
    <w:rsid w:val="00D42F16"/>
    <w:rsid w:val="00D45112"/>
    <w:rsid w:val="00D46657"/>
    <w:rsid w:val="00D46D27"/>
    <w:rsid w:val="00D509BD"/>
    <w:rsid w:val="00D53117"/>
    <w:rsid w:val="00D57319"/>
    <w:rsid w:val="00D64F19"/>
    <w:rsid w:val="00D74CB0"/>
    <w:rsid w:val="00D76771"/>
    <w:rsid w:val="00D81763"/>
    <w:rsid w:val="00D8295D"/>
    <w:rsid w:val="00D929E7"/>
    <w:rsid w:val="00D93A45"/>
    <w:rsid w:val="00DA253E"/>
    <w:rsid w:val="00DA34A1"/>
    <w:rsid w:val="00DA630B"/>
    <w:rsid w:val="00DA6D62"/>
    <w:rsid w:val="00DB1140"/>
    <w:rsid w:val="00DB6287"/>
    <w:rsid w:val="00DC29A0"/>
    <w:rsid w:val="00DC2A65"/>
    <w:rsid w:val="00DD209C"/>
    <w:rsid w:val="00DD5B20"/>
    <w:rsid w:val="00DD73E2"/>
    <w:rsid w:val="00DE01CD"/>
    <w:rsid w:val="00DE15F0"/>
    <w:rsid w:val="00DE473C"/>
    <w:rsid w:val="00DE5663"/>
    <w:rsid w:val="00DE78AA"/>
    <w:rsid w:val="00DF1040"/>
    <w:rsid w:val="00DF1112"/>
    <w:rsid w:val="00DF5252"/>
    <w:rsid w:val="00DF7A07"/>
    <w:rsid w:val="00E019C3"/>
    <w:rsid w:val="00E02CF0"/>
    <w:rsid w:val="00E053D0"/>
    <w:rsid w:val="00E0759B"/>
    <w:rsid w:val="00E15994"/>
    <w:rsid w:val="00E169DC"/>
    <w:rsid w:val="00E2043E"/>
    <w:rsid w:val="00E2268D"/>
    <w:rsid w:val="00E305B5"/>
    <w:rsid w:val="00E3114E"/>
    <w:rsid w:val="00E31A70"/>
    <w:rsid w:val="00E35B02"/>
    <w:rsid w:val="00E42B3F"/>
    <w:rsid w:val="00E46F73"/>
    <w:rsid w:val="00E50A64"/>
    <w:rsid w:val="00E53F6B"/>
    <w:rsid w:val="00E55787"/>
    <w:rsid w:val="00E640A4"/>
    <w:rsid w:val="00E66496"/>
    <w:rsid w:val="00E66B35"/>
    <w:rsid w:val="00E66E10"/>
    <w:rsid w:val="00E71515"/>
    <w:rsid w:val="00E72097"/>
    <w:rsid w:val="00E73F0F"/>
    <w:rsid w:val="00E74032"/>
    <w:rsid w:val="00E769F6"/>
    <w:rsid w:val="00E77ACC"/>
    <w:rsid w:val="00E77F48"/>
    <w:rsid w:val="00E80519"/>
    <w:rsid w:val="00E80EAE"/>
    <w:rsid w:val="00E8407C"/>
    <w:rsid w:val="00E84F3C"/>
    <w:rsid w:val="00E9697E"/>
    <w:rsid w:val="00EA012C"/>
    <w:rsid w:val="00EA406A"/>
    <w:rsid w:val="00EA6004"/>
    <w:rsid w:val="00EB1DF3"/>
    <w:rsid w:val="00EB30FB"/>
    <w:rsid w:val="00EB555D"/>
    <w:rsid w:val="00EB5E61"/>
    <w:rsid w:val="00EB6AD8"/>
    <w:rsid w:val="00EC68B6"/>
    <w:rsid w:val="00EC6A55"/>
    <w:rsid w:val="00ED0288"/>
    <w:rsid w:val="00ED2341"/>
    <w:rsid w:val="00ED5024"/>
    <w:rsid w:val="00ED5478"/>
    <w:rsid w:val="00EE3450"/>
    <w:rsid w:val="00EE4C8B"/>
    <w:rsid w:val="00EE52CB"/>
    <w:rsid w:val="00EF508A"/>
    <w:rsid w:val="00EF581D"/>
    <w:rsid w:val="00EF7FD8"/>
    <w:rsid w:val="00F0206C"/>
    <w:rsid w:val="00F06E63"/>
    <w:rsid w:val="00F06F59"/>
    <w:rsid w:val="00F079E1"/>
    <w:rsid w:val="00F1195A"/>
    <w:rsid w:val="00F131CC"/>
    <w:rsid w:val="00F1711E"/>
    <w:rsid w:val="00F17988"/>
    <w:rsid w:val="00F2223C"/>
    <w:rsid w:val="00F256CD"/>
    <w:rsid w:val="00F25E1D"/>
    <w:rsid w:val="00F2702A"/>
    <w:rsid w:val="00F31177"/>
    <w:rsid w:val="00F321B5"/>
    <w:rsid w:val="00F34EF2"/>
    <w:rsid w:val="00F3618F"/>
    <w:rsid w:val="00F3784D"/>
    <w:rsid w:val="00F4101A"/>
    <w:rsid w:val="00F45498"/>
    <w:rsid w:val="00F4621A"/>
    <w:rsid w:val="00F469F0"/>
    <w:rsid w:val="00F47B74"/>
    <w:rsid w:val="00F50A2A"/>
    <w:rsid w:val="00F53267"/>
    <w:rsid w:val="00F53273"/>
    <w:rsid w:val="00F56907"/>
    <w:rsid w:val="00F57C68"/>
    <w:rsid w:val="00F67EAB"/>
    <w:rsid w:val="00F70B9C"/>
    <w:rsid w:val="00F7277A"/>
    <w:rsid w:val="00F744BF"/>
    <w:rsid w:val="00F755E4"/>
    <w:rsid w:val="00F770D7"/>
    <w:rsid w:val="00F778FF"/>
    <w:rsid w:val="00F77D02"/>
    <w:rsid w:val="00F81A0E"/>
    <w:rsid w:val="00F81A6C"/>
    <w:rsid w:val="00F939E7"/>
    <w:rsid w:val="00FA5527"/>
    <w:rsid w:val="00FA7D6D"/>
    <w:rsid w:val="00FB05C5"/>
    <w:rsid w:val="00FB1730"/>
    <w:rsid w:val="00FB3A86"/>
    <w:rsid w:val="00FC01B8"/>
    <w:rsid w:val="00FC733D"/>
    <w:rsid w:val="00FD36C8"/>
    <w:rsid w:val="00FE25FA"/>
    <w:rsid w:val="00FE28B0"/>
    <w:rsid w:val="00FF3877"/>
    <w:rsid w:val="00FF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21DEE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whitespace-normal">
    <w:name w:val="whitespace-normal"/>
    <w:basedOn w:val="Normal"/>
    <w:rsid w:val="00AF7C65"/>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E46F7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46F73"/>
    <w:rPr>
      <w:b/>
      <w:bCs/>
    </w:rPr>
  </w:style>
  <w:style w:type="character" w:styleId="UnresolvedMention">
    <w:name w:val="Unresolved Mention"/>
    <w:basedOn w:val="DefaultParagraphFont"/>
    <w:uiPriority w:val="99"/>
    <w:semiHidden/>
    <w:unhideWhenUsed/>
    <w:rsid w:val="00FA5527"/>
    <w:rPr>
      <w:color w:val="605E5C"/>
      <w:shd w:val="clear" w:color="auto" w:fill="E1DFDD"/>
    </w:rPr>
  </w:style>
  <w:style w:type="paragraph" w:styleId="ListParagraph">
    <w:name w:val="List Paragraph"/>
    <w:basedOn w:val="Normal"/>
    <w:uiPriority w:val="34"/>
    <w:qFormat/>
    <w:rsid w:val="001E6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9891397">
      <w:bodyDiv w:val="1"/>
      <w:marLeft w:val="0"/>
      <w:marRight w:val="0"/>
      <w:marTop w:val="0"/>
      <w:marBottom w:val="0"/>
      <w:divBdr>
        <w:top w:val="none" w:sz="0" w:space="0" w:color="auto"/>
        <w:left w:val="none" w:sz="0" w:space="0" w:color="auto"/>
        <w:bottom w:val="none" w:sz="0" w:space="0" w:color="auto"/>
        <w:right w:val="none" w:sz="0" w:space="0" w:color="auto"/>
      </w:divBdr>
      <w:divsChild>
        <w:div w:id="403918904">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0384867">
      <w:bodyDiv w:val="1"/>
      <w:marLeft w:val="0"/>
      <w:marRight w:val="0"/>
      <w:marTop w:val="0"/>
      <w:marBottom w:val="0"/>
      <w:divBdr>
        <w:top w:val="none" w:sz="0" w:space="0" w:color="auto"/>
        <w:left w:val="none" w:sz="0" w:space="0" w:color="auto"/>
        <w:bottom w:val="none" w:sz="0" w:space="0" w:color="auto"/>
        <w:right w:val="none" w:sz="0" w:space="0" w:color="auto"/>
      </w:divBdr>
      <w:divsChild>
        <w:div w:id="402416884">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5685053">
      <w:bodyDiv w:val="1"/>
      <w:marLeft w:val="0"/>
      <w:marRight w:val="0"/>
      <w:marTop w:val="0"/>
      <w:marBottom w:val="0"/>
      <w:divBdr>
        <w:top w:val="none" w:sz="0" w:space="0" w:color="auto"/>
        <w:left w:val="none" w:sz="0" w:space="0" w:color="auto"/>
        <w:bottom w:val="none" w:sz="0" w:space="0" w:color="auto"/>
        <w:right w:val="none" w:sz="0" w:space="0" w:color="auto"/>
      </w:divBdr>
    </w:div>
    <w:div w:id="462698038">
      <w:bodyDiv w:val="1"/>
      <w:marLeft w:val="0"/>
      <w:marRight w:val="0"/>
      <w:marTop w:val="0"/>
      <w:marBottom w:val="0"/>
      <w:divBdr>
        <w:top w:val="none" w:sz="0" w:space="0" w:color="auto"/>
        <w:left w:val="none" w:sz="0" w:space="0" w:color="auto"/>
        <w:bottom w:val="none" w:sz="0" w:space="0" w:color="auto"/>
        <w:right w:val="none" w:sz="0" w:space="0" w:color="auto"/>
      </w:divBdr>
      <w:divsChild>
        <w:div w:id="1995528409">
          <w:marLeft w:val="0"/>
          <w:marRight w:val="0"/>
          <w:marTop w:val="0"/>
          <w:marBottom w:val="0"/>
          <w:divBdr>
            <w:top w:val="none" w:sz="0" w:space="0" w:color="auto"/>
            <w:left w:val="none" w:sz="0" w:space="0" w:color="auto"/>
            <w:bottom w:val="none" w:sz="0" w:space="0" w:color="auto"/>
            <w:right w:val="none" w:sz="0" w:space="0" w:color="auto"/>
          </w:divBdr>
        </w:div>
      </w:divsChild>
    </w:div>
    <w:div w:id="521356851">
      <w:bodyDiv w:val="1"/>
      <w:marLeft w:val="0"/>
      <w:marRight w:val="0"/>
      <w:marTop w:val="0"/>
      <w:marBottom w:val="0"/>
      <w:divBdr>
        <w:top w:val="none" w:sz="0" w:space="0" w:color="auto"/>
        <w:left w:val="none" w:sz="0" w:space="0" w:color="auto"/>
        <w:bottom w:val="none" w:sz="0" w:space="0" w:color="auto"/>
        <w:right w:val="none" w:sz="0" w:space="0" w:color="auto"/>
      </w:divBdr>
    </w:div>
    <w:div w:id="624238619">
      <w:bodyDiv w:val="1"/>
      <w:marLeft w:val="0"/>
      <w:marRight w:val="0"/>
      <w:marTop w:val="0"/>
      <w:marBottom w:val="0"/>
      <w:divBdr>
        <w:top w:val="none" w:sz="0" w:space="0" w:color="auto"/>
        <w:left w:val="none" w:sz="0" w:space="0" w:color="auto"/>
        <w:bottom w:val="none" w:sz="0" w:space="0" w:color="auto"/>
        <w:right w:val="none" w:sz="0" w:space="0" w:color="auto"/>
      </w:divBdr>
      <w:divsChild>
        <w:div w:id="2063821585">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871451">
      <w:bodyDiv w:val="1"/>
      <w:marLeft w:val="0"/>
      <w:marRight w:val="0"/>
      <w:marTop w:val="0"/>
      <w:marBottom w:val="0"/>
      <w:divBdr>
        <w:top w:val="none" w:sz="0" w:space="0" w:color="auto"/>
        <w:left w:val="none" w:sz="0" w:space="0" w:color="auto"/>
        <w:bottom w:val="none" w:sz="0" w:space="0" w:color="auto"/>
        <w:right w:val="none" w:sz="0" w:space="0" w:color="auto"/>
      </w:divBdr>
      <w:divsChild>
        <w:div w:id="1153570288">
          <w:marLeft w:val="0"/>
          <w:marRight w:val="0"/>
          <w:marTop w:val="0"/>
          <w:marBottom w:val="0"/>
          <w:divBdr>
            <w:top w:val="none" w:sz="0" w:space="0" w:color="auto"/>
            <w:left w:val="none" w:sz="0" w:space="0" w:color="auto"/>
            <w:bottom w:val="none" w:sz="0" w:space="0" w:color="auto"/>
            <w:right w:val="none" w:sz="0" w:space="0" w:color="auto"/>
          </w:divBdr>
        </w:div>
      </w:divsChild>
    </w:div>
    <w:div w:id="716702639">
      <w:bodyDiv w:val="1"/>
      <w:marLeft w:val="0"/>
      <w:marRight w:val="0"/>
      <w:marTop w:val="0"/>
      <w:marBottom w:val="0"/>
      <w:divBdr>
        <w:top w:val="none" w:sz="0" w:space="0" w:color="auto"/>
        <w:left w:val="none" w:sz="0" w:space="0" w:color="auto"/>
        <w:bottom w:val="none" w:sz="0" w:space="0" w:color="auto"/>
        <w:right w:val="none" w:sz="0" w:space="0" w:color="auto"/>
      </w:divBdr>
    </w:div>
    <w:div w:id="764226741">
      <w:bodyDiv w:val="1"/>
      <w:marLeft w:val="0"/>
      <w:marRight w:val="0"/>
      <w:marTop w:val="0"/>
      <w:marBottom w:val="0"/>
      <w:divBdr>
        <w:top w:val="none" w:sz="0" w:space="0" w:color="auto"/>
        <w:left w:val="none" w:sz="0" w:space="0" w:color="auto"/>
        <w:bottom w:val="none" w:sz="0" w:space="0" w:color="auto"/>
        <w:right w:val="none" w:sz="0" w:space="0" w:color="auto"/>
      </w:divBdr>
      <w:divsChild>
        <w:div w:id="1631940530">
          <w:marLeft w:val="0"/>
          <w:marRight w:val="0"/>
          <w:marTop w:val="0"/>
          <w:marBottom w:val="0"/>
          <w:divBdr>
            <w:top w:val="none" w:sz="0" w:space="0" w:color="auto"/>
            <w:left w:val="none" w:sz="0" w:space="0" w:color="auto"/>
            <w:bottom w:val="none" w:sz="0" w:space="0" w:color="auto"/>
            <w:right w:val="none" w:sz="0" w:space="0" w:color="auto"/>
          </w:divBdr>
        </w:div>
      </w:divsChild>
    </w:div>
    <w:div w:id="854079645">
      <w:bodyDiv w:val="1"/>
      <w:marLeft w:val="0"/>
      <w:marRight w:val="0"/>
      <w:marTop w:val="0"/>
      <w:marBottom w:val="0"/>
      <w:divBdr>
        <w:top w:val="none" w:sz="0" w:space="0" w:color="auto"/>
        <w:left w:val="none" w:sz="0" w:space="0" w:color="auto"/>
        <w:bottom w:val="none" w:sz="0" w:space="0" w:color="auto"/>
        <w:right w:val="none" w:sz="0" w:space="0" w:color="auto"/>
      </w:divBdr>
      <w:divsChild>
        <w:div w:id="1709722430">
          <w:marLeft w:val="0"/>
          <w:marRight w:val="0"/>
          <w:marTop w:val="0"/>
          <w:marBottom w:val="0"/>
          <w:divBdr>
            <w:top w:val="none" w:sz="0" w:space="0" w:color="auto"/>
            <w:left w:val="none" w:sz="0" w:space="0" w:color="auto"/>
            <w:bottom w:val="none" w:sz="0" w:space="0" w:color="auto"/>
            <w:right w:val="none" w:sz="0" w:space="0" w:color="auto"/>
          </w:divBdr>
        </w:div>
      </w:divsChild>
    </w:div>
    <w:div w:id="888883501">
      <w:bodyDiv w:val="1"/>
      <w:marLeft w:val="0"/>
      <w:marRight w:val="0"/>
      <w:marTop w:val="0"/>
      <w:marBottom w:val="0"/>
      <w:divBdr>
        <w:top w:val="none" w:sz="0" w:space="0" w:color="auto"/>
        <w:left w:val="none" w:sz="0" w:space="0" w:color="auto"/>
        <w:bottom w:val="none" w:sz="0" w:space="0" w:color="auto"/>
        <w:right w:val="none" w:sz="0" w:space="0" w:color="auto"/>
      </w:divBdr>
      <w:divsChild>
        <w:div w:id="941376605">
          <w:marLeft w:val="0"/>
          <w:marRight w:val="0"/>
          <w:marTop w:val="0"/>
          <w:marBottom w:val="0"/>
          <w:divBdr>
            <w:top w:val="none" w:sz="0" w:space="0" w:color="auto"/>
            <w:left w:val="none" w:sz="0" w:space="0" w:color="auto"/>
            <w:bottom w:val="none" w:sz="0" w:space="0" w:color="auto"/>
            <w:right w:val="none" w:sz="0" w:space="0" w:color="auto"/>
          </w:divBdr>
        </w:div>
      </w:divsChild>
    </w:div>
    <w:div w:id="959919050">
      <w:bodyDiv w:val="1"/>
      <w:marLeft w:val="0"/>
      <w:marRight w:val="0"/>
      <w:marTop w:val="0"/>
      <w:marBottom w:val="0"/>
      <w:divBdr>
        <w:top w:val="none" w:sz="0" w:space="0" w:color="auto"/>
        <w:left w:val="none" w:sz="0" w:space="0" w:color="auto"/>
        <w:bottom w:val="none" w:sz="0" w:space="0" w:color="auto"/>
        <w:right w:val="none" w:sz="0" w:space="0" w:color="auto"/>
      </w:divBdr>
      <w:divsChild>
        <w:div w:id="182635864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7778457">
      <w:bodyDiv w:val="1"/>
      <w:marLeft w:val="0"/>
      <w:marRight w:val="0"/>
      <w:marTop w:val="0"/>
      <w:marBottom w:val="0"/>
      <w:divBdr>
        <w:top w:val="none" w:sz="0" w:space="0" w:color="auto"/>
        <w:left w:val="none" w:sz="0" w:space="0" w:color="auto"/>
        <w:bottom w:val="none" w:sz="0" w:space="0" w:color="auto"/>
        <w:right w:val="none" w:sz="0" w:space="0" w:color="auto"/>
      </w:divBdr>
      <w:divsChild>
        <w:div w:id="1340425259">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13502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9640391">
      <w:bodyDiv w:val="1"/>
      <w:marLeft w:val="0"/>
      <w:marRight w:val="0"/>
      <w:marTop w:val="0"/>
      <w:marBottom w:val="0"/>
      <w:divBdr>
        <w:top w:val="none" w:sz="0" w:space="0" w:color="auto"/>
        <w:left w:val="none" w:sz="0" w:space="0" w:color="auto"/>
        <w:bottom w:val="none" w:sz="0" w:space="0" w:color="auto"/>
        <w:right w:val="none" w:sz="0" w:space="0" w:color="auto"/>
      </w:divBdr>
      <w:divsChild>
        <w:div w:id="271405544">
          <w:marLeft w:val="0"/>
          <w:marRight w:val="0"/>
          <w:marTop w:val="0"/>
          <w:marBottom w:val="0"/>
          <w:divBdr>
            <w:top w:val="none" w:sz="0" w:space="0" w:color="auto"/>
            <w:left w:val="none" w:sz="0" w:space="0" w:color="auto"/>
            <w:bottom w:val="none" w:sz="0" w:space="0" w:color="auto"/>
            <w:right w:val="none" w:sz="0" w:space="0" w:color="auto"/>
          </w:divBdr>
        </w:div>
      </w:divsChild>
    </w:div>
    <w:div w:id="1584754352">
      <w:bodyDiv w:val="1"/>
      <w:marLeft w:val="0"/>
      <w:marRight w:val="0"/>
      <w:marTop w:val="0"/>
      <w:marBottom w:val="0"/>
      <w:divBdr>
        <w:top w:val="none" w:sz="0" w:space="0" w:color="auto"/>
        <w:left w:val="none" w:sz="0" w:space="0" w:color="auto"/>
        <w:bottom w:val="none" w:sz="0" w:space="0" w:color="auto"/>
        <w:right w:val="none" w:sz="0" w:space="0" w:color="auto"/>
      </w:divBdr>
      <w:divsChild>
        <w:div w:id="446395272">
          <w:marLeft w:val="0"/>
          <w:marRight w:val="0"/>
          <w:marTop w:val="0"/>
          <w:marBottom w:val="0"/>
          <w:divBdr>
            <w:top w:val="none" w:sz="0" w:space="0" w:color="auto"/>
            <w:left w:val="none" w:sz="0" w:space="0" w:color="auto"/>
            <w:bottom w:val="none" w:sz="0" w:space="0" w:color="auto"/>
            <w:right w:val="none" w:sz="0" w:space="0" w:color="auto"/>
          </w:divBdr>
        </w:div>
      </w:divsChild>
    </w:div>
    <w:div w:id="1723169430">
      <w:bodyDiv w:val="1"/>
      <w:marLeft w:val="0"/>
      <w:marRight w:val="0"/>
      <w:marTop w:val="0"/>
      <w:marBottom w:val="0"/>
      <w:divBdr>
        <w:top w:val="none" w:sz="0" w:space="0" w:color="auto"/>
        <w:left w:val="none" w:sz="0" w:space="0" w:color="auto"/>
        <w:bottom w:val="none" w:sz="0" w:space="0" w:color="auto"/>
        <w:right w:val="none" w:sz="0" w:space="0" w:color="auto"/>
      </w:divBdr>
      <w:divsChild>
        <w:div w:id="194736135">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8325543">
      <w:bodyDiv w:val="1"/>
      <w:marLeft w:val="0"/>
      <w:marRight w:val="0"/>
      <w:marTop w:val="0"/>
      <w:marBottom w:val="0"/>
      <w:divBdr>
        <w:top w:val="none" w:sz="0" w:space="0" w:color="auto"/>
        <w:left w:val="none" w:sz="0" w:space="0" w:color="auto"/>
        <w:bottom w:val="none" w:sz="0" w:space="0" w:color="auto"/>
        <w:right w:val="none" w:sz="0" w:space="0" w:color="auto"/>
      </w:divBdr>
      <w:divsChild>
        <w:div w:id="1708750292">
          <w:marLeft w:val="0"/>
          <w:marRight w:val="0"/>
          <w:marTop w:val="0"/>
          <w:marBottom w:val="0"/>
          <w:divBdr>
            <w:top w:val="none" w:sz="0" w:space="0" w:color="auto"/>
            <w:left w:val="none" w:sz="0" w:space="0" w:color="auto"/>
            <w:bottom w:val="none" w:sz="0" w:space="0" w:color="auto"/>
            <w:right w:val="none" w:sz="0" w:space="0" w:color="auto"/>
          </w:divBdr>
        </w:div>
      </w:divsChild>
    </w:div>
    <w:div w:id="1866405342">
      <w:bodyDiv w:val="1"/>
      <w:marLeft w:val="0"/>
      <w:marRight w:val="0"/>
      <w:marTop w:val="0"/>
      <w:marBottom w:val="0"/>
      <w:divBdr>
        <w:top w:val="none" w:sz="0" w:space="0" w:color="auto"/>
        <w:left w:val="none" w:sz="0" w:space="0" w:color="auto"/>
        <w:bottom w:val="none" w:sz="0" w:space="0" w:color="auto"/>
        <w:right w:val="none" w:sz="0" w:space="0" w:color="auto"/>
      </w:divBdr>
      <w:divsChild>
        <w:div w:id="1792700974">
          <w:marLeft w:val="0"/>
          <w:marRight w:val="0"/>
          <w:marTop w:val="0"/>
          <w:marBottom w:val="0"/>
          <w:divBdr>
            <w:top w:val="none" w:sz="0" w:space="0" w:color="auto"/>
            <w:left w:val="none" w:sz="0" w:space="0" w:color="auto"/>
            <w:bottom w:val="none" w:sz="0" w:space="0" w:color="auto"/>
            <w:right w:val="none" w:sz="0" w:space="0" w:color="auto"/>
          </w:divBdr>
        </w:div>
      </w:divsChild>
    </w:div>
    <w:div w:id="1916553198">
      <w:bodyDiv w:val="1"/>
      <w:marLeft w:val="0"/>
      <w:marRight w:val="0"/>
      <w:marTop w:val="0"/>
      <w:marBottom w:val="0"/>
      <w:divBdr>
        <w:top w:val="none" w:sz="0" w:space="0" w:color="auto"/>
        <w:left w:val="none" w:sz="0" w:space="0" w:color="auto"/>
        <w:bottom w:val="none" w:sz="0" w:space="0" w:color="auto"/>
        <w:right w:val="none" w:sz="0" w:space="0" w:color="auto"/>
      </w:divBdr>
      <w:divsChild>
        <w:div w:id="1095249763">
          <w:marLeft w:val="0"/>
          <w:marRight w:val="0"/>
          <w:marTop w:val="0"/>
          <w:marBottom w:val="0"/>
          <w:divBdr>
            <w:top w:val="none" w:sz="0" w:space="0" w:color="auto"/>
            <w:left w:val="none" w:sz="0" w:space="0" w:color="auto"/>
            <w:bottom w:val="none" w:sz="0" w:space="0" w:color="auto"/>
            <w:right w:val="none" w:sz="0" w:space="0" w:color="auto"/>
          </w:divBdr>
        </w:div>
      </w:divsChild>
    </w:div>
    <w:div w:id="1932273384">
      <w:bodyDiv w:val="1"/>
      <w:marLeft w:val="0"/>
      <w:marRight w:val="0"/>
      <w:marTop w:val="0"/>
      <w:marBottom w:val="0"/>
      <w:divBdr>
        <w:top w:val="none" w:sz="0" w:space="0" w:color="auto"/>
        <w:left w:val="none" w:sz="0" w:space="0" w:color="auto"/>
        <w:bottom w:val="none" w:sz="0" w:space="0" w:color="auto"/>
        <w:right w:val="none" w:sz="0" w:space="0" w:color="auto"/>
      </w:divBdr>
      <w:divsChild>
        <w:div w:id="986397546">
          <w:marLeft w:val="0"/>
          <w:marRight w:val="0"/>
          <w:marTop w:val="0"/>
          <w:marBottom w:val="0"/>
          <w:divBdr>
            <w:top w:val="none" w:sz="0" w:space="0" w:color="auto"/>
            <w:left w:val="none" w:sz="0" w:space="0" w:color="auto"/>
            <w:bottom w:val="none" w:sz="0" w:space="0" w:color="auto"/>
            <w:right w:val="none" w:sz="0" w:space="0" w:color="auto"/>
          </w:divBdr>
        </w:div>
      </w:divsChild>
    </w:div>
    <w:div w:id="1969430981">
      <w:bodyDiv w:val="1"/>
      <w:marLeft w:val="0"/>
      <w:marRight w:val="0"/>
      <w:marTop w:val="0"/>
      <w:marBottom w:val="0"/>
      <w:divBdr>
        <w:top w:val="none" w:sz="0" w:space="0" w:color="auto"/>
        <w:left w:val="none" w:sz="0" w:space="0" w:color="auto"/>
        <w:bottom w:val="none" w:sz="0" w:space="0" w:color="auto"/>
        <w:right w:val="none" w:sz="0" w:space="0" w:color="auto"/>
      </w:divBdr>
      <w:divsChild>
        <w:div w:id="195042065">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1250539">
      <w:bodyDiv w:val="1"/>
      <w:marLeft w:val="0"/>
      <w:marRight w:val="0"/>
      <w:marTop w:val="0"/>
      <w:marBottom w:val="0"/>
      <w:divBdr>
        <w:top w:val="none" w:sz="0" w:space="0" w:color="auto"/>
        <w:left w:val="none" w:sz="0" w:space="0" w:color="auto"/>
        <w:bottom w:val="none" w:sz="0" w:space="0" w:color="auto"/>
        <w:right w:val="none" w:sz="0" w:space="0" w:color="auto"/>
      </w:divBdr>
      <w:divsChild>
        <w:div w:id="111726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9573/EMSJ.8(3).2024.41" TargetMode="External"/><Relationship Id="rId26" Type="http://schemas.openxmlformats.org/officeDocument/2006/relationships/hyperlink" Target="https://doi.org/10.3389/FEDUC.2023.1212952/BIBTEX" TargetMode="External"/><Relationship Id="rId39" Type="http://schemas.openxmlformats.org/officeDocument/2006/relationships/footer" Target="footer4.xml"/><Relationship Id="rId21" Type="http://schemas.openxmlformats.org/officeDocument/2006/relationships/hyperlink" Target="https://doi.org/10.47119/IJRP1001291720235295" TargetMode="External"/><Relationship Id="rId34" Type="http://schemas.openxmlformats.org/officeDocument/2006/relationships/hyperlink" Target="https://doi.org/10.1177/00953997241236940;PAGEGROUP:STRING:PUBLICATIO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2680939.2024.2337031" TargetMode="External"/><Relationship Id="rId20" Type="http://schemas.openxmlformats.org/officeDocument/2006/relationships/hyperlink" Target="https://www.coe.int/en/web/education/democracy-starts-in-schools-ii" TargetMode="External"/><Relationship Id="rId29" Type="http://schemas.openxmlformats.org/officeDocument/2006/relationships/hyperlink" Target="https://doi.org/10.59765/fa59zan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gitalcommons.murraystate.edu/etd/362" TargetMode="External"/><Relationship Id="rId32" Type="http://schemas.openxmlformats.org/officeDocument/2006/relationships/hyperlink" Target="https://doi.org/10.54536/AJMRI.V1I4.516"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22161/JHED.5.6.4" TargetMode="External"/><Relationship Id="rId23" Type="http://schemas.openxmlformats.org/officeDocument/2006/relationships/hyperlink" Target="https://doi.org/10.46223/HCMCOUJS.SOCI.EN.16.9.4473.2026" TargetMode="External"/><Relationship Id="rId28" Type="http://schemas.openxmlformats.org/officeDocument/2006/relationships/hyperlink" Target="https://doi.org/10.59298/JBESS/2025/101814" TargetMode="External"/><Relationship Id="rId36" Type="http://schemas.openxmlformats.org/officeDocument/2006/relationships/hyperlink" Target="https://doi.org/10.1080/20020317.2024.2430706;JOURNAL:JOURNAL:ZNST19;WGROUP:STRING:PUBLICATION" TargetMode="External"/><Relationship Id="rId10" Type="http://schemas.openxmlformats.org/officeDocument/2006/relationships/footer" Target="footer1.xml"/><Relationship Id="rId19" Type="http://schemas.openxmlformats.org/officeDocument/2006/relationships/hyperlink" Target="https://doi.org/10.1177/17411432221077507;WEBSITE:WEBSITE:SAGE;ISSUE:ISSUE:DOI" TargetMode="External"/><Relationship Id="rId31" Type="http://schemas.openxmlformats.org/officeDocument/2006/relationships/hyperlink" Target="https://doi.org/10.26803/IJLTER.23.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551-023-05365-5" TargetMode="External"/><Relationship Id="rId22" Type="http://schemas.openxmlformats.org/officeDocument/2006/relationships/hyperlink" Target="https://doi.org/10.36948/IJFMR.2025.V07I04.52442" TargetMode="External"/><Relationship Id="rId27" Type="http://schemas.openxmlformats.org/officeDocument/2006/relationships/hyperlink" Target="https://doi.org/10.9734/AJESS/2023/V49I41207" TargetMode="External"/><Relationship Id="rId30" Type="http://schemas.openxmlformats.org/officeDocument/2006/relationships/hyperlink" Target="https://doi.org/10.1080/13603124.2024.2369987;PAGE:STRING:ARTICLE/CHAPTER" TargetMode="External"/><Relationship Id="rId35" Type="http://schemas.openxmlformats.org/officeDocument/2006/relationships/hyperlink" Target="https://doi.org/10.30828/real/2021.4.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016146810911100108;PAGE:STRING:ARTICLE/CHAPTER" TargetMode="External"/><Relationship Id="rId25" Type="http://schemas.openxmlformats.org/officeDocument/2006/relationships/hyperlink" Target="https://ijase.org/index.php/ijase/article/view/159" TargetMode="External"/><Relationship Id="rId33" Type="http://schemas.openxmlformats.org/officeDocument/2006/relationships/hyperlink" Target="https://doi.org/10.3389/FPSYG.2022.875174/BIBTEX"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C3BC-B985-43B1-87D3-09490CF5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265</TotalTime>
  <Pages>18</Pages>
  <Words>9245</Words>
  <Characters>52701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617</cp:revision>
  <cp:lastPrinted>1999-07-06T11:00:00Z</cp:lastPrinted>
  <dcterms:created xsi:type="dcterms:W3CDTF">2014-10-25T14:34:00Z</dcterms:created>
  <dcterms:modified xsi:type="dcterms:W3CDTF">2025-11-15T11:58:00Z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937aa297-17f1-487a-8f26-0060657a69f9</vt:lpwstr>
  </property>
</Properties>
</file>