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26AA1" w14:textId="46DE403D" w:rsidR="00B40219" w:rsidRDefault="00B40219" w:rsidP="003B12A5">
      <w:pPr>
        <w:pStyle w:val="Title"/>
        <w:spacing w:after="0"/>
        <w:ind w:firstLine="0"/>
        <w:contextualSpacing w:val="0"/>
        <w:jc w:val="right"/>
        <w:rPr>
          <w:rFonts w:ascii="Arial" w:eastAsia="Times New Roman" w:hAnsi="Arial" w:cs="Arial"/>
          <w:b/>
          <w:spacing w:val="0"/>
          <w:sz w:val="36"/>
          <w:szCs w:val="20"/>
          <w:lang w:val="en-US"/>
        </w:rPr>
      </w:pPr>
      <w:r w:rsidRPr="003B12A5">
        <w:rPr>
          <w:rFonts w:ascii="Arial" w:eastAsia="Times New Roman" w:hAnsi="Arial" w:cs="Arial"/>
          <w:b/>
          <w:spacing w:val="0"/>
          <w:sz w:val="36"/>
          <w:szCs w:val="20"/>
          <w:lang w:val="en-US"/>
        </w:rPr>
        <w:t xml:space="preserve">Time in the Therapeutic Range for Patients Taking </w:t>
      </w:r>
      <w:proofErr w:type="spellStart"/>
      <w:r w:rsidRPr="003B12A5">
        <w:rPr>
          <w:rFonts w:ascii="Arial" w:eastAsia="Times New Roman" w:hAnsi="Arial" w:cs="Arial"/>
          <w:b/>
          <w:spacing w:val="0"/>
          <w:sz w:val="36"/>
          <w:szCs w:val="20"/>
          <w:lang w:val="en-US"/>
        </w:rPr>
        <w:t>Acenocoumarol</w:t>
      </w:r>
      <w:proofErr w:type="spellEnd"/>
      <w:r w:rsidRPr="003B12A5">
        <w:rPr>
          <w:rFonts w:ascii="Arial" w:eastAsia="Times New Roman" w:hAnsi="Arial" w:cs="Arial"/>
          <w:b/>
          <w:spacing w:val="0"/>
          <w:sz w:val="36"/>
          <w:szCs w:val="20"/>
          <w:lang w:val="en-US"/>
        </w:rPr>
        <w:t xml:space="preserve"> at the University Hospital Establishment of Oran in Algeria</w:t>
      </w:r>
    </w:p>
    <w:p w14:paraId="36E7DF62" w14:textId="77777777" w:rsidR="003B12A5" w:rsidRPr="003B12A5" w:rsidRDefault="003B12A5" w:rsidP="003B12A5">
      <w:pPr>
        <w:rPr>
          <w:lang w:val="en-US"/>
        </w:rPr>
      </w:pPr>
    </w:p>
    <w:p w14:paraId="73A3390F" w14:textId="4D82CB5A" w:rsidR="00B40219" w:rsidRPr="003B12A5" w:rsidRDefault="00B40219" w:rsidP="003B12A5">
      <w:pPr>
        <w:autoSpaceDE w:val="0"/>
        <w:autoSpaceDN w:val="0"/>
        <w:adjustRightInd w:val="0"/>
        <w:spacing w:before="240"/>
        <w:jc w:val="right"/>
        <w:rPr>
          <w:rFonts w:asciiTheme="minorBidi" w:hAnsiTheme="minorBidi"/>
          <w:i/>
          <w:iCs/>
          <w:sz w:val="20"/>
          <w:szCs w:val="20"/>
          <w:lang w:val="en-US"/>
        </w:rPr>
      </w:pPr>
      <w:bookmarkStart w:id="0" w:name="_GoBack"/>
      <w:bookmarkEnd w:id="0"/>
    </w:p>
    <w:p w14:paraId="4B5BF0A5" w14:textId="3621556B" w:rsidR="005C53F7" w:rsidRDefault="005C53F7" w:rsidP="00E96492">
      <w:pPr>
        <w:pStyle w:val="AbstHead"/>
        <w:spacing w:after="0"/>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5C53F7" w:rsidRPr="005C53F7" w14:paraId="6FEC71D4" w14:textId="77777777" w:rsidTr="00944EEA">
        <w:trPr>
          <w:trHeight w:val="6015"/>
        </w:trPr>
        <w:tc>
          <w:tcPr>
            <w:tcW w:w="9350" w:type="dxa"/>
            <w:shd w:val="clear" w:color="auto" w:fill="F2F2F2"/>
          </w:tcPr>
          <w:p w14:paraId="03A6C293" w14:textId="538C589C" w:rsidR="005C53F7" w:rsidRPr="005C53F7" w:rsidRDefault="005C53F7" w:rsidP="005C53F7">
            <w:pPr>
              <w:spacing w:line="360" w:lineRule="auto"/>
              <w:ind w:firstLine="0"/>
              <w:jc w:val="both"/>
              <w:rPr>
                <w:rFonts w:asciiTheme="minorBidi" w:hAnsiTheme="minorBidi"/>
                <w:sz w:val="20"/>
                <w:szCs w:val="20"/>
                <w:lang w:val="en-US"/>
              </w:rPr>
            </w:pPr>
            <w:bookmarkStart w:id="1" w:name="_Hlk216121285"/>
            <w:r w:rsidRPr="005C53F7">
              <w:rPr>
                <w:rFonts w:asciiTheme="minorBidi" w:hAnsiTheme="minorBidi"/>
                <w:b/>
                <w:bCs/>
                <w:color w:val="000000" w:themeColor="text1"/>
                <w:sz w:val="20"/>
                <w:szCs w:val="20"/>
                <w:lang w:val="en-US"/>
              </w:rPr>
              <w:t xml:space="preserve">Aims: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 a vitamin K antagonist anticoagulant, is used in the management of common thromboembolic conditions, such as atrial fibrillation and venous thrombosis. Although it remains a standard treatment in Algeria, its clinical use is hampered by significant interindividual variability in therapeutic response, influenced by several genetic and non-genetic factors.</w:t>
            </w:r>
            <w:r w:rsidRPr="005C53F7">
              <w:rPr>
                <w:rFonts w:asciiTheme="minorBidi" w:hAnsiTheme="minorBidi"/>
                <w:sz w:val="20"/>
                <w:szCs w:val="20"/>
                <w:lang w:val="en-US"/>
              </w:rPr>
              <w:t xml:space="preserve"> the objective of this work was to evaluate the quality of anticoagulation with </w:t>
            </w:r>
            <w:proofErr w:type="spellStart"/>
            <w:r w:rsidRPr="005C53F7">
              <w:rPr>
                <w:rFonts w:asciiTheme="minorBidi" w:hAnsiTheme="minorBidi"/>
                <w:sz w:val="20"/>
                <w:szCs w:val="20"/>
                <w:lang w:val="en-US"/>
              </w:rPr>
              <w:t>acenocoumarol</w:t>
            </w:r>
            <w:proofErr w:type="spellEnd"/>
            <w:r w:rsidRPr="005C53F7">
              <w:rPr>
                <w:rFonts w:asciiTheme="minorBidi" w:hAnsiTheme="minorBidi"/>
                <w:sz w:val="20"/>
                <w:szCs w:val="20"/>
                <w:lang w:val="en-US"/>
              </w:rPr>
              <w:t xml:space="preserve"> at the University and Hospital Establishment of Oran, Algeria.</w:t>
            </w:r>
          </w:p>
          <w:p w14:paraId="2F834510" w14:textId="39F0B6DD" w:rsidR="005C53F7" w:rsidRPr="005C53F7" w:rsidRDefault="005C53F7" w:rsidP="005C53F7">
            <w:pPr>
              <w:spacing w:line="360" w:lineRule="auto"/>
              <w:ind w:firstLine="0"/>
              <w:jc w:val="both"/>
              <w:rPr>
                <w:rFonts w:asciiTheme="minorBidi" w:hAnsiTheme="minorBidi"/>
                <w:color w:val="000000" w:themeColor="text1"/>
                <w:sz w:val="20"/>
                <w:szCs w:val="20"/>
                <w:lang w:val="en-US"/>
              </w:rPr>
            </w:pPr>
            <w:proofErr w:type="gramStart"/>
            <w:r w:rsidRPr="005C53F7">
              <w:rPr>
                <w:rFonts w:asciiTheme="minorBidi" w:hAnsiTheme="minorBidi"/>
                <w:b/>
                <w:bCs/>
                <w:color w:val="000000" w:themeColor="text1"/>
                <w:sz w:val="20"/>
                <w:szCs w:val="20"/>
                <w:lang w:val="en-US"/>
              </w:rPr>
              <w:t>Methodology :</w:t>
            </w:r>
            <w:proofErr w:type="gramEnd"/>
            <w:r w:rsidRPr="005C53F7">
              <w:rPr>
                <w:rFonts w:asciiTheme="minorBidi" w:hAnsiTheme="minorBidi"/>
                <w:b/>
                <w:bCs/>
                <w:color w:val="000000" w:themeColor="text1"/>
                <w:sz w:val="20"/>
                <w:szCs w:val="20"/>
                <w:lang w:val="en-US"/>
              </w:rPr>
              <w:t xml:space="preserve"> </w:t>
            </w:r>
            <w:r w:rsidRPr="005C53F7">
              <w:rPr>
                <w:rFonts w:asciiTheme="minorBidi" w:hAnsiTheme="minorBidi"/>
                <w:color w:val="000000" w:themeColor="text1"/>
                <w:sz w:val="20"/>
                <w:szCs w:val="20"/>
                <w:lang w:val="en-US"/>
              </w:rPr>
              <w:t xml:space="preserve">A descriptive cross-sectional prospective study was conducted on patients treated with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 Therapeutic monitoring was performed using the International Normalized Ratio (INR) and the Time in Therapeutic Range (TTR).</w:t>
            </w:r>
          </w:p>
          <w:p w14:paraId="2A980ADB" w14:textId="77777777" w:rsidR="005C53F7" w:rsidRPr="005C53F7" w:rsidRDefault="005C53F7" w:rsidP="005C53F7">
            <w:pPr>
              <w:spacing w:line="360" w:lineRule="auto"/>
              <w:ind w:firstLine="0"/>
              <w:jc w:val="both"/>
              <w:rPr>
                <w:rFonts w:asciiTheme="minorBidi" w:hAnsiTheme="minorBidi"/>
                <w:color w:val="000000" w:themeColor="text1"/>
                <w:sz w:val="20"/>
                <w:szCs w:val="20"/>
                <w:lang w:val="en-US"/>
              </w:rPr>
            </w:pPr>
            <w:r w:rsidRPr="005C53F7">
              <w:rPr>
                <w:rFonts w:asciiTheme="minorBidi" w:hAnsiTheme="minorBidi"/>
                <w:b/>
                <w:bCs/>
                <w:color w:val="000000" w:themeColor="text1"/>
                <w:sz w:val="20"/>
                <w:szCs w:val="20"/>
                <w:lang w:val="en-US"/>
              </w:rPr>
              <w:t xml:space="preserve">Results and </w:t>
            </w:r>
            <w:proofErr w:type="gramStart"/>
            <w:r w:rsidRPr="005C53F7">
              <w:rPr>
                <w:rFonts w:asciiTheme="minorBidi" w:hAnsiTheme="minorBidi"/>
                <w:b/>
                <w:bCs/>
                <w:color w:val="000000" w:themeColor="text1"/>
                <w:sz w:val="20"/>
                <w:szCs w:val="20"/>
                <w:lang w:val="en-US"/>
              </w:rPr>
              <w:t>discussion :</w:t>
            </w:r>
            <w:proofErr w:type="gramEnd"/>
            <w:r w:rsidRPr="005C53F7">
              <w:rPr>
                <w:rFonts w:asciiTheme="minorBidi" w:hAnsiTheme="minorBidi"/>
                <w:b/>
                <w:bCs/>
                <w:color w:val="000000" w:themeColor="text1"/>
                <w:sz w:val="20"/>
                <w:szCs w:val="20"/>
                <w:lang w:val="en-US"/>
              </w:rPr>
              <w:t xml:space="preserve"> </w:t>
            </w:r>
            <w:r w:rsidRPr="005C53F7">
              <w:rPr>
                <w:rFonts w:asciiTheme="minorBidi" w:hAnsiTheme="minorBidi"/>
                <w:color w:val="000000" w:themeColor="text1"/>
                <w:sz w:val="20"/>
                <w:szCs w:val="20"/>
                <w:lang w:val="en-US"/>
              </w:rPr>
              <w:t xml:space="preserve">A total of 51 patients were followed. The results showed a female predominance, with a mean age of 55 ± 2.33 years. The mean daily dose of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 xml:space="preserve"> administered was 2.52 ± 0.7 mg/ day, and the steady-state dose was 2.72 ± 0.89 mg/day; the mean time to steady state was 2.72 ± 0.89 days. Only 41.18% of patients achieved their INR target at the end of the study. The majority of patients (82.35%) had a TTR below 50%, indicating poor control of anticoagulation with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w:t>
            </w:r>
          </w:p>
          <w:p w14:paraId="1F89436D" w14:textId="29DA64C8" w:rsidR="00944EEA" w:rsidRPr="005C53F7" w:rsidRDefault="005C53F7" w:rsidP="00944EEA">
            <w:pPr>
              <w:spacing w:line="360" w:lineRule="auto"/>
              <w:ind w:firstLine="0"/>
              <w:jc w:val="both"/>
              <w:rPr>
                <w:rFonts w:asciiTheme="minorBidi" w:hAnsiTheme="minorBidi"/>
                <w:color w:val="000000" w:themeColor="text1"/>
                <w:sz w:val="20"/>
                <w:szCs w:val="20"/>
                <w:lang w:val="en-US"/>
              </w:rPr>
            </w:pPr>
            <w:proofErr w:type="gramStart"/>
            <w:r w:rsidRPr="005C53F7">
              <w:rPr>
                <w:rFonts w:asciiTheme="minorBidi" w:hAnsiTheme="minorBidi"/>
                <w:b/>
                <w:bCs/>
                <w:color w:val="000000" w:themeColor="text1"/>
                <w:sz w:val="20"/>
                <w:szCs w:val="20"/>
                <w:lang w:val="en-US"/>
              </w:rPr>
              <w:t>Conclusion :</w:t>
            </w:r>
            <w:proofErr w:type="gramEnd"/>
            <w:r w:rsidRPr="005C53F7">
              <w:rPr>
                <w:rFonts w:asciiTheme="minorBidi" w:hAnsiTheme="minorBidi"/>
                <w:b/>
                <w:bCs/>
                <w:color w:val="000000" w:themeColor="text1"/>
                <w:sz w:val="20"/>
                <w:szCs w:val="20"/>
                <w:lang w:val="en-US"/>
              </w:rPr>
              <w:t xml:space="preserve"> </w:t>
            </w:r>
            <w:r w:rsidRPr="005C53F7">
              <w:rPr>
                <w:rFonts w:asciiTheme="minorBidi" w:hAnsiTheme="minorBidi"/>
                <w:color w:val="000000" w:themeColor="text1"/>
                <w:sz w:val="20"/>
                <w:szCs w:val="20"/>
                <w:lang w:val="en-US"/>
              </w:rPr>
              <w:t xml:space="preserve">This study has demonstrated that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 xml:space="preserve"> dosage optimization by INR is insufficient, and has highlighted the importance of implementing other dosage personalization approaches such as pharmacogenetics.</w:t>
            </w:r>
          </w:p>
        </w:tc>
      </w:tr>
    </w:tbl>
    <w:bookmarkEnd w:id="1"/>
    <w:p w14:paraId="157E72F1" w14:textId="2F0C382E" w:rsidR="00A02DAB" w:rsidRPr="00A02DAB" w:rsidRDefault="00944EEA" w:rsidP="00A02DAB">
      <w:pPr>
        <w:spacing w:before="240" w:line="360" w:lineRule="auto"/>
        <w:ind w:firstLine="0"/>
        <w:rPr>
          <w:rFonts w:asciiTheme="minorBidi" w:hAnsiTheme="minorBidi"/>
          <w:i/>
          <w:iCs/>
          <w:color w:val="000000" w:themeColor="text1"/>
          <w:sz w:val="20"/>
          <w:szCs w:val="20"/>
          <w:lang w:val="en-US"/>
        </w:rPr>
      </w:pPr>
      <w:r>
        <w:rPr>
          <w:rFonts w:asciiTheme="majorBidi" w:hAnsiTheme="majorBidi" w:cstheme="majorBidi"/>
          <w:b/>
          <w:bCs/>
          <w:sz w:val="24"/>
          <w:szCs w:val="24"/>
          <w:lang w:val="en-US"/>
        </w:rPr>
        <w:tab/>
      </w:r>
      <w:r w:rsidR="00D7209D" w:rsidRPr="00D7209D">
        <w:rPr>
          <w:rFonts w:asciiTheme="minorBidi" w:hAnsiTheme="minorBidi"/>
          <w:i/>
          <w:iCs/>
          <w:color w:val="000000" w:themeColor="text1"/>
          <w:sz w:val="20"/>
          <w:szCs w:val="20"/>
          <w:lang w:val="en-US"/>
        </w:rPr>
        <w:t>Keywords: oral anticoagulation, therapeutic monitoring, time in therapeutic range ratio, TTR</w:t>
      </w:r>
    </w:p>
    <w:p w14:paraId="0C2888B0" w14:textId="4E3B3F09" w:rsidR="00903505" w:rsidRPr="00A02DAB" w:rsidRDefault="00903505" w:rsidP="00A02DAB">
      <w:pPr>
        <w:pStyle w:val="ListParagraph"/>
        <w:numPr>
          <w:ilvl w:val="0"/>
          <w:numId w:val="1"/>
        </w:numPr>
        <w:tabs>
          <w:tab w:val="left" w:pos="1380"/>
        </w:tabs>
        <w:spacing w:before="240" w:after="200" w:line="480" w:lineRule="auto"/>
        <w:rPr>
          <w:rFonts w:asciiTheme="minorBidi" w:eastAsiaTheme="minorHAnsi" w:hAnsiTheme="minorBidi"/>
          <w:b/>
          <w:bCs/>
          <w:lang w:val="en-US"/>
        </w:rPr>
      </w:pPr>
      <w:r w:rsidRPr="00A02DAB">
        <w:rPr>
          <w:rFonts w:asciiTheme="minorBidi" w:eastAsiaTheme="minorHAnsi" w:hAnsiTheme="minorBidi"/>
          <w:b/>
          <w:bCs/>
          <w:lang w:val="en-US"/>
        </w:rPr>
        <w:t>INTRODUCTION</w:t>
      </w:r>
    </w:p>
    <w:p w14:paraId="5F63BA41" w14:textId="268802D6" w:rsidR="008E59B0" w:rsidRPr="00A02DAB" w:rsidRDefault="008E59B0" w:rsidP="00DC476B">
      <w:pPr>
        <w:spacing w:before="240" w:line="360" w:lineRule="auto"/>
        <w:ind w:firstLineChars="50" w:firstLine="100"/>
        <w:jc w:val="both"/>
        <w:rPr>
          <w:rFonts w:asciiTheme="minorBidi" w:hAnsiTheme="minorBidi"/>
          <w:sz w:val="20"/>
          <w:szCs w:val="20"/>
          <w:lang w:val="en-US"/>
        </w:rPr>
      </w:pPr>
      <w:r w:rsidRPr="00A02DAB">
        <w:rPr>
          <w:rFonts w:asciiTheme="minorBidi" w:hAnsiTheme="minorBidi"/>
          <w:sz w:val="20"/>
          <w:szCs w:val="20"/>
          <w:lang w:val="en-US"/>
        </w:rPr>
        <w:t>Although new anticoagulant molecules are being introduced to the global market, vitamin K antagonists (VKAs) remain the standard treatment for common thromboembolic conditions such as atrial fibrillation, venous thrombosis, and valvular heart disease</w:t>
      </w:r>
      <w:r w:rsidR="00DC476B" w:rsidRPr="00A02DAB">
        <w:rPr>
          <w:rFonts w:asciiTheme="minorBidi" w:hAnsiTheme="minorBidi"/>
          <w:sz w:val="20"/>
          <w:szCs w:val="20"/>
          <w:lang w:val="en-US"/>
        </w:rPr>
        <w:t xml:space="preserve"> </w:t>
      </w:r>
      <w:r w:rsidR="00DC476B" w:rsidRPr="00A02DAB">
        <w:rPr>
          <w:rFonts w:asciiTheme="minorBidi" w:hAnsiTheme="minorBidi"/>
          <w:sz w:val="20"/>
          <w:szCs w:val="20"/>
          <w:lang w:val="en-US"/>
        </w:rPr>
        <w:fldChar w:fldCharType="begin"/>
      </w:r>
      <w:r w:rsidR="00DC476B" w:rsidRPr="00A02DAB">
        <w:rPr>
          <w:rFonts w:asciiTheme="minorBidi" w:hAnsiTheme="minorBidi"/>
          <w:sz w:val="20"/>
          <w:szCs w:val="20"/>
          <w:lang w:val="en-US"/>
        </w:rPr>
        <w:instrText xml:space="preserve"> ADDIN ZOTERO_ITEM CSL_CITATION {"citationID":"ynKxSOnl","properties":{"formattedCitation":"(1,2)","plainCitation":"(1,2)","noteIndex":0},"citationItems":[{"id":346,"uris":["http://zotero.org/users/local/a5KFpvZM/items/UDMWU727"],"itemData":{"id":346,"type":"article-journal","abstract":"Background\nFour direct oral anticoagulants (DOACs) have been brought to market for the treatment of nonvalvular atrial fibrillation and venous thromboembolism. Many forces, including numerous positive trial results, emerging safety concerns, marketing and promotion may shape DOAC adoption by providers. However, relatively little is known regarding their ambulatory utilization compared with warfarin, as well as the degree to which they have decreased undertreatment of atrial fibrillation.\n\nMethod\nWe used the IMS Health National Disease and Therapeutic Index, a nationally representative audit of outpatient office visits, to estimate the use of warfarin and DOACs between 2009 and 2014.\n\nResults\nOverall, visits with anticoagulation use increased from 2.05 (95% CI 1.82-2.27) to 2.83 (95% CI 2.49-3.17) million (M) quarterly visits (p&lt;0.001). Of these, DOAC use has grown to 4.21M (95% CI 3.63M-4.79M; 38.2% of total) treatment visits in 2014 since their introduction in 2010. Use of all oral anticoagulants in treatment visits for atrial fibrillation has increased from 0.88M (95% CI 0.74M-1.02M) to 1.72M (95% CI 1.47M -1.97M; p&lt;0.001), with similar DOAC and warfarin use in 2014. Atrial Fibrillation visits with anticoagulant use increased from 51.9% (95% CI 50.4%-53.8%) to 66.9% (95% CI 65.0%-69.3%) between 2009 and 2014 (p&lt;0.001). In 2014, rivaroxaban was the most commonly prescribed DOAC for atrial fibrillation (47.9% of office visits), followed by apixaban (26.5%) and dabigatran (25.5%).\n\nConclusions\nDOACs have been rapidly adopted, matching the use of warfarin, and are associated with increased use of oral anticoagulation for patients with atrial fibrillation.","container-title":"The American journal of medicine","DOI":"10.1016/j.amjmed.2015.05.044","ISSN":"0002-9343","issue":"12","journalAbbreviation":"Am J Med","note":"PMID: 26144101\nPMCID: PMC4658248","page":"1300-1305.e2","source":"PubMed Central","title":"National Trends in Ambulatory Oral Anticoagulant Use","volume":"128","author":[{"family":"Barnes","given":"Geoffrey D"},{"family":"Lucas","given":"Eleanor"},{"family":"Alexander","given":"G Caleb"},{"family":"Goldberger","given":"Zachary D."}],"issued":{"date-parts":[["2015",12]]}},"label":"page"},{"id":344,"uris":["http://zotero.org/users/local/a5KFpvZM/items/XWM5ERKH"],"itemData":{"id":344,"type":"article-journal","abstract":"There have recently been significant advances in the field of oral anticoagulation, but these have also led to many controversies. Warfarin is still the commonest drug used for clotting disorders but its use is complicated owing to wide inter-individual variability in dose requirement and its narrow therapeutic index. Warfarin dose requirement can be influenced by both genetic and environmental factors. Two recent randomized controlled trials (RCTs) came to different conclusion regarding the utility of genotype-guided dosing; we critically explore the reasons for the differences. The new generation of oral anticoagulants have been demonstrated to be as efficacious as warfarin, but further work is needed to evaluate their safety in real clinical settings.","container-title":"Trends in Pharmacological Sciences","DOI":"10.1016/j.tips.2015.01.003","ISSN":"1873-3735","issue":"3","journalAbbreviation":"Trends Pharmacol Sci","language":"eng","note":"PMID: 25698605","page":"153-163","source":"PubMed","title":"Oral anticoagulation: a critique of recent advances and controversies","title-short":"Oral anticoagulation","volume":"36","author":[{"family":"Pirmohamed","given":"Munir"},{"family":"Kamali","given":"Farhad"},{"family":"Daly","given":"Ann K."},{"family":"Wadelius","given":"Mia"}],"issued":{"date-parts":[["2015",3]]}},"label":"page"}],"schema":"https://github.com/citation-style-language/schema/raw/master/csl-citation.json"} </w:instrText>
      </w:r>
      <w:r w:rsidR="00DC476B" w:rsidRPr="00A02DAB">
        <w:rPr>
          <w:rFonts w:asciiTheme="minorBidi" w:hAnsiTheme="minorBidi"/>
          <w:sz w:val="20"/>
          <w:szCs w:val="20"/>
          <w:lang w:val="en-US"/>
        </w:rPr>
        <w:fldChar w:fldCharType="separate"/>
      </w:r>
      <w:r w:rsidR="00DC476B" w:rsidRPr="00A02DAB">
        <w:rPr>
          <w:rFonts w:asciiTheme="minorBidi" w:hAnsiTheme="minorBidi"/>
          <w:sz w:val="20"/>
          <w:szCs w:val="20"/>
          <w:lang w:val="en-US"/>
        </w:rPr>
        <w:t>(1,2)</w:t>
      </w:r>
      <w:r w:rsidR="00DC476B" w:rsidRPr="00A02DAB">
        <w:rPr>
          <w:rFonts w:asciiTheme="minorBidi" w:hAnsiTheme="minorBidi"/>
          <w:sz w:val="20"/>
          <w:szCs w:val="20"/>
          <w:lang w:val="en-US"/>
        </w:rPr>
        <w:fldChar w:fldCharType="end"/>
      </w:r>
      <w:r w:rsidR="00DC476B" w:rsidRPr="00A02DAB">
        <w:rPr>
          <w:rFonts w:asciiTheme="minorBidi" w:hAnsiTheme="minorBidi"/>
          <w:sz w:val="20"/>
          <w:szCs w:val="20"/>
          <w:lang w:val="en-US"/>
        </w:rPr>
        <w:t>.</w:t>
      </w:r>
      <w:r w:rsidRPr="00A02DAB">
        <w:rPr>
          <w:rFonts w:asciiTheme="minorBidi" w:hAnsiTheme="minorBidi"/>
          <w:sz w:val="20"/>
          <w:szCs w:val="20"/>
          <w:lang w:val="en-US"/>
        </w:rPr>
        <w:t xml:space="preserve"> After more than 60 years of use, the efficacy of VKAs is indisputable.</w:t>
      </w:r>
    </w:p>
    <w:p w14:paraId="7DD313E1" w14:textId="77777777" w:rsidR="005000D6" w:rsidRPr="00A02DAB" w:rsidRDefault="00BE17C1" w:rsidP="005000D6">
      <w:pPr>
        <w:spacing w:before="240" w:line="360" w:lineRule="auto"/>
        <w:ind w:firstLine="0"/>
        <w:jc w:val="both"/>
        <w:rPr>
          <w:rFonts w:asciiTheme="minorBidi" w:hAnsiTheme="minorBidi"/>
          <w:sz w:val="20"/>
          <w:szCs w:val="20"/>
          <w:lang w:val="en-US"/>
        </w:rPr>
      </w:pP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is the only VKAs available in Algeria due to its proven efficacy. However, its therapeutic management poses a major health problem because of a narrow therapeutic range and marked intra- and inter-individual variability in its pharmacological response. Several factors can contribute to this variability: genetic factors, notably cytochrome p450 (family 2, subfamily C, polypeptide 9) (CYP2C9) and vitamin K </w:t>
      </w:r>
      <w:r w:rsidRPr="00A02DAB">
        <w:rPr>
          <w:rFonts w:asciiTheme="minorBidi" w:hAnsiTheme="minorBidi"/>
          <w:sz w:val="20"/>
          <w:szCs w:val="20"/>
          <w:lang w:val="en-US"/>
        </w:rPr>
        <w:lastRenderedPageBreak/>
        <w:t>epoxide reductase complex (subunit 1) (VKORC1), and non-genetic factors such as age, sex, body mass index (BMI), therapeutic indication, and target INR value. This complicates the establishment of optimal doses and necessitates regular monitoring using the International Normalized Ratio (INR)</w:t>
      </w:r>
      <w:r w:rsidR="00282CC5" w:rsidRPr="00A02DAB">
        <w:rPr>
          <w:rFonts w:asciiTheme="minorBidi" w:hAnsiTheme="minorBidi"/>
          <w:sz w:val="20"/>
          <w:szCs w:val="20"/>
          <w:lang w:val="en-US"/>
        </w:rPr>
        <w:fldChar w:fldCharType="begin"/>
      </w:r>
      <w:r w:rsidR="00282CC5" w:rsidRPr="00A02DAB">
        <w:rPr>
          <w:rFonts w:asciiTheme="minorBidi" w:hAnsiTheme="minorBidi"/>
          <w:sz w:val="20"/>
          <w:szCs w:val="20"/>
          <w:lang w:val="en-US"/>
        </w:rPr>
        <w:instrText xml:space="preserve"> ADDIN ZOTERO_ITEM CSL_CITATION {"citationID":"1ZfCcxWb","properties":{"formattedCitation":"(3,4)","plainCitation":"(3,4)","noteIndex":0},"citationItems":[{"id":356,"uris":["http://zotero.org/users/local/a5KFpvZM/items/776KZT3H"],"itemData":{"id":356,"type":"article-journal","abstract":"Background: It is of high value to be assess the relationship between doses of Acenocoumarol and the INR values to offer better patient care. Since Acenocoumarol is a commonly used drug with a narrow therapeutic range it is essential to monitor the variations encountered in response to it to avoid drastic complications and to provide better health care. Aim: The aim of this study is to compare the INR values with different doses of Acenocoumarol, to compare the association of dose of Acenocoumarol with their respective INR and to find out the occurrence of bleeding with different doses of Acenocoumarol.Methods: The study was conducted in a Tertiary care hospital. 40 patients taking Acenocoumarol were recruited in the study. Relevant details like age, weight, dose of Acenocoumarol, INR and other concomitant drugs were obtained in a prospective manner. Correlation of dose of Acenocoumarol with respective INR was done by simple linear regression.Results: The relationship between dose and INR was analyzed using Simple linear regression and the scatter plot revealed no significant correlation between the dose and INR values. There is a lot of inter-individual variability in the dose response and thereafter the INR values.Conclusions: The dose of Acenocoumarol cannot predict INR values. Patient can ideally be started treatment on a low dose of Acenocoumarol and based on the INR values, dose can be titrated. There is a need for consideration of other factors which influence the dose and INR values.","container-title":"International Journal of Basic &amp; Clinical Pharmacology","DOI":"10.18203/2319-2003.ijbcp20183481","ISSN":"2279-0780","issue":"9","language":"en","page":"1738-1741","source":"www.ijbcp.com","title":"Cross sectional study on different doses of acenocoumarol with INR in a tertiary care hospital","volume":"7","author":[{"family":"E","given":"Keerthi"},{"family":"S","given":"Bhuvaneshwari"},{"family":"Murugesan","given":"Periyanarkunan Ramaiya"},{"family":"T","given":"Priyadharshini"},{"family":"P","given":"Sri Subiksha"}],"issued":{"date-parts":[["2018",8,23]]}},"label":"page"},{"id":354,"uris":["http://zotero.org/users/local/a5KFpvZM/items/HVLVCPDN"],"itemData":{"id":354,"type":"article-journal","abstract":"Acenocoumarol is an oral anticoagulant with significant interindividual dose variations. Variants in CYP2C9 and VKORC1 have been associated with acenocoumarol maintenance dose. We analysed whether any of the 49 polymorphisms in CYP2C9 and VKORC1 previously associated with acenocoumarol maintenance dose in a Genome-Wide Association study (GWAs) in Dutch population are associated with stroke recurrence, intracranial haemorrhage (ICH) and acenocoumarol maintenance dose in a Spanish population. We performed a GWAs using Human Core Exome-chip (Illumina) in 78 patients stroke patients treated with acenocoumarol for secondary prevention enrolled as part of the prospective investigator-initiated study (IIS) SEDMAN Study. Patients were followed-up a median of 12.8 months. Three and eight patients had recurrent stroke and ICH events, respectively. We found 14 of the 49 published variants associated with acenocoumarol maintenance dose (p &lt; 0.05). Six polymorphisms were associated with stroke recurrence and four variants with ICH (p &lt; 0.05). In conclusion, variants in VKORC1 and CYP2C9 are associated with acenocoumarol maintenance dose, stroke recurrence and ICH in a Spanish cohort. These results highlight the relevance of studying pharmacogenetics associated with efficacy and safety of anticoagulant drugs and justify studies with larger sample size and different ethnic populations.","container-title":"Scientific Reports","DOI":"10.1038/s41598-020-59641-9","ISSN":"2045-2322","issue":"1","journalAbbreviation":"Sci Rep","language":"en","license":"2020 The Author(s)","note":"publisher: Nature Publishing Group","page":"2806","source":"www.nature.com","title":"Genome-Wide Association Study of VKORC1 and CYP2C9 on acenocoumarol dose, stroke recurrence and intracranial haemorrhage in Spain","volume":"10","author":[{"family":"Cullell","given":"Natalia"},{"family":"Carrera","given":"Caty"},{"family":"Muiño","given":"Elena"},{"family":"Torres-Aguila","given":"Nuria-Paz"},{"family":"Cárcel-Márquez","given":"Jara"},{"family":"González-Sánchez","given":"Jonathan"},{"family":"Gallego-Fabrega","given":"Cristina"},{"family":"Molina","given":"Jessica"},{"family":"Besora","given":"Sarah"},{"family":"Sotoca","given":"Javier"},{"family":"Buongiorno","given":"Maria-Teresa"},{"family":"Jiménez-Conde","given":"Jordi"},{"family":"Giralt-Steinhauer","given":"Eva"},{"family":"Torres-Chacón","given":"Reyes","non-dropping-particle":"de"},{"family":"Montaner","given":"Joan"},{"family":"Mancha","given":"Fernando"},{"family":"Cabezas","given":"Juan A."},{"family":"Martí-Fàbregas","given":"Joan"},{"family":"Prats-Sánchez","given":"Luis"},{"family":"Camps-Renom","given":"Pol"},{"family":"Purroy","given":"Francisco"},{"family":"Cambray","given":"Serafi"},{"family":"Freijo","given":"María del Mar"},{"family":"Vives-Bauzá","given":"Cristòfol"},{"family":"Tur","given":"Silvia"},{"family":"Font","given":"Maria-Àngels"},{"family":"López-Cancio","given":"Elena"},{"family":"Hernandez-Perez","given":"Maria"},{"family":"Obach","given":"Victor"},{"family":"Calleja","given":"Ana"},{"family":"Arenillas","given":"Juan"},{"family":"Rodríguez-Yáñez","given":"Manuel"},{"family":"Castillo","given":"José"},{"family":"Sobrino","given":"Tomas"},{"family":"Fernández-Cádenas","given":"Israel"},{"family":"Krupinski","given":"Jerzy"}],"issued":{"date-parts":[["2020",2,18]]}},"label":"page"}],"schema":"https://github.com/citation-style-language/schema/raw/master/csl-citation.json"} </w:instrText>
      </w:r>
      <w:r w:rsidR="00282CC5" w:rsidRPr="00A02DAB">
        <w:rPr>
          <w:rFonts w:asciiTheme="minorBidi" w:hAnsiTheme="minorBidi"/>
          <w:sz w:val="20"/>
          <w:szCs w:val="20"/>
          <w:lang w:val="en-US"/>
        </w:rPr>
        <w:fldChar w:fldCharType="separate"/>
      </w:r>
      <w:r w:rsidR="00282CC5" w:rsidRPr="00A02DAB">
        <w:rPr>
          <w:rFonts w:asciiTheme="minorBidi" w:hAnsiTheme="minorBidi"/>
          <w:sz w:val="20"/>
          <w:szCs w:val="20"/>
          <w:lang w:val="en-US"/>
        </w:rPr>
        <w:t>(3,4)</w:t>
      </w:r>
      <w:r w:rsidR="00282CC5" w:rsidRPr="00A02DAB">
        <w:rPr>
          <w:rFonts w:asciiTheme="minorBidi" w:hAnsiTheme="minorBidi"/>
          <w:sz w:val="20"/>
          <w:szCs w:val="20"/>
          <w:lang w:val="en-US"/>
        </w:rPr>
        <w:fldChar w:fldCharType="end"/>
      </w:r>
      <w:r w:rsidRPr="00A02DAB">
        <w:rPr>
          <w:rFonts w:asciiTheme="minorBidi" w:hAnsiTheme="minorBidi"/>
          <w:sz w:val="20"/>
          <w:szCs w:val="20"/>
          <w:lang w:val="en-US"/>
        </w:rPr>
        <w:t>.</w:t>
      </w:r>
      <w:r w:rsidR="005000D6" w:rsidRPr="00A02DAB">
        <w:rPr>
          <w:rFonts w:asciiTheme="minorBidi" w:hAnsiTheme="minorBidi"/>
          <w:sz w:val="20"/>
          <w:szCs w:val="20"/>
          <w:lang w:val="en-US"/>
        </w:rPr>
        <w:t xml:space="preserve"> However, despite this INR-based individualized dosing approach, its use remains a significant challenge for clinicians. Indeed, </w:t>
      </w:r>
      <w:proofErr w:type="spellStart"/>
      <w:r w:rsidR="005000D6" w:rsidRPr="00A02DAB">
        <w:rPr>
          <w:rFonts w:asciiTheme="minorBidi" w:hAnsiTheme="minorBidi"/>
          <w:sz w:val="20"/>
          <w:szCs w:val="20"/>
          <w:lang w:val="en-US"/>
        </w:rPr>
        <w:t>underdosing</w:t>
      </w:r>
      <w:proofErr w:type="spellEnd"/>
      <w:r w:rsidR="005000D6" w:rsidRPr="00A02DAB">
        <w:rPr>
          <w:rFonts w:asciiTheme="minorBidi" w:hAnsiTheme="minorBidi"/>
          <w:sz w:val="20"/>
          <w:szCs w:val="20"/>
          <w:lang w:val="en-US"/>
        </w:rPr>
        <w:t xml:space="preserve"> can lead to thrombotic complications, while overdosing presents a risk of severe and potentially fatal bleeding </w:t>
      </w:r>
      <w:r w:rsidR="005000D6"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{"citationID":"hImCbFog","properties":{"formattedCitation":"(5)","plainCitation":"(5)","noteIndex":0},"citationItems":[{"id":360,"uris":["http://zotero.org/users/local/a5KFpvZM/items/YHJHZV2U"],"itemData":{"id":360,"type":"article-journal","abstract":"BACKGROUND: Vitamin K antagonists (VKAs) remain the mainstay of anticoagulation therapy, which requires monitoring of international normalised ratio (INR). Quality of oral anticoagulation, clinical benefits, and the risk related to VKA use are determined by the time in therapeutic range (TTR).\nAIM: The aim of this study was to assess the therapeutic quality of oral anticoagulation and to determine the factors that affect the incidence of INR outside the recommended range in primary care patients undergoing long-term VKA therapy in Poland.\nMETHODS: A multi-centre cross-sectional analysis was carried out in 15 general practices from three voivodeships of Poland. At the planned time, INRs measured closest to the designated date in all patients were assessed in terms of being within the therapeutic range. TTR was determined as the percentage of visits with INR in therapeutic range on a given date.\nRESULTS: Overall, 430 patients aged 70.3 ± 12.7 years (222 men aged 72 ± 12.8 years and 208 women aged 68.5 ± 12.4 years) were included in the study. In the groups with INR below, within, and above therapeutic range, the patients' age was 67.3 ± 13.4, 72 ± 12, and 70.5 ± 13 years (p = 0.001), respectively. TTR for all the participants was 55%. Statistically significant factors associated with INRs outside the therapeutic range were: age below 60 years (compared to older persons; p = 0.003), more or less frequent INR control compared to the recommended intervals of four to eight weeks (p &lt; 0.001), and the type of the VKA used, i.e. acenocoumarol compared to warfarin (p &lt; 0.001). Logarithmic regression analysis showed that the use of acenocoumarol compared to warfarin, increased the chances of INRs below therapeutic range (odds ratio [OR] 3.19; 95% confidence interval [Cl] 1.65-6.16), while male sex increased the probability of INR being above this range (OR 2.01; 95% Cl 1.12- 3.59).\nCONCLUSIONS: The TTR in primary care patients on VKA therapy was 55%. Better quality of oral anticoagulation with VKA could be achieved by using warfarin instead of acenocoumarol, proper INR monitoring in the recommended interval of four to eight weeks, and tighter INR control in younger and male patients.","container-title":"Kardiologia Polska","DOI":"10.5603/KP.2018.0011","ISSN":"1897-4279","issue":"4","journalAbbreviation":"Kardiol Pol","language":"eng","note":"PMID: 29313558","page":"764-769","source":"PubMed","title":"Quality control of oral anticoagulation with vitamin K antagonists in primary care patients in Poland: a multi-centre study","title-short":"Quality control of oral anticoagulation with vitamin K antagonists in primary care patients in Poland","volume":"76","author":[{"family":"Sawicka-Powierza","given":"Jolanta"},{"family":"Buczkowski","given":"Krzysztof"},{"family":"Chlabicz","given":"Sławomir"},{"family":"Gugnowski","given":"Zbigniew"},{"family":"Powierza","given":"Katarzyna"},{"family":"Ołtarzewska","given":"Alicja Małgorzata"}],"issued":{"date-parts":[["2018"]]}}}],"schema":"https://github.com/citation-style-language/schema/raw/master/csl-citation.json"} </w:instrText>
      </w:r>
      <w:r w:rsidR="005000D6"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(5)</w:t>
      </w:r>
      <w:r w:rsidR="005000D6" w:rsidRPr="00A02DAB">
        <w:rPr>
          <w:rFonts w:asciiTheme="minorBidi" w:hAnsiTheme="minorBidi"/>
          <w:sz w:val="20"/>
          <w:szCs w:val="20"/>
          <w:lang w:val="en-US"/>
        </w:rPr>
        <w:fldChar w:fldCharType="end"/>
      </w:r>
      <w:r w:rsidR="005000D6" w:rsidRPr="00A02DAB">
        <w:rPr>
          <w:rFonts w:asciiTheme="minorBidi" w:hAnsiTheme="minorBidi"/>
          <w:sz w:val="20"/>
          <w:szCs w:val="20"/>
          <w:lang w:val="en-US"/>
        </w:rPr>
        <w:t>.</w:t>
      </w:r>
    </w:p>
    <w:p w14:paraId="403EC689" w14:textId="464069E9" w:rsidR="002F267D" w:rsidRPr="00A02DAB" w:rsidRDefault="002F267D" w:rsidP="005000D6">
      <w:pPr>
        <w:spacing w:before="240"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In this context, the objective of this work was to evaluate the quality of anticoagulation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at the </w:t>
      </w:r>
      <w:r w:rsidR="00B033B6" w:rsidRPr="00A02DAB">
        <w:rPr>
          <w:rFonts w:asciiTheme="minorBidi" w:hAnsiTheme="minorBidi"/>
          <w:sz w:val="20"/>
          <w:szCs w:val="20"/>
          <w:lang w:val="en-US"/>
        </w:rPr>
        <w:t>University and</w:t>
      </w:r>
      <w:r w:rsidRPr="00A02DAB">
        <w:rPr>
          <w:rFonts w:asciiTheme="minorBidi" w:hAnsiTheme="minorBidi"/>
          <w:sz w:val="20"/>
          <w:szCs w:val="20"/>
          <w:lang w:val="en-US"/>
        </w:rPr>
        <w:t xml:space="preserve"> Hospital Establishment of Oran, Algeria.</w:t>
      </w:r>
    </w:p>
    <w:p w14:paraId="65FBCA6E" w14:textId="0DA6BBAD" w:rsidR="000443E5" w:rsidRPr="00A02DAB" w:rsidRDefault="000443E5" w:rsidP="00A02DAB">
      <w:pPr>
        <w:pStyle w:val="ListParagraph"/>
        <w:numPr>
          <w:ilvl w:val="0"/>
          <w:numId w:val="1"/>
        </w:numPr>
        <w:tabs>
          <w:tab w:val="left" w:pos="1380"/>
        </w:tabs>
        <w:spacing w:before="240" w:after="200" w:line="480" w:lineRule="auto"/>
        <w:rPr>
          <w:rFonts w:asciiTheme="minorBidi" w:eastAsiaTheme="minorHAnsi" w:hAnsiTheme="minorBidi"/>
          <w:b/>
          <w:bCs/>
          <w:sz w:val="20"/>
          <w:szCs w:val="20"/>
          <w:lang w:val="en-US"/>
        </w:rPr>
      </w:pPr>
      <w:r w:rsidRPr="00A02DAB">
        <w:rPr>
          <w:rFonts w:asciiTheme="minorBidi" w:eastAsiaTheme="minorHAnsi" w:hAnsiTheme="minorBidi"/>
          <w:b/>
          <w:bCs/>
          <w:sz w:val="20"/>
          <w:szCs w:val="20"/>
          <w:lang w:val="en-US"/>
        </w:rPr>
        <w:t>MATERIALS AND METHODS:</w:t>
      </w:r>
    </w:p>
    <w:p w14:paraId="0791DCAB" w14:textId="7AA3CD28" w:rsidR="000443E5" w:rsidRPr="00A02DAB" w:rsidRDefault="000443E5" w:rsidP="00A02DAB">
      <w:pPr>
        <w:pStyle w:val="ListParagraph"/>
        <w:numPr>
          <w:ilvl w:val="1"/>
          <w:numId w:val="4"/>
        </w:numPr>
        <w:spacing w:line="276" w:lineRule="auto"/>
        <w:rPr>
          <w:rFonts w:asciiTheme="minorBidi" w:hAnsiTheme="minorBidi"/>
          <w:b/>
          <w:bCs/>
          <w:i/>
          <w:iCs/>
          <w:sz w:val="20"/>
          <w:szCs w:val="20"/>
          <w:lang w:val="en-US"/>
        </w:rPr>
      </w:pPr>
      <w:r w:rsidRPr="00A02DAB">
        <w:rPr>
          <w:rFonts w:asciiTheme="minorBidi" w:hAnsiTheme="minorBidi"/>
          <w:b/>
          <w:bCs/>
          <w:i/>
          <w:iCs/>
          <w:sz w:val="20"/>
          <w:szCs w:val="20"/>
          <w:lang w:val="en-US"/>
        </w:rPr>
        <w:t>Patients</w:t>
      </w:r>
    </w:p>
    <w:p w14:paraId="3BAEBBD6" w14:textId="4EE97962" w:rsidR="00A5727A" w:rsidRPr="00A02DAB" w:rsidRDefault="00A5727A" w:rsidP="001765E9">
      <w:pPr>
        <w:spacing w:after="160" w:line="360" w:lineRule="auto"/>
        <w:ind w:left="420" w:firstLine="0"/>
        <w:jc w:val="both"/>
        <w:rPr>
          <w:rFonts w:asciiTheme="minorBidi" w:hAnsiTheme="minorBidi"/>
          <w:sz w:val="20"/>
          <w:szCs w:val="20"/>
          <w:lang w:val="en-US"/>
        </w:rPr>
      </w:pPr>
      <w:r w:rsidRPr="00A02DAB">
        <w:rPr>
          <w:rFonts w:asciiTheme="minorBidi" w:hAnsiTheme="minorBidi"/>
          <w:sz w:val="20"/>
          <w:szCs w:val="20"/>
          <w:lang w:val="en-US"/>
        </w:rPr>
        <w:t>A prospective, cross-sectional descriptive study was conducted over a five-month period, from January 5th to the end of May 2025, at the Pharmacovigilance Department</w:t>
      </w:r>
      <w:r w:rsidR="00B352D9" w:rsidRPr="00A02DAB">
        <w:rPr>
          <w:rFonts w:asciiTheme="minorBidi" w:hAnsiTheme="minorBidi"/>
          <w:sz w:val="20"/>
          <w:szCs w:val="20"/>
          <w:lang w:val="en-US"/>
        </w:rPr>
        <w:t xml:space="preserve"> </w:t>
      </w:r>
      <w:r w:rsidRPr="00A02DAB">
        <w:rPr>
          <w:rFonts w:asciiTheme="minorBidi" w:hAnsiTheme="minorBidi"/>
          <w:sz w:val="20"/>
          <w:szCs w:val="20"/>
          <w:lang w:val="en-US"/>
        </w:rPr>
        <w:t>of the University and Hospital Establishment (UHE) of Oran</w:t>
      </w:r>
      <w:r w:rsidR="00B352D9" w:rsidRPr="00A02DAB">
        <w:rPr>
          <w:rFonts w:asciiTheme="minorBidi" w:hAnsiTheme="minorBidi"/>
          <w:sz w:val="20"/>
          <w:szCs w:val="20"/>
          <w:lang w:val="en-US"/>
        </w:rPr>
        <w:t xml:space="preserve"> in collaboration with the Cardiology </w:t>
      </w:r>
      <w:proofErr w:type="spellStart"/>
      <w:r w:rsidR="00B352D9" w:rsidRPr="00A02DAB">
        <w:rPr>
          <w:rFonts w:asciiTheme="minorBidi" w:hAnsiTheme="minorBidi"/>
          <w:sz w:val="20"/>
          <w:szCs w:val="20"/>
          <w:lang w:val="en-US"/>
        </w:rPr>
        <w:t>Departement</w:t>
      </w:r>
      <w:proofErr w:type="spellEnd"/>
      <w:r w:rsidR="00B352D9" w:rsidRPr="00A02DAB">
        <w:rPr>
          <w:rFonts w:asciiTheme="minorBidi" w:hAnsiTheme="minorBidi"/>
          <w:sz w:val="20"/>
          <w:szCs w:val="20"/>
          <w:lang w:val="en-US"/>
        </w:rPr>
        <w:t xml:space="preserve"> of the same hospital</w:t>
      </w:r>
      <w:r w:rsidRPr="00A02DAB">
        <w:rPr>
          <w:rFonts w:asciiTheme="minorBidi" w:hAnsiTheme="minorBidi"/>
          <w:sz w:val="20"/>
          <w:szCs w:val="20"/>
          <w:lang w:val="en-US"/>
        </w:rPr>
        <w:t xml:space="preserve">, in Algeria. It included adult patients (≥18 years), of both sexes, treated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for various conditions. Patients treated with an anticoagulant other than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or with missing data were excluded.</w:t>
      </w:r>
    </w:p>
    <w:p w14:paraId="049197EE" w14:textId="12AC37B8" w:rsidR="000443E5" w:rsidRPr="00A02DAB" w:rsidRDefault="000443E5" w:rsidP="00A02DAB">
      <w:pPr>
        <w:pStyle w:val="ListParagraph"/>
        <w:numPr>
          <w:ilvl w:val="1"/>
          <w:numId w:val="4"/>
        </w:numPr>
        <w:spacing w:line="360" w:lineRule="auto"/>
        <w:jc w:val="both"/>
        <w:rPr>
          <w:rFonts w:asciiTheme="minorBidi" w:hAnsiTheme="minorBidi"/>
          <w:b/>
          <w:bCs/>
          <w:i/>
          <w:iCs/>
          <w:sz w:val="20"/>
          <w:szCs w:val="20"/>
          <w:lang w:val="en-US"/>
        </w:rPr>
      </w:pPr>
      <w:r w:rsidRPr="00A02DAB">
        <w:rPr>
          <w:rFonts w:asciiTheme="minorBidi" w:hAnsiTheme="minorBidi"/>
          <w:b/>
          <w:bCs/>
          <w:i/>
          <w:iCs/>
          <w:sz w:val="20"/>
          <w:szCs w:val="20"/>
          <w:lang w:val="en-US"/>
        </w:rPr>
        <w:t>Data collection</w:t>
      </w:r>
    </w:p>
    <w:p w14:paraId="660D58D7" w14:textId="09BAE69C" w:rsidR="000443E5" w:rsidRPr="00A02DAB" w:rsidRDefault="00600A20" w:rsidP="00A02DAB">
      <w:pPr>
        <w:spacing w:line="480" w:lineRule="auto"/>
        <w:jc w:val="both"/>
        <w:rPr>
          <w:rFonts w:asciiTheme="minorBidi" w:hAnsiTheme="minorBidi"/>
          <w:sz w:val="20"/>
          <w:szCs w:val="20"/>
          <w:lang w:val="en-US"/>
        </w:rPr>
      </w:pPr>
      <w:r w:rsidRPr="00A02DAB">
        <w:rPr>
          <w:rFonts w:asciiTheme="minorBidi" w:hAnsiTheme="minorBidi"/>
          <w:sz w:val="20"/>
          <w:szCs w:val="20"/>
          <w:lang w:val="en-US"/>
        </w:rPr>
        <w:t>Demographic (sex, age, weight), clinical (medical history, comorbidities, indication, complications) and therapeutic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dosage, associated treatment) data and biological monitoring of each patient were collected throughout the study.</w:t>
      </w:r>
    </w:p>
    <w:p w14:paraId="29161689" w14:textId="42CA6221" w:rsidR="000443E5" w:rsidRPr="00A02DAB" w:rsidRDefault="00586872" w:rsidP="000C38EC">
      <w:pPr>
        <w:pStyle w:val="ListParagraph"/>
        <w:numPr>
          <w:ilvl w:val="1"/>
          <w:numId w:val="4"/>
        </w:numPr>
        <w:spacing w:line="276" w:lineRule="auto"/>
        <w:jc w:val="both"/>
        <w:rPr>
          <w:rFonts w:asciiTheme="minorBidi" w:hAnsiTheme="minorBidi"/>
          <w:b/>
          <w:bCs/>
          <w:i/>
          <w:iCs/>
          <w:sz w:val="20"/>
          <w:szCs w:val="20"/>
          <w:lang w:val="en-US"/>
        </w:rPr>
      </w:pPr>
      <w:proofErr w:type="spellStart"/>
      <w:r w:rsidRPr="00A02DAB">
        <w:rPr>
          <w:rFonts w:asciiTheme="minorBidi" w:hAnsiTheme="minorBidi"/>
          <w:b/>
          <w:bCs/>
          <w:i/>
          <w:iCs/>
          <w:sz w:val="20"/>
          <w:szCs w:val="20"/>
          <w:lang w:val="en-US"/>
        </w:rPr>
        <w:t>Acenocoumarol</w:t>
      </w:r>
      <w:proofErr w:type="spellEnd"/>
      <w:r w:rsidRPr="00A02DAB">
        <w:rPr>
          <w:rFonts w:asciiTheme="minorBidi" w:hAnsiTheme="minorBidi"/>
          <w:b/>
          <w:bCs/>
          <w:i/>
          <w:iCs/>
          <w:sz w:val="20"/>
          <w:szCs w:val="20"/>
          <w:lang w:val="en-US"/>
        </w:rPr>
        <w:t xml:space="preserve"> </w:t>
      </w:r>
      <w:r w:rsidR="000443E5" w:rsidRPr="00A02DAB">
        <w:rPr>
          <w:rFonts w:asciiTheme="minorBidi" w:hAnsiTheme="minorBidi"/>
          <w:b/>
          <w:bCs/>
          <w:i/>
          <w:iCs/>
          <w:sz w:val="20"/>
          <w:szCs w:val="20"/>
          <w:lang w:val="en-US"/>
        </w:rPr>
        <w:t xml:space="preserve">Therapeutic Monitoring </w:t>
      </w:r>
    </w:p>
    <w:p w14:paraId="138567D2" w14:textId="205A53D7" w:rsidR="000C38EC" w:rsidRPr="00A02DAB" w:rsidRDefault="000C38EC" w:rsidP="00BC339F">
      <w:pPr>
        <w:spacing w:line="360" w:lineRule="auto"/>
        <w:jc w:val="both"/>
        <w:rPr>
          <w:rFonts w:asciiTheme="minorBidi" w:hAnsiTheme="minorBidi"/>
          <w:sz w:val="20"/>
          <w:szCs w:val="20"/>
          <w:lang w:val="en-US"/>
        </w:rPr>
      </w:pPr>
      <w:r w:rsidRPr="00A02DAB">
        <w:rPr>
          <w:rFonts w:asciiTheme="minorBidi" w:hAnsiTheme="minorBidi"/>
          <w:sz w:val="20"/>
          <w:szCs w:val="20"/>
          <w:lang w:val="en-US"/>
        </w:rPr>
        <w:t xml:space="preserve">Biological monitoring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was performed using the International Normalized Ratio (INR). The goal was to achieve an INR between 2 and 3 in most cases, with a target value of 2.5. An INR below 2 indicated insufficient anticoagulation, increasing the risk of blood clot formation. Conversely, an INR above 3 reflected excessive anticoagulation. An INR above 5 was associated with a significant bleeding risk requiring prompt intervention to adjust the treatment.</w:t>
      </w:r>
    </w:p>
    <w:p w14:paraId="34187B17" w14:textId="62254FB1" w:rsidR="000C38EC" w:rsidRDefault="000C38EC" w:rsidP="005000D6">
      <w:pPr>
        <w:spacing w:line="360" w:lineRule="auto"/>
        <w:jc w:val="both"/>
        <w:rPr>
          <w:rFonts w:asciiTheme="minorBidi" w:hAnsiTheme="minorBidi"/>
          <w:sz w:val="20"/>
          <w:szCs w:val="20"/>
          <w:lang w:val="en-US"/>
        </w:rPr>
      </w:pPr>
      <w:r w:rsidRPr="00A02DAB">
        <w:rPr>
          <w:rFonts w:asciiTheme="minorBidi" w:hAnsiTheme="minorBidi"/>
          <w:sz w:val="20"/>
          <w:szCs w:val="20"/>
          <w:lang w:val="en-US"/>
        </w:rPr>
        <w:t xml:space="preserve">Time in Therapeutic Range (TTR) is a measure used to assess the quality of anticoagulant control in patients treated with oral anticoagulants such as warfarin or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It is determined using the </w:t>
      </w:r>
      <w:proofErr w:type="spellStart"/>
      <w:r w:rsidRPr="00A02DAB">
        <w:rPr>
          <w:rFonts w:asciiTheme="minorBidi" w:hAnsiTheme="minorBidi"/>
          <w:sz w:val="20"/>
          <w:szCs w:val="20"/>
          <w:lang w:val="en-US"/>
        </w:rPr>
        <w:t>Rosendaal</w:t>
      </w:r>
      <w:proofErr w:type="spellEnd"/>
      <w:r w:rsidRPr="00A02DAB">
        <w:rPr>
          <w:rFonts w:asciiTheme="minorBidi" w:hAnsiTheme="minorBidi"/>
          <w:sz w:val="20"/>
          <w:szCs w:val="20"/>
          <w:lang w:val="en-US"/>
        </w:rPr>
        <w:t xml:space="preserve"> method, which relies on linear interpolation between each two successive INR measurements throughout the follow-up period</w:t>
      </w:r>
      <w:r w:rsidR="00FE563D" w:rsidRPr="00A02DAB">
        <w:rPr>
          <w:rFonts w:asciiTheme="minorBidi" w:hAnsiTheme="minorBidi"/>
          <w:sz w:val="20"/>
          <w:szCs w:val="20"/>
          <w:lang w:val="en-US"/>
        </w:rPr>
        <w:t xml:space="preserve"> </w:t>
      </w:r>
      <w:r w:rsidR="00FE563D"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5pJpjvJ0","properties":{"formattedCitation":"(6)","plainCitation":"(6)","noteIndex":0},"citationItems":[{"id":310,"uris":["http://zotero.org/users/local/a5KFpvZM/items/79LRBRG5"],"itemData":{"id":310,"type":"article-journal","abstract":"Résumé\nIntroduction\nMalgré l’essor des prescriptions d’anticoagulants oraux directs (AOD), les antagonistes de la vitamine K (antivitaminesK [AVK]) restent le traitement de choix pour traiter et prévenir les évènements thromboemboliques au long cours. La morbi-mortalité des AVK est en partie due à la difficulté de maintenir le patient dans sa fourchette thérapeutique. Pour les patients sous antivitamine K (AVK), le temps passé dans la zone thérapeutique (time in therapeutic range [TTR]) est un paramètre de qualité du traitement, largement utilisé dans les essais cliniques mais rarement par les prescripteurs. Sa corrélation avec le risque de survenue d’accident hémorragique ou thrombotique et la mortalité a été établie. Nous avons étudié ce paramètre sur une cohorte de patients pour évaluer la qualité de leur suivi thérapeutique et tenter d’identifier les facteurs de risque de mauvais TTR.\nMatériel et méthode\nNous avons inclus 3387 patients, soit 24 029 INR grâce à la collaboration de LaboSud Oc Biologie durant 4 mois. Nous avons calculé les TTR patient. Le laboratoire nous a transmis le sexe et l’âge de chacun des patients ainsi que la molécule AVK utilisée, la fourchette thérapeutique et la spécialité du médecin prescripteur. Nous avons alors analysé les odds ratio associés à ces facteurs.\nRésultats\nLe TTR moyen était de 68 %, proche des TTR recommandés par les sociétés savantes. Le sexe féminin est le seul facteur statistiquement corrélé à un mauvais équilibre sous AVK (OR=1,22, IC95 % : 1,06–1,39, p=0,00552). De nombreux facteurs habituellement corrélés à un mauvais équilibre sous AVK n’ont pas été étudiés du fait d’un manque d’informations.\nConclusion\nAvec, dans notre cohorte un TTR proche des 70 % recommandés, il n’y aurait pas de bénéfice en termes de sécurité à préférer les AOD pour les patients de l’Hérault, surtout dans un contexte de restriction économique. Le suivi régulier du TTR individuel des patients et des TTR de cohorte devrait permettre d’optimiser la prise en charge des patients sous AVK.\nSummary\nIntroduction\nDespite the increasing utilization of direct oral anticoagulant (DOAC) prescriptions, vitamin K antagonists (VKAs) remain the treatment of choice for treating and preventing thromboembolic events. The morbidity and mortality of VKAs are partly due to the difficulty of keeping the patient within the therapeutic range. For patients treated by VKA, time in therapeutic range (TTR) is a quality parameter of treatment, widely used in clinical trials but rarely by prescribers. It is well established that its use correlates with the risk of hemorrhage, thrombosis or mortality. We studied this parameter in a cohort of patients to evaluate the quality of their therapeutic follow-up and tried to identify risk factors for low TTR.\nMethods\nThe study was made in collaboration with LaboSud Oc Biologie for a duration of 4 months. It included 3387 patients representing 2,4029 INR. We calculated the patients’ TTR. The laboratory transmitted to us the sex and age of each patient and the VKA molecule used, the therapeutic range and the specialty of the prescriber. We then analyzed the odds ratio associated with these different factors.\nResults\nThe mean TTR was 68%, close to the TTR recommended by scientific societies. Patient's sex was the only statistically correlated factor, with a worse equilibrium in females taking VKAs (OR=1.22, 95% CI: 1.06–1.39, P=0.00552). Many factors usually correlated with poor equilibrium under VKA have not been studied due to lack of information.\nConclusion\nGiven the context of economic restriction and the TTR of our cohort close to the recommended 70%, there would be no benefit in terms of safety to prefer DOAC for the patients involved in this study. Regular monitoring of the individual patient's as well as the cohort's TTR should optimize the management of patients receiving VKAs.","container-title":"JMV-Journal de Médecine Vasculaire","DOI":"10.1016/j.jdmv.2018.02.001","ISSN":"2542-4513","issue":"3","journalAbbreviation":"JMV-Journal de Médecine Vasculaire","page":"155-162","source":"ScienceDirect","title":"Utilité du TTR (temps passé dans la cible thérapeutique) dans le suivi des patients sous antivitamine K : analyse d’une cohorte de patients","title-short":"Utilité du TTR (temps passé dans la cible thérapeutique) dans le suivi des patients sous antivitamine K","volume":"43","author":[{"family":"Valdelièvre","given":"E."},{"family":"Quéré","given":"I."},{"family":"Caré","given":"B."},{"family":"Laroche","given":"J. P."},{"family":"Schved","given":"J. F."}],"issued":{"date-parts":[["2018",5,1]]}}}],"schema":"https://github.com/citation-style-language/schema/raw/master/csl-citation.json"} </w:instrText>
      </w:r>
      <w:r w:rsidR="00FE563D"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(6)</w:t>
      </w:r>
      <w:r w:rsidR="00FE563D" w:rsidRPr="00A02DAB">
        <w:rPr>
          <w:rFonts w:asciiTheme="minorBidi" w:hAnsiTheme="minorBidi"/>
          <w:sz w:val="20"/>
          <w:szCs w:val="20"/>
          <w:lang w:val="en-US"/>
        </w:rPr>
        <w:fldChar w:fldCharType="end"/>
      </w:r>
      <w:r w:rsidR="00FE563D" w:rsidRPr="00A02DAB">
        <w:rPr>
          <w:rFonts w:asciiTheme="minorBidi" w:hAnsiTheme="minorBidi"/>
          <w:sz w:val="20"/>
          <w:szCs w:val="20"/>
          <w:lang w:val="en-US"/>
        </w:rPr>
        <w:t xml:space="preserve">. </w:t>
      </w:r>
      <w:r w:rsidRPr="00A02DAB">
        <w:rPr>
          <w:rFonts w:asciiTheme="minorBidi" w:hAnsiTheme="minorBidi"/>
          <w:sz w:val="20"/>
          <w:szCs w:val="20"/>
          <w:lang w:val="en-US"/>
        </w:rPr>
        <w:t>Each patient's TTR is calculated using the following formula: TTR = (Total number of days with INR in the therapeutic range / Total number of days between the first and last INR measurements) × 100. A TTR ≥70% indicates a very good anticoagulant control, a TTR between 60 and 69% reports a good control, between 50 and 59% a poor control, and finally, a TTR &gt;50% a poor anticoagulant control</w:t>
      </w:r>
      <w:r w:rsidR="0081677C" w:rsidRPr="00A02DAB">
        <w:rPr>
          <w:rFonts w:asciiTheme="minorBidi" w:hAnsiTheme="minorBidi"/>
          <w:sz w:val="20"/>
          <w:szCs w:val="20"/>
          <w:lang w:val="en-US"/>
        </w:rPr>
        <w:t xml:space="preserve"> </w:t>
      </w:r>
      <w:r w:rsidR="0081677C"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{"citationID":"vLKUovMy","properties":{"formattedCitation":"(7)","plainCitation":"(7)","noteIndex":0},"citationItems":[{"id":312,"uris":["http://zotero.org/users/local/a5KFpvZM/items/6XRNSRN8"],"itemData":{"id":312,"type":"article-journal","abstract":"Introduction and objectivesTo study the prevalence of poorly controlled vitamin K antagonist anticoagulation in Spain in patients with nonvalvular atrial fibrillation, and to identify associa","container-title":"Revista Española de Cardiología (English Edition)","DOI":"10.1016/j.rec.2014.11.019","ISSN":"1885-5857","issue":"9","language":"en","note":"publisher: Elsevier","page":"761-768","source":"www.revespcardiol.org","title":"Quality of Vitamin K Antagonist Anticoagulation in Spain: Prevalence of Poor Control and Associated Factors","title-short":"Quality of Vitamin K Antagonist Anticoagulation in Spain","volume":"68","author":[{"literal":"Manuel Anguita Sánchez"},{"literal":"Vicente Bertomeu Martínez"},{"literal":"Ángel Cequier Fillat"},{"literal":"Collaborators"}],"issued":{"date-parts":[["2015",9,1]]}}}],"schema":"https://github.com/citation-style-language/schema/raw/master/csl-citation.json"} </w:instrText>
      </w:r>
      <w:r w:rsidR="0081677C"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(7)</w:t>
      </w:r>
      <w:r w:rsidR="0081677C" w:rsidRPr="00A02DAB">
        <w:rPr>
          <w:rFonts w:asciiTheme="minorBidi" w:hAnsiTheme="minorBidi"/>
          <w:sz w:val="20"/>
          <w:szCs w:val="20"/>
          <w:lang w:val="en-US"/>
        </w:rPr>
        <w:fldChar w:fldCharType="end"/>
      </w:r>
      <w:r w:rsidR="0081677C" w:rsidRPr="00A02DAB">
        <w:rPr>
          <w:rFonts w:asciiTheme="minorBidi" w:hAnsiTheme="minorBidi"/>
          <w:sz w:val="20"/>
          <w:szCs w:val="20"/>
          <w:lang w:val="en-US"/>
        </w:rPr>
        <w:t>.</w:t>
      </w:r>
    </w:p>
    <w:p w14:paraId="252EBD4D" w14:textId="77777777" w:rsidR="00A02DAB" w:rsidRDefault="00A02DAB" w:rsidP="005000D6">
      <w:pPr>
        <w:spacing w:line="360" w:lineRule="auto"/>
        <w:jc w:val="both"/>
        <w:rPr>
          <w:rFonts w:asciiTheme="minorBidi" w:hAnsiTheme="minorBidi"/>
          <w:sz w:val="20"/>
          <w:szCs w:val="20"/>
          <w:lang w:val="en-US"/>
        </w:rPr>
      </w:pPr>
    </w:p>
    <w:p w14:paraId="440466A1" w14:textId="77777777" w:rsidR="00A02DAB" w:rsidRDefault="00A02DAB" w:rsidP="005000D6">
      <w:pPr>
        <w:spacing w:line="360" w:lineRule="auto"/>
        <w:jc w:val="both"/>
        <w:rPr>
          <w:rFonts w:asciiTheme="minorBidi" w:hAnsiTheme="minorBidi"/>
          <w:sz w:val="20"/>
          <w:szCs w:val="20"/>
          <w:lang w:val="en-US"/>
        </w:rPr>
      </w:pPr>
    </w:p>
    <w:p w14:paraId="33A3047E" w14:textId="77777777" w:rsidR="00A02DAB" w:rsidRDefault="00A02DAB" w:rsidP="005000D6">
      <w:pPr>
        <w:spacing w:line="360" w:lineRule="auto"/>
        <w:jc w:val="both"/>
        <w:rPr>
          <w:rFonts w:asciiTheme="minorBidi" w:hAnsiTheme="minorBidi"/>
          <w:sz w:val="20"/>
          <w:szCs w:val="20"/>
          <w:lang w:val="en-US"/>
        </w:rPr>
      </w:pPr>
    </w:p>
    <w:p w14:paraId="0B8AB548" w14:textId="77777777" w:rsidR="00A02DAB" w:rsidRPr="00A02DAB" w:rsidRDefault="00A02DAB" w:rsidP="005000D6">
      <w:pPr>
        <w:spacing w:line="360" w:lineRule="auto"/>
        <w:jc w:val="both"/>
        <w:rPr>
          <w:rFonts w:asciiTheme="minorBidi" w:hAnsiTheme="minorBidi"/>
          <w:sz w:val="20"/>
          <w:szCs w:val="20"/>
          <w:lang w:val="en-US"/>
        </w:rPr>
      </w:pPr>
    </w:p>
    <w:p w14:paraId="3CE23547" w14:textId="77777777" w:rsidR="00586872" w:rsidRPr="00A02DAB" w:rsidRDefault="00586872" w:rsidP="003A052B">
      <w:pPr>
        <w:spacing w:line="276" w:lineRule="auto"/>
        <w:ind w:firstLine="0"/>
        <w:jc w:val="both"/>
        <w:rPr>
          <w:rFonts w:asciiTheme="minorBidi" w:hAnsiTheme="minorBidi"/>
          <w:b/>
          <w:bCs/>
          <w:i/>
          <w:iCs/>
          <w:sz w:val="20"/>
          <w:szCs w:val="20"/>
          <w:lang w:val="en-US"/>
        </w:rPr>
      </w:pPr>
    </w:p>
    <w:p w14:paraId="4A202142" w14:textId="53B75FC7" w:rsidR="000443E5" w:rsidRPr="00A02DAB" w:rsidRDefault="000443E5" w:rsidP="003C61B9">
      <w:pPr>
        <w:pStyle w:val="ListParagraph"/>
        <w:numPr>
          <w:ilvl w:val="1"/>
          <w:numId w:val="4"/>
        </w:numPr>
        <w:spacing w:line="276" w:lineRule="auto"/>
        <w:jc w:val="both"/>
        <w:rPr>
          <w:rFonts w:asciiTheme="minorBidi" w:hAnsiTheme="minorBidi"/>
          <w:b/>
          <w:bCs/>
          <w:i/>
          <w:iCs/>
          <w:sz w:val="20"/>
          <w:szCs w:val="20"/>
          <w:lang w:val="fr-CA"/>
        </w:rPr>
      </w:pPr>
      <w:proofErr w:type="spellStart"/>
      <w:r w:rsidRPr="00A02DAB">
        <w:rPr>
          <w:rFonts w:asciiTheme="minorBidi" w:hAnsiTheme="minorBidi"/>
          <w:b/>
          <w:bCs/>
          <w:i/>
          <w:iCs/>
          <w:sz w:val="20"/>
          <w:szCs w:val="20"/>
          <w:lang w:val="fr-CA"/>
        </w:rPr>
        <w:t>Statistical</w:t>
      </w:r>
      <w:proofErr w:type="spellEnd"/>
      <w:r w:rsidRPr="00A02DAB">
        <w:rPr>
          <w:rFonts w:asciiTheme="minorBidi" w:hAnsiTheme="minorBidi"/>
          <w:b/>
          <w:bCs/>
          <w:i/>
          <w:iCs/>
          <w:sz w:val="20"/>
          <w:szCs w:val="20"/>
          <w:lang w:val="fr-CA"/>
        </w:rPr>
        <w:t xml:space="preserve"> </w:t>
      </w:r>
      <w:proofErr w:type="spellStart"/>
      <w:r w:rsidRPr="00A02DAB">
        <w:rPr>
          <w:rFonts w:asciiTheme="minorBidi" w:hAnsiTheme="minorBidi"/>
          <w:b/>
          <w:bCs/>
          <w:i/>
          <w:iCs/>
          <w:sz w:val="20"/>
          <w:szCs w:val="20"/>
          <w:lang w:val="fr-CA"/>
        </w:rPr>
        <w:t>analysis</w:t>
      </w:r>
      <w:proofErr w:type="spellEnd"/>
    </w:p>
    <w:p w14:paraId="7D336528" w14:textId="0180E626" w:rsidR="00D02127" w:rsidRPr="00A02DAB" w:rsidRDefault="000443E5" w:rsidP="00D02127">
      <w:pPr>
        <w:spacing w:line="480" w:lineRule="auto"/>
        <w:jc w:val="both"/>
        <w:rPr>
          <w:rFonts w:asciiTheme="minorBidi" w:hAnsiTheme="minorBidi"/>
          <w:sz w:val="20"/>
          <w:szCs w:val="20"/>
          <w:lang w:val="en-US"/>
        </w:rPr>
      </w:pPr>
      <w:r w:rsidRPr="00A02DAB">
        <w:rPr>
          <w:rFonts w:asciiTheme="minorBidi" w:hAnsiTheme="minorBidi"/>
          <w:sz w:val="20"/>
          <w:szCs w:val="20"/>
          <w:lang w:val="en-US"/>
        </w:rPr>
        <w:t xml:space="preserve">Statistical analysis was carried out using SPSS software “Statistical Package for the Social Scientists” version 20. </w:t>
      </w:r>
      <w:r w:rsidR="00D02127" w:rsidRPr="00A02DAB">
        <w:rPr>
          <w:rFonts w:asciiTheme="minorBidi" w:hAnsiTheme="minorBidi"/>
          <w:sz w:val="20"/>
          <w:szCs w:val="20"/>
          <w:lang w:val="en-US"/>
        </w:rPr>
        <w:t>Q</w:t>
      </w:r>
      <w:r w:rsidRPr="00A02DAB">
        <w:rPr>
          <w:rFonts w:asciiTheme="minorBidi" w:hAnsiTheme="minorBidi"/>
          <w:sz w:val="20"/>
          <w:szCs w:val="20"/>
          <w:lang w:val="en-US"/>
        </w:rPr>
        <w:t>uantitative variables were represented as means ± standard deviation</w:t>
      </w:r>
      <w:r w:rsidR="00422067" w:rsidRPr="00A02DAB">
        <w:rPr>
          <w:rFonts w:asciiTheme="minorBidi" w:hAnsiTheme="minorBidi"/>
          <w:sz w:val="20"/>
          <w:szCs w:val="20"/>
          <w:lang w:val="en-US"/>
        </w:rPr>
        <w:t xml:space="preserve"> (SD)</w:t>
      </w:r>
      <w:r w:rsidRPr="00A02DAB">
        <w:rPr>
          <w:rFonts w:asciiTheme="minorBidi" w:hAnsiTheme="minorBidi"/>
          <w:sz w:val="20"/>
          <w:szCs w:val="20"/>
          <w:lang w:val="en-US"/>
        </w:rPr>
        <w:t xml:space="preserve"> [min</w:t>
      </w:r>
      <w:r w:rsidR="00422067" w:rsidRPr="00A02DAB">
        <w:rPr>
          <w:rFonts w:asciiTheme="minorBidi" w:hAnsiTheme="minorBidi"/>
          <w:sz w:val="20"/>
          <w:szCs w:val="20"/>
          <w:lang w:val="en-US"/>
        </w:rPr>
        <w:t>imum</w:t>
      </w:r>
      <w:r w:rsidRPr="00A02DAB">
        <w:rPr>
          <w:rFonts w:asciiTheme="minorBidi" w:hAnsiTheme="minorBidi"/>
          <w:sz w:val="20"/>
          <w:szCs w:val="20"/>
          <w:lang w:val="en-US"/>
        </w:rPr>
        <w:t>-max</w:t>
      </w:r>
      <w:r w:rsidR="00422067" w:rsidRPr="00A02DAB">
        <w:rPr>
          <w:rFonts w:asciiTheme="minorBidi" w:hAnsiTheme="minorBidi"/>
          <w:sz w:val="20"/>
          <w:szCs w:val="20"/>
          <w:lang w:val="en-US"/>
        </w:rPr>
        <w:t>imum</w:t>
      </w:r>
      <w:r w:rsidRPr="00A02DAB">
        <w:rPr>
          <w:rFonts w:asciiTheme="minorBidi" w:hAnsiTheme="minorBidi"/>
          <w:sz w:val="20"/>
          <w:szCs w:val="20"/>
          <w:lang w:val="en-US"/>
        </w:rPr>
        <w:t>]</w:t>
      </w:r>
      <w:r w:rsidR="00D02127" w:rsidRPr="00A02DAB">
        <w:rPr>
          <w:rFonts w:asciiTheme="minorBidi" w:hAnsiTheme="minorBidi"/>
          <w:sz w:val="20"/>
          <w:szCs w:val="20"/>
          <w:lang w:val="en-US"/>
        </w:rPr>
        <w:t xml:space="preserve"> while</w:t>
      </w:r>
      <w:r w:rsidRPr="00A02DAB">
        <w:rPr>
          <w:rFonts w:asciiTheme="minorBidi" w:hAnsiTheme="minorBidi"/>
          <w:sz w:val="20"/>
          <w:szCs w:val="20"/>
          <w:lang w:val="en-US"/>
        </w:rPr>
        <w:t xml:space="preserve"> </w:t>
      </w:r>
      <w:r w:rsidR="00D02127" w:rsidRPr="00A02DAB">
        <w:rPr>
          <w:rFonts w:asciiTheme="minorBidi" w:hAnsiTheme="minorBidi"/>
          <w:sz w:val="20"/>
          <w:szCs w:val="20"/>
          <w:lang w:val="en-US"/>
        </w:rPr>
        <w:t>q</w:t>
      </w:r>
      <w:r w:rsidRPr="00A02DAB">
        <w:rPr>
          <w:rFonts w:asciiTheme="minorBidi" w:hAnsiTheme="minorBidi"/>
          <w:sz w:val="20"/>
          <w:szCs w:val="20"/>
          <w:lang w:val="en-US"/>
        </w:rPr>
        <w:t xml:space="preserve">ualitative variables were expressed as </w:t>
      </w:r>
      <w:r w:rsidR="00D02127" w:rsidRPr="00A02DAB">
        <w:rPr>
          <w:rFonts w:asciiTheme="minorBidi" w:hAnsiTheme="minorBidi"/>
          <w:sz w:val="20"/>
          <w:szCs w:val="20"/>
          <w:lang w:val="en-US"/>
        </w:rPr>
        <w:t>percentages (%)</w:t>
      </w:r>
      <w:r w:rsidR="003C61B9" w:rsidRPr="00A02DAB">
        <w:rPr>
          <w:rFonts w:asciiTheme="minorBidi" w:hAnsiTheme="minorBidi"/>
          <w:sz w:val="20"/>
          <w:szCs w:val="20"/>
          <w:lang w:val="en-US"/>
        </w:rPr>
        <w:t xml:space="preserve"> </w:t>
      </w:r>
      <w:r w:rsidRPr="00A02DAB">
        <w:rPr>
          <w:rFonts w:asciiTheme="minorBidi" w:hAnsiTheme="minorBidi"/>
          <w:sz w:val="20"/>
          <w:szCs w:val="20"/>
          <w:lang w:val="en-US"/>
        </w:rPr>
        <w:t xml:space="preserve">and </w:t>
      </w:r>
      <w:r w:rsidR="00D02127" w:rsidRPr="00A02DAB">
        <w:rPr>
          <w:rFonts w:asciiTheme="minorBidi" w:hAnsiTheme="minorBidi"/>
          <w:sz w:val="20"/>
          <w:szCs w:val="20"/>
          <w:lang w:val="en-US"/>
        </w:rPr>
        <w:t>frequencies (N)</w:t>
      </w:r>
      <w:r w:rsidRPr="00A02DAB">
        <w:rPr>
          <w:rFonts w:asciiTheme="minorBidi" w:hAnsiTheme="minorBidi"/>
          <w:sz w:val="20"/>
          <w:szCs w:val="20"/>
          <w:lang w:val="en-US"/>
        </w:rPr>
        <w:t>.</w:t>
      </w:r>
    </w:p>
    <w:p w14:paraId="403A772C" w14:textId="79F670A4" w:rsidR="00F90031" w:rsidRPr="00A02DAB" w:rsidRDefault="00430C0D" w:rsidP="00A02DAB">
      <w:pPr>
        <w:pStyle w:val="ListParagraph"/>
        <w:numPr>
          <w:ilvl w:val="0"/>
          <w:numId w:val="1"/>
        </w:numPr>
        <w:tabs>
          <w:tab w:val="left" w:pos="1380"/>
        </w:tabs>
        <w:spacing w:before="240" w:after="200" w:line="480" w:lineRule="auto"/>
        <w:rPr>
          <w:rFonts w:asciiTheme="minorBidi" w:eastAsiaTheme="minorHAnsi" w:hAnsiTheme="minorBidi"/>
          <w:b/>
          <w:bCs/>
          <w:sz w:val="20"/>
          <w:szCs w:val="20"/>
          <w:lang w:val="en-US"/>
        </w:rPr>
      </w:pPr>
      <w:r w:rsidRPr="00A02DAB">
        <w:rPr>
          <w:rFonts w:asciiTheme="minorBidi" w:eastAsiaTheme="minorHAnsi" w:hAnsiTheme="minorBidi"/>
          <w:b/>
          <w:bCs/>
          <w:sz w:val="20"/>
          <w:szCs w:val="20"/>
          <w:lang w:val="en-US"/>
        </w:rPr>
        <w:t>RESULTS</w:t>
      </w:r>
    </w:p>
    <w:p w14:paraId="1DFAB49E" w14:textId="22E62FBD" w:rsidR="00F90031" w:rsidRPr="00A02DAB" w:rsidRDefault="00F90031" w:rsidP="00A02DAB">
      <w:pPr>
        <w:pStyle w:val="ListParagraph"/>
        <w:numPr>
          <w:ilvl w:val="1"/>
          <w:numId w:val="7"/>
        </w:numPr>
        <w:spacing w:line="276" w:lineRule="auto"/>
        <w:jc w:val="both"/>
        <w:rPr>
          <w:rFonts w:asciiTheme="minorBidi" w:hAnsiTheme="minorBidi"/>
          <w:b/>
          <w:bCs/>
          <w:i/>
          <w:iCs/>
          <w:sz w:val="20"/>
          <w:szCs w:val="20"/>
          <w:lang w:val="en-US"/>
        </w:rPr>
      </w:pPr>
      <w:r w:rsidRPr="00A02DAB">
        <w:rPr>
          <w:rFonts w:asciiTheme="minorBidi" w:hAnsiTheme="minorBidi"/>
          <w:b/>
          <w:bCs/>
          <w:i/>
          <w:iCs/>
          <w:sz w:val="20"/>
          <w:szCs w:val="20"/>
          <w:lang w:val="en-US"/>
        </w:rPr>
        <w:t>Characteristics of the population</w:t>
      </w:r>
    </w:p>
    <w:p w14:paraId="38A82BEB" w14:textId="4D3DB157" w:rsidR="003C2B21" w:rsidRPr="00A02DAB" w:rsidRDefault="003C2B21" w:rsidP="00422067">
      <w:pPr>
        <w:spacing w:line="480" w:lineRule="auto"/>
        <w:jc w:val="both"/>
        <w:rPr>
          <w:rFonts w:asciiTheme="minorBidi" w:hAnsiTheme="minorBidi"/>
          <w:b/>
          <w:bCs/>
          <w:sz w:val="20"/>
          <w:szCs w:val="20"/>
          <w:lang w:val="en-US"/>
        </w:rPr>
      </w:pPr>
      <w:r w:rsidRPr="00A02DAB">
        <w:rPr>
          <w:rFonts w:asciiTheme="minorBidi" w:hAnsiTheme="minorBidi"/>
          <w:sz w:val="20"/>
          <w:szCs w:val="20"/>
          <w:lang w:val="en-US"/>
        </w:rPr>
        <w:t xml:space="preserve">Fifty-one patients treated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were enrolled in the study. Females were predominant, with a male-to-female ratio of 0.82. The mean age was 55 ± 2.33 years, ranging from 18 to 80 years. Mitral valve replacement was the most frequent indication for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(33.33%). The demographic and clinical characteristics of this population are presented in </w:t>
      </w:r>
      <w:r w:rsidRPr="00A02DAB">
        <w:rPr>
          <w:rFonts w:asciiTheme="minorBidi" w:hAnsiTheme="minorBidi"/>
          <w:b/>
          <w:bCs/>
          <w:sz w:val="20"/>
          <w:szCs w:val="20"/>
          <w:lang w:val="en-US"/>
        </w:rPr>
        <w:t>Table 1.</w:t>
      </w:r>
    </w:p>
    <w:p w14:paraId="72BBCA55" w14:textId="6AABC4B1" w:rsidR="00F90031" w:rsidRPr="00A02DAB" w:rsidRDefault="00924D18" w:rsidP="00A02DAB">
      <w:pPr>
        <w:pStyle w:val="ListParagraph"/>
        <w:numPr>
          <w:ilvl w:val="1"/>
          <w:numId w:val="7"/>
        </w:numPr>
        <w:spacing w:line="276" w:lineRule="auto"/>
        <w:jc w:val="both"/>
        <w:rPr>
          <w:rFonts w:asciiTheme="minorBidi" w:hAnsiTheme="minorBidi"/>
          <w:b/>
          <w:bCs/>
          <w:i/>
          <w:iCs/>
          <w:sz w:val="20"/>
          <w:szCs w:val="20"/>
          <w:lang w:val="en-US"/>
        </w:rPr>
      </w:pPr>
      <w:r w:rsidRPr="00A02DAB">
        <w:rPr>
          <w:rFonts w:asciiTheme="minorBidi" w:hAnsiTheme="minorBidi"/>
          <w:b/>
          <w:bCs/>
          <w:i/>
          <w:iCs/>
          <w:sz w:val="20"/>
          <w:szCs w:val="20"/>
          <w:lang w:val="en-US"/>
        </w:rPr>
        <w:t>Therapeutic</w:t>
      </w:r>
      <w:r w:rsidR="00F90031" w:rsidRPr="00A02DAB">
        <w:rPr>
          <w:rFonts w:asciiTheme="minorBidi" w:hAnsiTheme="minorBidi"/>
          <w:b/>
          <w:bCs/>
          <w:i/>
          <w:iCs/>
          <w:sz w:val="20"/>
          <w:szCs w:val="20"/>
          <w:lang w:val="en-US"/>
        </w:rPr>
        <w:t xml:space="preserve"> characteristics</w:t>
      </w:r>
    </w:p>
    <w:p w14:paraId="05F056BD" w14:textId="19080777" w:rsidR="00422067" w:rsidRPr="00A02DAB" w:rsidRDefault="00260CE9" w:rsidP="00A65FB2">
      <w:pPr>
        <w:pStyle w:val="ListParagraph"/>
        <w:spacing w:line="360" w:lineRule="auto"/>
        <w:ind w:left="360" w:firstLine="0"/>
        <w:rPr>
          <w:rFonts w:asciiTheme="minorBidi" w:hAnsiTheme="minorBidi"/>
          <w:b/>
          <w:bCs/>
          <w:sz w:val="20"/>
          <w:szCs w:val="20"/>
          <w:lang w:val="en-US"/>
        </w:rPr>
      </w:pPr>
      <w:r w:rsidRPr="00A02DAB">
        <w:rPr>
          <w:rFonts w:asciiTheme="minorBidi" w:hAnsiTheme="minorBidi"/>
          <w:sz w:val="20"/>
          <w:szCs w:val="20"/>
          <w:lang w:val="en-US"/>
        </w:rPr>
        <w:t xml:space="preserve">The average daily dose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administered was 2.52 ± 0.7 mg. The mean dose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required to achieve the INR target was 2.72 ± 0.89 mg. The average time to reach the INR target was 2.72 ± 0.89 days. For some patients, the time was longer, reaching up to 23 days </w:t>
      </w:r>
      <w:r w:rsidRPr="00A02DAB">
        <w:rPr>
          <w:rFonts w:asciiTheme="minorBidi" w:hAnsiTheme="minorBidi"/>
          <w:b/>
          <w:bCs/>
          <w:sz w:val="20"/>
          <w:szCs w:val="20"/>
          <w:lang w:val="en-US"/>
        </w:rPr>
        <w:t>(Table 2).</w:t>
      </w:r>
      <w:r w:rsidR="00174F12" w:rsidRPr="00A02DAB">
        <w:rPr>
          <w:rFonts w:asciiTheme="minorBidi" w:hAnsiTheme="minorBidi"/>
          <w:b/>
          <w:bCs/>
          <w:sz w:val="20"/>
          <w:szCs w:val="20"/>
          <w:lang w:val="en-US"/>
        </w:rPr>
        <w:t xml:space="preserve"> </w:t>
      </w:r>
      <w:r w:rsidR="00174F12" w:rsidRPr="00A02DAB">
        <w:rPr>
          <w:rFonts w:asciiTheme="minorBidi" w:hAnsiTheme="minorBidi"/>
          <w:sz w:val="20"/>
          <w:szCs w:val="20"/>
          <w:lang w:val="en-US"/>
        </w:rPr>
        <w:t xml:space="preserve">At the first INR measurement, almost all patients, 94.12% (n=48), had an INR outside the therapeutic range </w:t>
      </w:r>
      <w:r w:rsidR="00174F12" w:rsidRPr="00A02DAB">
        <w:rPr>
          <w:rFonts w:asciiTheme="minorBidi" w:hAnsiTheme="minorBidi"/>
          <w:b/>
          <w:bCs/>
          <w:sz w:val="20"/>
          <w:szCs w:val="20"/>
          <w:lang w:val="en-US"/>
        </w:rPr>
        <w:t>(Figure 1).</w:t>
      </w:r>
      <w:r w:rsidR="00174F12" w:rsidRPr="00A02DAB">
        <w:rPr>
          <w:rFonts w:asciiTheme="minorBidi" w:hAnsiTheme="minorBidi"/>
          <w:sz w:val="20"/>
          <w:szCs w:val="20"/>
          <w:lang w:val="en-US"/>
        </w:rPr>
        <w:t xml:space="preserve"> At the end of the study, only 41.18% (n=21) of patients had reached their INR target </w:t>
      </w:r>
      <w:r w:rsidR="00174F12" w:rsidRPr="00A02DAB">
        <w:rPr>
          <w:rFonts w:asciiTheme="minorBidi" w:hAnsiTheme="minorBidi"/>
          <w:b/>
          <w:bCs/>
          <w:sz w:val="20"/>
          <w:szCs w:val="20"/>
          <w:lang w:val="en-US"/>
        </w:rPr>
        <w:t>(Figure 2).</w:t>
      </w:r>
      <w:r w:rsidR="00234E5F" w:rsidRPr="00A02DAB">
        <w:rPr>
          <w:rFonts w:asciiTheme="minorBidi" w:hAnsiTheme="minorBidi"/>
          <w:b/>
          <w:bCs/>
          <w:sz w:val="20"/>
          <w:szCs w:val="20"/>
          <w:lang w:val="en-US"/>
        </w:rPr>
        <w:t xml:space="preserve">  The majority of patients (</w:t>
      </w:r>
      <w:r w:rsidR="00234E5F" w:rsidRPr="00A02DAB">
        <w:rPr>
          <w:rFonts w:asciiTheme="minorBidi" w:hAnsiTheme="minorBidi"/>
          <w:sz w:val="20"/>
          <w:szCs w:val="20"/>
          <w:lang w:val="en-US"/>
        </w:rPr>
        <w:t xml:space="preserve">82.35%, n=42) had a TTR below of 50%, indicating an inadequate anticoagulation control. Conversely, 11.76% (n=6) of patients had a TTR above 70%, corresponding to good therapeutic control according to standards norms </w:t>
      </w:r>
      <w:r w:rsidR="00234E5F" w:rsidRPr="00A02DAB">
        <w:rPr>
          <w:rFonts w:asciiTheme="minorBidi" w:hAnsiTheme="minorBidi"/>
          <w:b/>
          <w:bCs/>
          <w:sz w:val="20"/>
          <w:szCs w:val="20"/>
          <w:lang w:val="en-US"/>
        </w:rPr>
        <w:t>(Figure 3).</w:t>
      </w:r>
      <w:r w:rsidR="0001603C" w:rsidRPr="00A02DAB">
        <w:rPr>
          <w:rFonts w:asciiTheme="minorBidi" w:hAnsiTheme="minorBidi"/>
          <w:b/>
          <w:bCs/>
          <w:sz w:val="20"/>
          <w:szCs w:val="20"/>
          <w:lang w:val="en-US"/>
        </w:rPr>
        <w:t xml:space="preserve"> </w:t>
      </w:r>
      <w:r w:rsidR="0001603C" w:rsidRPr="00A02DAB">
        <w:rPr>
          <w:rFonts w:asciiTheme="minorBidi" w:hAnsiTheme="minorBidi"/>
          <w:sz w:val="20"/>
          <w:szCs w:val="20"/>
          <w:lang w:val="en-US"/>
        </w:rPr>
        <w:t xml:space="preserve">Analysis of observed adverse events (AEs) showed that 33.33% (n=17) of patients manifested AEs: 35.29% (n=6) of patients developed hemorrhagic complications against 64.71% (n=11) of patients with thrombotic complications </w:t>
      </w:r>
      <w:r w:rsidR="0001603C" w:rsidRPr="00A02DAB">
        <w:rPr>
          <w:rFonts w:asciiTheme="minorBidi" w:hAnsiTheme="minorBidi"/>
          <w:b/>
          <w:bCs/>
          <w:sz w:val="20"/>
          <w:szCs w:val="20"/>
          <w:lang w:val="en-US"/>
        </w:rPr>
        <w:t>(Figure 4).</w:t>
      </w:r>
    </w:p>
    <w:p w14:paraId="044A24A7" w14:textId="77777777" w:rsidR="00E02AFF" w:rsidRPr="00A02DAB" w:rsidRDefault="00E02AFF" w:rsidP="00174F12">
      <w:pPr>
        <w:pStyle w:val="ListParagraph"/>
        <w:spacing w:line="360" w:lineRule="auto"/>
        <w:ind w:left="360" w:firstLine="0"/>
        <w:rPr>
          <w:rFonts w:asciiTheme="minorBidi" w:hAnsiTheme="minorBidi"/>
          <w:sz w:val="20"/>
          <w:szCs w:val="20"/>
          <w:lang w:val="en-US"/>
        </w:rPr>
      </w:pPr>
    </w:p>
    <w:p w14:paraId="36520B47" w14:textId="21C53EC2" w:rsidR="00E02AFF" w:rsidRPr="00A02DAB" w:rsidRDefault="00E02AFF" w:rsidP="00E02AFF">
      <w:pPr>
        <w:pStyle w:val="Caption"/>
        <w:spacing w:line="360" w:lineRule="auto"/>
        <w:jc w:val="center"/>
        <w:rPr>
          <w:rFonts w:asciiTheme="minorBidi" w:hAnsiTheme="minorBidi"/>
          <w:color w:val="auto"/>
          <w:sz w:val="20"/>
          <w:szCs w:val="20"/>
          <w:lang w:val="en-US" w:eastAsia="zh-CN"/>
        </w:rPr>
      </w:pPr>
      <w:r w:rsidRPr="00A02DAB">
        <w:rPr>
          <w:rFonts w:asciiTheme="minorBidi" w:hAnsiTheme="minorBidi"/>
          <w:color w:val="auto"/>
          <w:sz w:val="20"/>
          <w:szCs w:val="20"/>
          <w:lang w:val="en-US" w:eastAsia="zh-CN"/>
        </w:rPr>
        <w:t>Table 1: Patient demographic and clinical data</w:t>
      </w:r>
    </w:p>
    <w:tbl>
      <w:tblPr>
        <w:tblStyle w:val="GridTable2-Accent5"/>
        <w:tblW w:w="0" w:type="auto"/>
        <w:tblLook w:val="04A0" w:firstRow="1" w:lastRow="0" w:firstColumn="1" w:lastColumn="0" w:noHBand="0" w:noVBand="1"/>
      </w:tblPr>
      <w:tblGrid>
        <w:gridCol w:w="5103"/>
        <w:gridCol w:w="4247"/>
      </w:tblGrid>
      <w:tr w:rsidR="00E02AFF" w:rsidRPr="00A02DAB" w14:paraId="33A34A3A" w14:textId="77777777" w:rsidTr="00BB39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4472C4" w:themeColor="accent5"/>
            </w:tcBorders>
          </w:tcPr>
          <w:p w14:paraId="048779CA" w14:textId="7777777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Characteristics</w:t>
            </w:r>
          </w:p>
        </w:tc>
        <w:tc>
          <w:tcPr>
            <w:tcW w:w="4247" w:type="dxa"/>
            <w:tcBorders>
              <w:top w:val="single" w:sz="4" w:space="0" w:color="4472C4" w:themeColor="accent5"/>
            </w:tcBorders>
          </w:tcPr>
          <w:p w14:paraId="5C57E970" w14:textId="77777777" w:rsidR="00E02AFF" w:rsidRPr="00A02DAB" w:rsidRDefault="00E02AFF" w:rsidP="00F61FE1">
            <w:pPr>
              <w:ind w:firstLine="0"/>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lang w:val="en-US"/>
              </w:rPr>
              <w:t xml:space="preserve">Value </w:t>
            </w:r>
          </w:p>
        </w:tc>
      </w:tr>
      <w:tr w:rsidR="00E02AFF" w:rsidRPr="00A02DAB" w14:paraId="273F608A" w14:textId="77777777" w:rsidTr="00BB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A635310" w14:textId="7777777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Patients number (n)</w:t>
            </w:r>
          </w:p>
        </w:tc>
        <w:tc>
          <w:tcPr>
            <w:tcW w:w="4247" w:type="dxa"/>
          </w:tcPr>
          <w:p w14:paraId="6F7644EE" w14:textId="3EF0B312" w:rsidR="00E02AFF" w:rsidRPr="00A02DAB" w:rsidRDefault="00E02AFF" w:rsidP="00F61FE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lang w:val="en-US"/>
              </w:rPr>
              <w:t>51</w:t>
            </w:r>
          </w:p>
        </w:tc>
      </w:tr>
      <w:tr w:rsidR="00E02AFF" w:rsidRPr="00A02DAB" w14:paraId="6CF0B9FD" w14:textId="77777777" w:rsidTr="00BB39AE">
        <w:tc>
          <w:tcPr>
            <w:cnfStyle w:val="001000000000" w:firstRow="0" w:lastRow="0" w:firstColumn="1" w:lastColumn="0" w:oddVBand="0" w:evenVBand="0" w:oddHBand="0" w:evenHBand="0" w:firstRowFirstColumn="0" w:firstRowLastColumn="0" w:lastRowFirstColumn="0" w:lastRowLastColumn="0"/>
            <w:tcW w:w="5103" w:type="dxa"/>
          </w:tcPr>
          <w:p w14:paraId="45674E32" w14:textId="7777777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Gender n (%) </w:t>
            </w:r>
          </w:p>
        </w:tc>
        <w:tc>
          <w:tcPr>
            <w:tcW w:w="4247" w:type="dxa"/>
          </w:tcPr>
          <w:p w14:paraId="3E950AA2" w14:textId="4FA5F879" w:rsidR="00E02AFF" w:rsidRPr="00A02DAB" w:rsidRDefault="009B73D5"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lang w:val="en-US"/>
              </w:rPr>
              <w:t xml:space="preserve">23 </w:t>
            </w:r>
            <w:r w:rsidR="00E02AFF" w:rsidRPr="00A02DAB">
              <w:rPr>
                <w:rFonts w:asciiTheme="minorBidi" w:hAnsiTheme="minorBidi"/>
                <w:sz w:val="20"/>
                <w:szCs w:val="20"/>
                <w:lang w:val="en-US"/>
              </w:rPr>
              <w:t>M/</w:t>
            </w:r>
            <w:r w:rsidRPr="00A02DAB">
              <w:rPr>
                <w:rFonts w:asciiTheme="minorBidi" w:hAnsiTheme="minorBidi"/>
                <w:sz w:val="20"/>
                <w:szCs w:val="20"/>
                <w:lang w:val="en-US"/>
              </w:rPr>
              <w:t xml:space="preserve"> </w:t>
            </w:r>
            <w:r w:rsidR="00025F3E" w:rsidRPr="00A02DAB">
              <w:rPr>
                <w:rFonts w:asciiTheme="minorBidi" w:hAnsiTheme="minorBidi"/>
                <w:sz w:val="20"/>
                <w:szCs w:val="20"/>
                <w:lang w:val="en-US"/>
              </w:rPr>
              <w:t>28</w:t>
            </w:r>
            <w:r w:rsidRPr="00A02DAB">
              <w:rPr>
                <w:rFonts w:asciiTheme="minorBidi" w:hAnsiTheme="minorBidi"/>
                <w:sz w:val="20"/>
                <w:szCs w:val="20"/>
                <w:lang w:val="en-US"/>
              </w:rPr>
              <w:t xml:space="preserve"> </w:t>
            </w:r>
            <w:r w:rsidR="00E02AFF" w:rsidRPr="00A02DAB">
              <w:rPr>
                <w:rFonts w:asciiTheme="minorBidi" w:hAnsiTheme="minorBidi"/>
                <w:sz w:val="20"/>
                <w:szCs w:val="20"/>
                <w:lang w:val="en-US"/>
              </w:rPr>
              <w:t>W (</w:t>
            </w:r>
            <w:r w:rsidRPr="00A02DAB">
              <w:rPr>
                <w:rFonts w:asciiTheme="minorBidi" w:hAnsiTheme="minorBidi"/>
                <w:sz w:val="20"/>
                <w:szCs w:val="20"/>
                <w:lang w:val="en-US"/>
              </w:rPr>
              <w:t xml:space="preserve">45.1 </w:t>
            </w:r>
            <w:r w:rsidR="00E02AFF" w:rsidRPr="00A02DAB">
              <w:rPr>
                <w:rFonts w:asciiTheme="minorBidi" w:hAnsiTheme="minorBidi"/>
                <w:sz w:val="20"/>
                <w:szCs w:val="20"/>
                <w:lang w:val="en-US"/>
              </w:rPr>
              <w:t xml:space="preserve">/ </w:t>
            </w:r>
            <w:r w:rsidR="00025F3E" w:rsidRPr="00A02DAB">
              <w:rPr>
                <w:rFonts w:asciiTheme="minorBidi" w:hAnsiTheme="minorBidi"/>
                <w:sz w:val="20"/>
                <w:szCs w:val="20"/>
                <w:lang w:val="en-US"/>
              </w:rPr>
              <w:t>54.9</w:t>
            </w:r>
            <w:r w:rsidR="00E02AFF" w:rsidRPr="00A02DAB">
              <w:rPr>
                <w:rFonts w:asciiTheme="minorBidi" w:hAnsiTheme="minorBidi"/>
                <w:sz w:val="20"/>
                <w:szCs w:val="20"/>
                <w:lang w:val="en-US"/>
              </w:rPr>
              <w:t>)</w:t>
            </w:r>
          </w:p>
          <w:p w14:paraId="272FB99E" w14:textId="32E1AC86" w:rsidR="00025F3E" w:rsidRPr="00A02DAB" w:rsidRDefault="00025F3E"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lang w:val="en-US"/>
              </w:rPr>
              <w:t>Sex-ratio (M/W) = 0.82</w:t>
            </w:r>
          </w:p>
        </w:tc>
      </w:tr>
      <w:tr w:rsidR="00E02AFF" w:rsidRPr="00A02DAB" w14:paraId="29462AB6" w14:textId="77777777" w:rsidTr="00BB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A1C05B6" w14:textId="7777777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Age (years) mean ± SD (min-max)</w:t>
            </w:r>
          </w:p>
        </w:tc>
        <w:tc>
          <w:tcPr>
            <w:tcW w:w="4247" w:type="dxa"/>
          </w:tcPr>
          <w:p w14:paraId="5013F90C" w14:textId="4BAE9407" w:rsidR="00E02AFF" w:rsidRPr="00A02DAB" w:rsidRDefault="00DF47FE" w:rsidP="00F61FE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rPr>
              <w:t xml:space="preserve">55 ± 2.33 </w:t>
            </w:r>
            <w:r w:rsidR="00E02AFF" w:rsidRPr="00A02DAB">
              <w:rPr>
                <w:rFonts w:asciiTheme="minorBidi" w:hAnsiTheme="minorBidi"/>
                <w:sz w:val="20"/>
                <w:szCs w:val="20"/>
                <w:lang w:val="en-US"/>
              </w:rPr>
              <w:t>(18-</w:t>
            </w:r>
            <w:r w:rsidRPr="00A02DAB">
              <w:rPr>
                <w:rFonts w:asciiTheme="minorBidi" w:hAnsiTheme="minorBidi"/>
                <w:sz w:val="20"/>
                <w:szCs w:val="20"/>
                <w:lang w:val="en-US"/>
              </w:rPr>
              <w:t xml:space="preserve"> 80</w:t>
            </w:r>
            <w:r w:rsidR="00E02AFF" w:rsidRPr="00A02DAB">
              <w:rPr>
                <w:rFonts w:asciiTheme="minorBidi" w:hAnsiTheme="minorBidi"/>
                <w:sz w:val="20"/>
                <w:szCs w:val="20"/>
                <w:lang w:val="en-US"/>
              </w:rPr>
              <w:t>)</w:t>
            </w:r>
          </w:p>
        </w:tc>
      </w:tr>
      <w:tr w:rsidR="00E02AFF" w:rsidRPr="00A02DAB" w14:paraId="6351EA16" w14:textId="77777777" w:rsidTr="00BB39AE">
        <w:trPr>
          <w:trHeight w:val="389"/>
        </w:trPr>
        <w:tc>
          <w:tcPr>
            <w:cnfStyle w:val="001000000000" w:firstRow="0" w:lastRow="0" w:firstColumn="1" w:lastColumn="0" w:oddVBand="0" w:evenVBand="0" w:oddHBand="0" w:evenHBand="0" w:firstRowFirstColumn="0" w:firstRowLastColumn="0" w:lastRowFirstColumn="0" w:lastRowLastColumn="0"/>
            <w:tcW w:w="5103" w:type="dxa"/>
          </w:tcPr>
          <w:p w14:paraId="2B702DCB" w14:textId="65DDDAF7" w:rsidR="00E02AFF"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Alcohol</w:t>
            </w:r>
            <w:r w:rsidR="00E02AFF" w:rsidRPr="00A02DAB">
              <w:rPr>
                <w:rFonts w:asciiTheme="minorBidi" w:hAnsiTheme="minorBidi"/>
                <w:sz w:val="20"/>
                <w:szCs w:val="20"/>
                <w:lang w:val="en-US"/>
              </w:rPr>
              <w:t xml:space="preserve"> n (%)</w:t>
            </w:r>
          </w:p>
        </w:tc>
        <w:tc>
          <w:tcPr>
            <w:tcW w:w="4247" w:type="dxa"/>
          </w:tcPr>
          <w:p w14:paraId="099990BA" w14:textId="7A587D31" w:rsidR="001C27FB" w:rsidRPr="00A02DAB" w:rsidRDefault="001C27FB" w:rsidP="001C27FB">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rPr>
              <w:t>49 (96,08)</w:t>
            </w:r>
          </w:p>
        </w:tc>
      </w:tr>
      <w:tr w:rsidR="00E02AFF" w:rsidRPr="00A02DAB" w14:paraId="467A0029" w14:textId="77777777" w:rsidTr="00BB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9117DE5" w14:textId="6960C110" w:rsidR="00E02AFF" w:rsidRPr="00A02DAB" w:rsidRDefault="001C27FB" w:rsidP="001C27FB">
            <w:pPr>
              <w:ind w:firstLine="0"/>
              <w:rPr>
                <w:rFonts w:asciiTheme="minorBidi" w:hAnsiTheme="minorBidi"/>
                <w:sz w:val="20"/>
                <w:szCs w:val="20"/>
                <w:lang w:val="en-US"/>
              </w:rPr>
            </w:pPr>
            <w:r w:rsidRPr="00A02DAB">
              <w:rPr>
                <w:rFonts w:asciiTheme="minorBidi" w:hAnsiTheme="minorBidi"/>
                <w:sz w:val="20"/>
                <w:szCs w:val="20"/>
                <w:lang w:val="en-US"/>
              </w:rPr>
              <w:t>Tobacco</w:t>
            </w:r>
            <w:r w:rsidR="00E02AFF" w:rsidRPr="00A02DAB">
              <w:rPr>
                <w:rFonts w:asciiTheme="minorBidi" w:hAnsiTheme="minorBidi"/>
                <w:sz w:val="20"/>
                <w:szCs w:val="20"/>
                <w:lang w:val="en-US"/>
              </w:rPr>
              <w:t xml:space="preserve"> n (%)</w:t>
            </w:r>
          </w:p>
        </w:tc>
        <w:tc>
          <w:tcPr>
            <w:tcW w:w="4247" w:type="dxa"/>
          </w:tcPr>
          <w:p w14:paraId="1E2682F0" w14:textId="4B7F074F" w:rsidR="00E02AFF" w:rsidRPr="00A02DAB" w:rsidRDefault="001C27FB" w:rsidP="001C27FB">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42 (82,35)</w:t>
            </w:r>
          </w:p>
        </w:tc>
      </w:tr>
      <w:tr w:rsidR="00E02AFF" w:rsidRPr="00A02DAB" w14:paraId="33D575D0" w14:textId="77777777" w:rsidTr="00BB39AE">
        <w:tc>
          <w:tcPr>
            <w:cnfStyle w:val="001000000000" w:firstRow="0" w:lastRow="0" w:firstColumn="1" w:lastColumn="0" w:oddVBand="0" w:evenVBand="0" w:oddHBand="0" w:evenHBand="0" w:firstRowFirstColumn="0" w:firstRowLastColumn="0" w:lastRowFirstColumn="0" w:lastRowLastColumn="0"/>
            <w:tcW w:w="5103" w:type="dxa"/>
          </w:tcPr>
          <w:p w14:paraId="1BEA8188" w14:textId="4D293BC0" w:rsidR="00E02AFF"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Indications</w:t>
            </w:r>
            <w:r w:rsidR="00E02AFF" w:rsidRPr="00A02DAB">
              <w:rPr>
                <w:rFonts w:asciiTheme="minorBidi" w:hAnsiTheme="minorBidi"/>
                <w:sz w:val="20"/>
                <w:szCs w:val="20"/>
                <w:lang w:val="en-US"/>
              </w:rPr>
              <w:t xml:space="preserve"> n (%)</w:t>
            </w:r>
          </w:p>
          <w:p w14:paraId="68B7C883"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lastRenderedPageBreak/>
              <w:t xml:space="preserve">Mitral valve replacement </w:t>
            </w:r>
          </w:p>
          <w:p w14:paraId="5AC0D07F"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Aortic valve replacement </w:t>
            </w:r>
          </w:p>
          <w:p w14:paraId="5DDDDFF8" w14:textId="77777777" w:rsidR="00E02AFF"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Mitral valve disease and tricuspid regurgitation</w:t>
            </w:r>
          </w:p>
          <w:p w14:paraId="25B991B1"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Mitral and aortic valve replacement</w:t>
            </w:r>
          </w:p>
          <w:p w14:paraId="50808C38"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Coronary artery bypass</w:t>
            </w:r>
          </w:p>
          <w:p w14:paraId="46149E9D"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Pace maker</w:t>
            </w:r>
          </w:p>
          <w:p w14:paraId="71DA5849" w14:textId="791827B3"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Others</w:t>
            </w:r>
          </w:p>
        </w:tc>
        <w:tc>
          <w:tcPr>
            <w:tcW w:w="4247" w:type="dxa"/>
          </w:tcPr>
          <w:p w14:paraId="4AF40054" w14:textId="77777777" w:rsidR="001C27FB"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lang w:val="en-US"/>
              </w:rPr>
            </w:pPr>
          </w:p>
          <w:p w14:paraId="40B96954" w14:textId="62329E69" w:rsidR="00E02AFF"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lastRenderedPageBreak/>
              <w:t xml:space="preserve">17 </w:t>
            </w:r>
            <w:r w:rsidR="00E02AFF" w:rsidRPr="00A02DAB">
              <w:rPr>
                <w:rFonts w:asciiTheme="minorBidi" w:hAnsiTheme="minorBidi"/>
                <w:sz w:val="20"/>
                <w:szCs w:val="20"/>
              </w:rPr>
              <w:t>(</w:t>
            </w:r>
            <w:r w:rsidRPr="00A02DAB">
              <w:rPr>
                <w:rFonts w:asciiTheme="minorBidi" w:hAnsiTheme="minorBidi"/>
                <w:sz w:val="20"/>
                <w:szCs w:val="20"/>
              </w:rPr>
              <w:t>33.33</w:t>
            </w:r>
            <w:r w:rsidR="00E02AFF" w:rsidRPr="00A02DAB">
              <w:rPr>
                <w:rFonts w:asciiTheme="minorBidi" w:hAnsiTheme="minorBidi"/>
                <w:sz w:val="20"/>
                <w:szCs w:val="20"/>
              </w:rPr>
              <w:t>)</w:t>
            </w:r>
          </w:p>
          <w:p w14:paraId="240AA0AC" w14:textId="15E2EADF" w:rsidR="00E02AFF"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 xml:space="preserve">6 </w:t>
            </w:r>
            <w:r w:rsidR="00E02AFF" w:rsidRPr="00A02DAB">
              <w:rPr>
                <w:rFonts w:asciiTheme="minorBidi" w:hAnsiTheme="minorBidi"/>
                <w:sz w:val="20"/>
                <w:szCs w:val="20"/>
              </w:rPr>
              <w:t>(</w:t>
            </w:r>
            <w:r w:rsidRPr="00A02DAB">
              <w:rPr>
                <w:rFonts w:asciiTheme="minorBidi" w:hAnsiTheme="minorBidi"/>
                <w:sz w:val="20"/>
                <w:szCs w:val="20"/>
              </w:rPr>
              <w:t>11.77</w:t>
            </w:r>
            <w:r w:rsidR="00E02AFF" w:rsidRPr="00A02DAB">
              <w:rPr>
                <w:rFonts w:asciiTheme="minorBidi" w:hAnsiTheme="minorBidi"/>
                <w:sz w:val="20"/>
                <w:szCs w:val="20"/>
              </w:rPr>
              <w:t>)</w:t>
            </w:r>
          </w:p>
          <w:p w14:paraId="3C8555A0" w14:textId="77777777" w:rsidR="001C27FB" w:rsidRPr="00A02DAB" w:rsidRDefault="001C27FB" w:rsidP="001C27FB">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6 (11.77)</w:t>
            </w:r>
          </w:p>
          <w:p w14:paraId="65FBE7E6" w14:textId="404A18AF" w:rsidR="001C27FB"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4 (7.84)</w:t>
            </w:r>
          </w:p>
          <w:p w14:paraId="58E62B9F" w14:textId="7C9B2BAE" w:rsidR="001C27FB" w:rsidRPr="00A02DAB" w:rsidRDefault="00BB39AE" w:rsidP="00BB39AE">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3(5.88)</w:t>
            </w:r>
          </w:p>
          <w:p w14:paraId="35A61A7F" w14:textId="668384D6" w:rsidR="001C27FB" w:rsidRPr="00A02DAB" w:rsidRDefault="00BB39AE" w:rsidP="00BB39AE">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2 (3.92)</w:t>
            </w:r>
          </w:p>
          <w:p w14:paraId="46C2A234" w14:textId="414D142E" w:rsidR="001C27FB"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13 (25.49)</w:t>
            </w:r>
          </w:p>
        </w:tc>
      </w:tr>
      <w:tr w:rsidR="00E02AFF" w:rsidRPr="00A02DAB" w14:paraId="3A05819D" w14:textId="77777777" w:rsidTr="00BB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F158CFF" w14:textId="44D1A28F" w:rsidR="00E02AFF" w:rsidRPr="00A02DAB" w:rsidRDefault="00096D21"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Comorbidities </w:t>
            </w:r>
            <w:r w:rsidR="00E02AFF" w:rsidRPr="00A02DAB">
              <w:rPr>
                <w:rFonts w:asciiTheme="minorBidi" w:hAnsiTheme="minorBidi"/>
                <w:sz w:val="20"/>
                <w:szCs w:val="20"/>
                <w:lang w:val="en-US"/>
              </w:rPr>
              <w:t>n (%)</w:t>
            </w:r>
          </w:p>
          <w:p w14:paraId="18CEE3B6" w14:textId="60D69B36"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0 </w:t>
            </w:r>
          </w:p>
          <w:p w14:paraId="7FB9E574" w14:textId="75AD2544" w:rsidR="00E02AFF" w:rsidRPr="00A02DAB" w:rsidRDefault="00E02AFF" w:rsidP="00F61FE1">
            <w:pPr>
              <w:ind w:firstLine="0"/>
              <w:rPr>
                <w:rFonts w:asciiTheme="minorBidi" w:hAnsiTheme="minorBidi"/>
                <w:sz w:val="20"/>
                <w:szCs w:val="20"/>
              </w:rPr>
            </w:pPr>
            <w:r w:rsidRPr="00A02DAB">
              <w:rPr>
                <w:rFonts w:asciiTheme="minorBidi" w:hAnsiTheme="minorBidi"/>
                <w:sz w:val="20"/>
                <w:szCs w:val="20"/>
              </w:rPr>
              <w:t xml:space="preserve">≥ 1 </w:t>
            </w:r>
          </w:p>
        </w:tc>
        <w:tc>
          <w:tcPr>
            <w:tcW w:w="4247" w:type="dxa"/>
          </w:tcPr>
          <w:p w14:paraId="19A48243" w14:textId="77777777" w:rsidR="00E02AFF" w:rsidRPr="00A02DAB" w:rsidRDefault="00E02AFF" w:rsidP="00F61FE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p w14:paraId="57260633" w14:textId="7D32CA54" w:rsidR="00E02AFF" w:rsidRPr="00A02DAB" w:rsidRDefault="006C5ECA" w:rsidP="00F61FE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 xml:space="preserve">23 </w:t>
            </w:r>
            <w:r w:rsidR="00E02AFF" w:rsidRPr="00A02DAB">
              <w:rPr>
                <w:rFonts w:asciiTheme="minorBidi" w:hAnsiTheme="minorBidi"/>
                <w:sz w:val="20"/>
                <w:szCs w:val="20"/>
              </w:rPr>
              <w:t>(</w:t>
            </w:r>
            <w:r w:rsidRPr="00A02DAB">
              <w:rPr>
                <w:rFonts w:asciiTheme="minorBidi" w:hAnsiTheme="minorBidi"/>
                <w:sz w:val="20"/>
                <w:szCs w:val="20"/>
              </w:rPr>
              <w:t>45.1</w:t>
            </w:r>
            <w:r w:rsidR="00E02AFF" w:rsidRPr="00A02DAB">
              <w:rPr>
                <w:rFonts w:asciiTheme="minorBidi" w:hAnsiTheme="minorBidi"/>
                <w:sz w:val="20"/>
                <w:szCs w:val="20"/>
              </w:rPr>
              <w:t>)</w:t>
            </w:r>
          </w:p>
          <w:p w14:paraId="7957D7FA" w14:textId="78907D42" w:rsidR="00E02AFF" w:rsidRPr="00A02DAB" w:rsidRDefault="00096D21" w:rsidP="00096D2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 xml:space="preserve">28 (54.9) </w:t>
            </w:r>
          </w:p>
        </w:tc>
      </w:tr>
      <w:tr w:rsidR="00E02AFF" w:rsidRPr="00A02DAB" w14:paraId="4FD5F052" w14:textId="77777777" w:rsidTr="00BB39AE">
        <w:tc>
          <w:tcPr>
            <w:cnfStyle w:val="001000000000" w:firstRow="0" w:lastRow="0" w:firstColumn="1" w:lastColumn="0" w:oddVBand="0" w:evenVBand="0" w:oddHBand="0" w:evenHBand="0" w:firstRowFirstColumn="0" w:firstRowLastColumn="0" w:lastRowFirstColumn="0" w:lastRowLastColumn="0"/>
            <w:tcW w:w="5103" w:type="dxa"/>
          </w:tcPr>
          <w:p w14:paraId="578237CE" w14:textId="446FBCC6" w:rsidR="006C5ECA" w:rsidRPr="00A02DAB" w:rsidRDefault="006C5ECA" w:rsidP="006C5ECA">
            <w:pPr>
              <w:ind w:firstLine="0"/>
              <w:rPr>
                <w:rFonts w:asciiTheme="minorBidi" w:hAnsiTheme="minorBidi"/>
                <w:sz w:val="20"/>
                <w:szCs w:val="20"/>
                <w:lang w:val="en-US"/>
              </w:rPr>
            </w:pPr>
            <w:r w:rsidRPr="00A02DAB">
              <w:rPr>
                <w:rFonts w:asciiTheme="minorBidi" w:hAnsiTheme="minorBidi"/>
                <w:sz w:val="20"/>
                <w:szCs w:val="20"/>
                <w:lang w:val="en-US"/>
              </w:rPr>
              <w:t>Comorbidities types n (%)</w:t>
            </w:r>
          </w:p>
          <w:p w14:paraId="2746A63C" w14:textId="0791E093" w:rsidR="006C5ECA" w:rsidRPr="00A02DAB" w:rsidRDefault="006C5ECA" w:rsidP="00F61FE1">
            <w:pPr>
              <w:ind w:firstLine="0"/>
              <w:rPr>
                <w:rFonts w:asciiTheme="minorBidi" w:hAnsiTheme="minorBidi"/>
                <w:b w:val="0"/>
                <w:bCs w:val="0"/>
                <w:sz w:val="20"/>
                <w:szCs w:val="20"/>
                <w:lang w:val="en-US"/>
              </w:rPr>
            </w:pPr>
            <w:r w:rsidRPr="00A02DAB">
              <w:rPr>
                <w:rFonts w:asciiTheme="minorBidi" w:hAnsiTheme="minorBidi"/>
                <w:sz w:val="20"/>
                <w:szCs w:val="20"/>
                <w:lang w:val="en-US"/>
              </w:rPr>
              <w:t>High blood pressure</w:t>
            </w:r>
          </w:p>
          <w:p w14:paraId="6E72DA8B" w14:textId="5059125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 </w:t>
            </w:r>
            <w:r w:rsidR="008B1075" w:rsidRPr="00A02DAB">
              <w:rPr>
                <w:rFonts w:asciiTheme="minorBidi" w:hAnsiTheme="minorBidi"/>
                <w:sz w:val="20"/>
                <w:szCs w:val="20"/>
                <w:lang w:val="en-US"/>
              </w:rPr>
              <w:t>Diabetes</w:t>
            </w:r>
          </w:p>
          <w:p w14:paraId="25003317" w14:textId="263DFF16" w:rsidR="00E02AFF" w:rsidRPr="00A02DAB" w:rsidRDefault="008B1075" w:rsidP="00F61FE1">
            <w:pPr>
              <w:ind w:firstLine="0"/>
              <w:rPr>
                <w:rFonts w:asciiTheme="minorBidi" w:hAnsiTheme="minorBidi"/>
                <w:sz w:val="20"/>
                <w:szCs w:val="20"/>
                <w:lang w:val="en-US"/>
              </w:rPr>
            </w:pPr>
            <w:r w:rsidRPr="00A02DAB">
              <w:rPr>
                <w:rFonts w:asciiTheme="minorBidi" w:hAnsiTheme="minorBidi"/>
                <w:sz w:val="20"/>
                <w:szCs w:val="20"/>
                <w:lang w:val="en-US"/>
              </w:rPr>
              <w:t>Others</w:t>
            </w:r>
          </w:p>
        </w:tc>
        <w:tc>
          <w:tcPr>
            <w:tcW w:w="4247" w:type="dxa"/>
          </w:tcPr>
          <w:p w14:paraId="13B4B8BF" w14:textId="77777777" w:rsidR="00E02AFF" w:rsidRPr="00A02DAB" w:rsidRDefault="00E02AFF"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US"/>
              </w:rPr>
            </w:pPr>
          </w:p>
          <w:p w14:paraId="4377CA38" w14:textId="7A3EAB98" w:rsidR="006C5ECA" w:rsidRPr="00A02DAB" w:rsidRDefault="008B1075"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7</w:t>
            </w:r>
            <w:r w:rsidR="006C5ECA" w:rsidRPr="00A02DAB">
              <w:rPr>
                <w:rFonts w:asciiTheme="minorBidi" w:hAnsiTheme="minorBidi"/>
                <w:sz w:val="20"/>
                <w:szCs w:val="20"/>
              </w:rPr>
              <w:t xml:space="preserve"> (</w:t>
            </w:r>
            <w:r w:rsidRPr="00A02DAB">
              <w:rPr>
                <w:rFonts w:asciiTheme="minorBidi" w:hAnsiTheme="minorBidi"/>
                <w:sz w:val="20"/>
                <w:szCs w:val="20"/>
              </w:rPr>
              <w:t>25</w:t>
            </w:r>
            <w:r w:rsidR="006C5ECA" w:rsidRPr="00A02DAB">
              <w:rPr>
                <w:rFonts w:asciiTheme="minorBidi" w:hAnsiTheme="minorBidi"/>
                <w:sz w:val="20"/>
                <w:szCs w:val="20"/>
              </w:rPr>
              <w:t>)</w:t>
            </w:r>
          </w:p>
          <w:p w14:paraId="01DC26FA" w14:textId="090DDA0B" w:rsidR="008B1075" w:rsidRPr="00A02DAB" w:rsidRDefault="008B1075" w:rsidP="008B1075">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6 (21.43)</w:t>
            </w:r>
          </w:p>
          <w:p w14:paraId="0454D893" w14:textId="46053ECB" w:rsidR="008B1075" w:rsidRPr="00A02DAB" w:rsidRDefault="008B1075" w:rsidP="008B1075">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38 (53.57)</w:t>
            </w:r>
          </w:p>
          <w:p w14:paraId="0364DF44" w14:textId="65959278" w:rsidR="00E02AFF" w:rsidRPr="00A02DAB" w:rsidRDefault="00E02AFF"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
        </w:tc>
      </w:tr>
    </w:tbl>
    <w:p w14:paraId="0D31DB04" w14:textId="77777777" w:rsidR="003B202C" w:rsidRPr="00A02DAB" w:rsidRDefault="003B202C" w:rsidP="00A22301">
      <w:pPr>
        <w:spacing w:line="480" w:lineRule="auto"/>
        <w:ind w:firstLine="0"/>
        <w:jc w:val="both"/>
        <w:rPr>
          <w:rFonts w:asciiTheme="minorBidi" w:hAnsiTheme="minorBidi"/>
          <w:sz w:val="20"/>
          <w:szCs w:val="20"/>
          <w:lang w:val="en-US"/>
        </w:rPr>
      </w:pPr>
    </w:p>
    <w:p w14:paraId="41D1DE10" w14:textId="5B72AD81" w:rsidR="003B202C" w:rsidRPr="00A02DAB" w:rsidRDefault="003B202C" w:rsidP="003B202C">
      <w:pPr>
        <w:pStyle w:val="Caption"/>
        <w:spacing w:line="360" w:lineRule="auto"/>
        <w:jc w:val="center"/>
        <w:rPr>
          <w:rFonts w:asciiTheme="minorBidi" w:hAnsiTheme="minorBidi"/>
          <w:color w:val="auto"/>
          <w:sz w:val="20"/>
          <w:szCs w:val="20"/>
          <w:lang w:val="en-US" w:eastAsia="zh-CN"/>
        </w:rPr>
      </w:pPr>
      <w:r w:rsidRPr="00A02DAB">
        <w:rPr>
          <w:rFonts w:asciiTheme="minorBidi" w:hAnsiTheme="minorBidi"/>
          <w:color w:val="auto"/>
          <w:sz w:val="20"/>
          <w:szCs w:val="20"/>
          <w:lang w:val="en-US" w:eastAsia="zh-CN"/>
        </w:rPr>
        <w:t xml:space="preserve">Table 2: </w:t>
      </w:r>
      <w:proofErr w:type="spellStart"/>
      <w:r w:rsidRPr="00A02DAB">
        <w:rPr>
          <w:rFonts w:asciiTheme="minorBidi" w:hAnsiTheme="minorBidi"/>
          <w:color w:val="auto"/>
          <w:sz w:val="20"/>
          <w:szCs w:val="20"/>
          <w:lang w:val="en-US" w:eastAsia="zh-CN"/>
        </w:rPr>
        <w:t>Acenocoumarol</w:t>
      </w:r>
      <w:proofErr w:type="spellEnd"/>
      <w:r w:rsidRPr="00A02DAB">
        <w:rPr>
          <w:rFonts w:asciiTheme="minorBidi" w:hAnsiTheme="minorBidi"/>
          <w:color w:val="auto"/>
          <w:sz w:val="20"/>
          <w:szCs w:val="20"/>
          <w:lang w:val="en-US" w:eastAsia="zh-CN"/>
        </w:rPr>
        <w:t xml:space="preserve"> dosages used in the study</w:t>
      </w:r>
    </w:p>
    <w:tbl>
      <w:tblPr>
        <w:tblStyle w:val="TableauListe4-Accentuation51"/>
        <w:tblW w:w="9634" w:type="dxa"/>
        <w:tblLook w:val="04A0" w:firstRow="1" w:lastRow="0" w:firstColumn="1" w:lastColumn="0" w:noHBand="0" w:noVBand="1"/>
      </w:tblPr>
      <w:tblGrid>
        <w:gridCol w:w="3256"/>
        <w:gridCol w:w="6378"/>
      </w:tblGrid>
      <w:tr w:rsidR="003B202C" w:rsidRPr="00A02DAB" w14:paraId="677B8767" w14:textId="77777777" w:rsidTr="003B20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B40E8CD" w14:textId="77777777" w:rsidR="003B202C" w:rsidRPr="00A02DAB" w:rsidRDefault="003B202C" w:rsidP="00F61FE1">
            <w:pPr>
              <w:spacing w:line="360" w:lineRule="auto"/>
              <w:rPr>
                <w:rFonts w:asciiTheme="minorBidi" w:hAnsiTheme="minorBidi" w:cstheme="minorBidi"/>
                <w:b w:val="0"/>
                <w:bCs w:val="0"/>
                <w:color w:val="FFFFFF"/>
                <w:lang w:val="en-US"/>
              </w:rPr>
            </w:pPr>
          </w:p>
        </w:tc>
        <w:tc>
          <w:tcPr>
            <w:tcW w:w="6378" w:type="dxa"/>
          </w:tcPr>
          <w:p w14:paraId="742FC3E8" w14:textId="6A2F5673" w:rsidR="003B202C" w:rsidRPr="00A02DAB" w:rsidRDefault="003B202C" w:rsidP="00F61FE1">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lang w:val="en-US"/>
              </w:rPr>
            </w:pPr>
            <w:r w:rsidRPr="00A02DAB">
              <w:rPr>
                <w:rFonts w:asciiTheme="minorBidi" w:hAnsiTheme="minorBidi" w:cstheme="minorBidi"/>
                <w:color w:val="auto"/>
                <w:lang w:val="en-US" w:eastAsia="zh-CN"/>
              </w:rPr>
              <w:t>Mean ± SD[Min-Max]</w:t>
            </w:r>
          </w:p>
        </w:tc>
      </w:tr>
      <w:tr w:rsidR="003B202C" w:rsidRPr="00A02DAB" w14:paraId="5EA69892" w14:textId="77777777" w:rsidTr="003B202C">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5" w:themeFillTint="33"/>
          </w:tcPr>
          <w:p w14:paraId="09065875" w14:textId="35145903" w:rsidR="003B202C" w:rsidRPr="00A02DAB" w:rsidRDefault="003B202C" w:rsidP="003B202C">
            <w:pPr>
              <w:spacing w:line="360" w:lineRule="auto"/>
              <w:jc w:val="center"/>
              <w:rPr>
                <w:rFonts w:asciiTheme="minorBidi" w:hAnsiTheme="minorBidi" w:cstheme="minorBidi"/>
                <w:b w:val="0"/>
                <w:bCs w:val="0"/>
                <w:color w:val="000000"/>
                <w:lang w:val="en-US"/>
              </w:rPr>
            </w:pPr>
            <w:r w:rsidRPr="00A02DAB">
              <w:rPr>
                <w:rFonts w:asciiTheme="minorBidi" w:hAnsiTheme="minorBidi" w:cstheme="minorBidi"/>
                <w:color w:val="000000"/>
                <w:lang w:val="en-US"/>
              </w:rPr>
              <w:t>Dose (mg)</w:t>
            </w:r>
          </w:p>
        </w:tc>
        <w:tc>
          <w:tcPr>
            <w:tcW w:w="6378" w:type="dxa"/>
            <w:shd w:val="clear" w:color="auto" w:fill="D9E2F3" w:themeFill="accent5" w:themeFillTint="33"/>
          </w:tcPr>
          <w:p w14:paraId="537C3268" w14:textId="77777777" w:rsidR="003B202C" w:rsidRPr="00A02DAB" w:rsidRDefault="003B202C" w:rsidP="003B202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val="en-US"/>
              </w:rPr>
            </w:pPr>
            <w:bookmarkStart w:id="2" w:name="_Hlk199195788"/>
            <w:r w:rsidRPr="00A02DAB">
              <w:rPr>
                <w:rFonts w:asciiTheme="minorBidi" w:hAnsiTheme="minorBidi" w:cstheme="minorBidi"/>
                <w:color w:val="000000"/>
                <w:lang w:eastAsia="zh-CN"/>
              </w:rPr>
              <w:t xml:space="preserve">2.52±0.7 </w:t>
            </w:r>
            <w:bookmarkEnd w:id="2"/>
            <w:r w:rsidRPr="00A02DAB">
              <w:rPr>
                <w:rFonts w:asciiTheme="minorBidi" w:hAnsiTheme="minorBidi" w:cstheme="minorBidi"/>
                <w:color w:val="000000"/>
                <w:lang w:eastAsia="zh-CN"/>
              </w:rPr>
              <w:t>(1.33-4.20)</w:t>
            </w:r>
          </w:p>
        </w:tc>
      </w:tr>
      <w:tr w:rsidR="003B202C" w:rsidRPr="00A02DAB" w14:paraId="3B5310DE" w14:textId="77777777" w:rsidTr="003B202C">
        <w:tc>
          <w:tcPr>
            <w:cnfStyle w:val="001000000000" w:firstRow="0" w:lastRow="0" w:firstColumn="1" w:lastColumn="0" w:oddVBand="0" w:evenVBand="0" w:oddHBand="0" w:evenHBand="0" w:firstRowFirstColumn="0" w:firstRowLastColumn="0" w:lastRowFirstColumn="0" w:lastRowLastColumn="0"/>
            <w:tcW w:w="3256" w:type="dxa"/>
          </w:tcPr>
          <w:p w14:paraId="3837FC3F" w14:textId="68A79CC2" w:rsidR="003B202C" w:rsidRPr="00A02DAB" w:rsidRDefault="003B202C" w:rsidP="003B202C">
            <w:pPr>
              <w:spacing w:line="360" w:lineRule="auto"/>
              <w:jc w:val="center"/>
              <w:rPr>
                <w:rFonts w:asciiTheme="minorBidi" w:hAnsiTheme="minorBidi" w:cstheme="minorBidi"/>
                <w:b w:val="0"/>
                <w:bCs w:val="0"/>
                <w:color w:val="000000"/>
                <w:lang w:val="en-US"/>
              </w:rPr>
            </w:pPr>
            <w:r w:rsidRPr="00A02DAB">
              <w:rPr>
                <w:rFonts w:asciiTheme="minorBidi" w:hAnsiTheme="minorBidi" w:cstheme="minorBidi"/>
                <w:color w:val="000000"/>
                <w:lang w:val="en-US"/>
              </w:rPr>
              <w:t>Dose (mg/kg)</w:t>
            </w:r>
          </w:p>
        </w:tc>
        <w:tc>
          <w:tcPr>
            <w:tcW w:w="6378" w:type="dxa"/>
          </w:tcPr>
          <w:p w14:paraId="56D4C33E" w14:textId="77777777" w:rsidR="003B202C" w:rsidRPr="00A02DAB" w:rsidRDefault="003B202C" w:rsidP="003B202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rPr>
            </w:pPr>
            <w:r w:rsidRPr="00A02DAB">
              <w:rPr>
                <w:rFonts w:asciiTheme="minorBidi" w:hAnsiTheme="minorBidi" w:cstheme="minorBidi"/>
                <w:color w:val="000000"/>
                <w:lang w:eastAsia="zh-CN"/>
              </w:rPr>
              <w:t>0.037±0.011 (0.019-0.067)</w:t>
            </w:r>
          </w:p>
        </w:tc>
      </w:tr>
      <w:tr w:rsidR="003B202C" w:rsidRPr="00A02DAB" w14:paraId="0F61B69D" w14:textId="77777777" w:rsidTr="003B202C">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5" w:themeFillTint="33"/>
          </w:tcPr>
          <w:p w14:paraId="7CBAEB56" w14:textId="15914028" w:rsidR="003B202C" w:rsidRPr="00A02DAB" w:rsidRDefault="003B202C" w:rsidP="003B202C">
            <w:pPr>
              <w:spacing w:line="360" w:lineRule="auto"/>
              <w:jc w:val="center"/>
              <w:rPr>
                <w:rFonts w:asciiTheme="minorBidi" w:hAnsiTheme="minorBidi" w:cstheme="minorBidi"/>
                <w:b w:val="0"/>
                <w:bCs w:val="0"/>
                <w:color w:val="000000"/>
              </w:rPr>
            </w:pPr>
            <w:r w:rsidRPr="00A02DAB">
              <w:rPr>
                <w:rFonts w:asciiTheme="minorBidi" w:hAnsiTheme="minorBidi" w:cstheme="minorBidi"/>
                <w:color w:val="000000"/>
              </w:rPr>
              <w:t>Balance dose (mg)</w:t>
            </w:r>
          </w:p>
        </w:tc>
        <w:tc>
          <w:tcPr>
            <w:tcW w:w="6378" w:type="dxa"/>
            <w:shd w:val="clear" w:color="auto" w:fill="D9E2F3" w:themeFill="accent5" w:themeFillTint="33"/>
          </w:tcPr>
          <w:p w14:paraId="29E34884" w14:textId="77777777" w:rsidR="003B202C" w:rsidRPr="00A02DAB" w:rsidRDefault="003B202C" w:rsidP="003B202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rPr>
            </w:pPr>
            <w:bookmarkStart w:id="3" w:name="_Hlk199195819"/>
            <w:r w:rsidRPr="00A02DAB">
              <w:rPr>
                <w:rFonts w:asciiTheme="minorBidi" w:hAnsiTheme="minorBidi" w:cstheme="minorBidi"/>
                <w:color w:val="000000"/>
                <w:lang w:eastAsia="zh-CN"/>
              </w:rPr>
              <w:t>2.72±0.89</w:t>
            </w:r>
            <w:bookmarkEnd w:id="3"/>
            <w:r w:rsidRPr="00A02DAB">
              <w:rPr>
                <w:rFonts w:asciiTheme="minorBidi" w:hAnsiTheme="minorBidi" w:cstheme="minorBidi"/>
                <w:color w:val="000000"/>
                <w:lang w:eastAsia="zh-CN"/>
              </w:rPr>
              <w:t>(1-5)</w:t>
            </w:r>
          </w:p>
        </w:tc>
      </w:tr>
      <w:tr w:rsidR="003B202C" w:rsidRPr="00A02DAB" w14:paraId="12BD90A9" w14:textId="77777777" w:rsidTr="003B202C">
        <w:tc>
          <w:tcPr>
            <w:cnfStyle w:val="001000000000" w:firstRow="0" w:lastRow="0" w:firstColumn="1" w:lastColumn="0" w:oddVBand="0" w:evenVBand="0" w:oddHBand="0" w:evenHBand="0" w:firstRowFirstColumn="0" w:firstRowLastColumn="0" w:lastRowFirstColumn="0" w:lastRowLastColumn="0"/>
            <w:tcW w:w="3256" w:type="dxa"/>
          </w:tcPr>
          <w:p w14:paraId="32A76387" w14:textId="47190456" w:rsidR="003B202C" w:rsidRPr="00A02DAB" w:rsidRDefault="003B202C" w:rsidP="003B202C">
            <w:pPr>
              <w:spacing w:line="360" w:lineRule="auto"/>
              <w:jc w:val="center"/>
              <w:rPr>
                <w:rFonts w:asciiTheme="minorBidi" w:hAnsiTheme="minorBidi" w:cstheme="minorBidi"/>
                <w:b w:val="0"/>
                <w:bCs w:val="0"/>
                <w:color w:val="000000"/>
              </w:rPr>
            </w:pPr>
            <w:proofErr w:type="spellStart"/>
            <w:r w:rsidRPr="00A02DAB">
              <w:rPr>
                <w:rFonts w:asciiTheme="minorBidi" w:hAnsiTheme="minorBidi" w:cstheme="minorBidi"/>
                <w:color w:val="000000"/>
              </w:rPr>
              <w:t>Equilibrium</w:t>
            </w:r>
            <w:proofErr w:type="spellEnd"/>
            <w:r w:rsidRPr="00A02DAB">
              <w:rPr>
                <w:rFonts w:asciiTheme="minorBidi" w:hAnsiTheme="minorBidi" w:cstheme="minorBidi"/>
                <w:color w:val="000000"/>
              </w:rPr>
              <w:t xml:space="preserve"> </w:t>
            </w:r>
            <w:proofErr w:type="spellStart"/>
            <w:r w:rsidRPr="00A02DAB">
              <w:rPr>
                <w:rFonts w:asciiTheme="minorBidi" w:hAnsiTheme="minorBidi" w:cstheme="minorBidi"/>
                <w:color w:val="000000"/>
              </w:rPr>
              <w:t>delay</w:t>
            </w:r>
            <w:proofErr w:type="spellEnd"/>
            <w:r w:rsidRPr="00A02DAB">
              <w:rPr>
                <w:rFonts w:asciiTheme="minorBidi" w:hAnsiTheme="minorBidi" w:cstheme="minorBidi"/>
                <w:color w:val="000000"/>
              </w:rPr>
              <w:t xml:space="preserve"> (</w:t>
            </w:r>
            <w:proofErr w:type="spellStart"/>
            <w:r w:rsidRPr="00A02DAB">
              <w:rPr>
                <w:rFonts w:asciiTheme="minorBidi" w:hAnsiTheme="minorBidi" w:cstheme="minorBidi"/>
                <w:color w:val="000000"/>
              </w:rPr>
              <w:t>days</w:t>
            </w:r>
            <w:proofErr w:type="spellEnd"/>
            <w:r w:rsidRPr="00A02DAB">
              <w:rPr>
                <w:rFonts w:asciiTheme="minorBidi" w:hAnsiTheme="minorBidi" w:cstheme="minorBidi"/>
                <w:color w:val="000000"/>
              </w:rPr>
              <w:t>)</w:t>
            </w:r>
          </w:p>
        </w:tc>
        <w:tc>
          <w:tcPr>
            <w:tcW w:w="6378" w:type="dxa"/>
          </w:tcPr>
          <w:p w14:paraId="5AA1F840" w14:textId="77777777" w:rsidR="003B202C" w:rsidRPr="00A02DAB" w:rsidRDefault="003B202C" w:rsidP="003B202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rPr>
            </w:pPr>
            <w:r w:rsidRPr="00A02DAB">
              <w:rPr>
                <w:rFonts w:asciiTheme="minorBidi" w:hAnsiTheme="minorBidi" w:cstheme="minorBidi"/>
                <w:color w:val="000000"/>
                <w:lang w:eastAsia="zh-CN"/>
              </w:rPr>
              <w:t>2.72±0.89 (1-23)</w:t>
            </w:r>
          </w:p>
        </w:tc>
      </w:tr>
    </w:tbl>
    <w:p w14:paraId="7ADE6B93" w14:textId="77777777" w:rsidR="003B202C" w:rsidRPr="00A02DAB" w:rsidRDefault="003B202C" w:rsidP="003B202C">
      <w:pPr>
        <w:spacing w:line="480" w:lineRule="auto"/>
        <w:jc w:val="center"/>
        <w:rPr>
          <w:rFonts w:asciiTheme="minorBidi" w:hAnsiTheme="minorBidi"/>
          <w:sz w:val="20"/>
          <w:szCs w:val="20"/>
          <w:lang w:val="en-US"/>
        </w:rPr>
      </w:pPr>
    </w:p>
    <w:p w14:paraId="48D4457D" w14:textId="459862B1" w:rsidR="00132531" w:rsidRPr="00A02DAB" w:rsidRDefault="002D0929">
      <w:pPr>
        <w:rPr>
          <w:rFonts w:asciiTheme="minorBidi" w:hAnsiTheme="minorBidi"/>
          <w:sz w:val="20"/>
          <w:szCs w:val="20"/>
          <w:lang w:val="en-US"/>
        </w:rPr>
      </w:pPr>
      <w:r w:rsidRPr="00A02DAB">
        <w:rPr>
          <w:rFonts w:asciiTheme="minorBidi" w:hAnsiTheme="minorBidi"/>
          <w:noProof/>
          <w:sz w:val="20"/>
          <w:szCs w:val="20"/>
          <w:lang w:val="en-US"/>
        </w:rPr>
        <w:drawing>
          <wp:inline distT="0" distB="0" distL="0" distR="0" wp14:anchorId="53CB4FF6" wp14:editId="3BF51E4E">
            <wp:extent cx="3105150" cy="2295525"/>
            <wp:effectExtent l="0" t="0" r="0" b="9525"/>
            <wp:docPr id="10285451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2295525"/>
                    </a:xfrm>
                    <a:prstGeom prst="rect">
                      <a:avLst/>
                    </a:prstGeom>
                    <a:noFill/>
                    <a:ln>
                      <a:noFill/>
                    </a:ln>
                  </pic:spPr>
                </pic:pic>
              </a:graphicData>
            </a:graphic>
          </wp:inline>
        </w:drawing>
      </w:r>
    </w:p>
    <w:p w14:paraId="5D735122" w14:textId="77D88004" w:rsidR="002D0929" w:rsidRPr="00A02DAB" w:rsidRDefault="002D0929">
      <w:pPr>
        <w:rPr>
          <w:rFonts w:asciiTheme="minorBidi" w:eastAsiaTheme="minorHAnsi" w:hAnsiTheme="minorBidi"/>
          <w:b/>
          <w:bCs/>
          <w:kern w:val="2"/>
          <w:sz w:val="20"/>
          <w:szCs w:val="20"/>
          <w:lang w:val="en-US"/>
        </w:rPr>
      </w:pPr>
      <w:r w:rsidRPr="00A02DAB">
        <w:rPr>
          <w:rFonts w:asciiTheme="minorBidi" w:eastAsiaTheme="minorHAnsi" w:hAnsiTheme="minorBidi"/>
          <w:b/>
          <w:bCs/>
          <w:kern w:val="2"/>
          <w:sz w:val="20"/>
          <w:szCs w:val="20"/>
          <w:lang w:val="en-US"/>
        </w:rPr>
        <w:t>Figure 1:</w:t>
      </w:r>
      <w:r w:rsidR="004979A9" w:rsidRPr="00A02DAB">
        <w:rPr>
          <w:rFonts w:asciiTheme="minorBidi" w:eastAsiaTheme="minorHAnsi" w:hAnsiTheme="minorBidi"/>
          <w:b/>
          <w:bCs/>
          <w:kern w:val="2"/>
          <w:sz w:val="20"/>
          <w:szCs w:val="20"/>
          <w:lang w:val="en-US"/>
        </w:rPr>
        <w:t xml:space="preserve"> Frequency of the</w:t>
      </w:r>
      <w:r w:rsidR="00DC50BF" w:rsidRPr="00A02DAB">
        <w:rPr>
          <w:rFonts w:asciiTheme="minorBidi" w:eastAsiaTheme="minorHAnsi" w:hAnsiTheme="minorBidi"/>
          <w:b/>
          <w:bCs/>
          <w:kern w:val="2"/>
          <w:sz w:val="20"/>
          <w:szCs w:val="20"/>
          <w:lang w:val="en-US"/>
        </w:rPr>
        <w:t xml:space="preserve"> s</w:t>
      </w:r>
      <w:r w:rsidRPr="00A02DAB">
        <w:rPr>
          <w:rFonts w:asciiTheme="minorBidi" w:eastAsiaTheme="minorHAnsi" w:hAnsiTheme="minorBidi"/>
          <w:b/>
          <w:bCs/>
          <w:kern w:val="2"/>
          <w:sz w:val="20"/>
          <w:szCs w:val="20"/>
          <w:lang w:val="en-US"/>
        </w:rPr>
        <w:t xml:space="preserve">tabilized patients on </w:t>
      </w:r>
      <w:proofErr w:type="spellStart"/>
      <w:r w:rsidRPr="00A02DAB">
        <w:rPr>
          <w:rFonts w:asciiTheme="minorBidi" w:eastAsiaTheme="minorHAnsi" w:hAnsiTheme="minorBidi"/>
          <w:b/>
          <w:bCs/>
          <w:kern w:val="2"/>
          <w:sz w:val="20"/>
          <w:szCs w:val="20"/>
          <w:lang w:val="en-US"/>
        </w:rPr>
        <w:t>acenocoumarol</w:t>
      </w:r>
      <w:proofErr w:type="spellEnd"/>
      <w:r w:rsidR="004979A9" w:rsidRPr="00A02DAB">
        <w:rPr>
          <w:rFonts w:asciiTheme="minorBidi" w:eastAsiaTheme="minorHAnsi" w:hAnsiTheme="minorBidi"/>
          <w:b/>
          <w:bCs/>
          <w:kern w:val="2"/>
          <w:sz w:val="20"/>
          <w:szCs w:val="20"/>
          <w:lang w:val="en-US"/>
        </w:rPr>
        <w:t xml:space="preserve"> </w:t>
      </w:r>
      <w:r w:rsidRPr="00A02DAB">
        <w:rPr>
          <w:rFonts w:asciiTheme="minorBidi" w:eastAsiaTheme="minorHAnsi" w:hAnsiTheme="minorBidi"/>
          <w:b/>
          <w:bCs/>
          <w:kern w:val="2"/>
          <w:sz w:val="20"/>
          <w:szCs w:val="20"/>
          <w:lang w:val="en-US"/>
        </w:rPr>
        <w:t>at the start of treatment</w:t>
      </w:r>
    </w:p>
    <w:p w14:paraId="762F9457" w14:textId="77777777" w:rsidR="004979A9" w:rsidRPr="00A02DAB" w:rsidRDefault="004979A9">
      <w:pPr>
        <w:rPr>
          <w:rFonts w:asciiTheme="minorBidi" w:eastAsiaTheme="minorHAnsi" w:hAnsiTheme="minorBidi"/>
          <w:b/>
          <w:bCs/>
          <w:kern w:val="2"/>
          <w:sz w:val="20"/>
          <w:szCs w:val="20"/>
          <w:lang w:val="en-US"/>
        </w:rPr>
      </w:pPr>
    </w:p>
    <w:p w14:paraId="281215E6" w14:textId="77777777" w:rsidR="004979A9" w:rsidRPr="00A02DAB" w:rsidRDefault="004979A9">
      <w:pPr>
        <w:rPr>
          <w:rFonts w:asciiTheme="minorBidi" w:eastAsiaTheme="minorHAnsi" w:hAnsiTheme="minorBidi"/>
          <w:b/>
          <w:bCs/>
          <w:kern w:val="2"/>
          <w:sz w:val="20"/>
          <w:szCs w:val="20"/>
          <w:lang w:val="en-US"/>
        </w:rPr>
      </w:pPr>
    </w:p>
    <w:p w14:paraId="23F83019" w14:textId="178BC233" w:rsidR="002D2A47" w:rsidRPr="00A02DAB" w:rsidRDefault="00D97210">
      <w:pPr>
        <w:rPr>
          <w:rFonts w:asciiTheme="minorBidi" w:eastAsiaTheme="minorHAnsi" w:hAnsiTheme="minorBidi"/>
          <w:b/>
          <w:bCs/>
          <w:kern w:val="2"/>
          <w:sz w:val="20"/>
          <w:szCs w:val="20"/>
          <w:lang w:val="en-US"/>
        </w:rPr>
      </w:pPr>
      <w:r w:rsidRPr="00A02DAB">
        <w:rPr>
          <w:rFonts w:asciiTheme="minorBidi" w:eastAsiaTheme="minorHAnsi" w:hAnsiTheme="minorBidi"/>
          <w:b/>
          <w:bCs/>
          <w:noProof/>
          <w:kern w:val="2"/>
          <w:sz w:val="20"/>
          <w:szCs w:val="20"/>
          <w:lang w:val="en-US"/>
        </w:rPr>
        <w:lastRenderedPageBreak/>
        <w:drawing>
          <wp:inline distT="0" distB="0" distL="0" distR="0" wp14:anchorId="36475389" wp14:editId="756DFCE5">
            <wp:extent cx="2924175" cy="2505075"/>
            <wp:effectExtent l="0" t="0" r="9525" b="9525"/>
            <wp:docPr id="6027841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2505075"/>
                    </a:xfrm>
                    <a:prstGeom prst="rect">
                      <a:avLst/>
                    </a:prstGeom>
                    <a:noFill/>
                    <a:ln>
                      <a:noFill/>
                    </a:ln>
                  </pic:spPr>
                </pic:pic>
              </a:graphicData>
            </a:graphic>
          </wp:inline>
        </w:drawing>
      </w:r>
    </w:p>
    <w:p w14:paraId="7A32A9D0" w14:textId="317F5817" w:rsidR="002D0929" w:rsidRPr="00A02DAB" w:rsidRDefault="002D2A47" w:rsidP="004979A9">
      <w:pPr>
        <w:rPr>
          <w:rFonts w:asciiTheme="minorBidi" w:eastAsiaTheme="minorHAnsi" w:hAnsiTheme="minorBidi"/>
          <w:b/>
          <w:bCs/>
          <w:kern w:val="2"/>
          <w:sz w:val="20"/>
          <w:szCs w:val="20"/>
          <w:lang w:val="en-US"/>
        </w:rPr>
      </w:pPr>
      <w:r w:rsidRPr="00A02DAB">
        <w:rPr>
          <w:rFonts w:asciiTheme="minorBidi" w:eastAsiaTheme="minorHAnsi" w:hAnsiTheme="minorBidi"/>
          <w:b/>
          <w:bCs/>
          <w:kern w:val="2"/>
          <w:sz w:val="20"/>
          <w:szCs w:val="20"/>
          <w:lang w:val="en-US"/>
        </w:rPr>
        <w:t>Figure</w:t>
      </w:r>
      <w:bookmarkStart w:id="4" w:name="_Toc26081"/>
      <w:r w:rsidRPr="00A02DAB">
        <w:rPr>
          <w:rFonts w:asciiTheme="minorBidi" w:eastAsiaTheme="minorHAnsi" w:hAnsiTheme="minorBidi"/>
          <w:b/>
          <w:bCs/>
          <w:kern w:val="2"/>
          <w:sz w:val="20"/>
          <w:szCs w:val="20"/>
          <w:lang w:val="en-US"/>
        </w:rPr>
        <w:t xml:space="preserve"> 2:</w:t>
      </w:r>
      <w:bookmarkEnd w:id="4"/>
      <w:r w:rsidR="004979A9" w:rsidRPr="00A02DAB">
        <w:rPr>
          <w:rFonts w:asciiTheme="minorBidi" w:eastAsiaTheme="minorHAnsi" w:hAnsiTheme="minorBidi"/>
          <w:b/>
          <w:bCs/>
          <w:kern w:val="2"/>
          <w:sz w:val="20"/>
          <w:szCs w:val="20"/>
          <w:lang w:val="en-US"/>
        </w:rPr>
        <w:t xml:space="preserve"> Frequency of </w:t>
      </w:r>
      <w:r w:rsidR="00DC50BF" w:rsidRPr="00A02DAB">
        <w:rPr>
          <w:rFonts w:asciiTheme="minorBidi" w:eastAsiaTheme="minorHAnsi" w:hAnsiTheme="minorBidi"/>
          <w:b/>
          <w:bCs/>
          <w:kern w:val="2"/>
          <w:sz w:val="20"/>
          <w:szCs w:val="20"/>
          <w:lang w:val="en-US"/>
        </w:rPr>
        <w:t>the stabilized</w:t>
      </w:r>
      <w:r w:rsidR="004979A9" w:rsidRPr="00A02DAB">
        <w:rPr>
          <w:rFonts w:asciiTheme="minorBidi" w:eastAsiaTheme="minorHAnsi" w:hAnsiTheme="minorBidi"/>
          <w:b/>
          <w:bCs/>
          <w:kern w:val="2"/>
          <w:sz w:val="20"/>
          <w:szCs w:val="20"/>
          <w:lang w:val="en-US"/>
        </w:rPr>
        <w:t xml:space="preserve"> patients on </w:t>
      </w:r>
      <w:proofErr w:type="spellStart"/>
      <w:r w:rsidR="004979A9" w:rsidRPr="00A02DAB">
        <w:rPr>
          <w:rFonts w:asciiTheme="minorBidi" w:eastAsiaTheme="minorHAnsi" w:hAnsiTheme="minorBidi"/>
          <w:b/>
          <w:bCs/>
          <w:kern w:val="2"/>
          <w:sz w:val="20"/>
          <w:szCs w:val="20"/>
          <w:lang w:val="en-US"/>
        </w:rPr>
        <w:t>acenocoumarol</w:t>
      </w:r>
      <w:proofErr w:type="spellEnd"/>
      <w:r w:rsidR="004979A9" w:rsidRPr="00A02DAB">
        <w:rPr>
          <w:rFonts w:asciiTheme="minorBidi" w:eastAsiaTheme="minorHAnsi" w:hAnsiTheme="minorBidi"/>
          <w:b/>
          <w:bCs/>
          <w:kern w:val="2"/>
          <w:sz w:val="20"/>
          <w:szCs w:val="20"/>
          <w:lang w:val="en-US"/>
        </w:rPr>
        <w:t xml:space="preserve"> at the end of study</w:t>
      </w:r>
    </w:p>
    <w:p w14:paraId="1B41C5AD" w14:textId="77777777" w:rsidR="00BD547A" w:rsidRPr="00A02DAB" w:rsidRDefault="00BD547A" w:rsidP="004979A9">
      <w:pPr>
        <w:rPr>
          <w:rFonts w:asciiTheme="minorBidi" w:eastAsiaTheme="minorHAnsi" w:hAnsiTheme="minorBidi"/>
          <w:b/>
          <w:bCs/>
          <w:kern w:val="2"/>
          <w:sz w:val="20"/>
          <w:szCs w:val="20"/>
          <w:lang w:val="en-US"/>
        </w:rPr>
      </w:pPr>
    </w:p>
    <w:p w14:paraId="2374CBA6" w14:textId="19188FC9" w:rsidR="00BD547A" w:rsidRPr="00A02DAB" w:rsidRDefault="00BD547A" w:rsidP="004979A9">
      <w:pPr>
        <w:rPr>
          <w:rFonts w:asciiTheme="minorBidi" w:eastAsiaTheme="minorHAnsi" w:hAnsiTheme="minorBidi"/>
          <w:b/>
          <w:bCs/>
          <w:kern w:val="2"/>
          <w:sz w:val="20"/>
          <w:szCs w:val="20"/>
          <w:lang w:val="en-US"/>
        </w:rPr>
      </w:pPr>
      <w:r w:rsidRPr="00A02DAB">
        <w:rPr>
          <w:rFonts w:asciiTheme="minorBidi" w:hAnsiTheme="minorBidi"/>
          <w:noProof/>
          <w:sz w:val="20"/>
          <w:szCs w:val="20"/>
        </w:rPr>
        <w:drawing>
          <wp:inline distT="0" distB="0" distL="114300" distR="114300" wp14:anchorId="5E50C27F" wp14:editId="5B426FFB">
            <wp:extent cx="5762625" cy="3378835"/>
            <wp:effectExtent l="0" t="0" r="9525" b="12065"/>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
                    <pic:cNvPicPr>
                      <a:picLocks noChangeAspect="1"/>
                    </pic:cNvPicPr>
                  </pic:nvPicPr>
                  <pic:blipFill>
                    <a:blip r:embed="rId9"/>
                    <a:stretch>
                      <a:fillRect/>
                    </a:stretch>
                  </pic:blipFill>
                  <pic:spPr>
                    <a:xfrm>
                      <a:off x="0" y="0"/>
                      <a:ext cx="5762625" cy="3378835"/>
                    </a:xfrm>
                    <a:prstGeom prst="rect">
                      <a:avLst/>
                    </a:prstGeom>
                    <a:noFill/>
                    <a:ln>
                      <a:noFill/>
                    </a:ln>
                  </pic:spPr>
                </pic:pic>
              </a:graphicData>
            </a:graphic>
          </wp:inline>
        </w:drawing>
      </w:r>
    </w:p>
    <w:p w14:paraId="087BB677" w14:textId="6BAC7E6E" w:rsidR="00BD547A" w:rsidRPr="00A02DAB" w:rsidRDefault="00BD547A" w:rsidP="00BD547A">
      <w:pPr>
        <w:pStyle w:val="Caption"/>
        <w:spacing w:line="360" w:lineRule="auto"/>
        <w:jc w:val="center"/>
        <w:rPr>
          <w:rFonts w:asciiTheme="minorBidi" w:hAnsiTheme="minorBidi"/>
          <w:color w:val="auto"/>
          <w:sz w:val="20"/>
          <w:szCs w:val="20"/>
          <w:lang w:val="en-US"/>
        </w:rPr>
      </w:pPr>
      <w:r w:rsidRPr="00A02DAB">
        <w:rPr>
          <w:rFonts w:asciiTheme="minorBidi" w:hAnsiTheme="minorBidi"/>
          <w:color w:val="auto"/>
          <w:sz w:val="20"/>
          <w:szCs w:val="20"/>
          <w:lang w:val="en-US"/>
        </w:rPr>
        <w:t>Figure</w:t>
      </w:r>
      <w:bookmarkStart w:id="5" w:name="_Toc4222"/>
      <w:r w:rsidRPr="00A02DAB">
        <w:rPr>
          <w:rFonts w:asciiTheme="minorBidi" w:hAnsiTheme="minorBidi"/>
          <w:color w:val="auto"/>
          <w:sz w:val="20"/>
          <w:szCs w:val="20"/>
          <w:lang w:val="en-US"/>
        </w:rPr>
        <w:t xml:space="preserve"> 3: </w:t>
      </w:r>
      <w:bookmarkEnd w:id="5"/>
      <w:r w:rsidRPr="00A02DAB">
        <w:rPr>
          <w:rFonts w:asciiTheme="minorBidi" w:hAnsiTheme="minorBidi"/>
          <w:color w:val="auto"/>
          <w:sz w:val="20"/>
          <w:szCs w:val="20"/>
          <w:lang w:val="en-US"/>
        </w:rPr>
        <w:t>Distribution of patients according to TTR</w:t>
      </w:r>
    </w:p>
    <w:p w14:paraId="2CCA9F79" w14:textId="77777777" w:rsidR="00BD5E87" w:rsidRPr="00A02DAB" w:rsidRDefault="00BD5E87" w:rsidP="00BD5E87">
      <w:pPr>
        <w:rPr>
          <w:rFonts w:asciiTheme="minorBidi" w:hAnsiTheme="minorBidi"/>
          <w:sz w:val="20"/>
          <w:szCs w:val="20"/>
          <w:lang w:val="en-US"/>
        </w:rPr>
      </w:pPr>
    </w:p>
    <w:p w14:paraId="32E95A65" w14:textId="1FFE04EF" w:rsidR="00BD5E87" w:rsidRPr="00A02DAB" w:rsidRDefault="00BD5E87" w:rsidP="00BD5E87">
      <w:pPr>
        <w:rPr>
          <w:rFonts w:asciiTheme="minorBidi" w:eastAsiaTheme="minorHAnsi" w:hAnsiTheme="minorBidi"/>
          <w:b/>
          <w:bCs/>
          <w:kern w:val="2"/>
          <w:sz w:val="20"/>
          <w:szCs w:val="20"/>
          <w:lang w:val="en-US"/>
        </w:rPr>
      </w:pPr>
      <w:r w:rsidRPr="00A02DAB">
        <w:rPr>
          <w:rFonts w:asciiTheme="minorBidi" w:eastAsiaTheme="minorHAnsi" w:hAnsiTheme="minorBidi"/>
          <w:b/>
          <w:bCs/>
          <w:noProof/>
          <w:kern w:val="2"/>
          <w:sz w:val="20"/>
          <w:szCs w:val="20"/>
          <w:lang w:val="en-US"/>
        </w:rPr>
        <w:lastRenderedPageBreak/>
        <w:drawing>
          <wp:inline distT="0" distB="0" distL="0" distR="0" wp14:anchorId="219C4FD4" wp14:editId="20C4264C">
            <wp:extent cx="5124450" cy="2905125"/>
            <wp:effectExtent l="0" t="0" r="0" b="9525"/>
            <wp:docPr id="210083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2905125"/>
                    </a:xfrm>
                    <a:prstGeom prst="rect">
                      <a:avLst/>
                    </a:prstGeom>
                    <a:noFill/>
                    <a:ln>
                      <a:noFill/>
                    </a:ln>
                  </pic:spPr>
                </pic:pic>
              </a:graphicData>
            </a:graphic>
          </wp:inline>
        </w:drawing>
      </w:r>
    </w:p>
    <w:p w14:paraId="1A3B5D0B" w14:textId="13755993" w:rsidR="001258B7" w:rsidRPr="00A02DAB" w:rsidRDefault="001258B7" w:rsidP="001258B7">
      <w:pPr>
        <w:pStyle w:val="Caption"/>
        <w:spacing w:line="360" w:lineRule="auto"/>
        <w:jc w:val="center"/>
        <w:rPr>
          <w:rFonts w:asciiTheme="minorBidi" w:hAnsiTheme="minorBidi"/>
          <w:color w:val="auto"/>
          <w:sz w:val="20"/>
          <w:szCs w:val="20"/>
          <w:lang w:val="en-US"/>
        </w:rPr>
      </w:pPr>
      <w:r w:rsidRPr="00A02DAB">
        <w:rPr>
          <w:rFonts w:asciiTheme="minorBidi" w:hAnsiTheme="minorBidi"/>
          <w:color w:val="auto"/>
          <w:sz w:val="20"/>
          <w:szCs w:val="20"/>
          <w:lang w:val="en-US"/>
        </w:rPr>
        <w:t>Figure</w:t>
      </w:r>
      <w:bookmarkStart w:id="6" w:name="_Toc21020"/>
      <w:r w:rsidRPr="00A02DAB">
        <w:rPr>
          <w:rFonts w:asciiTheme="minorBidi" w:hAnsiTheme="minorBidi"/>
          <w:color w:val="auto"/>
          <w:sz w:val="20"/>
          <w:szCs w:val="20"/>
          <w:lang w:val="en-US"/>
        </w:rPr>
        <w:t xml:space="preserve"> 4: </w:t>
      </w:r>
      <w:bookmarkEnd w:id="6"/>
      <w:r w:rsidRPr="00A02DAB">
        <w:rPr>
          <w:rFonts w:asciiTheme="minorBidi" w:hAnsiTheme="minorBidi"/>
          <w:color w:val="auto"/>
          <w:sz w:val="20"/>
          <w:szCs w:val="20"/>
          <w:lang w:val="en-US"/>
        </w:rPr>
        <w:t>Distribution according to the occurrence and type of adverse event.</w:t>
      </w:r>
    </w:p>
    <w:p w14:paraId="6194582B" w14:textId="77777777" w:rsidR="00D63AD2" w:rsidRPr="00A02DAB" w:rsidRDefault="00D63AD2" w:rsidP="00D63AD2">
      <w:pPr>
        <w:rPr>
          <w:rFonts w:asciiTheme="minorBidi" w:hAnsiTheme="minorBidi"/>
          <w:sz w:val="20"/>
          <w:szCs w:val="20"/>
          <w:lang w:val="en-US"/>
        </w:rPr>
      </w:pPr>
    </w:p>
    <w:p w14:paraId="1C6B4CBC" w14:textId="77777777" w:rsidR="00D63AD2" w:rsidRPr="00A02DAB" w:rsidRDefault="00D63AD2" w:rsidP="00D63AD2">
      <w:pPr>
        <w:rPr>
          <w:rFonts w:asciiTheme="minorBidi" w:hAnsiTheme="minorBidi"/>
          <w:sz w:val="20"/>
          <w:szCs w:val="20"/>
          <w:lang w:val="en-US"/>
        </w:rPr>
      </w:pPr>
    </w:p>
    <w:p w14:paraId="47F37005" w14:textId="77777777" w:rsidR="00D63AD2" w:rsidRPr="00A02DAB" w:rsidRDefault="00D63AD2" w:rsidP="00D63AD2">
      <w:pPr>
        <w:rPr>
          <w:rFonts w:asciiTheme="minorBidi" w:hAnsiTheme="minorBidi"/>
          <w:sz w:val="20"/>
          <w:szCs w:val="20"/>
          <w:lang w:val="en-US"/>
        </w:rPr>
      </w:pPr>
    </w:p>
    <w:p w14:paraId="3D0C9347" w14:textId="77777777" w:rsidR="00D63AD2" w:rsidRPr="00A02DAB" w:rsidRDefault="00D63AD2" w:rsidP="00D63AD2">
      <w:pPr>
        <w:rPr>
          <w:rFonts w:asciiTheme="minorBidi" w:hAnsiTheme="minorBidi"/>
          <w:sz w:val="20"/>
          <w:szCs w:val="20"/>
          <w:lang w:val="en-US"/>
        </w:rPr>
      </w:pPr>
    </w:p>
    <w:p w14:paraId="3C9FFB63" w14:textId="77777777" w:rsidR="00241B5B" w:rsidRPr="00A02DAB" w:rsidRDefault="00241B5B" w:rsidP="00241B5B">
      <w:pPr>
        <w:rPr>
          <w:rFonts w:asciiTheme="minorBidi" w:hAnsiTheme="minorBidi"/>
          <w:sz w:val="20"/>
          <w:szCs w:val="20"/>
          <w:lang w:val="en-US"/>
        </w:rPr>
      </w:pPr>
    </w:p>
    <w:p w14:paraId="0CCFF303" w14:textId="4050100D" w:rsidR="00241B5B" w:rsidRPr="00A02DAB" w:rsidRDefault="00241B5B" w:rsidP="00A02DAB">
      <w:pPr>
        <w:pStyle w:val="ListParagraph"/>
        <w:numPr>
          <w:ilvl w:val="0"/>
          <w:numId w:val="1"/>
        </w:numPr>
        <w:tabs>
          <w:tab w:val="left" w:pos="1380"/>
        </w:tabs>
        <w:spacing w:before="240" w:after="200" w:line="480" w:lineRule="auto"/>
        <w:rPr>
          <w:rFonts w:asciiTheme="minorBidi" w:eastAsiaTheme="minorHAnsi" w:hAnsiTheme="minorBidi"/>
          <w:b/>
          <w:bCs/>
          <w:sz w:val="20"/>
          <w:szCs w:val="20"/>
          <w:lang w:val="en-US"/>
        </w:rPr>
      </w:pPr>
      <w:r w:rsidRPr="00A02DAB">
        <w:rPr>
          <w:rFonts w:asciiTheme="minorBidi" w:eastAsiaTheme="minorHAnsi" w:hAnsiTheme="minorBidi"/>
          <w:b/>
          <w:bCs/>
          <w:sz w:val="20"/>
          <w:szCs w:val="20"/>
          <w:lang w:val="en-US"/>
        </w:rPr>
        <w:t>DISCUSSION</w:t>
      </w:r>
    </w:p>
    <w:p w14:paraId="4B6E09E4" w14:textId="479511B0" w:rsidR="00712EB7" w:rsidRPr="00A02DAB" w:rsidRDefault="00712EB7"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This study was conducted to evaluate the quality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anticoagulation at the </w:t>
      </w:r>
      <w:r w:rsidR="00BF2576" w:rsidRPr="00A02DAB">
        <w:rPr>
          <w:rFonts w:asciiTheme="minorBidi" w:hAnsiTheme="minorBidi"/>
          <w:sz w:val="20"/>
          <w:szCs w:val="20"/>
          <w:lang w:val="en-US"/>
        </w:rPr>
        <w:t>University and Hospital Establishment of Oran, in Algeria</w:t>
      </w:r>
      <w:r w:rsidRPr="00A02DAB">
        <w:rPr>
          <w:rFonts w:asciiTheme="minorBidi" w:hAnsiTheme="minorBidi"/>
          <w:sz w:val="20"/>
          <w:szCs w:val="20"/>
          <w:lang w:val="en-US"/>
        </w:rPr>
        <w:t xml:space="preserve">. The study included a sample of 51 patients, 54.9% of whom were female, indicating a slight female predominance with a sex ratio of 0.82. The mean age of the patients was 55 ± 2.33 years. These results are consistent with those reported by </w:t>
      </w:r>
      <w:proofErr w:type="spellStart"/>
      <w:r w:rsidRPr="00A02DAB">
        <w:rPr>
          <w:rFonts w:asciiTheme="minorBidi" w:hAnsiTheme="minorBidi"/>
          <w:sz w:val="20"/>
          <w:szCs w:val="20"/>
          <w:lang w:val="en-US"/>
        </w:rPr>
        <w:t>Smires</w:t>
      </w:r>
      <w:proofErr w:type="spellEnd"/>
      <w:r w:rsidRPr="00A02DAB">
        <w:rPr>
          <w:rFonts w:asciiTheme="minorBidi" w:hAnsiTheme="minorBidi"/>
          <w:sz w:val="20"/>
          <w:szCs w:val="20"/>
          <w:lang w:val="en-US"/>
        </w:rPr>
        <w:t xml:space="preserve"> </w:t>
      </w:r>
      <w:r w:rsidR="001A7977" w:rsidRPr="00A02DAB">
        <w:rPr>
          <w:rFonts w:asciiTheme="minorBidi" w:hAnsiTheme="minorBidi"/>
          <w:sz w:val="20"/>
          <w:szCs w:val="20"/>
          <w:lang w:val="en-US"/>
        </w:rPr>
        <w:t>and</w:t>
      </w:r>
      <w:r w:rsidRPr="00A02DAB">
        <w:rPr>
          <w:rFonts w:asciiTheme="minorBidi" w:hAnsiTheme="minorBidi"/>
          <w:sz w:val="20"/>
          <w:szCs w:val="20"/>
          <w:lang w:val="en-US"/>
        </w:rPr>
        <w:t xml:space="preserve"> al.</w:t>
      </w:r>
      <w:r w:rsidR="007D6E8F" w:rsidRPr="00A02DAB">
        <w:rPr>
          <w:rFonts w:asciiTheme="minorBidi" w:hAnsiTheme="minorBidi"/>
          <w:sz w:val="20"/>
          <w:szCs w:val="20"/>
          <w:lang w:val="en-US"/>
        </w:rPr>
        <w:t xml:space="preserve"> </w:t>
      </w:r>
      <w:r w:rsidRPr="00A02DAB">
        <w:rPr>
          <w:rFonts w:asciiTheme="minorBidi" w:hAnsiTheme="minorBidi"/>
          <w:sz w:val="20"/>
          <w:szCs w:val="20"/>
          <w:lang w:val="en-US"/>
        </w:rPr>
        <w:t xml:space="preserve">who observed a mean age of 50 ± 15 years in a cohort of 114 Moroccan patients, as well as with the study conducted by </w:t>
      </w:r>
      <w:proofErr w:type="spellStart"/>
      <w:r w:rsidRPr="00A02DAB">
        <w:rPr>
          <w:rFonts w:asciiTheme="minorBidi" w:hAnsiTheme="minorBidi"/>
          <w:sz w:val="20"/>
          <w:szCs w:val="20"/>
          <w:lang w:val="en-US"/>
        </w:rPr>
        <w:t>Ajemi</w:t>
      </w:r>
      <w:proofErr w:type="spellEnd"/>
      <w:r w:rsidRPr="00A02DAB">
        <w:rPr>
          <w:rFonts w:asciiTheme="minorBidi" w:hAnsiTheme="minorBidi"/>
          <w:sz w:val="20"/>
          <w:szCs w:val="20"/>
          <w:lang w:val="en-US"/>
        </w:rPr>
        <w:t xml:space="preserve"> </w:t>
      </w:r>
      <w:r w:rsidR="001A7977" w:rsidRPr="00A02DAB">
        <w:rPr>
          <w:rFonts w:asciiTheme="minorBidi" w:hAnsiTheme="minorBidi"/>
          <w:sz w:val="20"/>
          <w:szCs w:val="20"/>
          <w:lang w:val="en-US"/>
        </w:rPr>
        <w:t>and</w:t>
      </w:r>
      <w:r w:rsidRPr="00A02DAB">
        <w:rPr>
          <w:rFonts w:asciiTheme="minorBidi" w:hAnsiTheme="minorBidi"/>
          <w:sz w:val="20"/>
          <w:szCs w:val="20"/>
          <w:lang w:val="en-US"/>
        </w:rPr>
        <w:t xml:space="preserve"> al.</w:t>
      </w:r>
      <w:r w:rsidR="007D6E8F" w:rsidRPr="00A02DAB">
        <w:rPr>
          <w:rFonts w:asciiTheme="minorBidi" w:hAnsiTheme="minorBidi"/>
          <w:sz w:val="20"/>
          <w:szCs w:val="20"/>
          <w:lang w:val="en-US"/>
        </w:rPr>
        <w:t xml:space="preserve"> </w:t>
      </w:r>
      <w:r w:rsidRPr="00A02DAB">
        <w:rPr>
          <w:rFonts w:asciiTheme="minorBidi" w:hAnsiTheme="minorBidi"/>
          <w:sz w:val="20"/>
          <w:szCs w:val="20"/>
          <w:lang w:val="en-US"/>
        </w:rPr>
        <w:t>in a Tunisian population, where the mean age was 58.24 ± 17.65 years</w:t>
      </w:r>
      <w:r w:rsidR="00BF2576" w:rsidRPr="00A02DAB">
        <w:rPr>
          <w:rFonts w:asciiTheme="minorBidi" w:hAnsiTheme="minorBidi"/>
          <w:sz w:val="20"/>
          <w:szCs w:val="20"/>
          <w:lang w:val="en-US"/>
        </w:rPr>
        <w:t xml:space="preserve"> </w:t>
      </w:r>
      <w:r w:rsidR="00BF2576"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{"citationID":"bzzUw9nF","properties":{"formattedCitation":"(8,9)","plainCitation":"(8,9)","noteIndex":0},"citationItems":[{"id":313,"uris":["http://zotero.org/users/local/a5KFpvZM/items/TZMMP75W"],"itemData":{"id":313,"type":"article-journal","abstract":"Coumarin derivatives such as acenocoumarol represent the therapy of choice for the long-term treatment and prevention of thromboembolic diseases. Many genetics determinants involved in the metabolism of acenocoumarol have been shown to influence the anticoagulant dosage. The aim of this work was to evaluate, for the first time in Maghreb, the allelic frequencies of CYP2C9*2, CYP2C9*3 and VKORC1 -1639G&gt;A mutations, and to establish the role of this polymorphisms in modulating the acenocoumarol requirement in Moroccan patients receiving anticoagulation treatment. Three groups of patients, with low, medium, or high acenocoumarol dose requirements were studied. Genetic analyses of VKORC1 -1639G&gt;A, CYP2C9*2, and CYP2C9*3, were performed in 114 Moroccan patients with stable acenocoumarol dose. The results showed that the allelic frequencies of the three mutations studied was varies, most of patients having CYP2C9*2 and CYP2C9*3 mutations belong to a group with low dose of acenocoumarol, with P-value of 0.0082 and the single patient with CYP2C9*3 on homozygous form belongs to the same group and carried the A allele for VKORC1 gene. In conclusion, the present study confirmed the large interindividual variability in acenocoumarol maintenance dose due to CYP2C9*2, CYP2C9*3 and VKORC1 -1639G&gt;A polymorphisms, and demonstrated that these alleles modulates sensitivity to acenocoumarol, a finding indicating that a reduced initial loading dose of acenocoumarol should be used in carriers of this allele, also, she indicates the usefulness of predictive testing concerning these mutations when an hypocoagulability is installed and not explained by the dose of VKA.\nRésumé\nLes dérivés de la coumarine comme l’acénocoumarol représentent une thérapie de choix pour le traitement et la prévention des maladies thromboemboliques. Plusieurs déterminants génétiques impliqués dans le métabolisme de l’acénocoumarol ont montré leur influence dans le dosage des anticoagulants. L’objectif de notre travail est d’évaluer, pour la première fois au Maghreb, les fréquences alléliques des mutations CYP2C9*2, CYP2C9*3 et VKORC1 -1639G&gt;A, et d’établir le rôle de ces polymorphismes dans la modulation des besoins en acénocoumarol chez des patients marocains recevant un traitement anticoagulant. Trois groupes de patients avec des faibles, moyennes, et fortes doses d’acénocoumarol administrée ont été étudiés. L’analyse génétique des CYP2C9*2, CYP2C9*3 et VKORC1 -1639G&gt;A a été réalisée chez 114 patients marocains recevant des doses stables d’acénocoumarol. Les résultats ont montré que les fréquences alléliques des trois mutations étudiées sont variables, la majorité des patients ayant les mutations CYP2C9*2 et CYP2C9*3 appartenaient au groupe recevant des faibles doses d’acénocoumarol, avec un p-value de 0,0082, et le seul patient avec une mutation CYP2C9*3 sous forme homozygotes appartient au même groupe en ayant également l’allèle muté (A) du gène VKORC1. En conclusion, notre étude confirme la grande variabilité interindividuelle dans le maintien de la dose d’acénocoumarol due aux polymorphismes CYP2C9*2, CYP2C9*3 et VKORC1 -1639G&gt;A. Elle démontre également que ces allèles modulent d’une manière importante la sensibilité à l’acénocoumarol. Ainsi, la dose d’acénocoumarol administrée doit être réduite chez les patients ayant ces allèles, d’où l’utilité d’un test génétique prédictif en état d’hypocoagulabilité installé et non expliqué par la dose d’AVK.","container-title":"Pathologie Biologie","DOI":"10.1016/j.patbio.2012.10.002","ISSN":"0369-8114","issue":"3","journalAbbreviation":"Pathologie Biologie","page":"88-92","source":"ScienceDirect","title":"Effect of different genetics variants: &lt;i&gt;CYP2C9*2, CYP2C9*3&lt;/i&gt; of cytochrome P-450 CYP2C9 and 1639G&gt;A of the &lt;i&gt;VKORC1&lt;/i&gt; gene; On acenocoumarol requirement in Moroccan patients","title-short":"Effect of different genetics variants","volume":"61","author":[{"family":"Smires","given":"F. Z."},{"family":"Habbal","given":"R."},{"family":"Moreau","given":"C."},{"family":"Assaidi","given":"A."},{"family":"Loriot","given":"M. A."},{"family":"Nadifi","given":"S."}],"issued":{"date-parts":[["2013",6,1]]}},"label":"page"},{"id":317,"uris":["http://zotero.org/users/local/a5KFpvZM/items/5872W3T3"],"itemData":{"id":317,"type":"article-journal","abstract":"Purpose We aimed to study potential variables involved in interindividual variability to acenocoumarol (AC) response in order to establish a pharmacogenetic algorithm (PA) that includes clinical and genetic factors to predict adequate AC dose to stabilize anticoagulation in a cohort of Tunisian patients. Methods Genotyping of the CYP2C9, VKORC1, CYP4F2, and CALU polymorphisms was conducted on 246 patients using PCR-RFLP technique. AC normalized maintenance dose (NMD): ((mean maintenance dose/international normalized ratio (INR)) equilibrium) was calculated. The statistical study was carried out with SPSS V20. Results A significant correlation was found between age, BMI, and daily AC dose (r = − 0.397; p &lt; 0.001 and r = 0.215; p = 0.001, respectively). The carriers of mutated alleles CYP2C9*2 or CYP2C9*3 or VKORC1 haplotypes (H1 and H7) were associated with AC hyper-sensibility. After adjustment to potential covariates, these patients presented supra-therapeutic INR during treatment period and needed low AC dose (ORs* = 0.28 [0.06–0.60], p = 0.004; ORs* = 0.12 [0.04–0.05], p &lt; 0.001; ORs* = 0.45 [0.24–0.84], p = 0.01; and ORs* = 0.28 [0.06–0.98], p = 0.049, respectively). However, carriers of VKORC1 haplotypes (H3 and H12) or mutated alleles CYP4F2 (rs2108622) or CALU (rs1043550) tend to resist to treatment, hence long period of therapy initiation, and must be treated with high AC dose (ORs* = 2.67 [81.12–5.91], p = 0.013; ORs* = 8.76 [1.07–76.26], p = 0.019; ORs* = 3.12 [1.01–9.63], p = 0.047; and ORs* = 3.96 [1.41–11.09], p = 0.009, respectively). A final multivariate regression model explained 48.1% of the global interindividual variability in AC dose requirement. Conclusion The PA demonstrated that VKORC1 and CYP2C9 polymorphisms contribution was more important than clinical factors. Applying the PA would allow dose adjustment to treat patients in a personalized manner.","container-title":"European Journal of Clinical Pharmacology","DOI":"10.1007/s00228-018-2423-7","ISSN":"1432-1041","issue":"6","journalAbbreviation":"Eur J Clin Pharmacol","language":"en","license":"2018 Springer-Verlag GmbH Germany, part of Springer Nature","note":"Company: Springer\nDistributor: Springer\nInstitution: Springer\nLabel: Springer\npublisher: Springer Berlin Heidelberg","page":"711-722","source":"link.springer.com","title":"Influence of genetic and non-genetic factors on acenocoumarol maintenance dose requirement in a Tunisian population","volume":"74","author":[{"family":"Ajmi","given":"Marwa"},{"family":"Omezzine","given":"Asma"},{"family":"Achour","given":"Slim"},{"family":"Amor","given":"Dorra"},{"family":"Hamdouni","given":"Haithem"},{"family":"Ismaïl","given":"Fatma Ben Fredj"},{"family":"Rejeb","given":"Nabila Ben"},{"family":"Kechrid","given":"Chedia Laouani"},{"family":"Boughzela","given":"Essia"},{"family":"Bouslama","given":"Ali"}],"issued":{"date-parts":[["2018",6,1]]}},"label":"page"}],"schema":"https://github.com/citation-style-language/schema/raw/master/csl-citation.json"} </w:instrText>
      </w:r>
      <w:r w:rsidR="00BF2576"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(8,9)</w:t>
      </w:r>
      <w:r w:rsidR="00BF2576"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44EBE22D" w14:textId="74F16DA5" w:rsidR="003C4160" w:rsidRPr="00A02DAB" w:rsidRDefault="003C4160"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Clinically, mitral valve replacement was the most frequent indication for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prescription, accounting for 33.33%. This trend aligns with the literature and is consistent with international recommendations, particularly those of the European Society of Cardiology (ESC), which advocate lifelong anticoagulation in patients with mechanical valves due to a high thrombotic risk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{"citationID":"mi0yaUTn","properties":{"formattedCitation":"(10)","plainCitation":"(10)","noteIndex":0},"citationItems":[{"id":320,"uris":["http://zotero.org/users/local/a5KFpvZM/items/EZ362R9W"],"itemData":{"id":320,"type":"article-journal","container-title":"European Heart Journal","DOI":"10.1093/eurheartj/ehab395","ISSN":"1522-9645","issue":"7","journalAbbreviation":"Eur Heart J","language":"eng","note":"PMID: 34453165","page":"561-632","source":"PubMed","title":"2021 ESC/EACTS Guidelines for the management of valvular heart disease","volume":"43","author":[{"family":"Vahanian","given":"Alec"},{"family":"Beyersdorf","given":"Friedhelm"},{"family":"Praz","given":"Fabien"},{"family":"Milojevic","given":"Milan"},{"family":"Baldus","given":"Stephan"},{"family":"Bauersachs","given":"Johann"},{"family":"Capodanno","given":"Davide"},{"family":"Conradi","given":"Lenard"},{"family":"De Bonis","given":"Michele"},{"family":"De Paulis","given":"Ruggero"},{"family":"Delgado","given":"Victoria"},{"family":"Freemantle","given":"Nick"},{"family":"Gilard","given":"Martine"},{"family":"Haugaa","given":"Kristina H."},{"family":"Jeppsson","given":"Anders"},{"family":"Jüni","given":"Peter"},{"family":"Pierard","given":"Luc"},{"family":"Prendergast","given":"Bernard D."},{"family":"Sádaba","given":"J. Rafael"},{"family":"Tribouilloy","given":"Christophe"},{"family":"Wojakowski","given":"Wojtek"},{"literal":"ESC/EACTS Scientific Document Group"}],"issued":{"date-parts":[["2022",2,12]]}}}],"schema":"https://github.com/citation-style-language/schema/raw/master/csl-citation.json"}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(10)</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Dalmau L demonstrated in his work that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is used more frequently than warfarin with comparable efficacy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{"citationID":"VZxipvnX","properties":{"formattedCitation":"(11)","plainCitation":"(11)","noteIndex":0},"citationItems":[{"id":325,"uris":["http://zotero.org/users/local/a5KFpvZM/items/9W8J8GUW"],"itemData":{"id":325,"type":"article-journal","abstract":"Introduction: The use of vitamin K antagonists (VKAs) in non-valvular atrial fibrillation (NVAF) is complicated due to the narrow therapeutic margin they present and their unpredictable dose–response relationship. Most studies are based on warfarin, with the results being extrapolated to acenocoumarol. However, studies comparing the two treatments in terms of the degree of anticoagulation control are scarce, justifying the present study. Main factors associated with poor control of time in therapeutic range (TTR) of anticoagulated patients are also studied. Methods: Cross-sectional study, with real-world data from patients treated in primary care (PC). Data were obtained from the System for the Improvement of Research in PC (SIDIAP) database, covering 60,978 NVAF-anticoagulated patients from 287 PC centres in 2018. Descriptive statistics were derived, and odds ratios were estimated by multivariate logistic regression. Results: 41,430 patients were considered: 93% were being treated with acenocoumarol and 7% with warfarin. There was no difference in poor control of TTR between the two types of VKA treatment, acenocoumarol and warfarin (38.9 vs. 38.4; p = 0.610). Poor anticoagulation control was mainly associated with advanced alcoholism (OR = 1.38), liver failure (OR = 1.37) and intracranial haemorrhage (OR = 1.35) as well as female sex, age &lt; 60 years, cardiovascular history, diabetes mellitus and other variables. Conclusions: There is no association between poor anticoagulation control and the type of VKA treatment administered. Factors associated with poor control of TTR must be considered in clinical practice to improve control and decision-making.","container-title":"International Journal of Environmental Research and Public Health","DOI":"10.3390/ijerph18115700","ISSN":"1661-7827","issue":"11","journalAbbreviation":"Int J Environ Res Public Health","note":"PMID: 34073370\nPMCID: PMC8199061","page":"5700","source":"PubMed Central","title":"Anticoagulation Control with Acenocoumarol or Warfarin in Non-Valvular Atrial Fibrillation in Primary Care (Fantas-TIC Study)","volume":"18","author":[{"family":"Dalmau Llorca","given":"M. Rosa"},{"family":"Aguilar Martín","given":"Carina"},{"family":"Carrasco-Querol","given":"Noèlia"},{"family":"Hernández Rojas","given":"Zojaina"},{"family":"Forcadell Drago","given":"Emma"},{"family":"Rodríguez Cumplido","given":"Dolores"},{"family":"Castro Blanco","given":"Elisabet"},{"family":"Gonçalves","given":"Alessandra Queiroga"},{"family":"Fernández-Sáez","given":"José"}],"issued":{"date-parts":[["2021",5,26]]}}}],"schema":"https://github.com/citation-style-language/schema/raw/master/csl-citation.json"}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(11)</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Similarly, the INVICTUS study confirmed the superiority of vitamin K antagonists over direct oral anticoagulants in terms of reducing mortality and cardiovascular events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{"citationID":"EkN1HfPQ","properties":{"formattedCitation":"(12)","plainCitation":"(12)","noteIndex":0},"citationItems":[{"id":323,"uris":["http://zotero.org/users/local/a5KFpvZM/items/TNATWPN6"],"itemData":{"id":323,"type":"article-journal","container-title":"New England Journal of Medicine","DOI":"10.1056/NEJMoa2209051","ISSN":"0028-4793, 1533-4406","issue":"11","journalAbbreviation":"N Engl J Med","language":"en","license":"http://www.nejmgroup.org/legal/terms-of-use.htm","page":"978-988","source":"DOI.org (Crossref)","title":"Rivaroxaban in Rheumatic Heart Disease–Associated Atrial Fibrillation","volume":"387","author":[{"family":"Connolly","given":"Stuart J."},{"family":"Karthikeyan","given":"Ganesan"},{"family":"Ntsekhe","given":"Mpiko"},{"family":"Haileamlak","given":"Abraham"},{"family":"El Sayed","given":"Ahmed"},{"family":"El Ghamrawy","given":"Alaa"},{"family":"Damasceno","given":"Albertino"},{"family":"Avezum","given":"Alvaro"},{"family":"Dans","given":"Antonio M.L."},{"family":"Gitura","given":"Bernard"},{"family":"Hu","given":"Dayi"},{"family":"Kamanzi","given":"Emmanuel R."},{"family":"Maklady","given":"Fathi"},{"family":"Fana","given":"Golden"},{"family":"Gonzalez-Hermosillo","given":"J. Antonio"},{"family":"Musuku","given":"John"},{"family":"Kazmi","given":"Khawar"},{"family":"Zühlke","given":"Liesl"},{"family":"Gondwe","given":"Lillian"},{"family":"Ma","given":"Changsheng"},{"family":"Paniagua","given":"Maria"},{"family":"Ogah","given":"Okechukwu S."},{"family":"Molefe-Baikai","given":"Onkabetse J."},{"family":"Lwabi","given":"Peter"},{"family":"Chillo","given":"Pilly"},{"family":"Sharma","given":"Sanjib K."},{"family":"Cabral","given":"Tantchou T.J."},{"family":"Tarhuni","given":"Wadea M."},{"family":"Benz","given":"Alexander"},{"family":"Van Eikels","given":"Martin"},{"family":"Krol","given":"Amy"},{"family":"Pattath","given":"Divya"},{"family":"Balasubramanian","given":"Kumar"},{"family":"Rangarajan","given":"Sumathy"},{"family":"Ramasundarahettige","given":"Chinthanie"},{"family":"Mayosi","given":"Bongani"},{"family":"Yusuf","given":"Salim"}],"issued":{"date-parts":[["2022",9,15]]}}}],"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(12)</w:t>
      </w:r>
      <w:r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19BB123D" w14:textId="1346DF50" w:rsidR="000377B0" w:rsidRPr="00A02DAB" w:rsidRDefault="000377B0"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Furthermore, we observed that 54.90% of patients had at least one comorbidity, including 25% with hypertension and 21.43% with diabetes. These results are consistent with the study by Bonnet V and al., which demonstrated that patients with valvular heart disease, particularly mitral valve disease, frequently have comorbidities that can influence both their management and their prognosis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{"citationID":"uMjYBgQI","properties":{"formattedCitation":"(13)","plainCitation":"(13)","noteIndex":0},"citationItems":[{"id":328,"uris":["http://zotero.org/users/local/a5KFpvZM/items/CHTYUEJ8"],"itemData":{"id":328,"type":"article-journal","abstract":"The average age of patients undergoing mitral valve repair is increasing each year. This retrospective study aimed to compare postoperative complications of mitral valve repair (known to be especially high-risk) between 2 age groups: under and over the age of 80.\n          Patients who underwent mitral valve repair were divided into 2 groups: group 1 (&lt;80 years old) and group 2 (≥80 years old). Baseline characteristics, pre- and postoperative hemodynamic data, surgical characteristics, and postoperative follow-up data until hospital discharge were collected.\n          A total of 308 patients were included: 264 in group 1 (age 63 ± 13 years) and 44 in group 2 (age 83 ± 2 years). Older patients had more comorbidities (atrial fibrillation, history of cardiac decompensation, systemic hypertension, pulmonary hypertension, and chronic kidney disease) and they presented more postoperative complications (50.0% vs 33.7%; P = 0.043), with a longer hospital stay (8.9 ± 6.9 vs 6.6 ± 4.6 days; P = 0.005). To assess the burden of age, a propensity score was awarded to postoperative complications. Active smoking, chronic pulmonary disease, chronic kidney disease, associated ischemic heart disease, obesity, and cardio pulmonary by-pass duration were described as independent risk factors. When matched on this propensity score, there was no difference in morbidity or mortality between group 1 and group 2.\n          Older patients suffered more postoperative complications, which were related to their comorbidities and not only to their age.","container-title":"Medicine","DOI":"10.1097/MD.0000000000003938","issue":"25","language":"en-US","page":"e3938","source":"journals.lww.com","title":"The role of age and comorbidities in postoperative outcome of mitral valve repair: A propensity-matched study","title-short":"The role of age and comorbidities in postoperative outcome of mitral valve repair","volume":"95","author":[{"family":"Bonnet","given":"Vincent"},{"family":"Boisselier","given":"Clément"},{"family":"Saplacan","given":"Vladimir"},{"family":"Belin","given":"Annette"},{"family":"Gérard","given":"Jean-Louis"},{"family":"Fellahi","given":"Jean-Luc"},{"family":"Hanouz","given":"Jean-Luc"},{"family":"Fischer","given":"Marc-Olivier"}],"issued":{"date-parts":[["2016",6]]}}}],"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(13)</w:t>
      </w:r>
      <w:r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33D21CF4" w14:textId="2E1F1833" w:rsidR="006C4FE0" w:rsidRPr="00A02DAB" w:rsidRDefault="006C4FE0"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lastRenderedPageBreak/>
        <w:t xml:space="preserve">Therapeutically, the average daily dose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administered was 2.52 ± 0.7 mg/day. This is higher than that reported by Nieto E and al. in a Chilean population, where the average daily dose was 1.94 mg/day. This difference could reflect variations related to dietary habits, demographic factors, or genetic factors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{"citationID":"uCN3ZOKW","properties":{"formattedCitation":"(14)","plainCitation":"(14)","noteIndex":0},"citationItems":[{"id":330,"uris":["http://zotero.org/users/local/a5KFpvZM/items/D83TV96J"],"itemData":{"id":330,"type":"article-journal","abstract":"Warfarin and acenocoumarol are used in various cardiovascular disorders to improve the\nprognosis of patients with thromboembolic disease. However, there is a lack of substantial\nefficacy and safety data on antithrombotic prophylaxis in several countries, particularly\nin Latin America. The aim of this study was to provide information about the efficacy of\nanticoagulants in Chilean patients. Data were collected from databases of the Western\nMetropolitan Health Service, Santiago, Chile. We identified 6280 records of patients\nreceiving anticoagulant treatment. The three most common diagnoses were rhythm disorder\n(43.7%), venous thrombosis (22%), and valvular prosthesis (10.7%). The majority of\npatients (98.5%) received acenocoumarol while 1.5% of patients received warfarin, at\nweekly therapeutic doses of 13.6 mg and 30.4 mg, respectively. For total diagnoses, the\nmedian time in the therapeutic range was 50%. However, better results, 66.7%, were\nobserved when a telemedicine strategy was used only in Santiago Province. Our findings\nemphasize that in Chile, where the number of patients receiving anticoagulant treatment\nincreases every year, telemedicine, by committed teams, improves the use of oral\nanticoagulants and is able to increase quality indicators of anticoagulant treatment\ncare.","container-title":"Clinical and Applied Thrombosis/Hemostasis","DOI":"10.1177/1076029619834342","ISSN":"1076-0296","journalAbbreviation":"Clin Appl Thromb Hemost","note":"PMID: 30880431\nPMCID: PMC6714932","page":"1076029619834342","source":"PubMed Central","title":"Anticoagulation Management With Coumarinic Drugs in Chilean Patients","volume":"25","author":[{"family":"Nieto","given":"Elena"},{"family":"Suarez","given":"Marcelo"},{"family":"Roco","given":"Ángela"},{"family":"Rubilar","given":"Juan Carlos"},{"family":"Tamayo","given":"Francisca"},{"family":"Rojo","given":"Mario"},{"family":"Verón","given":"Gabriel"},{"family":"Sepúlveda","given":"Juliana"},{"family":"Mejías","given":"Fanny"},{"family":"Salas","given":"Patricio"},{"family":"Góngora","given":"María"},{"family":"Andrade","given":"Patricio"},{"family":"Canales","given":"Alicia"},{"family":"Carabantes","given":"Jorge"},{"family":"Cruz","given":"Daniela"},{"family":"Contreras","given":"Emma"},{"family":"Pavez","given":"Daniela"},{"family":"Charo","given":"Paulina"},{"family":"Bravo","given":"Gabriela"},{"family":"Calderón","given":"Juan"},{"family":"Gallardo","given":"Carlos"},{"family":"Vega","given":"Patricia"},{"family":"Quiñones","given":"Luis A."}],"issued":{"date-parts":[["2019",3,17]]}}}],"schema":"https://github.com/citation-style-language/schema/raw/master/csl-citation.json"}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(14)</w:t>
      </w:r>
      <w:r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5CFDCF2F" w14:textId="1399D5BF" w:rsidR="001E76EB" w:rsidRPr="00A02DAB" w:rsidRDefault="001E76EB"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The mean the equilibrium dose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required to achieve the target INR was 2.72 ± 0.89 mg/day. This value is comparable to that found in the Lebanese population (2.57 ± 1.71 mg/day)</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{"citationID":"sQc5X8jX","properties":{"formattedCitation":"(15)","plainCitation":"(15)","noteIndex":0},"citationItems":[{"id":333,"uris":["http://zotero.org/users/local/a5KFpvZM/items/3EVR87TV"],"itemData":{"id":333,"type":"article-journal","abstract":"The authors assessed the impact of CYP2C9*2, CYP2C9*3, and/or VKORC1-1639G&gt;A/1173C&gt;T single-nucleotide polymorphisms on oral anticoagulants in a Lebanese population. This study recruited 231 Lebanese participants on long-term warfarin or acenocoumarol maintenance therapy with an international normalized ratio (INR) monitored at the American University of Beirut Medical Center. CYP2C9 and VKORC1 variant alleles were screened by real-time PCR. Plasma R- and S-warfarin and R- and S-acenocoumarol levels were assayed using high-performance liquid chromatography. The variant allele frequencies of CYP2C9*2, CYP2C9*3, and VKORC1 -1639G&gt;A/1173C&gt;T were 15.4%, 7.8%, and 52.4%, respectively. Fifty-five participants were excluded from analysis because of nontherapeutic INR values at recruitment, leaving 43 participants taking warfarin and 133 taking acenocoumarol. There was a significant decrease in the weekly maintenance dose of both drugs with CYP2C9 and VKORC1 variants when compared with wild-type patients. CYP2C9*2 had the least impact on the response to both drugs. The concentrations of R- and S-warfarin in plasma were significantly correlated with CYP2C9 genotypes. For acenocoumarol, time to reach target INR was more prolonged in patients carrying any CYP2C9 variant allele but failed to reach statistical significance because of low numbers of patients. There was no association between allelic variants and bleeding events. This is the first pharmacogenetic study of oral anticoagulants in Arabs. The authors showed that both CYP2C9 and VKORC1 polymorphisms are common in Lebanon and influence warfarin and acenocoumarol dose requirements, with the CYP2C9*2 polymorphism having less effect on acenocoumarol, the most commonly used oral anticoagulant in Lebanon.","container-title":"Journal of Clinical Pharmacology","DOI":"10.1177/0091270010382910","ISSN":"1552-4604","issue":"10","journalAbbreviation":"J Clin Pharmacol","language":"eng","note":"PMID: 21148049","page":"1418-1428","source":"PubMed","title":"Influence of CYP2C9 and VKORC1 polymorphisms on warfarin and acenocoumarol in a sample of Lebanese people","volume":"51","author":[{"family":"Esmerian","given":"Maria O."},{"family":"Mitri","given":"Zahi"},{"family":"Habbal","given":"Mohammad-Zuheir"},{"family":"Geryess","given":"Eddy"},{"family":"Zaatari","given":"Ghazi"},{"family":"Alam","given":"Samir"},{"family":"Skouri","given":"Hadi N."},{"family":"Mahfouz","given":"Rami A."},{"family":"Taher","given":"Ali"},{"family":"Zgheib","given":"Nathalie K."}],"issued":{"date-parts":[["2011",10]]}}}],"schema":"https://github.com/citation-style-language/schema/raw/master/csl-citation.json"}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(15)</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However, it was lower than that found in a Slovakian population (4 ± 1.71 mg/day), which could be attributed to genetic or environmental differences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{"citationID":"CSibFOmQ","properties":{"formattedCitation":"(16)","plainCitation":"(16)","noteIndex":0},"citationItems":[{"id":335,"uris":["http://zotero.org/users/local/a5KFpvZM/items/DYFV6CSP"],"itemData":{"id":335,"type":"article-journal","abstract":"INTRODUCTION: VKORC1 and cytochrome CYP2C9 genetic variants contribute largely to inter-individual variations in vitamin K antagonists (VKAs) dose requirements. Cytochrome P450 4F2 isoform (CYP4F2), gamma-glutamyl carboxylase (GGCX) and apolipoprotein E (APOE) polymorphisms have been suggested to be of minor significance.\nMATERIALS AND METHODS: We sought to assess the impact of those polymorphisms on dose requirements in Central-Eastern European cohort of 479 patients receiving acenocoumarol (n=260) or warfarin (n=219).\nRESULTS: There were no differences between the acenocoumarol and warfarin groups with regard to the gender, age, body mass index and international normalized ratio. The VKORC1 c.-1639A allele carriers required a lower dose of acenocoumarol and warfarin than the non-carriers (28.0 [21.0-35.0] vs. 42.0 [28.0-56.0] mg/week, p&lt;0.0001; 35.0 [28.0-52.0] vs. 52.0 [35.0-70.0] mg/week, p=0.0001, respectively). Carriers of 2 and/or 3 variant alleles for CYP2C9 also required a lower dose of warfarin as compared with 1 1 carriers (35.0 [31.5-52.5] vs. 43.8 [35.0-60.2] mg/week, p=0.02; 35.0 [23.5-35.0] vs. 43.8 [35.0-60.2] mg/week, p&lt;0.0001, respectively). Similarly, possession of G allele of GGCX c.2084+45 polymorphism was associated with lower warfarin dose (35.0 [26.3-39.2] vs. 45.5 [35.0-65.1] mg/week, p=0.03). No effect of CYP2C9*2,-*3 and GGCX c.2084+45G&gt;C polymorphisms on acenocoumarol dosage was observed. Interestingly, carriers of CYP4F2 c.1297A variant required a higher dose of acenocoumarol and warfarin than non-carriers (43.8 [35.0-60.2] vs. 35.0 [35.0-52.5] mg/week, p=0.01; 35.0 [28.0-52.5] vs. 28.0 [28.0-42.0] mg/week, p=0.05).\nCONCLUSIONS: We have shown for the first time, that besides VKORC1 and CYP2C9 genetic variants, the CYP4F2 c.1297A and GGCX c.2084+45G have a moderate effect on VKAs dose requirements in Slavic population from Central-Eastern Europe.","container-title":"Thrombosis Research","DOI":"10.1016/j.thromres.2014.06.022","ISSN":"1879-2472","issue":"3","journalAbbreviation":"Thromb Res","language":"eng","note":"PMID: 25042728","page":"604-609","source":"PubMed","title":"Genetic determinants of acenocoumarol and warfarin maintenance dose requirements in Slavic population: a potential role of CYP4F2 and GGCX polymorphisms","title-short":"Genetic determinants of acenocoumarol and warfarin maintenance dose requirements in Slavic population","volume":"134","author":[{"family":"Wypasek","given":"Ewa"},{"family":"Branicka","given":"Agnieszka"},{"family":"Awsiuk","given":"Magdalena"},{"family":"Sadowski","given":"Jerzy"},{"family":"Undas","given":"Anetta"}],"issued":{"date-parts":[["2014",9]]}}}],"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(16)</w:t>
      </w:r>
      <w:r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44FFE6E6" w14:textId="11EAACCA" w:rsidR="000B08C2" w:rsidRPr="00A02DAB" w:rsidRDefault="000B08C2"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On the other hand, the mean time to reach the INR target was 2.72 ± 0.89 days; it ranged from one to 23 days. This result is generally consistent with those observed in other populations of the Mediterranean basin, such as the Lebanese study conducted by </w:t>
      </w:r>
      <w:proofErr w:type="spellStart"/>
      <w:r w:rsidRPr="00A02DAB">
        <w:rPr>
          <w:rFonts w:asciiTheme="minorBidi" w:hAnsiTheme="minorBidi"/>
          <w:sz w:val="20"/>
          <w:szCs w:val="20"/>
          <w:lang w:val="en-US"/>
        </w:rPr>
        <w:t>Esmerian</w:t>
      </w:r>
      <w:proofErr w:type="spellEnd"/>
      <w:r w:rsidRPr="00A02DAB">
        <w:rPr>
          <w:rFonts w:asciiTheme="minorBidi" w:hAnsiTheme="minorBidi"/>
          <w:sz w:val="20"/>
          <w:szCs w:val="20"/>
          <w:lang w:val="en-US"/>
        </w:rPr>
        <w:t xml:space="preserve"> and al. which reported a mean time of 3.00 ± 0.58 days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{"citationID":"0dmKm9CD","properties":{"formattedCitation":"(15)","plainCitation":"(15)","noteIndex":0},"citationItems":[{"id":333,"uris":["http://zotero.org/users/local/a5KFpvZM/items/3EVR87TV"],"itemData":{"id":333,"type":"article-journal","abstract":"The authors assessed the impact of CYP2C9*2, CYP2C9*3, and/or VKORC1-1639G&gt;A/1173C&gt;T single-nucleotide polymorphisms on oral anticoagulants in a Lebanese population. This study recruited 231 Lebanese participants on long-term warfarin or acenocoumarol maintenance therapy with an international normalized ratio (INR) monitored at the American University of Beirut Medical Center. CYP2C9 and VKORC1 variant alleles were screened by real-time PCR. Plasma R- and S-warfarin and R- and S-acenocoumarol levels were assayed using high-performance liquid chromatography. The variant allele frequencies of CYP2C9*2, CYP2C9*3, and VKORC1 -1639G&gt;A/1173C&gt;T were 15.4%, 7.8%, and 52.4%, respectively. Fifty-five participants were excluded from analysis because of nontherapeutic INR values at recruitment, leaving 43 participants taking warfarin and 133 taking acenocoumarol. There was a significant decrease in the weekly maintenance dose of both drugs with CYP2C9 and VKORC1 variants when compared with wild-type patients. CYP2C9*2 had the least impact on the response to both drugs. The concentrations of R- and S-warfarin in plasma were significantly correlated with CYP2C9 genotypes. For acenocoumarol, time to reach target INR was more prolonged in patients carrying any CYP2C9 variant allele but failed to reach statistical significance because of low numbers of patients. There was no association between allelic variants and bleeding events. This is the first pharmacogenetic study of oral anticoagulants in Arabs. The authors showed that both CYP2C9 and VKORC1 polymorphisms are common in Lebanon and influence warfarin and acenocoumarol dose requirements, with the CYP2C9*2 polymorphism having less effect on acenocoumarol, the most commonly used oral anticoagulant in Lebanon.","container-title":"Journal of Clinical Pharmacology","DOI":"10.1177/0091270010382910","ISSN":"1552-4604","issue":"10","journalAbbreviation":"J Clin Pharmacol","language":"eng","note":"PMID: 21148049","page":"1418-1428","source":"PubMed","title":"Influence of CYP2C9 and VKORC1 polymorphisms on warfarin and acenocoumarol in a sample of Lebanese people","volume":"51","author":[{"family":"Esmerian","given":"Maria O."},{"family":"Mitri","given":"Zahi"},{"family":"Habbal","given":"Mohammad-Zuheir"},{"family":"Geryess","given":"Eddy"},{"family":"Zaatari","given":"Ghazi"},{"family":"Alam","given":"Samir"},{"family":"Skouri","given":"Hadi N."},{"family":"Mahfouz","given":"Rami A."},{"family":"Taher","given":"Ali"},{"family":"Zgheib","given":"Nathalie K."}],"issued":{"date-parts":[["2011",10]]}}}],"schema":"https://github.com/citation-style-language/schema/raw/master/csl-citation.json"}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(15)</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Similarly, the Moroccan study by </w:t>
      </w:r>
      <w:proofErr w:type="spellStart"/>
      <w:r w:rsidRPr="00A02DAB">
        <w:rPr>
          <w:rFonts w:asciiTheme="minorBidi" w:hAnsiTheme="minorBidi"/>
          <w:sz w:val="20"/>
          <w:szCs w:val="20"/>
          <w:lang w:val="en-US"/>
        </w:rPr>
        <w:t>Elkhazraji</w:t>
      </w:r>
      <w:proofErr w:type="spellEnd"/>
      <w:r w:rsidRPr="00A02DAB">
        <w:rPr>
          <w:rFonts w:asciiTheme="minorBidi" w:hAnsiTheme="minorBidi"/>
          <w:sz w:val="20"/>
          <w:szCs w:val="20"/>
          <w:lang w:val="en-US"/>
        </w:rPr>
        <w:t xml:space="preserve"> and al. showed a similar time of approximately 3 days on average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{"citationID":"9tJO1y4e","properties":{"formattedCitation":"(17)","plainCitation":"(17)","noteIndex":0},"citationItems":[{"id":337,"uris":["http://zotero.org/users/local/a5KFpvZM/items/ID3I6ZLS"],"itemData":{"id":337,"type":"article-journal","abstract":"We investigated the impact of non-genetics factors, and single nucleotide polymorphisms (SNPs) in VKORC1, CYP2C9, CYP4F2, and GGCX on acenocoumarol dosage in Moroccan adult's patients, in order to develop an algorithm to predict acenocoumarol dose for Moroccan patients. Our study consisted of 217 Moroccan patients taking a maintenance dose of acenocoumarol for various indications. The patients were genotyped for VKORC1 -1639 G&gt;A, VKORC1 1173 C&gt;T, CYP2C9*2, CYP2C9*3, CYP4F2 1347 G&gt;A and GGCX 12970 C&gt;G SNPs. The statistical analysis was performed using the SPSS software. The age and SNPs in VKORC1 and CYP2C9 were significantly associated with the weekly acenocoumarol dose requirement (p = 0.023, p = 0.0001 and p = 0.001 respectively). There was no association found between the weekly acenocoumarol dose and the CYP4F2 or GGCX variants (p-value &gt; 0.05). Non-parametric analysis confirmed the accumulate effect of variant alleles at VKORC1 -1639 G&gt;A, VKORC1 1173 C&gt;T and CYP2C9 SNPs on the acenocoumarol dose requirement. With 90.24% less dose required for one patient carrying homozygote variant at VKORC1 -1173 (TT) and CYP2C9 *x/*x haplotype. The multiple linear regression analysis showed that mutation in VKORC1 -1639, VKORC1 1173 SNPs, or in CYP2C9 haplotype reduces the mean acenocoumarol weekly dose to 25.4%, 23.4% and 6.2%, respectively. The R2 for multiple regression analysis final model was found to be 35.9%. In this work we were able to establish the factors influencing interindividual sensitivity to the anticoagulant therapy that can help physicians to predict optimal dose requirement for long term therapy.","container-title":"Drug Discoveries &amp; Therapeutics","DOI":"10.5582/ddt.2017.01063","ISSN":"1881-7831","issue":"2","journalAbbreviation":"Drug Discov Ther","language":"eng","note":"PMID: 29760340","page":"68-76","source":"PubMed","title":"Effect of CYP2C9, VKORC1, CYP4F2, and GGCX gene variants and patient characteristics on acenocoumarol maintenance dose: Proposal for a dosing algorithm for Moroccan patients","title-short":"Effect of CYP2C9, VKORC1, CYP4F2, and GGCX gene variants and patient characteristics on acenocoumarol maintenance dose","volume":"12","author":[{"family":"Elkhazraji","given":"Abdelhak"},{"family":"Bouaiti","given":"El Arbi"},{"family":"Boulahyaoui","given":"Hassan"},{"family":"Nahmtchougli","given":"Christiana Philippa"},{"family":"Zahid","given":"Hafid"},{"family":"Bensaid","given":"Mounia"},{"family":"Ibrahimi","given":"Azeddine"},{"family":"Messaoudi","given":"Nezha"}],"issued":{"date-parts":[["2018"]]}}}],"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(17)</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These results can also be compared with those of the Greek study conducted by V.G. </w:t>
      </w:r>
      <w:proofErr w:type="spellStart"/>
      <w:r w:rsidRPr="00A02DAB">
        <w:rPr>
          <w:rFonts w:asciiTheme="minorBidi" w:hAnsiTheme="minorBidi"/>
          <w:sz w:val="20"/>
          <w:szCs w:val="20"/>
          <w:lang w:val="en-US"/>
        </w:rPr>
        <w:t>Manolopoulos</w:t>
      </w:r>
      <w:proofErr w:type="spellEnd"/>
      <w:r w:rsidRPr="00A02DAB">
        <w:rPr>
          <w:rFonts w:asciiTheme="minorBidi" w:hAnsiTheme="minorBidi"/>
          <w:sz w:val="20"/>
          <w:szCs w:val="20"/>
          <w:lang w:val="en-US"/>
        </w:rPr>
        <w:t xml:space="preserve"> et al., where some patients took up to 30 days to reach the therapeutic range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{"citationID":"wEGq9eKV","properties":{"formattedCitation":"(18)","plainCitation":"(18)","noteIndex":0},"citationItems":[{"id":340,"uris":["http://zotero.org/users/local/a5KFpvZM/items/H4R2CN38"],"itemData":{"id":340,"type":"article-journal","collection-title":"The Proceedings of the 12th Congress of the European Association for Clinical Pharmacology and Therapeutics","container-title":"Clinical Therapeutics","DOI":"10.1016/j.clinthera.2015.05.028","ISSN":"0149-2918","issue":"8, Supplement","journalAbbreviation":"Clinical Therapeutics","page":"e6","source":"ScienceDirect","title":"Effectiveness of Acenocoumarol genetic and clinical dosing algorithms in predicting stable dose in the greek cohort of the Eu-pact trial","volume":"37","author":[{"family":"Manolopoulos","given":"V. G."},{"family":"Ragia","given":"G."},{"family":"Tavridou","given":"A."},{"family":"Kolovou","given":"V."},{"family":"Kolovou","given":"G."},{"family":"Maltezos","given":"E."},{"family":"Tziakas","given":"D."},{"family":"Konstantinides","given":"S."}],"issued":{"date-parts":[["2015",8,1]]}}}],"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(18)</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These convergences suggest that the initial response to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exhibits a certain consistency in these regions, probably due to common medical practices, diet, or genetic factors. </w:t>
      </w:r>
    </w:p>
    <w:p w14:paraId="4BFD230F" w14:textId="1E6A5710" w:rsidR="000B08C2" w:rsidRPr="00A02DAB" w:rsidRDefault="000B08C2" w:rsidP="000B08C2">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Regarding the INR monitoring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at the initial measurement, the vast majority of patients (94.12%) had an INR outside the therapeutic range, reflecting significant initial variability in response to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These results confirm the difficulty of adjusting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dosage from the very first doses, particularly without considering genetic factors.</w:t>
      </w:r>
    </w:p>
    <w:p w14:paraId="340A8FA9" w14:textId="7060EAE2" w:rsidR="000B08C2" w:rsidRPr="00A02DAB" w:rsidRDefault="000B08C2"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At the end of the follow-up period, only 41.18% of patients had reached their INR target, indicating a persistent difficulty in stabilizing the anticoagulant effect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in the majority of patients. This proportion may seem low compared to the study conducted by Nieto E and al. in Chile where approximately 60% of patients achieved INR stabilization after a follow-up period, suggesting better dose titration in that population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{"citationID":"8DZkqTmK","properties":{"formattedCitation":"(14)","plainCitation":"(14)","noteIndex":0},"citationItems":[{"id":330,"uris":["http://zotero.org/users/local/a5KFpvZM/items/D83TV96J"],"itemData":{"id":330,"type":"article-journal","abstract":"Warfarin and acenocoumarol are used in various cardiovascular disorders to improve the\nprognosis of patients with thromboembolic disease. However, there is a lack of substantial\nefficacy and safety data on antithrombotic prophylaxis in several countries, particularly\nin Latin America. The aim of this study was to provide information about the efficacy of\nanticoagulants in Chilean patients. Data were collected from databases of the Western\nMetropolitan Health Service, Santiago, Chile. We identified 6280 records of patients\nreceiving anticoagulant treatment. The three most common diagnoses were rhythm disorder\n(43.7%), venous thrombosis (22%), and valvular prosthesis (10.7%). The majority of\npatients (98.5%) received acenocoumarol while 1.5% of patients received warfarin, at\nweekly therapeutic doses of 13.6 mg and 30.4 mg, respectively. For total diagnoses, the\nmedian time in the therapeutic range was 50%. However, better results, 66.7%, were\nobserved when a telemedicine strategy was used only in Santiago Province. Our findings\nemphasize that in Chile, where the number of patients receiving anticoagulant treatment\nincreases every year, telemedicine, by committed teams, improves the use of oral\nanticoagulants and is able to increase quality indicators of anticoagulant treatment\ncare.","container-title":"Clinical and Applied Thrombosis/Hemostasis","DOI":"10.1177/1076029619834342","ISSN":"1076-0296","journalAbbreviation":"Clin Appl Thromb Hemost","note":"PMID: 30880431\nPMCID: PMC6714932","page":"1076029619834342","source":"PubMed Central","title":"Anticoagulation Management With Coumarinic Drugs in Chilean Patients","volume":"25","author":[{"family":"Nieto","given":"Elena"},{"family":"Suarez","given":"Marcelo"},{"family":"Roco","given":"Ángela"},{"family":"Rubilar","given":"Juan Carlos"},{"family":"Tamayo","given":"Francisca"},{"family":"Rojo","given":"Mario"},{"family":"Verón","given":"Gabriel"},{"family":"Sepúlveda","given":"Juliana"},{"family":"Mejías","given":"Fanny"},{"family":"Salas","given":"Patricio"},{"family":"Góngora","given":"María"},{"family":"Andrade","given":"Patricio"},{"family":"Canales","given":"Alicia"},{"family":"Carabantes","given":"Jorge"},{"family":"Cruz","given":"Daniela"},{"family":"Contreras","given":"Emma"},{"family":"Pavez","given":"Daniela"},{"family":"Charo","given":"Paulina"},{"family":"Bravo","given":"Gabriela"},{"family":"Calderón","given":"Juan"},{"family":"Gallardo","given":"Carlos"},{"family":"Vega","given":"Patricia"},{"family":"Quiñones","given":"Luis A."}],"issued":{"date-parts":[["2019",3,17]]}}}],"schema":"https://github.com/citation-style-language/schema/raw/master/csl-citation.json"}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(14)</w:t>
      </w:r>
      <w:r w:rsidRPr="00A02DAB">
        <w:rPr>
          <w:rFonts w:asciiTheme="minorBidi" w:hAnsiTheme="minorBidi"/>
          <w:sz w:val="20"/>
          <w:szCs w:val="20"/>
          <w:lang w:val="en-US"/>
        </w:rPr>
        <w:fldChar w:fldCharType="end"/>
      </w:r>
      <w:r w:rsidRPr="00A02DAB">
        <w:rPr>
          <w:rFonts w:asciiTheme="minorBidi" w:hAnsiTheme="minorBidi"/>
          <w:sz w:val="20"/>
          <w:szCs w:val="20"/>
          <w:lang w:val="en-US"/>
        </w:rPr>
        <w:t>. This difference could be explained by differences in the methods of individualizing vitamin K antagonist dosage between the two countries.</w:t>
      </w:r>
    </w:p>
    <w:p w14:paraId="40F52696" w14:textId="750EBBA4" w:rsidR="00F417C6" w:rsidRPr="00A02DAB" w:rsidRDefault="00F417C6"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Furthermore, TTR analysis showed that the majority of patients (82.35%) had a TTR below 50%, indicating poor control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In contrast to these results, a Tunisian study reported a mean TTR of 57.3% ± 18.2%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{"citationID":"TmLHPfhA","properties":{"formattedCitation":"(19)","plainCitation":"(19)","noteIndex":0},"citationItems":[{"id":342,"uris":["http://zotero.org/users/local/a5KFpvZM/items/DUC4TKD2"],"itemData":{"id":342,"type":"article-journal","abstract":"Résumé\nBut de l’étude\nÉvaluer la qualité de l’anticoagulation par AVK des patients en FA par le TTR et déterminer les facteurs associés à un bon TTR.\nPatients et méthodes\nIl s’agit d’une étude observationnelle menée sur une période de trois ans (janvier 2013–decembre 2015) dans la consultation externe du service de cardiologie du CHU Farhat Hached Sousse. Des fiches individuelles préétablies ont été utilisées comme source et outil de recueil des données. La saisie et l’analyse des données ont été réalisées à l’aide du logiciel SPSS version 20.\nRésultats\nNous avons colligé 200 patients. La moitié des patients ne connaissaient pas les risques des AVK et 29,1 % ignoraient son intérêt. Le TTR moyen était 57,3±18,2 %. Un bon contrôle de l’anticoagulation était obtenu chez 24,5 % des patients. Ceux ayant un TTR≥70 % étaient plus autonomes, observants, d’origine urbaine, habitant Sousse et Kairouan, ayant de bonnes connaissances sur les AVK et ayant une petite surface de l’oreillette gauche. Les facteurs associés négativement au TTR étaient l’hypertension artérielle, le diabète, les FA anciennes, les hémopathies, le nombre élevé de comprimés pris par jour et la présence d’une insuffisance mitrale, d’un remplacement valvulaire mitral, d’une insuffisance tricuspide ou d’une plastie tricuspide.\nConclusion\nLa qualité de l’anticoagulation par AVK des patients en FA est insuffisante. L’amélioration de cet indicateur permettrait de réduire la morbi-mortalité liée aux AVK.\nAim\nTo assess the quality of long-term anticoagulation therapy with antivitamin-K in patients with atrial fibrillation by measuring the TTR and to determine the factors associated with a good TTR.\nPatients and methods\nThis is an observational study conducted over a period of three years (from January 2013 until December 2015) in the outpatient clinic of cardiology of Farhat Hached hospital of Sousse, Tunisia. Pre-established individual plugs were used for data collection. The data analysis was performed using the SPSS Software, version 20.\nResults\nOverall, 200 patients were eligible. Half of the patients did not know the risks of AVK and 29.1% were unaware of their interest. The average TTR was 57.3±18.2%. Good control of anticoagulation was obtained in 24.5% of patients. Those with a≥70% were more autonomous, observant, of urban origin, living in Sousse and Kairouan, with good knowledge about AVK and having a small left atrium. The factors associated negatively with TTR were hypertension, diabetes, old AF, hematological diseases, high number of medications taken daily and the presence of mitral insufficiency, mitral valve replacement, a tricuspid insufficiency or a tricuspid plasty.\nConclusion\nThe quality of AVK anticoagulation in AF patients is insufficient. Improving this indicator would reduce the morbidity and mortality associated with AVK treatment.","container-title":"Annales de Cardiologie et d'Angéiologie","DOI":"10.1016/j.ancard.2018.08.024","ISSN":"0003-3928","issue":"2","journalAbbreviation":"Annales de Cardiologie et d'Angéiologie","page":"80-86","source":"ScienceDirect","title":"Évaluation de la qualité de l’anticoagulation au long cours par antivitamine-K dans la fibrillation auriculaire","volume":"68","author":[{"family":"Ben Rejeb","given":"O."},{"family":"Brahim","given":"W."},{"family":"Ghali","given":"H."},{"family":"Ernez","given":"S."},{"family":"Mahdhaoui","given":"A."},{"family":"Jeridi","given":"G."}],"issued":{"date-parts":[["2019",4,1]]}}}],"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(19)</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This result confirms that anticoagulation control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remains generally insufficient in real-world practice in the Maghreb countries. This underscores the importance of implementing other approaches to optimize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dosage adjustment in clinical practice, particularly the individualization approach using pharmacogenetics.</w:t>
      </w:r>
    </w:p>
    <w:p w14:paraId="7A5EA1AC" w14:textId="5332AB0A" w:rsidR="00F417C6" w:rsidRPr="00A02DAB" w:rsidRDefault="00F417C6"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Regarding the assessment of iatrogenic risk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33.33% of patients experienced an adverse event (AE), with thrombotic complications occurring in 64.71% of cases. Hemorrhagic complications accounted for 35.29%. These results are consistent with a Tunisian study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{"citationID":"mHDqB83f","properties":{"formattedCitation":"(19)","plainCitation":"(19)","noteIndex":0},"citationItems":[{"id":342,"uris":["http://zotero.org/users/local/a5KFpvZM/items/DUC4TKD2"],"itemData":{"id":342,"type":"article-journal","abstract":"Résumé\nBut de l’étude\nÉvaluer la qualité de l’anticoagulation par AVK des patients en FA par le TTR et déterminer les facteurs associés à un bon TTR.\nPatients et méthodes\nIl s’agit d’une étude observationnelle menée sur une période de trois ans (janvier 2013–decembre 2015) dans la consultation externe du service de cardiologie du CHU Farhat Hached Sousse. Des fiches individuelles préétablies ont été utilisées comme source et outil de recueil des données. La saisie et l’analyse des données ont été réalisées à l’aide du logiciel SPSS version 20.\nRésultats\nNous avons colligé 200 patients. La moitié des patients ne connaissaient pas les risques des AVK et 29,1 % ignoraient son intérêt. Le TTR moyen était 57,3±18,2 %. Un bon contrôle de l’anticoagulation était obtenu chez 24,5 % des patients. Ceux ayant un TTR≥70 % étaient plus autonomes, observants, d’origine urbaine, habitant Sousse et Kairouan, ayant de bonnes connaissances sur les AVK et ayant une petite surface de l’oreillette gauche. Les facteurs associés négativement au TTR étaient l’hypertension artérielle, le diabète, les FA anciennes, les hémopathies, le nombre élevé de comprimés pris par jour et la présence d’une insuffisance mitrale, d’un remplacement valvulaire mitral, d’une insuffisance tricuspide ou d’une plastie tricuspide.\nConclusion\nLa qualité de l’anticoagulation par AVK des patients en FA est insuffisante. L’amélioration de cet indicateur permettrait de réduire la morbi-mortalité liée aux AVK.\nAim\nTo assess the quality of long-term anticoagulation therapy with antivitamin-K in patients with atrial fibrillation by measuring the TTR and to determine the factors associated with a good TTR.\nPatients and methods\nThis is an observational study conducted over a period of three years (from January 2013 until December 2015) in the outpatient clinic of cardiology of Farhat Hached hospital of Sousse, Tunisia. Pre-established individual plugs were used for data collection. The data analysis was performed using the SPSS Software, version 20.\nResults\nOverall, 200 patients were eligible. Half of the patients did not know the risks of AVK and 29.1% were unaware of their interest. The average TTR was 57.3±18.2%. Good control of anticoagulation was obtained in 24.5% of patients. Those with a≥70% were more autonomous, observant, of urban origin, living in Sousse and Kairouan, with good knowledge about AVK and having a small left atrium. The factors associated negatively with TTR were hypertension, diabetes, old AF, hematological diseases, high number of medications taken daily and the presence of mitral insufficiency, mitral valve replacement, a tricuspid insufficiency or a tricuspid plasty.\nConclusion\nThe quality of AVK anticoagulation in AF patients is insufficient. Improving this indicator would reduce the morbidity and mortality associated with AVK treatment.","container-title":"Annales de Cardiologie et d'Angéiologie","DOI":"10.1016/j.ancard.2018.08.024","ISSN":"0003-3928","issue":"2","journalAbbreviation":"Annales de Cardiologie et d'Angéiologie","page":"80-86","source":"ScienceDirect","title":"Évaluation de la qualité de l’anticoagulation au long cours par antivitamine-K dans la fibrillation auriculaire","volume":"68","author":[{"family":"Ben Rejeb","given":"O."},{"family":"Brahim","given":"W."},{"family":"Ghali","given":"H."},{"family":"Ernez","given":"S."},{"family":"Mahdhaoui","given":"A."},{"family":"Jeridi","given":"G."}],"issued":{"date-parts":[["2019",4,1]]}}}],"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(19)</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This highlights that INR instability, often reflected by a low TTR, significantly increases the risk of adverse events, both </w:t>
      </w:r>
      <w:r w:rsidRPr="00A02DAB">
        <w:rPr>
          <w:rFonts w:asciiTheme="minorBidi" w:hAnsiTheme="minorBidi"/>
          <w:sz w:val="20"/>
          <w:szCs w:val="20"/>
          <w:lang w:val="en-US"/>
        </w:rPr>
        <w:lastRenderedPageBreak/>
        <w:t xml:space="preserve">hemorrhagic and thrombotic. These findings underscore the importance of integrating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pharmacogenetics into clinical practice, which helps to reduce these iatrogenic risks.</w:t>
      </w:r>
    </w:p>
    <w:p w14:paraId="231A7DDD" w14:textId="106F8D3A" w:rsidR="00F417C6" w:rsidRPr="00A02DAB" w:rsidRDefault="00F417C6" w:rsidP="00F417C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This study had several limitations. First, the relatively small sample size (51 patients) restricted the generalizability of the results to the entire population. A larger number of participants would have allowed for better representativeness and greater statistical power. Second, the clinical follow-up period was short (5 months), which did not allow for a full assessment of INR stability and the long-term impact of TTR.</w:t>
      </w:r>
    </w:p>
    <w:p w14:paraId="2DFB2087" w14:textId="77777777" w:rsidR="00241B5B" w:rsidRPr="00A02DAB" w:rsidRDefault="00241B5B" w:rsidP="00241B5B">
      <w:pPr>
        <w:rPr>
          <w:rFonts w:asciiTheme="minorBidi" w:hAnsiTheme="minorBidi"/>
          <w:sz w:val="20"/>
          <w:szCs w:val="20"/>
          <w:lang w:val="en-US"/>
        </w:rPr>
      </w:pPr>
    </w:p>
    <w:p w14:paraId="3D0315C9" w14:textId="77777777" w:rsidR="00241B5B" w:rsidRPr="00A02DAB" w:rsidRDefault="00241B5B" w:rsidP="00F417C6">
      <w:pPr>
        <w:ind w:firstLine="0"/>
        <w:rPr>
          <w:rFonts w:asciiTheme="minorBidi" w:hAnsiTheme="minorBidi"/>
          <w:sz w:val="20"/>
          <w:szCs w:val="20"/>
          <w:lang w:val="en-US"/>
        </w:rPr>
      </w:pPr>
    </w:p>
    <w:p w14:paraId="36E1A37B" w14:textId="18BFFACE" w:rsidR="00241B5B" w:rsidRPr="00A02DAB" w:rsidRDefault="00241B5B" w:rsidP="00A02DAB">
      <w:pPr>
        <w:pStyle w:val="ListParagraph"/>
        <w:numPr>
          <w:ilvl w:val="0"/>
          <w:numId w:val="1"/>
        </w:numPr>
        <w:tabs>
          <w:tab w:val="left" w:pos="1380"/>
        </w:tabs>
        <w:spacing w:before="240" w:after="200" w:line="480" w:lineRule="auto"/>
        <w:rPr>
          <w:rFonts w:asciiTheme="minorBidi" w:eastAsiaTheme="minorHAnsi" w:hAnsiTheme="minorBidi"/>
          <w:b/>
          <w:bCs/>
          <w:sz w:val="20"/>
          <w:szCs w:val="20"/>
          <w:lang w:val="en-US"/>
        </w:rPr>
      </w:pPr>
      <w:r w:rsidRPr="00A02DAB">
        <w:rPr>
          <w:rFonts w:asciiTheme="minorBidi" w:eastAsiaTheme="minorHAnsi" w:hAnsiTheme="minorBidi"/>
          <w:b/>
          <w:bCs/>
          <w:sz w:val="20"/>
          <w:szCs w:val="20"/>
          <w:lang w:val="en-US"/>
        </w:rPr>
        <w:t>CONCLUSION</w:t>
      </w:r>
    </w:p>
    <w:p w14:paraId="1B6B3589" w14:textId="77777777" w:rsidR="004C1575" w:rsidRPr="00A02DAB" w:rsidRDefault="004C1575" w:rsidP="004C1575">
      <w:pPr>
        <w:spacing w:line="360" w:lineRule="auto"/>
        <w:ind w:firstLineChars="50" w:firstLine="100"/>
        <w:jc w:val="both"/>
        <w:rPr>
          <w:rFonts w:asciiTheme="minorBidi" w:hAnsiTheme="minorBidi"/>
          <w:sz w:val="20"/>
          <w:szCs w:val="20"/>
          <w:lang w:val="en-US"/>
        </w:rPr>
      </w:pPr>
      <w:r w:rsidRPr="00A02DAB">
        <w:rPr>
          <w:rFonts w:asciiTheme="minorBidi" w:hAnsiTheme="minorBidi"/>
          <w:sz w:val="20"/>
          <w:szCs w:val="20"/>
          <w:lang w:val="en-US"/>
        </w:rPr>
        <w:t xml:space="preserve">This study highlighted the fact that, to date, </w:t>
      </w:r>
      <w:proofErr w:type="spellStart"/>
      <w:r w:rsidRPr="00A02DAB">
        <w:rPr>
          <w:rFonts w:asciiTheme="minorBidi" w:hAnsiTheme="minorBidi"/>
          <w:sz w:val="20"/>
          <w:szCs w:val="20"/>
          <w:lang w:val="en-US"/>
        </w:rPr>
        <w:t>acenucomarol</w:t>
      </w:r>
      <w:proofErr w:type="spellEnd"/>
      <w:r w:rsidRPr="00A02DAB">
        <w:rPr>
          <w:rFonts w:asciiTheme="minorBidi" w:hAnsiTheme="minorBidi"/>
          <w:sz w:val="20"/>
          <w:szCs w:val="20"/>
          <w:lang w:val="en-US"/>
        </w:rPr>
        <w:t xml:space="preserve"> dosage personalization in clinical practice relies solely on INR measurement. This individualized dosage approach remains insufficient for achieving optimal anticoagulation in patients and limiting iatrogenic risks, particularly hemorrhagic and thrombotic events. Therefore, the use of TTR (Time in Therapeutic Range) appears essential for a more precise assessment of anticoagulation effectiveness in patients. This parameter, although still rarely or never used routinely, would allow for a better evaluation of long-term treatment stability. Therefore, to better optimize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treatment, it would be wise to implement other individualized dosage strategies such as pharmacogenetics.</w:t>
      </w:r>
    </w:p>
    <w:p w14:paraId="5F0C823A" w14:textId="6D7422E2" w:rsidR="004C1575" w:rsidRDefault="004C1575" w:rsidP="004C1575">
      <w:pPr>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Indeed, integrating pharmacogenetics into the management of patients treated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by performing genetic testing before treatment initiation could allow for more precise dosage adjustments, taking into account each patient's individual profile. This would help improve INR stability, reduce the risk of adverse effects, and enhance the safety of anticoagulant therapy.</w:t>
      </w:r>
    </w:p>
    <w:p w14:paraId="6F89497F" w14:textId="77777777" w:rsidR="00A26540" w:rsidRDefault="00A26540" w:rsidP="004C1575">
      <w:pPr>
        <w:spacing w:line="360" w:lineRule="auto"/>
        <w:ind w:firstLine="0"/>
        <w:jc w:val="both"/>
        <w:rPr>
          <w:rFonts w:asciiTheme="minorBidi" w:hAnsiTheme="minorBidi"/>
          <w:sz w:val="20"/>
          <w:szCs w:val="20"/>
          <w:lang w:val="en-US"/>
        </w:rPr>
      </w:pPr>
    </w:p>
    <w:p w14:paraId="1A4603AB" w14:textId="77777777" w:rsidR="00A26540" w:rsidRPr="00A02DAB" w:rsidRDefault="00A26540" w:rsidP="004C1575">
      <w:pPr>
        <w:spacing w:line="360" w:lineRule="auto"/>
        <w:ind w:firstLine="0"/>
        <w:jc w:val="both"/>
        <w:rPr>
          <w:rFonts w:asciiTheme="minorBidi" w:hAnsiTheme="minorBidi"/>
          <w:sz w:val="20"/>
          <w:szCs w:val="20"/>
          <w:lang w:val="en-US"/>
        </w:rPr>
      </w:pPr>
    </w:p>
    <w:p w14:paraId="38EB12F1" w14:textId="77777777" w:rsidR="00617880" w:rsidRPr="00A02DAB" w:rsidRDefault="00617880" w:rsidP="00617880">
      <w:pPr>
        <w:spacing w:line="480" w:lineRule="auto"/>
        <w:rPr>
          <w:rFonts w:asciiTheme="minorBidi" w:hAnsiTheme="minorBidi"/>
          <w:b/>
          <w:bCs/>
          <w:sz w:val="20"/>
          <w:szCs w:val="20"/>
          <w:lang w:val="en-US"/>
        </w:rPr>
      </w:pPr>
      <w:r w:rsidRPr="00A02DAB">
        <w:rPr>
          <w:rFonts w:asciiTheme="minorBidi" w:hAnsiTheme="minorBidi"/>
          <w:b/>
          <w:bCs/>
          <w:sz w:val="20"/>
          <w:szCs w:val="20"/>
          <w:lang w:val="en-US"/>
        </w:rPr>
        <w:t>CONFLICT OF INTEREST STATEMENT</w:t>
      </w:r>
    </w:p>
    <w:p w14:paraId="2D42734E" w14:textId="77777777" w:rsidR="00617880" w:rsidRDefault="00617880" w:rsidP="00617880">
      <w:pPr>
        <w:spacing w:line="480" w:lineRule="auto"/>
        <w:jc w:val="both"/>
        <w:rPr>
          <w:rFonts w:asciiTheme="minorBidi" w:hAnsiTheme="minorBidi"/>
          <w:sz w:val="20"/>
          <w:szCs w:val="20"/>
          <w:lang w:val="en-US"/>
        </w:rPr>
      </w:pPr>
      <w:r w:rsidRPr="00A02DAB">
        <w:rPr>
          <w:rFonts w:asciiTheme="minorBidi" w:hAnsiTheme="minorBidi"/>
          <w:sz w:val="20"/>
          <w:szCs w:val="20"/>
          <w:lang w:val="en-US"/>
        </w:rPr>
        <w:t>The authors had no conflicts of interest to declare.</w:t>
      </w:r>
    </w:p>
    <w:p w14:paraId="3B00B9AC" w14:textId="77777777" w:rsidR="00A26540" w:rsidRDefault="00A26540" w:rsidP="00617880">
      <w:pPr>
        <w:spacing w:line="480" w:lineRule="auto"/>
        <w:jc w:val="both"/>
        <w:rPr>
          <w:rFonts w:asciiTheme="minorBidi" w:hAnsiTheme="minorBidi"/>
          <w:sz w:val="20"/>
          <w:szCs w:val="20"/>
          <w:lang w:val="en-US"/>
        </w:rPr>
      </w:pPr>
    </w:p>
    <w:p w14:paraId="3B42684D" w14:textId="77777777" w:rsidR="00A26540" w:rsidRPr="00A26540" w:rsidRDefault="00A26540" w:rsidP="00A26540">
      <w:pPr>
        <w:spacing w:after="200" w:line="276" w:lineRule="auto"/>
        <w:ind w:firstLine="0"/>
        <w:jc w:val="both"/>
        <w:outlineLvl w:val="0"/>
        <w:rPr>
          <w:rFonts w:ascii="Arial" w:eastAsia="Times New Roman" w:hAnsi="Arial" w:cs="Arial"/>
          <w:lang w:val="en-GB" w:eastAsia="en-GB"/>
        </w:rPr>
      </w:pPr>
      <w:r w:rsidRPr="00A26540">
        <w:rPr>
          <w:rFonts w:ascii="Arial" w:eastAsia="Times New Roman" w:hAnsi="Arial" w:cs="Arial"/>
          <w:b/>
          <w:bCs/>
          <w:lang w:val="en-GB" w:eastAsia="en-GB"/>
        </w:rPr>
        <w:t>COMPETING INTERESTS DISCLAIMER:</w:t>
      </w:r>
    </w:p>
    <w:p w14:paraId="7DA8152E" w14:textId="77777777" w:rsidR="00A26540" w:rsidRPr="00A26540" w:rsidRDefault="00A26540" w:rsidP="00A26540">
      <w:pPr>
        <w:spacing w:after="200" w:line="276" w:lineRule="auto"/>
        <w:ind w:firstLine="0"/>
        <w:rPr>
          <w:rFonts w:ascii="Calibri" w:eastAsia="Times New Roman" w:hAnsi="Calibri" w:cs="Times New Roman"/>
          <w:lang w:val="en-GB" w:eastAsia="en-GB"/>
        </w:rPr>
      </w:pPr>
      <w:r w:rsidRPr="00A2654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6AD16DD" w14:textId="77777777" w:rsidR="00A26540" w:rsidRDefault="00A26540" w:rsidP="00617880">
      <w:pPr>
        <w:spacing w:line="480" w:lineRule="auto"/>
        <w:jc w:val="both"/>
        <w:rPr>
          <w:rFonts w:asciiTheme="minorBidi" w:hAnsiTheme="minorBidi"/>
          <w:sz w:val="20"/>
          <w:szCs w:val="20"/>
          <w:lang w:val="en-US"/>
        </w:rPr>
      </w:pPr>
    </w:p>
    <w:p w14:paraId="4A972AE3" w14:textId="77777777" w:rsidR="00A26540" w:rsidRPr="00A02DAB" w:rsidRDefault="00A26540" w:rsidP="00617880">
      <w:pPr>
        <w:spacing w:line="480" w:lineRule="auto"/>
        <w:jc w:val="both"/>
        <w:rPr>
          <w:rFonts w:asciiTheme="minorBidi" w:hAnsiTheme="minorBidi"/>
          <w:sz w:val="20"/>
          <w:szCs w:val="20"/>
          <w:lang w:val="en-US"/>
        </w:rPr>
      </w:pPr>
    </w:p>
    <w:p w14:paraId="23F14B33" w14:textId="70CA7CCB" w:rsidR="00241B5B" w:rsidRPr="00A02DAB" w:rsidRDefault="00617880" w:rsidP="00617880">
      <w:pPr>
        <w:spacing w:line="480" w:lineRule="auto"/>
        <w:rPr>
          <w:rFonts w:asciiTheme="minorBidi" w:hAnsiTheme="minorBidi"/>
          <w:b/>
          <w:bCs/>
          <w:sz w:val="20"/>
          <w:szCs w:val="20"/>
          <w:lang w:val="en-US"/>
        </w:rPr>
      </w:pPr>
      <w:r w:rsidRPr="00A02DAB">
        <w:rPr>
          <w:rFonts w:asciiTheme="minorBidi" w:hAnsiTheme="minorBidi"/>
          <w:sz w:val="20"/>
          <w:szCs w:val="20"/>
          <w:lang w:val="en-US"/>
        </w:rPr>
        <w:t xml:space="preserve"> </w:t>
      </w:r>
      <w:r w:rsidRPr="00A02DAB">
        <w:rPr>
          <w:rFonts w:asciiTheme="minorBidi" w:hAnsiTheme="minorBidi"/>
          <w:b/>
          <w:bCs/>
          <w:sz w:val="20"/>
          <w:szCs w:val="20"/>
          <w:lang w:val="en-US"/>
        </w:rPr>
        <w:t>REFERENCES</w:t>
      </w:r>
    </w:p>
    <w:p w14:paraId="4E556EFB" w14:textId="11372B08"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b/>
          <w:bCs/>
          <w:sz w:val="20"/>
          <w:szCs w:val="20"/>
          <w:lang w:val="en-US"/>
        </w:rPr>
        <w:lastRenderedPageBreak/>
        <w:fldChar w:fldCharType="begin"/>
      </w:r>
      <w:r w:rsidRPr="00A02DAB">
        <w:rPr>
          <w:rFonts w:asciiTheme="minorBidi" w:hAnsiTheme="minorBidi"/>
          <w:b/>
          <w:bCs/>
          <w:sz w:val="20"/>
          <w:szCs w:val="20"/>
          <w:lang w:val="en-US"/>
        </w:rPr>
        <w:instrText xml:space="preserve"> ADDIN ZOTERO_BIBL {"uncited":[],"omitted":[],"custom":[]} CSL_BIBLIOGRAPHY </w:instrText>
      </w:r>
      <w:r w:rsidRPr="00A02DAB">
        <w:rPr>
          <w:rFonts w:asciiTheme="minorBidi" w:hAnsiTheme="minorBidi"/>
          <w:b/>
          <w:bCs/>
          <w:sz w:val="20"/>
          <w:szCs w:val="20"/>
          <w:lang w:val="en-US"/>
        </w:rPr>
        <w:fldChar w:fldCharType="separate"/>
      </w:r>
      <w:r w:rsidRPr="00A02DAB">
        <w:rPr>
          <w:rFonts w:asciiTheme="minorBidi" w:hAnsiTheme="minorBidi"/>
          <w:sz w:val="20"/>
          <w:szCs w:val="20"/>
          <w:lang w:val="en-US"/>
        </w:rPr>
        <w:t>1.</w:t>
      </w:r>
      <w:r w:rsidRPr="00A02DAB">
        <w:rPr>
          <w:rFonts w:asciiTheme="minorBidi" w:hAnsiTheme="minorBidi"/>
          <w:sz w:val="20"/>
          <w:szCs w:val="20"/>
          <w:lang w:val="en-US"/>
        </w:rPr>
        <w:tab/>
        <w:t>B</w:t>
      </w:r>
      <w:r w:rsidR="000A71A0" w:rsidRPr="000A71A0">
        <w:rPr>
          <w:rFonts w:asciiTheme="minorBidi" w:hAnsiTheme="minorBidi"/>
          <w:sz w:val="20"/>
          <w:szCs w:val="20"/>
          <w:lang w:val="en-US"/>
        </w:rPr>
        <w:t>Barnes, G. D., Lucas, E., Alexander, G. C., &amp; Goldberger, Z. D. (2015). National Trends in Ambulatory Oral Anticoagulant Use. American Journal of Medicine, 128(12), 1300-1305.e2. https://doi.org/10.1016/j.amjmed.2015.05.044</w:t>
      </w:r>
      <w:r w:rsidRPr="00A02DAB">
        <w:rPr>
          <w:rFonts w:asciiTheme="minorBidi" w:hAnsiTheme="minorBidi"/>
          <w:sz w:val="20"/>
          <w:szCs w:val="20"/>
          <w:lang w:val="en-US"/>
        </w:rPr>
        <w:t xml:space="preserve">. </w:t>
      </w:r>
    </w:p>
    <w:p w14:paraId="3E8F6AC6" w14:textId="40C2854C" w:rsidR="00617880" w:rsidRPr="00A02DAB" w:rsidRDefault="00617880" w:rsidP="00617880">
      <w:pPr>
        <w:pStyle w:val="Bibliography"/>
        <w:rPr>
          <w:rFonts w:asciiTheme="minorBidi" w:hAnsiTheme="minorBidi"/>
          <w:sz w:val="20"/>
          <w:szCs w:val="20"/>
        </w:rPr>
      </w:pPr>
      <w:r w:rsidRPr="00A02DAB">
        <w:rPr>
          <w:rFonts w:asciiTheme="minorBidi" w:hAnsiTheme="minorBidi"/>
          <w:sz w:val="20"/>
          <w:szCs w:val="20"/>
          <w:lang w:val="en-US"/>
        </w:rPr>
        <w:t>2.</w:t>
      </w:r>
      <w:r w:rsidRPr="00A02DAB">
        <w:rPr>
          <w:rFonts w:asciiTheme="minorBidi" w:hAnsiTheme="minorBidi"/>
          <w:sz w:val="20"/>
          <w:szCs w:val="20"/>
          <w:lang w:val="en-US"/>
        </w:rPr>
        <w:tab/>
      </w:r>
      <w:r w:rsidR="000A71A0" w:rsidRPr="000A71A0">
        <w:rPr>
          <w:rFonts w:asciiTheme="minorBidi" w:hAnsiTheme="minorBidi"/>
          <w:sz w:val="20"/>
          <w:szCs w:val="20"/>
          <w:lang w:val="en-US"/>
        </w:rPr>
        <w:t>Pirmohamed, M., Kamali, F., Daly, A. K., &amp; Wadelius, M. (2015). Oral anticoagulation: a critique of recent advances and controversies. Trends in Pharmacological Sciences, 36(3), 153-163. https://doi.org/10.1016/j.tips.2015.01.003</w:t>
      </w:r>
      <w:r w:rsidRPr="00A02DAB">
        <w:rPr>
          <w:rFonts w:asciiTheme="minorBidi" w:hAnsiTheme="minorBidi"/>
          <w:sz w:val="20"/>
          <w:szCs w:val="20"/>
        </w:rPr>
        <w:t xml:space="preserve">. </w:t>
      </w:r>
    </w:p>
    <w:p w14:paraId="1F0014BC" w14:textId="29328E13"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rPr>
        <w:t>3.</w:t>
      </w:r>
      <w:r w:rsidRPr="00A02DAB">
        <w:rPr>
          <w:rFonts w:asciiTheme="minorBidi" w:hAnsiTheme="minorBidi"/>
          <w:sz w:val="20"/>
          <w:szCs w:val="20"/>
        </w:rPr>
        <w:tab/>
      </w:r>
      <w:r w:rsidR="00567EBF" w:rsidRPr="00567EBF">
        <w:rPr>
          <w:rFonts w:asciiTheme="minorBidi" w:hAnsiTheme="minorBidi"/>
          <w:sz w:val="20"/>
          <w:szCs w:val="20"/>
        </w:rPr>
        <w:t>Keerthi, E., Bhuvaneshwari, S., Murugesan, P. R., Priyadharshini, T., &amp; Sri Subiksha, P. (2018). Cross sectional study on different doses of acenocoumarol with INR in a tertiary care hospital. International Journal of Basic &amp; Clinical Pharmacology, 7(9), 1738–1741. https://doi.org/10.18203/2319-2003.ijbcp20183481</w:t>
      </w:r>
      <w:r w:rsidRPr="00A02DAB">
        <w:rPr>
          <w:rFonts w:asciiTheme="minorBidi" w:hAnsiTheme="minorBidi"/>
          <w:sz w:val="20"/>
          <w:szCs w:val="20"/>
          <w:lang w:val="en-US"/>
        </w:rPr>
        <w:t xml:space="preserve">. </w:t>
      </w:r>
    </w:p>
    <w:p w14:paraId="61282BDD" w14:textId="52E3852F"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4.</w:t>
      </w:r>
      <w:r w:rsidRPr="00A02DAB">
        <w:rPr>
          <w:rFonts w:asciiTheme="minorBidi" w:hAnsiTheme="minorBidi"/>
          <w:sz w:val="20"/>
          <w:szCs w:val="20"/>
          <w:lang w:val="en-US"/>
        </w:rPr>
        <w:tab/>
      </w:r>
      <w:r w:rsidR="00567EBF" w:rsidRPr="00567EBF">
        <w:rPr>
          <w:rFonts w:asciiTheme="minorBidi" w:hAnsiTheme="minorBidi"/>
          <w:sz w:val="20"/>
          <w:szCs w:val="20"/>
          <w:lang w:val="en-US"/>
        </w:rPr>
        <w:t>Cullell, N., Carrera, C., Muiño, E., Torres-Aguila, N. P., Cárcel-Márquez, J., González-Sánchez, J., et al. (2020). Genome-Wide Association Study of VKORC1 and CYP2C9 on acenocoumarol dose, stroke recurrence and intracranial haemorrhage in Spain. Scientific Reports, 10(1), 2806. https://doi.org/10.1038/s41598-020-59641-9</w:t>
      </w:r>
      <w:r w:rsidRPr="00A02DAB">
        <w:rPr>
          <w:rFonts w:asciiTheme="minorBidi" w:hAnsiTheme="minorBidi"/>
          <w:sz w:val="20"/>
          <w:szCs w:val="20"/>
          <w:lang w:val="en-US"/>
        </w:rPr>
        <w:t xml:space="preserve">. </w:t>
      </w:r>
    </w:p>
    <w:p w14:paraId="5D27A6A2" w14:textId="1D39C417"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5.</w:t>
      </w:r>
      <w:r w:rsidRPr="00A02DAB">
        <w:rPr>
          <w:rFonts w:asciiTheme="minorBidi" w:hAnsiTheme="minorBidi"/>
          <w:sz w:val="20"/>
          <w:szCs w:val="20"/>
          <w:lang w:val="en-US"/>
        </w:rPr>
        <w:tab/>
      </w:r>
      <w:r w:rsidR="00567EBF" w:rsidRPr="00567EBF">
        <w:rPr>
          <w:rFonts w:asciiTheme="minorBidi" w:hAnsiTheme="minorBidi"/>
          <w:sz w:val="20"/>
          <w:szCs w:val="20"/>
          <w:lang w:val="en-US"/>
        </w:rPr>
        <w:t>Sawicka-Powierza, J., Buczkowski, K., Chlabicz, S., Gugnowski, Z., Powierza, K., &amp; Ołtarzewska, A. M. (2018). Quality control of oral anticoagulation with vitamin K antagonists in primary care patients in Poland: a multi-centre study. Kardiologia Polska, 76(4), 764–769. https://doi.org/10.5603/KP.2018.0011</w:t>
      </w:r>
      <w:r w:rsidRPr="00A02DAB">
        <w:rPr>
          <w:rFonts w:asciiTheme="minorBidi" w:hAnsiTheme="minorBidi"/>
          <w:sz w:val="20"/>
          <w:szCs w:val="20"/>
          <w:lang w:val="en-US"/>
        </w:rPr>
        <w:t xml:space="preserve">. </w:t>
      </w:r>
    </w:p>
    <w:p w14:paraId="55307D87" w14:textId="076A4D9E" w:rsidR="00617880" w:rsidRPr="00A02DAB" w:rsidRDefault="00617880" w:rsidP="00617880">
      <w:pPr>
        <w:pStyle w:val="Bibliography"/>
        <w:rPr>
          <w:rFonts w:asciiTheme="minorBidi" w:hAnsiTheme="minorBidi"/>
          <w:sz w:val="20"/>
          <w:szCs w:val="20"/>
        </w:rPr>
      </w:pPr>
      <w:r w:rsidRPr="00A02DAB">
        <w:rPr>
          <w:rFonts w:asciiTheme="minorBidi" w:hAnsiTheme="minorBidi"/>
          <w:sz w:val="20"/>
          <w:szCs w:val="20"/>
          <w:lang w:val="en-US"/>
        </w:rPr>
        <w:t>6.</w:t>
      </w:r>
      <w:r w:rsidRPr="00A02DAB">
        <w:rPr>
          <w:rFonts w:asciiTheme="minorBidi" w:hAnsiTheme="minorBidi"/>
          <w:sz w:val="20"/>
          <w:szCs w:val="20"/>
          <w:lang w:val="en-US"/>
        </w:rPr>
        <w:tab/>
      </w:r>
      <w:r w:rsidR="00567EBF" w:rsidRPr="00567EBF">
        <w:rPr>
          <w:rFonts w:asciiTheme="minorBidi" w:hAnsiTheme="minorBidi"/>
          <w:sz w:val="20"/>
          <w:szCs w:val="20"/>
          <w:lang w:val="en-US"/>
        </w:rPr>
        <w:t>Valdelièvre, E., Quéré, I., Caré, B., Laroche, J. P., &amp; Schved, J. F. (2018). Utilité du TTR (temps passé dans la cible thérapeutique) dans le suivi des patients sous antivitamine K : analyse d’une cohorte de patients. JMV-Journal de Médecine Vasculaire, 43(3), 155-162. https://doi.org/10.1016/j.jdmv.2018.02.001</w:t>
      </w:r>
      <w:r w:rsidRPr="00A02DAB">
        <w:rPr>
          <w:rFonts w:asciiTheme="minorBidi" w:hAnsiTheme="minorBidi"/>
          <w:sz w:val="20"/>
          <w:szCs w:val="20"/>
        </w:rPr>
        <w:t xml:space="preserve">. </w:t>
      </w:r>
    </w:p>
    <w:p w14:paraId="404C745E" w14:textId="5A588FE9"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rPr>
        <w:t>7.</w:t>
      </w:r>
      <w:r w:rsidRPr="00A02DAB">
        <w:rPr>
          <w:rFonts w:asciiTheme="minorBidi" w:hAnsiTheme="minorBidi"/>
          <w:sz w:val="20"/>
          <w:szCs w:val="20"/>
        </w:rPr>
        <w:tab/>
      </w:r>
      <w:r w:rsidR="00567EBF" w:rsidRPr="00567EBF">
        <w:rPr>
          <w:rFonts w:asciiTheme="minorBidi" w:hAnsiTheme="minorBidi"/>
          <w:sz w:val="20"/>
          <w:szCs w:val="20"/>
        </w:rPr>
        <w:t>Anguita Sánchez, M., Bertomeu Martínez, V., &amp; Cequier Fillat, Á. (2015). Quality of Vitamin K Antagonist Anticoagulation in Spain: Prevalence of Poor Control and Associated Factors. Revista Española de Cardiología (English Edition), 68(9), 761-768. https://doi.org/10.1016/j.rec.2014.11.019</w:t>
      </w:r>
      <w:r w:rsidRPr="00A02DAB">
        <w:rPr>
          <w:rFonts w:asciiTheme="minorBidi" w:hAnsiTheme="minorBidi"/>
          <w:sz w:val="20"/>
          <w:szCs w:val="20"/>
          <w:lang w:val="en-US"/>
        </w:rPr>
        <w:t xml:space="preserve">. </w:t>
      </w:r>
    </w:p>
    <w:p w14:paraId="50190932" w14:textId="4451DB1B"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8.</w:t>
      </w:r>
      <w:r w:rsidRPr="00A02DAB">
        <w:rPr>
          <w:rFonts w:asciiTheme="minorBidi" w:hAnsiTheme="minorBidi"/>
          <w:sz w:val="20"/>
          <w:szCs w:val="20"/>
          <w:lang w:val="en-US"/>
        </w:rPr>
        <w:tab/>
      </w:r>
      <w:r w:rsidR="00567EBF" w:rsidRPr="00567EBF">
        <w:rPr>
          <w:rFonts w:asciiTheme="minorBidi" w:hAnsiTheme="minorBidi"/>
          <w:sz w:val="20"/>
          <w:szCs w:val="20"/>
          <w:lang w:val="en-US"/>
        </w:rPr>
        <w:t>Smires, F. Z., Habbal, R., Moreau, C., Assaidi, A., Loriot, M. A., &amp; Nadifi, S. (2013). Effect of different genetics variants: CYP2C9*2, CYP2C9*3 of cytochrome P-450 CYP2C9 and 1639G&gt;A of the VKORC1 gene; On acenocoumarol requirement in Moroccan patients. Pathol Biol (Paris), 61(3), 88-92. https://doi.org/10.1016/j.patbio.2012.10.002</w:t>
      </w:r>
      <w:r w:rsidRPr="00A02DAB">
        <w:rPr>
          <w:rFonts w:asciiTheme="minorBidi" w:hAnsiTheme="minorBidi"/>
          <w:sz w:val="20"/>
          <w:szCs w:val="20"/>
          <w:lang w:val="en-US"/>
        </w:rPr>
        <w:t xml:space="preserve">. </w:t>
      </w:r>
    </w:p>
    <w:p w14:paraId="6B82B534" w14:textId="7DB6646C"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9.</w:t>
      </w:r>
      <w:r w:rsidRPr="00A02DAB">
        <w:rPr>
          <w:rFonts w:asciiTheme="minorBidi" w:hAnsiTheme="minorBidi"/>
          <w:sz w:val="20"/>
          <w:szCs w:val="20"/>
          <w:lang w:val="en-US"/>
        </w:rPr>
        <w:tab/>
      </w:r>
      <w:r w:rsidR="00567EBF" w:rsidRPr="00567EBF">
        <w:rPr>
          <w:rFonts w:asciiTheme="minorBidi" w:hAnsiTheme="minorBidi"/>
          <w:sz w:val="20"/>
          <w:szCs w:val="20"/>
          <w:lang w:val="en-US"/>
        </w:rPr>
        <w:t>Ajmi, M., Omezzine, A., Achour, S., Amor, D., Hamdouni, H., Ismaïl, F. B. F., Sfar, I., Denden, A., Ben Rejeb, M., Ben Ammar, M., &amp; Ben Salem, H. (2018). Influence of genetic and non-genetic factors on acenocoumarol maintenance dose requirement in a Tunisian population. *Eur J Clin Pharmacol*, *74*(6), 711-722. https://doi.org/10.1007/s00228-018-2423-7</w:t>
      </w:r>
      <w:r w:rsidRPr="00A02DAB">
        <w:rPr>
          <w:rFonts w:asciiTheme="minorBidi" w:hAnsiTheme="minorBidi"/>
          <w:sz w:val="20"/>
          <w:szCs w:val="20"/>
          <w:lang w:val="en-US"/>
        </w:rPr>
        <w:t xml:space="preserve"> </w:t>
      </w:r>
    </w:p>
    <w:p w14:paraId="106E7744" w14:textId="6FF1C7C0"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10.</w:t>
      </w:r>
      <w:r w:rsidRPr="00A02DAB">
        <w:rPr>
          <w:rFonts w:asciiTheme="minorBidi" w:hAnsiTheme="minorBidi"/>
          <w:sz w:val="20"/>
          <w:szCs w:val="20"/>
          <w:lang w:val="en-US"/>
        </w:rPr>
        <w:tab/>
      </w:r>
      <w:r w:rsidR="00567EBF" w:rsidRPr="00567EBF">
        <w:rPr>
          <w:rFonts w:asciiTheme="minorBidi" w:hAnsiTheme="minorBidi"/>
          <w:sz w:val="20"/>
          <w:szCs w:val="20"/>
          <w:lang w:val="en-US"/>
        </w:rPr>
        <w:t>Vahanian, A., Beyersdorf, F., Praz, F., Milojevic, M., Baldus, S., Bauersachs, J., Capodanno, D., Conradi, L., De Bonis, M., De Paulis, R., Delgado, V., Freemantle, N., Gilard, M., Haugaa, K. H., Jeppsson, A., Jüni, P., Pierard, L., Prendergast, B. D., Sádaba, J. R., Tribouilloy, C., &amp; Wojakowski, W. (2022). 2021 ESC/EACTS Guidelines for the management of valvular heart disease. *European Heart Journal*, *43*(7), 561-632. https://doi.org/10.1093/eurheartj/ehab395</w:t>
      </w:r>
      <w:r w:rsidRPr="00A02DAB">
        <w:rPr>
          <w:rFonts w:asciiTheme="minorBidi" w:hAnsiTheme="minorBidi"/>
          <w:sz w:val="20"/>
          <w:szCs w:val="20"/>
          <w:lang w:val="en-US"/>
        </w:rPr>
        <w:t xml:space="preserve">. </w:t>
      </w:r>
    </w:p>
    <w:p w14:paraId="78E22A6A" w14:textId="5A6DF2F2"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11.</w:t>
      </w:r>
      <w:r w:rsidRPr="00A02DAB">
        <w:rPr>
          <w:rFonts w:asciiTheme="minorBidi" w:hAnsiTheme="minorBidi"/>
          <w:sz w:val="20"/>
          <w:szCs w:val="20"/>
          <w:lang w:val="en-US"/>
        </w:rPr>
        <w:tab/>
      </w:r>
      <w:r w:rsidR="00567EBF" w:rsidRPr="00567EBF">
        <w:rPr>
          <w:rFonts w:asciiTheme="minorBidi" w:hAnsiTheme="minorBidi"/>
          <w:sz w:val="20"/>
          <w:szCs w:val="20"/>
          <w:lang w:val="en-US"/>
        </w:rPr>
        <w:t>Dalmau Llorca, M. R., Aguilar Martín, C., Carrasco-Querol, N., Hernández Rojas, Z., Forcadell Drago, E., Rodríguez Cumplido, D., Castro Blanco, E., Gonçalves, A. Q., &amp; Fernández-Sáez, J. (2021). Anticoagulation Control with Acenocoumarol or Warfarin in Non-Valvular Atrial Fibrillation in Primary Care (Fantas-TIC Study). International Journal of Environmental Research and Public Health, 18(11), 5700. https://doi.org/10.3390/ijerph18115700</w:t>
      </w:r>
      <w:r w:rsidRPr="00A02DAB">
        <w:rPr>
          <w:rFonts w:asciiTheme="minorBidi" w:hAnsiTheme="minorBidi"/>
          <w:sz w:val="20"/>
          <w:szCs w:val="20"/>
          <w:lang w:val="en-US"/>
        </w:rPr>
        <w:t xml:space="preserve">. </w:t>
      </w:r>
    </w:p>
    <w:p w14:paraId="178225FD" w14:textId="1716560A"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lastRenderedPageBreak/>
        <w:t>12.</w:t>
      </w:r>
      <w:r w:rsidRPr="00A02DAB">
        <w:rPr>
          <w:rFonts w:asciiTheme="minorBidi" w:hAnsiTheme="minorBidi"/>
          <w:sz w:val="20"/>
          <w:szCs w:val="20"/>
          <w:lang w:val="en-US"/>
        </w:rPr>
        <w:tab/>
      </w:r>
      <w:r w:rsidR="00567EBF" w:rsidRPr="00567EBF">
        <w:rPr>
          <w:rFonts w:asciiTheme="minorBidi" w:hAnsiTheme="minorBidi"/>
          <w:sz w:val="20"/>
          <w:szCs w:val="20"/>
          <w:lang w:val="en-US"/>
        </w:rPr>
        <w:t>Connolly, S. J., Karthikeyan, G., Ntsekhe, M., Haileamlak, A., El Sayed, A., El Ghamrawy, A., et al. (2022). Rivaroxaban in rheumatic heart disease–associated atrial fibrillation. *New England Journal of Medicine*, *387*(11), 978–988. https://doi.org/10.1056/NEJMoa2209051</w:t>
      </w:r>
      <w:r w:rsidRPr="00A02DAB">
        <w:rPr>
          <w:rFonts w:asciiTheme="minorBidi" w:hAnsiTheme="minorBidi"/>
          <w:sz w:val="20"/>
          <w:szCs w:val="20"/>
          <w:lang w:val="en-US"/>
        </w:rPr>
        <w:t xml:space="preserve">. </w:t>
      </w:r>
    </w:p>
    <w:p w14:paraId="76F80996" w14:textId="3F912B33"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rPr>
        <w:t>13.</w:t>
      </w:r>
      <w:r w:rsidRPr="00A02DAB">
        <w:rPr>
          <w:rFonts w:asciiTheme="minorBidi" w:hAnsiTheme="minorBidi"/>
          <w:sz w:val="20"/>
          <w:szCs w:val="20"/>
        </w:rPr>
        <w:tab/>
      </w:r>
      <w:r w:rsidR="00567EBF" w:rsidRPr="00567EBF">
        <w:rPr>
          <w:rFonts w:asciiTheme="minorBidi" w:hAnsiTheme="minorBidi"/>
          <w:sz w:val="20"/>
          <w:szCs w:val="20"/>
        </w:rPr>
        <w:t>Bonnet, V., Boisselier, C., Saplacan, V., Belin, A., Gérard, J. L., Fellahi, J. L., Hanouz, J. L., &amp; Fischer, M. O. (2016). The role of age and comorbidities in postoperative outcome of mitral valve repair: A propensity-matched study. Medicine (Baltimore), 95(25), e3938. https://doi.org/10.1097/MD.0000000000003938</w:t>
      </w:r>
      <w:r w:rsidRPr="00A02DAB">
        <w:rPr>
          <w:rFonts w:asciiTheme="minorBidi" w:hAnsiTheme="minorBidi"/>
          <w:sz w:val="20"/>
          <w:szCs w:val="20"/>
          <w:lang w:val="en-US"/>
        </w:rPr>
        <w:t xml:space="preserve">. </w:t>
      </w:r>
    </w:p>
    <w:p w14:paraId="2494C5EA" w14:textId="60348D18"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14.</w:t>
      </w:r>
      <w:r w:rsidRPr="00A02DAB">
        <w:rPr>
          <w:rFonts w:asciiTheme="minorBidi" w:hAnsiTheme="minorBidi"/>
          <w:sz w:val="20"/>
          <w:szCs w:val="20"/>
          <w:lang w:val="en-US"/>
        </w:rPr>
        <w:tab/>
      </w:r>
      <w:r w:rsidR="00567EBF" w:rsidRPr="00567EBF">
        <w:rPr>
          <w:rFonts w:asciiTheme="minorBidi" w:hAnsiTheme="minorBidi"/>
          <w:sz w:val="20"/>
          <w:szCs w:val="20"/>
          <w:lang w:val="en-US"/>
        </w:rPr>
        <w:t>Nieto, E., Suarez, M., Roco, Á., Rubilar, J. C., Tamayo, F., Rojo, M., Verón, G., Sepúlveda, J., Mejías, F., Salas, P., Góngora, M., Andrade, P., Canales, A., Carabantes, J., Cruz, D., Contreras, E., Pavez, D., Charo, P., Bravo, G., ... Quiñones, L. A. (2019). Anticoagulation Management With Coumarinic Drugs in Chilean Patients. Clinical and Applied Thrombosis/Hemostasis, 25, 1076029619834342. https://doi.org/10.1177/1076029619834342</w:t>
      </w:r>
      <w:r w:rsidRPr="00A02DAB">
        <w:rPr>
          <w:rFonts w:asciiTheme="minorBidi" w:hAnsiTheme="minorBidi"/>
          <w:sz w:val="20"/>
          <w:szCs w:val="20"/>
          <w:lang w:val="en-US"/>
        </w:rPr>
        <w:t xml:space="preserve">. </w:t>
      </w:r>
    </w:p>
    <w:p w14:paraId="7A7976C0" w14:textId="280603DD"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15.</w:t>
      </w:r>
      <w:r w:rsidRPr="00A02DAB">
        <w:rPr>
          <w:rFonts w:asciiTheme="minorBidi" w:hAnsiTheme="minorBidi"/>
          <w:sz w:val="20"/>
          <w:szCs w:val="20"/>
          <w:lang w:val="en-US"/>
        </w:rPr>
        <w:tab/>
      </w:r>
      <w:r w:rsidR="00567EBF" w:rsidRPr="00567EBF">
        <w:rPr>
          <w:rFonts w:asciiTheme="minorBidi" w:hAnsiTheme="minorBidi"/>
          <w:sz w:val="20"/>
          <w:szCs w:val="20"/>
          <w:lang w:val="en-US"/>
        </w:rPr>
        <w:t>Esmerian, M. O., Mitri, Z., Habbal, M. Z., Geryess, E., Zaatari, G., Alam, S., &amp; Zgheib, N. K. (2011). Influence of CYP2C9 and VKORC1 polymorphisms on warfarin and acenocoumarol in a sample of Lebanese people. Journal of Clinical Pharmacology, 51(10), 1418–1428. https://doi.org/10.1177/0091270010382910</w:t>
      </w:r>
      <w:r w:rsidRPr="00A02DAB">
        <w:rPr>
          <w:rFonts w:asciiTheme="minorBidi" w:hAnsiTheme="minorBidi"/>
          <w:sz w:val="20"/>
          <w:szCs w:val="20"/>
          <w:lang w:val="en-US"/>
        </w:rPr>
        <w:t xml:space="preserve">. </w:t>
      </w:r>
    </w:p>
    <w:p w14:paraId="20CD8E4D" w14:textId="6BF26A2B"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16.</w:t>
      </w:r>
      <w:r w:rsidRPr="00A02DAB">
        <w:rPr>
          <w:rFonts w:asciiTheme="minorBidi" w:hAnsiTheme="minorBidi"/>
          <w:sz w:val="20"/>
          <w:szCs w:val="20"/>
          <w:lang w:val="en-US"/>
        </w:rPr>
        <w:tab/>
      </w:r>
      <w:r w:rsidR="00567EBF" w:rsidRPr="00567EBF">
        <w:rPr>
          <w:rFonts w:asciiTheme="minorBidi" w:hAnsiTheme="minorBidi"/>
          <w:sz w:val="20"/>
          <w:szCs w:val="20"/>
          <w:lang w:val="en-US"/>
        </w:rPr>
        <w:t>Wypasek, E., Branicka, A., Awsiuk, M., Sadowski, J., &amp; Undas, A. (2014). Genetic determinants of acenocoumarol and warfarin maintenance dose requirements in Slavic population: a potential role of CYP4F2 and GGCX polymorphisms. Thrombosis Research, 134(3), 604–609. https://doi.org/10.1016/j.thromres.2014.06.022</w:t>
      </w:r>
      <w:r w:rsidRPr="00A02DAB">
        <w:rPr>
          <w:rFonts w:asciiTheme="minorBidi" w:hAnsiTheme="minorBidi"/>
          <w:sz w:val="20"/>
          <w:szCs w:val="20"/>
          <w:lang w:val="en-US"/>
        </w:rPr>
        <w:t xml:space="preserve">. </w:t>
      </w:r>
    </w:p>
    <w:p w14:paraId="08D8DED7" w14:textId="1C4C3F00" w:rsidR="00617880" w:rsidRPr="00A02DAB" w:rsidRDefault="00617880" w:rsidP="00617880">
      <w:pPr>
        <w:pStyle w:val="Bibliography"/>
        <w:rPr>
          <w:rFonts w:asciiTheme="minorBidi" w:hAnsiTheme="minorBidi"/>
          <w:sz w:val="20"/>
          <w:szCs w:val="20"/>
          <w:lang w:val="en-US"/>
        </w:rPr>
      </w:pPr>
      <w:r w:rsidRPr="00A02DAB">
        <w:rPr>
          <w:rFonts w:asciiTheme="minorBidi" w:hAnsiTheme="minorBidi"/>
          <w:sz w:val="20"/>
          <w:szCs w:val="20"/>
          <w:lang w:val="en-US"/>
        </w:rPr>
        <w:t>17.</w:t>
      </w:r>
      <w:r w:rsidRPr="00A02DAB">
        <w:rPr>
          <w:rFonts w:asciiTheme="minorBidi" w:hAnsiTheme="minorBidi"/>
          <w:sz w:val="20"/>
          <w:szCs w:val="20"/>
          <w:lang w:val="en-US"/>
        </w:rPr>
        <w:tab/>
      </w:r>
      <w:r w:rsidR="00567EBF" w:rsidRPr="00567EBF">
        <w:rPr>
          <w:rFonts w:asciiTheme="minorBidi" w:hAnsiTheme="minorBidi"/>
          <w:sz w:val="20"/>
          <w:szCs w:val="20"/>
          <w:lang w:val="en-US"/>
        </w:rPr>
        <w:t>Elkhazraji, A., Bouaiti, E. A., Boulahyaoui, H., Nahmtchougli, C. P., Zahid, H., Bensaid, M., Ibrahimi, A., &amp; Messaoudi, N. (2018). Effect of CYP2C9, VKORC1, CYP4F2, and GGCX gene variants and patient characteristics on acenocoumarol maintenance dose: Proposal for a dosing algorithm for Moroccan patients. Drug Discoveries &amp; Therapeutics. https://doi.org/10.5582/ddt.2017.01063</w:t>
      </w:r>
      <w:r w:rsidRPr="00A02DAB">
        <w:rPr>
          <w:rFonts w:asciiTheme="minorBidi" w:hAnsiTheme="minorBidi"/>
          <w:sz w:val="20"/>
          <w:szCs w:val="20"/>
          <w:lang w:val="en-US"/>
        </w:rPr>
        <w:t xml:space="preserve">. </w:t>
      </w:r>
    </w:p>
    <w:p w14:paraId="02E9A0CC" w14:textId="1DC4EBFA" w:rsidR="00617880" w:rsidRPr="00A02DAB" w:rsidRDefault="00617880" w:rsidP="00617880">
      <w:pPr>
        <w:pStyle w:val="Bibliography"/>
        <w:rPr>
          <w:rFonts w:asciiTheme="minorBidi" w:hAnsiTheme="minorBidi"/>
          <w:sz w:val="20"/>
          <w:szCs w:val="20"/>
        </w:rPr>
      </w:pPr>
      <w:r w:rsidRPr="00A02DAB">
        <w:rPr>
          <w:rFonts w:asciiTheme="minorBidi" w:hAnsiTheme="minorBidi"/>
          <w:sz w:val="20"/>
          <w:szCs w:val="20"/>
          <w:lang w:val="en-US"/>
        </w:rPr>
        <w:t>18.</w:t>
      </w:r>
      <w:r w:rsidRPr="00A02DAB">
        <w:rPr>
          <w:rFonts w:asciiTheme="minorBidi" w:hAnsiTheme="minorBidi"/>
          <w:sz w:val="20"/>
          <w:szCs w:val="20"/>
          <w:lang w:val="en-US"/>
        </w:rPr>
        <w:tab/>
      </w:r>
      <w:r w:rsidR="00567EBF" w:rsidRPr="00567EBF">
        <w:rPr>
          <w:rFonts w:asciiTheme="minorBidi" w:hAnsiTheme="minorBidi"/>
          <w:sz w:val="20"/>
          <w:szCs w:val="20"/>
          <w:lang w:val="en-US"/>
        </w:rPr>
        <w:t>Ragia, G., Kolovou, V., Kolovou, G., Konstantinides, S., Maltezos, E., Tavridou, A., Tziakas, D., Maitland-van der Zee, A. H., &amp; Manolopoulos, V. G. (2017). A novel acenocoumarol pharmacogenomic dosing algorithm for the Greek population of EU-PACT trial. Pharmacogenomics, 18(1), 23–34. https://doi.org/10.2217/pgs-2016-0126</w:t>
      </w:r>
      <w:r w:rsidR="00567EBF">
        <w:rPr>
          <w:rFonts w:asciiTheme="minorBidi" w:hAnsiTheme="minorBidi"/>
          <w:sz w:val="20"/>
          <w:szCs w:val="20"/>
          <w:lang w:val="en-US"/>
        </w:rPr>
        <w:tab/>
      </w:r>
      <w:r w:rsidRPr="00A02DAB">
        <w:rPr>
          <w:rFonts w:asciiTheme="minorBidi" w:hAnsiTheme="minorBidi"/>
          <w:sz w:val="20"/>
          <w:szCs w:val="20"/>
        </w:rPr>
        <w:t xml:space="preserve">. </w:t>
      </w:r>
    </w:p>
    <w:p w14:paraId="57CA588C" w14:textId="1D3594C9" w:rsidR="00617880" w:rsidRPr="00A02DAB" w:rsidRDefault="00617880" w:rsidP="00617880">
      <w:pPr>
        <w:pStyle w:val="Bibliography"/>
        <w:rPr>
          <w:rFonts w:asciiTheme="minorBidi" w:hAnsiTheme="minorBidi"/>
          <w:sz w:val="20"/>
          <w:szCs w:val="20"/>
        </w:rPr>
      </w:pPr>
      <w:r w:rsidRPr="00A02DAB">
        <w:rPr>
          <w:rFonts w:asciiTheme="minorBidi" w:hAnsiTheme="minorBidi"/>
          <w:sz w:val="20"/>
          <w:szCs w:val="20"/>
        </w:rPr>
        <w:t>19.</w:t>
      </w:r>
      <w:r w:rsidRPr="00A02DAB">
        <w:rPr>
          <w:rFonts w:asciiTheme="minorBidi" w:hAnsiTheme="minorBidi"/>
          <w:sz w:val="20"/>
          <w:szCs w:val="20"/>
        </w:rPr>
        <w:tab/>
      </w:r>
      <w:r w:rsidR="00567EBF" w:rsidRPr="00567EBF">
        <w:rPr>
          <w:rFonts w:asciiTheme="minorBidi" w:hAnsiTheme="minorBidi"/>
          <w:sz w:val="20"/>
          <w:szCs w:val="20"/>
        </w:rPr>
        <w:t>Ben Rejeb, O., Brahim, W., Ghali, H., Ernez, S., Mahdhaoui, A., &amp; Jeridi, G. (2019). Évaluation de la qualité de l’anticoagulation au long cours par antivitamine-K dans la fibrillation auriculaire. Annales de Cardiologie et d'Angéiologie, 68(2), 80-86. https://doi.org/10.1016/j.ancard.2018.08.024</w:t>
      </w:r>
      <w:r w:rsidRPr="00A02DAB">
        <w:rPr>
          <w:rFonts w:asciiTheme="minorBidi" w:hAnsiTheme="minorBidi"/>
          <w:sz w:val="20"/>
          <w:szCs w:val="20"/>
        </w:rPr>
        <w:t xml:space="preserve">. </w:t>
      </w:r>
    </w:p>
    <w:p w14:paraId="1C080A40" w14:textId="6D8ADCC6" w:rsidR="00617880" w:rsidRPr="00A02DAB" w:rsidRDefault="00617880" w:rsidP="00A02DAB">
      <w:pPr>
        <w:spacing w:line="480" w:lineRule="auto"/>
        <w:ind w:firstLine="0"/>
        <w:rPr>
          <w:rFonts w:asciiTheme="minorBidi" w:hAnsiTheme="minorBidi"/>
          <w:b/>
          <w:bCs/>
          <w:sz w:val="20"/>
          <w:szCs w:val="20"/>
          <w:lang w:val="en-US"/>
        </w:rPr>
      </w:pPr>
      <w:r w:rsidRPr="00A02DAB">
        <w:rPr>
          <w:rFonts w:asciiTheme="minorBidi" w:hAnsiTheme="minorBidi"/>
          <w:b/>
          <w:bCs/>
          <w:sz w:val="20"/>
          <w:szCs w:val="20"/>
          <w:lang w:val="en-US"/>
        </w:rPr>
        <w:fldChar w:fldCharType="end"/>
      </w:r>
    </w:p>
    <w:sectPr w:rsidR="00617880" w:rsidRPr="00A02DAB" w:rsidSect="00944E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EBF18" w14:textId="77777777" w:rsidR="00FE5756" w:rsidRDefault="00FE5756" w:rsidP="004828C0">
      <w:r>
        <w:separator/>
      </w:r>
    </w:p>
  </w:endnote>
  <w:endnote w:type="continuationSeparator" w:id="0">
    <w:p w14:paraId="77C6CA01" w14:textId="77777777" w:rsidR="00FE5756" w:rsidRDefault="00FE5756" w:rsidP="0048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A9A5" w14:textId="77777777" w:rsidR="00194A4A" w:rsidRDefault="00194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F4F3" w14:textId="77777777" w:rsidR="00194A4A" w:rsidRDefault="00194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83B6" w14:textId="77777777" w:rsidR="00194A4A" w:rsidRDefault="00194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996C4" w14:textId="77777777" w:rsidR="00FE5756" w:rsidRDefault="00FE5756" w:rsidP="004828C0">
      <w:r>
        <w:separator/>
      </w:r>
    </w:p>
  </w:footnote>
  <w:footnote w:type="continuationSeparator" w:id="0">
    <w:p w14:paraId="5BAFA1CC" w14:textId="77777777" w:rsidR="00FE5756" w:rsidRDefault="00FE5756" w:rsidP="0048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BE52" w14:textId="77813057" w:rsidR="00194A4A" w:rsidRDefault="00194A4A">
    <w:pPr>
      <w:pStyle w:val="Header"/>
    </w:pPr>
    <w:r>
      <w:rPr>
        <w:noProof/>
      </w:rPr>
      <w:pict w14:anchorId="7180D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8707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4932" w14:textId="2DF0003B" w:rsidR="00194A4A" w:rsidRDefault="00194A4A">
    <w:pPr>
      <w:pStyle w:val="Header"/>
    </w:pPr>
    <w:r>
      <w:rPr>
        <w:noProof/>
      </w:rPr>
      <w:pict w14:anchorId="65274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8708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3A4E" w14:textId="6AF973B9" w:rsidR="00194A4A" w:rsidRDefault="00194A4A">
    <w:pPr>
      <w:pStyle w:val="Header"/>
    </w:pPr>
    <w:r>
      <w:rPr>
        <w:noProof/>
      </w:rPr>
      <w:pict w14:anchorId="4D4F0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8707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271BA"/>
    <w:multiLevelType w:val="multilevel"/>
    <w:tmpl w:val="4A1EB114"/>
    <w:lvl w:ilvl="0">
      <w:start w:val="1"/>
      <w:numFmt w:val="decimal"/>
      <w:lvlText w:val="%1."/>
      <w:lvlJc w:val="left"/>
      <w:pPr>
        <w:ind w:left="1080" w:hanging="360"/>
      </w:pPr>
    </w:lvl>
    <w:lvl w:ilvl="1">
      <w:start w:val="2"/>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6AC119A"/>
    <w:multiLevelType w:val="multilevel"/>
    <w:tmpl w:val="E30279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F92658E"/>
    <w:multiLevelType w:val="singleLevel"/>
    <w:tmpl w:val="4F92658E"/>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558B01C0"/>
    <w:multiLevelType w:val="multilevel"/>
    <w:tmpl w:val="558B01C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7C5A03"/>
    <w:multiLevelType w:val="multilevel"/>
    <w:tmpl w:val="D69A50D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CC31ACF"/>
    <w:multiLevelType w:val="multilevel"/>
    <w:tmpl w:val="5008A4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CE1275A"/>
    <w:multiLevelType w:val="multilevel"/>
    <w:tmpl w:val="CB0C14A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E9"/>
    <w:rsid w:val="0001603C"/>
    <w:rsid w:val="00025860"/>
    <w:rsid w:val="00025F3E"/>
    <w:rsid w:val="000377B0"/>
    <w:rsid w:val="000443E5"/>
    <w:rsid w:val="0005260F"/>
    <w:rsid w:val="00073E10"/>
    <w:rsid w:val="000759C4"/>
    <w:rsid w:val="00092762"/>
    <w:rsid w:val="00096D21"/>
    <w:rsid w:val="00097097"/>
    <w:rsid w:val="000A6AE2"/>
    <w:rsid w:val="000A71A0"/>
    <w:rsid w:val="000B08C2"/>
    <w:rsid w:val="000B6E3F"/>
    <w:rsid w:val="000C38EC"/>
    <w:rsid w:val="00115E4C"/>
    <w:rsid w:val="001258B7"/>
    <w:rsid w:val="001279CA"/>
    <w:rsid w:val="00132531"/>
    <w:rsid w:val="001524A6"/>
    <w:rsid w:val="00174F12"/>
    <w:rsid w:val="001765E9"/>
    <w:rsid w:val="0018087C"/>
    <w:rsid w:val="00194A4A"/>
    <w:rsid w:val="001A33B3"/>
    <w:rsid w:val="001A7977"/>
    <w:rsid w:val="001C27FB"/>
    <w:rsid w:val="001C4930"/>
    <w:rsid w:val="001D1771"/>
    <w:rsid w:val="001D7688"/>
    <w:rsid w:val="001E16CF"/>
    <w:rsid w:val="001E76EB"/>
    <w:rsid w:val="00234E5F"/>
    <w:rsid w:val="00241B5B"/>
    <w:rsid w:val="00253310"/>
    <w:rsid w:val="00260CE9"/>
    <w:rsid w:val="00263E1D"/>
    <w:rsid w:val="00276ED4"/>
    <w:rsid w:val="00282CC5"/>
    <w:rsid w:val="002D0929"/>
    <w:rsid w:val="002D2A47"/>
    <w:rsid w:val="002F267D"/>
    <w:rsid w:val="00307686"/>
    <w:rsid w:val="003738DC"/>
    <w:rsid w:val="00375407"/>
    <w:rsid w:val="003A052B"/>
    <w:rsid w:val="003B12A5"/>
    <w:rsid w:val="003B202C"/>
    <w:rsid w:val="003B2BFD"/>
    <w:rsid w:val="003C2B21"/>
    <w:rsid w:val="003C4160"/>
    <w:rsid w:val="003C61B9"/>
    <w:rsid w:val="00407B10"/>
    <w:rsid w:val="00422067"/>
    <w:rsid w:val="00430C0D"/>
    <w:rsid w:val="00441875"/>
    <w:rsid w:val="00466486"/>
    <w:rsid w:val="004828C0"/>
    <w:rsid w:val="004979A9"/>
    <w:rsid w:val="004C1575"/>
    <w:rsid w:val="004F30E9"/>
    <w:rsid w:val="005000D6"/>
    <w:rsid w:val="005178C4"/>
    <w:rsid w:val="00567EBF"/>
    <w:rsid w:val="00575ABF"/>
    <w:rsid w:val="00586872"/>
    <w:rsid w:val="00586D5C"/>
    <w:rsid w:val="005C07B7"/>
    <w:rsid w:val="005C53F7"/>
    <w:rsid w:val="005E2382"/>
    <w:rsid w:val="005F4B61"/>
    <w:rsid w:val="00600A20"/>
    <w:rsid w:val="00617880"/>
    <w:rsid w:val="0062791D"/>
    <w:rsid w:val="00645871"/>
    <w:rsid w:val="00675D01"/>
    <w:rsid w:val="006A7F3F"/>
    <w:rsid w:val="006C4FE0"/>
    <w:rsid w:val="006C5ECA"/>
    <w:rsid w:val="006D2861"/>
    <w:rsid w:val="00712EB7"/>
    <w:rsid w:val="00727FC9"/>
    <w:rsid w:val="007721B7"/>
    <w:rsid w:val="007871F6"/>
    <w:rsid w:val="007A06E9"/>
    <w:rsid w:val="007A6A7F"/>
    <w:rsid w:val="007D6E8F"/>
    <w:rsid w:val="0081507D"/>
    <w:rsid w:val="0081677C"/>
    <w:rsid w:val="008500AA"/>
    <w:rsid w:val="00890944"/>
    <w:rsid w:val="008A07BC"/>
    <w:rsid w:val="008B1075"/>
    <w:rsid w:val="008E59B0"/>
    <w:rsid w:val="00903505"/>
    <w:rsid w:val="00924A85"/>
    <w:rsid w:val="00924D18"/>
    <w:rsid w:val="0093014A"/>
    <w:rsid w:val="009409ED"/>
    <w:rsid w:val="00944EEA"/>
    <w:rsid w:val="009A3230"/>
    <w:rsid w:val="009B73D5"/>
    <w:rsid w:val="009B78DE"/>
    <w:rsid w:val="00A02DAB"/>
    <w:rsid w:val="00A13728"/>
    <w:rsid w:val="00A20669"/>
    <w:rsid w:val="00A22301"/>
    <w:rsid w:val="00A26540"/>
    <w:rsid w:val="00A5727A"/>
    <w:rsid w:val="00A65FB2"/>
    <w:rsid w:val="00A95BB0"/>
    <w:rsid w:val="00AC11DE"/>
    <w:rsid w:val="00AF1034"/>
    <w:rsid w:val="00B033B6"/>
    <w:rsid w:val="00B338EF"/>
    <w:rsid w:val="00B352D9"/>
    <w:rsid w:val="00B40219"/>
    <w:rsid w:val="00B5066C"/>
    <w:rsid w:val="00B735F4"/>
    <w:rsid w:val="00BB39AE"/>
    <w:rsid w:val="00BC339F"/>
    <w:rsid w:val="00BD547A"/>
    <w:rsid w:val="00BD5E87"/>
    <w:rsid w:val="00BE17C1"/>
    <w:rsid w:val="00BF2576"/>
    <w:rsid w:val="00C32FDC"/>
    <w:rsid w:val="00C35024"/>
    <w:rsid w:val="00C74F36"/>
    <w:rsid w:val="00C964E6"/>
    <w:rsid w:val="00D02127"/>
    <w:rsid w:val="00D1395A"/>
    <w:rsid w:val="00D17941"/>
    <w:rsid w:val="00D219D9"/>
    <w:rsid w:val="00D25EA9"/>
    <w:rsid w:val="00D35E30"/>
    <w:rsid w:val="00D63AD2"/>
    <w:rsid w:val="00D7209D"/>
    <w:rsid w:val="00D73AFC"/>
    <w:rsid w:val="00D76B56"/>
    <w:rsid w:val="00D97210"/>
    <w:rsid w:val="00D97E79"/>
    <w:rsid w:val="00DA2A68"/>
    <w:rsid w:val="00DC476B"/>
    <w:rsid w:val="00DC50BF"/>
    <w:rsid w:val="00DD10AD"/>
    <w:rsid w:val="00DF172B"/>
    <w:rsid w:val="00DF47FE"/>
    <w:rsid w:val="00DF4FCC"/>
    <w:rsid w:val="00E02AFF"/>
    <w:rsid w:val="00E27B29"/>
    <w:rsid w:val="00E96492"/>
    <w:rsid w:val="00F417C6"/>
    <w:rsid w:val="00F5172A"/>
    <w:rsid w:val="00F90031"/>
    <w:rsid w:val="00FE447C"/>
    <w:rsid w:val="00FE563D"/>
    <w:rsid w:val="00FE5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80595"/>
  <w15:chartTrackingRefBased/>
  <w15:docId w15:val="{3E06D367-DAEE-4790-98B7-6E86E317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3E5"/>
    <w:pPr>
      <w:spacing w:after="0" w:line="240" w:lineRule="auto"/>
      <w:ind w:firstLine="360"/>
    </w:pPr>
    <w:rPr>
      <w:rFonts w:eastAsiaTheme="minorEastAsia"/>
      <w:kern w:val="0"/>
      <w:lang w:val="fr-FR"/>
      <w14:ligatures w14:val="none"/>
    </w:rPr>
  </w:style>
  <w:style w:type="paragraph" w:styleId="Heading1">
    <w:name w:val="heading 1"/>
    <w:basedOn w:val="Normal"/>
    <w:next w:val="Normal"/>
    <w:link w:val="Heading1Char"/>
    <w:uiPriority w:val="9"/>
    <w:qFormat/>
    <w:rsid w:val="007A06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A06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06E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A06E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A06E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A0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6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A06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A06E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A06E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A06E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A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6E9"/>
    <w:rPr>
      <w:rFonts w:eastAsiaTheme="majorEastAsia" w:cstheme="majorBidi"/>
      <w:color w:val="272727" w:themeColor="text1" w:themeTint="D8"/>
    </w:rPr>
  </w:style>
  <w:style w:type="paragraph" w:styleId="Title">
    <w:name w:val="Title"/>
    <w:basedOn w:val="Normal"/>
    <w:next w:val="Normal"/>
    <w:link w:val="TitleChar"/>
    <w:qFormat/>
    <w:rsid w:val="007A0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6E9"/>
    <w:pPr>
      <w:numPr>
        <w:ilvl w:val="1"/>
      </w:numPr>
      <w:ind w:firstLine="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6E9"/>
    <w:pPr>
      <w:spacing w:before="160"/>
      <w:jc w:val="center"/>
    </w:pPr>
    <w:rPr>
      <w:i/>
      <w:iCs/>
      <w:color w:val="404040" w:themeColor="text1" w:themeTint="BF"/>
    </w:rPr>
  </w:style>
  <w:style w:type="character" w:customStyle="1" w:styleId="QuoteChar">
    <w:name w:val="Quote Char"/>
    <w:basedOn w:val="DefaultParagraphFont"/>
    <w:link w:val="Quote"/>
    <w:uiPriority w:val="29"/>
    <w:rsid w:val="007A06E9"/>
    <w:rPr>
      <w:i/>
      <w:iCs/>
      <w:color w:val="404040" w:themeColor="text1" w:themeTint="BF"/>
    </w:rPr>
  </w:style>
  <w:style w:type="paragraph" w:styleId="ListParagraph">
    <w:name w:val="List Paragraph"/>
    <w:basedOn w:val="Normal"/>
    <w:link w:val="ListParagraphChar"/>
    <w:uiPriority w:val="34"/>
    <w:qFormat/>
    <w:rsid w:val="007A06E9"/>
    <w:pPr>
      <w:ind w:left="720"/>
      <w:contextualSpacing/>
    </w:pPr>
  </w:style>
  <w:style w:type="character" w:styleId="IntenseEmphasis">
    <w:name w:val="Intense Emphasis"/>
    <w:basedOn w:val="DefaultParagraphFont"/>
    <w:uiPriority w:val="21"/>
    <w:qFormat/>
    <w:rsid w:val="007A06E9"/>
    <w:rPr>
      <w:i/>
      <w:iCs/>
      <w:color w:val="2E74B5" w:themeColor="accent1" w:themeShade="BF"/>
    </w:rPr>
  </w:style>
  <w:style w:type="paragraph" w:styleId="IntenseQuote">
    <w:name w:val="Intense Quote"/>
    <w:basedOn w:val="Normal"/>
    <w:next w:val="Normal"/>
    <w:link w:val="IntenseQuoteChar"/>
    <w:uiPriority w:val="30"/>
    <w:qFormat/>
    <w:rsid w:val="007A06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A06E9"/>
    <w:rPr>
      <w:i/>
      <w:iCs/>
      <w:color w:val="2E74B5" w:themeColor="accent1" w:themeShade="BF"/>
    </w:rPr>
  </w:style>
  <w:style w:type="character" w:styleId="IntenseReference">
    <w:name w:val="Intense Reference"/>
    <w:basedOn w:val="DefaultParagraphFont"/>
    <w:uiPriority w:val="32"/>
    <w:qFormat/>
    <w:rsid w:val="007A06E9"/>
    <w:rPr>
      <w:b/>
      <w:bCs/>
      <w:smallCaps/>
      <w:color w:val="2E74B5" w:themeColor="accent1" w:themeShade="BF"/>
      <w:spacing w:val="5"/>
    </w:rPr>
  </w:style>
  <w:style w:type="character" w:customStyle="1" w:styleId="ListParagraphChar">
    <w:name w:val="List Paragraph Char"/>
    <w:basedOn w:val="DefaultParagraphFont"/>
    <w:link w:val="ListParagraph"/>
    <w:uiPriority w:val="34"/>
    <w:rsid w:val="000443E5"/>
  </w:style>
  <w:style w:type="paragraph" w:styleId="Caption">
    <w:name w:val="caption"/>
    <w:basedOn w:val="Normal"/>
    <w:next w:val="Normal"/>
    <w:uiPriority w:val="35"/>
    <w:unhideWhenUsed/>
    <w:qFormat/>
    <w:rsid w:val="003B202C"/>
    <w:pPr>
      <w:spacing w:after="200"/>
      <w:ind w:firstLine="0"/>
    </w:pPr>
    <w:rPr>
      <w:rFonts w:eastAsiaTheme="minorHAnsi"/>
      <w:b/>
      <w:bCs/>
      <w:color w:val="5B9BD5" w:themeColor="accent1"/>
      <w:kern w:val="2"/>
      <w:sz w:val="18"/>
      <w:szCs w:val="18"/>
    </w:rPr>
  </w:style>
  <w:style w:type="table" w:customStyle="1" w:styleId="TableauListe4-Accentuation51">
    <w:name w:val="Tableau Liste 4 - Accentuation 51"/>
    <w:basedOn w:val="TableNormal"/>
    <w:uiPriority w:val="49"/>
    <w:qFormat/>
    <w:rsid w:val="003B202C"/>
    <w:pPr>
      <w:spacing w:after="0" w:line="240" w:lineRule="auto"/>
    </w:pPr>
    <w:rPr>
      <w:rFonts w:ascii="Times New Roman" w:eastAsia="SimSun" w:hAnsi="Times New Roman" w:cs="Times New Roman"/>
      <w:sz w:val="20"/>
      <w:szCs w:val="20"/>
      <w:lang w:val="fr-CA" w:eastAsia="fr-CA"/>
      <w14:ligatures w14:val="none"/>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5">
    <w:name w:val="Grid Table 2 Accent 5"/>
    <w:basedOn w:val="TableNormal"/>
    <w:uiPriority w:val="47"/>
    <w:rsid w:val="00E02AFF"/>
    <w:pPr>
      <w:spacing w:after="0" w:line="240" w:lineRule="auto"/>
    </w:pPr>
    <w:rPr>
      <w:kern w:val="0"/>
      <w14:ligatures w14:val="none"/>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semiHidden/>
    <w:unhideWhenUsed/>
    <w:qFormat/>
    <w:rsid w:val="00241B5B"/>
    <w:pPr>
      <w:spacing w:before="100" w:beforeAutospacing="1" w:after="100" w:afterAutospacing="1"/>
      <w:ind w:firstLine="0"/>
    </w:pPr>
    <w:rPr>
      <w:rFonts w:ascii="Times New Roman" w:eastAsia="Times New Roman" w:hAnsi="Times New Roman" w:cs="Times New Roman"/>
      <w:sz w:val="24"/>
      <w:szCs w:val="24"/>
      <w:lang w:eastAsia="fr-FR"/>
    </w:rPr>
  </w:style>
  <w:style w:type="paragraph" w:styleId="Bibliography">
    <w:name w:val="Bibliography"/>
    <w:basedOn w:val="Normal"/>
    <w:next w:val="Normal"/>
    <w:uiPriority w:val="37"/>
    <w:unhideWhenUsed/>
    <w:rsid w:val="00617880"/>
    <w:pPr>
      <w:tabs>
        <w:tab w:val="left" w:pos="384"/>
      </w:tabs>
      <w:spacing w:after="240"/>
      <w:ind w:left="384" w:hanging="384"/>
    </w:pPr>
  </w:style>
  <w:style w:type="character" w:styleId="Hyperlink">
    <w:name w:val="Hyperlink"/>
    <w:basedOn w:val="DefaultParagraphFont"/>
    <w:uiPriority w:val="99"/>
    <w:unhideWhenUsed/>
    <w:rsid w:val="00B40219"/>
    <w:rPr>
      <w:color w:val="0000FF"/>
      <w:u w:val="single"/>
    </w:rPr>
  </w:style>
  <w:style w:type="paragraph" w:styleId="Header">
    <w:name w:val="header"/>
    <w:basedOn w:val="Normal"/>
    <w:link w:val="HeaderChar"/>
    <w:uiPriority w:val="99"/>
    <w:unhideWhenUsed/>
    <w:rsid w:val="004828C0"/>
    <w:pPr>
      <w:tabs>
        <w:tab w:val="center" w:pos="4680"/>
        <w:tab w:val="right" w:pos="9360"/>
      </w:tabs>
    </w:pPr>
  </w:style>
  <w:style w:type="character" w:customStyle="1" w:styleId="HeaderChar">
    <w:name w:val="Header Char"/>
    <w:basedOn w:val="DefaultParagraphFont"/>
    <w:link w:val="Header"/>
    <w:uiPriority w:val="99"/>
    <w:rsid w:val="004828C0"/>
    <w:rPr>
      <w:rFonts w:eastAsiaTheme="minorEastAsia"/>
      <w:kern w:val="0"/>
      <w:lang w:val="fr-FR"/>
      <w14:ligatures w14:val="none"/>
    </w:rPr>
  </w:style>
  <w:style w:type="paragraph" w:styleId="Footer">
    <w:name w:val="footer"/>
    <w:basedOn w:val="Normal"/>
    <w:link w:val="FooterChar"/>
    <w:unhideWhenUsed/>
    <w:rsid w:val="004828C0"/>
    <w:pPr>
      <w:tabs>
        <w:tab w:val="center" w:pos="4680"/>
        <w:tab w:val="right" w:pos="9360"/>
      </w:tabs>
    </w:pPr>
  </w:style>
  <w:style w:type="character" w:customStyle="1" w:styleId="FooterChar">
    <w:name w:val="Footer Char"/>
    <w:basedOn w:val="DefaultParagraphFont"/>
    <w:link w:val="Footer"/>
    <w:uiPriority w:val="99"/>
    <w:rsid w:val="004828C0"/>
    <w:rPr>
      <w:rFonts w:eastAsiaTheme="minorEastAsia"/>
      <w:kern w:val="0"/>
      <w:lang w:val="fr-FR"/>
      <w14:ligatures w14:val="none"/>
    </w:rPr>
  </w:style>
  <w:style w:type="paragraph" w:customStyle="1" w:styleId="AbstHead">
    <w:name w:val="Abst Head"/>
    <w:basedOn w:val="Normal"/>
    <w:rsid w:val="005C53F7"/>
    <w:pPr>
      <w:keepNext/>
      <w:spacing w:after="240"/>
      <w:ind w:firstLine="0"/>
    </w:pPr>
    <w:rPr>
      <w:rFonts w:ascii="Helvetica" w:eastAsia="Times New Roman" w:hAnsi="Helvetica" w:cs="Times New Roman"/>
      <w:b/>
      <w:caps/>
      <w:szCs w:val="20"/>
      <w:lang w:val="en-US"/>
    </w:rPr>
  </w:style>
  <w:style w:type="paragraph" w:customStyle="1" w:styleId="Body">
    <w:name w:val="Body"/>
    <w:basedOn w:val="Normal"/>
    <w:rsid w:val="005C53F7"/>
    <w:pPr>
      <w:spacing w:after="240"/>
      <w:ind w:firstLine="0"/>
      <w:jc w:val="both"/>
    </w:pPr>
    <w:rPr>
      <w:rFonts w:ascii="Helvetica" w:eastAsia="Times New Roman" w:hAnsi="Helvetica" w:cs="Times New Roman"/>
      <w:sz w:val="20"/>
      <w:szCs w:val="20"/>
      <w:lang w:val="en-US"/>
    </w:rPr>
  </w:style>
  <w:style w:type="character" w:styleId="UnresolvedMention">
    <w:name w:val="Unresolved Mention"/>
    <w:basedOn w:val="DefaultParagraphFont"/>
    <w:uiPriority w:val="99"/>
    <w:semiHidden/>
    <w:unhideWhenUsed/>
    <w:rsid w:val="00263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10</Pages>
  <Words>12792</Words>
  <Characters>72917</Characters>
  <Application>Microsoft Office Word</Application>
  <DocSecurity>0</DocSecurity>
  <Lines>607</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dc:creator>
  <cp:keywords/>
  <dc:description/>
  <cp:lastModifiedBy>SDI 1084</cp:lastModifiedBy>
  <cp:revision>209</cp:revision>
  <dcterms:created xsi:type="dcterms:W3CDTF">2025-11-24T09:23:00Z</dcterms:created>
  <dcterms:modified xsi:type="dcterms:W3CDTF">2025-12-10T11:27:00Z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id="6ymHsGQV"/&gt;&lt;style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