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71" w:rsidRPr="00E22F0D" w:rsidRDefault="00EC6671" w:rsidP="00E22F0D">
      <w:pPr>
        <w:pStyle w:val="Author"/>
        <w:jc w:val="left"/>
        <w:rPr>
          <w:rFonts w:ascii="Arial" w:hAnsi="Arial" w:cs="Arial"/>
          <w:bCs/>
          <w:iCs/>
          <w:kern w:val="28"/>
          <w:sz w:val="36"/>
          <w:lang w:val="en-IN"/>
        </w:rPr>
      </w:pPr>
    </w:p>
    <w:p w:rsidR="0076396F" w:rsidRDefault="0076396F" w:rsidP="009A06F8">
      <w:pPr>
        <w:pStyle w:val="Author"/>
        <w:spacing w:line="240" w:lineRule="auto"/>
        <w:rPr>
          <w:rFonts w:ascii="Arial" w:hAnsi="Arial" w:cs="Arial"/>
          <w:sz w:val="36"/>
        </w:rPr>
      </w:pPr>
      <w:r w:rsidRPr="0076396F">
        <w:rPr>
          <w:rFonts w:ascii="Arial" w:hAnsi="Arial" w:cs="Arial"/>
          <w:sz w:val="36"/>
        </w:rPr>
        <w:t xml:space="preserve">Original Research Article </w:t>
      </w:r>
    </w:p>
    <w:p w:rsidR="008835A6" w:rsidRDefault="008835A6" w:rsidP="009A06F8">
      <w:pPr>
        <w:pStyle w:val="Author"/>
        <w:spacing w:line="240" w:lineRule="auto"/>
        <w:rPr>
          <w:rFonts w:ascii="Arial" w:hAnsi="Arial" w:cs="Arial"/>
          <w:sz w:val="36"/>
        </w:rPr>
      </w:pPr>
    </w:p>
    <w:p w:rsidR="00A258C3" w:rsidRDefault="00E22F0D" w:rsidP="009A06F8">
      <w:pPr>
        <w:pStyle w:val="Author"/>
        <w:spacing w:line="240" w:lineRule="auto"/>
        <w:rPr>
          <w:rFonts w:ascii="Arial" w:hAnsi="Arial" w:cs="Arial"/>
          <w:sz w:val="36"/>
        </w:rPr>
      </w:pPr>
      <w:r>
        <w:rPr>
          <w:rFonts w:ascii="Arial" w:hAnsi="Arial" w:cs="Arial"/>
          <w:sz w:val="36"/>
        </w:rPr>
        <w:t xml:space="preserve">Assessment of Drug Related Problems in Tertiary Care Hospital </w:t>
      </w:r>
    </w:p>
    <w:p w:rsidR="00530A87" w:rsidRPr="00790ADA" w:rsidRDefault="00530A87" w:rsidP="009A06F8">
      <w:pPr>
        <w:pStyle w:val="Author"/>
        <w:spacing w:line="240" w:lineRule="auto"/>
        <w:rPr>
          <w:rFonts w:ascii="Arial" w:hAnsi="Arial" w:cs="Arial"/>
          <w:sz w:val="36"/>
        </w:rPr>
      </w:pPr>
    </w:p>
    <w:p w:rsidR="00530A87" w:rsidRPr="00530A87" w:rsidRDefault="00530A87" w:rsidP="00530A87">
      <w:pPr>
        <w:spacing w:after="240" w:line="240" w:lineRule="exact"/>
        <w:jc w:val="center"/>
        <w:rPr>
          <w:rFonts w:ascii="Arial" w:hAnsi="Arial" w:cs="Arial"/>
          <w:b/>
          <w:i/>
          <w:lang w:val="en-IN"/>
        </w:rPr>
      </w:pPr>
    </w:p>
    <w:p w:rsidR="00530A87" w:rsidRPr="00530A87" w:rsidRDefault="00530A87" w:rsidP="00530A87">
      <w:pPr>
        <w:spacing w:after="240" w:line="240" w:lineRule="exact"/>
        <w:jc w:val="center"/>
        <w:rPr>
          <w:rFonts w:ascii="Arial" w:hAnsi="Arial" w:cs="Arial"/>
          <w:b/>
          <w:i/>
          <w:lang w:val="en-IN"/>
        </w:rPr>
      </w:pPr>
    </w:p>
    <w:p w:rsidR="00530A87" w:rsidRPr="00530A87" w:rsidRDefault="00530A87" w:rsidP="00530A87">
      <w:pPr>
        <w:spacing w:after="240" w:line="240" w:lineRule="exact"/>
        <w:jc w:val="center"/>
        <w:rPr>
          <w:rFonts w:ascii="Arial" w:hAnsi="Arial" w:cs="Arial"/>
          <w:b/>
          <w:i/>
          <w:lang w:val="en-IN"/>
        </w:rPr>
      </w:pPr>
    </w:p>
    <w:p w:rsidR="00B01FCD" w:rsidRPr="00FB3A86" w:rsidRDefault="007E233A" w:rsidP="00441B6F">
      <w:pPr>
        <w:pStyle w:val="Copyright"/>
        <w:spacing w:after="0" w:line="240" w:lineRule="auto"/>
        <w:jc w:val="both"/>
        <w:rPr>
          <w:rFonts w:ascii="Arial" w:hAnsi="Arial" w:cs="Arial"/>
        </w:rPr>
        <w:sectPr w:rsidR="00B01FCD" w:rsidRPr="00FB3A86" w:rsidSect="0015361C">
          <w:headerReference w:type="even" r:id="rId8"/>
          <w:headerReference w:type="default" r:id="rId9"/>
          <w:footerReference w:type="even" r:id="rId10"/>
          <w:footerReference w:type="default" r:id="rId11"/>
          <w:headerReference w:type="first" r:id="rId12"/>
          <w:footerReference w:type="first" r:id="rId13"/>
          <w:pgSz w:w="12240" w:h="15840" w:code="1"/>
          <w:pgMar w:top="851"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9F9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47223F" w:rsidRPr="00F46DCD" w:rsidRDefault="00BA1B01" w:rsidP="0047223F">
            <w:pPr>
              <w:pStyle w:val="Body"/>
              <w:spacing w:after="0"/>
              <w:rPr>
                <w:rFonts w:ascii="Arial" w:eastAsia="Calibri" w:hAnsi="Arial" w:cs="Arial"/>
                <w:b/>
                <w:szCs w:val="22"/>
              </w:rPr>
            </w:pPr>
            <w:r w:rsidRPr="00BA1B01">
              <w:rPr>
                <w:rFonts w:ascii="Arial" w:eastAsia="Calibri" w:hAnsi="Arial" w:cs="Arial"/>
                <w:b/>
                <w:szCs w:val="22"/>
              </w:rPr>
              <w:t xml:space="preserve">Aims: </w:t>
            </w:r>
            <w:r w:rsidR="00EC6671" w:rsidRPr="00080A13">
              <w:rPr>
                <w:rFonts w:ascii="Arial" w:eastAsia="Calibri" w:hAnsi="Arial" w:cs="Arial"/>
                <w:szCs w:val="22"/>
              </w:rPr>
              <w:t>Medicines are a cornerstone of modern healthcare, playing a critical role in the treatment, management, and prevention of diseases. Their proper use improves quality of life, prevents complications, and enhances clinical outcomes</w:t>
            </w:r>
            <w:r w:rsidR="002E050E">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C6671" w:rsidRPr="00080A13">
              <w:rPr>
                <w:rFonts w:ascii="Arial" w:eastAsia="Calibri" w:hAnsi="Arial" w:cs="Arial"/>
                <w:szCs w:val="22"/>
              </w:rPr>
              <w:t xml:space="preserve">prospective observational study </w:t>
            </w:r>
          </w:p>
          <w:p w:rsidR="00F46DC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EC6671" w:rsidRPr="00BA1B01">
              <w:rPr>
                <w:rFonts w:ascii="Arial" w:eastAsia="Calibri" w:hAnsi="Arial" w:cs="Arial"/>
                <w:b/>
                <w:szCs w:val="22"/>
              </w:rPr>
              <w:t>:</w:t>
            </w:r>
            <w:r w:rsidR="00EC6671" w:rsidRPr="00BA1B01">
              <w:rPr>
                <w:rFonts w:ascii="Arial" w:eastAsia="Calibri" w:hAnsi="Arial" w:cs="Arial"/>
                <w:szCs w:val="22"/>
              </w:rPr>
              <w:t xml:space="preserve"> </w:t>
            </w:r>
            <w:r w:rsidR="00EC6671" w:rsidRPr="008F5127">
              <w:rPr>
                <w:rFonts w:ascii="Arial" w:hAnsi="Arial" w:cs="Arial"/>
                <w:lang w:val="en-IN"/>
              </w:rPr>
              <w:t>9 months of research, from June 2020 to March 2</w:t>
            </w:r>
            <w:r w:rsidR="00EC6671">
              <w:rPr>
                <w:rFonts w:ascii="Arial" w:hAnsi="Arial" w:cs="Arial"/>
                <w:lang w:val="en-IN"/>
              </w:rPr>
              <w:t xml:space="preserve">021, in </w:t>
            </w:r>
            <w:r w:rsidR="00EC6671" w:rsidRPr="008F5127">
              <w:rPr>
                <w:rFonts w:ascii="Arial" w:hAnsi="Arial" w:cs="Arial"/>
                <w:lang w:val="en-IN"/>
              </w:rPr>
              <w:t xml:space="preserve">the Departments of Medicine and Surgery at </w:t>
            </w:r>
            <w:r w:rsidR="00EC6671">
              <w:rPr>
                <w:rFonts w:ascii="Arial" w:hAnsi="Arial" w:cs="Arial"/>
                <w:lang w:val="en-IN"/>
              </w:rPr>
              <w:t xml:space="preserve">a </w:t>
            </w:r>
            <w:r w:rsidR="00EC6671" w:rsidRPr="008F5127">
              <w:rPr>
                <w:rFonts w:ascii="Arial" w:hAnsi="Arial" w:cs="Arial"/>
                <w:lang w:val="en-IN"/>
              </w:rPr>
              <w:t>tertiary care teaching hospital</w:t>
            </w:r>
            <w:r w:rsidR="00EC6671">
              <w:rPr>
                <w:rFonts w:ascii="Arial" w:hAnsi="Arial" w:cs="Arial"/>
                <w:lang w:val="en-IN"/>
              </w:rPr>
              <w:t>.</w:t>
            </w:r>
          </w:p>
          <w:p w:rsidR="00F46DCD" w:rsidRDefault="00BA1B01" w:rsidP="00F46DCD">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EC6671">
              <w:rPr>
                <w:rFonts w:ascii="Arial" w:eastAsia="Calibri" w:hAnsi="Arial" w:cs="Arial"/>
                <w:szCs w:val="22"/>
              </w:rPr>
              <w:t>The study included in</w:t>
            </w:r>
            <w:r w:rsidR="00EC6671" w:rsidRPr="00080A13">
              <w:rPr>
                <w:rFonts w:ascii="Arial" w:eastAsia="Calibri" w:hAnsi="Arial" w:cs="Arial"/>
                <w:szCs w:val="22"/>
              </w:rPr>
              <w:t xml:space="preserve">patients aged 18–60 years with chronic conditions and receiving more than three allopathic medications </w:t>
            </w:r>
            <w:r w:rsidR="00EC6671">
              <w:rPr>
                <w:rFonts w:ascii="Arial" w:eastAsia="Calibri" w:hAnsi="Arial" w:cs="Arial"/>
                <w:szCs w:val="22"/>
              </w:rPr>
              <w:t xml:space="preserve">who </w:t>
            </w:r>
            <w:r w:rsidR="00EC6671" w:rsidRPr="00080A13">
              <w:rPr>
                <w:rFonts w:ascii="Arial" w:eastAsia="Calibri" w:hAnsi="Arial" w:cs="Arial"/>
                <w:szCs w:val="22"/>
              </w:rPr>
              <w:t xml:space="preserve">were recruited through convenience sampling after informed consent. Data were collected from admission to discharge through patient interviews and review of case records. Diagnoses were coded using ICD-11, and drug-related problems (DRPs) were identified and classified using Hepler and Strand’s system. DRP prevalence was calculated as the proportion of prescriptions with at least one DRP, and descriptive statistics were used to summarize findings. </w:t>
            </w:r>
          </w:p>
          <w:p w:rsidR="00F46DCD" w:rsidRPr="00EC667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C6671" w:rsidRPr="00080A13">
              <w:rPr>
                <w:rFonts w:ascii="Arial" w:eastAsia="Calibri" w:hAnsi="Arial" w:cs="Arial"/>
                <w:szCs w:val="22"/>
              </w:rPr>
              <w:t>A total of 1,238 inpatients were enrolled, with a higher proportion of males (58%) and a mean age of 56.4 years. Most participants were from the General Medicine department (51%)</w:t>
            </w:r>
            <w:r w:rsidR="00EC6671">
              <w:rPr>
                <w:rFonts w:ascii="Arial" w:eastAsia="Calibri" w:hAnsi="Arial" w:cs="Arial"/>
                <w:szCs w:val="22"/>
              </w:rPr>
              <w:t>,</w:t>
            </w:r>
            <w:r w:rsidR="00EC6671" w:rsidRPr="00080A13">
              <w:rPr>
                <w:rFonts w:ascii="Arial" w:eastAsia="Calibri" w:hAnsi="Arial" w:cs="Arial"/>
                <w:szCs w:val="22"/>
              </w:rPr>
              <w:t xml:space="preserve"> and the most common diagnoses involved circulatory (24.6%) and endocrine/metabolic disorders (18.4%). Overall, 599 drug-related problems (DRPs) were identified, yielding a DRP prevalence of 48.38%. The most frequent DRPs were drug–drug interactions (39.4%) and adverse drug reactions (26.7%). </w:t>
            </w:r>
          </w:p>
          <w:p w:rsidR="00505F06" w:rsidRPr="00F46DCD" w:rsidRDefault="00BA1B01" w:rsidP="00441B6F">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EC6671" w:rsidRPr="00080A13">
              <w:rPr>
                <w:rFonts w:ascii="Arial" w:eastAsia="Calibri" w:hAnsi="Arial" w:cs="Arial"/>
                <w:szCs w:val="22"/>
              </w:rPr>
              <w:t>This study demonstrates a high prevalence of drug-related problems among inpatients, with drug–drug interactions and ADRs being the most common. The findings underscore the need for stronger medication monitoring practices</w:t>
            </w:r>
            <w:r w:rsidR="00EC6671">
              <w:rPr>
                <w:rFonts w:ascii="Arial" w:eastAsia="Calibri" w:hAnsi="Arial" w:cs="Arial"/>
                <w:szCs w:val="22"/>
              </w:rPr>
              <w:t>;</w:t>
            </w:r>
            <w:r w:rsidR="00EC6671" w:rsidRPr="00080A13">
              <w:rPr>
                <w:rFonts w:ascii="Arial" w:eastAsia="Calibri" w:hAnsi="Arial" w:cs="Arial"/>
                <w:szCs w:val="22"/>
              </w:rPr>
              <w:t xml:space="preserve"> implementing clinical pharmacy services and routine drug utilization reviews can significantly enhance patient safety in tertiary care hospitals</w:t>
            </w:r>
          </w:p>
        </w:tc>
      </w:tr>
    </w:tbl>
    <w:p w:rsidR="00636EB2" w:rsidRDefault="00636EB2" w:rsidP="00441B6F">
      <w:pPr>
        <w:pStyle w:val="Body"/>
        <w:spacing w:after="0"/>
        <w:rPr>
          <w:rFonts w:ascii="Arial" w:hAnsi="Arial" w:cs="Arial"/>
          <w:i/>
        </w:rPr>
      </w:pPr>
    </w:p>
    <w:p w:rsidR="00EC6671" w:rsidRPr="000179AF" w:rsidRDefault="002E050E" w:rsidP="00EC6671">
      <w:pPr>
        <w:pStyle w:val="Body"/>
        <w:spacing w:after="0"/>
        <w:rPr>
          <w:rFonts w:ascii="Arial" w:hAnsi="Arial" w:cs="Arial"/>
          <w:i/>
        </w:rPr>
      </w:pPr>
      <w:r>
        <w:rPr>
          <w:rFonts w:ascii="Arial" w:hAnsi="Arial" w:cs="Arial"/>
          <w:i/>
        </w:rPr>
        <w:t>Keywords :(</w:t>
      </w:r>
      <w:r w:rsidRPr="000179AF">
        <w:rPr>
          <w:rFonts w:ascii="Arial" w:hAnsi="Arial" w:cs="Arial"/>
          <w:i/>
        </w:rPr>
        <w:t xml:space="preserve"> Drug</w:t>
      </w:r>
      <w:r w:rsidR="00EC6671" w:rsidRPr="000179AF">
        <w:rPr>
          <w:rFonts w:ascii="Arial" w:hAnsi="Arial" w:cs="Arial"/>
          <w:i/>
        </w:rPr>
        <w:t>-related problems</w:t>
      </w:r>
      <w:r w:rsidR="00EC6671">
        <w:rPr>
          <w:rFonts w:ascii="Arial" w:hAnsi="Arial" w:cs="Arial"/>
          <w:i/>
        </w:rPr>
        <w:t xml:space="preserve">, </w:t>
      </w:r>
      <w:r w:rsidR="00EC6671" w:rsidRPr="000179AF">
        <w:rPr>
          <w:rFonts w:ascii="Arial" w:hAnsi="Arial" w:cs="Arial"/>
          <w:i/>
        </w:rPr>
        <w:t>Tertiary care hospital</w:t>
      </w:r>
      <w:r w:rsidR="00EC6671">
        <w:rPr>
          <w:rFonts w:ascii="Arial" w:hAnsi="Arial" w:cs="Arial"/>
          <w:i/>
        </w:rPr>
        <w:t xml:space="preserve">, </w:t>
      </w:r>
      <w:r w:rsidR="00EC6671" w:rsidRPr="000179AF">
        <w:rPr>
          <w:rFonts w:ascii="Arial" w:hAnsi="Arial" w:cs="Arial"/>
          <w:i/>
        </w:rPr>
        <w:t>Clinical pharmacist interventions</w:t>
      </w:r>
      <w:r w:rsidR="00EC6671">
        <w:rPr>
          <w:rFonts w:ascii="Arial" w:hAnsi="Arial" w:cs="Arial"/>
          <w:i/>
        </w:rPr>
        <w:t xml:space="preserve">, </w:t>
      </w:r>
      <w:r w:rsidR="00EC6671" w:rsidRPr="000179AF">
        <w:rPr>
          <w:rFonts w:ascii="Arial" w:hAnsi="Arial" w:cs="Arial"/>
          <w:i/>
        </w:rPr>
        <w:t>Medication errors</w:t>
      </w:r>
      <w:r w:rsidR="00EC6671">
        <w:rPr>
          <w:rFonts w:ascii="Arial" w:hAnsi="Arial" w:cs="Arial"/>
          <w:i/>
        </w:rPr>
        <w:t xml:space="preserve">, </w:t>
      </w:r>
      <w:r w:rsidR="00EC6671" w:rsidRPr="000179AF">
        <w:rPr>
          <w:rFonts w:ascii="Arial" w:hAnsi="Arial" w:cs="Arial"/>
          <w:i/>
        </w:rPr>
        <w:t>Prescription audit</w:t>
      </w:r>
      <w:r w:rsidR="00EC6671">
        <w:rPr>
          <w:rFonts w:ascii="Arial" w:hAnsi="Arial" w:cs="Arial"/>
          <w:i/>
        </w:rPr>
        <w:t>)</w:t>
      </w:r>
    </w:p>
    <w:p w:rsidR="00A24E7E" w:rsidRDefault="00A24E7E" w:rsidP="00441B6F">
      <w:pPr>
        <w:pStyle w:val="Body"/>
        <w:spacing w:after="0"/>
        <w:rPr>
          <w:rFonts w:ascii="Arial" w:hAnsi="Arial" w:cs="Arial"/>
          <w:i/>
        </w:rPr>
      </w:pPr>
    </w:p>
    <w:p w:rsidR="00790ADA" w:rsidRDefault="00790ADA" w:rsidP="00441B6F">
      <w:pPr>
        <w:pStyle w:val="Body"/>
        <w:spacing w:after="0"/>
        <w:rPr>
          <w:rFonts w:ascii="Arial" w:hAnsi="Arial" w:cs="Arial"/>
          <w:i/>
        </w:rPr>
      </w:pPr>
    </w:p>
    <w:p w:rsidR="00505F06" w:rsidRDefault="00505F06" w:rsidP="00441B6F">
      <w:pPr>
        <w:pStyle w:val="Body"/>
        <w:spacing w:after="0"/>
        <w:rPr>
          <w:rFonts w:ascii="Arial" w:hAnsi="Arial" w:cs="Arial"/>
          <w:i/>
        </w:rPr>
      </w:pPr>
    </w:p>
    <w:p w:rsidR="0015361C" w:rsidRDefault="0015361C" w:rsidP="00441B6F">
      <w:pPr>
        <w:pStyle w:val="Body"/>
        <w:spacing w:after="0"/>
        <w:rPr>
          <w:rFonts w:ascii="Arial" w:hAnsi="Arial" w:cs="Arial"/>
          <w:i/>
        </w:rPr>
      </w:pPr>
    </w:p>
    <w:p w:rsidR="0015361C" w:rsidRDefault="0015361C" w:rsidP="00441B6F">
      <w:pPr>
        <w:pStyle w:val="Body"/>
        <w:spacing w:after="0"/>
        <w:rPr>
          <w:rFonts w:ascii="Arial" w:hAnsi="Arial" w:cs="Arial"/>
          <w:i/>
        </w:rPr>
      </w:pPr>
    </w:p>
    <w:p w:rsidR="0015361C" w:rsidRDefault="0015361C" w:rsidP="00441B6F">
      <w:pPr>
        <w:pStyle w:val="Body"/>
        <w:spacing w:after="0"/>
        <w:rPr>
          <w:rFonts w:ascii="Arial" w:hAnsi="Arial" w:cs="Arial"/>
          <w:i/>
        </w:rPr>
      </w:pPr>
    </w:p>
    <w:p w:rsidR="0015361C" w:rsidRDefault="0015361C" w:rsidP="00441B6F">
      <w:pPr>
        <w:pStyle w:val="Body"/>
        <w:spacing w:after="0"/>
        <w:rPr>
          <w:rFonts w:ascii="Arial" w:hAnsi="Arial" w:cs="Arial"/>
          <w:i/>
        </w:rPr>
      </w:pPr>
    </w:p>
    <w:p w:rsidR="00096D00" w:rsidRDefault="00096D00" w:rsidP="00441B6F">
      <w:pPr>
        <w:pStyle w:val="Body"/>
        <w:spacing w:after="0"/>
        <w:rPr>
          <w:rFonts w:ascii="Arial" w:hAnsi="Arial" w:cs="Arial"/>
          <w:i/>
        </w:rPr>
      </w:pPr>
    </w:p>
    <w:p w:rsidR="00096D00" w:rsidRPr="00A24E7E" w:rsidRDefault="00096D00"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096D00">
        <w:rPr>
          <w:rFonts w:ascii="Arial" w:hAnsi="Arial" w:cs="Arial"/>
        </w:rPr>
        <w:t xml:space="preserve"> </w:t>
      </w:r>
    </w:p>
    <w:p w:rsidR="00F611CC" w:rsidRPr="00FB3A86" w:rsidRDefault="00F611CC" w:rsidP="00441B6F">
      <w:pPr>
        <w:pStyle w:val="AbstHead"/>
        <w:spacing w:after="0"/>
        <w:jc w:val="both"/>
        <w:rPr>
          <w:rFonts w:ascii="Arial" w:hAnsi="Arial" w:cs="Arial"/>
        </w:rPr>
      </w:pPr>
    </w:p>
    <w:p w:rsidR="00EC6671" w:rsidRDefault="00EC6671" w:rsidP="00EC6671">
      <w:pPr>
        <w:pStyle w:val="Body"/>
        <w:spacing w:after="0"/>
        <w:rPr>
          <w:rFonts w:ascii="Arial" w:hAnsi="Arial" w:cs="Arial"/>
          <w:lang w:val="en-IN"/>
        </w:rPr>
      </w:pPr>
      <w:r w:rsidRPr="00EC6671">
        <w:rPr>
          <w:rFonts w:ascii="Arial" w:hAnsi="Arial" w:cs="Arial"/>
          <w:lang w:val="en-IN"/>
        </w:rPr>
        <w:t xml:space="preserve">Medicines are a cornerstone of modern healthcare, playing a critical role in the treatment, management, and prevention of diseases. Their proper use improves quality of life, prevents complications, and enhances clinical outcomes. However, irrational prescribing and medication misuse remain persistent global challenges. According to the World Health Organization (WHO), over 50% of medicines continue to be prescribed, dispensed, or sold inappropriately, and approximately half of patients fail to take medications </w:t>
      </w:r>
      <w:r w:rsidR="002E050E" w:rsidRPr="00EC6671">
        <w:rPr>
          <w:rFonts w:ascii="Arial" w:hAnsi="Arial" w:cs="Arial"/>
          <w:lang w:val="en-IN"/>
        </w:rPr>
        <w:t>correctly</w:t>
      </w:r>
      <w:r w:rsidR="002E050E" w:rsidRPr="00EC6671">
        <w:rPr>
          <w:rFonts w:ascii="Arial" w:hAnsi="Arial" w:cs="Arial"/>
          <w:vertAlign w:val="superscript"/>
          <w:lang w:val="en-IN"/>
        </w:rPr>
        <w:t xml:space="preserve"> [</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_Ref215412405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1</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Drug-related problems (DRPs) are events or circumstances involving drug therapy that interfere with desired health outcomes. These problems range from untreated indications and improper drug selection to overdosing, </w:t>
      </w:r>
      <w:proofErr w:type="spellStart"/>
      <w:r w:rsidRPr="00EC6671">
        <w:rPr>
          <w:rFonts w:ascii="Arial" w:hAnsi="Arial" w:cs="Arial"/>
          <w:lang w:val="en-IN"/>
        </w:rPr>
        <w:t>underdosing</w:t>
      </w:r>
      <w:proofErr w:type="spellEnd"/>
      <w:r w:rsidRPr="00EC6671">
        <w:rPr>
          <w:rFonts w:ascii="Arial" w:hAnsi="Arial" w:cs="Arial"/>
          <w:lang w:val="en-IN"/>
        </w:rPr>
        <w:t xml:space="preserve">, drug interactions, and adverse drug </w:t>
      </w:r>
      <w:proofErr w:type="gramStart"/>
      <w:r w:rsidRPr="00EC6671">
        <w:rPr>
          <w:rFonts w:ascii="Arial" w:hAnsi="Arial" w:cs="Arial"/>
          <w:lang w:val="en-IN"/>
        </w:rPr>
        <w:t>reactions</w:t>
      </w:r>
      <w:r w:rsidRPr="00EC6671">
        <w:rPr>
          <w:rFonts w:ascii="Arial" w:hAnsi="Arial" w:cs="Arial"/>
          <w:vertAlign w:val="superscript"/>
          <w:lang w:val="en-IN"/>
        </w:rPr>
        <w:t>[</w:t>
      </w:r>
      <w:proofErr w:type="gramEnd"/>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_Ref215412437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2</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Recent studies highlight that DRPs are especially prevalent in hospitalized patients with comorbidities, due to polypharmacy and complex therapeutic regimens </w:t>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_Ref215412462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3</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_Ref215412472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4</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Prescription pattern monitoring studies (PPMS) and drug utilization evaluations (DUEs) provide essential insights into prescribing behaviours, helping to identify irrational practices and areas for clinical improvement. While developed nations employ national-level drug monitoring programs, many developing countries, including India, lack comprehensive implementation and systematized use of these </w:t>
      </w:r>
      <w:r w:rsidR="002E050E" w:rsidRPr="00EC6671">
        <w:rPr>
          <w:rFonts w:ascii="Arial" w:hAnsi="Arial" w:cs="Arial"/>
          <w:lang w:val="en-IN"/>
        </w:rPr>
        <w:t>tools</w:t>
      </w:r>
      <w:r w:rsidR="002E050E" w:rsidRPr="00EC6671">
        <w:rPr>
          <w:rFonts w:ascii="Arial" w:hAnsi="Arial" w:cs="Arial"/>
          <w:vertAlign w:val="superscript"/>
          <w:lang w:val="en-IN"/>
        </w:rPr>
        <w:t xml:space="preserve"> [</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_Ref215412487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5</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_Ref215412498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6</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Clinical pharmacists are increasingly recognized for their role in minimizing DRPs through structured medication reviews and collaborative pharmaceutical care. Evidence from recent studies demonstrates that pharmacist-led interventions significantly reduce medication errors, improve prescribing appropriateness, and optimize therapeutic outcomes </w:t>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_Ref215412505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7</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vertAlign w:val="superscript"/>
          <w:lang w:val="en-IN"/>
        </w:rPr>
        <w:fldChar w:fldCharType="begin"/>
      </w:r>
      <w:r w:rsidRPr="00EC6671">
        <w:rPr>
          <w:rFonts w:ascii="Arial" w:hAnsi="Arial" w:cs="Arial"/>
          <w:vertAlign w:val="superscript"/>
          <w:lang w:val="en-IN"/>
        </w:rPr>
        <w:instrText xml:space="preserve"> REF _Ref215412512 \h  \* MERGEFORMAT </w:instrText>
      </w:r>
      <w:r w:rsidRPr="00EC6671">
        <w:rPr>
          <w:rFonts w:ascii="Arial" w:hAnsi="Arial" w:cs="Arial"/>
          <w:vertAlign w:val="superscript"/>
          <w:lang w:val="en-IN"/>
        </w:rPr>
      </w:r>
      <w:r w:rsidRPr="00EC6671">
        <w:rPr>
          <w:rFonts w:ascii="Arial" w:hAnsi="Arial" w:cs="Arial"/>
          <w:vertAlign w:val="superscript"/>
          <w:lang w:val="en-IN"/>
        </w:rPr>
        <w:fldChar w:fldCharType="separate"/>
      </w:r>
      <w:r w:rsidR="00E22F0D" w:rsidRPr="00E22F0D">
        <w:rPr>
          <w:rFonts w:ascii="Arial" w:hAnsi="Arial" w:cs="Arial"/>
          <w:vertAlign w:val="superscript"/>
        </w:rPr>
        <w:t>8</w:t>
      </w:r>
      <w:r w:rsidRPr="00EC6671">
        <w:rPr>
          <w:rFonts w:ascii="Arial" w:hAnsi="Arial" w:cs="Arial"/>
        </w:rPr>
        <w:fldChar w:fldCharType="end"/>
      </w:r>
      <w:r w:rsidRPr="00EC6671">
        <w:rPr>
          <w:rFonts w:ascii="Arial" w:hAnsi="Arial" w:cs="Arial"/>
          <w:vertAlign w:val="superscript"/>
          <w:lang w:val="en-IN"/>
        </w:rPr>
        <w:t>]</w:t>
      </w:r>
      <w:r w:rsidRPr="00EC6671">
        <w:rPr>
          <w:rFonts w:ascii="Arial" w:hAnsi="Arial" w:cs="Arial"/>
          <w:lang w:val="en-IN"/>
        </w:rPr>
        <w:t xml:space="preserve">. </w:t>
      </w:r>
    </w:p>
    <w:p w:rsidR="00342024" w:rsidRPr="00EC6671" w:rsidRDefault="00342024" w:rsidP="00EC6671">
      <w:pPr>
        <w:pStyle w:val="Body"/>
        <w:spacing w:after="0"/>
        <w:rPr>
          <w:rFonts w:ascii="Arial" w:hAnsi="Arial" w:cs="Arial"/>
          <w:lang w:val="en-IN"/>
        </w:rPr>
      </w:pPr>
    </w:p>
    <w:p w:rsidR="00EC6671" w:rsidRPr="00EC6671" w:rsidRDefault="00EC6671" w:rsidP="00EC6671">
      <w:pPr>
        <w:pStyle w:val="Body"/>
        <w:spacing w:after="0"/>
        <w:rPr>
          <w:rFonts w:ascii="Arial" w:hAnsi="Arial" w:cs="Arial"/>
          <w:lang w:val="en-IN"/>
        </w:rPr>
      </w:pPr>
      <w:r w:rsidRPr="00EC6671">
        <w:rPr>
          <w:rFonts w:ascii="Arial" w:hAnsi="Arial" w:cs="Arial"/>
          <w:lang w:val="en-IN"/>
        </w:rPr>
        <w:t xml:space="preserve">This study was conducted at </w:t>
      </w:r>
      <w:proofErr w:type="spellStart"/>
      <w:r w:rsidRPr="00EC6671">
        <w:rPr>
          <w:rFonts w:ascii="Arial" w:hAnsi="Arial" w:cs="Arial"/>
          <w:lang w:val="en-IN"/>
        </w:rPr>
        <w:t>Jagadguru</w:t>
      </w:r>
      <w:proofErr w:type="spellEnd"/>
      <w:r w:rsidRPr="00EC6671">
        <w:rPr>
          <w:rFonts w:ascii="Arial" w:hAnsi="Arial" w:cs="Arial"/>
          <w:lang w:val="en-IN"/>
        </w:rPr>
        <w:t xml:space="preserve"> Sri </w:t>
      </w:r>
      <w:proofErr w:type="spellStart"/>
      <w:r w:rsidRPr="00EC6671">
        <w:rPr>
          <w:rFonts w:ascii="Arial" w:hAnsi="Arial" w:cs="Arial"/>
          <w:lang w:val="en-IN"/>
        </w:rPr>
        <w:t>Shivarathreeshwara</w:t>
      </w:r>
      <w:proofErr w:type="spellEnd"/>
      <w:r w:rsidR="001B2C44">
        <w:rPr>
          <w:rFonts w:ascii="Arial" w:hAnsi="Arial" w:cs="Arial"/>
          <w:lang w:val="en-IN"/>
        </w:rPr>
        <w:t xml:space="preserve"> (JSS) Hospital, Mysuru</w:t>
      </w:r>
      <w:r w:rsidRPr="00EC6671">
        <w:rPr>
          <w:rFonts w:ascii="Arial" w:hAnsi="Arial" w:cs="Arial"/>
          <w:lang w:val="en-IN"/>
        </w:rPr>
        <w:t>, with the aim of assessing the prevalence and types of DRPs in the medicine and surgery inpatient wards. Using the Helper and Strand classification, the study seeks to identify common drug-related issues and promote rational prescribing practices within the hospital setting.</w:t>
      </w:r>
    </w:p>
    <w:p w:rsidR="00790ADA" w:rsidRPr="00FB3A86" w:rsidRDefault="00790ADA" w:rsidP="00441B6F">
      <w:pPr>
        <w:pStyle w:val="Body"/>
        <w:spacing w:after="0"/>
        <w:rPr>
          <w:rFonts w:ascii="Arial" w:hAnsi="Arial" w:cs="Arial"/>
        </w:rPr>
      </w:pPr>
    </w:p>
    <w:p w:rsidR="00960030" w:rsidRDefault="00902823" w:rsidP="00960030">
      <w:pPr>
        <w:pStyle w:val="AbstHead"/>
        <w:spacing w:after="0"/>
        <w:jc w:val="both"/>
        <w:rPr>
          <w:rFonts w:ascii="Times New Roman" w:hAnsi="Times New Roman"/>
          <w:b w:val="0"/>
          <w:bCs/>
          <w:sz w:val="24"/>
          <w:szCs w:val="24"/>
        </w:rPr>
      </w:pPr>
      <w:r>
        <w:rPr>
          <w:rFonts w:ascii="Arial" w:hAnsi="Arial" w:cs="Arial"/>
        </w:rPr>
        <w:t xml:space="preserve">2. </w:t>
      </w:r>
      <w:r w:rsidR="006B57D0">
        <w:rPr>
          <w:rFonts w:ascii="Arial" w:hAnsi="Arial" w:cs="Arial"/>
        </w:rPr>
        <w:t xml:space="preserve"> methodology</w:t>
      </w:r>
    </w:p>
    <w:p w:rsidR="00960030" w:rsidRDefault="00960030" w:rsidP="00960030">
      <w:pPr>
        <w:spacing w:line="360" w:lineRule="auto"/>
        <w:jc w:val="both"/>
        <w:rPr>
          <w:rFonts w:ascii="Arial" w:hAnsi="Arial" w:cs="Arial"/>
          <w:b/>
          <w:bCs/>
        </w:rPr>
      </w:pPr>
    </w:p>
    <w:p w:rsidR="00790ADA" w:rsidRPr="00F611CC" w:rsidRDefault="008224CF" w:rsidP="00960030">
      <w:pPr>
        <w:spacing w:line="360" w:lineRule="auto"/>
        <w:jc w:val="both"/>
        <w:rPr>
          <w:rFonts w:ascii="Arial" w:hAnsi="Arial" w:cs="Arial"/>
          <w:b/>
          <w:bCs/>
          <w:sz w:val="22"/>
        </w:rPr>
      </w:pPr>
      <w:r w:rsidRPr="00F611CC">
        <w:rPr>
          <w:rFonts w:ascii="Arial" w:hAnsi="Arial" w:cs="Arial"/>
          <w:b/>
          <w:bCs/>
          <w:sz w:val="22"/>
        </w:rPr>
        <w:t xml:space="preserve">2.1 </w:t>
      </w:r>
      <w:r w:rsidR="00960030" w:rsidRPr="00F611CC">
        <w:rPr>
          <w:rFonts w:ascii="Arial" w:hAnsi="Arial" w:cs="Arial"/>
          <w:b/>
          <w:bCs/>
          <w:sz w:val="22"/>
        </w:rPr>
        <w:t>Study Design and Study Populations</w:t>
      </w:r>
    </w:p>
    <w:p w:rsidR="00EC6671" w:rsidRPr="00EC6671" w:rsidRDefault="00EC6671" w:rsidP="00EC6671">
      <w:pPr>
        <w:pStyle w:val="Body"/>
        <w:spacing w:after="0"/>
        <w:rPr>
          <w:rFonts w:ascii="Arial" w:hAnsi="Arial" w:cs="Arial"/>
          <w:lang w:val="en-IN"/>
        </w:rPr>
      </w:pPr>
      <w:r w:rsidRPr="00EC6671">
        <w:rPr>
          <w:rFonts w:ascii="Arial" w:hAnsi="Arial" w:cs="Arial"/>
          <w:lang w:val="en-IN"/>
        </w:rPr>
        <w:t xml:space="preserve">This prospective observational study was conducted over a period of nine months in the General Medicine and Surgery wards of a tertiary care teaching hospital. The study population included inpatients aged between 18 and 60 years with chronic conditions, who were prescribed more than three allopathic medications. Prescriptions containing anticancer drugs were excluded from the study. A convenience sampling technique was employed and the sample size was determined without formal statistical calculation. Ethical approval for the study was obtained from the Institutional Ethics Committee of JSS College of Pharmacy, Mysuru. </w:t>
      </w:r>
    </w:p>
    <w:p w:rsidR="00960030" w:rsidRPr="00960030" w:rsidRDefault="00960030" w:rsidP="00960030">
      <w:pPr>
        <w:pStyle w:val="Body"/>
        <w:spacing w:after="0"/>
        <w:rPr>
          <w:rFonts w:ascii="Arial" w:hAnsi="Arial" w:cs="Arial"/>
          <w:b/>
          <w:bCs/>
        </w:rPr>
      </w:pPr>
    </w:p>
    <w:p w:rsidR="00960030" w:rsidRDefault="008224CF" w:rsidP="00960030">
      <w:pPr>
        <w:pStyle w:val="Body"/>
        <w:spacing w:after="0"/>
        <w:rPr>
          <w:rFonts w:ascii="Arial" w:hAnsi="Arial" w:cs="Arial"/>
          <w:b/>
          <w:bCs/>
          <w:sz w:val="22"/>
        </w:rPr>
      </w:pPr>
      <w:r w:rsidRPr="0091122C">
        <w:rPr>
          <w:rFonts w:ascii="Arial" w:hAnsi="Arial" w:cs="Arial"/>
          <w:b/>
          <w:bCs/>
          <w:sz w:val="22"/>
        </w:rPr>
        <w:t>2.1</w:t>
      </w:r>
      <w:r w:rsidR="00096D00" w:rsidRPr="0091122C">
        <w:rPr>
          <w:rFonts w:ascii="Arial" w:hAnsi="Arial" w:cs="Arial"/>
          <w:b/>
          <w:bCs/>
          <w:sz w:val="22"/>
        </w:rPr>
        <w:t>2</w:t>
      </w:r>
      <w:r w:rsidRPr="0091122C">
        <w:rPr>
          <w:rFonts w:ascii="Arial" w:hAnsi="Arial" w:cs="Arial"/>
          <w:b/>
          <w:bCs/>
          <w:sz w:val="22"/>
        </w:rPr>
        <w:t xml:space="preserve"> </w:t>
      </w:r>
      <w:r w:rsidR="00960030" w:rsidRPr="0091122C">
        <w:rPr>
          <w:rFonts w:ascii="Arial" w:hAnsi="Arial" w:cs="Arial"/>
          <w:b/>
          <w:bCs/>
          <w:sz w:val="22"/>
        </w:rPr>
        <w:t xml:space="preserve">Sampling, </w:t>
      </w:r>
      <w:r w:rsidR="00960030" w:rsidRPr="00F611CC">
        <w:rPr>
          <w:rFonts w:ascii="Arial" w:hAnsi="Arial" w:cs="Arial"/>
          <w:b/>
          <w:bCs/>
          <w:sz w:val="22"/>
        </w:rPr>
        <w:t>recruitment and data collection procedures, analysis</w:t>
      </w:r>
    </w:p>
    <w:p w:rsidR="00F611CC" w:rsidRPr="00F611CC" w:rsidRDefault="00F611CC" w:rsidP="00960030">
      <w:pPr>
        <w:pStyle w:val="Body"/>
        <w:spacing w:after="0"/>
        <w:rPr>
          <w:rFonts w:ascii="Arial" w:hAnsi="Arial" w:cs="Arial"/>
          <w:b/>
          <w:bCs/>
          <w:sz w:val="22"/>
        </w:rPr>
      </w:pPr>
    </w:p>
    <w:p w:rsidR="00EC6671" w:rsidRPr="00EC6671" w:rsidRDefault="00EC6671" w:rsidP="00EC6671">
      <w:pPr>
        <w:pStyle w:val="Body"/>
        <w:spacing w:after="0"/>
        <w:rPr>
          <w:rFonts w:ascii="Arial" w:hAnsi="Arial" w:cs="Arial"/>
          <w:lang w:val="en-IN"/>
        </w:rPr>
      </w:pPr>
      <w:r w:rsidRPr="00EC6671">
        <w:rPr>
          <w:rFonts w:ascii="Arial" w:hAnsi="Arial" w:cs="Arial"/>
          <w:lang w:val="en-IN"/>
        </w:rPr>
        <w:t xml:space="preserve">Eligible patients were selected based on predefined inclusion and exclusion criteria. Those who provided informed consent were recruited from the general medicine and surgery wards and followed from the day of admission until discharge. Data were collected daily through a combination of patient interviews, caregiver interactions, review of case notes, and laboratory reports. Information on demographics, diagnosis (coded using ICD-11), medication history, and prescribing details (dose, frequency, route, and formulation) was recorded using a structured data collection form. Drug-related problems, including adverse drug reactions, were identified and classified using Hepler and Strand’s 1990 classification system. The prevalence of DRPs was calculated using the formula: (Number of prescriptions with DRPs / Total number </w:t>
      </w:r>
      <w:r w:rsidRPr="00EC6671">
        <w:rPr>
          <w:rFonts w:ascii="Arial" w:hAnsi="Arial" w:cs="Arial"/>
          <w:lang w:val="en-IN"/>
        </w:rPr>
        <w:lastRenderedPageBreak/>
        <w:t>of prescriptions reviewed) × 100. Descriptive statistics were used to analyse the distribution of DRPs and prescribing trends</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8224CF" w:rsidRDefault="008224CF" w:rsidP="008224CF">
      <w:pPr>
        <w:pStyle w:val="Body"/>
        <w:spacing w:after="0"/>
        <w:rPr>
          <w:rFonts w:ascii="Arial" w:hAnsi="Arial" w:cs="Arial"/>
        </w:rPr>
      </w:pPr>
    </w:p>
    <w:p w:rsidR="00EC6671" w:rsidRPr="00EC6671" w:rsidRDefault="00EC6671" w:rsidP="00EC6671">
      <w:pPr>
        <w:pStyle w:val="Body"/>
        <w:spacing w:after="0"/>
        <w:rPr>
          <w:rFonts w:ascii="Arial" w:hAnsi="Arial" w:cs="Arial"/>
          <w:lang w:val="en-IN"/>
        </w:rPr>
      </w:pPr>
      <w:r w:rsidRPr="00EC6671">
        <w:rPr>
          <w:rFonts w:ascii="Arial" w:hAnsi="Arial" w:cs="Arial"/>
          <w:lang w:val="en-IN"/>
        </w:rPr>
        <w:t>The total number of study participants enrolled during 9 months of research, from June 2020 to March 2021, was 1238. Study participants from the Departments of Medicine and Surgery at tertiary care teaching hospital were enrolled in the study. Among gender distribution, males [N=718 (57.99 %)] was more than females [N=520 (42.00%)]. The study participants</w:t>
      </w:r>
      <w:proofErr w:type="gramStart"/>
      <w:r w:rsidRPr="00EC6671">
        <w:rPr>
          <w:rFonts w:ascii="Arial" w:hAnsi="Arial" w:cs="Arial"/>
          <w:lang w:val="en-IN"/>
        </w:rPr>
        <w:t>’  average</w:t>
      </w:r>
      <w:proofErr w:type="gramEnd"/>
      <w:r w:rsidRPr="00EC6671">
        <w:rPr>
          <w:rFonts w:ascii="Arial" w:hAnsi="Arial" w:cs="Arial"/>
          <w:lang w:val="en-IN"/>
        </w:rPr>
        <w:t xml:space="preserve"> age was found to be 56.4 years from the age range of above 50-60 years [N=307 (24.79%)]. The majority of participants involved in the study completed secondary level education [N=383 (30.9%)] and majority were married [N=803 (64.86 %)]. It was found that the majority of study participants [N=677 (54.46 %)] are the residents from Sub-Urban areas of Mysuru city. (</w:t>
      </w:r>
      <w:r w:rsidRPr="00EC6671">
        <w:rPr>
          <w:rFonts w:ascii="Arial" w:hAnsi="Arial" w:cs="Arial"/>
          <w:lang w:val="en-IN"/>
        </w:rPr>
        <w:fldChar w:fldCharType="begin"/>
      </w:r>
      <w:r w:rsidRPr="00EC6671">
        <w:rPr>
          <w:rFonts w:ascii="Arial" w:hAnsi="Arial" w:cs="Arial"/>
          <w:lang w:val="en-IN"/>
        </w:rPr>
        <w:instrText xml:space="preserve"> REF _Ref214904715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iCs/>
          <w:lang w:val="en-IN"/>
        </w:rPr>
        <w:t>Table 1</w:t>
      </w:r>
      <w:r w:rsidRPr="00EC6671">
        <w:rPr>
          <w:rFonts w:ascii="Arial" w:hAnsi="Arial" w:cs="Arial"/>
        </w:rPr>
        <w:fldChar w:fldCharType="end"/>
      </w:r>
      <w:r w:rsidRPr="00EC6671">
        <w:rPr>
          <w:rFonts w:ascii="Arial" w:hAnsi="Arial" w:cs="Arial"/>
          <w:lang w:val="en-IN"/>
        </w:rPr>
        <w:t>)</w:t>
      </w:r>
    </w:p>
    <w:p w:rsidR="00EC6671" w:rsidRPr="00EC6671" w:rsidRDefault="00EC6671" w:rsidP="00EC6671">
      <w:pPr>
        <w:pStyle w:val="Body"/>
        <w:jc w:val="center"/>
        <w:rPr>
          <w:rFonts w:ascii="Arial" w:hAnsi="Arial" w:cs="Arial"/>
          <w:i/>
          <w:iCs/>
          <w:lang w:val="en-IN"/>
        </w:rPr>
      </w:pPr>
      <w:bookmarkStart w:id="1" w:name="_Ref214904715"/>
      <w:r w:rsidRPr="00EC6671">
        <w:rPr>
          <w:rFonts w:ascii="Arial" w:hAnsi="Arial" w:cs="Arial"/>
          <w:i/>
          <w:iCs/>
          <w:lang w:val="en-IN"/>
        </w:rPr>
        <w:t xml:space="preserve">Table </w:t>
      </w:r>
      <w:r w:rsidRPr="00EC6671">
        <w:rPr>
          <w:rFonts w:ascii="Arial" w:hAnsi="Arial" w:cs="Arial"/>
          <w:i/>
          <w:iCs/>
          <w:lang w:val="en-IN"/>
        </w:rPr>
        <w:fldChar w:fldCharType="begin"/>
      </w:r>
      <w:r w:rsidRPr="00EC6671">
        <w:rPr>
          <w:rFonts w:ascii="Arial" w:hAnsi="Arial" w:cs="Arial"/>
          <w:i/>
          <w:iCs/>
          <w:lang w:val="en-IN"/>
        </w:rPr>
        <w:instrText xml:space="preserve"> SEQ Table \* ARABIC </w:instrText>
      </w:r>
      <w:r w:rsidRPr="00EC6671">
        <w:rPr>
          <w:rFonts w:ascii="Arial" w:hAnsi="Arial" w:cs="Arial"/>
          <w:i/>
          <w:iCs/>
          <w:lang w:val="en-IN"/>
        </w:rPr>
        <w:fldChar w:fldCharType="separate"/>
      </w:r>
      <w:r w:rsidR="00E22F0D">
        <w:rPr>
          <w:rFonts w:ascii="Arial" w:hAnsi="Arial" w:cs="Arial"/>
          <w:i/>
          <w:iCs/>
          <w:noProof/>
          <w:lang w:val="en-IN"/>
        </w:rPr>
        <w:t>1</w:t>
      </w:r>
      <w:r w:rsidRPr="00EC6671">
        <w:rPr>
          <w:rFonts w:ascii="Arial" w:hAnsi="Arial" w:cs="Arial"/>
        </w:rPr>
        <w:fldChar w:fldCharType="end"/>
      </w:r>
      <w:bookmarkEnd w:id="1"/>
      <w:r w:rsidR="002E050E" w:rsidRPr="00EC6671">
        <w:rPr>
          <w:rFonts w:ascii="Arial" w:hAnsi="Arial" w:cs="Arial"/>
          <w:i/>
          <w:iCs/>
          <w:lang w:val="en-IN"/>
        </w:rPr>
        <w:t>: Demographic</w:t>
      </w:r>
      <w:r w:rsidRPr="00EC6671">
        <w:rPr>
          <w:rFonts w:ascii="Arial" w:hAnsi="Arial" w:cs="Arial"/>
          <w:i/>
          <w:iCs/>
          <w:lang w:val="en-IN"/>
        </w:rPr>
        <w:t xml:space="preserve"> details of the patients.</w:t>
      </w:r>
    </w:p>
    <w:tbl>
      <w:tblPr>
        <w:tblStyle w:val="TableGrid"/>
        <w:tblW w:w="8053" w:type="dxa"/>
        <w:tblLayout w:type="fixed"/>
        <w:tblLook w:val="01E0" w:firstRow="1" w:lastRow="1" w:firstColumn="1" w:lastColumn="1" w:noHBand="0" w:noVBand="0"/>
      </w:tblPr>
      <w:tblGrid>
        <w:gridCol w:w="3032"/>
        <w:gridCol w:w="3484"/>
        <w:gridCol w:w="1537"/>
      </w:tblGrid>
      <w:tr w:rsidR="00EC6671" w:rsidRPr="00EC6671" w:rsidTr="00342024">
        <w:trPr>
          <w:trHeight w:val="447"/>
        </w:trPr>
        <w:tc>
          <w:tcPr>
            <w:tcW w:w="3032" w:type="dxa"/>
            <w:vAlign w:val="center"/>
          </w:tcPr>
          <w:p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Characteristics</w:t>
            </w:r>
          </w:p>
        </w:tc>
        <w:tc>
          <w:tcPr>
            <w:tcW w:w="3484" w:type="dxa"/>
            <w:vAlign w:val="center"/>
          </w:tcPr>
          <w:p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Category</w:t>
            </w:r>
          </w:p>
        </w:tc>
        <w:tc>
          <w:tcPr>
            <w:tcW w:w="1537" w:type="dxa"/>
            <w:vAlign w:val="center"/>
          </w:tcPr>
          <w:p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Number (Percentage)</w:t>
            </w:r>
          </w:p>
        </w:tc>
      </w:tr>
      <w:tr w:rsidR="00EC6671" w:rsidRPr="00EC6671" w:rsidTr="00342024">
        <w:trPr>
          <w:trHeight w:val="448"/>
        </w:trPr>
        <w:tc>
          <w:tcPr>
            <w:tcW w:w="3032" w:type="dxa"/>
            <w:vMerge w:val="restart"/>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Gender</w:t>
            </w: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Male</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718 (57.99%)</w:t>
            </w:r>
          </w:p>
        </w:tc>
      </w:tr>
      <w:tr w:rsidR="00EC6671" w:rsidRPr="00EC6671" w:rsidTr="00342024">
        <w:trPr>
          <w:trHeight w:val="447"/>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Female</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520 (42.00%)</w:t>
            </w:r>
          </w:p>
        </w:tc>
      </w:tr>
      <w:tr w:rsidR="00EC6671" w:rsidRPr="00EC6671" w:rsidTr="00342024">
        <w:trPr>
          <w:trHeight w:val="447"/>
        </w:trPr>
        <w:tc>
          <w:tcPr>
            <w:tcW w:w="3032" w:type="dxa"/>
            <w:vMerge w:val="restart"/>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Age</w:t>
            </w: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18-29years</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89 (7.18%)</w:t>
            </w:r>
          </w:p>
        </w:tc>
      </w:tr>
      <w:tr w:rsidR="00EC6671" w:rsidRPr="00EC6671" w:rsidTr="00342024">
        <w:trPr>
          <w:trHeight w:val="448"/>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30-39years</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209 (16.88%)</w:t>
            </w:r>
          </w:p>
        </w:tc>
      </w:tr>
      <w:tr w:rsidR="00EC6671" w:rsidRPr="00EC6671" w:rsidTr="00342024">
        <w:trPr>
          <w:trHeight w:val="447"/>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40-49years</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455 (36.75%)</w:t>
            </w:r>
          </w:p>
        </w:tc>
      </w:tr>
      <w:tr w:rsidR="00EC6671" w:rsidRPr="00EC6671" w:rsidTr="00342024">
        <w:trPr>
          <w:trHeight w:val="447"/>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50-60years</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485 (39.17%)</w:t>
            </w:r>
          </w:p>
        </w:tc>
      </w:tr>
      <w:tr w:rsidR="00EC6671" w:rsidRPr="00EC6671" w:rsidTr="00342024">
        <w:trPr>
          <w:trHeight w:val="567"/>
        </w:trPr>
        <w:tc>
          <w:tcPr>
            <w:tcW w:w="3032" w:type="dxa"/>
            <w:vMerge w:val="restart"/>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Educational qualification</w:t>
            </w: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Lower Primary level</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86 (6.94%)</w:t>
            </w:r>
          </w:p>
        </w:tc>
      </w:tr>
      <w:tr w:rsidR="00EC6671" w:rsidRPr="00EC6671" w:rsidTr="00342024">
        <w:trPr>
          <w:trHeight w:val="466"/>
        </w:trPr>
        <w:tc>
          <w:tcPr>
            <w:tcW w:w="3032" w:type="dxa"/>
            <w:vMerge/>
            <w:vAlign w:val="center"/>
          </w:tcPr>
          <w:p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Upper Primary level</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100 (8.07%)</w:t>
            </w:r>
          </w:p>
        </w:tc>
      </w:tr>
      <w:tr w:rsidR="00EC6671" w:rsidRPr="00EC6671" w:rsidTr="00342024">
        <w:trPr>
          <w:trHeight w:val="447"/>
        </w:trPr>
        <w:tc>
          <w:tcPr>
            <w:tcW w:w="3032" w:type="dxa"/>
            <w:vMerge/>
            <w:vAlign w:val="center"/>
          </w:tcPr>
          <w:p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Secondary Level</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383 (30.9%)</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Higher Secondary Level</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299 (24.1%)</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Graduate</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247 (19.95%)</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Post graduate</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123 (9.93%)</w:t>
            </w:r>
          </w:p>
        </w:tc>
      </w:tr>
      <w:tr w:rsidR="00EC6671" w:rsidRPr="00EC6671" w:rsidTr="00342024">
        <w:trPr>
          <w:trHeight w:val="451"/>
        </w:trPr>
        <w:tc>
          <w:tcPr>
            <w:tcW w:w="3032" w:type="dxa"/>
            <w:vMerge w:val="restart"/>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Area of Residence</w:t>
            </w: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Urban</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371 (30%)</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Sub urban</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677 (54.46%)</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Rural</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190 (15.34%)</w:t>
            </w:r>
          </w:p>
        </w:tc>
      </w:tr>
      <w:tr w:rsidR="00EC6671" w:rsidRPr="00EC6671" w:rsidTr="00342024">
        <w:trPr>
          <w:trHeight w:val="451"/>
        </w:trPr>
        <w:tc>
          <w:tcPr>
            <w:tcW w:w="3032" w:type="dxa"/>
            <w:vMerge w:val="restart"/>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Marital Status</w:t>
            </w: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Married</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803 (64.86%)</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Single</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280 (22.61%)</w:t>
            </w:r>
          </w:p>
        </w:tc>
      </w:tr>
      <w:tr w:rsidR="00EC6671" w:rsidRPr="00EC6671" w:rsidTr="00342024">
        <w:trPr>
          <w:trHeight w:val="451"/>
        </w:trPr>
        <w:tc>
          <w:tcPr>
            <w:tcW w:w="3032" w:type="dxa"/>
            <w:vMerge/>
            <w:vAlign w:val="center"/>
          </w:tcPr>
          <w:p w:rsidR="00EC6671" w:rsidRPr="00EC6671" w:rsidRDefault="00EC6671" w:rsidP="00EC6671">
            <w:pPr>
              <w:pStyle w:val="Body"/>
              <w:spacing w:after="0"/>
              <w:rPr>
                <w:rFonts w:ascii="Arial" w:eastAsia="Times New Roman" w:hAnsi="Arial" w:cs="Arial"/>
                <w:sz w:val="20"/>
                <w:szCs w:val="20"/>
                <w:lang w:val="en-IN"/>
              </w:rPr>
            </w:pPr>
          </w:p>
        </w:tc>
        <w:tc>
          <w:tcPr>
            <w:tcW w:w="3484"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Widower</w:t>
            </w:r>
          </w:p>
        </w:tc>
        <w:tc>
          <w:tcPr>
            <w:tcW w:w="153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155 (12.5%)</w:t>
            </w:r>
          </w:p>
        </w:tc>
      </w:tr>
    </w:tbl>
    <w:p w:rsidR="00EC6671" w:rsidRPr="00EC6671" w:rsidRDefault="00EC6671" w:rsidP="00EC6671">
      <w:pPr>
        <w:pStyle w:val="Body"/>
        <w:spacing w:after="0"/>
        <w:rPr>
          <w:rFonts w:ascii="Arial" w:hAnsi="Arial" w:cs="Arial"/>
          <w:lang w:val="en-IN"/>
        </w:rPr>
      </w:pPr>
    </w:p>
    <w:p w:rsidR="00EC6671" w:rsidRPr="00EC6671" w:rsidRDefault="00EC6671" w:rsidP="00EC6671">
      <w:pPr>
        <w:pStyle w:val="Body"/>
        <w:spacing w:after="0"/>
        <w:rPr>
          <w:rFonts w:ascii="Arial" w:hAnsi="Arial" w:cs="Arial"/>
          <w:b/>
          <w:lang w:val="en-IN"/>
        </w:rPr>
      </w:pPr>
      <w:r w:rsidRPr="00EC6671">
        <w:rPr>
          <w:rFonts w:ascii="Arial" w:hAnsi="Arial" w:cs="Arial"/>
          <w:lang w:val="en-IN"/>
        </w:rPr>
        <w:t>The distribution of study participants during this research reflects that majority of study participants (were from general medicine department (</w:t>
      </w:r>
      <w:r w:rsidRPr="00EC6671">
        <w:rPr>
          <w:rFonts w:ascii="Arial" w:hAnsi="Arial" w:cs="Arial"/>
          <w:lang w:val="en-IN"/>
        </w:rPr>
        <w:fldChar w:fldCharType="begin"/>
      </w:r>
      <w:r w:rsidRPr="00EC6671">
        <w:rPr>
          <w:rFonts w:ascii="Arial" w:hAnsi="Arial" w:cs="Arial"/>
          <w:lang w:val="en-IN"/>
        </w:rPr>
        <w:instrText xml:space="preserve"> REF _Ref214909250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2</w:t>
      </w:r>
      <w:r w:rsidRPr="00EC6671">
        <w:rPr>
          <w:rFonts w:ascii="Arial" w:hAnsi="Arial" w:cs="Arial"/>
        </w:rPr>
        <w:fldChar w:fldCharType="end"/>
      </w:r>
      <w:r w:rsidRPr="00EC6671">
        <w:rPr>
          <w:rFonts w:ascii="Arial" w:hAnsi="Arial" w:cs="Arial"/>
          <w:lang w:val="en-IN"/>
        </w:rPr>
        <w:t xml:space="preserve">) [N=626 (50.56%)] followed by general surgery department [N=612 (49.43%)]. </w:t>
      </w:r>
      <w:r w:rsidRPr="00EC6671">
        <w:rPr>
          <w:rFonts w:ascii="Arial" w:hAnsi="Arial" w:cs="Arial"/>
          <w:lang w:val="en-IN"/>
        </w:rPr>
        <w:br/>
      </w:r>
    </w:p>
    <w:p w:rsidR="00EC6671" w:rsidRPr="00EC6671" w:rsidRDefault="00EC6671" w:rsidP="00EC6671">
      <w:pPr>
        <w:pStyle w:val="Body"/>
        <w:spacing w:after="0"/>
        <w:jc w:val="center"/>
        <w:rPr>
          <w:rFonts w:ascii="Arial" w:hAnsi="Arial" w:cs="Arial"/>
          <w:iCs/>
          <w:lang w:val="en-IN"/>
        </w:rPr>
      </w:pPr>
      <w:bookmarkStart w:id="2" w:name="_Ref214909250"/>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2</w:t>
      </w:r>
      <w:r w:rsidRPr="00EC6671">
        <w:rPr>
          <w:rFonts w:ascii="Arial" w:hAnsi="Arial" w:cs="Arial"/>
        </w:rPr>
        <w:fldChar w:fldCharType="end"/>
      </w:r>
      <w:bookmarkEnd w:id="2"/>
      <w:r w:rsidRPr="00EC6671">
        <w:rPr>
          <w:rFonts w:ascii="Arial" w:hAnsi="Arial" w:cs="Arial"/>
          <w:iCs/>
          <w:lang w:val="en-IN"/>
        </w:rPr>
        <w:t>: Different Departments</w:t>
      </w:r>
    </w:p>
    <w:tbl>
      <w:tblPr>
        <w:tblStyle w:val="TableGrid"/>
        <w:tblW w:w="8112" w:type="dxa"/>
        <w:jc w:val="center"/>
        <w:tblLook w:val="04A0" w:firstRow="1" w:lastRow="0" w:firstColumn="1" w:lastColumn="0" w:noHBand="0" w:noVBand="1"/>
      </w:tblPr>
      <w:tblGrid>
        <w:gridCol w:w="2577"/>
        <w:gridCol w:w="2417"/>
        <w:gridCol w:w="3118"/>
      </w:tblGrid>
      <w:tr w:rsidR="00EC6671" w:rsidRPr="00EC6671" w:rsidTr="00EC6671">
        <w:trPr>
          <w:trHeight w:val="601"/>
          <w:jc w:val="center"/>
        </w:trPr>
        <w:tc>
          <w:tcPr>
            <w:tcW w:w="2577" w:type="dxa"/>
            <w:vAlign w:val="center"/>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Department</w:t>
            </w:r>
          </w:p>
        </w:tc>
        <w:tc>
          <w:tcPr>
            <w:tcW w:w="2417" w:type="dxa"/>
            <w:vAlign w:val="center"/>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Number of Patients (N)</w:t>
            </w:r>
          </w:p>
        </w:tc>
        <w:tc>
          <w:tcPr>
            <w:tcW w:w="3118" w:type="dxa"/>
            <w:vAlign w:val="center"/>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rsidTr="00EC6671">
        <w:trPr>
          <w:trHeight w:val="601"/>
          <w:jc w:val="center"/>
        </w:trPr>
        <w:tc>
          <w:tcPr>
            <w:tcW w:w="2577" w:type="dxa"/>
            <w:vAlign w:val="center"/>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General Medicine</w:t>
            </w:r>
          </w:p>
        </w:tc>
        <w:tc>
          <w:tcPr>
            <w:tcW w:w="2417" w:type="dxa"/>
            <w:vAlign w:val="center"/>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626</w:t>
            </w:r>
          </w:p>
        </w:tc>
        <w:tc>
          <w:tcPr>
            <w:tcW w:w="3118" w:type="dxa"/>
            <w:vAlign w:val="center"/>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50.56</w:t>
            </w:r>
          </w:p>
        </w:tc>
      </w:tr>
      <w:tr w:rsidR="00EC6671" w:rsidRPr="00EC6671" w:rsidTr="00EC6671">
        <w:trPr>
          <w:trHeight w:val="601"/>
          <w:jc w:val="center"/>
        </w:trPr>
        <w:tc>
          <w:tcPr>
            <w:tcW w:w="2577" w:type="dxa"/>
            <w:vAlign w:val="center"/>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General Surgery</w:t>
            </w:r>
          </w:p>
        </w:tc>
        <w:tc>
          <w:tcPr>
            <w:tcW w:w="2417" w:type="dxa"/>
            <w:vAlign w:val="center"/>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612</w:t>
            </w:r>
          </w:p>
        </w:tc>
        <w:tc>
          <w:tcPr>
            <w:tcW w:w="3118" w:type="dxa"/>
            <w:vAlign w:val="center"/>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49.43</w:t>
            </w:r>
          </w:p>
        </w:tc>
      </w:tr>
    </w:tbl>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lang w:val="en-IN"/>
        </w:rPr>
      </w:pPr>
      <w:r w:rsidRPr="00EC6671">
        <w:rPr>
          <w:rFonts w:ascii="Arial" w:hAnsi="Arial" w:cs="Arial"/>
          <w:lang w:val="en-IN"/>
        </w:rPr>
        <w:t>During this research study, it was observed that study participants were diagnosed most with disease that effected the Circulatory System [N=305 (24.64%)], followed by Endocrine, Nutritional or Metabolic disorders [N=228 (18.42%)] and Respiratory System Disorders [N=138 (11.15%)]. (</w:t>
      </w:r>
      <w:r w:rsidRPr="00EC6671">
        <w:rPr>
          <w:rFonts w:ascii="Arial" w:hAnsi="Arial" w:cs="Arial"/>
          <w:lang w:val="en-IN"/>
        </w:rPr>
        <w:fldChar w:fldCharType="begin"/>
      </w:r>
      <w:r w:rsidRPr="00EC6671">
        <w:rPr>
          <w:rFonts w:ascii="Arial" w:hAnsi="Arial" w:cs="Arial"/>
          <w:lang w:val="en-IN"/>
        </w:rPr>
        <w:instrText xml:space="preserve"> REF _Ref214909272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3</w:t>
      </w:r>
      <w:r w:rsidRPr="00EC6671">
        <w:rPr>
          <w:rFonts w:ascii="Arial" w:hAnsi="Arial" w:cs="Arial"/>
        </w:rPr>
        <w:fldChar w:fldCharType="end"/>
      </w:r>
      <w:r w:rsidRPr="00EC6671">
        <w:rPr>
          <w:rFonts w:ascii="Arial" w:hAnsi="Arial" w:cs="Arial"/>
          <w:lang w:val="en-IN"/>
        </w:rPr>
        <w:t>)</w:t>
      </w:r>
    </w:p>
    <w:p w:rsidR="00EC6671" w:rsidRPr="00EC6671" w:rsidRDefault="00EC6671" w:rsidP="00EC6671">
      <w:pPr>
        <w:pStyle w:val="Body"/>
        <w:spacing w:after="0"/>
        <w:rPr>
          <w:rFonts w:ascii="Arial" w:hAnsi="Arial" w:cs="Arial"/>
          <w:lang w:val="en-IN"/>
        </w:rPr>
      </w:pPr>
    </w:p>
    <w:p w:rsidR="00EC6671" w:rsidRPr="00EC6671" w:rsidRDefault="00EC6671" w:rsidP="00EC6671">
      <w:pPr>
        <w:pStyle w:val="Body"/>
        <w:spacing w:after="0"/>
        <w:jc w:val="center"/>
        <w:rPr>
          <w:rFonts w:ascii="Arial" w:hAnsi="Arial" w:cs="Arial"/>
          <w:iCs/>
          <w:lang w:val="en-IN"/>
        </w:rPr>
      </w:pPr>
      <w:bookmarkStart w:id="3" w:name="_Ref214909272"/>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3</w:t>
      </w:r>
      <w:r w:rsidRPr="00EC6671">
        <w:rPr>
          <w:rFonts w:ascii="Arial" w:hAnsi="Arial" w:cs="Arial"/>
        </w:rPr>
        <w:fldChar w:fldCharType="end"/>
      </w:r>
      <w:bookmarkEnd w:id="3"/>
      <w:r w:rsidRPr="00EC6671">
        <w:rPr>
          <w:rFonts w:ascii="Arial" w:hAnsi="Arial" w:cs="Arial"/>
          <w:iCs/>
          <w:lang w:val="en-IN"/>
        </w:rPr>
        <w:t>: Types of Diseased Conditions</w:t>
      </w:r>
    </w:p>
    <w:tbl>
      <w:tblPr>
        <w:tblStyle w:val="TableGrid"/>
        <w:tblW w:w="9026" w:type="dxa"/>
        <w:tblLook w:val="04A0" w:firstRow="1" w:lastRow="0" w:firstColumn="1" w:lastColumn="0" w:noHBand="0" w:noVBand="1"/>
      </w:tblPr>
      <w:tblGrid>
        <w:gridCol w:w="5362"/>
        <w:gridCol w:w="2101"/>
        <w:gridCol w:w="1563"/>
      </w:tblGrid>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Disorders</w:t>
            </w:r>
          </w:p>
        </w:tc>
        <w:tc>
          <w:tcPr>
            <w:tcW w:w="2101"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No of study subjects (N=1238)</w:t>
            </w:r>
          </w:p>
        </w:tc>
        <w:tc>
          <w:tcPr>
            <w:tcW w:w="1563"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circulatory system</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305</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24.64</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Endocrine, nutritional or metabolic disorders</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228</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18.42</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respiratory system</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138</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11.15</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digestive system</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116</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9.37</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Certain infections of parasitic diseases</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84</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6.79</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genitourinary system</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78</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6.30</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nervous system</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78</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6.30</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 of the blood and blood forming agents</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82</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6.62</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Symptoms, signs or clinical findings not elsewhere classified</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70</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5.65</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musculoskeletal system or Connective tissue</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19</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1.53</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Injury, poisoning or certain other consequences of ENT causes.</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20</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1.62</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lastRenderedPageBreak/>
              <w:t>Diseases of the ear or mastoid process</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0.40</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Mental, behavioral or neurodevelopmental Disorders</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0.16</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skin</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12</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0.97</w:t>
            </w:r>
          </w:p>
        </w:tc>
      </w:tr>
      <w:tr w:rsidR="00EC6671" w:rsidRPr="00EC6671" w:rsidTr="008113AC">
        <w:trPr>
          <w:trHeight w:val="552"/>
        </w:trPr>
        <w:tc>
          <w:tcPr>
            <w:tcW w:w="5362"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Diseases of the visual system</w:t>
            </w:r>
          </w:p>
        </w:tc>
        <w:tc>
          <w:tcPr>
            <w:tcW w:w="210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w:t>
            </w:r>
          </w:p>
        </w:tc>
        <w:tc>
          <w:tcPr>
            <w:tcW w:w="156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0.08</w:t>
            </w:r>
          </w:p>
        </w:tc>
      </w:tr>
    </w:tbl>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 Drug Related Problems</w:t>
      </w:r>
    </w:p>
    <w:p w:rsidR="00EC6671" w:rsidRPr="00EC6671" w:rsidRDefault="00EC6671" w:rsidP="00EC6671">
      <w:pPr>
        <w:pStyle w:val="Body"/>
        <w:spacing w:after="0"/>
        <w:rPr>
          <w:rFonts w:ascii="Arial" w:hAnsi="Arial" w:cs="Arial"/>
          <w:b/>
          <w:bCs/>
          <w:lang w:val="en-IN"/>
        </w:rPr>
      </w:pPr>
    </w:p>
    <w:p w:rsidR="00EC6671" w:rsidRDefault="00EC6671" w:rsidP="00EC6671">
      <w:pPr>
        <w:pStyle w:val="Body"/>
        <w:spacing w:after="0"/>
        <w:rPr>
          <w:rFonts w:ascii="Arial" w:hAnsi="Arial" w:cs="Arial"/>
          <w:lang w:val="en-IN"/>
        </w:rPr>
      </w:pPr>
      <w:r w:rsidRPr="00EC6671">
        <w:rPr>
          <w:rFonts w:ascii="Arial" w:hAnsi="Arial" w:cs="Arial"/>
          <w:lang w:val="en-IN"/>
        </w:rPr>
        <w:t>From the 1238 patients enrolled, a total of 599 Drug Related Problems (DRP) were reported during this research study. All the identified DRPs were categorized by applying Helper and Strands classification 1990. (</w:t>
      </w:r>
      <w:r w:rsidRPr="00EC6671">
        <w:rPr>
          <w:rFonts w:ascii="Arial" w:hAnsi="Arial" w:cs="Arial"/>
          <w:lang w:val="en-IN"/>
        </w:rPr>
        <w:fldChar w:fldCharType="begin"/>
      </w:r>
      <w:r w:rsidRPr="00EC6671">
        <w:rPr>
          <w:rFonts w:ascii="Arial" w:hAnsi="Arial" w:cs="Arial"/>
          <w:lang w:val="en-IN"/>
        </w:rPr>
        <w:instrText xml:space="preserve"> REF _Ref214909295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4</w:t>
      </w:r>
      <w:r w:rsidRPr="00EC6671">
        <w:rPr>
          <w:rFonts w:ascii="Arial" w:hAnsi="Arial" w:cs="Arial"/>
        </w:rPr>
        <w:fldChar w:fldCharType="end"/>
      </w:r>
      <w:r w:rsidRPr="00EC6671">
        <w:rPr>
          <w:rFonts w:ascii="Arial" w:hAnsi="Arial" w:cs="Arial"/>
          <w:lang w:val="en-IN"/>
        </w:rPr>
        <w:t xml:space="preserve">)The prevalence of drug related problems in the hospital during the period of research is 48.38%. It is calculated as </w:t>
      </w:r>
    </w:p>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jc w:val="center"/>
        <w:rPr>
          <w:rFonts w:ascii="Arial" w:hAnsi="Arial" w:cs="Arial"/>
          <w:lang w:val="en-IN"/>
        </w:rPr>
      </w:pPr>
      <m:oMath>
        <m:r>
          <w:rPr>
            <w:rFonts w:ascii="Cambria Math" w:hAnsi="Cambria Math" w:cs="Arial"/>
            <w:lang w:val="en-IN"/>
          </w:rPr>
          <m:t>Prevalence</m:t>
        </m:r>
        <m:r>
          <m:rPr>
            <m:sty m:val="p"/>
          </m:rP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Prescriptions</m:t>
            </m:r>
            <m:r>
              <m:rPr>
                <m:sty m:val="p"/>
              </m:rPr>
              <w:rPr>
                <w:rFonts w:ascii="Cambria Math" w:hAnsi="Cambria Math" w:cs="Arial"/>
                <w:lang w:val="en-IN"/>
              </w:rPr>
              <m:t xml:space="preserve"> </m:t>
            </m:r>
            <m:r>
              <w:rPr>
                <w:rFonts w:ascii="Cambria Math" w:hAnsi="Cambria Math" w:cs="Arial"/>
                <w:lang w:val="en-IN"/>
              </w:rPr>
              <m:t>with</m:t>
            </m:r>
            <m:r>
              <m:rPr>
                <m:sty m:val="p"/>
              </m:rPr>
              <w:rPr>
                <w:rFonts w:ascii="Cambria Math" w:hAnsi="Cambria Math" w:cs="Arial"/>
                <w:lang w:val="en-IN"/>
              </w:rPr>
              <m:t xml:space="preserve"> </m:t>
            </m:r>
            <m:r>
              <w:rPr>
                <w:rFonts w:ascii="Cambria Math" w:hAnsi="Cambria Math" w:cs="Arial"/>
                <w:lang w:val="en-IN"/>
              </w:rPr>
              <m:t>DRP</m:t>
            </m:r>
          </m:num>
          <m:den>
            <m:r>
              <w:rPr>
                <w:rFonts w:ascii="Cambria Math" w:hAnsi="Cambria Math" w:cs="Arial"/>
                <w:lang w:val="en-IN"/>
              </w:rPr>
              <m:t>Total</m:t>
            </m:r>
            <m:r>
              <m:rPr>
                <m:sty m:val="p"/>
              </m:rPr>
              <w:rPr>
                <w:rFonts w:ascii="Cambria Math" w:hAnsi="Cambria Math" w:cs="Arial"/>
                <w:lang w:val="en-IN"/>
              </w:rPr>
              <m:t xml:space="preserve"> </m:t>
            </m:r>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Prescriptions</m:t>
            </m:r>
            <m:r>
              <m:rPr>
                <m:sty m:val="p"/>
              </m:rPr>
              <w:rPr>
                <w:rFonts w:ascii="Cambria Math" w:hAnsi="Cambria Math" w:cs="Arial"/>
                <w:lang w:val="en-IN"/>
              </w:rPr>
              <m:t xml:space="preserve"> </m:t>
            </m:r>
            <m:r>
              <w:rPr>
                <w:rFonts w:ascii="Cambria Math" w:hAnsi="Cambria Math" w:cs="Arial"/>
                <w:lang w:val="en-IN"/>
              </w:rPr>
              <m:t>reviewed</m:t>
            </m:r>
          </m:den>
        </m:f>
        <m:r>
          <m:rPr>
            <m:sty m:val="p"/>
          </m:rPr>
          <w:rPr>
            <w:rFonts w:ascii="Cambria Math" w:hAnsi="Cambria Math" w:cs="Arial"/>
            <w:lang w:val="en-IN"/>
          </w:rPr>
          <m:t>×100</m:t>
        </m:r>
      </m:oMath>
      <w:r w:rsidRPr="00EC6671">
        <w:rPr>
          <w:rFonts w:ascii="Arial" w:hAnsi="Arial" w:cs="Arial"/>
          <w:lang w:val="en-IN"/>
        </w:rPr>
        <w:t>.</w:t>
      </w:r>
    </w:p>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lang w:val="en-IN"/>
        </w:rPr>
      </w:pPr>
      <w:r w:rsidRPr="00EC6671">
        <w:rPr>
          <w:rFonts w:ascii="Arial" w:hAnsi="Arial" w:cs="Arial"/>
          <w:lang w:val="en-IN"/>
        </w:rPr>
        <w:t>Among the identified DRP`S, Drug interactions [N=236 (39.40 %)] followed by ADR [160 (26.71 %)] are the most common types of Drug Related Problems (DRPs) found during the study period.</w:t>
      </w:r>
    </w:p>
    <w:p w:rsidR="00EC6671" w:rsidRPr="00EC6671" w:rsidRDefault="00EC6671" w:rsidP="00EC6671">
      <w:pPr>
        <w:pStyle w:val="Body"/>
        <w:spacing w:after="0"/>
        <w:rPr>
          <w:rFonts w:ascii="Arial" w:hAnsi="Arial" w:cs="Arial"/>
          <w:lang w:val="en-IN"/>
        </w:rPr>
      </w:pPr>
    </w:p>
    <w:p w:rsidR="00EC6671" w:rsidRPr="00EC6671" w:rsidRDefault="00EC6671" w:rsidP="00EC6671">
      <w:pPr>
        <w:pStyle w:val="Body"/>
        <w:spacing w:after="0"/>
        <w:jc w:val="center"/>
        <w:rPr>
          <w:rFonts w:ascii="Arial" w:hAnsi="Arial" w:cs="Arial"/>
          <w:iCs/>
          <w:lang w:val="en-IN"/>
        </w:rPr>
      </w:pPr>
      <w:bookmarkStart w:id="4" w:name="_Ref214909295"/>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4</w:t>
      </w:r>
      <w:r w:rsidRPr="00EC6671">
        <w:rPr>
          <w:rFonts w:ascii="Arial" w:hAnsi="Arial" w:cs="Arial"/>
        </w:rPr>
        <w:fldChar w:fldCharType="end"/>
      </w:r>
      <w:bookmarkEnd w:id="4"/>
      <w:r w:rsidRPr="00EC6671">
        <w:rPr>
          <w:rFonts w:ascii="Arial" w:hAnsi="Arial" w:cs="Arial"/>
          <w:iCs/>
          <w:lang w:val="en-IN"/>
        </w:rPr>
        <w:t>: List of drug related problems in according to helper and strand classification</w:t>
      </w:r>
    </w:p>
    <w:tbl>
      <w:tblPr>
        <w:tblStyle w:val="TableGrid"/>
        <w:tblW w:w="8765" w:type="dxa"/>
        <w:tblLayout w:type="fixed"/>
        <w:tblLook w:val="01E0" w:firstRow="1" w:lastRow="1" w:firstColumn="1" w:lastColumn="1" w:noHBand="0" w:noVBand="0"/>
      </w:tblPr>
      <w:tblGrid>
        <w:gridCol w:w="3969"/>
        <w:gridCol w:w="2741"/>
        <w:gridCol w:w="2055"/>
      </w:tblGrid>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
                <w:sz w:val="20"/>
                <w:szCs w:val="20"/>
              </w:rPr>
            </w:pPr>
            <w:r w:rsidRPr="00EC6671">
              <w:rPr>
                <w:rFonts w:ascii="Arial" w:eastAsia="Times New Roman" w:hAnsi="Arial" w:cs="Arial"/>
                <w:b/>
                <w:sz w:val="20"/>
                <w:szCs w:val="20"/>
              </w:rPr>
              <w:t>Drug Related Problems</w:t>
            </w:r>
          </w:p>
        </w:tc>
        <w:tc>
          <w:tcPr>
            <w:tcW w:w="2741" w:type="dxa"/>
            <w:vAlign w:val="center"/>
          </w:tcPr>
          <w:p w:rsidR="00EC6671" w:rsidRPr="00EC6671" w:rsidRDefault="00EC6671" w:rsidP="00EC6671">
            <w:pPr>
              <w:pStyle w:val="Body"/>
              <w:spacing w:after="0"/>
              <w:rPr>
                <w:rFonts w:ascii="Arial" w:eastAsia="Times New Roman" w:hAnsi="Arial" w:cs="Arial"/>
                <w:b/>
                <w:sz w:val="20"/>
                <w:szCs w:val="20"/>
              </w:rPr>
            </w:pPr>
            <w:r w:rsidRPr="00EC6671">
              <w:rPr>
                <w:rFonts w:ascii="Arial" w:eastAsia="Times New Roman" w:hAnsi="Arial" w:cs="Arial"/>
                <w:b/>
                <w:sz w:val="20"/>
                <w:szCs w:val="20"/>
              </w:rPr>
              <w:t>Number of DRPs (N)</w:t>
            </w:r>
          </w:p>
        </w:tc>
        <w:tc>
          <w:tcPr>
            <w:tcW w:w="2055" w:type="dxa"/>
            <w:vAlign w:val="center"/>
          </w:tcPr>
          <w:p w:rsidR="00EC6671" w:rsidRPr="00EC6671" w:rsidRDefault="00EC6671" w:rsidP="00EC6671">
            <w:pPr>
              <w:pStyle w:val="Body"/>
              <w:spacing w:after="0"/>
              <w:rPr>
                <w:rFonts w:ascii="Arial" w:eastAsia="Times New Roman" w:hAnsi="Arial" w:cs="Arial"/>
                <w:b/>
                <w:sz w:val="20"/>
                <w:szCs w:val="20"/>
              </w:rPr>
            </w:pPr>
            <w:r w:rsidRPr="00EC6671">
              <w:rPr>
                <w:rFonts w:ascii="Arial" w:eastAsia="Times New Roman" w:hAnsi="Arial" w:cs="Arial"/>
                <w:b/>
                <w:sz w:val="20"/>
                <w:szCs w:val="20"/>
              </w:rPr>
              <w:t>Percentage (%)</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Untreated Indication</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50</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8.35</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Over Dosage</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43</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7.18</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Sub-Therapeutic Dose</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23</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3.84</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Drug Use Without Indication</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49</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8.18</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Drug Interactions</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236</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39.40</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Failure to Receive Drugs</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27</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4.51</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Improper Drug Selection</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11</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1.84</w:t>
            </w:r>
          </w:p>
        </w:tc>
      </w:tr>
      <w:tr w:rsidR="00EC6671" w:rsidRPr="00EC6671" w:rsidTr="00EC6671">
        <w:trPr>
          <w:trHeight w:val="362"/>
        </w:trPr>
        <w:tc>
          <w:tcPr>
            <w:tcW w:w="3969"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Adverse Drug Reactions</w:t>
            </w:r>
          </w:p>
        </w:tc>
        <w:tc>
          <w:tcPr>
            <w:tcW w:w="2741"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160</w:t>
            </w:r>
          </w:p>
        </w:tc>
        <w:tc>
          <w:tcPr>
            <w:tcW w:w="2055" w:type="dxa"/>
            <w:vAlign w:val="center"/>
          </w:tcPr>
          <w:p w:rsidR="00EC6671" w:rsidRPr="00EC6671" w:rsidRDefault="00EC6671" w:rsidP="00EC6671">
            <w:pPr>
              <w:pStyle w:val="Body"/>
              <w:spacing w:after="0"/>
              <w:rPr>
                <w:rFonts w:ascii="Arial" w:eastAsia="Times New Roman" w:hAnsi="Arial" w:cs="Arial"/>
                <w:bCs/>
                <w:sz w:val="20"/>
                <w:szCs w:val="20"/>
              </w:rPr>
            </w:pPr>
            <w:r w:rsidRPr="00EC6671">
              <w:rPr>
                <w:rFonts w:ascii="Arial" w:eastAsia="Times New Roman" w:hAnsi="Arial" w:cs="Arial"/>
                <w:bCs/>
                <w:sz w:val="20"/>
                <w:szCs w:val="20"/>
              </w:rPr>
              <w:t>26.71</w:t>
            </w:r>
          </w:p>
        </w:tc>
      </w:tr>
    </w:tbl>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3.12 Untreated Indication</w:t>
      </w:r>
    </w:p>
    <w:p w:rsidR="00EC6671" w:rsidRPr="00EC6671" w:rsidRDefault="00EC6671" w:rsidP="00EC6671">
      <w:pPr>
        <w:pStyle w:val="Body"/>
        <w:spacing w:after="0"/>
        <w:rPr>
          <w:rFonts w:ascii="Arial" w:hAnsi="Arial" w:cs="Arial"/>
          <w:b/>
          <w:bCs/>
          <w:lang w:val="en-IN"/>
        </w:rPr>
      </w:pPr>
    </w:p>
    <w:p w:rsidR="00E22F0D" w:rsidRDefault="00EC6671" w:rsidP="00EC6671">
      <w:pPr>
        <w:pStyle w:val="Body"/>
        <w:spacing w:after="0"/>
        <w:rPr>
          <w:rFonts w:ascii="Arial" w:hAnsi="Arial" w:cs="Arial"/>
        </w:rPr>
      </w:pPr>
      <w:r w:rsidRPr="00EC6671">
        <w:rPr>
          <w:rFonts w:ascii="Arial" w:hAnsi="Arial" w:cs="Arial"/>
        </w:rPr>
        <w:t>Out of the overall 50 untreated indications, Diarrhea [N=10 (20%)], hypertension [N=10 (20%)] and constipation [N=seven (14%)] accounted for majority of it. (</w:t>
      </w:r>
      <w:r w:rsidRPr="00EC6671">
        <w:rPr>
          <w:rFonts w:ascii="Arial" w:hAnsi="Arial" w:cs="Arial"/>
        </w:rPr>
        <w:fldChar w:fldCharType="begin"/>
      </w:r>
      <w:r w:rsidRPr="00EC6671">
        <w:rPr>
          <w:rFonts w:ascii="Arial" w:hAnsi="Arial" w:cs="Arial"/>
        </w:rPr>
        <w:instrText xml:space="preserve"> REF _Ref214909320 \h  \* MERGEFORMAT </w:instrText>
      </w:r>
      <w:r w:rsidRPr="00EC6671">
        <w:rPr>
          <w:rFonts w:ascii="Arial" w:hAnsi="Arial" w:cs="Arial"/>
        </w:rPr>
      </w:r>
      <w:r w:rsidRPr="00EC6671">
        <w:rPr>
          <w:rFonts w:ascii="Arial" w:hAnsi="Arial" w:cs="Arial"/>
        </w:rPr>
        <w:fldChar w:fldCharType="separate"/>
      </w:r>
    </w:p>
    <w:p w:rsidR="00E22F0D" w:rsidRDefault="00E22F0D" w:rsidP="00EC6671">
      <w:pPr>
        <w:pStyle w:val="Body"/>
        <w:spacing w:after="0"/>
        <w:rPr>
          <w:rFonts w:ascii="Arial" w:hAnsi="Arial" w:cs="Arial"/>
        </w:rPr>
      </w:pPr>
    </w:p>
    <w:p w:rsidR="00E22F0D" w:rsidRPr="00EC6671" w:rsidRDefault="00E22F0D" w:rsidP="00EC6671">
      <w:pPr>
        <w:pStyle w:val="Body"/>
        <w:spacing w:after="0"/>
        <w:rPr>
          <w:rFonts w:ascii="Arial" w:hAnsi="Arial" w:cs="Arial"/>
        </w:rPr>
      </w:pPr>
    </w:p>
    <w:p w:rsidR="00EC6671" w:rsidRDefault="00E22F0D" w:rsidP="00EC6671">
      <w:pPr>
        <w:pStyle w:val="Body"/>
        <w:spacing w:after="0"/>
        <w:rPr>
          <w:rFonts w:ascii="Arial" w:hAnsi="Arial" w:cs="Arial"/>
        </w:rPr>
      </w:pPr>
      <w:r w:rsidRPr="00EC6671">
        <w:rPr>
          <w:rFonts w:ascii="Arial" w:hAnsi="Arial" w:cs="Arial"/>
          <w:i/>
        </w:rPr>
        <w:t xml:space="preserve">Table </w:t>
      </w:r>
      <w:r>
        <w:rPr>
          <w:rFonts w:ascii="Arial" w:hAnsi="Arial" w:cs="Arial"/>
          <w:i/>
          <w:noProof/>
        </w:rPr>
        <w:t>5</w:t>
      </w:r>
      <w:r w:rsidR="00EC6671" w:rsidRPr="00EC6671">
        <w:rPr>
          <w:rFonts w:ascii="Arial" w:hAnsi="Arial" w:cs="Arial"/>
        </w:rPr>
        <w:fldChar w:fldCharType="end"/>
      </w:r>
      <w:r w:rsidR="00EC6671" w:rsidRPr="00EC6671">
        <w:rPr>
          <w:rFonts w:ascii="Arial" w:hAnsi="Arial" w:cs="Arial"/>
        </w:rPr>
        <w:t xml:space="preserve">) </w:t>
      </w:r>
      <w:bookmarkStart w:id="5" w:name="_Ref214909320"/>
    </w:p>
    <w:p w:rsidR="00EC6671" w:rsidRDefault="00EC6671" w:rsidP="00EC6671">
      <w:pPr>
        <w:pStyle w:val="Body"/>
        <w:spacing w:after="0"/>
        <w:rPr>
          <w:rFonts w:ascii="Arial" w:hAnsi="Arial" w:cs="Arial"/>
        </w:rPr>
      </w:pPr>
    </w:p>
    <w:p w:rsidR="00EC6671" w:rsidRPr="00EC6671" w:rsidRDefault="00EC6671" w:rsidP="00EC6671">
      <w:pPr>
        <w:pStyle w:val="Body"/>
        <w:spacing w:after="0"/>
        <w:rPr>
          <w:rFonts w:ascii="Arial" w:hAnsi="Arial" w:cs="Arial"/>
        </w:rPr>
      </w:pPr>
    </w:p>
    <w:p w:rsidR="00EC6671" w:rsidRPr="00EC6671" w:rsidRDefault="00EC6671" w:rsidP="00EC6671">
      <w:pPr>
        <w:pStyle w:val="Body"/>
        <w:spacing w:after="0"/>
        <w:jc w:val="center"/>
        <w:rPr>
          <w:rFonts w:ascii="Arial" w:hAnsi="Arial" w:cs="Arial"/>
          <w:i/>
        </w:rPr>
      </w:pPr>
      <w:r w:rsidRPr="00EC6671">
        <w:rPr>
          <w:rFonts w:ascii="Arial" w:hAnsi="Arial" w:cs="Arial"/>
          <w:i/>
        </w:rPr>
        <w:t xml:space="preserve">Table </w:t>
      </w:r>
      <w:r w:rsidRPr="00EC6671">
        <w:rPr>
          <w:rFonts w:ascii="Arial" w:hAnsi="Arial" w:cs="Arial"/>
          <w:i/>
        </w:rPr>
        <w:fldChar w:fldCharType="begin"/>
      </w:r>
      <w:r w:rsidRPr="00EC6671">
        <w:rPr>
          <w:rFonts w:ascii="Arial" w:hAnsi="Arial" w:cs="Arial"/>
          <w:i/>
        </w:rPr>
        <w:instrText xml:space="preserve"> SEQ Table \* ARABIC </w:instrText>
      </w:r>
      <w:r w:rsidRPr="00EC6671">
        <w:rPr>
          <w:rFonts w:ascii="Arial" w:hAnsi="Arial" w:cs="Arial"/>
          <w:i/>
        </w:rPr>
        <w:fldChar w:fldCharType="separate"/>
      </w:r>
      <w:r w:rsidR="00E22F0D">
        <w:rPr>
          <w:rFonts w:ascii="Arial" w:hAnsi="Arial" w:cs="Arial"/>
          <w:i/>
          <w:noProof/>
        </w:rPr>
        <w:t>5</w:t>
      </w:r>
      <w:r w:rsidRPr="00EC6671">
        <w:rPr>
          <w:rFonts w:ascii="Arial" w:hAnsi="Arial" w:cs="Arial"/>
        </w:rPr>
        <w:fldChar w:fldCharType="end"/>
      </w:r>
      <w:bookmarkEnd w:id="5"/>
      <w:r w:rsidRPr="00EC6671">
        <w:rPr>
          <w:rFonts w:ascii="Arial" w:hAnsi="Arial" w:cs="Arial"/>
          <w:i/>
        </w:rPr>
        <w:t>: Number of patients with untreated indications</w:t>
      </w:r>
    </w:p>
    <w:tbl>
      <w:tblPr>
        <w:tblStyle w:val="TableGrid"/>
        <w:tblW w:w="8438" w:type="dxa"/>
        <w:tblLayout w:type="fixed"/>
        <w:tblLook w:val="04A0" w:firstRow="1" w:lastRow="0" w:firstColumn="1" w:lastColumn="0" w:noHBand="0" w:noVBand="1"/>
      </w:tblPr>
      <w:tblGrid>
        <w:gridCol w:w="3426"/>
        <w:gridCol w:w="2638"/>
        <w:gridCol w:w="2374"/>
      </w:tblGrid>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Untreated Indications</w:t>
            </w:r>
          </w:p>
        </w:tc>
        <w:tc>
          <w:tcPr>
            <w:tcW w:w="2638"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374"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lastRenderedPageBreak/>
              <w:t>Constipation</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7</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14</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Anemia</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10</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10</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Cough</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8</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COPD</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8</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Peripheral neuropathy</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8</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Hypertension</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10</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Urinary Tract Infection</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w:t>
            </w:r>
          </w:p>
        </w:tc>
      </w:tr>
      <w:tr w:rsidR="00EC6671" w:rsidRPr="00EC6671" w:rsidTr="00EC6671">
        <w:trPr>
          <w:trHeight w:val="418"/>
        </w:trPr>
        <w:tc>
          <w:tcPr>
            <w:tcW w:w="3426"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Osteoarthritis</w:t>
            </w:r>
          </w:p>
        </w:tc>
        <w:tc>
          <w:tcPr>
            <w:tcW w:w="263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374"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w:t>
            </w:r>
          </w:p>
        </w:tc>
      </w:tr>
    </w:tbl>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3.13 Over Dosage</w:t>
      </w:r>
    </w:p>
    <w:p w:rsidR="00EC6671" w:rsidRPr="00EC6671" w:rsidRDefault="00EC6671" w:rsidP="00EC6671">
      <w:pPr>
        <w:pStyle w:val="Body"/>
        <w:spacing w:after="0"/>
        <w:rPr>
          <w:rFonts w:ascii="Arial" w:hAnsi="Arial" w:cs="Arial"/>
          <w:b/>
          <w:bCs/>
          <w:lang w:val="en-IN"/>
        </w:rPr>
      </w:pPr>
    </w:p>
    <w:p w:rsidR="00E22F0D" w:rsidRPr="00E22F0D" w:rsidRDefault="00EC6671" w:rsidP="00EC6671">
      <w:pPr>
        <w:pStyle w:val="Body"/>
        <w:spacing w:after="0"/>
        <w:rPr>
          <w:rFonts w:ascii="Arial" w:hAnsi="Arial" w:cs="Arial"/>
        </w:rPr>
      </w:pPr>
      <w:r w:rsidRPr="00EC6671">
        <w:rPr>
          <w:rFonts w:ascii="Arial" w:hAnsi="Arial" w:cs="Arial"/>
          <w:lang w:val="en-IN"/>
        </w:rPr>
        <w:t xml:space="preserve">A total of 43 overdoses were found, among which </w:t>
      </w:r>
      <w:proofErr w:type="spellStart"/>
      <w:r w:rsidRPr="00EC6671">
        <w:rPr>
          <w:rFonts w:ascii="Arial" w:hAnsi="Arial" w:cs="Arial"/>
          <w:lang w:val="en-IN"/>
        </w:rPr>
        <w:t>aceclofenac</w:t>
      </w:r>
      <w:proofErr w:type="spellEnd"/>
      <w:r w:rsidRPr="00EC6671">
        <w:rPr>
          <w:rFonts w:ascii="Arial" w:hAnsi="Arial" w:cs="Arial"/>
          <w:lang w:val="en-IN"/>
        </w:rPr>
        <w:t xml:space="preserve"> [N=10 (23.26%)] was predominantly overdosed, followed by Amitriptyline [N=8 (18.60 %)]. (</w:t>
      </w:r>
      <w:r w:rsidRPr="00EC6671">
        <w:rPr>
          <w:rFonts w:ascii="Arial" w:hAnsi="Arial" w:cs="Arial"/>
          <w:lang w:val="en-IN"/>
        </w:rPr>
        <w:fldChar w:fldCharType="begin"/>
      </w:r>
      <w:r w:rsidRPr="00EC6671">
        <w:rPr>
          <w:rFonts w:ascii="Arial" w:hAnsi="Arial" w:cs="Arial"/>
          <w:lang w:val="en-IN"/>
        </w:rPr>
        <w:instrText xml:space="preserve"> REF _Ref214909331 \h  \* MERGEFORMAT </w:instrText>
      </w:r>
      <w:r w:rsidRPr="00EC6671">
        <w:rPr>
          <w:rFonts w:ascii="Arial" w:hAnsi="Arial" w:cs="Arial"/>
          <w:lang w:val="en-IN"/>
        </w:rPr>
      </w:r>
      <w:r w:rsidRPr="00EC6671">
        <w:rPr>
          <w:rFonts w:ascii="Arial" w:hAnsi="Arial" w:cs="Arial"/>
          <w:lang w:val="en-IN"/>
        </w:rPr>
        <w:fldChar w:fldCharType="separate"/>
      </w:r>
    </w:p>
    <w:p w:rsidR="00E22F0D" w:rsidRPr="00E22F0D" w:rsidRDefault="00E22F0D" w:rsidP="00EC6671">
      <w:pPr>
        <w:pStyle w:val="Body"/>
        <w:spacing w:after="0"/>
        <w:rPr>
          <w:rFonts w:ascii="Arial" w:hAnsi="Arial" w:cs="Arial"/>
        </w:rPr>
      </w:pPr>
    </w:p>
    <w:p w:rsidR="00EC6671" w:rsidRDefault="00E22F0D" w:rsidP="00EC6671">
      <w:pPr>
        <w:pStyle w:val="Body"/>
        <w:spacing w:after="0"/>
        <w:rPr>
          <w:rFonts w:ascii="Arial" w:hAnsi="Arial" w:cs="Arial"/>
          <w:lang w:val="en-IN"/>
        </w:rPr>
      </w:pPr>
      <w:r w:rsidRPr="00E22F0D">
        <w:rPr>
          <w:rFonts w:ascii="Arial" w:hAnsi="Arial" w:cs="Arial"/>
        </w:rPr>
        <w:t>Table</w:t>
      </w:r>
      <w:r w:rsidRPr="00EC6671">
        <w:rPr>
          <w:rFonts w:ascii="Arial" w:hAnsi="Arial" w:cs="Arial"/>
          <w:i/>
        </w:rPr>
        <w:t xml:space="preserve"> </w:t>
      </w:r>
      <w:r>
        <w:rPr>
          <w:rFonts w:ascii="Arial" w:hAnsi="Arial" w:cs="Arial"/>
          <w:i/>
          <w:noProof/>
        </w:rPr>
        <w:t>6</w:t>
      </w:r>
      <w:r w:rsidR="00EC6671" w:rsidRPr="00EC6671">
        <w:rPr>
          <w:rFonts w:ascii="Arial" w:hAnsi="Arial" w:cs="Arial"/>
        </w:rPr>
        <w:fldChar w:fldCharType="end"/>
      </w:r>
      <w:r w:rsidR="00EC6671" w:rsidRPr="00EC6671">
        <w:rPr>
          <w:rFonts w:ascii="Arial" w:hAnsi="Arial" w:cs="Arial"/>
          <w:lang w:val="en-IN"/>
        </w:rPr>
        <w:t>)</w:t>
      </w:r>
      <w:bookmarkStart w:id="6" w:name="_Ref214909331"/>
    </w:p>
    <w:p w:rsidR="00EC6671" w:rsidRPr="00EC6671" w:rsidRDefault="00EC6671" w:rsidP="00EC6671">
      <w:pPr>
        <w:pStyle w:val="Body"/>
        <w:spacing w:after="0"/>
        <w:rPr>
          <w:rFonts w:ascii="Arial" w:hAnsi="Arial" w:cs="Arial"/>
          <w:lang w:val="en-IN"/>
        </w:rPr>
      </w:pPr>
    </w:p>
    <w:p w:rsidR="00EC6671" w:rsidRPr="00EC6671" w:rsidRDefault="00EC6671" w:rsidP="00EC6671">
      <w:pPr>
        <w:pStyle w:val="Body"/>
        <w:spacing w:after="0"/>
        <w:jc w:val="center"/>
        <w:rPr>
          <w:rFonts w:ascii="Arial" w:hAnsi="Arial" w:cs="Arial"/>
          <w:i/>
        </w:rPr>
      </w:pPr>
      <w:r w:rsidRPr="00EC6671">
        <w:rPr>
          <w:rFonts w:ascii="Arial" w:hAnsi="Arial" w:cs="Arial"/>
          <w:i/>
        </w:rPr>
        <w:t xml:space="preserve">Table </w:t>
      </w:r>
      <w:r w:rsidRPr="00EC6671">
        <w:rPr>
          <w:rFonts w:ascii="Arial" w:hAnsi="Arial" w:cs="Arial"/>
          <w:i/>
        </w:rPr>
        <w:fldChar w:fldCharType="begin"/>
      </w:r>
      <w:r w:rsidRPr="00EC6671">
        <w:rPr>
          <w:rFonts w:ascii="Arial" w:hAnsi="Arial" w:cs="Arial"/>
          <w:i/>
        </w:rPr>
        <w:instrText xml:space="preserve"> SEQ Table \* ARABIC </w:instrText>
      </w:r>
      <w:r w:rsidRPr="00EC6671">
        <w:rPr>
          <w:rFonts w:ascii="Arial" w:hAnsi="Arial" w:cs="Arial"/>
          <w:i/>
        </w:rPr>
        <w:fldChar w:fldCharType="separate"/>
      </w:r>
      <w:r w:rsidR="00E22F0D">
        <w:rPr>
          <w:rFonts w:ascii="Arial" w:hAnsi="Arial" w:cs="Arial"/>
          <w:i/>
          <w:noProof/>
        </w:rPr>
        <w:t>6</w:t>
      </w:r>
      <w:r w:rsidRPr="00EC6671">
        <w:rPr>
          <w:rFonts w:ascii="Arial" w:hAnsi="Arial" w:cs="Arial"/>
        </w:rPr>
        <w:fldChar w:fldCharType="end"/>
      </w:r>
      <w:bookmarkEnd w:id="6"/>
      <w:r w:rsidRPr="00EC6671">
        <w:rPr>
          <w:rFonts w:ascii="Arial" w:hAnsi="Arial" w:cs="Arial"/>
          <w:i/>
        </w:rPr>
        <w:t>: Overdosing in patients with specific drugs involved</w:t>
      </w:r>
    </w:p>
    <w:tbl>
      <w:tblPr>
        <w:tblStyle w:val="TableGrid"/>
        <w:tblW w:w="8526" w:type="dxa"/>
        <w:tblLook w:val="04A0" w:firstRow="1" w:lastRow="0" w:firstColumn="1" w:lastColumn="0" w:noHBand="0" w:noVBand="1"/>
      </w:tblPr>
      <w:tblGrid>
        <w:gridCol w:w="4213"/>
        <w:gridCol w:w="2200"/>
        <w:gridCol w:w="2113"/>
      </w:tblGrid>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200"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113"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proofErr w:type="spellStart"/>
            <w:r w:rsidRPr="00EC6671">
              <w:rPr>
                <w:rFonts w:ascii="Arial" w:eastAsia="Times New Roman" w:hAnsi="Arial" w:cs="Arial"/>
                <w:bCs/>
                <w:sz w:val="20"/>
                <w:szCs w:val="20"/>
              </w:rPr>
              <w:t>Aceclofenac</w:t>
            </w:r>
            <w:proofErr w:type="spellEnd"/>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10</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23.26</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Amitriptyline</w:t>
            </w:r>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8</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18.60</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Aspirin</w:t>
            </w:r>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2</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4.65</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jc w:val="left"/>
              <w:rPr>
                <w:rFonts w:ascii="Arial" w:eastAsia="Times New Roman" w:hAnsi="Arial" w:cs="Arial"/>
                <w:sz w:val="20"/>
                <w:szCs w:val="20"/>
                <w:lang w:val="en-IN"/>
              </w:rPr>
            </w:pPr>
            <w:r w:rsidRPr="00EC6671">
              <w:rPr>
                <w:rFonts w:ascii="Arial" w:eastAsia="Times New Roman" w:hAnsi="Arial" w:cs="Arial"/>
                <w:bCs/>
                <w:sz w:val="20"/>
                <w:szCs w:val="20"/>
              </w:rPr>
              <w:t>Azithromycin</w:t>
            </w:r>
          </w:p>
        </w:tc>
        <w:tc>
          <w:tcPr>
            <w:tcW w:w="2200" w:type="dxa"/>
            <w:noWrap/>
            <w:vAlign w:val="center"/>
            <w:hideMark/>
          </w:tcPr>
          <w:p w:rsidR="00EC6671" w:rsidRPr="00EC6671" w:rsidRDefault="00EC6671" w:rsidP="00EC6671">
            <w:pPr>
              <w:pStyle w:val="Body"/>
              <w:spacing w:after="0"/>
              <w:jc w:val="left"/>
              <w:rPr>
                <w:rFonts w:ascii="Arial" w:eastAsia="Times New Roman" w:hAnsi="Arial" w:cs="Arial"/>
                <w:sz w:val="20"/>
                <w:szCs w:val="20"/>
                <w:lang w:val="en-IN"/>
              </w:rPr>
            </w:pPr>
            <w:r w:rsidRPr="00EC6671">
              <w:rPr>
                <w:rFonts w:ascii="Arial" w:eastAsia="Times New Roman" w:hAnsi="Arial" w:cs="Arial"/>
                <w:bCs/>
                <w:sz w:val="20"/>
                <w:szCs w:val="20"/>
              </w:rPr>
              <w:t>5</w:t>
            </w:r>
          </w:p>
        </w:tc>
        <w:tc>
          <w:tcPr>
            <w:tcW w:w="2113" w:type="dxa"/>
            <w:noWrap/>
            <w:vAlign w:val="center"/>
            <w:hideMark/>
          </w:tcPr>
          <w:p w:rsidR="00EC6671" w:rsidRPr="00EC6671" w:rsidRDefault="00EC6671" w:rsidP="00EC6671">
            <w:pPr>
              <w:pStyle w:val="Body"/>
              <w:spacing w:after="0"/>
              <w:jc w:val="left"/>
              <w:rPr>
                <w:rFonts w:ascii="Arial" w:eastAsia="Times New Roman" w:hAnsi="Arial" w:cs="Arial"/>
                <w:sz w:val="20"/>
                <w:szCs w:val="20"/>
                <w:lang w:val="en-IN"/>
              </w:rPr>
            </w:pPr>
            <w:r w:rsidRPr="00EC6671">
              <w:rPr>
                <w:rFonts w:ascii="Arial" w:eastAsia="Times New Roman" w:hAnsi="Arial" w:cs="Arial"/>
                <w:sz w:val="20"/>
                <w:szCs w:val="20"/>
                <w:lang w:val="en-IN"/>
              </w:rPr>
              <w:t>11.63</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Tramadol</w:t>
            </w:r>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6</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13.95</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 xml:space="preserve">Insulin H. </w:t>
            </w:r>
            <w:proofErr w:type="spellStart"/>
            <w:r w:rsidRPr="00EC6671">
              <w:rPr>
                <w:rFonts w:ascii="Arial" w:eastAsia="Times New Roman" w:hAnsi="Arial" w:cs="Arial"/>
                <w:bCs/>
                <w:sz w:val="20"/>
                <w:szCs w:val="20"/>
              </w:rPr>
              <w:t>Actrapid</w:t>
            </w:r>
            <w:proofErr w:type="spellEnd"/>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4</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9.30</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 xml:space="preserve">Insulin H. </w:t>
            </w:r>
            <w:proofErr w:type="spellStart"/>
            <w:r w:rsidRPr="00EC6671">
              <w:rPr>
                <w:rFonts w:ascii="Arial" w:eastAsia="Times New Roman" w:hAnsi="Arial" w:cs="Arial"/>
                <w:bCs/>
                <w:sz w:val="20"/>
                <w:szCs w:val="20"/>
              </w:rPr>
              <w:t>Mixtard</w:t>
            </w:r>
            <w:proofErr w:type="spellEnd"/>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5</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11.63</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Nitrofurantoin</w:t>
            </w:r>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1</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2.33</w:t>
            </w:r>
          </w:p>
        </w:tc>
      </w:tr>
      <w:tr w:rsidR="00EC6671" w:rsidRPr="00EC6671" w:rsidTr="00EC6671">
        <w:trPr>
          <w:trHeight w:val="301"/>
        </w:trPr>
        <w:tc>
          <w:tcPr>
            <w:tcW w:w="42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Diclofenac</w:t>
            </w:r>
          </w:p>
        </w:tc>
        <w:tc>
          <w:tcPr>
            <w:tcW w:w="220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bCs/>
                <w:sz w:val="20"/>
                <w:szCs w:val="20"/>
              </w:rPr>
              <w:t>2</w:t>
            </w:r>
          </w:p>
        </w:tc>
        <w:tc>
          <w:tcPr>
            <w:tcW w:w="2113"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4.65</w:t>
            </w:r>
          </w:p>
        </w:tc>
      </w:tr>
    </w:tbl>
    <w:p w:rsidR="00EC6671" w:rsidRDefault="00EC6671" w:rsidP="00EC6671">
      <w:pPr>
        <w:pStyle w:val="Body"/>
        <w:spacing w:after="0"/>
        <w:rPr>
          <w:rFonts w:ascii="Arial" w:hAnsi="Arial" w:cs="Arial"/>
          <w:bCs/>
          <w:i/>
          <w:iCs/>
          <w:lang w:val="en-IN"/>
        </w:rPr>
      </w:pPr>
      <w:r w:rsidRPr="00EC6671">
        <w:rPr>
          <w:rFonts w:ascii="Arial" w:hAnsi="Arial" w:cs="Arial"/>
          <w:bCs/>
          <w:i/>
          <w:iCs/>
          <w:lang w:val="en-IN"/>
        </w:rPr>
        <w:t xml:space="preserve">*as per the information given in the </w:t>
      </w:r>
      <w:proofErr w:type="spellStart"/>
      <w:r w:rsidRPr="00EC6671">
        <w:rPr>
          <w:rFonts w:ascii="Arial" w:hAnsi="Arial" w:cs="Arial"/>
          <w:bCs/>
          <w:i/>
          <w:iCs/>
          <w:lang w:val="en-IN"/>
        </w:rPr>
        <w:t>medscape</w:t>
      </w:r>
      <w:proofErr w:type="spellEnd"/>
      <w:r w:rsidRPr="00EC6671">
        <w:rPr>
          <w:rFonts w:ascii="Arial" w:hAnsi="Arial" w:cs="Arial"/>
          <w:bCs/>
          <w:i/>
          <w:iCs/>
          <w:lang w:val="en-IN"/>
        </w:rPr>
        <w:t xml:space="preserve"> version8.3 (2021), </w:t>
      </w:r>
      <w:proofErr w:type="spellStart"/>
      <w:r w:rsidRPr="00EC6671">
        <w:rPr>
          <w:rFonts w:ascii="Arial" w:hAnsi="Arial" w:cs="Arial"/>
          <w:bCs/>
          <w:i/>
          <w:iCs/>
          <w:lang w:val="en-IN"/>
        </w:rPr>
        <w:t>micromedex</w:t>
      </w:r>
      <w:proofErr w:type="spellEnd"/>
      <w:r w:rsidRPr="00EC6671">
        <w:rPr>
          <w:rFonts w:ascii="Arial" w:hAnsi="Arial" w:cs="Arial"/>
          <w:bCs/>
          <w:i/>
          <w:iCs/>
          <w:lang w:val="en-IN"/>
        </w:rPr>
        <w:t xml:space="preserve"> version 3.0(2021)</w:t>
      </w:r>
    </w:p>
    <w:p w:rsidR="00EC6671" w:rsidRPr="00EC6671" w:rsidRDefault="00EC6671" w:rsidP="00EC6671">
      <w:pPr>
        <w:pStyle w:val="Body"/>
        <w:spacing w:after="0"/>
        <w:rPr>
          <w:rFonts w:ascii="Arial" w:hAnsi="Arial" w:cs="Arial"/>
          <w:bCs/>
          <w:i/>
          <w:iCs/>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3.14 Sub-Therapeutic Dose</w:t>
      </w:r>
    </w:p>
    <w:p w:rsidR="00EC6671" w:rsidRPr="00EC6671" w:rsidRDefault="00EC6671" w:rsidP="00EC6671">
      <w:pPr>
        <w:pStyle w:val="Body"/>
        <w:spacing w:after="0"/>
        <w:rPr>
          <w:rFonts w:ascii="Arial" w:hAnsi="Arial" w:cs="Arial"/>
          <w:b/>
          <w:bCs/>
          <w:lang w:val="en-IN"/>
        </w:rPr>
      </w:pPr>
    </w:p>
    <w:p w:rsidR="00EC6671" w:rsidRDefault="00EC6671" w:rsidP="00EC6671">
      <w:pPr>
        <w:pStyle w:val="Body"/>
        <w:spacing w:after="0"/>
        <w:rPr>
          <w:rFonts w:ascii="Arial" w:hAnsi="Arial" w:cs="Arial"/>
          <w:lang w:val="en-IN"/>
        </w:rPr>
      </w:pPr>
      <w:r w:rsidRPr="00EC6671">
        <w:rPr>
          <w:rFonts w:ascii="Arial" w:hAnsi="Arial" w:cs="Arial"/>
          <w:lang w:val="en-IN"/>
        </w:rPr>
        <w:t xml:space="preserve">A total of 23 sub therapeutic doses were found, with Linezolid and </w:t>
      </w:r>
      <w:proofErr w:type="spellStart"/>
      <w:r w:rsidRPr="00EC6671">
        <w:rPr>
          <w:rFonts w:ascii="Arial" w:hAnsi="Arial" w:cs="Arial"/>
          <w:lang w:val="en-IN"/>
        </w:rPr>
        <w:t>pipercallin</w:t>
      </w:r>
      <w:proofErr w:type="spellEnd"/>
      <w:r w:rsidRPr="00EC6671">
        <w:rPr>
          <w:rFonts w:ascii="Arial" w:hAnsi="Arial" w:cs="Arial"/>
          <w:lang w:val="en-IN"/>
        </w:rPr>
        <w:t xml:space="preserve"> + tazobactam being the most frequent [N=8 (34.78%)], followed by doxycycline [N=4 (17.39%)]. Table shows the specifics of sub therapeutic dose. (</w:t>
      </w:r>
      <w:r w:rsidRPr="00EC6671">
        <w:rPr>
          <w:rFonts w:ascii="Arial" w:hAnsi="Arial" w:cs="Arial"/>
          <w:lang w:val="en-IN"/>
        </w:rPr>
        <w:fldChar w:fldCharType="begin"/>
      </w:r>
      <w:r w:rsidRPr="00EC6671">
        <w:rPr>
          <w:rFonts w:ascii="Arial" w:hAnsi="Arial" w:cs="Arial"/>
          <w:lang w:val="en-IN"/>
        </w:rPr>
        <w:instrText xml:space="preserve"> REF _Ref214909349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7</w:t>
      </w:r>
      <w:r w:rsidRPr="00EC6671">
        <w:rPr>
          <w:rFonts w:ascii="Arial" w:hAnsi="Arial" w:cs="Arial"/>
        </w:rPr>
        <w:fldChar w:fldCharType="end"/>
      </w:r>
      <w:r w:rsidRPr="00EC6671">
        <w:rPr>
          <w:rFonts w:ascii="Arial" w:hAnsi="Arial" w:cs="Arial"/>
          <w:lang w:val="en-IN"/>
        </w:rPr>
        <w:t>)</w:t>
      </w:r>
    </w:p>
    <w:p w:rsidR="00EC6671" w:rsidRPr="00EC6671" w:rsidRDefault="00EC6671" w:rsidP="00EC6671">
      <w:pPr>
        <w:pStyle w:val="Body"/>
        <w:spacing w:after="0"/>
        <w:rPr>
          <w:rFonts w:ascii="Arial" w:hAnsi="Arial" w:cs="Arial"/>
          <w:lang w:val="en-IN"/>
        </w:rPr>
      </w:pPr>
    </w:p>
    <w:p w:rsidR="00EC6671" w:rsidRPr="00EC6671" w:rsidRDefault="00EC6671" w:rsidP="00EC6671">
      <w:pPr>
        <w:pStyle w:val="Body"/>
        <w:spacing w:after="0"/>
        <w:jc w:val="center"/>
        <w:rPr>
          <w:rFonts w:ascii="Arial" w:hAnsi="Arial" w:cs="Arial"/>
          <w:iCs/>
          <w:lang w:val="en-IN"/>
        </w:rPr>
      </w:pPr>
      <w:bookmarkStart w:id="7" w:name="_Ref214909349"/>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7</w:t>
      </w:r>
      <w:r w:rsidRPr="00EC6671">
        <w:rPr>
          <w:rFonts w:ascii="Arial" w:hAnsi="Arial" w:cs="Arial"/>
        </w:rPr>
        <w:fldChar w:fldCharType="end"/>
      </w:r>
      <w:bookmarkEnd w:id="7"/>
      <w:r w:rsidRPr="00EC6671">
        <w:rPr>
          <w:rFonts w:ascii="Arial" w:hAnsi="Arial" w:cs="Arial"/>
          <w:iCs/>
          <w:lang w:val="en-IN"/>
        </w:rPr>
        <w:t>: Drugs involved in Sub Therapeutic Dose</w:t>
      </w:r>
    </w:p>
    <w:tbl>
      <w:tblPr>
        <w:tblStyle w:val="TableGrid"/>
        <w:tblW w:w="8253" w:type="dxa"/>
        <w:tblLook w:val="04A0" w:firstRow="1" w:lastRow="0" w:firstColumn="1" w:lastColumn="0" w:noHBand="0" w:noVBand="1"/>
      </w:tblPr>
      <w:tblGrid>
        <w:gridCol w:w="4078"/>
        <w:gridCol w:w="2130"/>
        <w:gridCol w:w="2045"/>
      </w:tblGrid>
      <w:tr w:rsidR="00EC6671" w:rsidRPr="00EC6671" w:rsidTr="00EC6671">
        <w:trPr>
          <w:trHeight w:val="305"/>
        </w:trPr>
        <w:tc>
          <w:tcPr>
            <w:tcW w:w="4078"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130"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045"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rsidTr="00EC6671">
        <w:trPr>
          <w:trHeight w:val="305"/>
        </w:trPr>
        <w:tc>
          <w:tcPr>
            <w:tcW w:w="407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Linezolid</w:t>
            </w:r>
          </w:p>
        </w:tc>
        <w:tc>
          <w:tcPr>
            <w:tcW w:w="213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w:t>
            </w:r>
          </w:p>
        </w:tc>
        <w:tc>
          <w:tcPr>
            <w:tcW w:w="2045"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34.78</w:t>
            </w:r>
          </w:p>
        </w:tc>
      </w:tr>
      <w:tr w:rsidR="00EC6671" w:rsidRPr="00EC6671" w:rsidTr="00EC6671">
        <w:trPr>
          <w:trHeight w:val="305"/>
        </w:trPr>
        <w:tc>
          <w:tcPr>
            <w:tcW w:w="407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Doxycycline</w:t>
            </w:r>
          </w:p>
        </w:tc>
        <w:tc>
          <w:tcPr>
            <w:tcW w:w="213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4</w:t>
            </w:r>
          </w:p>
        </w:tc>
        <w:tc>
          <w:tcPr>
            <w:tcW w:w="2045"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17.39</w:t>
            </w:r>
          </w:p>
        </w:tc>
      </w:tr>
      <w:tr w:rsidR="00EC6671" w:rsidRPr="00EC6671" w:rsidTr="00EC6671">
        <w:trPr>
          <w:trHeight w:val="305"/>
        </w:trPr>
        <w:tc>
          <w:tcPr>
            <w:tcW w:w="407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lastRenderedPageBreak/>
              <w:t>Human insulin</w:t>
            </w:r>
          </w:p>
        </w:tc>
        <w:tc>
          <w:tcPr>
            <w:tcW w:w="213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045"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13.04</w:t>
            </w:r>
          </w:p>
        </w:tc>
      </w:tr>
      <w:tr w:rsidR="00EC6671" w:rsidRPr="00EC6671" w:rsidTr="00EC6671">
        <w:trPr>
          <w:trHeight w:val="305"/>
        </w:trPr>
        <w:tc>
          <w:tcPr>
            <w:tcW w:w="407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Piperacillin+ Tazobactam</w:t>
            </w:r>
          </w:p>
        </w:tc>
        <w:tc>
          <w:tcPr>
            <w:tcW w:w="213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8</w:t>
            </w:r>
          </w:p>
        </w:tc>
        <w:tc>
          <w:tcPr>
            <w:tcW w:w="2045"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34.78</w:t>
            </w:r>
          </w:p>
        </w:tc>
      </w:tr>
    </w:tbl>
    <w:p w:rsidR="00EC6671" w:rsidRDefault="00EC6671" w:rsidP="00EC6671">
      <w:pPr>
        <w:pStyle w:val="Body"/>
        <w:spacing w:after="0"/>
        <w:rPr>
          <w:rFonts w:ascii="Arial" w:hAnsi="Arial" w:cs="Arial"/>
          <w:bCs/>
          <w:i/>
          <w:iCs/>
          <w:lang w:val="en-IN"/>
        </w:rPr>
      </w:pPr>
      <w:r w:rsidRPr="00EC6671">
        <w:rPr>
          <w:rFonts w:ascii="Arial" w:hAnsi="Arial" w:cs="Arial"/>
          <w:bCs/>
          <w:i/>
          <w:iCs/>
          <w:lang w:val="en-IN"/>
        </w:rPr>
        <w:t xml:space="preserve">*as per the information given in the </w:t>
      </w:r>
      <w:proofErr w:type="spellStart"/>
      <w:r w:rsidRPr="00EC6671">
        <w:rPr>
          <w:rFonts w:ascii="Arial" w:hAnsi="Arial" w:cs="Arial"/>
          <w:bCs/>
          <w:i/>
          <w:iCs/>
          <w:lang w:val="en-IN"/>
        </w:rPr>
        <w:t>medscape</w:t>
      </w:r>
      <w:proofErr w:type="spellEnd"/>
      <w:r w:rsidRPr="00EC6671">
        <w:rPr>
          <w:rFonts w:ascii="Arial" w:hAnsi="Arial" w:cs="Arial"/>
          <w:bCs/>
          <w:i/>
          <w:iCs/>
          <w:lang w:val="en-IN"/>
        </w:rPr>
        <w:t xml:space="preserve"> version8.3 (2021), </w:t>
      </w:r>
      <w:proofErr w:type="spellStart"/>
      <w:r w:rsidRPr="00EC6671">
        <w:rPr>
          <w:rFonts w:ascii="Arial" w:hAnsi="Arial" w:cs="Arial"/>
          <w:bCs/>
          <w:i/>
          <w:iCs/>
          <w:lang w:val="en-IN"/>
        </w:rPr>
        <w:t>micromedex</w:t>
      </w:r>
      <w:proofErr w:type="spellEnd"/>
      <w:r w:rsidRPr="00EC6671">
        <w:rPr>
          <w:rFonts w:ascii="Arial" w:hAnsi="Arial" w:cs="Arial"/>
          <w:bCs/>
          <w:i/>
          <w:iCs/>
          <w:lang w:val="en-IN"/>
        </w:rPr>
        <w:t xml:space="preserve"> version 3.0(2021)</w:t>
      </w:r>
    </w:p>
    <w:p w:rsidR="00EC6671" w:rsidRPr="00EC6671" w:rsidRDefault="00EC6671" w:rsidP="00EC6671">
      <w:pPr>
        <w:pStyle w:val="Body"/>
        <w:spacing w:after="0"/>
        <w:rPr>
          <w:rFonts w:ascii="Arial" w:hAnsi="Arial" w:cs="Arial"/>
          <w:bCs/>
          <w:i/>
          <w:iCs/>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3.15 Drug Use Without Indication</w:t>
      </w:r>
    </w:p>
    <w:p w:rsidR="00EC6671" w:rsidRPr="00EC6671" w:rsidRDefault="00EC6671" w:rsidP="00EC6671">
      <w:pPr>
        <w:pStyle w:val="Body"/>
        <w:spacing w:after="0"/>
        <w:rPr>
          <w:rFonts w:ascii="Arial" w:hAnsi="Arial" w:cs="Arial"/>
          <w:b/>
          <w:bCs/>
          <w:lang w:val="en-IN"/>
        </w:rPr>
      </w:pPr>
    </w:p>
    <w:p w:rsidR="00EC6671" w:rsidRDefault="00EC6671" w:rsidP="00EC6671">
      <w:pPr>
        <w:pStyle w:val="Body"/>
        <w:spacing w:after="0"/>
        <w:rPr>
          <w:rFonts w:ascii="Arial" w:hAnsi="Arial" w:cs="Arial"/>
        </w:rPr>
      </w:pPr>
      <w:r w:rsidRPr="00EC6671">
        <w:rPr>
          <w:rFonts w:ascii="Arial" w:hAnsi="Arial" w:cs="Arial"/>
        </w:rPr>
        <w:t>A total of 49 unindicated drug uses were found in which predominantly Ondansetron [N=17 (34.69%)] was the most widely used drug without a proper diagnosis in the study participants, followed by pantoprazole [N=15 (30.61%)] and ciprofloxacin [N=3 (6.122%)]. (</w:t>
      </w:r>
      <w:r w:rsidRPr="00EC6671">
        <w:rPr>
          <w:rFonts w:ascii="Arial" w:hAnsi="Arial" w:cs="Arial"/>
        </w:rPr>
        <w:fldChar w:fldCharType="begin"/>
      </w:r>
      <w:r w:rsidRPr="00EC6671">
        <w:rPr>
          <w:rFonts w:ascii="Arial" w:hAnsi="Arial" w:cs="Arial"/>
        </w:rPr>
        <w:instrText xml:space="preserve"> REF _Ref214909363 \h  \* MERGEFORMAT </w:instrText>
      </w:r>
      <w:r w:rsidRPr="00EC6671">
        <w:rPr>
          <w:rFonts w:ascii="Arial" w:hAnsi="Arial" w:cs="Arial"/>
        </w:rPr>
      </w:r>
      <w:r w:rsidRPr="00EC6671">
        <w:rPr>
          <w:rFonts w:ascii="Arial" w:hAnsi="Arial" w:cs="Arial"/>
        </w:rPr>
        <w:fldChar w:fldCharType="separate"/>
      </w:r>
      <w:r w:rsidR="00E22F0D" w:rsidRPr="00E22F0D">
        <w:rPr>
          <w:rFonts w:ascii="Arial" w:hAnsi="Arial" w:cs="Arial"/>
        </w:rPr>
        <w:t>Table 8</w:t>
      </w:r>
      <w:r w:rsidRPr="00EC6671">
        <w:rPr>
          <w:rFonts w:ascii="Arial" w:hAnsi="Arial" w:cs="Arial"/>
        </w:rPr>
        <w:fldChar w:fldCharType="end"/>
      </w:r>
      <w:r w:rsidRPr="00EC6671">
        <w:rPr>
          <w:rFonts w:ascii="Arial" w:hAnsi="Arial" w:cs="Arial"/>
        </w:rPr>
        <w:t>)</w:t>
      </w:r>
    </w:p>
    <w:p w:rsidR="00EC6671" w:rsidRPr="00EC6671" w:rsidRDefault="00EC6671" w:rsidP="00EC6671">
      <w:pPr>
        <w:pStyle w:val="Body"/>
        <w:spacing w:after="0"/>
        <w:rPr>
          <w:rFonts w:ascii="Arial" w:hAnsi="Arial" w:cs="Arial"/>
        </w:rPr>
      </w:pPr>
    </w:p>
    <w:p w:rsidR="00EC6671" w:rsidRPr="00EC6671" w:rsidRDefault="00EC6671" w:rsidP="00EC6671">
      <w:pPr>
        <w:pStyle w:val="Body"/>
        <w:spacing w:after="0"/>
        <w:jc w:val="center"/>
        <w:rPr>
          <w:rFonts w:ascii="Arial" w:hAnsi="Arial" w:cs="Arial"/>
          <w:iCs/>
          <w:lang w:val="en-IN"/>
        </w:rPr>
      </w:pPr>
      <w:bookmarkStart w:id="8" w:name="_Ref214909363"/>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8</w:t>
      </w:r>
      <w:r w:rsidRPr="00EC6671">
        <w:rPr>
          <w:rFonts w:ascii="Arial" w:hAnsi="Arial" w:cs="Arial"/>
        </w:rPr>
        <w:fldChar w:fldCharType="end"/>
      </w:r>
      <w:bookmarkEnd w:id="8"/>
      <w:r w:rsidRPr="00EC6671">
        <w:rPr>
          <w:rFonts w:ascii="Arial" w:hAnsi="Arial" w:cs="Arial"/>
          <w:iCs/>
          <w:lang w:val="en-IN"/>
        </w:rPr>
        <w:t>: specifics of drug use without indication</w:t>
      </w:r>
    </w:p>
    <w:tbl>
      <w:tblPr>
        <w:tblStyle w:val="TableGrid"/>
        <w:tblW w:w="8870" w:type="dxa"/>
        <w:tblLook w:val="04A0" w:firstRow="1" w:lastRow="0" w:firstColumn="1" w:lastColumn="0" w:noHBand="0" w:noVBand="1"/>
      </w:tblPr>
      <w:tblGrid>
        <w:gridCol w:w="4229"/>
        <w:gridCol w:w="2320"/>
        <w:gridCol w:w="2321"/>
      </w:tblGrid>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320"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321"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Percentage (%)</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Aspirin + Diclofenac</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Cinnarizine</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Ciprofloxacin</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3</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6.12</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Clindamycin</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Pantoprazole</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15</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30.61</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Dexamethasone</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Esomeprazole</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Fluconazole</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Levodopa</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Meropenem</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Metronidazole</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2</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4.08</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Ondansetron</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17</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34.69</w:t>
            </w:r>
          </w:p>
        </w:tc>
      </w:tr>
      <w:tr w:rsidR="00EC6671" w:rsidRPr="00EC6671" w:rsidTr="00EC6671">
        <w:trPr>
          <w:trHeight w:val="230"/>
        </w:trPr>
        <w:tc>
          <w:tcPr>
            <w:tcW w:w="4229"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Oseltamivir</w:t>
            </w:r>
          </w:p>
        </w:tc>
        <w:tc>
          <w:tcPr>
            <w:tcW w:w="232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1</w:t>
            </w:r>
          </w:p>
        </w:tc>
        <w:tc>
          <w:tcPr>
            <w:tcW w:w="2321"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2.04</w:t>
            </w:r>
          </w:p>
        </w:tc>
      </w:tr>
    </w:tbl>
    <w:p w:rsidR="00EC6671" w:rsidRPr="00EC6671" w:rsidRDefault="00EC6671" w:rsidP="00EC6671">
      <w:pPr>
        <w:pStyle w:val="Body"/>
        <w:spacing w:after="0"/>
        <w:rPr>
          <w:rFonts w:ascii="Arial" w:hAnsi="Arial" w:cs="Arial"/>
          <w:i/>
          <w:iCs/>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3.16 Drug Interactions</w:t>
      </w:r>
    </w:p>
    <w:p w:rsidR="00EC6671" w:rsidRPr="00EC6671" w:rsidRDefault="00EC6671" w:rsidP="00EC6671">
      <w:pPr>
        <w:pStyle w:val="Body"/>
        <w:spacing w:after="0"/>
        <w:rPr>
          <w:rFonts w:ascii="Arial" w:hAnsi="Arial" w:cs="Arial"/>
          <w:b/>
          <w:bCs/>
          <w:lang w:val="en-IN"/>
        </w:rPr>
      </w:pPr>
    </w:p>
    <w:p w:rsidR="00EC6671" w:rsidRDefault="00EC6671" w:rsidP="00EC6671">
      <w:pPr>
        <w:pStyle w:val="Body"/>
        <w:spacing w:after="0"/>
        <w:rPr>
          <w:rFonts w:ascii="Arial" w:hAnsi="Arial" w:cs="Arial"/>
          <w:lang w:val="en-IN"/>
        </w:rPr>
      </w:pPr>
      <w:r w:rsidRPr="00EC6671">
        <w:rPr>
          <w:rFonts w:ascii="Arial" w:hAnsi="Arial" w:cs="Arial"/>
          <w:lang w:val="en-IN"/>
        </w:rPr>
        <w:t>Among 236 drug–drug interactions, Hydrocortisone + furosemide [N=28(11.86%)] was most common, followed by Aspirin + Metformin [N=26(11.02%)]. (</w:t>
      </w:r>
      <w:r w:rsidRPr="00EC6671">
        <w:rPr>
          <w:rFonts w:ascii="Arial" w:hAnsi="Arial" w:cs="Arial"/>
          <w:lang w:val="en-IN"/>
        </w:rPr>
        <w:fldChar w:fldCharType="begin"/>
      </w:r>
      <w:r w:rsidRPr="00EC6671">
        <w:rPr>
          <w:rFonts w:ascii="Arial" w:hAnsi="Arial" w:cs="Arial"/>
          <w:lang w:val="en-IN"/>
        </w:rPr>
        <w:instrText xml:space="preserve"> REF _Ref214909373 \h  \* MERGEFORMAT </w:instrText>
      </w:r>
      <w:r w:rsidRPr="00EC6671">
        <w:rPr>
          <w:rFonts w:ascii="Arial" w:hAnsi="Arial" w:cs="Arial"/>
          <w:lang w:val="en-IN"/>
        </w:rPr>
      </w:r>
      <w:r w:rsidRPr="00EC6671">
        <w:rPr>
          <w:rFonts w:ascii="Arial" w:hAnsi="Arial" w:cs="Arial"/>
          <w:lang w:val="en-IN"/>
        </w:rPr>
        <w:fldChar w:fldCharType="separate"/>
      </w:r>
      <w:r w:rsidR="00E22F0D" w:rsidRPr="00E22F0D">
        <w:rPr>
          <w:rFonts w:ascii="Arial" w:hAnsi="Arial" w:cs="Arial"/>
        </w:rPr>
        <w:t>Table 9</w:t>
      </w:r>
      <w:r w:rsidRPr="00EC6671">
        <w:rPr>
          <w:rFonts w:ascii="Arial" w:hAnsi="Arial" w:cs="Arial"/>
        </w:rPr>
        <w:fldChar w:fldCharType="end"/>
      </w:r>
      <w:r w:rsidRPr="00EC6671">
        <w:rPr>
          <w:rFonts w:ascii="Arial" w:hAnsi="Arial" w:cs="Arial"/>
          <w:lang w:val="en-IN"/>
        </w:rPr>
        <w:t>)</w:t>
      </w:r>
    </w:p>
    <w:p w:rsidR="00EC6671" w:rsidRPr="00EC6671" w:rsidRDefault="00EC6671" w:rsidP="00EC6671">
      <w:pPr>
        <w:pStyle w:val="Body"/>
        <w:spacing w:after="0"/>
        <w:rPr>
          <w:rFonts w:ascii="Arial" w:hAnsi="Arial" w:cs="Arial"/>
          <w:lang w:val="en-IN"/>
        </w:rPr>
      </w:pPr>
    </w:p>
    <w:p w:rsidR="00EC6671" w:rsidRPr="00EC6671" w:rsidRDefault="00EC6671" w:rsidP="00EC6671">
      <w:pPr>
        <w:pStyle w:val="Body"/>
        <w:spacing w:after="0"/>
        <w:jc w:val="center"/>
        <w:rPr>
          <w:rFonts w:ascii="Arial" w:hAnsi="Arial" w:cs="Arial"/>
          <w:iCs/>
          <w:lang w:val="en-IN"/>
        </w:rPr>
      </w:pPr>
      <w:bookmarkStart w:id="9" w:name="_Ref214909373"/>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9</w:t>
      </w:r>
      <w:r w:rsidRPr="00EC6671">
        <w:rPr>
          <w:rFonts w:ascii="Arial" w:hAnsi="Arial" w:cs="Arial"/>
        </w:rPr>
        <w:fldChar w:fldCharType="end"/>
      </w:r>
      <w:bookmarkEnd w:id="9"/>
      <w:r w:rsidRPr="00EC6671">
        <w:rPr>
          <w:rFonts w:ascii="Arial" w:hAnsi="Arial" w:cs="Arial"/>
          <w:iCs/>
          <w:lang w:val="en-IN"/>
        </w:rPr>
        <w:t>: specifics of drug-drug interactions</w:t>
      </w:r>
    </w:p>
    <w:tbl>
      <w:tblPr>
        <w:tblStyle w:val="TableGrid"/>
        <w:tblW w:w="9067" w:type="dxa"/>
        <w:tblLayout w:type="fixed"/>
        <w:tblLook w:val="01E0" w:firstRow="1" w:lastRow="1" w:firstColumn="1" w:lastColumn="1" w:noHBand="0" w:noVBand="0"/>
      </w:tblPr>
      <w:tblGrid>
        <w:gridCol w:w="1980"/>
        <w:gridCol w:w="1559"/>
        <w:gridCol w:w="3827"/>
        <w:gridCol w:w="1701"/>
      </w:tblGrid>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Drugs Involved</w:t>
            </w:r>
          </w:p>
        </w:tc>
        <w:tc>
          <w:tcPr>
            <w:tcW w:w="1559" w:type="dxa"/>
            <w:vAlign w:val="center"/>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Significance</w:t>
            </w:r>
          </w:p>
        </w:tc>
        <w:tc>
          <w:tcPr>
            <w:tcW w:w="3827" w:type="dxa"/>
            <w:vAlign w:val="center"/>
          </w:tcPr>
          <w:p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Details About Interaction</w:t>
            </w:r>
          </w:p>
        </w:tc>
        <w:tc>
          <w:tcPr>
            <w:tcW w:w="1701" w:type="dxa"/>
            <w:vAlign w:val="center"/>
          </w:tcPr>
          <w:p w:rsidR="00EC6671" w:rsidRPr="00EC6671" w:rsidRDefault="00EC6671" w:rsidP="00EC6671">
            <w:pPr>
              <w:pStyle w:val="Body"/>
              <w:spacing w:after="0"/>
              <w:rPr>
                <w:rFonts w:ascii="Arial" w:eastAsia="Times New Roman" w:hAnsi="Arial" w:cs="Arial"/>
                <w:b/>
                <w:bCs/>
                <w:sz w:val="20"/>
                <w:szCs w:val="20"/>
              </w:rPr>
            </w:pPr>
            <w:r w:rsidRPr="00EC6671">
              <w:rPr>
                <w:rFonts w:ascii="Arial" w:eastAsia="Times New Roman" w:hAnsi="Arial" w:cs="Arial"/>
                <w:b/>
                <w:bCs/>
                <w:sz w:val="20"/>
                <w:szCs w:val="20"/>
              </w:rPr>
              <w:t>Number (N)</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Aspirin + furosemide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Minor</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Aspirin decreases effects of furosemide by pharmacodynamic antagonism</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20 (8.47%)</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 xml:space="preserve">Diclofenac + ramipril </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Serious</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Diclofenac may diminish the anti-hypertensive effect of ramipril by pharmacodynamic antagonism</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8 (3.39%)</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Ceftriaxone + Calcium citrate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Contraindicated</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Co-administration of ceftriaxone and calcium citrate may particulate precipitation in lungs and kidneys</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5 (2.12%)</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Enalapril + glipizide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Enalapril increases the effects</w:t>
            </w:r>
          </w:p>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of glipizide by pharmacodynamic synergism</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18 (7.63%)</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Heparin + cilostazol</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Contraindicated</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 xml:space="preserve">Heparin increases effects of </w:t>
            </w:r>
            <w:proofErr w:type="spellStart"/>
            <w:r w:rsidRPr="00EC6671">
              <w:rPr>
                <w:rFonts w:ascii="Arial" w:eastAsia="Times New Roman" w:hAnsi="Arial" w:cs="Arial"/>
                <w:sz w:val="20"/>
                <w:szCs w:val="20"/>
              </w:rPr>
              <w:t>cilastazol</w:t>
            </w:r>
            <w:proofErr w:type="spellEnd"/>
            <w:r w:rsidRPr="00EC6671">
              <w:rPr>
                <w:rFonts w:ascii="Arial" w:eastAsia="Times New Roman" w:hAnsi="Arial" w:cs="Arial"/>
                <w:sz w:val="20"/>
                <w:szCs w:val="20"/>
              </w:rPr>
              <w:t xml:space="preserve"> pharmacodynamic synergism</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3 (1.27%)</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lastRenderedPageBreak/>
              <w:t>Ibuprofen + aspirin</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Serious</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Ibuprofen decreases the effect of aspirin by blocking platelet cyclooxygenase</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4 (1.69%)</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Hydrocortisone + furosemide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Minor</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Risk of hypokalemia, due to strong glucocorticoid activity</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28 (11.86%)</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Pantoprazole + levothyroxine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Minor</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Decreases level of levothyroxine by increasing gastric pH</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21 (8.90%)</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Alprazolam + Fluconazole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Fluconazole increases effect of Alprazolam by affecting hepatic/intestinal enzyme CYP3A4 metabolism</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19 (8.05%)</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Aspirin + Metformin</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Hypoglycemia</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26 (11.02%)</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Azithromycin + Digoxin</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Serious</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Azithromycin increases the effect of Digoxin by altering intestinal</w:t>
            </w:r>
          </w:p>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flora</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 xml:space="preserve">3 (1.27%) </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Metronidazole + Risperidone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Metronidazole and risperidone increase risk for QT interval prolongation</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18 (7.63%)</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 Amitriptyline</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and Amitriptyline increases the sedation by synergistic action</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20 (8.47%)</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 Alprazolam</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Tramadol and Alprazolam increases the sedation by synergistic action</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21 (8.90%)</w:t>
            </w:r>
          </w:p>
        </w:tc>
      </w:tr>
      <w:tr w:rsidR="00EC6671" w:rsidRPr="00EC6671" w:rsidTr="008113AC">
        <w:trPr>
          <w:trHeight w:val="601"/>
        </w:trPr>
        <w:tc>
          <w:tcPr>
            <w:tcW w:w="1980"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Digoxin + Diltiazem</w:t>
            </w:r>
          </w:p>
        </w:tc>
        <w:tc>
          <w:tcPr>
            <w:tcW w:w="1559"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Moderate</w:t>
            </w:r>
          </w:p>
        </w:tc>
        <w:tc>
          <w:tcPr>
            <w:tcW w:w="3827"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Synergistic</w:t>
            </w:r>
          </w:p>
        </w:tc>
        <w:tc>
          <w:tcPr>
            <w:tcW w:w="1701" w:type="dxa"/>
            <w:vAlign w:val="center"/>
          </w:tcPr>
          <w:p w:rsidR="00EC6671" w:rsidRPr="00EC6671" w:rsidRDefault="00EC6671" w:rsidP="00EC6671">
            <w:pPr>
              <w:pStyle w:val="Body"/>
              <w:spacing w:after="0"/>
              <w:rPr>
                <w:rFonts w:ascii="Arial" w:eastAsia="Times New Roman" w:hAnsi="Arial" w:cs="Arial"/>
                <w:sz w:val="20"/>
                <w:szCs w:val="20"/>
              </w:rPr>
            </w:pPr>
            <w:r w:rsidRPr="00EC6671">
              <w:rPr>
                <w:rFonts w:ascii="Arial" w:eastAsia="Times New Roman" w:hAnsi="Arial" w:cs="Arial"/>
                <w:sz w:val="20"/>
                <w:szCs w:val="20"/>
              </w:rPr>
              <w:t>22 (9.32%)</w:t>
            </w:r>
          </w:p>
        </w:tc>
      </w:tr>
    </w:tbl>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b/>
          <w:lang w:val="en-IN"/>
        </w:rPr>
      </w:pPr>
      <w:r w:rsidRPr="00EC6671">
        <w:rPr>
          <w:rFonts w:ascii="Arial" w:hAnsi="Arial" w:cs="Arial"/>
          <w:b/>
          <w:lang w:val="en-IN"/>
        </w:rPr>
        <w:t>3.17 Failure to Receive Drugs</w:t>
      </w:r>
    </w:p>
    <w:p w:rsidR="00EC6671" w:rsidRPr="00EC6671" w:rsidRDefault="00EC6671" w:rsidP="00EC6671">
      <w:pPr>
        <w:pStyle w:val="Body"/>
        <w:spacing w:after="0"/>
        <w:rPr>
          <w:rFonts w:ascii="Arial" w:hAnsi="Arial" w:cs="Arial"/>
          <w:b/>
          <w:lang w:val="en-IN"/>
        </w:rPr>
      </w:pPr>
    </w:p>
    <w:p w:rsidR="00EC6671" w:rsidRDefault="00EC6671" w:rsidP="00EC6671">
      <w:pPr>
        <w:pStyle w:val="Body"/>
        <w:spacing w:after="0"/>
        <w:rPr>
          <w:rFonts w:ascii="Arial" w:hAnsi="Arial" w:cs="Arial"/>
          <w:bCs/>
          <w:lang w:val="en-IN"/>
        </w:rPr>
      </w:pPr>
      <w:r w:rsidRPr="00EC6671">
        <w:rPr>
          <w:rFonts w:ascii="Arial" w:hAnsi="Arial" w:cs="Arial"/>
          <w:bCs/>
          <w:lang w:val="en-IN"/>
        </w:rPr>
        <w:t>During the study period it was observed that 27 times a patient failed to receive drugs. Amongst which, most commonly observed was Formoterol + Budesonide [N=6 (22.22%)] and Regular insulin [N=6 (22.22%)]. (</w:t>
      </w:r>
      <w:r w:rsidRPr="00EC6671">
        <w:rPr>
          <w:rFonts w:ascii="Arial" w:hAnsi="Arial" w:cs="Arial"/>
          <w:bCs/>
          <w:lang w:val="en-IN"/>
        </w:rPr>
        <w:fldChar w:fldCharType="begin"/>
      </w:r>
      <w:r w:rsidRPr="00EC6671">
        <w:rPr>
          <w:rFonts w:ascii="Arial" w:hAnsi="Arial" w:cs="Arial"/>
          <w:bCs/>
          <w:lang w:val="en-IN"/>
        </w:rPr>
        <w:instrText xml:space="preserve"> REF _Ref214909387 \h  \* MERGEFORMAT </w:instrText>
      </w:r>
      <w:r w:rsidRPr="00EC6671">
        <w:rPr>
          <w:rFonts w:ascii="Arial" w:hAnsi="Arial" w:cs="Arial"/>
          <w:bCs/>
          <w:lang w:val="en-IN"/>
        </w:rPr>
      </w:r>
      <w:r w:rsidRPr="00EC6671">
        <w:rPr>
          <w:rFonts w:ascii="Arial" w:hAnsi="Arial" w:cs="Arial"/>
          <w:bCs/>
          <w:lang w:val="en-IN"/>
        </w:rPr>
        <w:fldChar w:fldCharType="separate"/>
      </w:r>
      <w:r w:rsidR="00E22F0D" w:rsidRPr="00E22F0D">
        <w:rPr>
          <w:rFonts w:ascii="Arial" w:hAnsi="Arial" w:cs="Arial"/>
        </w:rPr>
        <w:t>Table 10</w:t>
      </w:r>
      <w:r w:rsidRPr="00EC6671">
        <w:rPr>
          <w:rFonts w:ascii="Arial" w:hAnsi="Arial" w:cs="Arial"/>
        </w:rPr>
        <w:fldChar w:fldCharType="end"/>
      </w:r>
      <w:r w:rsidRPr="00EC6671">
        <w:rPr>
          <w:rFonts w:ascii="Arial" w:hAnsi="Arial" w:cs="Arial"/>
          <w:bCs/>
          <w:lang w:val="en-IN"/>
        </w:rPr>
        <w:t>) Reason for failure to receive drug were found to be elevated cost and forgetfulness. Table shows the specifics of the inability to obtain the prescription.</w:t>
      </w:r>
    </w:p>
    <w:p w:rsidR="00EC6671" w:rsidRPr="00EC6671" w:rsidRDefault="00EC6671" w:rsidP="00EC6671">
      <w:pPr>
        <w:pStyle w:val="Body"/>
        <w:spacing w:after="0"/>
        <w:rPr>
          <w:rFonts w:ascii="Arial" w:hAnsi="Arial" w:cs="Arial"/>
          <w:bCs/>
          <w:lang w:val="en-IN"/>
        </w:rPr>
      </w:pPr>
    </w:p>
    <w:p w:rsidR="00EC6671" w:rsidRPr="00EC6671" w:rsidRDefault="00EC6671" w:rsidP="00EC6671">
      <w:pPr>
        <w:pStyle w:val="Body"/>
        <w:spacing w:after="0"/>
        <w:jc w:val="center"/>
        <w:rPr>
          <w:rFonts w:ascii="Arial" w:hAnsi="Arial" w:cs="Arial"/>
          <w:bCs/>
          <w:iCs/>
          <w:lang w:val="en-IN"/>
        </w:rPr>
      </w:pPr>
      <w:bookmarkStart w:id="10" w:name="_Ref214909387"/>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10</w:t>
      </w:r>
      <w:r w:rsidRPr="00EC6671">
        <w:rPr>
          <w:rFonts w:ascii="Arial" w:hAnsi="Arial" w:cs="Arial"/>
        </w:rPr>
        <w:fldChar w:fldCharType="end"/>
      </w:r>
      <w:bookmarkEnd w:id="10"/>
      <w:r w:rsidRPr="00EC6671">
        <w:rPr>
          <w:rFonts w:ascii="Arial" w:hAnsi="Arial" w:cs="Arial"/>
          <w:iCs/>
          <w:lang w:val="en-IN"/>
        </w:rPr>
        <w:t>: Failure to receive complete duration of therapy</w:t>
      </w:r>
    </w:p>
    <w:tbl>
      <w:tblPr>
        <w:tblStyle w:val="TableGrid"/>
        <w:tblW w:w="8902" w:type="dxa"/>
        <w:tblLook w:val="04A0" w:firstRow="1" w:lastRow="0" w:firstColumn="1" w:lastColumn="0" w:noHBand="0" w:noVBand="1"/>
      </w:tblPr>
      <w:tblGrid>
        <w:gridCol w:w="3197"/>
        <w:gridCol w:w="1948"/>
        <w:gridCol w:w="1670"/>
        <w:gridCol w:w="2087"/>
      </w:tblGrid>
      <w:tr w:rsidR="00EC6671" w:rsidRPr="00EC6671" w:rsidTr="00EC6671">
        <w:trPr>
          <w:trHeight w:val="395"/>
        </w:trPr>
        <w:tc>
          <w:tcPr>
            <w:tcW w:w="3197"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1948"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Indication</w:t>
            </w:r>
          </w:p>
        </w:tc>
        <w:tc>
          <w:tcPr>
            <w:tcW w:w="1670"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rPr>
              <w:t>Number</w:t>
            </w:r>
          </w:p>
        </w:tc>
        <w:tc>
          <w:tcPr>
            <w:tcW w:w="2087" w:type="dxa"/>
            <w:noWrap/>
            <w:vAlign w:val="center"/>
            <w:hideMark/>
          </w:tcPr>
          <w:p w:rsidR="00EC6671" w:rsidRPr="00EC6671" w:rsidRDefault="00EC6671" w:rsidP="00EC6671">
            <w:pPr>
              <w:pStyle w:val="Body"/>
              <w:spacing w:after="0"/>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rsidTr="00EC6671">
        <w:trPr>
          <w:trHeight w:val="395"/>
        </w:trPr>
        <w:tc>
          <w:tcPr>
            <w:tcW w:w="319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Formoterol + Budesonide</w:t>
            </w:r>
          </w:p>
        </w:tc>
        <w:tc>
          <w:tcPr>
            <w:tcW w:w="194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Asthma</w:t>
            </w:r>
          </w:p>
        </w:tc>
        <w:tc>
          <w:tcPr>
            <w:tcW w:w="167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w:t>
            </w:r>
          </w:p>
        </w:tc>
        <w:tc>
          <w:tcPr>
            <w:tcW w:w="208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22.22</w:t>
            </w:r>
          </w:p>
        </w:tc>
      </w:tr>
      <w:tr w:rsidR="00EC6671" w:rsidRPr="00EC6671" w:rsidTr="00EC6671">
        <w:trPr>
          <w:trHeight w:val="395"/>
        </w:trPr>
        <w:tc>
          <w:tcPr>
            <w:tcW w:w="319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Pantoprazole</w:t>
            </w:r>
          </w:p>
        </w:tc>
        <w:tc>
          <w:tcPr>
            <w:tcW w:w="194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Gastric irritation</w:t>
            </w:r>
          </w:p>
        </w:tc>
        <w:tc>
          <w:tcPr>
            <w:tcW w:w="167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08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18.52</w:t>
            </w:r>
          </w:p>
        </w:tc>
      </w:tr>
      <w:tr w:rsidR="00EC6671" w:rsidRPr="00EC6671" w:rsidTr="00EC6671">
        <w:trPr>
          <w:trHeight w:val="395"/>
        </w:trPr>
        <w:tc>
          <w:tcPr>
            <w:tcW w:w="319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Regular insulin</w:t>
            </w:r>
          </w:p>
        </w:tc>
        <w:tc>
          <w:tcPr>
            <w:tcW w:w="194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Type 2 DM</w:t>
            </w:r>
          </w:p>
        </w:tc>
        <w:tc>
          <w:tcPr>
            <w:tcW w:w="167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6</w:t>
            </w:r>
          </w:p>
        </w:tc>
        <w:tc>
          <w:tcPr>
            <w:tcW w:w="208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22.22</w:t>
            </w:r>
          </w:p>
        </w:tc>
      </w:tr>
      <w:tr w:rsidR="00EC6671" w:rsidRPr="00EC6671" w:rsidTr="00EC6671">
        <w:trPr>
          <w:trHeight w:val="395"/>
        </w:trPr>
        <w:tc>
          <w:tcPr>
            <w:tcW w:w="319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Spironolactone + Furosemide</w:t>
            </w:r>
          </w:p>
        </w:tc>
        <w:tc>
          <w:tcPr>
            <w:tcW w:w="194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Edema</w:t>
            </w:r>
          </w:p>
        </w:tc>
        <w:tc>
          <w:tcPr>
            <w:tcW w:w="167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08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18.52</w:t>
            </w:r>
          </w:p>
        </w:tc>
      </w:tr>
      <w:tr w:rsidR="00EC6671" w:rsidRPr="00EC6671" w:rsidTr="00EC6671">
        <w:trPr>
          <w:trHeight w:val="395"/>
        </w:trPr>
        <w:tc>
          <w:tcPr>
            <w:tcW w:w="319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Amoxicillin + Clavulanic acid</w:t>
            </w:r>
          </w:p>
        </w:tc>
        <w:tc>
          <w:tcPr>
            <w:tcW w:w="1948"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Bacterial Infection</w:t>
            </w:r>
          </w:p>
        </w:tc>
        <w:tc>
          <w:tcPr>
            <w:tcW w:w="1670"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rPr>
              <w:t>5</w:t>
            </w:r>
          </w:p>
        </w:tc>
        <w:tc>
          <w:tcPr>
            <w:tcW w:w="2087" w:type="dxa"/>
            <w:noWrap/>
            <w:vAlign w:val="center"/>
            <w:hideMark/>
          </w:tcPr>
          <w:p w:rsidR="00EC6671" w:rsidRPr="00EC6671" w:rsidRDefault="00EC6671" w:rsidP="00EC6671">
            <w:pPr>
              <w:pStyle w:val="Body"/>
              <w:spacing w:after="0"/>
              <w:rPr>
                <w:rFonts w:ascii="Arial" w:eastAsia="Times New Roman" w:hAnsi="Arial" w:cs="Arial"/>
                <w:sz w:val="20"/>
                <w:szCs w:val="20"/>
                <w:lang w:val="en-IN"/>
              </w:rPr>
            </w:pPr>
            <w:r w:rsidRPr="00EC6671">
              <w:rPr>
                <w:rFonts w:ascii="Arial" w:eastAsia="Times New Roman" w:hAnsi="Arial" w:cs="Arial"/>
                <w:sz w:val="20"/>
                <w:szCs w:val="20"/>
                <w:lang w:val="en-IN"/>
              </w:rPr>
              <w:t>18.52</w:t>
            </w:r>
          </w:p>
        </w:tc>
      </w:tr>
    </w:tbl>
    <w:p w:rsidR="00EC6671" w:rsidRPr="00EC6671" w:rsidRDefault="00EC6671" w:rsidP="00EC6671">
      <w:pPr>
        <w:pStyle w:val="Body"/>
        <w:spacing w:after="0"/>
        <w:rPr>
          <w:rFonts w:ascii="Arial" w:hAnsi="Arial" w:cs="Arial"/>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3.18 Improper Drug Selection</w:t>
      </w:r>
    </w:p>
    <w:p w:rsidR="00EC6671" w:rsidRPr="00EC6671" w:rsidRDefault="00EC6671" w:rsidP="00EC6671">
      <w:pPr>
        <w:pStyle w:val="Body"/>
        <w:spacing w:after="0"/>
        <w:rPr>
          <w:rFonts w:ascii="Arial" w:hAnsi="Arial" w:cs="Arial"/>
          <w:b/>
          <w:bCs/>
          <w:lang w:val="en-IN"/>
        </w:rPr>
      </w:pPr>
    </w:p>
    <w:p w:rsidR="00EC6671" w:rsidRDefault="00EC6671" w:rsidP="00EC6671">
      <w:pPr>
        <w:pStyle w:val="Body"/>
        <w:spacing w:after="0"/>
        <w:rPr>
          <w:rFonts w:ascii="Arial" w:hAnsi="Arial" w:cs="Arial"/>
        </w:rPr>
      </w:pPr>
      <w:r w:rsidRPr="00EC6671">
        <w:rPr>
          <w:rFonts w:ascii="Arial" w:hAnsi="Arial" w:cs="Arial"/>
        </w:rPr>
        <w:lastRenderedPageBreak/>
        <w:t xml:space="preserve">A total of 11 drugs were wrongly chosen, with trimetazidine [N=3 (27.27%)] being the most common, followed by digoxin, </w:t>
      </w:r>
      <w:proofErr w:type="spellStart"/>
      <w:r w:rsidRPr="00EC6671">
        <w:rPr>
          <w:rFonts w:ascii="Arial" w:hAnsi="Arial" w:cs="Arial"/>
        </w:rPr>
        <w:t>amoxicillin+clavulanic</w:t>
      </w:r>
      <w:proofErr w:type="spellEnd"/>
      <w:r w:rsidRPr="00EC6671">
        <w:rPr>
          <w:rFonts w:ascii="Arial" w:hAnsi="Arial" w:cs="Arial"/>
        </w:rPr>
        <w:t xml:space="preserve"> acid, metronidazole and nitrofurantoin. (</w:t>
      </w:r>
      <w:r w:rsidRPr="00EC6671">
        <w:rPr>
          <w:rFonts w:ascii="Arial" w:hAnsi="Arial" w:cs="Arial"/>
        </w:rPr>
        <w:fldChar w:fldCharType="begin"/>
      </w:r>
      <w:r w:rsidRPr="00EC6671">
        <w:rPr>
          <w:rFonts w:ascii="Arial" w:hAnsi="Arial" w:cs="Arial"/>
        </w:rPr>
        <w:instrText xml:space="preserve"> REF _Ref214909399 \h  \* MERGEFORMAT </w:instrText>
      </w:r>
      <w:r w:rsidRPr="00EC6671">
        <w:rPr>
          <w:rFonts w:ascii="Arial" w:hAnsi="Arial" w:cs="Arial"/>
        </w:rPr>
      </w:r>
      <w:r w:rsidRPr="00EC6671">
        <w:rPr>
          <w:rFonts w:ascii="Arial" w:hAnsi="Arial" w:cs="Arial"/>
        </w:rPr>
        <w:fldChar w:fldCharType="separate"/>
      </w:r>
      <w:r w:rsidR="00E22F0D" w:rsidRPr="00E22F0D">
        <w:rPr>
          <w:rFonts w:ascii="Arial" w:hAnsi="Arial" w:cs="Arial"/>
        </w:rPr>
        <w:t>Table 11</w:t>
      </w:r>
      <w:r w:rsidRPr="00EC6671">
        <w:rPr>
          <w:rFonts w:ascii="Arial" w:hAnsi="Arial" w:cs="Arial"/>
        </w:rPr>
        <w:fldChar w:fldCharType="end"/>
      </w:r>
      <w:r w:rsidRPr="00EC6671">
        <w:rPr>
          <w:rFonts w:ascii="Arial" w:hAnsi="Arial" w:cs="Arial"/>
        </w:rPr>
        <w:t>)</w:t>
      </w:r>
    </w:p>
    <w:p w:rsidR="00EC6671" w:rsidRPr="00EC6671" w:rsidRDefault="00EC6671" w:rsidP="00EC6671">
      <w:pPr>
        <w:pStyle w:val="Body"/>
        <w:spacing w:after="0"/>
        <w:rPr>
          <w:rFonts w:ascii="Arial" w:hAnsi="Arial" w:cs="Arial"/>
        </w:rPr>
      </w:pPr>
    </w:p>
    <w:p w:rsidR="00EC6671" w:rsidRPr="00EC6671" w:rsidRDefault="00EC6671" w:rsidP="00EC6671">
      <w:pPr>
        <w:pStyle w:val="Body"/>
        <w:spacing w:after="0"/>
        <w:jc w:val="center"/>
        <w:rPr>
          <w:rFonts w:ascii="Arial" w:hAnsi="Arial" w:cs="Arial"/>
          <w:iCs/>
          <w:lang w:val="en-IN"/>
        </w:rPr>
      </w:pPr>
      <w:bookmarkStart w:id="11" w:name="_Ref214909399"/>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11</w:t>
      </w:r>
      <w:r w:rsidRPr="00EC6671">
        <w:rPr>
          <w:rFonts w:ascii="Arial" w:hAnsi="Arial" w:cs="Arial"/>
        </w:rPr>
        <w:fldChar w:fldCharType="end"/>
      </w:r>
      <w:bookmarkEnd w:id="11"/>
      <w:r w:rsidRPr="00EC6671">
        <w:rPr>
          <w:rFonts w:ascii="Arial" w:hAnsi="Arial" w:cs="Arial"/>
          <w:iCs/>
          <w:lang w:val="en-IN"/>
        </w:rPr>
        <w:t>: specifics of poor prescription selection</w:t>
      </w:r>
    </w:p>
    <w:tbl>
      <w:tblPr>
        <w:tblStyle w:val="TableGrid"/>
        <w:tblW w:w="8363" w:type="dxa"/>
        <w:jc w:val="center"/>
        <w:tblLook w:val="04A0" w:firstRow="1" w:lastRow="0" w:firstColumn="1" w:lastColumn="0" w:noHBand="0" w:noVBand="1"/>
      </w:tblPr>
      <w:tblGrid>
        <w:gridCol w:w="4286"/>
        <w:gridCol w:w="2077"/>
        <w:gridCol w:w="2000"/>
      </w:tblGrid>
      <w:tr w:rsidR="00EC6671" w:rsidRPr="00EC6671" w:rsidTr="00EC6671">
        <w:trPr>
          <w:trHeight w:val="463"/>
          <w:jc w:val="center"/>
        </w:trPr>
        <w:tc>
          <w:tcPr>
            <w:tcW w:w="4286"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Name of the Drug</w:t>
            </w:r>
          </w:p>
        </w:tc>
        <w:tc>
          <w:tcPr>
            <w:tcW w:w="2077"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Number (N)</w:t>
            </w:r>
          </w:p>
        </w:tc>
        <w:tc>
          <w:tcPr>
            <w:tcW w:w="2000"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rsidTr="00EC6671">
        <w:trPr>
          <w:trHeight w:val="463"/>
          <w:jc w:val="center"/>
        </w:trPr>
        <w:tc>
          <w:tcPr>
            <w:tcW w:w="428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Metronidazole</w:t>
            </w:r>
          </w:p>
        </w:tc>
        <w:tc>
          <w:tcPr>
            <w:tcW w:w="2077"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r w:rsidR="00EC6671" w:rsidRPr="00EC6671" w:rsidTr="00EC6671">
        <w:trPr>
          <w:trHeight w:val="463"/>
          <w:jc w:val="center"/>
        </w:trPr>
        <w:tc>
          <w:tcPr>
            <w:tcW w:w="428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Digoxin</w:t>
            </w:r>
          </w:p>
        </w:tc>
        <w:tc>
          <w:tcPr>
            <w:tcW w:w="2077"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r w:rsidR="00EC6671" w:rsidRPr="00EC6671" w:rsidTr="00EC6671">
        <w:trPr>
          <w:trHeight w:val="463"/>
          <w:jc w:val="center"/>
        </w:trPr>
        <w:tc>
          <w:tcPr>
            <w:tcW w:w="428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Amoxicillin + Clavulanic acid</w:t>
            </w:r>
          </w:p>
        </w:tc>
        <w:tc>
          <w:tcPr>
            <w:tcW w:w="2077"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r w:rsidR="00EC6671" w:rsidRPr="00EC6671" w:rsidTr="00EC6671">
        <w:trPr>
          <w:trHeight w:val="463"/>
          <w:jc w:val="center"/>
        </w:trPr>
        <w:tc>
          <w:tcPr>
            <w:tcW w:w="428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Trimetazidine</w:t>
            </w:r>
          </w:p>
        </w:tc>
        <w:tc>
          <w:tcPr>
            <w:tcW w:w="2077"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200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27.27</w:t>
            </w:r>
          </w:p>
        </w:tc>
      </w:tr>
      <w:tr w:rsidR="00EC6671" w:rsidRPr="00EC6671" w:rsidTr="00EC6671">
        <w:trPr>
          <w:trHeight w:val="463"/>
          <w:jc w:val="center"/>
        </w:trPr>
        <w:tc>
          <w:tcPr>
            <w:tcW w:w="428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Nitrofurantoin</w:t>
            </w:r>
          </w:p>
        </w:tc>
        <w:tc>
          <w:tcPr>
            <w:tcW w:w="2077"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200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18.18</w:t>
            </w:r>
          </w:p>
        </w:tc>
      </w:tr>
    </w:tbl>
    <w:p w:rsidR="00EC6671" w:rsidRDefault="00EC6671" w:rsidP="00EC6671">
      <w:pPr>
        <w:pStyle w:val="Body"/>
        <w:spacing w:after="0"/>
        <w:rPr>
          <w:rFonts w:ascii="Arial" w:hAnsi="Arial" w:cs="Arial"/>
          <w:bCs/>
          <w:i/>
          <w:iCs/>
          <w:lang w:val="en-IN"/>
        </w:rPr>
      </w:pPr>
      <w:r w:rsidRPr="00EC6671">
        <w:rPr>
          <w:rFonts w:ascii="Arial" w:hAnsi="Arial" w:cs="Arial"/>
          <w:bCs/>
          <w:i/>
          <w:iCs/>
          <w:lang w:val="en-IN"/>
        </w:rPr>
        <w:t>*as per the information given in the Medscape version8.3 (2021), Micromedex version 3.0(2021)</w:t>
      </w:r>
    </w:p>
    <w:p w:rsidR="00EC6671" w:rsidRPr="00EC6671" w:rsidRDefault="00EC6671" w:rsidP="00EC6671">
      <w:pPr>
        <w:pStyle w:val="Body"/>
        <w:spacing w:after="0"/>
        <w:rPr>
          <w:rFonts w:ascii="Arial" w:hAnsi="Arial" w:cs="Arial"/>
          <w:bCs/>
          <w:i/>
          <w:iCs/>
          <w:lang w:val="en-IN"/>
        </w:rPr>
      </w:pPr>
    </w:p>
    <w:p w:rsidR="00EC6671" w:rsidRDefault="00EC6671" w:rsidP="00EC6671">
      <w:pPr>
        <w:pStyle w:val="Body"/>
        <w:spacing w:after="0"/>
        <w:rPr>
          <w:rFonts w:ascii="Arial" w:hAnsi="Arial" w:cs="Arial"/>
          <w:b/>
          <w:bCs/>
          <w:lang w:val="en-IN"/>
        </w:rPr>
      </w:pPr>
      <w:r w:rsidRPr="00EC6671">
        <w:rPr>
          <w:rFonts w:ascii="Arial" w:hAnsi="Arial" w:cs="Arial"/>
          <w:b/>
          <w:bCs/>
          <w:lang w:val="en-IN"/>
        </w:rPr>
        <w:t xml:space="preserve">3.19 Adverse drug reactions (ADRs) </w:t>
      </w:r>
    </w:p>
    <w:p w:rsidR="00EC6671" w:rsidRPr="00EC6671" w:rsidRDefault="00EC6671" w:rsidP="00EC6671">
      <w:pPr>
        <w:pStyle w:val="Body"/>
        <w:spacing w:after="0"/>
        <w:rPr>
          <w:rFonts w:ascii="Arial" w:hAnsi="Arial" w:cs="Arial"/>
          <w:b/>
          <w:bCs/>
          <w:lang w:val="en-IN"/>
        </w:rPr>
      </w:pPr>
    </w:p>
    <w:p w:rsidR="00EC6671" w:rsidRDefault="00EC6671" w:rsidP="00EC6671">
      <w:pPr>
        <w:pStyle w:val="Body"/>
        <w:spacing w:after="0"/>
        <w:rPr>
          <w:rFonts w:ascii="Arial" w:hAnsi="Arial" w:cs="Arial"/>
        </w:rPr>
      </w:pPr>
      <w:r w:rsidRPr="00EC6671">
        <w:rPr>
          <w:rFonts w:ascii="Arial" w:hAnsi="Arial" w:cs="Arial"/>
        </w:rPr>
        <w:t>A total of 160 ADRs were reported among 1238 study participants who were enrolled during this research study. Diarrhea [N=16 (10%)] is the common ADR repeated among the 160 ADRs identified in the study participants. (</w:t>
      </w:r>
      <w:r w:rsidRPr="00EC6671">
        <w:rPr>
          <w:rFonts w:ascii="Arial" w:hAnsi="Arial" w:cs="Arial"/>
        </w:rPr>
        <w:fldChar w:fldCharType="begin"/>
      </w:r>
      <w:r w:rsidRPr="00EC6671">
        <w:rPr>
          <w:rFonts w:ascii="Arial" w:hAnsi="Arial" w:cs="Arial"/>
        </w:rPr>
        <w:instrText xml:space="preserve"> REF _Ref214909416 \h  \* MERGEFORMAT </w:instrText>
      </w:r>
      <w:r w:rsidRPr="00EC6671">
        <w:rPr>
          <w:rFonts w:ascii="Arial" w:hAnsi="Arial" w:cs="Arial"/>
        </w:rPr>
      </w:r>
      <w:r w:rsidRPr="00EC6671">
        <w:rPr>
          <w:rFonts w:ascii="Arial" w:hAnsi="Arial" w:cs="Arial"/>
        </w:rPr>
        <w:fldChar w:fldCharType="separate"/>
      </w:r>
      <w:r w:rsidR="00E22F0D" w:rsidRPr="00E22F0D">
        <w:rPr>
          <w:rFonts w:ascii="Arial" w:hAnsi="Arial" w:cs="Arial"/>
        </w:rPr>
        <w:t>Table 12</w:t>
      </w:r>
      <w:r w:rsidRPr="00EC6671">
        <w:rPr>
          <w:rFonts w:ascii="Arial" w:hAnsi="Arial" w:cs="Arial"/>
        </w:rPr>
        <w:fldChar w:fldCharType="end"/>
      </w:r>
      <w:r w:rsidRPr="00EC6671">
        <w:rPr>
          <w:rFonts w:ascii="Arial" w:hAnsi="Arial" w:cs="Arial"/>
        </w:rPr>
        <w:t>).</w:t>
      </w:r>
    </w:p>
    <w:p w:rsidR="00EC6671" w:rsidRPr="00EC6671" w:rsidRDefault="00EC6671" w:rsidP="00EC6671">
      <w:pPr>
        <w:pStyle w:val="Body"/>
        <w:spacing w:after="0"/>
        <w:rPr>
          <w:rFonts w:ascii="Arial" w:hAnsi="Arial" w:cs="Arial"/>
        </w:rPr>
      </w:pPr>
    </w:p>
    <w:p w:rsidR="00EC6671" w:rsidRPr="00EC6671" w:rsidRDefault="00EC6671" w:rsidP="00EC6671">
      <w:pPr>
        <w:pStyle w:val="Body"/>
        <w:spacing w:after="0"/>
        <w:jc w:val="center"/>
        <w:rPr>
          <w:rFonts w:ascii="Arial" w:hAnsi="Arial" w:cs="Arial"/>
          <w:iCs/>
          <w:lang w:val="en-IN"/>
        </w:rPr>
      </w:pPr>
      <w:bookmarkStart w:id="12" w:name="_Ref214909416"/>
      <w:r w:rsidRPr="00EC6671">
        <w:rPr>
          <w:rFonts w:ascii="Arial" w:hAnsi="Arial" w:cs="Arial"/>
          <w:iCs/>
          <w:lang w:val="en-IN"/>
        </w:rPr>
        <w:t xml:space="preserve">Table </w:t>
      </w:r>
      <w:r w:rsidRPr="00EC6671">
        <w:rPr>
          <w:rFonts w:ascii="Arial" w:hAnsi="Arial" w:cs="Arial"/>
          <w:iCs/>
          <w:lang w:val="en-IN"/>
        </w:rPr>
        <w:fldChar w:fldCharType="begin"/>
      </w:r>
      <w:r w:rsidRPr="00EC6671">
        <w:rPr>
          <w:rFonts w:ascii="Arial" w:hAnsi="Arial" w:cs="Arial"/>
          <w:iCs/>
          <w:lang w:val="en-IN"/>
        </w:rPr>
        <w:instrText xml:space="preserve"> SEQ Table \* ARABIC </w:instrText>
      </w:r>
      <w:r w:rsidRPr="00EC6671">
        <w:rPr>
          <w:rFonts w:ascii="Arial" w:hAnsi="Arial" w:cs="Arial"/>
          <w:iCs/>
          <w:lang w:val="en-IN"/>
        </w:rPr>
        <w:fldChar w:fldCharType="separate"/>
      </w:r>
      <w:r w:rsidR="00E22F0D">
        <w:rPr>
          <w:rFonts w:ascii="Arial" w:hAnsi="Arial" w:cs="Arial"/>
          <w:iCs/>
          <w:noProof/>
          <w:lang w:val="en-IN"/>
        </w:rPr>
        <w:t>12</w:t>
      </w:r>
      <w:r w:rsidRPr="00EC6671">
        <w:rPr>
          <w:rFonts w:ascii="Arial" w:hAnsi="Arial" w:cs="Arial"/>
        </w:rPr>
        <w:fldChar w:fldCharType="end"/>
      </w:r>
      <w:bookmarkEnd w:id="12"/>
      <w:r w:rsidRPr="00EC6671">
        <w:rPr>
          <w:rFonts w:ascii="Arial" w:hAnsi="Arial" w:cs="Arial"/>
          <w:iCs/>
          <w:lang w:val="en-IN"/>
        </w:rPr>
        <w:t>: Individual Adverse Drug Reactions</w:t>
      </w:r>
    </w:p>
    <w:tbl>
      <w:tblPr>
        <w:tblStyle w:val="TableGrid"/>
        <w:tblW w:w="8517" w:type="dxa"/>
        <w:tblLook w:val="04A0" w:firstRow="1" w:lastRow="0" w:firstColumn="1" w:lastColumn="0" w:noHBand="0" w:noVBand="1"/>
      </w:tblPr>
      <w:tblGrid>
        <w:gridCol w:w="2960"/>
        <w:gridCol w:w="2046"/>
        <w:gridCol w:w="1670"/>
        <w:gridCol w:w="1841"/>
      </w:tblGrid>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Drugs Involved</w:t>
            </w:r>
          </w:p>
        </w:tc>
        <w:tc>
          <w:tcPr>
            <w:tcW w:w="2046"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ADR</w:t>
            </w:r>
          </w:p>
        </w:tc>
        <w:tc>
          <w:tcPr>
            <w:tcW w:w="1670"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rPr>
              <w:t>Number</w:t>
            </w:r>
          </w:p>
        </w:tc>
        <w:tc>
          <w:tcPr>
            <w:tcW w:w="1841" w:type="dxa"/>
            <w:noWrap/>
            <w:vAlign w:val="center"/>
            <w:hideMark/>
          </w:tcPr>
          <w:p w:rsidR="00EC6671" w:rsidRPr="00EC6671" w:rsidRDefault="00EC6671" w:rsidP="00EC6671">
            <w:pPr>
              <w:pStyle w:val="Body"/>
              <w:rPr>
                <w:rFonts w:ascii="Arial" w:eastAsia="Times New Roman" w:hAnsi="Arial" w:cs="Arial"/>
                <w:b/>
                <w:bCs/>
                <w:sz w:val="20"/>
                <w:szCs w:val="20"/>
                <w:lang w:val="en-IN"/>
              </w:rPr>
            </w:pPr>
            <w:r w:rsidRPr="00EC6671">
              <w:rPr>
                <w:rFonts w:ascii="Arial" w:eastAsia="Times New Roman" w:hAnsi="Arial" w:cs="Arial"/>
                <w:b/>
                <w:bCs/>
                <w:sz w:val="20"/>
                <w:szCs w:val="20"/>
                <w:lang w:val="en-IN"/>
              </w:rPr>
              <w:t>Percentage (%)</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t>Betahistine</w:t>
            </w:r>
            <w:proofErr w:type="spellEnd"/>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Bloating And Indigestion</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5</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3.13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Clonidine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Bradycardia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8</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5.00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Phenytoin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Constipation</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Ondansetron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Constipation</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Oseltamivir</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Delirium</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 xml:space="preserve">Ceftazidime + </w:t>
            </w:r>
            <w:proofErr w:type="spellStart"/>
            <w:r w:rsidRPr="00EC6671">
              <w:rPr>
                <w:rFonts w:ascii="Arial" w:eastAsia="Times New Roman" w:hAnsi="Arial" w:cs="Arial"/>
                <w:sz w:val="20"/>
                <w:szCs w:val="20"/>
              </w:rPr>
              <w:t>Tazobactum</w:t>
            </w:r>
            <w:proofErr w:type="spellEnd"/>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Ceftriaxone + Sulbactam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t>Cefoperazone</w:t>
            </w:r>
            <w:proofErr w:type="spellEnd"/>
            <w:r w:rsidRPr="00EC6671">
              <w:rPr>
                <w:rFonts w:ascii="Arial" w:eastAsia="Times New Roman" w:hAnsi="Arial" w:cs="Arial"/>
                <w:sz w:val="20"/>
                <w:szCs w:val="20"/>
              </w:rPr>
              <w:t xml:space="preserve"> + Sulbactam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Colistin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lastRenderedPageBreak/>
              <w:t>Cilostazol</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Diarrhea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Cilnidipine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Dizziness</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Prazosin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Dizziness</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Ramipril</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Dry cough</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Amitriptyline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Dry mouth</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Aspirin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Epistaxis</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Furosemide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Excessive Micturition</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Ramipril</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Fatigue</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Fluconazole Oseltamivir</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Headache</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5</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3.13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Isoniazid</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Hepatitis</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Methylprednisolone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Hyperglycemia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5</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3.13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t>Cefoperazone</w:t>
            </w:r>
            <w:proofErr w:type="spellEnd"/>
            <w:r w:rsidRPr="00EC6671">
              <w:rPr>
                <w:rFonts w:ascii="Arial" w:eastAsia="Times New Roman" w:hAnsi="Arial" w:cs="Arial"/>
                <w:sz w:val="20"/>
                <w:szCs w:val="20"/>
              </w:rPr>
              <w:t xml:space="preserve"> + Sulbactam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Hypersensitivity</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t>Tenegliptin</w:t>
            </w:r>
            <w:proofErr w:type="spellEnd"/>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Hypoglycemia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0.63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Insulin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Hypoglycemia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9</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5.63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Atropine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Hypokalemia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Furosemide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Hypomagnesemia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Salbutamol</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Hypokalemia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10</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6.25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t>Clinidipine</w:t>
            </w:r>
            <w:proofErr w:type="spellEnd"/>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Hyponatremia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0.63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Bupivacaine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Hypotension</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Atorvastatin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Hyponatremia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Tramadol</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Insomnia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Trimetazidine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Diclofenac</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lastRenderedPageBreak/>
              <w:t>Carbimazole</w:t>
            </w:r>
            <w:proofErr w:type="spellEnd"/>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Neutropenia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proofErr w:type="spellStart"/>
            <w:r w:rsidRPr="00EC6671">
              <w:rPr>
                <w:rFonts w:ascii="Arial" w:eastAsia="Times New Roman" w:hAnsi="Arial" w:cs="Arial"/>
                <w:sz w:val="20"/>
                <w:szCs w:val="20"/>
              </w:rPr>
              <w:t>Glibenclamide</w:t>
            </w:r>
            <w:proofErr w:type="spellEnd"/>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1</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0.63</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Nausea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Rash</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Morphine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Rash</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Imipramine + Chlorpheniramine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Somnolence</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Levofloxacin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Tachycardia</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Piperacillin + Tazobactam</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Thrombophlebitis</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Salbutamol</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Tremors</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4</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2.50</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Phenytoin</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Metronidazole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Chlorpheniramine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2</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1.25</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Ceftizoxime</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r w:rsidR="00EC6671" w:rsidRPr="00EC6671" w:rsidTr="008113AC">
        <w:trPr>
          <w:trHeight w:val="516"/>
        </w:trPr>
        <w:tc>
          <w:tcPr>
            <w:tcW w:w="296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Linezolid</w:t>
            </w:r>
          </w:p>
        </w:tc>
        <w:tc>
          <w:tcPr>
            <w:tcW w:w="2046"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Vomiting</w:t>
            </w:r>
          </w:p>
        </w:tc>
        <w:tc>
          <w:tcPr>
            <w:tcW w:w="1670"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rPr>
              <w:t>3</w:t>
            </w:r>
          </w:p>
        </w:tc>
        <w:tc>
          <w:tcPr>
            <w:tcW w:w="1841" w:type="dxa"/>
            <w:noWrap/>
            <w:vAlign w:val="center"/>
            <w:hideMark/>
          </w:tcPr>
          <w:p w:rsidR="00EC6671" w:rsidRPr="00EC6671" w:rsidRDefault="00EC6671" w:rsidP="00EC6671">
            <w:pPr>
              <w:pStyle w:val="Body"/>
              <w:rPr>
                <w:rFonts w:ascii="Arial" w:eastAsia="Times New Roman" w:hAnsi="Arial" w:cs="Arial"/>
                <w:sz w:val="20"/>
                <w:szCs w:val="20"/>
                <w:lang w:val="en-IN"/>
              </w:rPr>
            </w:pPr>
            <w:r w:rsidRPr="00EC6671">
              <w:rPr>
                <w:rFonts w:ascii="Arial" w:eastAsia="Times New Roman" w:hAnsi="Arial" w:cs="Arial"/>
                <w:sz w:val="20"/>
                <w:szCs w:val="20"/>
                <w:lang w:val="en-IN"/>
              </w:rPr>
              <w:t>1.88</w:t>
            </w:r>
          </w:p>
        </w:tc>
      </w:tr>
    </w:tbl>
    <w:p w:rsidR="008224CF" w:rsidRPr="008224CF" w:rsidRDefault="008224CF" w:rsidP="008224CF">
      <w:pPr>
        <w:pStyle w:val="Body"/>
        <w:spacing w:after="0"/>
        <w:rPr>
          <w:rFonts w:ascii="Arial" w:hAnsi="Arial" w:cs="Arial"/>
          <w:b/>
        </w:rPr>
      </w:pPr>
    </w:p>
    <w:p w:rsidR="00830DC0" w:rsidRPr="003E670E" w:rsidRDefault="00830DC0" w:rsidP="00830DC0">
      <w:pPr>
        <w:pStyle w:val="Body"/>
        <w:spacing w:after="0"/>
        <w:rPr>
          <w:rFonts w:ascii="Arial" w:hAnsi="Arial" w:cs="Arial"/>
          <w:b/>
          <w:sz w:val="22"/>
        </w:rPr>
      </w:pPr>
      <w:r w:rsidRPr="003E670E">
        <w:rPr>
          <w:rFonts w:ascii="Arial" w:hAnsi="Arial" w:cs="Arial"/>
          <w:b/>
          <w:sz w:val="22"/>
        </w:rPr>
        <w:t>Discussion</w:t>
      </w:r>
    </w:p>
    <w:p w:rsidR="00826F62" w:rsidRPr="00830DC0" w:rsidRDefault="00826F62" w:rsidP="00830DC0">
      <w:pPr>
        <w:pStyle w:val="Body"/>
        <w:spacing w:after="0"/>
        <w:rPr>
          <w:rFonts w:ascii="Arial" w:hAnsi="Arial" w:cs="Arial"/>
          <w:b/>
        </w:rPr>
      </w:pPr>
    </w:p>
    <w:p w:rsidR="00EC6671" w:rsidRDefault="00EC6671" w:rsidP="00EC6671">
      <w:pPr>
        <w:pStyle w:val="Body"/>
        <w:spacing w:after="0"/>
        <w:rPr>
          <w:rFonts w:ascii="Arial" w:hAnsi="Arial" w:cs="Arial"/>
          <w:bCs/>
          <w:vertAlign w:val="superscript"/>
        </w:rPr>
      </w:pPr>
      <w:r w:rsidRPr="00EC6671">
        <w:rPr>
          <w:rFonts w:ascii="Arial" w:hAnsi="Arial" w:cs="Arial"/>
          <w:bCs/>
        </w:rPr>
        <w:t xml:space="preserve">The present study assessed the prevalence and patterns of drug-related problems (DRPs) among inpatients admitted to the general medicine and surgery departments of a tertiary care teaching hospital. The overall DRP prevalence of 48.38% aligns with earlier findings from surgery and medical wards globally, where DRP rates typically range from 40% to 60% </w:t>
      </w:r>
      <w:proofErr w:type="spellStart"/>
      <w:r w:rsidRPr="00EC6671">
        <w:rPr>
          <w:rFonts w:ascii="Arial" w:hAnsi="Arial" w:cs="Arial"/>
          <w:bCs/>
        </w:rPr>
        <w:t>AbuRuz</w:t>
      </w:r>
      <w:proofErr w:type="spellEnd"/>
      <w:r w:rsidRPr="00EC6671">
        <w:rPr>
          <w:rFonts w:ascii="Arial" w:hAnsi="Arial" w:cs="Arial"/>
          <w:bCs/>
        </w:rPr>
        <w:t xml:space="preserve"> et al., 2021); </w:t>
      </w:r>
      <w:proofErr w:type="spellStart"/>
      <w:r w:rsidRPr="00EC6671">
        <w:rPr>
          <w:rFonts w:ascii="Arial" w:hAnsi="Arial" w:cs="Arial"/>
          <w:bCs/>
        </w:rPr>
        <w:t>Tharanon</w:t>
      </w:r>
      <w:proofErr w:type="spellEnd"/>
      <w:r w:rsidRPr="00EC6671">
        <w:rPr>
          <w:rFonts w:ascii="Arial" w:hAnsi="Arial" w:cs="Arial"/>
          <w:bCs/>
        </w:rPr>
        <w:t xml:space="preserve"> et al., (2022) </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_Ref215412668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9</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_Ref215412676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11</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rPr>
        <w:t xml:space="preserve">. The ongoing challenge of ensuring medication safety in complex inpatient settings, particularly in low- and middle-income countries with limited clinical pharmacy services. drug–drug interactions (39.4%) were the most common DRPs identified. This is similar to the results of </w:t>
      </w:r>
      <w:proofErr w:type="spellStart"/>
      <w:r w:rsidRPr="00EC6671">
        <w:rPr>
          <w:rFonts w:ascii="Arial" w:hAnsi="Arial" w:cs="Arial"/>
          <w:bCs/>
        </w:rPr>
        <w:t>Tharanon</w:t>
      </w:r>
      <w:proofErr w:type="spellEnd"/>
      <w:r w:rsidRPr="00EC6671">
        <w:rPr>
          <w:rFonts w:ascii="Arial" w:hAnsi="Arial" w:cs="Arial"/>
          <w:bCs/>
        </w:rPr>
        <w:t xml:space="preserve"> </w:t>
      </w:r>
      <w:proofErr w:type="gramStart"/>
      <w:r w:rsidRPr="00EC6671">
        <w:rPr>
          <w:rFonts w:ascii="Arial" w:hAnsi="Arial" w:cs="Arial"/>
          <w:bCs/>
        </w:rPr>
        <w:t>et al.,</w:t>
      </w:r>
      <w:r w:rsidRPr="00EC6671">
        <w:rPr>
          <w:rFonts w:ascii="Arial" w:hAnsi="Arial" w:cs="Arial"/>
          <w:bCs/>
          <w:vertAlign w:val="superscript"/>
        </w:rPr>
        <w:t>(</w:t>
      </w:r>
      <w:proofErr w:type="gramEnd"/>
      <w:r w:rsidRPr="00EC6671">
        <w:rPr>
          <w:rFonts w:ascii="Arial" w:hAnsi="Arial" w:cs="Arial"/>
          <w:bCs/>
          <w:vertAlign w:val="superscript"/>
        </w:rPr>
        <w:fldChar w:fldCharType="begin"/>
      </w:r>
      <w:r w:rsidRPr="00EC6671">
        <w:rPr>
          <w:rFonts w:ascii="Arial" w:hAnsi="Arial" w:cs="Arial"/>
          <w:bCs/>
          <w:vertAlign w:val="superscript"/>
        </w:rPr>
        <w:instrText xml:space="preserve"> REF _Ref215412676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11</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rPr>
        <w:t xml:space="preserve"> reported that DDIs accounted for the largest proportion of DRPs in intensive care units due to multiple comorbidities and polypharmacy. Similar results were observed in Mittal et al., where inappropriate drug combinations were linked to poor prescribing oversight and lack of computerized medication review </w:t>
      </w:r>
      <w:proofErr w:type="gramStart"/>
      <w:r w:rsidRPr="00EC6671">
        <w:rPr>
          <w:rFonts w:ascii="Arial" w:hAnsi="Arial" w:cs="Arial"/>
          <w:bCs/>
        </w:rPr>
        <w:t>systems</w:t>
      </w:r>
      <w:r w:rsidRPr="00EC6671">
        <w:rPr>
          <w:rFonts w:ascii="Arial" w:hAnsi="Arial" w:cs="Arial"/>
          <w:bCs/>
          <w:vertAlign w:val="superscript"/>
        </w:rPr>
        <w:t>(</w:t>
      </w:r>
      <w:proofErr w:type="gramEnd"/>
      <w:r w:rsidRPr="00EC6671">
        <w:rPr>
          <w:rFonts w:ascii="Arial" w:hAnsi="Arial" w:cs="Arial"/>
          <w:bCs/>
          <w:vertAlign w:val="superscript"/>
        </w:rPr>
        <w:fldChar w:fldCharType="begin"/>
      </w:r>
      <w:r w:rsidRPr="00EC6671">
        <w:rPr>
          <w:rFonts w:ascii="Arial" w:hAnsi="Arial" w:cs="Arial"/>
          <w:bCs/>
          <w:vertAlign w:val="superscript"/>
        </w:rPr>
        <w:instrText xml:space="preserve"> REF _Ref215412705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10</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rPr>
        <w:t xml:space="preserve">. High-alert drugs such as corticosteroids, diuretics, anticoagulants, and psychotropics responsible for many interactions in our study and have also been highlighted as frequent contributors to clinically significant interactions in previous research of </w:t>
      </w:r>
      <w:proofErr w:type="spellStart"/>
      <w:r w:rsidRPr="00EC6671">
        <w:rPr>
          <w:rFonts w:ascii="Arial" w:hAnsi="Arial" w:cs="Arial"/>
          <w:bCs/>
        </w:rPr>
        <w:t>Ayalew</w:t>
      </w:r>
      <w:proofErr w:type="spellEnd"/>
      <w:r w:rsidRPr="00EC6671">
        <w:rPr>
          <w:rFonts w:ascii="Arial" w:hAnsi="Arial" w:cs="Arial"/>
          <w:bCs/>
        </w:rPr>
        <w:t xml:space="preserve"> et al., 2019</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_Ref215412712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12</w:t>
      </w:r>
      <w:r w:rsidRPr="00EC6671">
        <w:rPr>
          <w:rFonts w:ascii="Arial" w:hAnsi="Arial" w:cs="Arial"/>
        </w:rPr>
        <w:fldChar w:fldCharType="end"/>
      </w:r>
      <w:r w:rsidRPr="00EC6671">
        <w:rPr>
          <w:rFonts w:ascii="Arial" w:hAnsi="Arial" w:cs="Arial"/>
          <w:bCs/>
          <w:vertAlign w:val="superscript"/>
        </w:rPr>
        <w:t>)</w:t>
      </w:r>
    </w:p>
    <w:p w:rsidR="00342024" w:rsidRPr="00EC6671" w:rsidRDefault="00342024" w:rsidP="00EC6671">
      <w:pPr>
        <w:pStyle w:val="Body"/>
        <w:spacing w:after="0"/>
        <w:rPr>
          <w:rFonts w:ascii="Arial" w:hAnsi="Arial" w:cs="Arial"/>
          <w:bCs/>
        </w:rPr>
      </w:pPr>
    </w:p>
    <w:p w:rsidR="00EC6671" w:rsidRDefault="00EC6671" w:rsidP="00EC6671">
      <w:pPr>
        <w:pStyle w:val="Body"/>
        <w:spacing w:after="0"/>
        <w:rPr>
          <w:rFonts w:ascii="Arial" w:hAnsi="Arial" w:cs="Arial"/>
          <w:bCs/>
          <w:vertAlign w:val="superscript"/>
        </w:rPr>
      </w:pPr>
      <w:r w:rsidRPr="00EC6671">
        <w:rPr>
          <w:rFonts w:ascii="Arial" w:hAnsi="Arial" w:cs="Arial"/>
          <w:bCs/>
        </w:rPr>
        <w:lastRenderedPageBreak/>
        <w:t xml:space="preserve">Adverse drug reactions (ADRs) accounted for 26.7% of all DRPs in this study. Several other studies report a comparable burden, with ADRs contributing significantly to hospital admissions, prolonged hospital stays and increased healthcare costs </w:t>
      </w:r>
      <w:proofErr w:type="spellStart"/>
      <w:r w:rsidRPr="00EC6671">
        <w:rPr>
          <w:rFonts w:ascii="Arial" w:hAnsi="Arial" w:cs="Arial"/>
          <w:bCs/>
        </w:rPr>
        <w:t>Ayalew</w:t>
      </w:r>
      <w:proofErr w:type="spellEnd"/>
      <w:r w:rsidRPr="00EC6671">
        <w:rPr>
          <w:rFonts w:ascii="Arial" w:hAnsi="Arial" w:cs="Arial"/>
          <w:bCs/>
        </w:rPr>
        <w:t xml:space="preserve"> et al., (2019); </w:t>
      </w:r>
      <w:proofErr w:type="spellStart"/>
      <w:r w:rsidRPr="00EC6671">
        <w:rPr>
          <w:rFonts w:ascii="Arial" w:hAnsi="Arial" w:cs="Arial"/>
          <w:bCs/>
        </w:rPr>
        <w:t>Ylä-Rautio</w:t>
      </w:r>
      <w:proofErr w:type="spellEnd"/>
      <w:r w:rsidRPr="00EC6671">
        <w:rPr>
          <w:rFonts w:ascii="Arial" w:hAnsi="Arial" w:cs="Arial"/>
          <w:bCs/>
        </w:rPr>
        <w:t xml:space="preserve"> et al., (2020) </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_Ref215412712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12</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_Ref215412867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15</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rPr>
        <w:t>. The most frequently observed ADRs in our cohort such as diarrhea, electrolyte disturbances and hypoglycemia were also commonly reported in studies conducted in surgical patients (</w:t>
      </w:r>
      <w:proofErr w:type="spellStart"/>
      <w:r w:rsidRPr="00EC6671">
        <w:rPr>
          <w:rFonts w:ascii="Arial" w:hAnsi="Arial" w:cs="Arial"/>
          <w:bCs/>
        </w:rPr>
        <w:t>AbuRuz</w:t>
      </w:r>
      <w:proofErr w:type="spellEnd"/>
      <w:r w:rsidRPr="00EC6671">
        <w:rPr>
          <w:rFonts w:ascii="Arial" w:hAnsi="Arial" w:cs="Arial"/>
          <w:bCs/>
        </w:rPr>
        <w:t xml:space="preserve"> et al., 2021)</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_Ref215412668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9</w:t>
      </w:r>
      <w:r w:rsidRPr="00EC6671">
        <w:rPr>
          <w:rFonts w:ascii="Arial" w:hAnsi="Arial" w:cs="Arial"/>
        </w:rPr>
        <w:fldChar w:fldCharType="end"/>
      </w:r>
      <w:r w:rsidRPr="00EC6671">
        <w:rPr>
          <w:rFonts w:ascii="Arial" w:hAnsi="Arial" w:cs="Arial"/>
          <w:bCs/>
          <w:vertAlign w:val="superscript"/>
        </w:rPr>
        <w:t xml:space="preserve">) </w:t>
      </w:r>
      <w:r w:rsidRPr="00EC6671">
        <w:rPr>
          <w:rFonts w:ascii="Arial" w:hAnsi="Arial" w:cs="Arial"/>
          <w:bCs/>
        </w:rPr>
        <w:t xml:space="preserve">and ICU populations (Ali Hussain </w:t>
      </w:r>
      <w:proofErr w:type="spellStart"/>
      <w:r w:rsidRPr="00EC6671">
        <w:rPr>
          <w:rFonts w:ascii="Arial" w:hAnsi="Arial" w:cs="Arial"/>
          <w:bCs/>
        </w:rPr>
        <w:t>Alsayed</w:t>
      </w:r>
      <w:proofErr w:type="spellEnd"/>
      <w:r w:rsidRPr="00EC6671">
        <w:rPr>
          <w:rFonts w:ascii="Arial" w:hAnsi="Arial" w:cs="Arial"/>
          <w:bCs/>
        </w:rPr>
        <w:t xml:space="preserve"> et al., 2024)</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_Ref215412875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13</w:t>
      </w:r>
      <w:r w:rsidRPr="00EC6671">
        <w:rPr>
          <w:rFonts w:ascii="Arial" w:hAnsi="Arial" w:cs="Arial"/>
        </w:rPr>
        <w:fldChar w:fldCharType="end"/>
      </w:r>
      <w:r w:rsidRPr="00EC6671">
        <w:rPr>
          <w:rFonts w:ascii="Arial" w:hAnsi="Arial" w:cs="Arial"/>
          <w:bCs/>
          <w:vertAlign w:val="superscript"/>
        </w:rPr>
        <w:t>)</w:t>
      </w:r>
    </w:p>
    <w:p w:rsidR="00342024" w:rsidRPr="00EC6671" w:rsidRDefault="00342024" w:rsidP="00EC6671">
      <w:pPr>
        <w:pStyle w:val="Body"/>
        <w:spacing w:after="0"/>
        <w:rPr>
          <w:rFonts w:ascii="Arial" w:hAnsi="Arial" w:cs="Arial"/>
          <w:bCs/>
        </w:rPr>
      </w:pPr>
    </w:p>
    <w:p w:rsidR="00342024" w:rsidRPr="00342024" w:rsidRDefault="00EC6671" w:rsidP="00EC6671">
      <w:pPr>
        <w:pStyle w:val="Body"/>
        <w:spacing w:after="0"/>
        <w:rPr>
          <w:rFonts w:ascii="Arial" w:hAnsi="Arial" w:cs="Arial"/>
          <w:bCs/>
          <w:vertAlign w:val="superscript"/>
        </w:rPr>
      </w:pPr>
      <w:r w:rsidRPr="00EC6671">
        <w:rPr>
          <w:rFonts w:ascii="Arial" w:hAnsi="Arial" w:cs="Arial"/>
          <w:bCs/>
        </w:rPr>
        <w:t xml:space="preserve">Other DRPs, including untreated indications, overdosing, subtherapeutic dosing, and drug use without indication, represented notable proportions of the total. These categories reflect gaps in clinical assessment, therapeutic monitoring and adherence to prescribing guidelines. Mittal et al. (2014) </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_Ref215412705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10</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rPr>
        <w:t xml:space="preserve"> similarly emphasized that both overuse and underuse of medications frequently arise from inconsistent adherence to clinical practice standards and insufficient review of medication charts. Furthermore, inappropriate drug selection in our study echoes </w:t>
      </w:r>
      <w:proofErr w:type="spellStart"/>
      <w:r w:rsidRPr="00EC6671">
        <w:rPr>
          <w:rFonts w:ascii="Arial" w:hAnsi="Arial" w:cs="Arial"/>
          <w:bCs/>
        </w:rPr>
        <w:t>Viktil</w:t>
      </w:r>
      <w:proofErr w:type="spellEnd"/>
      <w:r w:rsidRPr="00EC6671">
        <w:rPr>
          <w:rFonts w:ascii="Arial" w:hAnsi="Arial" w:cs="Arial"/>
          <w:bCs/>
        </w:rPr>
        <w:t xml:space="preserve"> &amp; Blix (2008), who reported that errors in drug choice often stem from inadequate knowledge of patient-specific factors or drug </w:t>
      </w:r>
      <w:proofErr w:type="gramStart"/>
      <w:r w:rsidRPr="00EC6671">
        <w:rPr>
          <w:rFonts w:ascii="Arial" w:hAnsi="Arial" w:cs="Arial"/>
          <w:bCs/>
        </w:rPr>
        <w:t>characteristics.</w:t>
      </w:r>
      <w:r w:rsidRPr="00EC6671">
        <w:rPr>
          <w:rFonts w:ascii="Arial" w:hAnsi="Arial" w:cs="Arial"/>
          <w:bCs/>
          <w:vertAlign w:val="superscript"/>
        </w:rPr>
        <w:t>(</w:t>
      </w:r>
      <w:proofErr w:type="gramEnd"/>
      <w:r w:rsidRPr="00EC6671">
        <w:rPr>
          <w:rFonts w:ascii="Arial" w:hAnsi="Arial" w:cs="Arial"/>
          <w:bCs/>
          <w:vertAlign w:val="superscript"/>
        </w:rPr>
        <w:fldChar w:fldCharType="begin"/>
      </w:r>
      <w:r w:rsidRPr="00EC6671">
        <w:rPr>
          <w:rFonts w:ascii="Arial" w:hAnsi="Arial" w:cs="Arial"/>
          <w:bCs/>
          <w:vertAlign w:val="superscript"/>
        </w:rPr>
        <w:instrText xml:space="preserve"> REF _Ref215412891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14</w:t>
      </w:r>
      <w:r w:rsidRPr="00EC6671">
        <w:rPr>
          <w:rFonts w:ascii="Arial" w:hAnsi="Arial" w:cs="Arial"/>
        </w:rPr>
        <w:fldChar w:fldCharType="end"/>
      </w:r>
      <w:r w:rsidRPr="00EC6671">
        <w:rPr>
          <w:rFonts w:ascii="Arial" w:hAnsi="Arial" w:cs="Arial"/>
          <w:bCs/>
          <w:vertAlign w:val="superscript"/>
        </w:rPr>
        <w:t>)</w:t>
      </w:r>
    </w:p>
    <w:p w:rsidR="00EC6671" w:rsidRDefault="00EC6671" w:rsidP="00EC6671">
      <w:pPr>
        <w:pStyle w:val="Body"/>
        <w:spacing w:after="0"/>
        <w:rPr>
          <w:rFonts w:ascii="Arial" w:hAnsi="Arial" w:cs="Arial"/>
          <w:bCs/>
          <w:vertAlign w:val="superscript"/>
        </w:rPr>
      </w:pPr>
      <w:r w:rsidRPr="00EC6671">
        <w:rPr>
          <w:rFonts w:ascii="Arial" w:hAnsi="Arial" w:cs="Arial"/>
          <w:bCs/>
        </w:rPr>
        <w:t xml:space="preserve">The role of clinical pharmacist interventions is particularly relevant when considering our findings. Studies across various hospital settings have consistently demonstrated that pharmacist involvement significantly reduces the occurrence and severity of DRPs. </w:t>
      </w:r>
      <w:proofErr w:type="spellStart"/>
      <w:r w:rsidRPr="00EC6671">
        <w:rPr>
          <w:rFonts w:ascii="Arial" w:hAnsi="Arial" w:cs="Arial"/>
          <w:bCs/>
        </w:rPr>
        <w:t>AbuRuz</w:t>
      </w:r>
      <w:proofErr w:type="spellEnd"/>
      <w:r w:rsidRPr="00EC6671">
        <w:rPr>
          <w:rFonts w:ascii="Arial" w:hAnsi="Arial" w:cs="Arial"/>
          <w:bCs/>
        </w:rPr>
        <w:t xml:space="preserve"> et al. (2021) showed a substantial reduction in DRPs among surgical patients when pharmacists conducted routine medication reviews.</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_Ref215412668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9</w:t>
      </w:r>
      <w:r w:rsidRPr="00EC6671">
        <w:rPr>
          <w:rFonts w:ascii="Arial" w:hAnsi="Arial" w:cs="Arial"/>
        </w:rPr>
        <w:fldChar w:fldCharType="end"/>
      </w:r>
      <w:r w:rsidRPr="00EC6671">
        <w:rPr>
          <w:rFonts w:ascii="Arial" w:hAnsi="Arial" w:cs="Arial"/>
          <w:bCs/>
          <w:vertAlign w:val="superscript"/>
        </w:rPr>
        <w:t xml:space="preserve">) </w:t>
      </w:r>
      <w:r w:rsidRPr="00EC6671">
        <w:rPr>
          <w:rFonts w:ascii="Arial" w:hAnsi="Arial" w:cs="Arial"/>
          <w:bCs/>
        </w:rPr>
        <w:t xml:space="preserve">Similarly, </w:t>
      </w:r>
      <w:proofErr w:type="spellStart"/>
      <w:r w:rsidRPr="00EC6671">
        <w:rPr>
          <w:rFonts w:ascii="Arial" w:hAnsi="Arial" w:cs="Arial"/>
          <w:bCs/>
        </w:rPr>
        <w:t>Alsayed</w:t>
      </w:r>
      <w:proofErr w:type="spellEnd"/>
      <w:r w:rsidRPr="00EC6671">
        <w:rPr>
          <w:rFonts w:ascii="Arial" w:hAnsi="Arial" w:cs="Arial"/>
          <w:bCs/>
        </w:rPr>
        <w:t xml:space="preserve"> et al. (2024) showed that pharmacist involvement in ICU settings led to improved clinical outcomes, including reduced mortality</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_Ref215412875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13</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rPr>
        <w:t xml:space="preserve"> Evidence from multiple systematic reviews further confirms that pharmacist-led care improves medication appropriateness, decreases ADR rates, and enhances therapeutic outcomes </w:t>
      </w:r>
      <w:proofErr w:type="spellStart"/>
      <w:r w:rsidRPr="00EC6671">
        <w:rPr>
          <w:rFonts w:ascii="Arial" w:hAnsi="Arial" w:cs="Arial"/>
          <w:bCs/>
        </w:rPr>
        <w:t>Viktil</w:t>
      </w:r>
      <w:proofErr w:type="spellEnd"/>
      <w:r w:rsidRPr="00EC6671">
        <w:rPr>
          <w:rFonts w:ascii="Arial" w:hAnsi="Arial" w:cs="Arial"/>
          <w:bCs/>
        </w:rPr>
        <w:t xml:space="preserve"> &amp; Blix, (2008); </w:t>
      </w:r>
      <w:proofErr w:type="spellStart"/>
      <w:r w:rsidRPr="00EC6671">
        <w:rPr>
          <w:rFonts w:ascii="Arial" w:hAnsi="Arial" w:cs="Arial"/>
          <w:bCs/>
        </w:rPr>
        <w:t>Ylä-Rautio</w:t>
      </w:r>
      <w:proofErr w:type="spellEnd"/>
      <w:r w:rsidRPr="00EC6671">
        <w:rPr>
          <w:rFonts w:ascii="Arial" w:hAnsi="Arial" w:cs="Arial"/>
          <w:bCs/>
        </w:rPr>
        <w:t xml:space="preserve"> et al., (2020) </w:t>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_Ref215412891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14</w:t>
      </w:r>
      <w:r w:rsidRPr="00EC6671">
        <w:rPr>
          <w:rFonts w:ascii="Arial" w:hAnsi="Arial" w:cs="Arial"/>
        </w:rPr>
        <w:fldChar w:fldCharType="end"/>
      </w:r>
      <w:r w:rsidRPr="00EC6671">
        <w:rPr>
          <w:rFonts w:ascii="Arial" w:hAnsi="Arial" w:cs="Arial"/>
          <w:bCs/>
          <w:vertAlign w:val="superscript"/>
        </w:rPr>
        <w:t>,</w:t>
      </w:r>
      <w:r w:rsidRPr="00EC6671">
        <w:rPr>
          <w:rFonts w:ascii="Arial" w:hAnsi="Arial" w:cs="Arial"/>
          <w:bCs/>
          <w:vertAlign w:val="superscript"/>
        </w:rPr>
        <w:fldChar w:fldCharType="begin"/>
      </w:r>
      <w:r w:rsidRPr="00EC6671">
        <w:rPr>
          <w:rFonts w:ascii="Arial" w:hAnsi="Arial" w:cs="Arial"/>
          <w:bCs/>
          <w:vertAlign w:val="superscript"/>
        </w:rPr>
        <w:instrText xml:space="preserve"> REF _Ref215412867 \h  \* MERGEFORMAT </w:instrText>
      </w:r>
      <w:r w:rsidRPr="00EC6671">
        <w:rPr>
          <w:rFonts w:ascii="Arial" w:hAnsi="Arial" w:cs="Arial"/>
          <w:bCs/>
          <w:vertAlign w:val="superscript"/>
        </w:rPr>
      </w:r>
      <w:r w:rsidRPr="00EC6671">
        <w:rPr>
          <w:rFonts w:ascii="Arial" w:hAnsi="Arial" w:cs="Arial"/>
          <w:bCs/>
          <w:vertAlign w:val="superscript"/>
        </w:rPr>
        <w:fldChar w:fldCharType="separate"/>
      </w:r>
      <w:r w:rsidR="00E22F0D" w:rsidRPr="00E22F0D">
        <w:rPr>
          <w:rFonts w:ascii="Arial" w:hAnsi="Arial" w:cs="Arial"/>
          <w:vertAlign w:val="superscript"/>
        </w:rPr>
        <w:t>15</w:t>
      </w:r>
      <w:r w:rsidRPr="00EC6671">
        <w:rPr>
          <w:rFonts w:ascii="Arial" w:hAnsi="Arial" w:cs="Arial"/>
        </w:rPr>
        <w:fldChar w:fldCharType="end"/>
      </w:r>
      <w:r w:rsidRPr="00EC6671">
        <w:rPr>
          <w:rFonts w:ascii="Arial" w:hAnsi="Arial" w:cs="Arial"/>
          <w:bCs/>
          <w:vertAlign w:val="superscript"/>
        </w:rPr>
        <w:t>)</w:t>
      </w:r>
    </w:p>
    <w:p w:rsidR="00EC6671" w:rsidRPr="00EC6671" w:rsidRDefault="00EC6671" w:rsidP="00EC6671">
      <w:pPr>
        <w:pStyle w:val="Body"/>
        <w:spacing w:after="0"/>
        <w:rPr>
          <w:rFonts w:ascii="Arial" w:hAnsi="Arial" w:cs="Arial"/>
          <w:bCs/>
        </w:rPr>
      </w:pPr>
    </w:p>
    <w:p w:rsidR="00EC6671" w:rsidRPr="00EC6671" w:rsidRDefault="00EC6671" w:rsidP="00EC6671">
      <w:pPr>
        <w:pStyle w:val="Body"/>
        <w:rPr>
          <w:rFonts w:ascii="Arial" w:hAnsi="Arial" w:cs="Arial"/>
          <w:b/>
        </w:rPr>
      </w:pPr>
      <w:r w:rsidRPr="00EC6671">
        <w:rPr>
          <w:rFonts w:ascii="Arial" w:hAnsi="Arial" w:cs="Arial"/>
          <w:b/>
        </w:rPr>
        <w:t>4. Conclusion</w:t>
      </w:r>
    </w:p>
    <w:p w:rsidR="00EC6671" w:rsidRPr="00EC6671" w:rsidRDefault="00EC6671" w:rsidP="00EC6671">
      <w:pPr>
        <w:pStyle w:val="Body"/>
        <w:rPr>
          <w:rFonts w:ascii="Arial" w:hAnsi="Arial" w:cs="Arial"/>
        </w:rPr>
      </w:pPr>
      <w:r w:rsidRPr="00EC6671">
        <w:rPr>
          <w:rFonts w:ascii="Arial" w:hAnsi="Arial" w:cs="Arial"/>
        </w:rPr>
        <w:t>The results highlight the urgent need to strengthen medication management practices within hospital systems. Incorporating clinical pharmacists into routine inpatient care can substantially reduce DRPs through comprehensive medication reviews, early detection of potential risks, and collaboration with the healthcare team. Existing literature consistently supports the benefit of pharmacist-led interventions in enhancing medication safety and improving therapeutic outcomes.</w:t>
      </w:r>
    </w:p>
    <w:p w:rsidR="00EC6671" w:rsidRPr="00EC6671" w:rsidRDefault="00EC6671" w:rsidP="00EC6671">
      <w:pPr>
        <w:pStyle w:val="Body"/>
        <w:rPr>
          <w:rFonts w:ascii="Arial" w:hAnsi="Arial" w:cs="Arial"/>
          <w:b/>
          <w:bCs/>
        </w:rPr>
      </w:pPr>
      <w:r w:rsidRPr="00EC6671">
        <w:rPr>
          <w:rFonts w:ascii="Arial" w:hAnsi="Arial" w:cs="Arial"/>
          <w:b/>
          <w:bCs/>
        </w:rPr>
        <w:t xml:space="preserve">Consent (where </w:t>
      </w:r>
      <w:r>
        <w:rPr>
          <w:rFonts w:ascii="Arial" w:hAnsi="Arial" w:cs="Arial"/>
          <w:b/>
          <w:bCs/>
        </w:rPr>
        <w:t>ever applicable)</w:t>
      </w:r>
    </w:p>
    <w:p w:rsidR="00EC6671" w:rsidRPr="00EC6671" w:rsidRDefault="00EC6671" w:rsidP="00EC6671">
      <w:pPr>
        <w:pStyle w:val="Body"/>
        <w:rPr>
          <w:rFonts w:ascii="Arial" w:hAnsi="Arial" w:cs="Arial"/>
        </w:rPr>
      </w:pPr>
      <w:r w:rsidRPr="00EC6671">
        <w:rPr>
          <w:rFonts w:ascii="Arial" w:hAnsi="Arial" w:cs="Arial"/>
        </w:rPr>
        <w:t>"All authors declare that ‘written informed consent was obtained from the patient (or other approved parties) for publication. A copy of the written consent is available for review by the Editorial office/Chief Editor/Editorial Board members of this journal."</w:t>
      </w:r>
    </w:p>
    <w:p w:rsidR="00EC6671" w:rsidRPr="00EC6671" w:rsidRDefault="00EC6671" w:rsidP="00EC6671">
      <w:pPr>
        <w:pStyle w:val="Body"/>
        <w:rPr>
          <w:rFonts w:ascii="Arial" w:hAnsi="Arial" w:cs="Arial"/>
          <w:b/>
          <w:bCs/>
        </w:rPr>
      </w:pPr>
      <w:r w:rsidRPr="00EC6671">
        <w:rPr>
          <w:rFonts w:ascii="Arial" w:hAnsi="Arial" w:cs="Arial"/>
          <w:b/>
          <w:bCs/>
        </w:rPr>
        <w:t xml:space="preserve">Ethical approval (where </w:t>
      </w:r>
      <w:r>
        <w:rPr>
          <w:rFonts w:ascii="Arial" w:hAnsi="Arial" w:cs="Arial"/>
          <w:b/>
          <w:bCs/>
        </w:rPr>
        <w:t>ever applicable)</w:t>
      </w:r>
    </w:p>
    <w:p w:rsidR="00EC6671" w:rsidRPr="00EC6671" w:rsidRDefault="00EC6671" w:rsidP="00EC6671">
      <w:pPr>
        <w:pStyle w:val="Body"/>
        <w:rPr>
          <w:rFonts w:ascii="Arial" w:hAnsi="Arial" w:cs="Arial"/>
        </w:rPr>
      </w:pPr>
      <w:r w:rsidRPr="00EC6671">
        <w:rPr>
          <w:rFonts w:ascii="Arial" w:hAnsi="Arial" w:cs="Arial"/>
        </w:rPr>
        <w:t>Ethical approval for the study was obtained from the institutional ethics committee of JSS college of pharmacy, Mysuru.</w:t>
      </w:r>
    </w:p>
    <w:p w:rsidR="00EC6671" w:rsidRPr="00EC6671" w:rsidRDefault="00EC6671" w:rsidP="00EC6671">
      <w:pPr>
        <w:pStyle w:val="Body"/>
        <w:rPr>
          <w:rFonts w:ascii="Arial" w:hAnsi="Arial" w:cs="Arial"/>
          <w:b/>
        </w:rPr>
      </w:pPr>
      <w:r w:rsidRPr="00EC6671">
        <w:rPr>
          <w:rFonts w:ascii="Arial" w:hAnsi="Arial" w:cs="Arial"/>
          <w:b/>
        </w:rPr>
        <w:t>References</w:t>
      </w: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3" w:name="_Ref215412405"/>
      <w:r w:rsidR="00E22F0D">
        <w:rPr>
          <w:rFonts w:ascii="Arial" w:hAnsi="Arial" w:cs="Arial"/>
          <w:iCs/>
          <w:noProof/>
          <w:lang w:val="en-IN"/>
        </w:rPr>
        <w:t>1</w:t>
      </w:r>
      <w:bookmarkEnd w:id="13"/>
      <w:r w:rsidRPr="00EC6671">
        <w:rPr>
          <w:rFonts w:ascii="Arial" w:hAnsi="Arial" w:cs="Arial"/>
        </w:rPr>
        <w:fldChar w:fldCharType="end"/>
      </w:r>
      <w:r w:rsidRPr="00EC6671">
        <w:rPr>
          <w:rFonts w:ascii="Arial" w:hAnsi="Arial" w:cs="Arial"/>
          <w:iCs/>
          <w:lang w:val="en-IN"/>
        </w:rPr>
        <w:t>: World Health Organization (WHO). Rational use of medicines. Geneva: WHO; 2022.</w:t>
      </w:r>
      <w:r w:rsidR="00F140B4">
        <w:rPr>
          <w:rFonts w:ascii="Arial" w:hAnsi="Arial" w:cs="Arial"/>
          <w:iCs/>
          <w:lang w:val="en-IN"/>
        </w:rPr>
        <w:t xml:space="preserve"> </w:t>
      </w:r>
      <w:hyperlink r:id="rId14" w:history="1">
        <w:r w:rsidR="00F140B4" w:rsidRPr="008C69DA">
          <w:rPr>
            <w:rStyle w:val="Hyperlink"/>
            <w:rFonts w:ascii="Arial" w:hAnsi="Arial" w:cs="Arial"/>
            <w:iCs/>
            <w:lang w:val="en-IN"/>
          </w:rPr>
          <w:t>https://www.who.int/activities/promoting-rational-use-of-medicines/</w:t>
        </w:r>
      </w:hyperlink>
      <w:r w:rsidR="00F140B4">
        <w:rPr>
          <w:rFonts w:ascii="Arial" w:hAnsi="Arial" w:cs="Arial"/>
          <w:iCs/>
          <w:lang w:val="en-IN"/>
        </w:rPr>
        <w:t xml:space="preserve"> </w:t>
      </w:r>
      <w:r w:rsidR="00133656">
        <w:rPr>
          <w:rFonts w:ascii="Arial" w:hAnsi="Arial" w:cs="Arial"/>
          <w:iCs/>
          <w:lang w:val="en-IN"/>
        </w:rPr>
        <w:t xml:space="preserve">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lastRenderedPageBreak/>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4" w:name="_Ref215412437"/>
      <w:r w:rsidR="00E22F0D">
        <w:rPr>
          <w:rFonts w:ascii="Arial" w:hAnsi="Arial" w:cs="Arial"/>
          <w:iCs/>
          <w:noProof/>
          <w:lang w:val="en-IN"/>
        </w:rPr>
        <w:t>2</w:t>
      </w:r>
      <w:bookmarkEnd w:id="14"/>
      <w:r w:rsidRPr="00EC6671">
        <w:rPr>
          <w:rFonts w:ascii="Arial" w:hAnsi="Arial" w:cs="Arial"/>
        </w:rPr>
        <w:fldChar w:fldCharType="end"/>
      </w:r>
      <w:r w:rsidRPr="00EC6671">
        <w:rPr>
          <w:rFonts w:ascii="Arial" w:hAnsi="Arial" w:cs="Arial"/>
          <w:iCs/>
          <w:lang w:val="en-IN"/>
        </w:rPr>
        <w:t xml:space="preserve">: Omer Ahmed, Kannan &amp; </w:t>
      </w:r>
      <w:proofErr w:type="spellStart"/>
      <w:r w:rsidRPr="00EC6671">
        <w:rPr>
          <w:rFonts w:ascii="Arial" w:hAnsi="Arial" w:cs="Arial"/>
          <w:iCs/>
          <w:lang w:val="en-IN"/>
        </w:rPr>
        <w:t>Muddather</w:t>
      </w:r>
      <w:proofErr w:type="spellEnd"/>
      <w:r w:rsidRPr="00EC6671">
        <w:rPr>
          <w:rFonts w:ascii="Arial" w:hAnsi="Arial" w:cs="Arial"/>
          <w:iCs/>
          <w:lang w:val="en-IN"/>
        </w:rPr>
        <w:t>, Hiba &amp; Yousef, Bashir. (2021). Pharmaceutical Care Network Europe (PCNE) Drug-Related Problems Classification Version 9.1: First Implementation in Sudan. Journal of Pharmaceutical Research International. 699-706. 10.9734/</w:t>
      </w:r>
      <w:proofErr w:type="spellStart"/>
      <w:r w:rsidRPr="00EC6671">
        <w:rPr>
          <w:rFonts w:ascii="Arial" w:hAnsi="Arial" w:cs="Arial"/>
          <w:iCs/>
          <w:lang w:val="en-IN"/>
        </w:rPr>
        <w:t>jpri</w:t>
      </w:r>
      <w:proofErr w:type="spellEnd"/>
      <w:r w:rsidRPr="00EC6671">
        <w:rPr>
          <w:rFonts w:ascii="Arial" w:hAnsi="Arial" w:cs="Arial"/>
          <w:iCs/>
          <w:lang w:val="en-IN"/>
        </w:rPr>
        <w:t>/2021/v33i59A</w:t>
      </w:r>
      <w:proofErr w:type="gramStart"/>
      <w:r w:rsidRPr="00EC6671">
        <w:rPr>
          <w:rFonts w:ascii="Arial" w:hAnsi="Arial" w:cs="Arial"/>
          <w:iCs/>
          <w:lang w:val="en-IN"/>
        </w:rPr>
        <w:t>34321</w:t>
      </w:r>
      <w:r w:rsidR="00F140B4">
        <w:rPr>
          <w:rFonts w:ascii="Arial" w:hAnsi="Arial" w:cs="Arial"/>
          <w:iCs/>
          <w:lang w:val="en-IN"/>
        </w:rPr>
        <w:t xml:space="preserve"> </w:t>
      </w:r>
      <w:r w:rsidRPr="00EC6671">
        <w:rPr>
          <w:rFonts w:ascii="Arial" w:hAnsi="Arial" w:cs="Arial"/>
          <w:iCs/>
          <w:lang w:val="en-IN"/>
        </w:rPr>
        <w:t>.</w:t>
      </w:r>
      <w:proofErr w:type="gramEnd"/>
      <w:r w:rsidRPr="00EC6671">
        <w:rPr>
          <w:rFonts w:ascii="Arial" w:hAnsi="Arial" w:cs="Arial"/>
          <w:iCs/>
          <w:lang w:val="en-IN"/>
        </w:rPr>
        <w:t>  </w:t>
      </w:r>
      <w:r w:rsidR="009F7F3C" w:rsidRPr="009F7F3C">
        <w:rPr>
          <w:rFonts w:ascii="Arial" w:hAnsi="Arial" w:cs="Arial"/>
          <w:iCs/>
          <w:lang w:val="en-IN"/>
        </w:rPr>
        <w:t>DOI: 10.9734/</w:t>
      </w:r>
      <w:proofErr w:type="spellStart"/>
      <w:r w:rsidR="009F7F3C" w:rsidRPr="009F7F3C">
        <w:rPr>
          <w:rFonts w:ascii="Arial" w:hAnsi="Arial" w:cs="Arial"/>
          <w:iCs/>
          <w:lang w:val="en-IN"/>
        </w:rPr>
        <w:t>jpri</w:t>
      </w:r>
      <w:proofErr w:type="spellEnd"/>
      <w:r w:rsidR="009F7F3C" w:rsidRPr="009F7F3C">
        <w:rPr>
          <w:rFonts w:ascii="Arial" w:hAnsi="Arial" w:cs="Arial"/>
          <w:iCs/>
          <w:lang w:val="en-IN"/>
        </w:rPr>
        <w:t>/2021/v33i59A34321</w:t>
      </w:r>
      <w:r w:rsidR="009F7F3C">
        <w:rPr>
          <w:rFonts w:ascii="Arial" w:hAnsi="Arial" w:cs="Arial"/>
          <w:iCs/>
          <w:lang w:val="en-IN"/>
        </w:rPr>
        <w:t xml:space="preserve">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5" w:name="_Ref215412462"/>
      <w:r w:rsidR="00E22F0D">
        <w:rPr>
          <w:rFonts w:ascii="Arial" w:hAnsi="Arial" w:cs="Arial"/>
          <w:iCs/>
          <w:noProof/>
          <w:lang w:val="en-IN"/>
        </w:rPr>
        <w:t>3</w:t>
      </w:r>
      <w:bookmarkEnd w:id="15"/>
      <w:r w:rsidRPr="00EC6671">
        <w:rPr>
          <w:rFonts w:ascii="Arial" w:hAnsi="Arial" w:cs="Arial"/>
        </w:rPr>
        <w:fldChar w:fldCharType="end"/>
      </w:r>
      <w:r w:rsidRPr="00EC6671">
        <w:rPr>
          <w:rFonts w:ascii="Arial" w:hAnsi="Arial" w:cs="Arial"/>
          <w:iCs/>
          <w:lang w:val="en-IN"/>
        </w:rPr>
        <w:t xml:space="preserve">: George, R.M. &amp; James, E. &amp; Vijayalakshmi, </w:t>
      </w:r>
      <w:proofErr w:type="gramStart"/>
      <w:r w:rsidRPr="00EC6671">
        <w:rPr>
          <w:rFonts w:ascii="Arial" w:hAnsi="Arial" w:cs="Arial"/>
          <w:iCs/>
          <w:lang w:val="en-IN"/>
        </w:rPr>
        <w:t>S..</w:t>
      </w:r>
      <w:proofErr w:type="gramEnd"/>
      <w:r w:rsidRPr="00EC6671">
        <w:rPr>
          <w:rFonts w:ascii="Arial" w:hAnsi="Arial" w:cs="Arial"/>
          <w:iCs/>
          <w:lang w:val="en-IN"/>
        </w:rPr>
        <w:t xml:space="preserve"> (2015). Clinical pharmacist’s interventions on drug related problems in a tertiary care hospital. International Journal of Pharmacy and Pharmaceutical Sciences. 7. 401-404.</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6" w:name="_Ref215412472"/>
      <w:r w:rsidR="00E22F0D">
        <w:rPr>
          <w:rFonts w:ascii="Arial" w:hAnsi="Arial" w:cs="Arial"/>
          <w:iCs/>
          <w:noProof/>
          <w:lang w:val="en-IN"/>
        </w:rPr>
        <w:t>4</w:t>
      </w:r>
      <w:bookmarkEnd w:id="16"/>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Sheleme</w:t>
      </w:r>
      <w:proofErr w:type="spellEnd"/>
      <w:r w:rsidRPr="00EC6671">
        <w:rPr>
          <w:rFonts w:ascii="Arial" w:hAnsi="Arial" w:cs="Arial"/>
          <w:iCs/>
          <w:lang w:val="en-IN"/>
        </w:rPr>
        <w:t xml:space="preserve"> T, </w:t>
      </w:r>
      <w:proofErr w:type="spellStart"/>
      <w:r w:rsidRPr="00EC6671">
        <w:rPr>
          <w:rFonts w:ascii="Arial" w:hAnsi="Arial" w:cs="Arial"/>
          <w:iCs/>
          <w:lang w:val="en-IN"/>
        </w:rPr>
        <w:t>Sahilu</w:t>
      </w:r>
      <w:proofErr w:type="spellEnd"/>
      <w:r w:rsidRPr="00EC6671">
        <w:rPr>
          <w:rFonts w:ascii="Arial" w:hAnsi="Arial" w:cs="Arial"/>
          <w:iCs/>
          <w:lang w:val="en-IN"/>
        </w:rPr>
        <w:t xml:space="preserve"> T, </w:t>
      </w:r>
      <w:proofErr w:type="spellStart"/>
      <w:r w:rsidRPr="00EC6671">
        <w:rPr>
          <w:rFonts w:ascii="Arial" w:hAnsi="Arial" w:cs="Arial"/>
          <w:iCs/>
          <w:lang w:val="en-IN"/>
        </w:rPr>
        <w:t>Feyissa</w:t>
      </w:r>
      <w:proofErr w:type="spellEnd"/>
      <w:r w:rsidRPr="00EC6671">
        <w:rPr>
          <w:rFonts w:ascii="Arial" w:hAnsi="Arial" w:cs="Arial"/>
          <w:iCs/>
          <w:lang w:val="en-IN"/>
        </w:rPr>
        <w:t xml:space="preserve"> D. Identification and resolution of drug-related problems among diabetic patients attending a referral hospital: a prospective observational study. J Pharm Policy </w:t>
      </w:r>
      <w:proofErr w:type="spellStart"/>
      <w:r w:rsidRPr="00EC6671">
        <w:rPr>
          <w:rFonts w:ascii="Arial" w:hAnsi="Arial" w:cs="Arial"/>
          <w:iCs/>
          <w:lang w:val="en-IN"/>
        </w:rPr>
        <w:t>Pract</w:t>
      </w:r>
      <w:proofErr w:type="spellEnd"/>
      <w:r w:rsidRPr="00EC6671">
        <w:rPr>
          <w:rFonts w:ascii="Arial" w:hAnsi="Arial" w:cs="Arial"/>
          <w:iCs/>
          <w:lang w:val="en-IN"/>
        </w:rPr>
        <w:t xml:space="preserve">. 2021 Jun 11;14(1):50. </w:t>
      </w:r>
      <w:proofErr w:type="spellStart"/>
      <w:r w:rsidRPr="00EC6671">
        <w:rPr>
          <w:rFonts w:ascii="Arial" w:hAnsi="Arial" w:cs="Arial"/>
          <w:iCs/>
          <w:lang w:val="en-IN"/>
        </w:rPr>
        <w:t>doi</w:t>
      </w:r>
      <w:proofErr w:type="spellEnd"/>
      <w:r w:rsidRPr="00EC6671">
        <w:rPr>
          <w:rFonts w:ascii="Arial" w:hAnsi="Arial" w:cs="Arial"/>
          <w:iCs/>
          <w:lang w:val="en-IN"/>
        </w:rPr>
        <w:t>: 10.1186/s40545-021-00332-9 PMID: 34116716; PMCID: PMC8194210.</w:t>
      </w:r>
      <w:r w:rsidR="009F7F3C" w:rsidRPr="009F7F3C">
        <w:t xml:space="preserve"> </w:t>
      </w:r>
      <w:r w:rsidR="009F7F3C" w:rsidRPr="009F7F3C">
        <w:rPr>
          <w:rFonts w:ascii="Arial" w:hAnsi="Arial" w:cs="Arial"/>
          <w:iCs/>
          <w:lang w:val="en-IN"/>
        </w:rPr>
        <w:t>DOI: 10.1186/s40545-021-00332-9</w:t>
      </w:r>
      <w:r w:rsidR="009F7F3C">
        <w:rPr>
          <w:rFonts w:ascii="Arial" w:hAnsi="Arial" w:cs="Arial"/>
          <w:iCs/>
          <w:lang w:val="en-IN"/>
        </w:rPr>
        <w:t xml:space="preserve">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7" w:name="_Ref215412487"/>
      <w:r w:rsidR="00E22F0D">
        <w:rPr>
          <w:rFonts w:ascii="Arial" w:hAnsi="Arial" w:cs="Arial"/>
          <w:iCs/>
          <w:noProof/>
          <w:lang w:val="en-IN"/>
        </w:rPr>
        <w:t>5</w:t>
      </w:r>
      <w:bookmarkEnd w:id="17"/>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Abidi</w:t>
      </w:r>
      <w:proofErr w:type="spellEnd"/>
      <w:r w:rsidRPr="00EC6671">
        <w:rPr>
          <w:rFonts w:ascii="Arial" w:hAnsi="Arial" w:cs="Arial"/>
          <w:iCs/>
          <w:lang w:val="en-IN"/>
        </w:rPr>
        <w:t xml:space="preserve">, </w:t>
      </w:r>
      <w:proofErr w:type="spellStart"/>
      <w:r w:rsidRPr="00EC6671">
        <w:rPr>
          <w:rFonts w:ascii="Arial" w:hAnsi="Arial" w:cs="Arial"/>
          <w:iCs/>
          <w:lang w:val="en-IN"/>
        </w:rPr>
        <w:t>Afroz</w:t>
      </w:r>
      <w:proofErr w:type="spellEnd"/>
      <w:r w:rsidRPr="00EC6671">
        <w:rPr>
          <w:rFonts w:ascii="Arial" w:hAnsi="Arial" w:cs="Arial"/>
          <w:iCs/>
          <w:lang w:val="en-IN"/>
        </w:rPr>
        <w:t xml:space="preserve"> &amp; Gupta, Surabhi &amp; </w:t>
      </w:r>
      <w:proofErr w:type="spellStart"/>
      <w:r w:rsidRPr="00EC6671">
        <w:rPr>
          <w:rFonts w:ascii="Arial" w:hAnsi="Arial" w:cs="Arial"/>
          <w:iCs/>
          <w:lang w:val="en-IN"/>
        </w:rPr>
        <w:t>Kansal</w:t>
      </w:r>
      <w:proofErr w:type="spellEnd"/>
      <w:r w:rsidRPr="00EC6671">
        <w:rPr>
          <w:rFonts w:ascii="Arial" w:hAnsi="Arial" w:cs="Arial"/>
          <w:iCs/>
          <w:lang w:val="en-IN"/>
        </w:rPr>
        <w:t xml:space="preserve">, Saurabh &amp; </w:t>
      </w:r>
      <w:proofErr w:type="spellStart"/>
      <w:proofErr w:type="gramStart"/>
      <w:r w:rsidRPr="00EC6671">
        <w:rPr>
          <w:rFonts w:ascii="Arial" w:hAnsi="Arial" w:cs="Arial"/>
          <w:iCs/>
          <w:lang w:val="en-IN"/>
        </w:rPr>
        <w:t>Ramgopal</w:t>
      </w:r>
      <w:proofErr w:type="spellEnd"/>
      <w:r w:rsidRPr="00EC6671">
        <w:rPr>
          <w:rFonts w:ascii="Arial" w:hAnsi="Arial" w:cs="Arial"/>
          <w:iCs/>
          <w:lang w:val="en-IN"/>
        </w:rPr>
        <w:t>,.</w:t>
      </w:r>
      <w:proofErr w:type="gramEnd"/>
      <w:r w:rsidRPr="00EC6671">
        <w:rPr>
          <w:rFonts w:ascii="Arial" w:hAnsi="Arial" w:cs="Arial"/>
          <w:iCs/>
          <w:lang w:val="en-IN"/>
        </w:rPr>
        <w:t xml:space="preserve"> (2012). Prescription auditing and drug utilization pattern in a tertiary care teaching hospital of western UP. International Journal of Basic &amp; Clinical Pharmacology. 1. </w:t>
      </w:r>
      <w:r w:rsidR="009F7F3C" w:rsidRPr="009F7F3C">
        <w:rPr>
          <w:rFonts w:ascii="Arial" w:hAnsi="Arial" w:cs="Arial"/>
          <w:iCs/>
          <w:lang w:val="en-IN"/>
        </w:rPr>
        <w:t>DOI: 10.5455/2319-2003.ijbcp003812</w:t>
      </w:r>
      <w:r w:rsidR="009F7F3C">
        <w:rPr>
          <w:rFonts w:ascii="Arial" w:hAnsi="Arial" w:cs="Arial"/>
          <w:iCs/>
          <w:lang w:val="en-IN"/>
        </w:rPr>
        <w:t xml:space="preserve">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8" w:name="_Ref215412498"/>
      <w:r w:rsidR="00E22F0D">
        <w:rPr>
          <w:rFonts w:ascii="Arial" w:hAnsi="Arial" w:cs="Arial"/>
          <w:iCs/>
          <w:noProof/>
          <w:lang w:val="en-IN"/>
        </w:rPr>
        <w:t>6</w:t>
      </w:r>
      <w:bookmarkEnd w:id="18"/>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Shanmugapriya</w:t>
      </w:r>
      <w:proofErr w:type="spellEnd"/>
      <w:r w:rsidRPr="00EC6671">
        <w:rPr>
          <w:rFonts w:ascii="Arial" w:hAnsi="Arial" w:cs="Arial"/>
          <w:iCs/>
          <w:lang w:val="en-IN"/>
        </w:rPr>
        <w:t xml:space="preserve"> S, Saravanan T, </w:t>
      </w:r>
      <w:proofErr w:type="spellStart"/>
      <w:r w:rsidRPr="00EC6671">
        <w:rPr>
          <w:rFonts w:ascii="Arial" w:hAnsi="Arial" w:cs="Arial"/>
          <w:iCs/>
          <w:lang w:val="en-IN"/>
        </w:rPr>
        <w:t>Rajee</w:t>
      </w:r>
      <w:proofErr w:type="spellEnd"/>
      <w:r w:rsidRPr="00EC6671">
        <w:rPr>
          <w:rFonts w:ascii="Arial" w:hAnsi="Arial" w:cs="Arial"/>
          <w:iCs/>
          <w:lang w:val="en-IN"/>
        </w:rPr>
        <w:t xml:space="preserve"> SS, </w:t>
      </w:r>
      <w:proofErr w:type="spellStart"/>
      <w:r w:rsidRPr="00EC6671">
        <w:rPr>
          <w:rFonts w:ascii="Arial" w:hAnsi="Arial" w:cs="Arial"/>
          <w:iCs/>
          <w:lang w:val="en-IN"/>
        </w:rPr>
        <w:t>Venkatrajan</w:t>
      </w:r>
      <w:proofErr w:type="spellEnd"/>
      <w:r w:rsidRPr="00EC6671">
        <w:rPr>
          <w:rFonts w:ascii="Arial" w:hAnsi="Arial" w:cs="Arial"/>
          <w:iCs/>
          <w:lang w:val="en-IN"/>
        </w:rPr>
        <w:t xml:space="preserve"> R, Thomas PM. Drug prescription pattern of outpatients in a tertiary care teaching hospital in Tamil Nadu. </w:t>
      </w:r>
      <w:proofErr w:type="spellStart"/>
      <w:r w:rsidRPr="00EC6671">
        <w:rPr>
          <w:rFonts w:ascii="Arial" w:hAnsi="Arial" w:cs="Arial"/>
          <w:iCs/>
          <w:lang w:val="en-IN"/>
        </w:rPr>
        <w:t>Perspect</w:t>
      </w:r>
      <w:proofErr w:type="spellEnd"/>
      <w:r w:rsidRPr="00EC6671">
        <w:rPr>
          <w:rFonts w:ascii="Arial" w:hAnsi="Arial" w:cs="Arial"/>
          <w:iCs/>
          <w:lang w:val="en-IN"/>
        </w:rPr>
        <w:t xml:space="preserve"> Clin Res. 2018 Jul-Sep;9(3):133-138. </w:t>
      </w:r>
      <w:proofErr w:type="spellStart"/>
      <w:r w:rsidRPr="00EC6671">
        <w:rPr>
          <w:rFonts w:ascii="Arial" w:hAnsi="Arial" w:cs="Arial"/>
          <w:iCs/>
          <w:lang w:val="en-IN"/>
        </w:rPr>
        <w:t>doi</w:t>
      </w:r>
      <w:proofErr w:type="spellEnd"/>
      <w:r w:rsidRPr="00EC6671">
        <w:rPr>
          <w:rFonts w:ascii="Arial" w:hAnsi="Arial" w:cs="Arial"/>
          <w:iCs/>
          <w:lang w:val="en-IN"/>
        </w:rPr>
        <w:t>: 10.4103/picr.PICR_86_17. PMID: 30090712; PMCID: PMC6058512.</w:t>
      </w:r>
      <w:r w:rsidR="009F7F3C">
        <w:rPr>
          <w:rFonts w:ascii="Arial" w:hAnsi="Arial" w:cs="Arial"/>
          <w:iCs/>
          <w:lang w:val="en-IN"/>
        </w:rPr>
        <w:t xml:space="preserve"> </w:t>
      </w:r>
      <w:r w:rsidR="009F7F3C" w:rsidRPr="009F7F3C">
        <w:rPr>
          <w:rFonts w:ascii="Arial" w:hAnsi="Arial" w:cs="Arial"/>
          <w:iCs/>
          <w:lang w:val="en-IN"/>
        </w:rPr>
        <w:t>DOI: 10.4103/picr.PICR_86_17</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19" w:name="_Ref215412505"/>
      <w:r w:rsidR="00E22F0D">
        <w:rPr>
          <w:rFonts w:ascii="Arial" w:hAnsi="Arial" w:cs="Arial"/>
          <w:iCs/>
          <w:noProof/>
          <w:lang w:val="en-IN"/>
        </w:rPr>
        <w:t>7</w:t>
      </w:r>
      <w:bookmarkEnd w:id="19"/>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Althagafi</w:t>
      </w:r>
      <w:proofErr w:type="spellEnd"/>
      <w:r w:rsidRPr="00EC6671">
        <w:rPr>
          <w:rFonts w:ascii="Arial" w:hAnsi="Arial" w:cs="Arial"/>
          <w:iCs/>
          <w:lang w:val="en-IN"/>
        </w:rPr>
        <w:t xml:space="preserve"> A. Evaluating Clinical Pharmacist Interventions in a Tertiary Care Hospital: A Retrospective Study from Saudi Arabia. Healthcare (Basel). 2025 Oct 2;13(19):2504. </w:t>
      </w:r>
      <w:proofErr w:type="spellStart"/>
      <w:r w:rsidRPr="00EC6671">
        <w:rPr>
          <w:rFonts w:ascii="Arial" w:hAnsi="Arial" w:cs="Arial"/>
          <w:iCs/>
          <w:lang w:val="en-IN"/>
        </w:rPr>
        <w:t>doi</w:t>
      </w:r>
      <w:proofErr w:type="spellEnd"/>
      <w:r w:rsidRPr="00EC6671">
        <w:rPr>
          <w:rFonts w:ascii="Arial" w:hAnsi="Arial" w:cs="Arial"/>
          <w:iCs/>
          <w:lang w:val="en-IN"/>
        </w:rPr>
        <w:t>: 10.3390/healthcare13192504. PMID: 41095590; PMCID: PMC12524669.</w:t>
      </w:r>
      <w:r w:rsidR="009F7F3C">
        <w:rPr>
          <w:rFonts w:ascii="Arial" w:hAnsi="Arial" w:cs="Arial"/>
          <w:iCs/>
          <w:lang w:val="en-IN"/>
        </w:rPr>
        <w:t xml:space="preserve">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0" w:name="_Ref215412512"/>
      <w:r w:rsidR="00E22F0D">
        <w:rPr>
          <w:rFonts w:ascii="Arial" w:hAnsi="Arial" w:cs="Arial"/>
          <w:iCs/>
          <w:noProof/>
          <w:lang w:val="en-IN"/>
        </w:rPr>
        <w:t>8</w:t>
      </w:r>
      <w:bookmarkEnd w:id="20"/>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Mekonnen</w:t>
      </w:r>
      <w:proofErr w:type="spellEnd"/>
      <w:r w:rsidRPr="00EC6671">
        <w:rPr>
          <w:rFonts w:ascii="Arial" w:hAnsi="Arial" w:cs="Arial"/>
          <w:iCs/>
          <w:lang w:val="en-IN"/>
        </w:rPr>
        <w:t xml:space="preserve"> AB, McLachlan AJ, Brien JA. Effectiveness of pharmacist-led medication reconciliation programmes on clinical outcomes at hospital transitions: a systematic review and meta-analysis. BMJ Open. 2016 Feb 23;6(2</w:t>
      </w:r>
      <w:proofErr w:type="gramStart"/>
      <w:r w:rsidRPr="00EC6671">
        <w:rPr>
          <w:rFonts w:ascii="Arial" w:hAnsi="Arial" w:cs="Arial"/>
          <w:iCs/>
          <w:lang w:val="en-IN"/>
        </w:rPr>
        <w:t>):e</w:t>
      </w:r>
      <w:proofErr w:type="gramEnd"/>
      <w:r w:rsidRPr="00EC6671">
        <w:rPr>
          <w:rFonts w:ascii="Arial" w:hAnsi="Arial" w:cs="Arial"/>
          <w:iCs/>
          <w:lang w:val="en-IN"/>
        </w:rPr>
        <w:t xml:space="preserve">010003. </w:t>
      </w:r>
      <w:proofErr w:type="spellStart"/>
      <w:r w:rsidRPr="00EC6671">
        <w:rPr>
          <w:rFonts w:ascii="Arial" w:hAnsi="Arial" w:cs="Arial"/>
          <w:iCs/>
          <w:lang w:val="en-IN"/>
        </w:rPr>
        <w:t>doi</w:t>
      </w:r>
      <w:proofErr w:type="spellEnd"/>
      <w:r w:rsidRPr="00EC6671">
        <w:rPr>
          <w:rFonts w:ascii="Arial" w:hAnsi="Arial" w:cs="Arial"/>
          <w:iCs/>
          <w:lang w:val="en-IN"/>
        </w:rPr>
        <w:t>: 10.1136/bmjopen-2015-010003. PMID: 26908524; PMCID: PMC4769405.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1" w:name="_Ref215412668"/>
      <w:r w:rsidR="00E22F0D">
        <w:rPr>
          <w:rFonts w:ascii="Arial" w:hAnsi="Arial" w:cs="Arial"/>
          <w:iCs/>
          <w:noProof/>
          <w:lang w:val="en-IN"/>
        </w:rPr>
        <w:t>9</w:t>
      </w:r>
      <w:bookmarkEnd w:id="21"/>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AbuRuz</w:t>
      </w:r>
      <w:proofErr w:type="spellEnd"/>
      <w:r w:rsidRPr="00EC6671">
        <w:rPr>
          <w:rFonts w:ascii="Arial" w:hAnsi="Arial" w:cs="Arial"/>
          <w:iCs/>
          <w:lang w:val="en-IN"/>
        </w:rPr>
        <w:t xml:space="preserve"> S, Jaber D, </w:t>
      </w:r>
      <w:proofErr w:type="spellStart"/>
      <w:r w:rsidRPr="00EC6671">
        <w:rPr>
          <w:rFonts w:ascii="Arial" w:hAnsi="Arial" w:cs="Arial"/>
          <w:iCs/>
          <w:lang w:val="en-IN"/>
        </w:rPr>
        <w:t>Basheti</w:t>
      </w:r>
      <w:proofErr w:type="spellEnd"/>
      <w:r w:rsidRPr="00EC6671">
        <w:rPr>
          <w:rFonts w:ascii="Arial" w:hAnsi="Arial" w:cs="Arial"/>
          <w:iCs/>
          <w:lang w:val="en-IN"/>
        </w:rPr>
        <w:t xml:space="preserve"> I, </w:t>
      </w:r>
      <w:proofErr w:type="spellStart"/>
      <w:r w:rsidRPr="00EC6671">
        <w:rPr>
          <w:rFonts w:ascii="Arial" w:hAnsi="Arial" w:cs="Arial"/>
          <w:iCs/>
          <w:lang w:val="en-IN"/>
        </w:rPr>
        <w:t>Sadeq</w:t>
      </w:r>
      <w:proofErr w:type="spellEnd"/>
      <w:r w:rsidRPr="00EC6671">
        <w:rPr>
          <w:rFonts w:ascii="Arial" w:hAnsi="Arial" w:cs="Arial"/>
          <w:iCs/>
          <w:lang w:val="en-IN"/>
        </w:rPr>
        <w:t xml:space="preserve"> A, Arafat M, </w:t>
      </w:r>
      <w:proofErr w:type="spellStart"/>
      <w:r w:rsidRPr="00EC6671">
        <w:rPr>
          <w:rFonts w:ascii="Arial" w:hAnsi="Arial" w:cs="Arial"/>
          <w:iCs/>
          <w:lang w:val="en-IN"/>
        </w:rPr>
        <w:t>AlAhmad</w:t>
      </w:r>
      <w:proofErr w:type="spellEnd"/>
      <w:r w:rsidRPr="00EC6671">
        <w:rPr>
          <w:rFonts w:ascii="Arial" w:hAnsi="Arial" w:cs="Arial"/>
          <w:iCs/>
          <w:lang w:val="en-IN"/>
        </w:rPr>
        <w:t xml:space="preserve"> M, Said A. Impact of pharmacist interventions on drug-related problems in general surgery patients: a randomised controlled trial. Eur J Hosp Pharm. 2021 Nov;28(</w:t>
      </w:r>
      <w:proofErr w:type="spellStart"/>
      <w:r w:rsidRPr="00EC6671">
        <w:rPr>
          <w:rFonts w:ascii="Arial" w:hAnsi="Arial" w:cs="Arial"/>
          <w:iCs/>
          <w:lang w:val="en-IN"/>
        </w:rPr>
        <w:t>Suppl</w:t>
      </w:r>
      <w:proofErr w:type="spellEnd"/>
      <w:r w:rsidRPr="00EC6671">
        <w:rPr>
          <w:rFonts w:ascii="Arial" w:hAnsi="Arial" w:cs="Arial"/>
          <w:iCs/>
          <w:lang w:val="en-IN"/>
        </w:rPr>
        <w:t xml:space="preserve"> 2</w:t>
      </w:r>
      <w:proofErr w:type="gramStart"/>
      <w:r w:rsidRPr="00EC6671">
        <w:rPr>
          <w:rFonts w:ascii="Arial" w:hAnsi="Arial" w:cs="Arial"/>
          <w:iCs/>
          <w:lang w:val="en-IN"/>
        </w:rPr>
        <w:t>):e</w:t>
      </w:r>
      <w:proofErr w:type="gramEnd"/>
      <w:r w:rsidRPr="00EC6671">
        <w:rPr>
          <w:rFonts w:ascii="Arial" w:hAnsi="Arial" w:cs="Arial"/>
          <w:iCs/>
          <w:lang w:val="en-IN"/>
        </w:rPr>
        <w:t xml:space="preserve">72-e78. </w:t>
      </w:r>
      <w:proofErr w:type="spellStart"/>
      <w:r w:rsidRPr="00EC6671">
        <w:rPr>
          <w:rFonts w:ascii="Arial" w:hAnsi="Arial" w:cs="Arial"/>
          <w:iCs/>
          <w:lang w:val="en-IN"/>
        </w:rPr>
        <w:t>doi</w:t>
      </w:r>
      <w:proofErr w:type="spellEnd"/>
      <w:r w:rsidRPr="00EC6671">
        <w:rPr>
          <w:rFonts w:ascii="Arial" w:hAnsi="Arial" w:cs="Arial"/>
          <w:iCs/>
          <w:lang w:val="en-IN"/>
        </w:rPr>
        <w:t>: 10.1136/ejhpharm-2020-002206. </w:t>
      </w:r>
      <w:proofErr w:type="spellStart"/>
      <w:r w:rsidRPr="00EC6671">
        <w:rPr>
          <w:rFonts w:ascii="Arial" w:hAnsi="Arial" w:cs="Arial"/>
          <w:iCs/>
          <w:lang w:val="en-IN"/>
        </w:rPr>
        <w:t>Epub</w:t>
      </w:r>
      <w:proofErr w:type="spellEnd"/>
      <w:r w:rsidRPr="00EC6671">
        <w:rPr>
          <w:rFonts w:ascii="Arial" w:hAnsi="Arial" w:cs="Arial"/>
          <w:iCs/>
          <w:lang w:val="en-IN"/>
        </w:rPr>
        <w:t> 2020 Jul 13. PMID: 32661104; PMCID: PMC8640438.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2" w:name="_Ref215412705"/>
      <w:r w:rsidR="00E22F0D">
        <w:rPr>
          <w:rFonts w:ascii="Arial" w:hAnsi="Arial" w:cs="Arial"/>
          <w:iCs/>
          <w:noProof/>
          <w:lang w:val="en-IN"/>
        </w:rPr>
        <w:t>10</w:t>
      </w:r>
      <w:bookmarkEnd w:id="22"/>
      <w:r w:rsidRPr="00EC6671">
        <w:rPr>
          <w:rFonts w:ascii="Arial" w:hAnsi="Arial" w:cs="Arial"/>
        </w:rPr>
        <w:fldChar w:fldCharType="end"/>
      </w:r>
      <w:r w:rsidRPr="00EC6671">
        <w:rPr>
          <w:rFonts w:ascii="Arial" w:hAnsi="Arial" w:cs="Arial"/>
          <w:iCs/>
          <w:lang w:val="en-IN"/>
        </w:rPr>
        <w:t xml:space="preserve">: Mittal N, Mittal R, Singh I, Shafiq N, Malhotra S. Drug utilisation study in a tertiary care </w:t>
      </w:r>
      <w:proofErr w:type="spellStart"/>
      <w:r w:rsidRPr="00EC6671">
        <w:rPr>
          <w:rFonts w:ascii="Arial" w:hAnsi="Arial" w:cs="Arial"/>
          <w:iCs/>
          <w:lang w:val="en-IN"/>
        </w:rPr>
        <w:t>center</w:t>
      </w:r>
      <w:proofErr w:type="spellEnd"/>
      <w:r w:rsidRPr="00EC6671">
        <w:rPr>
          <w:rFonts w:ascii="Arial" w:hAnsi="Arial" w:cs="Arial"/>
          <w:iCs/>
          <w:lang w:val="en-IN"/>
        </w:rPr>
        <w:t>: recommendations for improving hospital drug dispensing policies. Indian J Pharm Sci. 2014 Jul;76(4):308-14. PMID: 25284928; PMCID: PMC4171867</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3" w:name="_Ref215412676"/>
      <w:r w:rsidR="00E22F0D">
        <w:rPr>
          <w:rFonts w:ascii="Arial" w:hAnsi="Arial" w:cs="Arial"/>
          <w:iCs/>
          <w:noProof/>
          <w:lang w:val="en-IN"/>
        </w:rPr>
        <w:t>11</w:t>
      </w:r>
      <w:bookmarkEnd w:id="23"/>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Tharanon</w:t>
      </w:r>
      <w:proofErr w:type="spellEnd"/>
      <w:r w:rsidRPr="00EC6671">
        <w:rPr>
          <w:rFonts w:ascii="Arial" w:hAnsi="Arial" w:cs="Arial"/>
          <w:iCs/>
          <w:lang w:val="en-IN"/>
        </w:rPr>
        <w:t xml:space="preserve"> V, </w:t>
      </w:r>
      <w:proofErr w:type="spellStart"/>
      <w:r w:rsidRPr="00EC6671">
        <w:rPr>
          <w:rFonts w:ascii="Arial" w:hAnsi="Arial" w:cs="Arial"/>
          <w:iCs/>
          <w:lang w:val="en-IN"/>
        </w:rPr>
        <w:t>Putthipokin</w:t>
      </w:r>
      <w:proofErr w:type="spellEnd"/>
      <w:r w:rsidRPr="00EC6671">
        <w:rPr>
          <w:rFonts w:ascii="Arial" w:hAnsi="Arial" w:cs="Arial"/>
          <w:iCs/>
          <w:lang w:val="en-IN"/>
        </w:rPr>
        <w:t xml:space="preserve"> K, </w:t>
      </w:r>
      <w:proofErr w:type="spellStart"/>
      <w:r w:rsidRPr="00EC6671">
        <w:rPr>
          <w:rFonts w:ascii="Arial" w:hAnsi="Arial" w:cs="Arial"/>
          <w:iCs/>
          <w:lang w:val="en-IN"/>
        </w:rPr>
        <w:t>Sakthong</w:t>
      </w:r>
      <w:proofErr w:type="spellEnd"/>
      <w:r w:rsidRPr="00EC6671">
        <w:rPr>
          <w:rFonts w:ascii="Arial" w:hAnsi="Arial" w:cs="Arial"/>
          <w:iCs/>
          <w:lang w:val="en-IN"/>
        </w:rPr>
        <w:t xml:space="preserve"> P. Drug-related problems identified during pharmaceutical care interventions in an intensive care unit at a tertiary university hospital. SAGE Open Med. 2022 Apr </w:t>
      </w:r>
      <w:proofErr w:type="gramStart"/>
      <w:r w:rsidRPr="00EC6671">
        <w:rPr>
          <w:rFonts w:ascii="Arial" w:hAnsi="Arial" w:cs="Arial"/>
          <w:iCs/>
          <w:lang w:val="en-IN"/>
        </w:rPr>
        <w:t>19;10:20503121221090881</w:t>
      </w:r>
      <w:proofErr w:type="gramEnd"/>
      <w:r w:rsidRPr="00EC6671">
        <w:rPr>
          <w:rFonts w:ascii="Arial" w:hAnsi="Arial" w:cs="Arial"/>
          <w:iCs/>
          <w:lang w:val="en-IN"/>
        </w:rPr>
        <w:t xml:space="preserve">. </w:t>
      </w:r>
      <w:proofErr w:type="spellStart"/>
      <w:r w:rsidRPr="00EC6671">
        <w:rPr>
          <w:rFonts w:ascii="Arial" w:hAnsi="Arial" w:cs="Arial"/>
          <w:iCs/>
          <w:lang w:val="en-IN"/>
        </w:rPr>
        <w:t>doi</w:t>
      </w:r>
      <w:proofErr w:type="spellEnd"/>
      <w:r w:rsidRPr="00EC6671">
        <w:rPr>
          <w:rFonts w:ascii="Arial" w:hAnsi="Arial" w:cs="Arial"/>
          <w:iCs/>
          <w:lang w:val="en-IN"/>
        </w:rPr>
        <w:t xml:space="preserve">: 10.1177/20503121221090881. PMID: 35465635; PMCID: PMC9021480.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lastRenderedPageBreak/>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4" w:name="_Ref215412712"/>
      <w:r w:rsidR="00E22F0D">
        <w:rPr>
          <w:rFonts w:ascii="Arial" w:hAnsi="Arial" w:cs="Arial"/>
          <w:iCs/>
          <w:noProof/>
          <w:lang w:val="en-IN"/>
        </w:rPr>
        <w:t>12</w:t>
      </w:r>
      <w:bookmarkEnd w:id="24"/>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Ayalew</w:t>
      </w:r>
      <w:proofErr w:type="spellEnd"/>
      <w:r w:rsidRPr="00EC6671">
        <w:rPr>
          <w:rFonts w:ascii="Arial" w:hAnsi="Arial" w:cs="Arial"/>
          <w:iCs/>
          <w:lang w:val="en-IN"/>
        </w:rPr>
        <w:t xml:space="preserve"> MB, </w:t>
      </w:r>
      <w:proofErr w:type="spellStart"/>
      <w:r w:rsidRPr="00EC6671">
        <w:rPr>
          <w:rFonts w:ascii="Arial" w:hAnsi="Arial" w:cs="Arial"/>
          <w:iCs/>
          <w:lang w:val="en-IN"/>
        </w:rPr>
        <w:t>Tegegn</w:t>
      </w:r>
      <w:proofErr w:type="spellEnd"/>
      <w:r w:rsidRPr="00EC6671">
        <w:rPr>
          <w:rFonts w:ascii="Arial" w:hAnsi="Arial" w:cs="Arial"/>
          <w:iCs/>
          <w:lang w:val="en-IN"/>
        </w:rPr>
        <w:t xml:space="preserve"> HG, </w:t>
      </w:r>
      <w:proofErr w:type="spellStart"/>
      <w:r w:rsidRPr="00EC6671">
        <w:rPr>
          <w:rFonts w:ascii="Arial" w:hAnsi="Arial" w:cs="Arial"/>
          <w:iCs/>
          <w:lang w:val="en-IN"/>
        </w:rPr>
        <w:t>Abdela</w:t>
      </w:r>
      <w:proofErr w:type="spellEnd"/>
      <w:r w:rsidRPr="00EC6671">
        <w:rPr>
          <w:rFonts w:ascii="Arial" w:hAnsi="Arial" w:cs="Arial"/>
          <w:iCs/>
          <w:lang w:val="en-IN"/>
        </w:rPr>
        <w:t xml:space="preserve"> OA. Drug Related Hospital Admissions; A Systematic Review of the Recent Literatures. Bull </w:t>
      </w:r>
      <w:proofErr w:type="spellStart"/>
      <w:r w:rsidRPr="00EC6671">
        <w:rPr>
          <w:rFonts w:ascii="Arial" w:hAnsi="Arial" w:cs="Arial"/>
          <w:iCs/>
          <w:lang w:val="en-IN"/>
        </w:rPr>
        <w:t>Emerg</w:t>
      </w:r>
      <w:proofErr w:type="spellEnd"/>
      <w:r w:rsidRPr="00EC6671">
        <w:rPr>
          <w:rFonts w:ascii="Arial" w:hAnsi="Arial" w:cs="Arial"/>
          <w:iCs/>
          <w:lang w:val="en-IN"/>
        </w:rPr>
        <w:t xml:space="preserve"> Trauma. 2019 Oct;7(4):339-346. </w:t>
      </w:r>
      <w:proofErr w:type="spellStart"/>
      <w:r w:rsidRPr="00EC6671">
        <w:rPr>
          <w:rFonts w:ascii="Arial" w:hAnsi="Arial" w:cs="Arial"/>
          <w:iCs/>
          <w:lang w:val="en-IN"/>
        </w:rPr>
        <w:t>doi</w:t>
      </w:r>
      <w:proofErr w:type="spellEnd"/>
      <w:r w:rsidRPr="00EC6671">
        <w:rPr>
          <w:rFonts w:ascii="Arial" w:hAnsi="Arial" w:cs="Arial"/>
          <w:iCs/>
          <w:lang w:val="en-IN"/>
        </w:rPr>
        <w:t>: 10.29252/beat-070401. PMID: 31857995; PMCID: PMC6911719.</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5" w:name="_Ref215412875"/>
      <w:r w:rsidR="00E22F0D">
        <w:rPr>
          <w:rFonts w:ascii="Arial" w:hAnsi="Arial" w:cs="Arial"/>
          <w:iCs/>
          <w:noProof/>
          <w:lang w:val="en-IN"/>
        </w:rPr>
        <w:t>13</w:t>
      </w:r>
      <w:bookmarkEnd w:id="25"/>
      <w:r w:rsidRPr="00EC6671">
        <w:rPr>
          <w:rFonts w:ascii="Arial" w:hAnsi="Arial" w:cs="Arial"/>
        </w:rPr>
        <w:fldChar w:fldCharType="end"/>
      </w:r>
      <w:r w:rsidRPr="00EC6671">
        <w:rPr>
          <w:rFonts w:ascii="Arial" w:hAnsi="Arial" w:cs="Arial"/>
          <w:iCs/>
          <w:lang w:val="en-IN"/>
        </w:rPr>
        <w:t xml:space="preserve">: Ali Hussain </w:t>
      </w:r>
      <w:proofErr w:type="spellStart"/>
      <w:r w:rsidRPr="00EC6671">
        <w:rPr>
          <w:rFonts w:ascii="Arial" w:hAnsi="Arial" w:cs="Arial"/>
          <w:iCs/>
          <w:lang w:val="en-IN"/>
        </w:rPr>
        <w:t>Alsayed</w:t>
      </w:r>
      <w:proofErr w:type="spellEnd"/>
      <w:r w:rsidRPr="00EC6671">
        <w:rPr>
          <w:rFonts w:ascii="Arial" w:hAnsi="Arial" w:cs="Arial"/>
          <w:iCs/>
          <w:lang w:val="en-IN"/>
        </w:rPr>
        <w:t xml:space="preserve"> H, Saheb Sharif-Askari F, Saheb Sharif-Askari N, </w:t>
      </w:r>
      <w:proofErr w:type="spellStart"/>
      <w:r w:rsidRPr="00EC6671">
        <w:rPr>
          <w:rFonts w:ascii="Arial" w:hAnsi="Arial" w:cs="Arial"/>
          <w:iCs/>
          <w:lang w:val="en-IN"/>
        </w:rPr>
        <w:t>Halwani</w:t>
      </w:r>
      <w:proofErr w:type="spellEnd"/>
      <w:r w:rsidRPr="00EC6671">
        <w:rPr>
          <w:rFonts w:ascii="Arial" w:hAnsi="Arial" w:cs="Arial"/>
          <w:iCs/>
          <w:lang w:val="en-IN"/>
        </w:rPr>
        <w:t xml:space="preserve"> R. Clinical pharmacist interventions in an intensive care unit reduces ICU mortality at a tertiary hospital in Dubai, United Arab Emirates. </w:t>
      </w:r>
      <w:proofErr w:type="spellStart"/>
      <w:r w:rsidRPr="00EC6671">
        <w:rPr>
          <w:rFonts w:ascii="Arial" w:hAnsi="Arial" w:cs="Arial"/>
          <w:iCs/>
          <w:lang w:val="en-IN"/>
        </w:rPr>
        <w:t>Explor</w:t>
      </w:r>
      <w:proofErr w:type="spellEnd"/>
      <w:r w:rsidRPr="00EC6671">
        <w:rPr>
          <w:rFonts w:ascii="Arial" w:hAnsi="Arial" w:cs="Arial"/>
          <w:iCs/>
          <w:lang w:val="en-IN"/>
        </w:rPr>
        <w:t xml:space="preserve"> Res Clin Soc Pharm. 2024 Mar </w:t>
      </w:r>
      <w:proofErr w:type="gramStart"/>
      <w:r w:rsidRPr="00EC6671">
        <w:rPr>
          <w:rFonts w:ascii="Arial" w:hAnsi="Arial" w:cs="Arial"/>
          <w:iCs/>
          <w:lang w:val="en-IN"/>
        </w:rPr>
        <w:t>9;14:100431</w:t>
      </w:r>
      <w:proofErr w:type="gramEnd"/>
      <w:r w:rsidRPr="00EC6671">
        <w:rPr>
          <w:rFonts w:ascii="Arial" w:hAnsi="Arial" w:cs="Arial"/>
          <w:iCs/>
          <w:lang w:val="en-IN"/>
        </w:rPr>
        <w:t xml:space="preserve">. </w:t>
      </w:r>
      <w:proofErr w:type="spellStart"/>
      <w:r w:rsidRPr="00EC6671">
        <w:rPr>
          <w:rFonts w:ascii="Arial" w:hAnsi="Arial" w:cs="Arial"/>
          <w:iCs/>
          <w:lang w:val="en-IN"/>
        </w:rPr>
        <w:t>doi</w:t>
      </w:r>
      <w:proofErr w:type="spellEnd"/>
      <w:r w:rsidRPr="00EC6671">
        <w:rPr>
          <w:rFonts w:ascii="Arial" w:hAnsi="Arial" w:cs="Arial"/>
          <w:iCs/>
          <w:lang w:val="en-IN"/>
        </w:rPr>
        <w:t xml:space="preserve">: 10.1016/j.rcsop.2024.100431. PMID: 38533449; PMCID: PMC10963309. </w:t>
      </w:r>
    </w:p>
    <w:p w:rsidR="001C292E" w:rsidRPr="00EC6671" w:rsidRDefault="001C292E" w:rsidP="001C292E">
      <w:pPr>
        <w:pStyle w:val="Body"/>
        <w:spacing w:after="0" w:line="276" w:lineRule="auto"/>
        <w:rPr>
          <w:rFonts w:ascii="Arial" w:hAnsi="Arial" w:cs="Arial"/>
          <w:iCs/>
          <w:lang w:val="en-IN"/>
        </w:rPr>
      </w:pPr>
    </w:p>
    <w:p w:rsid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6" w:name="_Ref215412891"/>
      <w:r w:rsidR="00E22F0D">
        <w:rPr>
          <w:rFonts w:ascii="Arial" w:hAnsi="Arial" w:cs="Arial"/>
          <w:iCs/>
          <w:noProof/>
          <w:lang w:val="en-IN"/>
        </w:rPr>
        <w:t>14</w:t>
      </w:r>
      <w:bookmarkEnd w:id="26"/>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Viktil</w:t>
      </w:r>
      <w:proofErr w:type="spellEnd"/>
      <w:r w:rsidRPr="00EC6671">
        <w:rPr>
          <w:rFonts w:ascii="Arial" w:hAnsi="Arial" w:cs="Arial"/>
          <w:iCs/>
          <w:lang w:val="en-IN"/>
        </w:rPr>
        <w:t xml:space="preserve"> KK, Blix HS. The impact of clinical pharmacists on drug-related problems and clinical outcomes. Basic Clin </w:t>
      </w:r>
      <w:proofErr w:type="spellStart"/>
      <w:r w:rsidRPr="00EC6671">
        <w:rPr>
          <w:rFonts w:ascii="Arial" w:hAnsi="Arial" w:cs="Arial"/>
          <w:iCs/>
          <w:lang w:val="en-IN"/>
        </w:rPr>
        <w:t>Pharmacol</w:t>
      </w:r>
      <w:proofErr w:type="spellEnd"/>
      <w:r w:rsidRPr="00EC6671">
        <w:rPr>
          <w:rFonts w:ascii="Arial" w:hAnsi="Arial" w:cs="Arial"/>
          <w:iCs/>
          <w:lang w:val="en-IN"/>
        </w:rPr>
        <w:t xml:space="preserve"> </w:t>
      </w:r>
      <w:proofErr w:type="spellStart"/>
      <w:r w:rsidRPr="00EC6671">
        <w:rPr>
          <w:rFonts w:ascii="Arial" w:hAnsi="Arial" w:cs="Arial"/>
          <w:iCs/>
          <w:lang w:val="en-IN"/>
        </w:rPr>
        <w:t>Toxicol</w:t>
      </w:r>
      <w:proofErr w:type="spellEnd"/>
      <w:r w:rsidRPr="00EC6671">
        <w:rPr>
          <w:rFonts w:ascii="Arial" w:hAnsi="Arial" w:cs="Arial"/>
          <w:iCs/>
          <w:lang w:val="en-IN"/>
        </w:rPr>
        <w:t xml:space="preserve">. 2008 Mar;102(3):275-80. </w:t>
      </w:r>
      <w:proofErr w:type="spellStart"/>
      <w:r w:rsidRPr="00EC6671">
        <w:rPr>
          <w:rFonts w:ascii="Arial" w:hAnsi="Arial" w:cs="Arial"/>
          <w:iCs/>
          <w:lang w:val="en-IN"/>
        </w:rPr>
        <w:t>doi</w:t>
      </w:r>
      <w:proofErr w:type="spellEnd"/>
      <w:r w:rsidRPr="00EC6671">
        <w:rPr>
          <w:rFonts w:ascii="Arial" w:hAnsi="Arial" w:cs="Arial"/>
          <w:iCs/>
          <w:lang w:val="en-IN"/>
        </w:rPr>
        <w:t>: 10.1111/j.1742-7843.2007.</w:t>
      </w:r>
      <w:proofErr w:type="gramStart"/>
      <w:r w:rsidRPr="00EC6671">
        <w:rPr>
          <w:rFonts w:ascii="Arial" w:hAnsi="Arial" w:cs="Arial"/>
          <w:iCs/>
          <w:lang w:val="en-IN"/>
        </w:rPr>
        <w:t>00206.x.</w:t>
      </w:r>
      <w:proofErr w:type="gramEnd"/>
      <w:r w:rsidRPr="00EC6671">
        <w:rPr>
          <w:rFonts w:ascii="Arial" w:hAnsi="Arial" w:cs="Arial"/>
          <w:iCs/>
          <w:lang w:val="en-IN"/>
        </w:rPr>
        <w:t xml:space="preserve"> </w:t>
      </w:r>
      <w:proofErr w:type="spellStart"/>
      <w:r w:rsidRPr="00EC6671">
        <w:rPr>
          <w:rFonts w:ascii="Arial" w:hAnsi="Arial" w:cs="Arial"/>
          <w:iCs/>
          <w:lang w:val="en-IN"/>
        </w:rPr>
        <w:t>Epub</w:t>
      </w:r>
      <w:proofErr w:type="spellEnd"/>
      <w:r w:rsidRPr="00EC6671">
        <w:rPr>
          <w:rFonts w:ascii="Arial" w:hAnsi="Arial" w:cs="Arial"/>
          <w:iCs/>
          <w:lang w:val="en-IN"/>
        </w:rPr>
        <w:t xml:space="preserve"> 2008 Jan 30. PMID: 18248511.</w:t>
      </w:r>
    </w:p>
    <w:p w:rsidR="001C292E" w:rsidRPr="00EC6671" w:rsidRDefault="001C292E" w:rsidP="001C292E">
      <w:pPr>
        <w:pStyle w:val="Body"/>
        <w:spacing w:after="0" w:line="276" w:lineRule="auto"/>
        <w:rPr>
          <w:rFonts w:ascii="Arial" w:hAnsi="Arial" w:cs="Arial"/>
          <w:iCs/>
          <w:lang w:val="en-IN"/>
        </w:rPr>
      </w:pPr>
    </w:p>
    <w:p w:rsidR="00EC6671" w:rsidRPr="00EC6671" w:rsidRDefault="00EC6671" w:rsidP="001C292E">
      <w:pPr>
        <w:pStyle w:val="Body"/>
        <w:spacing w:after="0" w:line="276" w:lineRule="auto"/>
        <w:rPr>
          <w:rFonts w:ascii="Arial" w:hAnsi="Arial" w:cs="Arial"/>
          <w:iCs/>
          <w:lang w:val="en-IN"/>
        </w:rPr>
      </w:pPr>
      <w:r w:rsidRPr="00EC6671">
        <w:rPr>
          <w:rFonts w:ascii="Arial" w:hAnsi="Arial" w:cs="Arial"/>
          <w:iCs/>
          <w:lang w:val="en-IN"/>
        </w:rPr>
        <w:fldChar w:fldCharType="begin"/>
      </w:r>
      <w:r w:rsidRPr="00EC6671">
        <w:rPr>
          <w:rFonts w:ascii="Arial" w:hAnsi="Arial" w:cs="Arial"/>
          <w:iCs/>
          <w:lang w:val="en-IN"/>
        </w:rPr>
        <w:instrText xml:space="preserve"> SEQ reference \* ARABIC </w:instrText>
      </w:r>
      <w:r w:rsidRPr="00EC6671">
        <w:rPr>
          <w:rFonts w:ascii="Arial" w:hAnsi="Arial" w:cs="Arial"/>
          <w:iCs/>
          <w:lang w:val="en-IN"/>
        </w:rPr>
        <w:fldChar w:fldCharType="separate"/>
      </w:r>
      <w:bookmarkStart w:id="27" w:name="_Ref215412867"/>
      <w:r w:rsidR="00E22F0D">
        <w:rPr>
          <w:rFonts w:ascii="Arial" w:hAnsi="Arial" w:cs="Arial"/>
          <w:iCs/>
          <w:noProof/>
          <w:lang w:val="en-IN"/>
        </w:rPr>
        <w:t>15</w:t>
      </w:r>
      <w:bookmarkEnd w:id="27"/>
      <w:r w:rsidRPr="00EC6671">
        <w:rPr>
          <w:rFonts w:ascii="Arial" w:hAnsi="Arial" w:cs="Arial"/>
        </w:rPr>
        <w:fldChar w:fldCharType="end"/>
      </w:r>
      <w:r w:rsidRPr="00EC6671">
        <w:rPr>
          <w:rFonts w:ascii="Arial" w:hAnsi="Arial" w:cs="Arial"/>
          <w:iCs/>
          <w:lang w:val="en-IN"/>
        </w:rPr>
        <w:t xml:space="preserve">: </w:t>
      </w:r>
      <w:proofErr w:type="spellStart"/>
      <w:r w:rsidRPr="00EC6671">
        <w:rPr>
          <w:rFonts w:ascii="Arial" w:hAnsi="Arial" w:cs="Arial"/>
          <w:iCs/>
          <w:lang w:val="en-IN"/>
        </w:rPr>
        <w:t>Ylä-Rautio</w:t>
      </w:r>
      <w:proofErr w:type="spellEnd"/>
      <w:r w:rsidRPr="00EC6671">
        <w:rPr>
          <w:rFonts w:ascii="Arial" w:hAnsi="Arial" w:cs="Arial"/>
          <w:iCs/>
          <w:lang w:val="en-IN"/>
        </w:rPr>
        <w:t xml:space="preserve"> H, </w:t>
      </w:r>
      <w:proofErr w:type="spellStart"/>
      <w:r w:rsidRPr="00EC6671">
        <w:rPr>
          <w:rFonts w:ascii="Arial" w:hAnsi="Arial" w:cs="Arial"/>
          <w:iCs/>
          <w:lang w:val="en-IN"/>
        </w:rPr>
        <w:t>Siissalo</w:t>
      </w:r>
      <w:proofErr w:type="spellEnd"/>
      <w:r w:rsidRPr="00EC6671">
        <w:rPr>
          <w:rFonts w:ascii="Arial" w:hAnsi="Arial" w:cs="Arial"/>
          <w:iCs/>
          <w:lang w:val="en-IN"/>
        </w:rPr>
        <w:t xml:space="preserve"> S, </w:t>
      </w:r>
      <w:proofErr w:type="spellStart"/>
      <w:r w:rsidRPr="00EC6671">
        <w:rPr>
          <w:rFonts w:ascii="Arial" w:hAnsi="Arial" w:cs="Arial"/>
          <w:iCs/>
          <w:lang w:val="en-IN"/>
        </w:rPr>
        <w:t>Leikola</w:t>
      </w:r>
      <w:proofErr w:type="spellEnd"/>
      <w:r w:rsidRPr="00EC6671">
        <w:rPr>
          <w:rFonts w:ascii="Arial" w:hAnsi="Arial" w:cs="Arial"/>
          <w:iCs/>
          <w:lang w:val="en-IN"/>
        </w:rPr>
        <w:t xml:space="preserve"> S. Drug-related problems and pharmacy interventions in non-prescription medication, with a focus on high-risk over-the-counter medications. Int J Clin Pharm. 2020 Apr;42(2):786-795. </w:t>
      </w:r>
      <w:proofErr w:type="spellStart"/>
      <w:r w:rsidRPr="00EC6671">
        <w:rPr>
          <w:rFonts w:ascii="Arial" w:hAnsi="Arial" w:cs="Arial"/>
          <w:iCs/>
          <w:lang w:val="en-IN"/>
        </w:rPr>
        <w:t>doi</w:t>
      </w:r>
      <w:proofErr w:type="spellEnd"/>
      <w:r w:rsidRPr="00EC6671">
        <w:rPr>
          <w:rFonts w:ascii="Arial" w:hAnsi="Arial" w:cs="Arial"/>
          <w:iCs/>
          <w:lang w:val="en-IN"/>
        </w:rPr>
        <w:t>: 10.1007/s11096-020-00984-8.</w:t>
      </w:r>
      <w:proofErr w:type="spellStart"/>
      <w:r w:rsidRPr="00EC6671">
        <w:rPr>
          <w:rFonts w:ascii="Arial" w:hAnsi="Arial" w:cs="Arial"/>
          <w:iCs/>
        </w:rPr>
        <w:t>Epub</w:t>
      </w:r>
      <w:proofErr w:type="spellEnd"/>
      <w:r w:rsidRPr="00EC6671">
        <w:rPr>
          <w:rFonts w:ascii="Arial" w:hAnsi="Arial" w:cs="Arial"/>
          <w:iCs/>
        </w:rPr>
        <w:t xml:space="preserve"> 2020 Feb 20. PMID: 32078108; PMCID: PMC7192881.</w:t>
      </w:r>
    </w:p>
    <w:p w:rsidR="00B01FCD" w:rsidRPr="00FB3A86" w:rsidRDefault="00B01FCD" w:rsidP="001C292E">
      <w:pPr>
        <w:pStyle w:val="Body"/>
        <w:spacing w:after="0" w:line="276" w:lineRule="auto"/>
        <w:rPr>
          <w:rFonts w:ascii="Arial" w:hAnsi="Arial" w:cs="Arial"/>
          <w:b/>
        </w:rPr>
      </w:pPr>
    </w:p>
    <w:sectPr w:rsidR="00B01FCD" w:rsidRPr="00FB3A86" w:rsidSect="0015361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E66" w:rsidRDefault="00034E66" w:rsidP="00C37E61">
      <w:r>
        <w:separator/>
      </w:r>
    </w:p>
  </w:endnote>
  <w:endnote w:type="continuationSeparator" w:id="0">
    <w:p w:rsidR="00034E66" w:rsidRDefault="00034E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CC" w:rsidRPr="0015361C" w:rsidRDefault="00F611CC" w:rsidP="0015361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CC" w:rsidRPr="00C37E61" w:rsidRDefault="00F611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E66" w:rsidRDefault="00034E66" w:rsidP="00C37E61">
      <w:r>
        <w:separator/>
      </w:r>
    </w:p>
  </w:footnote>
  <w:footnote w:type="continuationSeparator" w:id="0">
    <w:p w:rsidR="00034E66" w:rsidRDefault="00034E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CC" w:rsidRPr="00296529" w:rsidRDefault="0015361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F611CC" w:rsidRPr="00296529" w:rsidRDefault="00F611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F611CC" w:rsidRPr="00296529" w:rsidRDefault="00F611CC" w:rsidP="00296529">
    <w:pPr>
      <w:jc w:val="center"/>
      <w:rPr>
        <w:rFonts w:ascii="Times New Roman" w:eastAsia="Calibri" w:hAnsi="Times New Roman"/>
        <w:i/>
        <w:sz w:val="18"/>
        <w:szCs w:val="22"/>
      </w:rPr>
    </w:pPr>
    <w:r>
      <w:rPr>
        <w:rFonts w:ascii="Times New Roman" w:eastAsia="Calibri" w:hAnsi="Times New Roman"/>
        <w:i/>
        <w:sz w:val="18"/>
        <w:szCs w:val="22"/>
      </w:rPr>
      <w:t>.</w:t>
    </w:r>
  </w:p>
  <w:p w:rsidR="00F611CC" w:rsidRPr="00296529" w:rsidRDefault="00F611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F611CC" w:rsidRDefault="00F611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F611CC" w:rsidRDefault="00F611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611CC" w:rsidRDefault="00F611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1C" w:rsidRDefault="00153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1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4E66"/>
    <w:rsid w:val="0004579C"/>
    <w:rsid w:val="00053CF0"/>
    <w:rsid w:val="0007429E"/>
    <w:rsid w:val="00081C40"/>
    <w:rsid w:val="00096D00"/>
    <w:rsid w:val="000A47FA"/>
    <w:rsid w:val="000A65D3"/>
    <w:rsid w:val="000B1E33"/>
    <w:rsid w:val="000D1A87"/>
    <w:rsid w:val="000D689F"/>
    <w:rsid w:val="000E7B7B"/>
    <w:rsid w:val="000E7D62"/>
    <w:rsid w:val="00103357"/>
    <w:rsid w:val="00123C9F"/>
    <w:rsid w:val="00126190"/>
    <w:rsid w:val="00130F17"/>
    <w:rsid w:val="001320BF"/>
    <w:rsid w:val="00133656"/>
    <w:rsid w:val="001504B0"/>
    <w:rsid w:val="0015361C"/>
    <w:rsid w:val="00163BC4"/>
    <w:rsid w:val="00174440"/>
    <w:rsid w:val="00191062"/>
    <w:rsid w:val="00191BF8"/>
    <w:rsid w:val="00192B72"/>
    <w:rsid w:val="001A29D8"/>
    <w:rsid w:val="001A5CAA"/>
    <w:rsid w:val="001B0427"/>
    <w:rsid w:val="001B2C44"/>
    <w:rsid w:val="001C292E"/>
    <w:rsid w:val="001D3A51"/>
    <w:rsid w:val="001E10D2"/>
    <w:rsid w:val="001E25B4"/>
    <w:rsid w:val="001E44FE"/>
    <w:rsid w:val="001F5C9C"/>
    <w:rsid w:val="00200595"/>
    <w:rsid w:val="00204835"/>
    <w:rsid w:val="00231920"/>
    <w:rsid w:val="0023195C"/>
    <w:rsid w:val="0024282C"/>
    <w:rsid w:val="002460DC"/>
    <w:rsid w:val="00250985"/>
    <w:rsid w:val="00252307"/>
    <w:rsid w:val="002556F6"/>
    <w:rsid w:val="00283105"/>
    <w:rsid w:val="00284C4C"/>
    <w:rsid w:val="00287E68"/>
    <w:rsid w:val="00296529"/>
    <w:rsid w:val="002B27FB"/>
    <w:rsid w:val="002B685A"/>
    <w:rsid w:val="002C57D2"/>
    <w:rsid w:val="002E050E"/>
    <w:rsid w:val="002E0D56"/>
    <w:rsid w:val="00315186"/>
    <w:rsid w:val="0033343E"/>
    <w:rsid w:val="00342024"/>
    <w:rsid w:val="003512C2"/>
    <w:rsid w:val="00371FB6"/>
    <w:rsid w:val="003763C1"/>
    <w:rsid w:val="00376BBE"/>
    <w:rsid w:val="0039224F"/>
    <w:rsid w:val="00397C2F"/>
    <w:rsid w:val="003A43A4"/>
    <w:rsid w:val="003A7E18"/>
    <w:rsid w:val="003C4C86"/>
    <w:rsid w:val="003C6258"/>
    <w:rsid w:val="003E2904"/>
    <w:rsid w:val="003E670E"/>
    <w:rsid w:val="00401927"/>
    <w:rsid w:val="0041027F"/>
    <w:rsid w:val="00412475"/>
    <w:rsid w:val="00423789"/>
    <w:rsid w:val="00432004"/>
    <w:rsid w:val="00440F43"/>
    <w:rsid w:val="00441B6F"/>
    <w:rsid w:val="00446221"/>
    <w:rsid w:val="00450E62"/>
    <w:rsid w:val="004539DB"/>
    <w:rsid w:val="00471A80"/>
    <w:rsid w:val="0047223F"/>
    <w:rsid w:val="00475A5A"/>
    <w:rsid w:val="004D305E"/>
    <w:rsid w:val="004D4277"/>
    <w:rsid w:val="00502516"/>
    <w:rsid w:val="00505F06"/>
    <w:rsid w:val="00506828"/>
    <w:rsid w:val="005236C7"/>
    <w:rsid w:val="0053056E"/>
    <w:rsid w:val="00530A87"/>
    <w:rsid w:val="00554FDA"/>
    <w:rsid w:val="00561FF9"/>
    <w:rsid w:val="00562387"/>
    <w:rsid w:val="00567F05"/>
    <w:rsid w:val="005B5564"/>
    <w:rsid w:val="005C784C"/>
    <w:rsid w:val="005D17F6"/>
    <w:rsid w:val="005D2712"/>
    <w:rsid w:val="005E5539"/>
    <w:rsid w:val="00602BF5"/>
    <w:rsid w:val="00617FDD"/>
    <w:rsid w:val="0062466D"/>
    <w:rsid w:val="00633614"/>
    <w:rsid w:val="00633F68"/>
    <w:rsid w:val="00636EB2"/>
    <w:rsid w:val="006375B8"/>
    <w:rsid w:val="0066510A"/>
    <w:rsid w:val="00673F9F"/>
    <w:rsid w:val="00686953"/>
    <w:rsid w:val="00687DEA"/>
    <w:rsid w:val="00687E67"/>
    <w:rsid w:val="006967F7"/>
    <w:rsid w:val="006A250C"/>
    <w:rsid w:val="006B21D3"/>
    <w:rsid w:val="006B57D0"/>
    <w:rsid w:val="006C3D87"/>
    <w:rsid w:val="006D30FF"/>
    <w:rsid w:val="006D6940"/>
    <w:rsid w:val="006F11EC"/>
    <w:rsid w:val="0070082C"/>
    <w:rsid w:val="007369E6"/>
    <w:rsid w:val="00746E59"/>
    <w:rsid w:val="00754C9A"/>
    <w:rsid w:val="0075599A"/>
    <w:rsid w:val="00761D52"/>
    <w:rsid w:val="0076396F"/>
    <w:rsid w:val="0077749E"/>
    <w:rsid w:val="00790ADA"/>
    <w:rsid w:val="007D1178"/>
    <w:rsid w:val="007D2288"/>
    <w:rsid w:val="007E088F"/>
    <w:rsid w:val="007E233A"/>
    <w:rsid w:val="007F7B32"/>
    <w:rsid w:val="00804BC2"/>
    <w:rsid w:val="00805065"/>
    <w:rsid w:val="008060FF"/>
    <w:rsid w:val="0081431A"/>
    <w:rsid w:val="008224CF"/>
    <w:rsid w:val="00826F62"/>
    <w:rsid w:val="00830DC0"/>
    <w:rsid w:val="0083216F"/>
    <w:rsid w:val="00860000"/>
    <w:rsid w:val="00863BD3"/>
    <w:rsid w:val="008641ED"/>
    <w:rsid w:val="00866D66"/>
    <w:rsid w:val="008671C6"/>
    <w:rsid w:val="00875803"/>
    <w:rsid w:val="008835A6"/>
    <w:rsid w:val="008B459E"/>
    <w:rsid w:val="008C5613"/>
    <w:rsid w:val="008D13FB"/>
    <w:rsid w:val="008D5CDF"/>
    <w:rsid w:val="008E13AE"/>
    <w:rsid w:val="008E1506"/>
    <w:rsid w:val="008E710C"/>
    <w:rsid w:val="008F4E5B"/>
    <w:rsid w:val="008F69D6"/>
    <w:rsid w:val="00902823"/>
    <w:rsid w:val="0091122C"/>
    <w:rsid w:val="00915CA6"/>
    <w:rsid w:val="00927834"/>
    <w:rsid w:val="009500A6"/>
    <w:rsid w:val="00950879"/>
    <w:rsid w:val="00957C18"/>
    <w:rsid w:val="00960030"/>
    <w:rsid w:val="009659BA"/>
    <w:rsid w:val="00983040"/>
    <w:rsid w:val="009A06F8"/>
    <w:rsid w:val="009B3FB9"/>
    <w:rsid w:val="009C2465"/>
    <w:rsid w:val="009D35A0"/>
    <w:rsid w:val="009D7EB7"/>
    <w:rsid w:val="009E048A"/>
    <w:rsid w:val="009E08E9"/>
    <w:rsid w:val="009E3DB9"/>
    <w:rsid w:val="009E6E35"/>
    <w:rsid w:val="009F0EDA"/>
    <w:rsid w:val="009F4A8A"/>
    <w:rsid w:val="009F7F3C"/>
    <w:rsid w:val="00A03B96"/>
    <w:rsid w:val="00A05B19"/>
    <w:rsid w:val="00A1134E"/>
    <w:rsid w:val="00A12E78"/>
    <w:rsid w:val="00A24E7E"/>
    <w:rsid w:val="00A258C3"/>
    <w:rsid w:val="00A265D5"/>
    <w:rsid w:val="00A347C0"/>
    <w:rsid w:val="00A51431"/>
    <w:rsid w:val="00A539AD"/>
    <w:rsid w:val="00A94063"/>
    <w:rsid w:val="00AA6219"/>
    <w:rsid w:val="00AA74E0"/>
    <w:rsid w:val="00AB703F"/>
    <w:rsid w:val="00AC6BB8"/>
    <w:rsid w:val="00AE008F"/>
    <w:rsid w:val="00B01FCD"/>
    <w:rsid w:val="00B1776C"/>
    <w:rsid w:val="00B52583"/>
    <w:rsid w:val="00B52896"/>
    <w:rsid w:val="00B75DCA"/>
    <w:rsid w:val="00B95236"/>
    <w:rsid w:val="00B96BD9"/>
    <w:rsid w:val="00BA1B01"/>
    <w:rsid w:val="00BA2641"/>
    <w:rsid w:val="00BA49E8"/>
    <w:rsid w:val="00BA61A1"/>
    <w:rsid w:val="00BB37AA"/>
    <w:rsid w:val="00BB46B3"/>
    <w:rsid w:val="00BC53A0"/>
    <w:rsid w:val="00BE62AD"/>
    <w:rsid w:val="00BE69A0"/>
    <w:rsid w:val="00BF121F"/>
    <w:rsid w:val="00BF1F80"/>
    <w:rsid w:val="00BF3A5E"/>
    <w:rsid w:val="00C166EF"/>
    <w:rsid w:val="00C17EB0"/>
    <w:rsid w:val="00C234E3"/>
    <w:rsid w:val="00C27F5F"/>
    <w:rsid w:val="00C30A0F"/>
    <w:rsid w:val="00C37E61"/>
    <w:rsid w:val="00C70F1B"/>
    <w:rsid w:val="00C71A47"/>
    <w:rsid w:val="00C7464C"/>
    <w:rsid w:val="00C77B23"/>
    <w:rsid w:val="00C85588"/>
    <w:rsid w:val="00C873E1"/>
    <w:rsid w:val="00CC0B0B"/>
    <w:rsid w:val="00CD6755"/>
    <w:rsid w:val="00CD6856"/>
    <w:rsid w:val="00CE0089"/>
    <w:rsid w:val="00CE793C"/>
    <w:rsid w:val="00CF193C"/>
    <w:rsid w:val="00D173F1"/>
    <w:rsid w:val="00D74CB0"/>
    <w:rsid w:val="00D8295D"/>
    <w:rsid w:val="00DC2A65"/>
    <w:rsid w:val="00DC4187"/>
    <w:rsid w:val="00DE15F0"/>
    <w:rsid w:val="00DE5663"/>
    <w:rsid w:val="00DE5D46"/>
    <w:rsid w:val="00DE78AA"/>
    <w:rsid w:val="00E053D0"/>
    <w:rsid w:val="00E15994"/>
    <w:rsid w:val="00E22F0D"/>
    <w:rsid w:val="00E3114E"/>
    <w:rsid w:val="00E31A70"/>
    <w:rsid w:val="00E35B02"/>
    <w:rsid w:val="00E66496"/>
    <w:rsid w:val="00E66B35"/>
    <w:rsid w:val="00E66E10"/>
    <w:rsid w:val="00E769F6"/>
    <w:rsid w:val="00E8407C"/>
    <w:rsid w:val="00E84F3C"/>
    <w:rsid w:val="00EA012C"/>
    <w:rsid w:val="00EC1940"/>
    <w:rsid w:val="00EC6671"/>
    <w:rsid w:val="00EC6A55"/>
    <w:rsid w:val="00ED0288"/>
    <w:rsid w:val="00EE52CB"/>
    <w:rsid w:val="00EF581D"/>
    <w:rsid w:val="00EF7FD8"/>
    <w:rsid w:val="00F06F59"/>
    <w:rsid w:val="00F140B4"/>
    <w:rsid w:val="00F17988"/>
    <w:rsid w:val="00F469F0"/>
    <w:rsid w:val="00F46DCD"/>
    <w:rsid w:val="00F53273"/>
    <w:rsid w:val="00F611CC"/>
    <w:rsid w:val="00F755E4"/>
    <w:rsid w:val="00F77D02"/>
    <w:rsid w:val="00FA277D"/>
    <w:rsid w:val="00FB3A86"/>
    <w:rsid w:val="00FB6947"/>
    <w:rsid w:val="00FD36C8"/>
    <w:rsid w:val="00FE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D86A58"/>
  <w15:docId w15:val="{C37EC9FA-329D-4E00-AEAB-B60DE69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C667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EC6671"/>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EC6671"/>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EC6671"/>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unhideWhenUsed/>
    <w:qFormat/>
    <w:rsid w:val="00EC667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66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EC66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46DCD"/>
    <w:rPr>
      <w:rFonts w:ascii="Times New Roman" w:hAnsi="Times New Roman"/>
      <w:sz w:val="24"/>
      <w:szCs w:val="24"/>
    </w:rPr>
  </w:style>
  <w:style w:type="character" w:customStyle="1" w:styleId="Heading9Char">
    <w:name w:val="Heading 9 Char"/>
    <w:basedOn w:val="DefaultParagraphFont"/>
    <w:link w:val="Heading9"/>
    <w:uiPriority w:val="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unhideWhenUsed/>
    <w:qFormat/>
    <w:rsid w:val="008224CF"/>
    <w:pPr>
      <w:spacing w:after="120"/>
    </w:pPr>
  </w:style>
  <w:style w:type="character" w:customStyle="1" w:styleId="BodyTextChar">
    <w:name w:val="Body Text Char"/>
    <w:basedOn w:val="DefaultParagraphFont"/>
    <w:link w:val="BodyText"/>
    <w:uiPriority w:val="1"/>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customStyle="1" w:styleId="Heading2Char">
    <w:name w:val="Heading 2 Char"/>
    <w:basedOn w:val="DefaultParagraphFont"/>
    <w:link w:val="Heading2"/>
    <w:uiPriority w:val="9"/>
    <w:semiHidden/>
    <w:rsid w:val="00EC6671"/>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EC6671"/>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EC6671"/>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EC6671"/>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rsid w:val="00EC667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671"/>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EC6671"/>
    <w:rPr>
      <w:rFonts w:asciiTheme="minorHAnsi" w:eastAsiaTheme="majorEastAsia" w:hAnsiTheme="minorHAnsi" w:cstheme="majorBidi"/>
      <w:i/>
      <w:iCs/>
      <w:color w:val="272727" w:themeColor="text1" w:themeTint="D8"/>
      <w:kern w:val="2"/>
      <w:sz w:val="24"/>
      <w:szCs w:val="24"/>
      <w:lang w:val="en-IN"/>
    </w:rPr>
  </w:style>
  <w:style w:type="character" w:customStyle="1" w:styleId="UnresolvedMention10">
    <w:name w:val="Unresolved Mention1"/>
    <w:basedOn w:val="DefaultParagraphFont"/>
    <w:uiPriority w:val="99"/>
    <w:semiHidden/>
    <w:unhideWhenUsed/>
    <w:rsid w:val="00EC6671"/>
    <w:rPr>
      <w:color w:val="605E5C"/>
      <w:shd w:val="clear" w:color="auto" w:fill="E1DFDD"/>
    </w:rPr>
  </w:style>
  <w:style w:type="character" w:customStyle="1" w:styleId="Heading1Char">
    <w:name w:val="Heading 1 Char"/>
    <w:basedOn w:val="DefaultParagraphFont"/>
    <w:link w:val="Heading1"/>
    <w:uiPriority w:val="9"/>
    <w:rsid w:val="00EC6671"/>
    <w:rPr>
      <w:rFonts w:ascii="Arial" w:hAnsi="Arial"/>
      <w:b/>
      <w:kern w:val="28"/>
      <w:sz w:val="28"/>
    </w:rPr>
  </w:style>
  <w:style w:type="character" w:customStyle="1" w:styleId="TitleChar">
    <w:name w:val="Title Char"/>
    <w:basedOn w:val="DefaultParagraphFont"/>
    <w:link w:val="Title"/>
    <w:uiPriority w:val="10"/>
    <w:rsid w:val="00EC6671"/>
    <w:rPr>
      <w:rFonts w:ascii="Helvetica" w:hAnsi="Helvetica"/>
      <w:b/>
      <w:kern w:val="28"/>
      <w:sz w:val="36"/>
    </w:rPr>
  </w:style>
  <w:style w:type="paragraph" w:styleId="Subtitle">
    <w:name w:val="Subtitle"/>
    <w:basedOn w:val="Normal"/>
    <w:next w:val="Normal"/>
    <w:link w:val="SubtitleChar"/>
    <w:uiPriority w:val="11"/>
    <w:qFormat/>
    <w:rsid w:val="00EC66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EC6671"/>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EC667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EC6671"/>
    <w:rPr>
      <w:rFonts w:asciiTheme="minorHAnsi" w:eastAsiaTheme="minorHAnsi" w:hAnsiTheme="minorHAnsi" w:cstheme="minorBidi"/>
      <w:i/>
      <w:iCs/>
      <w:color w:val="404040" w:themeColor="text1" w:themeTint="BF"/>
      <w:kern w:val="2"/>
      <w:sz w:val="24"/>
      <w:szCs w:val="24"/>
      <w:lang w:val="en-IN"/>
    </w:rPr>
  </w:style>
  <w:style w:type="character" w:styleId="IntenseEmphasis">
    <w:name w:val="Intense Emphasis"/>
    <w:basedOn w:val="DefaultParagraphFont"/>
    <w:uiPriority w:val="21"/>
    <w:qFormat/>
    <w:rsid w:val="00EC6671"/>
    <w:rPr>
      <w:i/>
      <w:iCs/>
      <w:color w:val="365F91" w:themeColor="accent1" w:themeShade="BF"/>
    </w:rPr>
  </w:style>
  <w:style w:type="paragraph" w:styleId="IntenseQuote">
    <w:name w:val="Intense Quote"/>
    <w:basedOn w:val="Normal"/>
    <w:next w:val="Normal"/>
    <w:link w:val="IntenseQuoteChar"/>
    <w:uiPriority w:val="30"/>
    <w:qFormat/>
    <w:rsid w:val="00EC667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EC6671"/>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EC6671"/>
    <w:rPr>
      <w:b/>
      <w:bCs/>
      <w:smallCaps/>
      <w:color w:val="365F91" w:themeColor="accent1" w:themeShade="BF"/>
      <w:spacing w:val="5"/>
    </w:rPr>
  </w:style>
  <w:style w:type="character" w:customStyle="1" w:styleId="apple-converted-space">
    <w:name w:val="apple-converted-space"/>
    <w:basedOn w:val="DefaultParagraphFont"/>
    <w:rsid w:val="00EC6671"/>
  </w:style>
  <w:style w:type="character" w:styleId="Strong">
    <w:name w:val="Strong"/>
    <w:basedOn w:val="DefaultParagraphFont"/>
    <w:uiPriority w:val="22"/>
    <w:qFormat/>
    <w:rsid w:val="00EC6671"/>
    <w:rPr>
      <w:b/>
      <w:bCs/>
    </w:rPr>
  </w:style>
  <w:style w:type="character" w:customStyle="1" w:styleId="HeaderChar">
    <w:name w:val="Header Char"/>
    <w:basedOn w:val="DefaultParagraphFont"/>
    <w:link w:val="Header"/>
    <w:uiPriority w:val="99"/>
    <w:rsid w:val="00EC6671"/>
    <w:rPr>
      <w:rFonts w:ascii="Helvetica" w:hAnsi="Helvetica"/>
    </w:rPr>
  </w:style>
  <w:style w:type="character" w:customStyle="1" w:styleId="FooterChar">
    <w:name w:val="Footer Char"/>
    <w:basedOn w:val="DefaultParagraphFont"/>
    <w:link w:val="Footer"/>
    <w:uiPriority w:val="99"/>
    <w:rsid w:val="00EC6671"/>
    <w:rPr>
      <w:rFonts w:ascii="Helvetica" w:hAnsi="Helvetica"/>
    </w:rPr>
  </w:style>
  <w:style w:type="paragraph" w:customStyle="1" w:styleId="TableParagraph">
    <w:name w:val="Table Paragraph"/>
    <w:basedOn w:val="Normal"/>
    <w:uiPriority w:val="1"/>
    <w:qFormat/>
    <w:rsid w:val="00EC6671"/>
    <w:pPr>
      <w:widowControl w:val="0"/>
      <w:autoSpaceDE w:val="0"/>
      <w:autoSpaceDN w:val="0"/>
      <w:jc w:val="center"/>
    </w:pPr>
    <w:rPr>
      <w:rFonts w:ascii="Times New Roman" w:hAnsi="Times New Roman"/>
      <w:sz w:val="22"/>
      <w:szCs w:val="22"/>
    </w:rPr>
  </w:style>
  <w:style w:type="character" w:styleId="PlaceholderText">
    <w:name w:val="Placeholder Text"/>
    <w:basedOn w:val="DefaultParagraphFont"/>
    <w:uiPriority w:val="99"/>
    <w:semiHidden/>
    <w:rsid w:val="00EC6671"/>
    <w:rPr>
      <w:color w:val="666666"/>
    </w:rPr>
  </w:style>
  <w:style w:type="paragraph" w:customStyle="1" w:styleId="paragraph">
    <w:name w:val="paragraph"/>
    <w:basedOn w:val="Normal"/>
    <w:rsid w:val="00EC667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C6671"/>
  </w:style>
  <w:style w:type="character" w:customStyle="1" w:styleId="eop">
    <w:name w:val="eop"/>
    <w:basedOn w:val="DefaultParagraphFont"/>
    <w:rsid w:val="00EC6671"/>
  </w:style>
  <w:style w:type="character" w:styleId="UnresolvedMention">
    <w:name w:val="Unresolved Mention"/>
    <w:basedOn w:val="DefaultParagraphFont"/>
    <w:uiPriority w:val="99"/>
    <w:semiHidden/>
    <w:unhideWhenUsed/>
    <w:rsid w:val="00F1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8611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649924">
      <w:bodyDiv w:val="1"/>
      <w:marLeft w:val="0"/>
      <w:marRight w:val="0"/>
      <w:marTop w:val="0"/>
      <w:marBottom w:val="0"/>
      <w:divBdr>
        <w:top w:val="none" w:sz="0" w:space="0" w:color="auto"/>
        <w:left w:val="none" w:sz="0" w:space="0" w:color="auto"/>
        <w:bottom w:val="none" w:sz="0" w:space="0" w:color="auto"/>
        <w:right w:val="none" w:sz="0" w:space="0" w:color="auto"/>
      </w:divBdr>
    </w:div>
    <w:div w:id="8841019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332329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250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2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activities/promoting-rational-use-of-medic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374F-BFF4-46AA-BACF-8B8D9463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540</TotalTime>
  <Pages>14</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26</cp:revision>
  <cp:lastPrinted>1999-07-06T11:00:00Z</cp:lastPrinted>
  <dcterms:created xsi:type="dcterms:W3CDTF">2014-10-25T14:34:00Z</dcterms:created>
  <dcterms:modified xsi:type="dcterms:W3CDTF">2025-12-03T11:52:00Z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8a7cfe53-cdd4-4692-8f5f-f85c14f07ee9</vt:lpwstr>
  </property>
</Properties>
</file>