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F75AB" w14:textId="60CA124E" w:rsidR="00657337" w:rsidRPr="00657337" w:rsidRDefault="00657337" w:rsidP="00657337">
      <w:pPr>
        <w:tabs>
          <w:tab w:val="left" w:pos="567"/>
        </w:tabs>
        <w:spacing w:line="240" w:lineRule="auto"/>
        <w:rPr>
          <w:rFonts w:ascii="Arial" w:hAnsi="Arial" w:cs="Arial"/>
          <w:b/>
          <w:bCs/>
          <w:sz w:val="28"/>
          <w:szCs w:val="28"/>
          <w:u w:val="single"/>
        </w:rPr>
      </w:pPr>
      <w:bookmarkStart w:id="0" w:name="_Hlk214000925"/>
      <w:r w:rsidRPr="00657337">
        <w:rPr>
          <w:rFonts w:ascii="Arial" w:hAnsi="Arial" w:cs="Arial"/>
          <w:b/>
          <w:bCs/>
          <w:sz w:val="28"/>
          <w:szCs w:val="28"/>
          <w:u w:val="single"/>
        </w:rPr>
        <w:t xml:space="preserve">Original Research Article                  </w:t>
      </w:r>
    </w:p>
    <w:p w14:paraId="1F60601F" w14:textId="78BE6180" w:rsidR="00DF03AD" w:rsidRPr="00E82DA2" w:rsidRDefault="00DF03AD" w:rsidP="00657337">
      <w:pPr>
        <w:tabs>
          <w:tab w:val="left" w:pos="567"/>
        </w:tabs>
        <w:spacing w:line="240" w:lineRule="auto"/>
        <w:rPr>
          <w:rFonts w:ascii="Arial" w:hAnsi="Arial" w:cs="Arial"/>
          <w:b/>
          <w:bCs/>
          <w:i/>
          <w:color w:val="000000"/>
          <w:sz w:val="36"/>
          <w:szCs w:val="36"/>
        </w:rPr>
      </w:pPr>
      <w:r w:rsidRPr="00E82DA2">
        <w:rPr>
          <w:rFonts w:ascii="Arial" w:hAnsi="Arial" w:cs="Arial"/>
          <w:b/>
          <w:bCs/>
          <w:sz w:val="36"/>
          <w:szCs w:val="36"/>
        </w:rPr>
        <w:t xml:space="preserve">Phytochemical analysis, Antioxidant and Antimicrobial Activity of </w:t>
      </w:r>
      <w:r w:rsidRPr="00E82DA2">
        <w:rPr>
          <w:rFonts w:ascii="Arial" w:hAnsi="Arial" w:cs="Arial"/>
          <w:b/>
          <w:bCs/>
          <w:i/>
          <w:color w:val="000000"/>
          <w:sz w:val="36"/>
          <w:szCs w:val="36"/>
        </w:rPr>
        <w:t>Strychnos lenticellata</w:t>
      </w:r>
    </w:p>
    <w:p w14:paraId="6E6DEFE6" w14:textId="77777777" w:rsidR="00D56112" w:rsidRDefault="00D56112" w:rsidP="00DF03AD">
      <w:pPr>
        <w:tabs>
          <w:tab w:val="left" w:pos="567"/>
        </w:tabs>
        <w:spacing w:line="240" w:lineRule="auto"/>
        <w:jc w:val="both"/>
        <w:rPr>
          <w:rFonts w:ascii="Arial" w:hAnsi="Arial" w:cs="Arial"/>
        </w:rPr>
      </w:pPr>
    </w:p>
    <w:p w14:paraId="45A846AB" w14:textId="7202BF33" w:rsidR="00DF03AD" w:rsidRPr="00E82DA2" w:rsidRDefault="00AA72D4" w:rsidP="00DF03AD">
      <w:pPr>
        <w:tabs>
          <w:tab w:val="left" w:pos="567"/>
        </w:tabs>
        <w:spacing w:line="240" w:lineRule="auto"/>
        <w:jc w:val="both"/>
        <w:rPr>
          <w:rFonts w:ascii="Arial" w:hAnsi="Arial" w:cs="Arial"/>
          <w:b/>
          <w:bCs/>
          <w:i/>
          <w:color w:val="000000"/>
        </w:rPr>
      </w:pPr>
      <w:r>
        <w:rPr>
          <w:rFonts w:ascii="Arial" w:hAnsi="Arial" w:cs="Arial"/>
        </w:rPr>
      </w:r>
      <w:r>
        <w:rPr>
          <w:rFonts w:ascii="Arial" w:hAnsi="Arial" w:cs="Arial"/>
        </w:rPr>
        <w:pict w14:anchorId="6CAF6270">
          <v:shapetype id="_x0000_t32" coordsize="21600,21600" o:spt="32" o:oned="t" path="m,l21600,21600e" filled="f">
            <v:path arrowok="t" fillok="f" o:connecttype="none"/>
            <o:lock v:ext="edit" shapetype="t"/>
          </v:shapetype>
          <v:shape id="_x0000_s103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3ABD527" w14:textId="77777777" w:rsidR="00DF03AD" w:rsidRPr="00E82DA2" w:rsidRDefault="00DF03AD" w:rsidP="00DF03AD">
      <w:pPr>
        <w:tabs>
          <w:tab w:val="left" w:pos="567"/>
        </w:tabs>
        <w:spacing w:line="240" w:lineRule="auto"/>
        <w:jc w:val="both"/>
        <w:rPr>
          <w:rFonts w:ascii="Arial" w:hAnsi="Arial" w:cs="Arial"/>
          <w:b/>
          <w:bCs/>
          <w:iCs/>
          <w:color w:val="000000"/>
        </w:rPr>
      </w:pPr>
      <w:r w:rsidRPr="00E82DA2">
        <w:rPr>
          <w:rFonts w:ascii="Arial" w:hAnsi="Arial" w:cs="Arial"/>
          <w:b/>
          <w:bCs/>
          <w:iCs/>
          <w:color w:val="00000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96"/>
      </w:tblGrid>
      <w:tr w:rsidR="00DF03AD" w:rsidRPr="00E82DA2" w14:paraId="5C4092E3" w14:textId="77777777" w:rsidTr="0058723A">
        <w:tc>
          <w:tcPr>
            <w:tcW w:w="9576" w:type="dxa"/>
            <w:shd w:val="clear" w:color="auto" w:fill="F2F2F2"/>
          </w:tcPr>
          <w:p w14:paraId="521D1A80" w14:textId="745DE2D3" w:rsidR="00DF03AD" w:rsidRPr="00E82DA2" w:rsidRDefault="00DF03AD" w:rsidP="0058723A">
            <w:pPr>
              <w:pStyle w:val="Body"/>
              <w:spacing w:after="0"/>
              <w:rPr>
                <w:rFonts w:ascii="Arial" w:eastAsia="Calibri" w:hAnsi="Arial" w:cs="Arial"/>
              </w:rPr>
            </w:pPr>
            <w:r w:rsidRPr="00E82DA2">
              <w:rPr>
                <w:rFonts w:ascii="Arial" w:eastAsia="Calibri" w:hAnsi="Arial" w:cs="Arial"/>
                <w:b/>
              </w:rPr>
              <w:t xml:space="preserve">Aims: </w:t>
            </w:r>
            <w:r w:rsidRPr="00E82DA2">
              <w:rPr>
                <w:rFonts w:ascii="Arial" w:eastAsia="Calibri" w:hAnsi="Arial" w:cs="Arial"/>
                <w:bCs/>
                <w:i/>
                <w:iCs/>
              </w:rPr>
              <w:t>Strychnos lenticellata</w:t>
            </w:r>
            <w:r w:rsidRPr="00E82DA2">
              <w:rPr>
                <w:rFonts w:ascii="Arial" w:eastAsia="Calibri" w:hAnsi="Arial" w:cs="Arial"/>
                <w:bCs/>
              </w:rPr>
              <w:t xml:space="preserve"> belongs to the family of Loganiaceae</w:t>
            </w:r>
            <w:r w:rsidRPr="00E82DA2">
              <w:rPr>
                <w:rFonts w:ascii="Arial" w:eastAsia="Calibri" w:hAnsi="Arial" w:cs="Arial"/>
                <w:b/>
              </w:rPr>
              <w:t xml:space="preserve">. </w:t>
            </w:r>
            <w:r w:rsidRPr="00E82DA2">
              <w:rPr>
                <w:rFonts w:ascii="Arial" w:eastAsia="Calibri" w:hAnsi="Arial" w:cs="Arial"/>
                <w:bCs/>
              </w:rPr>
              <w:t xml:space="preserve">In this study, we report the first time of phytochemical composition and biological properties of different solvent leaf extract of </w:t>
            </w:r>
            <w:r w:rsidR="004B5372" w:rsidRPr="004B5372">
              <w:rPr>
                <w:rFonts w:ascii="Arial" w:eastAsia="Calibri" w:hAnsi="Arial" w:cs="Arial"/>
                <w:bCs/>
                <w:i/>
                <w:iCs/>
                <w:lang w:val="en-IN"/>
              </w:rPr>
              <w:t xml:space="preserve">S. lenticellata </w:t>
            </w:r>
            <w:r w:rsidRPr="00E82DA2">
              <w:rPr>
                <w:rFonts w:ascii="Arial" w:eastAsia="Calibri" w:hAnsi="Arial" w:cs="Arial"/>
                <w:bCs/>
              </w:rPr>
              <w:t xml:space="preserve">was carried out to evaluate the phytochemical </w:t>
            </w:r>
            <w:proofErr w:type="spellStart"/>
            <w:r w:rsidRPr="00E82DA2">
              <w:rPr>
                <w:rFonts w:ascii="Arial" w:eastAsia="Calibri" w:hAnsi="Arial" w:cs="Arial"/>
                <w:bCs/>
              </w:rPr>
              <w:t>pr</w:t>
            </w:r>
            <w:r w:rsidRPr="00E82DA2">
              <w:rPr>
                <w:rFonts w:ascii="Arial" w:eastAsia="Calibri" w:hAnsi="Arial" w:cs="Arial"/>
              </w:rPr>
              <w:t>Here</w:t>
            </w:r>
            <w:proofErr w:type="spellEnd"/>
            <w:r w:rsidRPr="00E82DA2">
              <w:rPr>
                <w:rFonts w:ascii="Arial" w:eastAsia="Calibri" w:hAnsi="Arial" w:cs="Arial"/>
              </w:rPr>
              <w:t xml:space="preserve"> clearly write the aims of this study. Sample: To correlate platelet count, splenic index (SI), platelet count/spleen diameter ratio and portal-systemic venous collaterals with the presence of esophageal varices in advanced liver disease to validate other screening parameters.</w:t>
            </w:r>
          </w:p>
          <w:p w14:paraId="418E7877" w14:textId="50D39FFA" w:rsidR="00DF03AD" w:rsidRPr="00E82DA2" w:rsidRDefault="00DF03AD" w:rsidP="0058723A">
            <w:pPr>
              <w:pStyle w:val="Body"/>
              <w:spacing w:after="0"/>
              <w:rPr>
                <w:rFonts w:ascii="Arial" w:eastAsia="Calibri" w:hAnsi="Arial" w:cs="Arial"/>
              </w:rPr>
            </w:pPr>
            <w:r w:rsidRPr="00E82DA2">
              <w:rPr>
                <w:rFonts w:ascii="Arial" w:eastAsia="Calibri" w:hAnsi="Arial" w:cs="Arial"/>
                <w:b/>
              </w:rPr>
              <w:t>Study design:</w:t>
            </w:r>
            <w:r w:rsidRPr="00E82DA2">
              <w:rPr>
                <w:rFonts w:ascii="Arial" w:eastAsia="Calibri" w:hAnsi="Arial" w:cs="Arial"/>
              </w:rPr>
              <w:t xml:space="preserve">  Dried leaf powder of </w:t>
            </w:r>
            <w:r w:rsidR="004B5372" w:rsidRPr="004B5372">
              <w:rPr>
                <w:rFonts w:ascii="Arial" w:eastAsia="Calibri" w:hAnsi="Arial" w:cs="Arial"/>
                <w:bCs/>
                <w:i/>
                <w:iCs/>
                <w:lang w:val="en-IN"/>
              </w:rPr>
              <w:t xml:space="preserve">S. lenticellata </w:t>
            </w:r>
            <w:r w:rsidRPr="00E82DA2">
              <w:rPr>
                <w:rFonts w:ascii="Arial" w:eastAsia="Calibri" w:hAnsi="Arial" w:cs="Arial"/>
                <w:bCs/>
                <w:lang w:val="en-IN"/>
              </w:rPr>
              <w:t xml:space="preserve">was extracted with different solvent system and subjected to determine the phytochemical content, Antioxidant capability and antimicrobial activity against gram negative bacteria and </w:t>
            </w:r>
            <w:proofErr w:type="gramStart"/>
            <w:r w:rsidRPr="00E82DA2">
              <w:rPr>
                <w:rFonts w:ascii="Arial" w:eastAsia="Calibri" w:hAnsi="Arial" w:cs="Arial"/>
                <w:bCs/>
                <w:lang w:val="en-IN"/>
              </w:rPr>
              <w:t>gram positive</w:t>
            </w:r>
            <w:proofErr w:type="gramEnd"/>
            <w:r w:rsidRPr="00E82DA2">
              <w:rPr>
                <w:rFonts w:ascii="Arial" w:eastAsia="Calibri" w:hAnsi="Arial" w:cs="Arial"/>
                <w:bCs/>
                <w:lang w:val="en-IN"/>
              </w:rPr>
              <w:t xml:space="preserve"> bacteria.</w:t>
            </w:r>
          </w:p>
          <w:p w14:paraId="11B05083" w14:textId="77777777" w:rsidR="00DF03AD" w:rsidRPr="00E82DA2" w:rsidRDefault="00DF03AD" w:rsidP="0058723A">
            <w:pPr>
              <w:pStyle w:val="Body"/>
              <w:spacing w:after="0"/>
              <w:rPr>
                <w:rFonts w:ascii="Arial" w:eastAsia="Calibri" w:hAnsi="Arial" w:cs="Arial"/>
              </w:rPr>
            </w:pPr>
            <w:r w:rsidRPr="00E82DA2">
              <w:rPr>
                <w:rFonts w:ascii="Arial" w:eastAsia="Calibri" w:hAnsi="Arial" w:cs="Arial"/>
                <w:b/>
              </w:rPr>
              <w:t>Place and Duration of Study:</w:t>
            </w:r>
            <w:r w:rsidRPr="00E82DA2">
              <w:rPr>
                <w:rFonts w:ascii="Arial" w:eastAsia="Calibri" w:hAnsi="Arial" w:cs="Arial"/>
              </w:rPr>
              <w:t xml:space="preserve"> Department of Botany, Government Arts College (Autonomous), </w:t>
            </w:r>
            <w:proofErr w:type="spellStart"/>
            <w:r w:rsidRPr="00E82DA2">
              <w:rPr>
                <w:rFonts w:ascii="Arial" w:eastAsia="Calibri" w:hAnsi="Arial" w:cs="Arial"/>
              </w:rPr>
              <w:t>Nandanam</w:t>
            </w:r>
            <w:proofErr w:type="spellEnd"/>
            <w:r w:rsidRPr="00E82DA2">
              <w:rPr>
                <w:rFonts w:ascii="Arial" w:eastAsia="Calibri" w:hAnsi="Arial" w:cs="Arial"/>
              </w:rPr>
              <w:t>, Chennai 600 035, Tamil Nadu, India, over the period of 7 months</w:t>
            </w:r>
          </w:p>
          <w:p w14:paraId="340D7EEB" w14:textId="25541627" w:rsidR="00DF03AD" w:rsidRPr="00E82DA2" w:rsidRDefault="00DF03AD" w:rsidP="0058723A">
            <w:pPr>
              <w:pStyle w:val="Body"/>
              <w:spacing w:after="0"/>
              <w:rPr>
                <w:rFonts w:ascii="Arial" w:eastAsia="Calibri" w:hAnsi="Arial" w:cs="Arial"/>
              </w:rPr>
            </w:pPr>
            <w:r w:rsidRPr="00E82DA2">
              <w:rPr>
                <w:rFonts w:ascii="Arial" w:eastAsia="Calibri" w:hAnsi="Arial" w:cs="Arial"/>
                <w:b/>
                <w:bCs/>
              </w:rPr>
              <w:t>Methodology:</w:t>
            </w:r>
            <w:r w:rsidRPr="00E82DA2">
              <w:rPr>
                <w:rFonts w:ascii="Arial" w:eastAsia="Calibri" w:hAnsi="Arial" w:cs="Arial"/>
              </w:rPr>
              <w:t xml:space="preserve"> Total Phenolic content (TPC) and Total Flavonoid content (TFC) of different solvent (petroleum ether, ethyl acetate and ethanol) leaf extract of </w:t>
            </w:r>
            <w:r w:rsidR="004B5372" w:rsidRPr="004B5372">
              <w:rPr>
                <w:rFonts w:ascii="Arial" w:eastAsia="Calibri" w:hAnsi="Arial" w:cs="Arial"/>
                <w:bCs/>
                <w:i/>
                <w:iCs/>
                <w:lang w:val="en-IN"/>
              </w:rPr>
              <w:t xml:space="preserve">S. lenticellata </w:t>
            </w:r>
            <w:r w:rsidRPr="00E82DA2">
              <w:rPr>
                <w:rFonts w:ascii="Arial" w:eastAsia="Calibri" w:hAnsi="Arial" w:cs="Arial"/>
              </w:rPr>
              <w:t xml:space="preserve">was determined. The </w:t>
            </w:r>
            <w:proofErr w:type="spellStart"/>
            <w:r w:rsidRPr="00E82DA2">
              <w:rPr>
                <w:rFonts w:ascii="Arial" w:eastAsia="Calibri" w:hAnsi="Arial" w:cs="Arial"/>
              </w:rPr>
              <w:t>antioxdidant</w:t>
            </w:r>
            <w:proofErr w:type="spellEnd"/>
            <w:r w:rsidRPr="00E82DA2">
              <w:rPr>
                <w:rFonts w:ascii="Arial" w:eastAsia="Calibri" w:hAnsi="Arial" w:cs="Arial"/>
              </w:rPr>
              <w:t xml:space="preserve"> capability of the extracts was examined by DDPH assay, Hydroxyl and Superoxide radical scavenging assay. The antibacterial activity was ascertained by well diffusion method against bacterial pathogens such as </w:t>
            </w:r>
            <w:r w:rsidRPr="00E82DA2">
              <w:rPr>
                <w:rFonts w:ascii="Arial" w:eastAsia="Calibri" w:hAnsi="Arial" w:cs="Arial"/>
                <w:i/>
                <w:iCs/>
              </w:rPr>
              <w:t>Klebsiella pneumoniae</w:t>
            </w:r>
            <w:r w:rsidRPr="00E82DA2">
              <w:rPr>
                <w:rFonts w:ascii="Arial" w:eastAsia="Calibri" w:hAnsi="Arial" w:cs="Arial"/>
              </w:rPr>
              <w:t>,</w:t>
            </w:r>
            <w:r w:rsidRPr="00E82DA2">
              <w:rPr>
                <w:rFonts w:ascii="Arial" w:eastAsia="Calibri" w:hAnsi="Arial" w:cs="Arial"/>
                <w:i/>
                <w:iCs/>
              </w:rPr>
              <w:t xml:space="preserve"> Salmonella typhi</w:t>
            </w:r>
            <w:r w:rsidRPr="00E82DA2">
              <w:rPr>
                <w:rFonts w:ascii="Arial" w:eastAsia="Calibri" w:hAnsi="Arial" w:cs="Arial"/>
              </w:rPr>
              <w:t xml:space="preserve">, </w:t>
            </w:r>
            <w:r w:rsidRPr="00E82DA2">
              <w:rPr>
                <w:rFonts w:ascii="Arial" w:eastAsia="Calibri" w:hAnsi="Arial" w:cs="Arial"/>
                <w:i/>
                <w:iCs/>
              </w:rPr>
              <w:t>Shigella flexneri</w:t>
            </w:r>
            <w:r w:rsidRPr="00E82DA2">
              <w:rPr>
                <w:rFonts w:ascii="Arial" w:eastAsia="Calibri" w:hAnsi="Arial" w:cs="Arial"/>
              </w:rPr>
              <w:t>,</w:t>
            </w:r>
            <w:r w:rsidRPr="00E82DA2">
              <w:rPr>
                <w:rFonts w:ascii="Arial" w:eastAsia="Calibri" w:hAnsi="Arial" w:cs="Arial"/>
                <w:i/>
                <w:iCs/>
              </w:rPr>
              <w:t xml:space="preserve"> Bacillus subtilis</w:t>
            </w:r>
            <w:r w:rsidRPr="00E82DA2">
              <w:rPr>
                <w:rFonts w:ascii="Arial" w:eastAsia="Calibri" w:hAnsi="Arial" w:cs="Arial"/>
              </w:rPr>
              <w:t>,</w:t>
            </w:r>
            <w:r w:rsidRPr="00E82DA2">
              <w:rPr>
                <w:rFonts w:ascii="Arial" w:eastAsia="Calibri" w:hAnsi="Arial" w:cs="Arial"/>
                <w:i/>
                <w:iCs/>
              </w:rPr>
              <w:t xml:space="preserve"> Staphylococcus aureus </w:t>
            </w:r>
            <w:r w:rsidRPr="00E82DA2">
              <w:rPr>
                <w:rFonts w:ascii="Arial" w:eastAsia="Calibri" w:hAnsi="Arial" w:cs="Arial"/>
              </w:rPr>
              <w:t xml:space="preserve">and </w:t>
            </w:r>
            <w:r w:rsidRPr="00E82DA2">
              <w:rPr>
                <w:rFonts w:ascii="Arial" w:eastAsia="Calibri" w:hAnsi="Arial" w:cs="Arial"/>
                <w:i/>
                <w:iCs/>
              </w:rPr>
              <w:t>Streptococcus mutans</w:t>
            </w:r>
            <w:r w:rsidRPr="00E82DA2">
              <w:rPr>
                <w:rFonts w:ascii="Arial" w:eastAsia="Calibri" w:hAnsi="Arial" w:cs="Arial"/>
              </w:rPr>
              <w:t>.</w:t>
            </w:r>
          </w:p>
          <w:p w14:paraId="04CAC23C" w14:textId="77777777" w:rsidR="00DF03AD" w:rsidRPr="00E82DA2" w:rsidRDefault="00DF03AD" w:rsidP="0058723A">
            <w:pPr>
              <w:pStyle w:val="Body"/>
              <w:spacing w:after="0"/>
              <w:rPr>
                <w:rFonts w:ascii="Arial" w:hAnsi="Arial" w:cs="Arial"/>
                <w:bCs/>
                <w:color w:val="000000"/>
              </w:rPr>
            </w:pPr>
            <w:r w:rsidRPr="00E82DA2">
              <w:rPr>
                <w:rFonts w:ascii="Arial" w:eastAsia="Calibri" w:hAnsi="Arial" w:cs="Arial"/>
                <w:b/>
                <w:bCs/>
              </w:rPr>
              <w:t>Results:</w:t>
            </w:r>
            <w:r w:rsidRPr="00E82DA2">
              <w:rPr>
                <w:rFonts w:ascii="Arial" w:eastAsia="Calibri" w:hAnsi="Arial" w:cs="Arial"/>
              </w:rPr>
              <w:t xml:space="preserve"> </w:t>
            </w:r>
            <w:r w:rsidRPr="00E82DA2">
              <w:rPr>
                <w:rFonts w:ascii="Arial" w:hAnsi="Arial" w:cs="Arial"/>
                <w:color w:val="000000"/>
              </w:rPr>
              <w:t xml:space="preserve">All the three solvent extracts showed positive results for flavonoids, and phenols. However, the </w:t>
            </w:r>
            <w:r w:rsidRPr="00E82DA2">
              <w:rPr>
                <w:rFonts w:ascii="Arial" w:hAnsi="Arial" w:cs="Arial"/>
                <w:iCs/>
                <w:color w:val="000000"/>
              </w:rPr>
              <w:t xml:space="preserve">ethanol extract (ES) shows highest total phenol content and total flavonoid content when compared to other solvent extracts. </w:t>
            </w:r>
            <w:r w:rsidRPr="00E82DA2">
              <w:rPr>
                <w:rFonts w:ascii="Arial" w:eastAsia="Calibri" w:hAnsi="Arial" w:cs="Arial"/>
              </w:rPr>
              <w:t xml:space="preserve">The ES extract shows potential antibacterial activity in order to </w:t>
            </w:r>
            <w:r w:rsidRPr="00E82DA2">
              <w:rPr>
                <w:rFonts w:ascii="Arial" w:eastAsia="Calibri" w:hAnsi="Arial" w:cs="Arial"/>
                <w:i/>
                <w:iCs/>
              </w:rPr>
              <w:t>S. mutans</w:t>
            </w:r>
            <w:r w:rsidRPr="00E82DA2">
              <w:rPr>
                <w:rFonts w:ascii="Arial" w:eastAsia="Calibri" w:hAnsi="Arial" w:cs="Arial"/>
              </w:rPr>
              <w:t>&gt;</w:t>
            </w:r>
            <w:r w:rsidRPr="00E82DA2">
              <w:rPr>
                <w:rFonts w:ascii="Arial" w:eastAsia="Calibri" w:hAnsi="Arial" w:cs="Arial"/>
                <w:i/>
                <w:iCs/>
              </w:rPr>
              <w:t>S. aureus</w:t>
            </w:r>
            <w:r w:rsidRPr="00E82DA2">
              <w:rPr>
                <w:rFonts w:ascii="Arial" w:eastAsia="Calibri" w:hAnsi="Arial" w:cs="Arial"/>
              </w:rPr>
              <w:t>&gt;</w:t>
            </w:r>
            <w:r w:rsidRPr="00E82DA2">
              <w:rPr>
                <w:rFonts w:ascii="Arial" w:eastAsia="Calibri" w:hAnsi="Arial" w:cs="Arial"/>
                <w:i/>
                <w:iCs/>
              </w:rPr>
              <w:t>S. typhi</w:t>
            </w:r>
            <w:r w:rsidRPr="00E82DA2">
              <w:rPr>
                <w:rFonts w:ascii="Arial" w:eastAsia="Calibri" w:hAnsi="Arial" w:cs="Arial"/>
              </w:rPr>
              <w:t>&gt;</w:t>
            </w:r>
            <w:r w:rsidRPr="00E82DA2">
              <w:rPr>
                <w:rFonts w:ascii="Arial" w:eastAsia="Calibri" w:hAnsi="Arial" w:cs="Arial"/>
                <w:i/>
                <w:iCs/>
              </w:rPr>
              <w:t>B. subtilis</w:t>
            </w:r>
            <w:r w:rsidRPr="00E82DA2">
              <w:rPr>
                <w:rFonts w:ascii="Arial" w:eastAsia="Calibri" w:hAnsi="Arial" w:cs="Arial"/>
              </w:rPr>
              <w:t>&gt;</w:t>
            </w:r>
            <w:r w:rsidRPr="00E82DA2">
              <w:rPr>
                <w:rFonts w:ascii="Arial" w:eastAsia="Calibri" w:hAnsi="Arial" w:cs="Arial"/>
                <w:i/>
                <w:iCs/>
              </w:rPr>
              <w:t>S. flexneri</w:t>
            </w:r>
            <w:r w:rsidRPr="00E82DA2">
              <w:rPr>
                <w:rFonts w:ascii="Arial" w:eastAsia="Calibri" w:hAnsi="Arial" w:cs="Arial"/>
              </w:rPr>
              <w:t>&gt;</w:t>
            </w:r>
            <w:r w:rsidRPr="00E82DA2">
              <w:rPr>
                <w:rFonts w:ascii="Arial" w:eastAsia="Calibri" w:hAnsi="Arial" w:cs="Arial"/>
                <w:i/>
                <w:iCs/>
              </w:rPr>
              <w:t>K. pneumoniae</w:t>
            </w:r>
            <w:r w:rsidRPr="00E82DA2">
              <w:rPr>
                <w:rFonts w:ascii="Arial" w:eastAsia="Calibri" w:hAnsi="Arial" w:cs="Arial"/>
              </w:rPr>
              <w:t>.</w:t>
            </w:r>
            <w:r w:rsidRPr="00E82DA2">
              <w:rPr>
                <w:rFonts w:ascii="Arial" w:hAnsi="Arial" w:cs="Arial"/>
                <w:iCs/>
                <w:color w:val="000000"/>
              </w:rPr>
              <w:t xml:space="preserve"> The ES extract exhibited significant radical scavenging ability of DPPH (</w:t>
            </w:r>
            <w:r w:rsidRPr="00E82DA2">
              <w:rPr>
                <w:rFonts w:ascii="Arial" w:hAnsi="Arial" w:cs="Arial"/>
                <w:bCs/>
                <w:color w:val="000000"/>
              </w:rPr>
              <w:t>87.12 µg/ml)</w:t>
            </w:r>
            <w:r w:rsidRPr="00E82DA2">
              <w:rPr>
                <w:rFonts w:ascii="Arial" w:hAnsi="Arial" w:cs="Arial"/>
                <w:iCs/>
                <w:color w:val="000000"/>
              </w:rPr>
              <w:t xml:space="preserve">, Superoxide </w:t>
            </w:r>
            <w:r w:rsidRPr="00E82DA2">
              <w:rPr>
                <w:rFonts w:ascii="Arial" w:hAnsi="Arial" w:cs="Arial"/>
                <w:bCs/>
                <w:color w:val="000000"/>
              </w:rPr>
              <w:t xml:space="preserve">(76.66 µg/ml) </w:t>
            </w:r>
            <w:r w:rsidRPr="00E82DA2">
              <w:rPr>
                <w:rFonts w:ascii="Arial" w:hAnsi="Arial" w:cs="Arial"/>
                <w:iCs/>
                <w:color w:val="000000"/>
              </w:rPr>
              <w:t>and hydroxyl radicals (</w:t>
            </w:r>
            <w:r w:rsidRPr="00E82DA2">
              <w:rPr>
                <w:rFonts w:ascii="Arial" w:hAnsi="Arial" w:cs="Arial"/>
                <w:bCs/>
                <w:color w:val="000000"/>
              </w:rPr>
              <w:t>76.20 µg/ml), respectively.</w:t>
            </w:r>
          </w:p>
          <w:p w14:paraId="718A287F" w14:textId="77777777" w:rsidR="00DF03AD" w:rsidRPr="00E82DA2" w:rsidRDefault="00DF03AD" w:rsidP="0058723A">
            <w:pPr>
              <w:pStyle w:val="Body"/>
              <w:spacing w:after="0"/>
              <w:rPr>
                <w:rFonts w:ascii="Arial" w:eastAsia="Calibri" w:hAnsi="Arial" w:cs="Arial"/>
              </w:rPr>
            </w:pPr>
            <w:r w:rsidRPr="00E82DA2">
              <w:rPr>
                <w:rFonts w:ascii="Arial" w:eastAsia="Calibri" w:hAnsi="Arial" w:cs="Arial"/>
                <w:b/>
                <w:bCs/>
              </w:rPr>
              <w:t>Conclusion:</w:t>
            </w:r>
            <w:r w:rsidRPr="00E82DA2">
              <w:rPr>
                <w:rFonts w:ascii="Arial" w:eastAsia="Calibri" w:hAnsi="Arial" w:cs="Arial"/>
              </w:rPr>
              <w:t xml:space="preserve"> </w:t>
            </w:r>
            <w:r w:rsidRPr="00E82DA2">
              <w:rPr>
                <w:rFonts w:ascii="Arial" w:eastAsia="Calibri" w:hAnsi="Arial" w:cs="Arial"/>
                <w:lang w:val="en-IN"/>
              </w:rPr>
              <w:t>The study concludes that phenolic compounds in the extracts are liable for the antimicrobial and antioxidant effects. More research is needed to isolate a new molecule to investigate its health benefits</w:t>
            </w:r>
            <w:r w:rsidRPr="00E82DA2">
              <w:rPr>
                <w:rFonts w:ascii="Arial" w:eastAsia="Calibri" w:hAnsi="Arial" w:cs="Arial"/>
                <w:color w:val="FF0000"/>
              </w:rPr>
              <w:t>.</w:t>
            </w:r>
          </w:p>
        </w:tc>
      </w:tr>
    </w:tbl>
    <w:p w14:paraId="344FE6F5" w14:textId="2A3CBDCB" w:rsidR="00DF03AD" w:rsidRPr="00422C31" w:rsidRDefault="00BF72BA" w:rsidP="00DF03AD">
      <w:pPr>
        <w:tabs>
          <w:tab w:val="left" w:pos="567"/>
        </w:tabs>
        <w:spacing w:line="240" w:lineRule="auto"/>
        <w:jc w:val="both"/>
        <w:rPr>
          <w:rFonts w:ascii="Arial" w:hAnsi="Arial" w:cs="Arial"/>
          <w:i/>
          <w:sz w:val="20"/>
          <w:szCs w:val="20"/>
        </w:rPr>
      </w:pPr>
      <w:r w:rsidRPr="00422C31">
        <w:rPr>
          <w:rFonts w:ascii="Arial" w:hAnsi="Arial" w:cs="Arial"/>
          <w:i/>
          <w:sz w:val="20"/>
          <w:szCs w:val="20"/>
        </w:rPr>
        <w:t>Key words:</w:t>
      </w:r>
      <w:r w:rsidR="00422C31" w:rsidRPr="00422C31">
        <w:rPr>
          <w:rFonts w:ascii="Arial" w:hAnsi="Arial" w:cs="Arial"/>
          <w:i/>
          <w:sz w:val="20"/>
          <w:szCs w:val="20"/>
        </w:rPr>
        <w:t xml:space="preserve"> </w:t>
      </w:r>
      <w:r w:rsidR="00422C31" w:rsidRPr="00422C31">
        <w:rPr>
          <w:rFonts w:ascii="Arial" w:eastAsia="Calibri" w:hAnsi="Arial" w:cs="Arial"/>
          <w:bCs/>
          <w:i/>
          <w:sz w:val="20"/>
          <w:szCs w:val="20"/>
        </w:rPr>
        <w:t>Strychnos lenticellata, total phenol, total flavonoid, antibacterial, antioxidant</w:t>
      </w:r>
    </w:p>
    <w:p w14:paraId="785C0C55" w14:textId="5839603E" w:rsidR="00DF03AD" w:rsidRPr="00E82DA2" w:rsidRDefault="00E82DA2" w:rsidP="00E82DA2">
      <w:pPr>
        <w:tabs>
          <w:tab w:val="left" w:pos="0"/>
          <w:tab w:val="left" w:pos="567"/>
        </w:tabs>
        <w:autoSpaceDE w:val="0"/>
        <w:autoSpaceDN w:val="0"/>
        <w:adjustRightInd w:val="0"/>
        <w:spacing w:after="0" w:line="240" w:lineRule="auto"/>
        <w:jc w:val="both"/>
        <w:rPr>
          <w:rFonts w:ascii="Arial" w:hAnsi="Arial" w:cs="Arial"/>
          <w:b/>
          <w:bCs/>
          <w:color w:val="000000"/>
          <w:sz w:val="28"/>
          <w:szCs w:val="24"/>
        </w:rPr>
      </w:pPr>
      <w:r>
        <w:rPr>
          <w:rFonts w:ascii="Arial" w:hAnsi="Arial" w:cs="Arial"/>
          <w:b/>
          <w:bCs/>
          <w:color w:val="000000"/>
        </w:rPr>
        <w:t xml:space="preserve">1. </w:t>
      </w:r>
      <w:r w:rsidR="00DF03AD" w:rsidRPr="00E82DA2">
        <w:rPr>
          <w:rFonts w:ascii="Arial" w:hAnsi="Arial" w:cs="Arial"/>
          <w:b/>
          <w:bCs/>
          <w:color w:val="000000"/>
        </w:rPr>
        <w:t>INTRODUCTION</w:t>
      </w:r>
    </w:p>
    <w:p w14:paraId="7E521615" w14:textId="0F9B8B16" w:rsidR="00DF03AD" w:rsidRPr="00E82DA2" w:rsidRDefault="00DF03AD" w:rsidP="00DF03AD">
      <w:pPr>
        <w:tabs>
          <w:tab w:val="left" w:pos="0"/>
          <w:tab w:val="left" w:pos="426"/>
          <w:tab w:val="left" w:pos="567"/>
        </w:tabs>
        <w:autoSpaceDE w:val="0"/>
        <w:autoSpaceDN w:val="0"/>
        <w:adjustRightInd w:val="0"/>
        <w:spacing w:line="240" w:lineRule="auto"/>
        <w:jc w:val="both"/>
        <w:rPr>
          <w:rFonts w:ascii="Arial" w:eastAsia="E-BZ" w:hAnsi="Arial" w:cs="Arial"/>
          <w:color w:val="000000"/>
          <w:sz w:val="20"/>
          <w:szCs w:val="20"/>
        </w:rPr>
      </w:pPr>
      <w:r w:rsidRPr="00E82DA2">
        <w:rPr>
          <w:rFonts w:ascii="Arial" w:eastAsia="E-BZ" w:hAnsi="Arial" w:cs="Arial"/>
          <w:color w:val="000000"/>
          <w:sz w:val="24"/>
          <w:szCs w:val="24"/>
        </w:rPr>
        <w:tab/>
      </w:r>
      <w:r w:rsidRPr="00E82DA2">
        <w:rPr>
          <w:rFonts w:ascii="Arial" w:eastAsia="E-BZ" w:hAnsi="Arial" w:cs="Arial"/>
          <w:color w:val="000000"/>
          <w:sz w:val="20"/>
          <w:szCs w:val="20"/>
        </w:rPr>
        <w:t xml:space="preserve">Phytochemicals are substances that are found naturally in plants. They are accountable for the various </w:t>
      </w:r>
      <w:proofErr w:type="spellStart"/>
      <w:r w:rsidRPr="00E82DA2">
        <w:rPr>
          <w:rFonts w:ascii="Arial" w:eastAsia="E-BZ" w:hAnsi="Arial" w:cs="Arial"/>
          <w:color w:val="000000"/>
          <w:sz w:val="20"/>
          <w:szCs w:val="20"/>
        </w:rPr>
        <w:t>colors</w:t>
      </w:r>
      <w:proofErr w:type="spellEnd"/>
      <w:r w:rsidRPr="00E82DA2">
        <w:rPr>
          <w:rFonts w:ascii="Arial" w:eastAsia="E-BZ" w:hAnsi="Arial" w:cs="Arial"/>
          <w:color w:val="000000"/>
          <w:sz w:val="20"/>
          <w:szCs w:val="20"/>
        </w:rPr>
        <w:t xml:space="preserve">, </w:t>
      </w:r>
      <w:proofErr w:type="spellStart"/>
      <w:r w:rsidRPr="00E82DA2">
        <w:rPr>
          <w:rFonts w:ascii="Arial" w:eastAsia="E-BZ" w:hAnsi="Arial" w:cs="Arial"/>
          <w:color w:val="000000"/>
          <w:sz w:val="20"/>
          <w:szCs w:val="20"/>
        </w:rPr>
        <w:t>flavors</w:t>
      </w:r>
      <w:proofErr w:type="spellEnd"/>
      <w:r w:rsidRPr="00E82DA2">
        <w:rPr>
          <w:rFonts w:ascii="Arial" w:eastAsia="E-BZ" w:hAnsi="Arial" w:cs="Arial"/>
          <w:color w:val="000000"/>
          <w:sz w:val="20"/>
          <w:szCs w:val="20"/>
        </w:rPr>
        <w:t>, and aroma of plants. They are a component of a plant’s inherent protective system against diseases. Natural substances, including individual plant compounds and extracts, provide endless possibilities for the creation of new medications due to the presence of unique variety of chemicals. Plants are crucial in the creation of medicinal products, serving both preventive and healing purposes. (</w:t>
      </w:r>
      <w:proofErr w:type="spellStart"/>
      <w:r w:rsidRPr="00E82DA2">
        <w:rPr>
          <w:rFonts w:ascii="Arial" w:eastAsia="E-BZ" w:hAnsi="Arial" w:cs="Arial"/>
          <w:color w:val="000000"/>
          <w:sz w:val="20"/>
          <w:szCs w:val="20"/>
        </w:rPr>
        <w:t>Eleazu</w:t>
      </w:r>
      <w:proofErr w:type="spellEnd"/>
      <w:r w:rsidRPr="00E82DA2">
        <w:rPr>
          <w:rFonts w:ascii="Arial" w:eastAsia="E-BZ" w:hAnsi="Arial" w:cs="Arial"/>
          <w:color w:val="000000"/>
          <w:sz w:val="20"/>
          <w:szCs w:val="20"/>
        </w:rPr>
        <w:t xml:space="preserve"> et al., 2012). The consumption of </w:t>
      </w:r>
      <w:r w:rsidR="00FC00E5" w:rsidRPr="00E82DA2">
        <w:rPr>
          <w:rFonts w:ascii="Arial" w:eastAsia="E-BZ" w:hAnsi="Arial" w:cs="Arial"/>
          <w:color w:val="000000"/>
          <w:sz w:val="20"/>
          <w:szCs w:val="20"/>
        </w:rPr>
        <w:t>plant-based</w:t>
      </w:r>
      <w:r w:rsidRPr="00E82DA2">
        <w:rPr>
          <w:rFonts w:ascii="Arial" w:eastAsia="E-BZ" w:hAnsi="Arial" w:cs="Arial"/>
          <w:color w:val="000000"/>
          <w:sz w:val="20"/>
          <w:szCs w:val="20"/>
        </w:rPr>
        <w:t xml:space="preserve"> foods </w:t>
      </w:r>
      <w:r w:rsidR="00FC00E5" w:rsidRPr="00E82DA2">
        <w:rPr>
          <w:rFonts w:ascii="Arial" w:eastAsia="E-BZ" w:hAnsi="Arial" w:cs="Arial"/>
          <w:color w:val="000000"/>
          <w:sz w:val="20"/>
          <w:szCs w:val="20"/>
        </w:rPr>
        <w:t>is</w:t>
      </w:r>
      <w:r w:rsidRPr="00E82DA2">
        <w:rPr>
          <w:rFonts w:ascii="Arial" w:eastAsia="E-BZ" w:hAnsi="Arial" w:cs="Arial"/>
          <w:color w:val="000000"/>
          <w:sz w:val="20"/>
          <w:szCs w:val="20"/>
        </w:rPr>
        <w:t xml:space="preserve"> rich in natural antioxidants, such as polyphenols and flavonoids, is linked to a lower incidence of heart disease, various chronic diseases, and certain cancers (</w:t>
      </w:r>
      <w:r w:rsidR="00BB035E" w:rsidRPr="00E82DA2">
        <w:rPr>
          <w:rFonts w:ascii="Arial" w:hAnsi="Arial" w:cs="Arial"/>
          <w:sz w:val="20"/>
          <w:szCs w:val="20"/>
        </w:rPr>
        <w:t>Aune, 2019</w:t>
      </w:r>
      <w:r w:rsidRPr="00E82DA2">
        <w:rPr>
          <w:rFonts w:ascii="Arial" w:eastAsia="E-BZ" w:hAnsi="Arial" w:cs="Arial"/>
          <w:color w:val="000000"/>
          <w:sz w:val="20"/>
          <w:szCs w:val="20"/>
        </w:rPr>
        <w:t xml:space="preserve">). </w:t>
      </w:r>
      <w:r w:rsidRPr="00E82DA2">
        <w:rPr>
          <w:rFonts w:ascii="Arial" w:hAnsi="Arial" w:cs="Arial"/>
          <w:color w:val="000000"/>
          <w:sz w:val="20"/>
          <w:szCs w:val="20"/>
        </w:rPr>
        <w:t xml:space="preserve"> </w:t>
      </w:r>
    </w:p>
    <w:p w14:paraId="2E26118D" w14:textId="5C1138AB" w:rsidR="00DF03AD" w:rsidRPr="00E82DA2" w:rsidRDefault="00872838" w:rsidP="00E82DA2">
      <w:pPr>
        <w:tabs>
          <w:tab w:val="left" w:pos="0"/>
          <w:tab w:val="left" w:pos="426"/>
          <w:tab w:val="left" w:pos="567"/>
        </w:tabs>
        <w:autoSpaceDE w:val="0"/>
        <w:autoSpaceDN w:val="0"/>
        <w:adjustRightInd w:val="0"/>
        <w:spacing w:line="240" w:lineRule="auto"/>
        <w:jc w:val="both"/>
        <w:rPr>
          <w:rFonts w:ascii="Arial" w:eastAsia="E-BZ" w:hAnsi="Arial" w:cs="Arial"/>
          <w:color w:val="000000"/>
          <w:sz w:val="20"/>
          <w:szCs w:val="20"/>
        </w:rPr>
      </w:pPr>
      <w:r>
        <w:rPr>
          <w:rFonts w:ascii="Arial" w:eastAsia="E-BZ" w:hAnsi="Arial" w:cs="Arial"/>
          <w:color w:val="000000"/>
          <w:sz w:val="20"/>
          <w:szCs w:val="20"/>
        </w:rPr>
        <w:tab/>
      </w:r>
      <w:r w:rsidR="00DF03AD" w:rsidRPr="00E82DA2">
        <w:rPr>
          <w:rFonts w:ascii="Arial" w:eastAsia="E-BZ" w:hAnsi="Arial" w:cs="Arial"/>
          <w:color w:val="000000"/>
          <w:sz w:val="20"/>
          <w:szCs w:val="20"/>
        </w:rPr>
        <w:t>In recent years, plant chemicals such as flavonoids, terpenes, alkaloids, anthraquinones, saponins, tannins, steroids, lactones, and volatile oils have gained significant attention for their diverse pharmacological actions, which include cytotoxicity and chemoprevention (</w:t>
      </w:r>
      <w:proofErr w:type="spellStart"/>
      <w:r w:rsidR="00DF03AD" w:rsidRPr="00E82DA2">
        <w:rPr>
          <w:rFonts w:ascii="Arial" w:eastAsia="E-BZ" w:hAnsi="Arial" w:cs="Arial"/>
          <w:color w:val="000000"/>
          <w:sz w:val="20"/>
          <w:szCs w:val="20"/>
        </w:rPr>
        <w:t>Kundishora</w:t>
      </w:r>
      <w:proofErr w:type="spellEnd"/>
      <w:r w:rsidR="00DF03AD" w:rsidRPr="00E82DA2">
        <w:rPr>
          <w:rFonts w:ascii="Arial" w:eastAsia="E-BZ" w:hAnsi="Arial" w:cs="Arial"/>
          <w:color w:val="000000"/>
          <w:sz w:val="20"/>
          <w:szCs w:val="20"/>
        </w:rPr>
        <w:t xml:space="preserve"> et al., 2020). These compounds have been extracted and used in different forms such as infusions, syrups, decoctions, infused oils, essential oils and creams (Wasiullah et al., 2023).</w:t>
      </w:r>
    </w:p>
    <w:p w14:paraId="040BE2AA" w14:textId="5753668D" w:rsidR="00DF03AD" w:rsidRPr="00E82DA2" w:rsidRDefault="00DF03AD" w:rsidP="00E82DA2">
      <w:pPr>
        <w:tabs>
          <w:tab w:val="left" w:pos="0"/>
          <w:tab w:val="left" w:pos="426"/>
          <w:tab w:val="left" w:pos="567"/>
        </w:tabs>
        <w:autoSpaceDE w:val="0"/>
        <w:autoSpaceDN w:val="0"/>
        <w:adjustRightInd w:val="0"/>
        <w:spacing w:line="240" w:lineRule="auto"/>
        <w:jc w:val="both"/>
        <w:rPr>
          <w:rFonts w:ascii="Arial" w:eastAsia="E-BZ" w:hAnsi="Arial" w:cs="Arial"/>
          <w:color w:val="000000"/>
          <w:sz w:val="20"/>
          <w:szCs w:val="20"/>
        </w:rPr>
      </w:pPr>
      <w:r w:rsidRPr="00E82DA2">
        <w:rPr>
          <w:rFonts w:ascii="Arial" w:eastAsia="E-BZ" w:hAnsi="Arial" w:cs="Arial"/>
          <w:color w:val="000000"/>
          <w:sz w:val="20"/>
          <w:szCs w:val="20"/>
        </w:rPr>
        <w:lastRenderedPageBreak/>
        <w:tab/>
        <w:t>Antioxidants are substances that neutralize free radicals or their actions. Antioxidants are the compounds that inhibit or delay the oxidation of other molecules by inhibiting the initiation or propagation of oxid</w:t>
      </w:r>
      <w:r w:rsidR="00B17F04" w:rsidRPr="00E82DA2">
        <w:rPr>
          <w:rFonts w:ascii="Arial" w:eastAsia="E-BZ" w:hAnsi="Arial" w:cs="Arial"/>
          <w:color w:val="000000"/>
          <w:sz w:val="20"/>
          <w:szCs w:val="20"/>
        </w:rPr>
        <w:t>i</w:t>
      </w:r>
      <w:r w:rsidRPr="00E82DA2">
        <w:rPr>
          <w:rFonts w:ascii="Arial" w:eastAsia="E-BZ" w:hAnsi="Arial" w:cs="Arial"/>
          <w:color w:val="000000"/>
          <w:sz w:val="20"/>
          <w:szCs w:val="20"/>
        </w:rPr>
        <w:t>zing chain reactions (</w:t>
      </w:r>
      <w:proofErr w:type="spellStart"/>
      <w:r w:rsidRPr="00E82DA2">
        <w:rPr>
          <w:rFonts w:ascii="Arial" w:eastAsia="E-BZ" w:hAnsi="Arial" w:cs="Arial"/>
          <w:color w:val="000000"/>
          <w:sz w:val="20"/>
          <w:szCs w:val="20"/>
        </w:rPr>
        <w:t>Velioglu</w:t>
      </w:r>
      <w:proofErr w:type="spellEnd"/>
      <w:r w:rsidRPr="00E82DA2">
        <w:rPr>
          <w:rFonts w:ascii="Arial" w:eastAsia="E-BZ" w:hAnsi="Arial" w:cs="Arial"/>
          <w:color w:val="000000"/>
          <w:sz w:val="20"/>
          <w:szCs w:val="20"/>
        </w:rPr>
        <w:t xml:space="preserve"> et al., 1998). The oxidation induced by ROS can result in cell membrane disintegration, membrane protein damage and DNA mutation, which can further initiate or propagate the development of many diseases, such as cancer, autoimmune disorders, rheumatoid arthritis, cataract, aging, cardiovascular and neurodegenerative disease (Liao and Yin, 2000). Antioxidants from plant sources act as free radical scavengers by preventing and repairing damages caused by ROS, and therefore can enhance the immune </w:t>
      </w:r>
      <w:r w:rsidR="00B17F04" w:rsidRPr="00E82DA2">
        <w:rPr>
          <w:rFonts w:ascii="Arial" w:eastAsia="E-BZ" w:hAnsi="Arial" w:cs="Arial"/>
          <w:color w:val="000000"/>
          <w:sz w:val="20"/>
          <w:szCs w:val="20"/>
        </w:rPr>
        <w:t>protection</w:t>
      </w:r>
      <w:r w:rsidRPr="00E82DA2">
        <w:rPr>
          <w:rFonts w:ascii="Arial" w:eastAsia="E-BZ" w:hAnsi="Arial" w:cs="Arial"/>
          <w:color w:val="000000"/>
          <w:sz w:val="20"/>
          <w:szCs w:val="20"/>
        </w:rPr>
        <w:t xml:space="preserve"> and lower the risk of cancer and degenerative diseases (Pham-Huy et al., 2008).</w:t>
      </w:r>
    </w:p>
    <w:p w14:paraId="57034F2D" w14:textId="6D626F01" w:rsidR="00DF03AD" w:rsidRPr="00E82DA2" w:rsidRDefault="00DF03AD" w:rsidP="00E82DA2">
      <w:pPr>
        <w:tabs>
          <w:tab w:val="left" w:pos="0"/>
          <w:tab w:val="left" w:pos="426"/>
          <w:tab w:val="left" w:pos="567"/>
        </w:tabs>
        <w:autoSpaceDE w:val="0"/>
        <w:autoSpaceDN w:val="0"/>
        <w:adjustRightInd w:val="0"/>
        <w:spacing w:line="240" w:lineRule="auto"/>
        <w:jc w:val="both"/>
        <w:rPr>
          <w:rFonts w:ascii="Arial" w:eastAsia="E-BZ" w:hAnsi="Arial" w:cs="Arial"/>
          <w:color w:val="000000"/>
          <w:sz w:val="20"/>
          <w:szCs w:val="20"/>
        </w:rPr>
      </w:pPr>
      <w:r w:rsidRPr="00E82DA2">
        <w:rPr>
          <w:rFonts w:ascii="Arial" w:eastAsia="E-BZ" w:hAnsi="Arial" w:cs="Arial"/>
          <w:color w:val="000000"/>
          <w:sz w:val="20"/>
          <w:szCs w:val="20"/>
        </w:rPr>
        <w:tab/>
        <w:t xml:space="preserve">Multidrug resistance is a worrying cause of treatment failure in bacterial infections (Blot et al., 2007). The expression of mutated genes, coding for resistance to a single drug (e.g. mutation in a target) or a specific resistance mechanism (e.g. enzymatic barrier), in association with the modulation of multidrug efflux pump or porin expression involved in transport, are the most common processes described in multidrug-resistant (MDR) bacteria (Nikaido, 2009). A number of chemicals, such as </w:t>
      </w:r>
      <w:proofErr w:type="spellStart"/>
      <w:r w:rsidRPr="00E82DA2">
        <w:rPr>
          <w:rFonts w:ascii="Arial" w:eastAsia="E-BZ" w:hAnsi="Arial" w:cs="Arial"/>
          <w:color w:val="000000"/>
          <w:sz w:val="20"/>
          <w:szCs w:val="20"/>
        </w:rPr>
        <w:t>phenylalanine</w:t>
      </w:r>
      <w:r w:rsidR="00B61BD2" w:rsidRPr="00E82DA2">
        <w:rPr>
          <w:rFonts w:ascii="Arial" w:eastAsia="E-BZ" w:hAnsi="Arial" w:cs="Arial"/>
          <w:color w:val="000000"/>
          <w:sz w:val="20"/>
          <w:szCs w:val="20"/>
        </w:rPr>
        <w:t>F</w:t>
      </w:r>
      <w:proofErr w:type="spellEnd"/>
      <w:r w:rsidRPr="00E82DA2">
        <w:rPr>
          <w:rFonts w:ascii="Arial" w:eastAsia="E-BZ" w:hAnsi="Arial" w:cs="Arial"/>
          <w:color w:val="000000"/>
          <w:sz w:val="20"/>
          <w:szCs w:val="20"/>
        </w:rPr>
        <w:t xml:space="preserve"> arginine -naphthylamide (PAβN) and 1-(1-naphthylmethyl)-piperazine, quinoline derivatives, (Pages and Amaral, 2008) as well as natural products have been found to inhibit bacterial efflux pumps. Natural compounds and integral components belonging to the usual pharmaceutical library have been tested to combat resistant bacteria (</w:t>
      </w:r>
      <w:r w:rsidR="00E8643D" w:rsidRPr="00E82DA2">
        <w:rPr>
          <w:rFonts w:ascii="Arial" w:eastAsia="E-BZ" w:hAnsi="Arial" w:cs="Arial"/>
          <w:color w:val="000000"/>
          <w:sz w:val="20"/>
          <w:szCs w:val="20"/>
        </w:rPr>
        <w:t>Aware</w:t>
      </w:r>
      <w:r w:rsidRPr="00E82DA2">
        <w:rPr>
          <w:rFonts w:ascii="Arial" w:eastAsia="E-BZ" w:hAnsi="Arial" w:cs="Arial"/>
          <w:color w:val="000000"/>
          <w:sz w:val="20"/>
          <w:szCs w:val="20"/>
        </w:rPr>
        <w:t>, 2000).</w:t>
      </w:r>
    </w:p>
    <w:p w14:paraId="35014CC3" w14:textId="73AE116F" w:rsidR="00DF03AD" w:rsidRPr="00E82DA2" w:rsidRDefault="00DF03AD" w:rsidP="00E82DA2">
      <w:pPr>
        <w:tabs>
          <w:tab w:val="left" w:pos="0"/>
          <w:tab w:val="left" w:pos="426"/>
          <w:tab w:val="left" w:pos="567"/>
        </w:tabs>
        <w:autoSpaceDE w:val="0"/>
        <w:autoSpaceDN w:val="0"/>
        <w:adjustRightInd w:val="0"/>
        <w:spacing w:line="240" w:lineRule="auto"/>
        <w:jc w:val="both"/>
        <w:rPr>
          <w:rFonts w:ascii="Arial" w:eastAsia="E-BZ" w:hAnsi="Arial" w:cs="Arial"/>
          <w:color w:val="000000"/>
          <w:sz w:val="20"/>
          <w:szCs w:val="20"/>
        </w:rPr>
      </w:pPr>
      <w:r w:rsidRPr="00E82DA2">
        <w:rPr>
          <w:rFonts w:ascii="Arial" w:eastAsia="E-BZ" w:hAnsi="Arial" w:cs="Arial"/>
          <w:color w:val="000000"/>
          <w:sz w:val="20"/>
          <w:szCs w:val="20"/>
        </w:rPr>
        <w:tab/>
        <w:t xml:space="preserve">Consider the importance of medicinal plants in modern medicine and folklore medicine, an urge to isolate active compounds from various parts of plants has become more crucial. There is no extensive phytochemical and biological study has been reported in </w:t>
      </w:r>
      <w:r w:rsidR="004B5372" w:rsidRPr="004B5372">
        <w:rPr>
          <w:rFonts w:ascii="Arial" w:eastAsia="E-BZ" w:hAnsi="Arial" w:cs="Arial"/>
          <w:i/>
          <w:iCs/>
          <w:color w:val="000000"/>
          <w:sz w:val="20"/>
          <w:szCs w:val="20"/>
        </w:rPr>
        <w:t>S. lenticellata</w:t>
      </w:r>
      <w:r w:rsidRPr="00E82DA2">
        <w:rPr>
          <w:rFonts w:ascii="Arial" w:eastAsia="E-BZ" w:hAnsi="Arial" w:cs="Arial"/>
          <w:color w:val="000000"/>
          <w:sz w:val="20"/>
          <w:szCs w:val="20"/>
        </w:rPr>
        <w:t xml:space="preserve">. Therefore, the present study was carried out to explore the phytochemical constituents and biological properties of </w:t>
      </w:r>
      <w:r w:rsidR="004B5372" w:rsidRPr="004B5372">
        <w:rPr>
          <w:rFonts w:ascii="Arial" w:eastAsia="E-BZ" w:hAnsi="Arial" w:cs="Arial"/>
          <w:i/>
          <w:iCs/>
          <w:color w:val="000000"/>
          <w:sz w:val="20"/>
          <w:szCs w:val="20"/>
        </w:rPr>
        <w:t>S. lenticellata</w:t>
      </w:r>
      <w:r w:rsidRPr="00E82DA2">
        <w:rPr>
          <w:rFonts w:ascii="Arial" w:eastAsia="E-BZ" w:hAnsi="Arial" w:cs="Arial"/>
          <w:color w:val="000000"/>
          <w:sz w:val="20"/>
          <w:szCs w:val="20"/>
        </w:rPr>
        <w:t>.</w:t>
      </w:r>
    </w:p>
    <w:p w14:paraId="0DEA9F66" w14:textId="101ADB85" w:rsidR="00DF03AD" w:rsidRPr="00872838" w:rsidRDefault="00872838" w:rsidP="00872838">
      <w:pPr>
        <w:tabs>
          <w:tab w:val="left" w:pos="0"/>
          <w:tab w:val="left" w:pos="567"/>
        </w:tabs>
        <w:autoSpaceDE w:val="0"/>
        <w:autoSpaceDN w:val="0"/>
        <w:adjustRightInd w:val="0"/>
        <w:spacing w:after="0" w:line="240" w:lineRule="auto"/>
        <w:rPr>
          <w:rFonts w:ascii="Arial" w:hAnsi="Arial" w:cs="Arial"/>
          <w:b/>
          <w:color w:val="000000"/>
          <w:sz w:val="28"/>
          <w:szCs w:val="24"/>
        </w:rPr>
      </w:pPr>
      <w:r>
        <w:rPr>
          <w:rFonts w:ascii="Arial" w:hAnsi="Arial" w:cs="Arial"/>
          <w:b/>
          <w:bCs/>
          <w:color w:val="000000"/>
          <w:lang w:eastAsia="en-IN"/>
        </w:rPr>
        <w:t xml:space="preserve">2. </w:t>
      </w:r>
      <w:r w:rsidR="00DF03AD" w:rsidRPr="00872838">
        <w:rPr>
          <w:rFonts w:ascii="Arial" w:hAnsi="Arial" w:cs="Arial"/>
          <w:b/>
          <w:bCs/>
          <w:color w:val="000000"/>
          <w:lang w:eastAsia="en-IN"/>
        </w:rPr>
        <w:t>MATERIAL AND</w:t>
      </w:r>
      <w:r w:rsidR="00DF03AD" w:rsidRPr="00872838">
        <w:rPr>
          <w:rFonts w:ascii="Arial" w:hAnsi="Arial" w:cs="Arial"/>
          <w:b/>
          <w:bCs/>
          <w:color w:val="000000"/>
          <w:sz w:val="28"/>
          <w:szCs w:val="24"/>
          <w:lang w:eastAsia="en-IN"/>
        </w:rPr>
        <w:t xml:space="preserve"> </w:t>
      </w:r>
      <w:r w:rsidR="00DF03AD" w:rsidRPr="00872838">
        <w:rPr>
          <w:rFonts w:ascii="Arial" w:hAnsi="Arial" w:cs="Arial"/>
          <w:b/>
          <w:bCs/>
          <w:color w:val="000000"/>
          <w:lang w:eastAsia="en-IN"/>
        </w:rPr>
        <w:t>METHODS</w:t>
      </w:r>
    </w:p>
    <w:p w14:paraId="3FDA51B0" w14:textId="77777777" w:rsidR="00872838" w:rsidRPr="00872838" w:rsidRDefault="00872838"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2.1. Chemicals</w:t>
      </w:r>
    </w:p>
    <w:p w14:paraId="5FC3C7CB" w14:textId="0BB3711D" w:rsidR="00DF03AD" w:rsidRPr="00872838" w:rsidRDefault="00DF03AD" w:rsidP="00DF03AD">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Analytical grade chemicals supplied by Loba, Hi-Media, S.D. Fine Chemicals, E. Merck, Qualigens and Sigma chemicals (U.S.A.) were used.</w:t>
      </w:r>
    </w:p>
    <w:p w14:paraId="74D4ABB5"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2.2. Plant Collection</w:t>
      </w:r>
    </w:p>
    <w:p w14:paraId="1DCC2D5A" w14:textId="1BE17008" w:rsidR="00DF03AD" w:rsidRPr="00872838" w:rsidRDefault="00DF03AD" w:rsidP="00DF03AD">
      <w:pPr>
        <w:pStyle w:val="Heading1"/>
        <w:widowControl w:val="0"/>
        <w:tabs>
          <w:tab w:val="left" w:pos="0"/>
          <w:tab w:val="left" w:pos="567"/>
        </w:tabs>
        <w:spacing w:before="0" w:beforeAutospacing="0" w:after="0" w:afterAutospacing="0"/>
        <w:ind w:firstLine="360"/>
        <w:jc w:val="both"/>
        <w:rPr>
          <w:rFonts w:ascii="Arial" w:hAnsi="Arial" w:cs="Arial"/>
          <w:b w:val="0"/>
          <w:bCs w:val="0"/>
          <w:color w:val="000000"/>
          <w:kern w:val="0"/>
          <w:sz w:val="20"/>
          <w:szCs w:val="20"/>
        </w:rPr>
      </w:pPr>
      <w:r w:rsidRPr="00872838">
        <w:rPr>
          <w:rFonts w:ascii="Arial" w:hAnsi="Arial" w:cs="Arial"/>
          <w:b w:val="0"/>
          <w:bCs w:val="0"/>
          <w:color w:val="000000"/>
          <w:sz w:val="20"/>
          <w:szCs w:val="20"/>
        </w:rPr>
        <w:t xml:space="preserve">The plants </w:t>
      </w:r>
      <w:r w:rsidRPr="00872838">
        <w:rPr>
          <w:rFonts w:ascii="Arial" w:hAnsi="Arial" w:cs="Arial"/>
          <w:b w:val="0"/>
          <w:i/>
          <w:color w:val="000000"/>
          <w:sz w:val="20"/>
          <w:szCs w:val="20"/>
        </w:rPr>
        <w:t xml:space="preserve">Strychnos lenticellata </w:t>
      </w:r>
      <w:r w:rsidRPr="00872838">
        <w:rPr>
          <w:rFonts w:ascii="Arial" w:hAnsi="Arial" w:cs="Arial"/>
          <w:b w:val="0"/>
          <w:color w:val="000000"/>
          <w:sz w:val="20"/>
          <w:szCs w:val="20"/>
        </w:rPr>
        <w:t>was collected from the forest of Thiruvallur, Thiruvallur district, Tamil</w:t>
      </w:r>
      <w:r w:rsidR="00B17F04" w:rsidRPr="00872838">
        <w:rPr>
          <w:rFonts w:ascii="Arial" w:hAnsi="Arial" w:cs="Arial"/>
          <w:b w:val="0"/>
          <w:color w:val="000000"/>
          <w:sz w:val="20"/>
          <w:szCs w:val="20"/>
        </w:rPr>
        <w:t xml:space="preserve"> N</w:t>
      </w:r>
      <w:r w:rsidRPr="00872838">
        <w:rPr>
          <w:rFonts w:ascii="Arial" w:hAnsi="Arial" w:cs="Arial"/>
          <w:b w:val="0"/>
          <w:color w:val="000000"/>
          <w:sz w:val="20"/>
          <w:szCs w:val="20"/>
        </w:rPr>
        <w:t xml:space="preserve">adu, India and identified with the help of local floras (Gamble, 1936; Mathew, 1983).  </w:t>
      </w:r>
    </w:p>
    <w:p w14:paraId="3CF48D11" w14:textId="03045EFB"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 xml:space="preserve">2.3. </w:t>
      </w:r>
      <w:r w:rsidR="00872838" w:rsidRPr="00872838">
        <w:rPr>
          <w:rFonts w:ascii="Arial" w:hAnsi="Arial" w:cs="Arial"/>
          <w:b/>
          <w:bCs/>
          <w:color w:val="000000"/>
        </w:rPr>
        <w:t>Preparation of Extracts</w:t>
      </w:r>
      <w:r w:rsidRPr="00872838">
        <w:rPr>
          <w:rFonts w:ascii="Arial" w:hAnsi="Arial" w:cs="Arial"/>
          <w:b/>
          <w:bCs/>
          <w:color w:val="000000"/>
        </w:rPr>
        <w:t xml:space="preserve"> </w:t>
      </w:r>
    </w:p>
    <w:p w14:paraId="0CD4A7EF" w14:textId="6288032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Extracts were prepared by soaking 100 g of dried leaves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powder in 300 mL of methanol for 72 h and filtering through Whatman filter Paper No. 1. The preparation was constant thrice and all the extracts were pooled together, solvent were evaporated at 45º C using rotary evaporator, Super- fit, ROTAVAP, PBU–6. The crude extract obtained Ethanol Extract (ES), Ethyl acetate (EAS) and petroleum ether (PES) was dried separately and stored at 4º C. </w:t>
      </w:r>
    </w:p>
    <w:p w14:paraId="553B3EBC"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2.4. Preliminary Phytochemical analysis</w:t>
      </w:r>
    </w:p>
    <w:p w14:paraId="5CE29400"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The concentrated plant extract was subjected to phytochemical tests such as alkaloids, flavonoids, carbohydrate, glycosides, saponins, phytosterols, phenols for the detection of phytochemicals presence (Raaman, 2006).</w:t>
      </w:r>
    </w:p>
    <w:p w14:paraId="7B54BECE"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2.5. Total Phenol Content (TPC)</w:t>
      </w:r>
    </w:p>
    <w:p w14:paraId="7D28D9DF" w14:textId="2F27ABD8"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 xml:space="preserve">Total phenolic content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leaf extract was examined by Folin-Ciocalteu method. Singleton's description of (TPC) and the several solvent extracts. Briefly, 0.5ml of different solvent leaf extract was dropped in test tube. Then 1.5 ml of Folin-Ciocalteu reagent was added in the tes</w:t>
      </w:r>
      <w:r w:rsidR="00B17F04" w:rsidRPr="00872838">
        <w:rPr>
          <w:rFonts w:ascii="Arial" w:hAnsi="Arial" w:cs="Arial"/>
          <w:color w:val="000000"/>
          <w:sz w:val="20"/>
          <w:szCs w:val="20"/>
        </w:rPr>
        <w:t xml:space="preserve">t </w:t>
      </w:r>
      <w:r w:rsidRPr="00872838">
        <w:rPr>
          <w:rFonts w:ascii="Arial" w:hAnsi="Arial" w:cs="Arial"/>
          <w:color w:val="000000"/>
          <w:sz w:val="20"/>
          <w:szCs w:val="20"/>
        </w:rPr>
        <w:t>tube and neutralized with 3 mL of 7.5% sodium carbonate solution. In dark condition, the above mixture was shaking periodica</w:t>
      </w:r>
      <w:r w:rsidR="00B17F04" w:rsidRPr="00872838">
        <w:rPr>
          <w:rFonts w:ascii="Arial" w:hAnsi="Arial" w:cs="Arial"/>
          <w:color w:val="000000"/>
          <w:sz w:val="20"/>
          <w:szCs w:val="20"/>
        </w:rPr>
        <w:t>l</w:t>
      </w:r>
      <w:r w:rsidRPr="00872838">
        <w:rPr>
          <w:rFonts w:ascii="Arial" w:hAnsi="Arial" w:cs="Arial"/>
          <w:color w:val="000000"/>
          <w:sz w:val="20"/>
          <w:szCs w:val="20"/>
        </w:rPr>
        <w:t>ly for enha</w:t>
      </w:r>
      <w:r w:rsidR="00B17F04" w:rsidRPr="00872838">
        <w:rPr>
          <w:rFonts w:ascii="Arial" w:hAnsi="Arial" w:cs="Arial"/>
          <w:color w:val="000000"/>
          <w:sz w:val="20"/>
          <w:szCs w:val="20"/>
        </w:rPr>
        <w:t>n</w:t>
      </w:r>
      <w:r w:rsidRPr="00872838">
        <w:rPr>
          <w:rFonts w:ascii="Arial" w:hAnsi="Arial" w:cs="Arial"/>
          <w:color w:val="000000"/>
          <w:sz w:val="20"/>
          <w:szCs w:val="20"/>
        </w:rPr>
        <w:t xml:space="preserve">cing the colour at room temperature. After 30 min. of incubation the resulting blue colour solution was read at 765 nm using UV-Vis spectrophotometer. Elico, India. Gallic acid was used as standard and the total phenolic content was expressed as mg gallic acid equivalent per gram of extract (Mahendrakumar et al., 2017). </w:t>
      </w:r>
    </w:p>
    <w:p w14:paraId="233B35BA"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2.6. Total Flavonoid Content (TFC)</w:t>
      </w:r>
    </w:p>
    <w:p w14:paraId="3188E1D6" w14:textId="05ADC684"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The total flavonoid content of different solvent leaf extracts of </w:t>
      </w:r>
      <w:r w:rsidR="004B5372" w:rsidRPr="004B5372">
        <w:rPr>
          <w:rFonts w:ascii="Arial" w:hAnsi="Arial" w:cs="Arial"/>
          <w:i/>
          <w:iCs/>
          <w:color w:val="000000"/>
          <w:sz w:val="20"/>
          <w:szCs w:val="20"/>
        </w:rPr>
        <w:t xml:space="preserve">S. lenticellata </w:t>
      </w:r>
      <w:r w:rsidRPr="00872838">
        <w:rPr>
          <w:rFonts w:ascii="Arial" w:hAnsi="Arial" w:cs="Arial"/>
          <w:color w:val="000000"/>
          <w:sz w:val="20"/>
          <w:szCs w:val="20"/>
        </w:rPr>
        <w:t xml:space="preserve">was determined by aluminium chloride reagent method. A test tube contains 0.1 ml of plant </w:t>
      </w:r>
      <w:r w:rsidRPr="00872838">
        <w:rPr>
          <w:rFonts w:ascii="Arial" w:hAnsi="Arial" w:cs="Arial"/>
          <w:color w:val="000000"/>
          <w:sz w:val="20"/>
          <w:szCs w:val="20"/>
        </w:rPr>
        <w:lastRenderedPageBreak/>
        <w:t>extract was combined with 0.2 ml of aluminium chloride (10%), 0.2 ml of potassium acetate (1M) and made the volume to 3 ml by adding of distilled water. Then the mixture was kept at 37ºC for 30 min. and the absorbance was measured at 415 nm using the right blank. The calibration curve was generated using quercetin as a standard, and the total flavonoid concentration was expressed as milligrams of quercetin equivalents per gram of extract (Bharath et al., 2020).</w:t>
      </w:r>
    </w:p>
    <w:p w14:paraId="6B4C8A3C"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2.7.</w:t>
      </w:r>
      <w:r w:rsidRPr="00872838">
        <w:rPr>
          <w:rFonts w:ascii="Arial" w:hAnsi="Arial" w:cs="Arial"/>
          <w:b/>
          <w:bCs/>
          <w:color w:val="000000"/>
        </w:rPr>
        <w:tab/>
        <w:t xml:space="preserve">Antibacterial activity </w:t>
      </w:r>
    </w:p>
    <w:p w14:paraId="7260022D" w14:textId="4319B0F4"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Antibacterial activity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different solvent leaf extract was carried out by the agar well diffusion method (Perez et al., 1990). Agar well diffusion assay was performing with Mueller Hinton Agar (MHA) medium for bacteria. Totally 6 patho</w:t>
      </w:r>
      <w:r w:rsidR="00B17F04" w:rsidRPr="00872838">
        <w:rPr>
          <w:rFonts w:ascii="Arial" w:hAnsi="Arial" w:cs="Arial"/>
          <w:color w:val="000000"/>
          <w:sz w:val="20"/>
          <w:szCs w:val="20"/>
        </w:rPr>
        <w:t>g</w:t>
      </w:r>
      <w:r w:rsidRPr="00872838">
        <w:rPr>
          <w:rFonts w:ascii="Arial" w:hAnsi="Arial" w:cs="Arial"/>
          <w:color w:val="000000"/>
          <w:sz w:val="20"/>
          <w:szCs w:val="20"/>
        </w:rPr>
        <w:t xml:space="preserve">ens used for the study Gram Negative bacterium </w:t>
      </w:r>
      <w:r w:rsidRPr="00872838">
        <w:rPr>
          <w:rFonts w:ascii="Arial" w:hAnsi="Arial" w:cs="Arial"/>
          <w:i/>
          <w:iCs/>
          <w:color w:val="000000"/>
          <w:sz w:val="20"/>
          <w:szCs w:val="20"/>
        </w:rPr>
        <w:t>Klebsiella pneumoniae</w:t>
      </w:r>
      <w:r w:rsidRPr="00872838">
        <w:rPr>
          <w:rFonts w:ascii="Arial" w:hAnsi="Arial" w:cs="Arial"/>
          <w:color w:val="000000"/>
          <w:sz w:val="20"/>
          <w:szCs w:val="20"/>
        </w:rPr>
        <w:t xml:space="preserve"> (MTCC109), </w:t>
      </w:r>
      <w:r w:rsidRPr="00872838">
        <w:rPr>
          <w:rFonts w:ascii="Arial" w:hAnsi="Arial" w:cs="Arial"/>
          <w:i/>
          <w:iCs/>
          <w:color w:val="000000"/>
          <w:sz w:val="20"/>
          <w:szCs w:val="20"/>
        </w:rPr>
        <w:t>Salmonella typhi</w:t>
      </w:r>
      <w:r w:rsidRPr="00872838">
        <w:rPr>
          <w:rFonts w:ascii="Arial" w:hAnsi="Arial" w:cs="Arial"/>
          <w:color w:val="000000"/>
          <w:sz w:val="20"/>
          <w:szCs w:val="20"/>
        </w:rPr>
        <w:t xml:space="preserve"> (MTCC 733), </w:t>
      </w:r>
      <w:r w:rsidRPr="00872838">
        <w:rPr>
          <w:rFonts w:ascii="Arial" w:hAnsi="Arial" w:cs="Arial"/>
          <w:i/>
          <w:iCs/>
          <w:color w:val="000000"/>
          <w:sz w:val="20"/>
          <w:szCs w:val="20"/>
        </w:rPr>
        <w:t>Shigella flexneri</w:t>
      </w:r>
      <w:r w:rsidRPr="00872838">
        <w:rPr>
          <w:rFonts w:ascii="Arial" w:hAnsi="Arial" w:cs="Arial"/>
          <w:color w:val="000000"/>
          <w:sz w:val="20"/>
          <w:szCs w:val="20"/>
        </w:rPr>
        <w:t xml:space="preserve"> (MTCC1457), Gram Positive Bacterium </w:t>
      </w:r>
      <w:r w:rsidRPr="00872838">
        <w:rPr>
          <w:rFonts w:ascii="Arial" w:hAnsi="Arial" w:cs="Arial"/>
          <w:i/>
          <w:iCs/>
          <w:color w:val="000000"/>
          <w:sz w:val="20"/>
          <w:szCs w:val="20"/>
        </w:rPr>
        <w:t>Bacillus subtilis</w:t>
      </w:r>
      <w:r w:rsidRPr="00872838">
        <w:rPr>
          <w:rFonts w:ascii="Arial" w:hAnsi="Arial" w:cs="Arial"/>
          <w:color w:val="000000"/>
          <w:sz w:val="20"/>
          <w:szCs w:val="20"/>
        </w:rPr>
        <w:t xml:space="preserve"> (MTCC441), </w:t>
      </w:r>
      <w:r w:rsidRPr="00872838">
        <w:rPr>
          <w:rFonts w:ascii="Arial" w:hAnsi="Arial" w:cs="Arial"/>
          <w:i/>
          <w:iCs/>
          <w:color w:val="000000"/>
          <w:sz w:val="20"/>
          <w:szCs w:val="20"/>
        </w:rPr>
        <w:t>Staphylococcus aureus</w:t>
      </w:r>
      <w:r w:rsidRPr="00872838">
        <w:rPr>
          <w:rFonts w:ascii="Arial" w:hAnsi="Arial" w:cs="Arial"/>
          <w:color w:val="000000"/>
          <w:sz w:val="20"/>
          <w:szCs w:val="20"/>
        </w:rPr>
        <w:t xml:space="preserve"> (MTCC96), </w:t>
      </w:r>
      <w:r w:rsidRPr="00872838">
        <w:rPr>
          <w:rFonts w:ascii="Arial" w:hAnsi="Arial" w:cs="Arial"/>
          <w:i/>
          <w:iCs/>
          <w:color w:val="000000"/>
          <w:sz w:val="20"/>
          <w:szCs w:val="20"/>
        </w:rPr>
        <w:t>Streptococcus mutans</w:t>
      </w:r>
      <w:r w:rsidRPr="00872838">
        <w:rPr>
          <w:rFonts w:ascii="Arial" w:hAnsi="Arial" w:cs="Arial"/>
          <w:color w:val="000000"/>
          <w:sz w:val="20"/>
          <w:szCs w:val="20"/>
        </w:rPr>
        <w:t xml:space="preserve"> (MTCC497). The culture media was poured into sterile petri dish and standardized bacterial culture was swabbed on the medium. Agar well was prepared by using sterilized (9 mm) cork borer and different concentrations (250,500, and 1000 μg) of plant extracts was distributed into each well and 100% DMSO as a control. Kanamycin (30 μg) were used as positive control, respectively. Zone of inhibition was expressed as mm in diameter. </w:t>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r>
      <w:r w:rsidRPr="00872838">
        <w:rPr>
          <w:rFonts w:ascii="Arial" w:hAnsi="Arial" w:cs="Arial"/>
          <w:color w:val="000000"/>
          <w:sz w:val="20"/>
          <w:szCs w:val="20"/>
        </w:rPr>
        <w:softHyphen/>
        <w:t xml:space="preserve">                            </w:t>
      </w:r>
    </w:p>
    <w:p w14:paraId="68406537" w14:textId="0C971D09" w:rsidR="00DF03AD" w:rsidRPr="00872838" w:rsidRDefault="00DF03AD" w:rsidP="00872838">
      <w:pPr>
        <w:pStyle w:val="BodyText"/>
        <w:tabs>
          <w:tab w:val="left" w:pos="0"/>
          <w:tab w:val="left" w:pos="567"/>
        </w:tabs>
        <w:spacing w:after="0" w:line="240" w:lineRule="auto"/>
        <w:jc w:val="both"/>
        <w:rPr>
          <w:rFonts w:ascii="Arial" w:hAnsi="Arial" w:cs="Arial"/>
          <w:b/>
          <w:bCs/>
          <w:color w:val="000000"/>
        </w:rPr>
      </w:pPr>
      <w:r w:rsidRPr="00872838">
        <w:rPr>
          <w:rFonts w:ascii="Arial" w:hAnsi="Arial" w:cs="Arial"/>
          <w:b/>
          <w:bCs/>
          <w:color w:val="000000"/>
        </w:rPr>
        <w:t xml:space="preserve">2.8. </w:t>
      </w:r>
      <w:r w:rsidRPr="00872838">
        <w:rPr>
          <w:rFonts w:ascii="Arial" w:hAnsi="Arial" w:cs="Arial"/>
          <w:b/>
          <w:bCs/>
          <w:i/>
          <w:iCs/>
          <w:color w:val="000000"/>
        </w:rPr>
        <w:t>In vitro</w:t>
      </w:r>
      <w:r w:rsidRPr="00872838">
        <w:rPr>
          <w:rFonts w:ascii="Arial" w:hAnsi="Arial" w:cs="Arial"/>
          <w:b/>
          <w:bCs/>
          <w:color w:val="000000"/>
        </w:rPr>
        <w:t xml:space="preserve"> antioxidant activit</w:t>
      </w:r>
      <w:r w:rsidR="00872838">
        <w:rPr>
          <w:rFonts w:ascii="Arial" w:hAnsi="Arial" w:cs="Arial"/>
          <w:b/>
          <w:bCs/>
          <w:color w:val="000000"/>
        </w:rPr>
        <w:t>y</w:t>
      </w:r>
      <w:r w:rsidRPr="00872838">
        <w:rPr>
          <w:rFonts w:ascii="Arial" w:hAnsi="Arial" w:cs="Arial"/>
          <w:b/>
          <w:bCs/>
          <w:color w:val="000000"/>
        </w:rPr>
        <w:t xml:space="preserve"> </w:t>
      </w:r>
    </w:p>
    <w:p w14:paraId="0977EC57"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sz w:val="20"/>
          <w:szCs w:val="20"/>
          <w:u w:val="single"/>
        </w:rPr>
      </w:pPr>
      <w:r w:rsidRPr="00872838">
        <w:rPr>
          <w:rFonts w:ascii="Arial" w:hAnsi="Arial" w:cs="Arial"/>
          <w:b/>
          <w:bCs/>
          <w:color w:val="000000"/>
          <w:sz w:val="20"/>
          <w:szCs w:val="20"/>
          <w:u w:val="single"/>
        </w:rPr>
        <w:t xml:space="preserve">2.8.1. DPPH radical scavenging assay </w:t>
      </w:r>
    </w:p>
    <w:p w14:paraId="58B274A9" w14:textId="17AD1055"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DPPH (1, 1–Diphenyl–2–picryl hydrazyl) radical scavenging capability of plant extracts was estimated by according to the method of </w:t>
      </w:r>
      <w:r w:rsidR="001E2167" w:rsidRPr="00872838">
        <w:rPr>
          <w:rFonts w:ascii="Arial" w:hAnsi="Arial" w:cs="Arial"/>
          <w:color w:val="000000"/>
          <w:sz w:val="20"/>
          <w:szCs w:val="20"/>
        </w:rPr>
        <w:t xml:space="preserve">Leong &amp; Shui </w:t>
      </w:r>
      <w:r w:rsidRPr="00872838">
        <w:rPr>
          <w:rFonts w:ascii="Arial" w:hAnsi="Arial" w:cs="Arial"/>
          <w:color w:val="000000"/>
          <w:sz w:val="20"/>
          <w:szCs w:val="20"/>
        </w:rPr>
        <w:t xml:space="preserve">(2002). The plant </w:t>
      </w:r>
      <w:r w:rsidR="004E7B5C" w:rsidRPr="00872838">
        <w:rPr>
          <w:rFonts w:ascii="Arial" w:hAnsi="Arial" w:cs="Arial"/>
          <w:color w:val="000000"/>
          <w:sz w:val="20"/>
          <w:szCs w:val="20"/>
        </w:rPr>
        <w:t>extracts</w:t>
      </w:r>
      <w:r w:rsidRPr="00872838">
        <w:rPr>
          <w:rFonts w:ascii="Arial" w:hAnsi="Arial" w:cs="Arial"/>
          <w:color w:val="000000"/>
          <w:sz w:val="20"/>
          <w:szCs w:val="20"/>
        </w:rPr>
        <w:t xml:space="preserve"> at different concentrations (100, 200, 400, 600 and 800 µg/mL) was added with 3ml of (0.1 mM) DPPH ethanol Solution. The reactant mixture was kept in dark condition for 30 min. at room temperature. The reduction in colour of the mixture was measured at 517 nm and the blank was prepared without extracts. Quercetin at various concentrations was used as the standard and the capability of DPPH radical scavenge activity was calculated by the formula, </w:t>
      </w:r>
    </w:p>
    <w:p w14:paraId="513253EE"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Scavenging activity (%) = [(Control - sample)/Control] × 100</w:t>
      </w:r>
    </w:p>
    <w:p w14:paraId="12CAB7D1"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sz w:val="20"/>
          <w:szCs w:val="20"/>
          <w:u w:val="single"/>
        </w:rPr>
      </w:pPr>
      <w:r w:rsidRPr="00872838">
        <w:rPr>
          <w:rFonts w:ascii="Arial" w:hAnsi="Arial" w:cs="Arial"/>
          <w:b/>
          <w:bCs/>
          <w:color w:val="000000"/>
          <w:sz w:val="20"/>
          <w:szCs w:val="20"/>
          <w:u w:val="single"/>
        </w:rPr>
        <w:t xml:space="preserve">2.8.2. Superoxide radical scavenging activity </w:t>
      </w:r>
    </w:p>
    <w:p w14:paraId="76CEF912"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Nitro–Blue Tetrazolium (NBT) reagent was used to determine the Superoxide radical scavenging activity. In this method, superoxide radical (O2-) is spontaneously produced by auto oxidation of hydroxylamine hydrochloride in the presence of NBT, which gets reduced to nitrite. Measurement of superoxide anion scavenging activity was based on the method of (Bharath et al., 2021). Various concentrations (100, 200, 400, 600 and 800 µg/mL) of different solvent leaf extracts were added to the 3 ml of reaction cocktail, 2 mM riboflavin, 75 mM NBT, 100 mM EDTA, 0.13 M methionine was prepared in 0.5 M phosphate buffer saline (pH 7.8).  The reaction mixture was illuminated for 30 min and the absorbance was measured at 560 nm. Ascorbic acid was used as reference. The percentage inhibition was calculated by the formula,  </w:t>
      </w:r>
    </w:p>
    <w:p w14:paraId="7D360DF6"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Scavenging activity (%) = [(Control OD - Sample OD)/Control OD] ×100.</w:t>
      </w:r>
    </w:p>
    <w:p w14:paraId="1DC2A243" w14:textId="77777777" w:rsidR="00DF03AD" w:rsidRPr="00872838" w:rsidRDefault="00DF03AD" w:rsidP="00872838">
      <w:pPr>
        <w:pStyle w:val="BodyText"/>
        <w:tabs>
          <w:tab w:val="left" w:pos="0"/>
          <w:tab w:val="left" w:pos="567"/>
        </w:tabs>
        <w:spacing w:after="0" w:line="240" w:lineRule="auto"/>
        <w:jc w:val="both"/>
        <w:rPr>
          <w:rFonts w:ascii="Arial" w:hAnsi="Arial" w:cs="Arial"/>
          <w:b/>
          <w:bCs/>
          <w:color w:val="000000"/>
          <w:sz w:val="20"/>
          <w:szCs w:val="20"/>
          <w:u w:val="single"/>
        </w:rPr>
      </w:pPr>
      <w:r w:rsidRPr="00872838">
        <w:rPr>
          <w:rFonts w:ascii="Arial" w:hAnsi="Arial" w:cs="Arial"/>
          <w:b/>
          <w:bCs/>
          <w:color w:val="000000"/>
          <w:sz w:val="20"/>
          <w:szCs w:val="20"/>
          <w:u w:val="single"/>
        </w:rPr>
        <w:t>2.8.3. Hydroxyl radical scavenging activity</w:t>
      </w:r>
    </w:p>
    <w:p w14:paraId="4ED79C9C" w14:textId="721CF908"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The hydroxyl radical scavenging activity of the extract was investigated by according to the method of Loganayaki et al (2011). Briefly, in different test tube contains various concentrations (100, 200, 400, 600 and 800 μg/mL) of extract added with 1.0 mL of iron</w:t>
      </w:r>
      <w:r w:rsidRPr="00872838">
        <w:rPr>
          <w:rFonts w:ascii="Cambria Math" w:hAnsi="Cambria Math" w:cs="Cambria Math"/>
          <w:color w:val="000000"/>
          <w:sz w:val="20"/>
          <w:szCs w:val="20"/>
        </w:rPr>
        <w:t>‐</w:t>
      </w:r>
      <w:r w:rsidRPr="00872838">
        <w:rPr>
          <w:rFonts w:ascii="Arial" w:hAnsi="Arial" w:cs="Arial"/>
          <w:color w:val="000000"/>
          <w:sz w:val="20"/>
          <w:szCs w:val="20"/>
        </w:rPr>
        <w:t>EDTA solution (0.13% ferrous ammonium sulphate and 0.26% EDTA), 0.5 ml of EDTA solution (0.018% w/v), 1.0 mL of dimethyl sulphoxide (0.85% v/v in 0.1M phosphate buffer, pH 7.4) and 0.5 mL of 0.22% ascorbic acid, accordingly. The reaction was incubated at 80–90°C for 15 min in a water bath and terminated by the addition of 1.0 mL of ice</w:t>
      </w:r>
      <w:r w:rsidRPr="00872838">
        <w:rPr>
          <w:rFonts w:ascii="Cambria Math" w:hAnsi="Cambria Math" w:cs="Cambria Math"/>
          <w:color w:val="000000"/>
          <w:sz w:val="20"/>
          <w:szCs w:val="20"/>
        </w:rPr>
        <w:t>‐</w:t>
      </w:r>
      <w:r w:rsidRPr="00872838">
        <w:rPr>
          <w:rFonts w:ascii="Arial" w:hAnsi="Arial" w:cs="Arial"/>
          <w:color w:val="000000"/>
          <w:sz w:val="20"/>
          <w:szCs w:val="20"/>
        </w:rPr>
        <w:t xml:space="preserve">cold TCA (17.5%; w/v). Consequently, add 3.0 mL of Nash reagent (75.0 g of ammonium acetate, 3.0 mL of glacial acetic acid, 2 ml of acetyl acetone and the made volume to 1L by adding distilled </w:t>
      </w:r>
      <w:r w:rsidR="004E7B5C" w:rsidRPr="00872838">
        <w:rPr>
          <w:rFonts w:ascii="Arial" w:hAnsi="Arial" w:cs="Arial"/>
          <w:color w:val="000000"/>
          <w:sz w:val="20"/>
          <w:szCs w:val="20"/>
        </w:rPr>
        <w:t>water and</w:t>
      </w:r>
      <w:r w:rsidRPr="00872838">
        <w:rPr>
          <w:rFonts w:ascii="Arial" w:hAnsi="Arial" w:cs="Arial"/>
          <w:color w:val="000000"/>
          <w:sz w:val="20"/>
          <w:szCs w:val="20"/>
        </w:rPr>
        <w:t xml:space="preserve"> kept in room temperature for 15 min. The absorbance of the coloured solution was read at 412 nm and percentage of inhibition was calculated. </w:t>
      </w:r>
    </w:p>
    <w:p w14:paraId="409FF652" w14:textId="4D704390" w:rsidR="00DF03AD" w:rsidRPr="00872838" w:rsidRDefault="00872838" w:rsidP="00872838">
      <w:pPr>
        <w:pStyle w:val="BodyText"/>
        <w:tabs>
          <w:tab w:val="left" w:pos="0"/>
          <w:tab w:val="left" w:pos="567"/>
        </w:tabs>
        <w:spacing w:after="0" w:line="240" w:lineRule="auto"/>
        <w:jc w:val="both"/>
        <w:rPr>
          <w:rFonts w:ascii="Arial" w:hAnsi="Arial" w:cs="Arial"/>
          <w:b/>
          <w:bCs/>
          <w:color w:val="000000"/>
          <w:sz w:val="20"/>
          <w:szCs w:val="20"/>
        </w:rPr>
      </w:pPr>
      <w:r w:rsidRPr="00872838">
        <w:rPr>
          <w:rFonts w:ascii="Arial" w:hAnsi="Arial" w:cs="Arial"/>
          <w:b/>
          <w:bCs/>
          <w:color w:val="000000"/>
          <w:sz w:val="20"/>
          <w:szCs w:val="20"/>
        </w:rPr>
        <w:t>2</w:t>
      </w:r>
      <w:r w:rsidR="00DF03AD" w:rsidRPr="00872838">
        <w:rPr>
          <w:rFonts w:ascii="Arial" w:hAnsi="Arial" w:cs="Arial"/>
          <w:b/>
          <w:bCs/>
          <w:color w:val="000000"/>
          <w:sz w:val="20"/>
          <w:szCs w:val="20"/>
        </w:rPr>
        <w:t xml:space="preserve">.9. Statistical analysis </w:t>
      </w:r>
    </w:p>
    <w:p w14:paraId="53B985F9"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The obtained results were calculated using Graph Pad prism 5.0. Non-linear regression analysis and One-Way ANOVA following Dunnett’s test. The mean and SD with P &lt; 0.05.</w:t>
      </w:r>
    </w:p>
    <w:p w14:paraId="0F5587AA" w14:textId="20294DE6" w:rsidR="00DF03AD" w:rsidRPr="001B314B" w:rsidRDefault="001B314B" w:rsidP="001B314B">
      <w:pPr>
        <w:pStyle w:val="BodyText"/>
        <w:tabs>
          <w:tab w:val="left" w:pos="0"/>
          <w:tab w:val="left" w:pos="567"/>
        </w:tabs>
        <w:spacing w:after="0" w:line="240" w:lineRule="auto"/>
        <w:jc w:val="both"/>
        <w:rPr>
          <w:rFonts w:ascii="Arial" w:hAnsi="Arial" w:cs="Arial"/>
          <w:b/>
          <w:bCs/>
          <w:color w:val="000000"/>
          <w:sz w:val="20"/>
          <w:szCs w:val="20"/>
        </w:rPr>
      </w:pPr>
      <w:r>
        <w:rPr>
          <w:rFonts w:ascii="Arial" w:hAnsi="Arial" w:cs="Arial"/>
          <w:b/>
          <w:bCs/>
          <w:color w:val="000000"/>
          <w:sz w:val="20"/>
          <w:szCs w:val="20"/>
        </w:rPr>
        <w:t>3</w:t>
      </w:r>
      <w:r w:rsidR="00DF03AD" w:rsidRPr="001B314B">
        <w:rPr>
          <w:rFonts w:ascii="Arial" w:hAnsi="Arial" w:cs="Arial"/>
          <w:b/>
          <w:bCs/>
          <w:color w:val="000000"/>
          <w:sz w:val="20"/>
          <w:szCs w:val="20"/>
        </w:rPr>
        <w:t>. RESULTS</w:t>
      </w:r>
      <w:r>
        <w:rPr>
          <w:rFonts w:ascii="Arial" w:hAnsi="Arial" w:cs="Arial"/>
          <w:b/>
          <w:bCs/>
          <w:color w:val="000000"/>
          <w:sz w:val="20"/>
          <w:szCs w:val="20"/>
        </w:rPr>
        <w:t xml:space="preserve"> AND DISCUSSION</w:t>
      </w:r>
    </w:p>
    <w:p w14:paraId="5F422EF1" w14:textId="2CFD5832" w:rsidR="00DF03AD" w:rsidRPr="001B314B" w:rsidRDefault="001B314B" w:rsidP="001B314B">
      <w:pPr>
        <w:pStyle w:val="BodyText"/>
        <w:tabs>
          <w:tab w:val="left" w:pos="0"/>
          <w:tab w:val="left" w:pos="567"/>
        </w:tabs>
        <w:spacing w:after="0" w:line="240" w:lineRule="auto"/>
        <w:jc w:val="both"/>
        <w:rPr>
          <w:rFonts w:ascii="Arial" w:hAnsi="Arial" w:cs="Arial"/>
          <w:b/>
          <w:bCs/>
          <w:color w:val="000000"/>
        </w:rPr>
      </w:pPr>
      <w:r w:rsidRPr="001B314B">
        <w:rPr>
          <w:rFonts w:ascii="Arial" w:hAnsi="Arial" w:cs="Arial"/>
          <w:b/>
          <w:bCs/>
          <w:color w:val="000000"/>
        </w:rPr>
        <w:t>3</w:t>
      </w:r>
      <w:r w:rsidR="00DF03AD" w:rsidRPr="001B314B">
        <w:rPr>
          <w:rFonts w:ascii="Arial" w:hAnsi="Arial" w:cs="Arial"/>
          <w:b/>
          <w:bCs/>
          <w:color w:val="000000"/>
        </w:rPr>
        <w:t>.</w:t>
      </w:r>
      <w:r w:rsidRPr="001B314B">
        <w:rPr>
          <w:rFonts w:ascii="Arial" w:hAnsi="Arial" w:cs="Arial"/>
          <w:b/>
          <w:bCs/>
          <w:color w:val="000000"/>
        </w:rPr>
        <w:t>1</w:t>
      </w:r>
      <w:r w:rsidR="00DF03AD" w:rsidRPr="001B314B">
        <w:rPr>
          <w:rFonts w:ascii="Arial" w:hAnsi="Arial" w:cs="Arial"/>
          <w:b/>
          <w:bCs/>
          <w:color w:val="000000"/>
        </w:rPr>
        <w:t>. Qualitative phytochemical analysis</w:t>
      </w:r>
    </w:p>
    <w:p w14:paraId="090FB782" w14:textId="2786D703"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Qualitative phytochemical analysis explored the presence of following phytochemicals in PES, EAS and ES extracts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All the extracts showed </w:t>
      </w:r>
      <w:r w:rsidRPr="00872838">
        <w:rPr>
          <w:rFonts w:ascii="Arial" w:hAnsi="Arial" w:cs="Arial"/>
          <w:color w:val="000000"/>
          <w:sz w:val="20"/>
          <w:szCs w:val="20"/>
        </w:rPr>
        <w:lastRenderedPageBreak/>
        <w:t xml:space="preserve">positive results for flavonoids, and phenols, whereas alkaloids, phytosterols and carbohydrates were absent in petroleum ether (Table 1.). Glycosides were not found in ethanol extract, at the same time </w:t>
      </w:r>
      <w:r w:rsidR="004E7B5C" w:rsidRPr="00872838">
        <w:rPr>
          <w:rFonts w:ascii="Arial" w:hAnsi="Arial" w:cs="Arial"/>
          <w:color w:val="000000"/>
          <w:sz w:val="20"/>
          <w:szCs w:val="20"/>
        </w:rPr>
        <w:t>ethyl</w:t>
      </w:r>
      <w:r w:rsidRPr="00872838">
        <w:rPr>
          <w:rFonts w:ascii="Arial" w:hAnsi="Arial" w:cs="Arial"/>
          <w:color w:val="000000"/>
          <w:sz w:val="20"/>
          <w:szCs w:val="20"/>
        </w:rPr>
        <w:t xml:space="preserve"> </w:t>
      </w:r>
      <w:r w:rsidR="004E7B5C" w:rsidRPr="00872838">
        <w:rPr>
          <w:rFonts w:ascii="Arial" w:hAnsi="Arial" w:cs="Arial"/>
          <w:color w:val="000000"/>
          <w:sz w:val="20"/>
          <w:szCs w:val="20"/>
        </w:rPr>
        <w:t>acetate</w:t>
      </w:r>
      <w:r w:rsidRPr="00872838">
        <w:rPr>
          <w:rFonts w:ascii="Arial" w:hAnsi="Arial" w:cs="Arial"/>
          <w:color w:val="000000"/>
          <w:sz w:val="20"/>
          <w:szCs w:val="20"/>
        </w:rPr>
        <w:t xml:space="preserve"> represents the absence of saponins and phytosterols, respectively. </w:t>
      </w:r>
    </w:p>
    <w:p w14:paraId="33C7DE86" w14:textId="6AD064F8" w:rsidR="00DF03AD" w:rsidRPr="001B314B" w:rsidRDefault="00DF03AD" w:rsidP="001B314B">
      <w:pPr>
        <w:pStyle w:val="BodyText"/>
        <w:tabs>
          <w:tab w:val="left" w:pos="0"/>
          <w:tab w:val="left" w:pos="567"/>
        </w:tabs>
        <w:spacing w:after="0" w:line="240" w:lineRule="auto"/>
        <w:jc w:val="both"/>
        <w:rPr>
          <w:rFonts w:ascii="Arial" w:hAnsi="Arial" w:cs="Arial"/>
          <w:b/>
          <w:bCs/>
          <w:i/>
          <w:iCs/>
          <w:color w:val="000000"/>
          <w:sz w:val="20"/>
          <w:szCs w:val="20"/>
        </w:rPr>
      </w:pPr>
      <w:r w:rsidRPr="001B314B">
        <w:rPr>
          <w:rFonts w:ascii="Arial" w:hAnsi="Arial" w:cs="Arial"/>
          <w:b/>
          <w:bCs/>
          <w:color w:val="000000"/>
          <w:sz w:val="20"/>
          <w:szCs w:val="20"/>
        </w:rPr>
        <w:t xml:space="preserve">Table 1. Qualitative phytochemical analysis of different solvent extracts of </w:t>
      </w:r>
      <w:r w:rsidR="004B5372" w:rsidRPr="004B5372">
        <w:rPr>
          <w:rFonts w:ascii="Arial" w:hAnsi="Arial" w:cs="Arial"/>
          <w:b/>
          <w:bCs/>
          <w:i/>
          <w:iCs/>
          <w:color w:val="000000"/>
          <w:sz w:val="20"/>
          <w:szCs w:val="20"/>
        </w:rPr>
        <w:t>S. lenticellata</w:t>
      </w:r>
      <w:r w:rsidRPr="001B314B">
        <w:rPr>
          <w:rFonts w:ascii="Arial" w:hAnsi="Arial" w:cs="Arial"/>
          <w:b/>
          <w:bCs/>
          <w:i/>
          <w:iCs/>
          <w:color w:val="000000"/>
          <w:sz w:val="20"/>
          <w:szCs w:val="20"/>
        </w:rPr>
        <w:t xml:space="preserve">.  </w:t>
      </w:r>
    </w:p>
    <w:tbl>
      <w:tblPr>
        <w:tblW w:w="7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0"/>
        <w:gridCol w:w="1576"/>
        <w:gridCol w:w="2095"/>
        <w:gridCol w:w="1490"/>
      </w:tblGrid>
      <w:tr w:rsidR="00DF03AD" w:rsidRPr="00872838" w14:paraId="30CBF0A4" w14:textId="77777777" w:rsidTr="00DF03AD">
        <w:trPr>
          <w:trHeight w:hRule="exact" w:val="793"/>
          <w:jc w:val="center"/>
        </w:trPr>
        <w:tc>
          <w:tcPr>
            <w:tcW w:w="2350" w:type="dxa"/>
            <w:tcBorders>
              <w:top w:val="single" w:sz="4" w:space="0" w:color="auto"/>
            </w:tcBorders>
            <w:vAlign w:val="center"/>
          </w:tcPr>
          <w:p w14:paraId="15B07EDE" w14:textId="77777777" w:rsidR="00DF03AD" w:rsidRPr="001B314B" w:rsidRDefault="00DF03AD" w:rsidP="001B314B">
            <w:pPr>
              <w:pStyle w:val="BodyText"/>
              <w:tabs>
                <w:tab w:val="left" w:pos="0"/>
                <w:tab w:val="left" w:pos="567"/>
              </w:tabs>
              <w:spacing w:after="0" w:line="240" w:lineRule="auto"/>
              <w:jc w:val="both"/>
              <w:rPr>
                <w:rFonts w:ascii="Arial" w:hAnsi="Arial" w:cs="Arial"/>
                <w:b/>
                <w:bCs/>
                <w:color w:val="000000"/>
                <w:sz w:val="20"/>
                <w:szCs w:val="20"/>
              </w:rPr>
            </w:pPr>
            <w:r w:rsidRPr="001B314B">
              <w:rPr>
                <w:rFonts w:ascii="Arial" w:hAnsi="Arial" w:cs="Arial"/>
                <w:b/>
                <w:bCs/>
                <w:color w:val="000000"/>
                <w:sz w:val="20"/>
                <w:szCs w:val="20"/>
              </w:rPr>
              <w:t>Phytochemical test</w:t>
            </w:r>
          </w:p>
        </w:tc>
        <w:tc>
          <w:tcPr>
            <w:tcW w:w="1576" w:type="dxa"/>
            <w:tcBorders>
              <w:top w:val="single" w:sz="4" w:space="0" w:color="auto"/>
            </w:tcBorders>
            <w:vAlign w:val="center"/>
          </w:tcPr>
          <w:p w14:paraId="2EFFC95D" w14:textId="77777777" w:rsidR="00DF03AD" w:rsidRPr="001B314B" w:rsidRDefault="00DF03AD" w:rsidP="00872838">
            <w:pPr>
              <w:pStyle w:val="BodyText"/>
              <w:tabs>
                <w:tab w:val="left" w:pos="0"/>
                <w:tab w:val="left" w:pos="567"/>
              </w:tabs>
              <w:spacing w:after="0" w:line="240" w:lineRule="auto"/>
              <w:ind w:firstLine="360"/>
              <w:jc w:val="both"/>
              <w:rPr>
                <w:rFonts w:ascii="Arial" w:hAnsi="Arial" w:cs="Arial"/>
                <w:b/>
                <w:bCs/>
                <w:color w:val="000000"/>
                <w:sz w:val="20"/>
                <w:szCs w:val="20"/>
              </w:rPr>
            </w:pPr>
            <w:r w:rsidRPr="001B314B">
              <w:rPr>
                <w:rFonts w:ascii="Arial" w:hAnsi="Arial" w:cs="Arial"/>
                <w:b/>
                <w:bCs/>
                <w:color w:val="000000"/>
                <w:sz w:val="20"/>
                <w:szCs w:val="20"/>
              </w:rPr>
              <w:t>PES</w:t>
            </w:r>
          </w:p>
        </w:tc>
        <w:tc>
          <w:tcPr>
            <w:tcW w:w="2095" w:type="dxa"/>
            <w:tcBorders>
              <w:top w:val="single" w:sz="4" w:space="0" w:color="auto"/>
            </w:tcBorders>
            <w:vAlign w:val="center"/>
          </w:tcPr>
          <w:p w14:paraId="25DCCFE6" w14:textId="77777777" w:rsidR="00DF03AD" w:rsidRPr="001B314B" w:rsidRDefault="00DF03AD" w:rsidP="00872838">
            <w:pPr>
              <w:pStyle w:val="BodyText"/>
              <w:tabs>
                <w:tab w:val="left" w:pos="0"/>
                <w:tab w:val="left" w:pos="567"/>
              </w:tabs>
              <w:spacing w:after="0" w:line="240" w:lineRule="auto"/>
              <w:ind w:firstLine="360"/>
              <w:jc w:val="both"/>
              <w:rPr>
                <w:rFonts w:ascii="Arial" w:hAnsi="Arial" w:cs="Arial"/>
                <w:b/>
                <w:bCs/>
                <w:color w:val="000000"/>
                <w:sz w:val="20"/>
                <w:szCs w:val="20"/>
              </w:rPr>
            </w:pPr>
            <w:r w:rsidRPr="001B314B">
              <w:rPr>
                <w:rFonts w:ascii="Arial" w:hAnsi="Arial" w:cs="Arial"/>
                <w:b/>
                <w:bCs/>
                <w:color w:val="000000"/>
                <w:sz w:val="20"/>
                <w:szCs w:val="20"/>
              </w:rPr>
              <w:t>EAS</w:t>
            </w:r>
          </w:p>
        </w:tc>
        <w:tc>
          <w:tcPr>
            <w:tcW w:w="1490" w:type="dxa"/>
            <w:tcBorders>
              <w:top w:val="single" w:sz="4" w:space="0" w:color="auto"/>
            </w:tcBorders>
            <w:vAlign w:val="center"/>
          </w:tcPr>
          <w:p w14:paraId="23207F9A" w14:textId="77777777" w:rsidR="00DF03AD" w:rsidRPr="001B314B" w:rsidRDefault="00DF03AD" w:rsidP="00872838">
            <w:pPr>
              <w:pStyle w:val="BodyText"/>
              <w:tabs>
                <w:tab w:val="left" w:pos="0"/>
                <w:tab w:val="left" w:pos="567"/>
              </w:tabs>
              <w:spacing w:after="0" w:line="240" w:lineRule="auto"/>
              <w:ind w:firstLine="360"/>
              <w:jc w:val="both"/>
              <w:rPr>
                <w:rFonts w:ascii="Arial" w:hAnsi="Arial" w:cs="Arial"/>
                <w:b/>
                <w:bCs/>
                <w:color w:val="000000"/>
                <w:sz w:val="20"/>
                <w:szCs w:val="20"/>
              </w:rPr>
            </w:pPr>
            <w:r w:rsidRPr="001B314B">
              <w:rPr>
                <w:rFonts w:ascii="Arial" w:hAnsi="Arial" w:cs="Arial"/>
                <w:b/>
                <w:bCs/>
                <w:color w:val="000000"/>
                <w:sz w:val="20"/>
                <w:szCs w:val="20"/>
              </w:rPr>
              <w:t>ES</w:t>
            </w:r>
          </w:p>
        </w:tc>
      </w:tr>
      <w:tr w:rsidR="00DF03AD" w:rsidRPr="00872838" w14:paraId="04DDDC2C" w14:textId="77777777" w:rsidTr="001B314B">
        <w:trPr>
          <w:trHeight w:val="311"/>
          <w:jc w:val="center"/>
        </w:trPr>
        <w:tc>
          <w:tcPr>
            <w:tcW w:w="2350" w:type="dxa"/>
            <w:tcBorders>
              <w:top w:val="single" w:sz="4" w:space="0" w:color="auto"/>
            </w:tcBorders>
            <w:vAlign w:val="center"/>
          </w:tcPr>
          <w:p w14:paraId="1ADB982D"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Alkaloids</w:t>
            </w:r>
          </w:p>
        </w:tc>
        <w:tc>
          <w:tcPr>
            <w:tcW w:w="1576" w:type="dxa"/>
            <w:tcBorders>
              <w:top w:val="single" w:sz="4" w:space="0" w:color="auto"/>
            </w:tcBorders>
            <w:vAlign w:val="center"/>
          </w:tcPr>
          <w:p w14:paraId="7569AC98"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tcBorders>
              <w:top w:val="single" w:sz="4" w:space="0" w:color="auto"/>
            </w:tcBorders>
            <w:vAlign w:val="center"/>
          </w:tcPr>
          <w:p w14:paraId="720F3089"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tcBorders>
              <w:top w:val="single" w:sz="4" w:space="0" w:color="auto"/>
            </w:tcBorders>
            <w:vAlign w:val="center"/>
          </w:tcPr>
          <w:p w14:paraId="4BC5F892"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4D0BD3B4" w14:textId="77777777" w:rsidTr="00DF03AD">
        <w:trPr>
          <w:jc w:val="center"/>
        </w:trPr>
        <w:tc>
          <w:tcPr>
            <w:tcW w:w="2350" w:type="dxa"/>
            <w:vAlign w:val="center"/>
          </w:tcPr>
          <w:p w14:paraId="4E544360"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Flavonoids</w:t>
            </w:r>
          </w:p>
        </w:tc>
        <w:tc>
          <w:tcPr>
            <w:tcW w:w="1576" w:type="dxa"/>
            <w:vAlign w:val="center"/>
          </w:tcPr>
          <w:p w14:paraId="11A986FB"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2FABFB24"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73CE5124"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018327A0" w14:textId="77777777" w:rsidTr="00DF03AD">
        <w:trPr>
          <w:jc w:val="center"/>
        </w:trPr>
        <w:tc>
          <w:tcPr>
            <w:tcW w:w="2350" w:type="dxa"/>
            <w:vAlign w:val="center"/>
          </w:tcPr>
          <w:p w14:paraId="59C58385"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Carbohydrate</w:t>
            </w:r>
          </w:p>
        </w:tc>
        <w:tc>
          <w:tcPr>
            <w:tcW w:w="1576" w:type="dxa"/>
            <w:vAlign w:val="center"/>
          </w:tcPr>
          <w:p w14:paraId="09536B13"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603F5EA3"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7A1E8FE4"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58376C06" w14:textId="77777777" w:rsidTr="00CC2318">
        <w:trPr>
          <w:trHeight w:val="269"/>
          <w:jc w:val="center"/>
        </w:trPr>
        <w:tc>
          <w:tcPr>
            <w:tcW w:w="2350" w:type="dxa"/>
            <w:vAlign w:val="center"/>
          </w:tcPr>
          <w:p w14:paraId="1F93DA1A"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Glycosides</w:t>
            </w:r>
          </w:p>
        </w:tc>
        <w:tc>
          <w:tcPr>
            <w:tcW w:w="1576" w:type="dxa"/>
            <w:vAlign w:val="center"/>
          </w:tcPr>
          <w:p w14:paraId="0622DB09"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0239A11B"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77E646CF"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734D630A" w14:textId="77777777" w:rsidTr="00DF03AD">
        <w:trPr>
          <w:jc w:val="center"/>
        </w:trPr>
        <w:tc>
          <w:tcPr>
            <w:tcW w:w="2350" w:type="dxa"/>
            <w:vAlign w:val="center"/>
          </w:tcPr>
          <w:p w14:paraId="6137FBDE"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Saponin</w:t>
            </w:r>
          </w:p>
        </w:tc>
        <w:tc>
          <w:tcPr>
            <w:tcW w:w="1576" w:type="dxa"/>
            <w:vAlign w:val="center"/>
          </w:tcPr>
          <w:p w14:paraId="3BC65DBF"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44074A05"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66AF6F4A"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7F9D2C0E" w14:textId="77777777" w:rsidTr="00DF03AD">
        <w:trPr>
          <w:jc w:val="center"/>
        </w:trPr>
        <w:tc>
          <w:tcPr>
            <w:tcW w:w="2350" w:type="dxa"/>
            <w:vAlign w:val="center"/>
          </w:tcPr>
          <w:p w14:paraId="7ADD6BD1"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Phytosterols</w:t>
            </w:r>
          </w:p>
        </w:tc>
        <w:tc>
          <w:tcPr>
            <w:tcW w:w="1576" w:type="dxa"/>
            <w:vAlign w:val="center"/>
          </w:tcPr>
          <w:p w14:paraId="1B7E346D"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53AE0B0B"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56EA8FD8"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r w:rsidR="00DF03AD" w:rsidRPr="00872838" w14:paraId="405BAE35" w14:textId="77777777" w:rsidTr="00DF03AD">
        <w:trPr>
          <w:jc w:val="center"/>
        </w:trPr>
        <w:tc>
          <w:tcPr>
            <w:tcW w:w="2350" w:type="dxa"/>
            <w:vAlign w:val="center"/>
          </w:tcPr>
          <w:p w14:paraId="4BB00614"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Phenols</w:t>
            </w:r>
          </w:p>
        </w:tc>
        <w:tc>
          <w:tcPr>
            <w:tcW w:w="1576" w:type="dxa"/>
            <w:vAlign w:val="center"/>
          </w:tcPr>
          <w:p w14:paraId="3AE603CF"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2095" w:type="dxa"/>
            <w:vAlign w:val="center"/>
          </w:tcPr>
          <w:p w14:paraId="252CEE2C"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c>
          <w:tcPr>
            <w:tcW w:w="1490" w:type="dxa"/>
            <w:vAlign w:val="center"/>
          </w:tcPr>
          <w:p w14:paraId="47B9DCE2" w14:textId="77777777"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w:t>
            </w:r>
          </w:p>
        </w:tc>
      </w:tr>
    </w:tbl>
    <w:p w14:paraId="1836F482" w14:textId="49114DDF" w:rsidR="00DF03AD" w:rsidRPr="00D47EA3" w:rsidRDefault="001B314B" w:rsidP="001B314B">
      <w:pPr>
        <w:pStyle w:val="BodyText"/>
        <w:tabs>
          <w:tab w:val="left" w:pos="0"/>
          <w:tab w:val="left" w:pos="567"/>
        </w:tabs>
        <w:spacing w:after="0" w:line="240" w:lineRule="auto"/>
        <w:ind w:firstLine="360"/>
        <w:rPr>
          <w:rFonts w:ascii="Arial" w:hAnsi="Arial" w:cs="Arial"/>
          <w:i/>
          <w:iCs/>
          <w:color w:val="000000"/>
          <w:sz w:val="18"/>
          <w:szCs w:val="18"/>
        </w:rPr>
      </w:pPr>
      <w:r w:rsidRPr="00D47EA3">
        <w:rPr>
          <w:rFonts w:ascii="Arial" w:hAnsi="Arial" w:cs="Arial"/>
          <w:i/>
          <w:iCs/>
          <w:color w:val="000000"/>
          <w:sz w:val="18"/>
          <w:szCs w:val="18"/>
        </w:rPr>
        <w:t>*</w:t>
      </w:r>
      <w:r w:rsidR="00DF03AD" w:rsidRPr="00D47EA3">
        <w:rPr>
          <w:rFonts w:ascii="Arial" w:hAnsi="Arial" w:cs="Arial"/>
          <w:i/>
          <w:iCs/>
          <w:color w:val="000000"/>
          <w:sz w:val="18"/>
          <w:szCs w:val="18"/>
        </w:rPr>
        <w:t>+present, -Absent</w:t>
      </w:r>
    </w:p>
    <w:p w14:paraId="3AFFB58B" w14:textId="6A6EBF9D" w:rsidR="00DF03AD" w:rsidRPr="001B314B" w:rsidRDefault="004B5372" w:rsidP="001B314B">
      <w:pPr>
        <w:pStyle w:val="BodyText"/>
        <w:tabs>
          <w:tab w:val="left" w:pos="0"/>
          <w:tab w:val="left" w:pos="567"/>
        </w:tabs>
        <w:spacing w:after="0" w:line="240" w:lineRule="auto"/>
        <w:jc w:val="both"/>
        <w:rPr>
          <w:rFonts w:ascii="Arial" w:hAnsi="Arial" w:cs="Arial"/>
          <w:b/>
          <w:bCs/>
          <w:color w:val="000000"/>
        </w:rPr>
      </w:pPr>
      <w:r>
        <w:rPr>
          <w:rFonts w:ascii="Arial" w:hAnsi="Arial" w:cs="Arial"/>
          <w:b/>
          <w:bCs/>
          <w:color w:val="000000"/>
        </w:rPr>
        <w:t>3</w:t>
      </w:r>
      <w:r w:rsidR="00DF03AD" w:rsidRPr="001B314B">
        <w:rPr>
          <w:rFonts w:ascii="Arial" w:hAnsi="Arial" w:cs="Arial"/>
          <w:b/>
          <w:bCs/>
          <w:color w:val="000000"/>
        </w:rPr>
        <w:t>.</w:t>
      </w:r>
      <w:r w:rsidR="001B314B" w:rsidRPr="001B314B">
        <w:rPr>
          <w:rFonts w:ascii="Arial" w:hAnsi="Arial" w:cs="Arial"/>
          <w:b/>
          <w:bCs/>
          <w:color w:val="000000"/>
        </w:rPr>
        <w:t>2</w:t>
      </w:r>
      <w:r w:rsidR="00DF03AD" w:rsidRPr="001B314B">
        <w:rPr>
          <w:rFonts w:ascii="Arial" w:hAnsi="Arial" w:cs="Arial"/>
          <w:b/>
          <w:bCs/>
          <w:color w:val="000000"/>
        </w:rPr>
        <w:t>. Total Phenol Content (TPC)</w:t>
      </w:r>
    </w:p>
    <w:p w14:paraId="7EE45BA0" w14:textId="31302E8D"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The polar and </w:t>
      </w:r>
      <w:r w:rsidR="004E7B5C" w:rsidRPr="00872838">
        <w:rPr>
          <w:rFonts w:ascii="Arial" w:hAnsi="Arial" w:cs="Arial"/>
          <w:color w:val="000000"/>
          <w:sz w:val="20"/>
          <w:szCs w:val="20"/>
        </w:rPr>
        <w:t>non-polar</w:t>
      </w:r>
      <w:r w:rsidRPr="00872838">
        <w:rPr>
          <w:rFonts w:ascii="Arial" w:hAnsi="Arial" w:cs="Arial"/>
          <w:color w:val="000000"/>
          <w:sz w:val="20"/>
          <w:szCs w:val="20"/>
        </w:rPr>
        <w:t xml:space="preserve"> components of plants were dissolves in appropriate solvents and selection of extraction technique. Phenolic substances contain a hydroxyl group that makes them more soluble in most polar organic solvents (Aryal et al., 2019). Henceforth, in this study three different solvents were used to extract and </w:t>
      </w:r>
      <w:r w:rsidR="004E7B5C" w:rsidRPr="00872838">
        <w:rPr>
          <w:rFonts w:ascii="Arial" w:hAnsi="Arial" w:cs="Arial"/>
          <w:color w:val="000000"/>
          <w:sz w:val="20"/>
          <w:szCs w:val="20"/>
        </w:rPr>
        <w:t>quantifying</w:t>
      </w:r>
      <w:r w:rsidRPr="00872838">
        <w:rPr>
          <w:rFonts w:ascii="Arial" w:hAnsi="Arial" w:cs="Arial"/>
          <w:color w:val="000000"/>
          <w:sz w:val="20"/>
          <w:szCs w:val="20"/>
        </w:rPr>
        <w:t xml:space="preserve"> the total phenol content in </w:t>
      </w:r>
      <w:r w:rsidR="004B5372" w:rsidRPr="004B5372">
        <w:rPr>
          <w:rFonts w:ascii="Arial" w:hAnsi="Arial" w:cs="Arial"/>
          <w:i/>
          <w:iCs/>
          <w:color w:val="000000"/>
          <w:sz w:val="20"/>
          <w:szCs w:val="20"/>
        </w:rPr>
        <w:t xml:space="preserve">S. lenticellata </w:t>
      </w:r>
      <w:r w:rsidRPr="00872838">
        <w:rPr>
          <w:rFonts w:ascii="Arial" w:hAnsi="Arial" w:cs="Arial"/>
          <w:color w:val="000000"/>
          <w:sz w:val="20"/>
          <w:szCs w:val="20"/>
        </w:rPr>
        <w:t>leaves. The results shown in</w:t>
      </w:r>
      <w:r w:rsidR="003C064E" w:rsidRPr="00872838">
        <w:rPr>
          <w:rFonts w:ascii="Arial" w:hAnsi="Arial" w:cs="Arial"/>
          <w:color w:val="000000"/>
          <w:sz w:val="20"/>
          <w:szCs w:val="20"/>
        </w:rPr>
        <w:t xml:space="preserve"> Fig 1.</w:t>
      </w:r>
      <w:r w:rsidRPr="00872838">
        <w:rPr>
          <w:rFonts w:ascii="Arial" w:hAnsi="Arial" w:cs="Arial"/>
          <w:color w:val="000000"/>
          <w:sz w:val="20"/>
          <w:szCs w:val="20"/>
        </w:rPr>
        <w:t xml:space="preserve"> represents that ES extract shows highest total phenol content when compared to other two solvents. Based on the previous report of Babbar et al. (2014) the high polar solvents have better ability to soluble phenolic compounds of plant sources. In this study, the total phenol content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was lower in low polar solvents, it was similar to found that aerial parts of Artemisia biennis shows the phenol content in </w:t>
      </w:r>
      <w:r w:rsidR="004E7B5C" w:rsidRPr="00872838">
        <w:rPr>
          <w:rFonts w:ascii="Arial" w:hAnsi="Arial" w:cs="Arial"/>
          <w:color w:val="000000"/>
          <w:sz w:val="20"/>
          <w:szCs w:val="20"/>
        </w:rPr>
        <w:t>hierarchy</w:t>
      </w:r>
      <w:r w:rsidRPr="00872838">
        <w:rPr>
          <w:rFonts w:ascii="Arial" w:hAnsi="Arial" w:cs="Arial"/>
          <w:color w:val="000000"/>
          <w:sz w:val="20"/>
          <w:szCs w:val="20"/>
        </w:rPr>
        <w:t xml:space="preserve"> of low polar solvents to high polar solvents in order (Hatami et al., 2014). Phenolic compounds can act as antioxidants, and their effectiveness depends on the groups attached to their structure. Antioxidants help living organisms by neutralizing harmful radicals and reducing oxidative stress. Plant-derived compounds, especially polyphenols, are significant in this role (Mathew et al., 2015; Kyada et al., 2023).</w:t>
      </w:r>
    </w:p>
    <w:p w14:paraId="33282E99" w14:textId="32594E87" w:rsidR="00DF03AD" w:rsidRPr="00872838" w:rsidRDefault="00D44866"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object w:dxaOrig="4567" w:dyaOrig="5503" w14:anchorId="2DBFD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4.55pt;height:252.25pt" o:ole="">
            <v:imagedata r:id="rId8" o:title=""/>
          </v:shape>
          <o:OLEObject Type="Embed" ProgID="Prism8.Document" ShapeID="_x0000_i1026" DrawAspect="Content" ObjectID="_1824973260" r:id="rId9"/>
        </w:object>
      </w:r>
      <w:r w:rsidR="00DF03AD" w:rsidRPr="00872838">
        <w:rPr>
          <w:rFonts w:ascii="Arial" w:hAnsi="Arial" w:cs="Arial"/>
          <w:color w:val="000000"/>
          <w:sz w:val="20"/>
          <w:szCs w:val="20"/>
        </w:rPr>
        <w:t xml:space="preserve"> </w:t>
      </w:r>
    </w:p>
    <w:p w14:paraId="7C3B346F" w14:textId="77777777" w:rsidR="004B5372" w:rsidRDefault="00DF03AD" w:rsidP="004B5372">
      <w:pPr>
        <w:pStyle w:val="BodyText"/>
        <w:tabs>
          <w:tab w:val="left" w:pos="0"/>
          <w:tab w:val="left" w:pos="567"/>
        </w:tabs>
        <w:spacing w:after="0" w:line="240" w:lineRule="auto"/>
        <w:jc w:val="both"/>
        <w:rPr>
          <w:rFonts w:ascii="Arial" w:hAnsi="Arial" w:cs="Arial"/>
          <w:color w:val="000000"/>
          <w:sz w:val="20"/>
          <w:szCs w:val="20"/>
        </w:rPr>
      </w:pPr>
      <w:r w:rsidRPr="004B5372">
        <w:rPr>
          <w:rFonts w:ascii="Arial" w:hAnsi="Arial" w:cs="Arial"/>
          <w:b/>
          <w:bCs/>
          <w:color w:val="000000"/>
          <w:sz w:val="20"/>
          <w:szCs w:val="20"/>
        </w:rPr>
        <w:t xml:space="preserve">Fig 1. Total Phenol Content of </w:t>
      </w:r>
      <w:r w:rsidR="004B5372" w:rsidRPr="004B5372">
        <w:rPr>
          <w:rFonts w:ascii="Arial" w:hAnsi="Arial" w:cs="Arial"/>
          <w:b/>
          <w:bCs/>
          <w:i/>
          <w:iCs/>
          <w:color w:val="000000"/>
          <w:sz w:val="20"/>
          <w:szCs w:val="20"/>
        </w:rPr>
        <w:t xml:space="preserve">S. lenticellata </w:t>
      </w:r>
      <w:r w:rsidRPr="004B5372">
        <w:rPr>
          <w:rFonts w:ascii="Arial" w:hAnsi="Arial" w:cs="Arial"/>
          <w:b/>
          <w:bCs/>
          <w:color w:val="000000"/>
          <w:sz w:val="20"/>
          <w:szCs w:val="20"/>
        </w:rPr>
        <w:t>leaf extracts.</w:t>
      </w:r>
      <w:r w:rsidRPr="00872838">
        <w:rPr>
          <w:rFonts w:ascii="Arial" w:hAnsi="Arial" w:cs="Arial"/>
          <w:color w:val="000000"/>
          <w:sz w:val="20"/>
          <w:szCs w:val="20"/>
        </w:rPr>
        <w:t xml:space="preserve"> </w:t>
      </w:r>
    </w:p>
    <w:p w14:paraId="27907781" w14:textId="74EE7CEB" w:rsidR="00DF03AD" w:rsidRPr="00872838" w:rsidRDefault="00DF03AD" w:rsidP="004B5372">
      <w:pPr>
        <w:pStyle w:val="BodyText"/>
        <w:tabs>
          <w:tab w:val="left" w:pos="0"/>
          <w:tab w:val="left" w:pos="567"/>
        </w:tabs>
        <w:spacing w:after="0" w:line="240" w:lineRule="auto"/>
        <w:jc w:val="both"/>
        <w:rPr>
          <w:rFonts w:ascii="Arial" w:hAnsi="Arial" w:cs="Arial"/>
          <w:color w:val="000000"/>
          <w:sz w:val="20"/>
          <w:szCs w:val="20"/>
        </w:rPr>
      </w:pPr>
      <w:r w:rsidRPr="00872838">
        <w:rPr>
          <w:rFonts w:ascii="Arial" w:hAnsi="Arial" w:cs="Arial"/>
          <w:color w:val="000000"/>
          <w:sz w:val="20"/>
          <w:szCs w:val="20"/>
        </w:rPr>
        <w:t>The values are expressed as the means ± standard deviations (n = 3)</w:t>
      </w:r>
    </w:p>
    <w:p w14:paraId="199C09EE" w14:textId="48A4A136" w:rsidR="00DF03AD" w:rsidRPr="004B5372" w:rsidRDefault="004B5372" w:rsidP="004B5372">
      <w:pPr>
        <w:pStyle w:val="BodyText"/>
        <w:tabs>
          <w:tab w:val="left" w:pos="0"/>
          <w:tab w:val="left" w:pos="567"/>
        </w:tabs>
        <w:spacing w:after="0" w:line="240" w:lineRule="auto"/>
        <w:jc w:val="both"/>
        <w:rPr>
          <w:rFonts w:ascii="Arial" w:hAnsi="Arial" w:cs="Arial"/>
          <w:b/>
          <w:bCs/>
          <w:color w:val="000000"/>
        </w:rPr>
      </w:pPr>
      <w:r>
        <w:rPr>
          <w:rFonts w:ascii="Arial" w:hAnsi="Arial" w:cs="Arial"/>
          <w:b/>
          <w:bCs/>
          <w:color w:val="000000"/>
        </w:rPr>
        <w:t>3</w:t>
      </w:r>
      <w:r w:rsidR="00DF03AD" w:rsidRPr="004B5372">
        <w:rPr>
          <w:rFonts w:ascii="Arial" w:hAnsi="Arial" w:cs="Arial"/>
          <w:b/>
          <w:bCs/>
          <w:color w:val="000000"/>
        </w:rPr>
        <w:t>.</w:t>
      </w:r>
      <w:r>
        <w:rPr>
          <w:rFonts w:ascii="Arial" w:hAnsi="Arial" w:cs="Arial"/>
          <w:b/>
          <w:bCs/>
          <w:color w:val="000000"/>
        </w:rPr>
        <w:t>3</w:t>
      </w:r>
      <w:r w:rsidR="00DF03AD" w:rsidRPr="004B5372">
        <w:rPr>
          <w:rFonts w:ascii="Arial" w:hAnsi="Arial" w:cs="Arial"/>
          <w:b/>
          <w:bCs/>
          <w:color w:val="000000"/>
        </w:rPr>
        <w:t>. Total Flavonoid Content (TFC)</w:t>
      </w:r>
    </w:p>
    <w:p w14:paraId="1235AC3B" w14:textId="7D4F73CA"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lastRenderedPageBreak/>
        <w:t xml:space="preserve">Flavonoids are good for health as they fight free radicals, prevent from cancer, reduce inflammation and gives bright </w:t>
      </w:r>
      <w:r w:rsidR="004E7B5C" w:rsidRPr="00872838">
        <w:rPr>
          <w:rFonts w:ascii="Arial" w:hAnsi="Arial" w:cs="Arial"/>
          <w:color w:val="000000"/>
          <w:sz w:val="20"/>
          <w:szCs w:val="20"/>
        </w:rPr>
        <w:t>colours</w:t>
      </w:r>
      <w:r w:rsidRPr="00872838">
        <w:rPr>
          <w:rFonts w:ascii="Arial" w:hAnsi="Arial" w:cs="Arial"/>
          <w:color w:val="000000"/>
          <w:sz w:val="20"/>
          <w:szCs w:val="20"/>
        </w:rPr>
        <w:t xml:space="preserve"> to fruits, vegetables, and flowers of plants (Belew et al., 2025). The total flavonoid content is expressed as mg of </w:t>
      </w:r>
      <w:r w:rsidR="004E7B5C" w:rsidRPr="00872838">
        <w:rPr>
          <w:rFonts w:ascii="Arial" w:hAnsi="Arial" w:cs="Arial"/>
          <w:color w:val="000000"/>
          <w:sz w:val="20"/>
          <w:szCs w:val="20"/>
        </w:rPr>
        <w:t>quercetin</w:t>
      </w:r>
      <w:r w:rsidRPr="00872838">
        <w:rPr>
          <w:rFonts w:ascii="Arial" w:hAnsi="Arial" w:cs="Arial"/>
          <w:color w:val="000000"/>
          <w:sz w:val="20"/>
          <w:szCs w:val="20"/>
        </w:rPr>
        <w:t xml:space="preserve"> equivalents per g of extract and the results were presented in Fig 2. The TFC was higher in ES extract followed by PES whereas, EAS contains lower TFC. This result was comparable with results verified in the literatures for other extracts produced (Esmaeili et al., 2015)</w:t>
      </w:r>
    </w:p>
    <w:p w14:paraId="2DDE492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object w:dxaOrig="5693" w:dyaOrig="5129" w14:anchorId="1C381084">
          <v:shape id="_x0000_i1027" type="#_x0000_t75" style="width:283.2pt;height:256pt" o:ole="">
            <v:imagedata r:id="rId10" o:title=""/>
          </v:shape>
          <o:OLEObject Type="Embed" ProgID="Prism8.Document" ShapeID="_x0000_i1027" DrawAspect="Content" ObjectID="_1824973261" r:id="rId11"/>
        </w:object>
      </w:r>
    </w:p>
    <w:p w14:paraId="4B8BD775" w14:textId="77777777" w:rsidR="004B5372" w:rsidRDefault="003C064E" w:rsidP="004B5372">
      <w:pPr>
        <w:pStyle w:val="BodyText"/>
        <w:tabs>
          <w:tab w:val="left" w:pos="0"/>
          <w:tab w:val="left" w:pos="567"/>
        </w:tabs>
        <w:spacing w:after="0" w:line="240" w:lineRule="auto"/>
        <w:jc w:val="both"/>
        <w:rPr>
          <w:rFonts w:ascii="Arial" w:hAnsi="Arial" w:cs="Arial"/>
          <w:color w:val="000000"/>
          <w:sz w:val="20"/>
          <w:szCs w:val="20"/>
        </w:rPr>
      </w:pPr>
      <w:r w:rsidRPr="004B5372">
        <w:rPr>
          <w:rFonts w:ascii="Arial" w:hAnsi="Arial" w:cs="Arial"/>
          <w:b/>
          <w:bCs/>
          <w:color w:val="000000"/>
          <w:sz w:val="20"/>
          <w:szCs w:val="20"/>
        </w:rPr>
        <w:t xml:space="preserve">Fig 2. Total Flavonoid Content of </w:t>
      </w:r>
      <w:r w:rsidR="004B5372" w:rsidRPr="004B5372">
        <w:rPr>
          <w:rFonts w:ascii="Arial" w:hAnsi="Arial" w:cs="Arial"/>
          <w:b/>
          <w:bCs/>
          <w:i/>
          <w:iCs/>
          <w:color w:val="000000"/>
          <w:sz w:val="20"/>
          <w:szCs w:val="20"/>
        </w:rPr>
        <w:t xml:space="preserve">S. lenticellata </w:t>
      </w:r>
      <w:r w:rsidRPr="004B5372">
        <w:rPr>
          <w:rFonts w:ascii="Arial" w:hAnsi="Arial" w:cs="Arial"/>
          <w:b/>
          <w:bCs/>
          <w:color w:val="000000"/>
          <w:sz w:val="20"/>
          <w:szCs w:val="20"/>
        </w:rPr>
        <w:t>leaf extracts.</w:t>
      </w:r>
      <w:r w:rsidRPr="00872838">
        <w:rPr>
          <w:rFonts w:ascii="Arial" w:hAnsi="Arial" w:cs="Arial"/>
          <w:color w:val="000000"/>
          <w:sz w:val="20"/>
          <w:szCs w:val="20"/>
        </w:rPr>
        <w:t xml:space="preserve"> </w:t>
      </w:r>
    </w:p>
    <w:p w14:paraId="43AA5083" w14:textId="060366CF" w:rsidR="003C064E" w:rsidRPr="00872838" w:rsidRDefault="003C064E" w:rsidP="004B5372">
      <w:pPr>
        <w:pStyle w:val="BodyText"/>
        <w:tabs>
          <w:tab w:val="left" w:pos="0"/>
          <w:tab w:val="left" w:pos="567"/>
        </w:tabs>
        <w:spacing w:after="0" w:line="240" w:lineRule="auto"/>
        <w:jc w:val="both"/>
        <w:rPr>
          <w:rFonts w:ascii="Arial" w:hAnsi="Arial" w:cs="Arial"/>
          <w:color w:val="000000"/>
          <w:sz w:val="20"/>
          <w:szCs w:val="20"/>
        </w:rPr>
      </w:pPr>
      <w:r w:rsidRPr="00872838">
        <w:rPr>
          <w:rFonts w:ascii="Arial" w:hAnsi="Arial" w:cs="Arial"/>
          <w:color w:val="000000"/>
          <w:sz w:val="20"/>
          <w:szCs w:val="20"/>
        </w:rPr>
        <w:t>The values are expressed as the means ± standard deviations (n = 3)</w:t>
      </w:r>
    </w:p>
    <w:p w14:paraId="301D12D3" w14:textId="43BB3117" w:rsidR="00DF03AD" w:rsidRPr="004B5372" w:rsidRDefault="004B5372" w:rsidP="004B5372">
      <w:pPr>
        <w:pStyle w:val="BodyText"/>
        <w:tabs>
          <w:tab w:val="left" w:pos="0"/>
          <w:tab w:val="left" w:pos="567"/>
        </w:tabs>
        <w:spacing w:after="0" w:line="240" w:lineRule="auto"/>
        <w:jc w:val="both"/>
        <w:rPr>
          <w:rFonts w:ascii="Arial" w:hAnsi="Arial" w:cs="Arial"/>
          <w:b/>
          <w:bCs/>
          <w:color w:val="000000"/>
        </w:rPr>
      </w:pPr>
      <w:r>
        <w:rPr>
          <w:rFonts w:ascii="Arial" w:hAnsi="Arial" w:cs="Arial"/>
          <w:b/>
          <w:bCs/>
          <w:color w:val="000000"/>
        </w:rPr>
        <w:t>3</w:t>
      </w:r>
      <w:r w:rsidR="00DF03AD" w:rsidRPr="004B5372">
        <w:rPr>
          <w:rFonts w:ascii="Arial" w:hAnsi="Arial" w:cs="Arial"/>
          <w:b/>
          <w:bCs/>
          <w:color w:val="000000"/>
        </w:rPr>
        <w:t xml:space="preserve">.3. Antibacterial activity </w:t>
      </w:r>
    </w:p>
    <w:p w14:paraId="6667F5C0" w14:textId="28973F3B"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Antibacterial activity of different solvent leaf extracts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against various pathogens was determined by well diffusion method. The effectiveness of the agar well diffusion technique over the disc diffusion method has been attributed to the fact that the free hydroxyl groups in the disc can block the propagation and transport of positively charged polar substances (Valgas et al., 2017). The investigation revealed that various plant extracts were found to possess varying degrees of resistance to different types of pathogens were shown in Table 1. The inhibitory effect of all the extracts was varied in dose dependent manner. All the solvent extract shows maximum zone of inhibition in higher concentration and not effective in lower concentrations (Jeyaseelan et al., 2012).  The vulnerability of pathogens towards ES extract was </w:t>
      </w:r>
      <w:r w:rsidRPr="004B5372">
        <w:rPr>
          <w:rFonts w:ascii="Arial" w:hAnsi="Arial" w:cs="Arial"/>
          <w:i/>
          <w:iCs/>
          <w:color w:val="000000"/>
          <w:sz w:val="20"/>
          <w:szCs w:val="20"/>
        </w:rPr>
        <w:t>S. mutans</w:t>
      </w:r>
      <w:r w:rsidRPr="00872838">
        <w:rPr>
          <w:rFonts w:ascii="Arial" w:hAnsi="Arial" w:cs="Arial"/>
          <w:color w:val="000000"/>
          <w:sz w:val="20"/>
          <w:szCs w:val="20"/>
        </w:rPr>
        <w:t>&gt;</w:t>
      </w:r>
      <w:r w:rsidRPr="004B5372">
        <w:rPr>
          <w:rFonts w:ascii="Arial" w:hAnsi="Arial" w:cs="Arial"/>
          <w:i/>
          <w:iCs/>
          <w:color w:val="000000"/>
          <w:sz w:val="20"/>
          <w:szCs w:val="20"/>
        </w:rPr>
        <w:t>S. aureus</w:t>
      </w:r>
      <w:r w:rsidRPr="00872838">
        <w:rPr>
          <w:rFonts w:ascii="Arial" w:hAnsi="Arial" w:cs="Arial"/>
          <w:color w:val="000000"/>
          <w:sz w:val="20"/>
          <w:szCs w:val="20"/>
        </w:rPr>
        <w:t>&gt;</w:t>
      </w:r>
      <w:r w:rsidRPr="004B5372">
        <w:rPr>
          <w:rFonts w:ascii="Arial" w:hAnsi="Arial" w:cs="Arial"/>
          <w:i/>
          <w:iCs/>
          <w:color w:val="000000"/>
          <w:sz w:val="20"/>
          <w:szCs w:val="20"/>
        </w:rPr>
        <w:t>S. typhi</w:t>
      </w:r>
      <w:r w:rsidRPr="00872838">
        <w:rPr>
          <w:rFonts w:ascii="Arial" w:hAnsi="Arial" w:cs="Arial"/>
          <w:color w:val="000000"/>
          <w:sz w:val="20"/>
          <w:szCs w:val="20"/>
        </w:rPr>
        <w:t>&gt;</w:t>
      </w:r>
      <w:r w:rsidRPr="004B5372">
        <w:rPr>
          <w:rFonts w:ascii="Arial" w:hAnsi="Arial" w:cs="Arial"/>
          <w:i/>
          <w:iCs/>
          <w:color w:val="000000"/>
          <w:sz w:val="20"/>
          <w:szCs w:val="20"/>
        </w:rPr>
        <w:t>B. subtilis</w:t>
      </w:r>
      <w:r w:rsidRPr="00872838">
        <w:rPr>
          <w:rFonts w:ascii="Arial" w:hAnsi="Arial" w:cs="Arial"/>
          <w:color w:val="000000"/>
          <w:sz w:val="20"/>
          <w:szCs w:val="20"/>
        </w:rPr>
        <w:t>&gt;</w:t>
      </w:r>
      <w:r w:rsidRPr="004B5372">
        <w:rPr>
          <w:rFonts w:ascii="Arial" w:hAnsi="Arial" w:cs="Arial"/>
          <w:i/>
          <w:iCs/>
          <w:color w:val="000000"/>
          <w:sz w:val="20"/>
          <w:szCs w:val="20"/>
        </w:rPr>
        <w:t>S. flexneri</w:t>
      </w:r>
      <w:r w:rsidRPr="00872838">
        <w:rPr>
          <w:rFonts w:ascii="Arial" w:hAnsi="Arial" w:cs="Arial"/>
          <w:color w:val="000000"/>
          <w:sz w:val="20"/>
          <w:szCs w:val="20"/>
        </w:rPr>
        <w:t>&gt;</w:t>
      </w:r>
      <w:r w:rsidRPr="004B5372">
        <w:rPr>
          <w:rFonts w:ascii="Arial" w:hAnsi="Arial" w:cs="Arial"/>
          <w:i/>
          <w:iCs/>
          <w:color w:val="000000"/>
          <w:sz w:val="20"/>
          <w:szCs w:val="20"/>
        </w:rPr>
        <w:t>K. pneumoniae</w:t>
      </w:r>
      <w:r w:rsidR="004B5372" w:rsidRPr="004B5372">
        <w:rPr>
          <w:rFonts w:ascii="Arial" w:hAnsi="Arial" w:cs="Arial"/>
          <w:color w:val="000000"/>
          <w:sz w:val="20"/>
          <w:szCs w:val="20"/>
        </w:rPr>
        <w:t xml:space="preserve">. It suggests that the ES extract possesses a wide spectrum of antibacterial properties and witnessed with previous report of </w:t>
      </w:r>
      <w:proofErr w:type="spellStart"/>
      <w:r w:rsidR="004B5372" w:rsidRPr="004B5372">
        <w:rPr>
          <w:rFonts w:ascii="Arial" w:hAnsi="Arial" w:cs="Arial"/>
          <w:color w:val="000000"/>
          <w:sz w:val="20"/>
          <w:szCs w:val="20"/>
        </w:rPr>
        <w:t>Ratananikom</w:t>
      </w:r>
      <w:proofErr w:type="spellEnd"/>
      <w:r w:rsidR="004B5372" w:rsidRPr="004B5372">
        <w:rPr>
          <w:rFonts w:ascii="Arial" w:hAnsi="Arial" w:cs="Arial"/>
          <w:color w:val="000000"/>
          <w:sz w:val="20"/>
          <w:szCs w:val="20"/>
        </w:rPr>
        <w:t xml:space="preserve"> &amp; </w:t>
      </w:r>
      <w:proofErr w:type="spellStart"/>
      <w:r w:rsidR="004B5372" w:rsidRPr="004B5372">
        <w:rPr>
          <w:rFonts w:ascii="Arial" w:hAnsi="Arial" w:cs="Arial"/>
          <w:color w:val="000000"/>
          <w:sz w:val="20"/>
          <w:szCs w:val="20"/>
        </w:rPr>
        <w:t>Srikacha</w:t>
      </w:r>
      <w:proofErr w:type="spellEnd"/>
      <w:r w:rsidR="004B5372" w:rsidRPr="004B5372">
        <w:rPr>
          <w:rFonts w:ascii="Arial" w:hAnsi="Arial" w:cs="Arial"/>
          <w:color w:val="000000"/>
          <w:sz w:val="20"/>
          <w:szCs w:val="20"/>
        </w:rPr>
        <w:t xml:space="preserve"> (2020).</w:t>
      </w:r>
      <w:r w:rsidR="004B5372" w:rsidRPr="004B5372">
        <w:rPr>
          <w:rFonts w:ascii="Arial" w:hAnsi="Arial" w:cs="Arial"/>
          <w:i/>
          <w:iCs/>
          <w:color w:val="000000"/>
          <w:sz w:val="20"/>
          <w:szCs w:val="20"/>
        </w:rPr>
        <w:t xml:space="preserve"> </w:t>
      </w:r>
      <w:r w:rsidRPr="00872838">
        <w:rPr>
          <w:rFonts w:ascii="Arial" w:hAnsi="Arial" w:cs="Arial"/>
          <w:color w:val="000000"/>
          <w:sz w:val="20"/>
          <w:szCs w:val="20"/>
        </w:rPr>
        <w:t xml:space="preserve">The EAS extract shows highest zone of inhibition in </w:t>
      </w:r>
      <w:r w:rsidRPr="004B5372">
        <w:rPr>
          <w:rFonts w:ascii="Arial" w:hAnsi="Arial" w:cs="Arial"/>
          <w:i/>
          <w:iCs/>
          <w:color w:val="000000"/>
          <w:sz w:val="20"/>
          <w:szCs w:val="20"/>
        </w:rPr>
        <w:t>S. mutans</w:t>
      </w:r>
      <w:r w:rsidRPr="00872838">
        <w:rPr>
          <w:rFonts w:ascii="Arial" w:hAnsi="Arial" w:cs="Arial"/>
          <w:color w:val="000000"/>
          <w:sz w:val="20"/>
          <w:szCs w:val="20"/>
        </w:rPr>
        <w:t xml:space="preserve"> followed by </w:t>
      </w:r>
      <w:r w:rsidRPr="004B5372">
        <w:rPr>
          <w:rFonts w:ascii="Arial" w:hAnsi="Arial" w:cs="Arial"/>
          <w:i/>
          <w:iCs/>
          <w:color w:val="000000"/>
          <w:sz w:val="20"/>
          <w:szCs w:val="20"/>
        </w:rPr>
        <w:t>B. subtilis, K. pneumoniae</w:t>
      </w:r>
      <w:r w:rsidRPr="00872838">
        <w:rPr>
          <w:rFonts w:ascii="Arial" w:hAnsi="Arial" w:cs="Arial"/>
          <w:color w:val="000000"/>
          <w:sz w:val="20"/>
          <w:szCs w:val="20"/>
        </w:rPr>
        <w:t xml:space="preserve"> and lowest in other pathogens. PES extract was highly susceptibility toward </w:t>
      </w:r>
      <w:r w:rsidRPr="004B5372">
        <w:rPr>
          <w:rFonts w:ascii="Arial" w:hAnsi="Arial" w:cs="Arial"/>
          <w:i/>
          <w:iCs/>
          <w:color w:val="000000"/>
          <w:sz w:val="20"/>
          <w:szCs w:val="20"/>
        </w:rPr>
        <w:t>S. mutans</w:t>
      </w:r>
      <w:r w:rsidRPr="00872838">
        <w:rPr>
          <w:rFonts w:ascii="Arial" w:hAnsi="Arial" w:cs="Arial"/>
          <w:color w:val="000000"/>
          <w:sz w:val="20"/>
          <w:szCs w:val="20"/>
        </w:rPr>
        <w:t xml:space="preserve"> when compared to other microorganisms. The major supporter of the oral microbiota in ancient times was S mutans, which facilitates the formation of biofilms by adhering to other oral bacteria and causes dental plaque (Kanwal et al., 2025). The study reveals that all the three extracts showed great inhibition potential against </w:t>
      </w:r>
      <w:r w:rsidRPr="004B5372">
        <w:rPr>
          <w:rFonts w:ascii="Arial" w:hAnsi="Arial" w:cs="Arial"/>
          <w:i/>
          <w:iCs/>
          <w:color w:val="000000"/>
          <w:sz w:val="20"/>
          <w:szCs w:val="20"/>
        </w:rPr>
        <w:t>S. mutans</w:t>
      </w:r>
      <w:r w:rsidRPr="00872838">
        <w:rPr>
          <w:rFonts w:ascii="Arial" w:hAnsi="Arial" w:cs="Arial"/>
          <w:color w:val="000000"/>
          <w:sz w:val="20"/>
          <w:szCs w:val="20"/>
        </w:rPr>
        <w:t xml:space="preserve">, the results are corresponding to various plant extracts such as </w:t>
      </w:r>
      <w:r w:rsidRPr="004B5372">
        <w:rPr>
          <w:rFonts w:ascii="Arial" w:hAnsi="Arial" w:cs="Arial"/>
          <w:i/>
          <w:iCs/>
          <w:color w:val="000000"/>
          <w:sz w:val="20"/>
          <w:szCs w:val="20"/>
        </w:rPr>
        <w:t>Emblica officinalis, Allium sativum, Azadirachta indica, Zingiber officinale</w:t>
      </w:r>
      <w:r w:rsidRPr="00872838">
        <w:rPr>
          <w:rFonts w:ascii="Arial" w:hAnsi="Arial" w:cs="Arial"/>
          <w:color w:val="000000"/>
          <w:sz w:val="20"/>
          <w:szCs w:val="20"/>
        </w:rPr>
        <w:t xml:space="preserve"> of previous studies (Chavan et al., 2010; Potdar et al., 2014; Jain et al., 2015). This study also </w:t>
      </w:r>
      <w:r w:rsidR="004E7B5C" w:rsidRPr="00872838">
        <w:rPr>
          <w:rFonts w:ascii="Arial" w:hAnsi="Arial" w:cs="Arial"/>
          <w:color w:val="000000"/>
          <w:sz w:val="20"/>
          <w:szCs w:val="20"/>
        </w:rPr>
        <w:t>synchronizes</w:t>
      </w:r>
      <w:r w:rsidRPr="00872838">
        <w:rPr>
          <w:rFonts w:ascii="Arial" w:hAnsi="Arial" w:cs="Arial"/>
          <w:color w:val="000000"/>
          <w:sz w:val="20"/>
          <w:szCs w:val="20"/>
        </w:rPr>
        <w:t xml:space="preserve"> with previous study done by Mehdipour et al. (2022) extracts of </w:t>
      </w:r>
      <w:proofErr w:type="spellStart"/>
      <w:r w:rsidRPr="004B5372">
        <w:rPr>
          <w:rFonts w:ascii="Arial" w:hAnsi="Arial" w:cs="Arial"/>
          <w:i/>
          <w:iCs/>
          <w:color w:val="000000"/>
          <w:sz w:val="20"/>
          <w:szCs w:val="20"/>
        </w:rPr>
        <w:t>Carum</w:t>
      </w:r>
      <w:proofErr w:type="spellEnd"/>
      <w:r w:rsidR="004B5372">
        <w:rPr>
          <w:rFonts w:ascii="Arial" w:hAnsi="Arial" w:cs="Arial"/>
          <w:i/>
          <w:iCs/>
          <w:color w:val="000000"/>
          <w:sz w:val="20"/>
          <w:szCs w:val="20"/>
        </w:rPr>
        <w:t xml:space="preserve"> </w:t>
      </w:r>
      <w:proofErr w:type="spellStart"/>
      <w:r w:rsidRPr="004B5372">
        <w:rPr>
          <w:rFonts w:ascii="Arial" w:hAnsi="Arial" w:cs="Arial"/>
          <w:i/>
          <w:iCs/>
          <w:color w:val="000000"/>
          <w:sz w:val="20"/>
          <w:szCs w:val="20"/>
        </w:rPr>
        <w:t>copticum</w:t>
      </w:r>
      <w:proofErr w:type="spellEnd"/>
      <w:r w:rsidRPr="00872838">
        <w:rPr>
          <w:rFonts w:ascii="Arial" w:hAnsi="Arial" w:cs="Arial"/>
          <w:color w:val="000000"/>
          <w:sz w:val="20"/>
          <w:szCs w:val="20"/>
        </w:rPr>
        <w:t xml:space="preserve">, </w:t>
      </w:r>
      <w:r w:rsidRPr="004B5372">
        <w:rPr>
          <w:rFonts w:ascii="Arial" w:hAnsi="Arial" w:cs="Arial"/>
          <w:i/>
          <w:iCs/>
          <w:color w:val="000000"/>
          <w:sz w:val="20"/>
          <w:szCs w:val="20"/>
        </w:rPr>
        <w:t xml:space="preserve">Marsupium </w:t>
      </w:r>
      <w:proofErr w:type="spellStart"/>
      <w:r w:rsidRPr="004B5372">
        <w:rPr>
          <w:rFonts w:ascii="Arial" w:hAnsi="Arial" w:cs="Arial"/>
          <w:i/>
          <w:iCs/>
          <w:color w:val="000000"/>
          <w:sz w:val="20"/>
          <w:szCs w:val="20"/>
        </w:rPr>
        <w:t>parviflorum</w:t>
      </w:r>
      <w:proofErr w:type="spellEnd"/>
      <w:r w:rsidRPr="00872838">
        <w:rPr>
          <w:rFonts w:ascii="Arial" w:hAnsi="Arial" w:cs="Arial"/>
          <w:color w:val="000000"/>
          <w:sz w:val="20"/>
          <w:szCs w:val="20"/>
        </w:rPr>
        <w:t xml:space="preserve"> and </w:t>
      </w:r>
      <w:proofErr w:type="spellStart"/>
      <w:r w:rsidRPr="004B5372">
        <w:rPr>
          <w:rFonts w:ascii="Arial" w:hAnsi="Arial" w:cs="Arial"/>
          <w:i/>
          <w:iCs/>
          <w:color w:val="000000"/>
          <w:sz w:val="20"/>
          <w:szCs w:val="20"/>
        </w:rPr>
        <w:t>Phlomis</w:t>
      </w:r>
      <w:proofErr w:type="spellEnd"/>
      <w:r w:rsidRPr="004B5372">
        <w:rPr>
          <w:rFonts w:ascii="Arial" w:hAnsi="Arial" w:cs="Arial"/>
          <w:i/>
          <w:iCs/>
          <w:color w:val="000000"/>
          <w:sz w:val="20"/>
          <w:szCs w:val="20"/>
        </w:rPr>
        <w:t xml:space="preserve"> bruguieri </w:t>
      </w:r>
      <w:r w:rsidRPr="00872838">
        <w:rPr>
          <w:rFonts w:ascii="Arial" w:hAnsi="Arial" w:cs="Arial"/>
          <w:color w:val="000000"/>
          <w:sz w:val="20"/>
          <w:szCs w:val="20"/>
        </w:rPr>
        <w:t>inhibits </w:t>
      </w:r>
      <w:r w:rsidRPr="004B5372">
        <w:rPr>
          <w:rFonts w:ascii="Arial" w:hAnsi="Arial" w:cs="Arial"/>
          <w:i/>
          <w:iCs/>
          <w:color w:val="000000"/>
          <w:sz w:val="20"/>
          <w:szCs w:val="20"/>
        </w:rPr>
        <w:t>Streptococcus mutans</w:t>
      </w:r>
      <w:r w:rsidRPr="00872838">
        <w:rPr>
          <w:rFonts w:ascii="Arial" w:hAnsi="Arial" w:cs="Arial"/>
          <w:color w:val="000000"/>
          <w:sz w:val="20"/>
          <w:szCs w:val="20"/>
        </w:rPr>
        <w:t xml:space="preserve"> on dose dependent manner.  </w:t>
      </w:r>
    </w:p>
    <w:p w14:paraId="362503EB" w14:textId="77777777" w:rsidR="00D47EA3" w:rsidRDefault="00D47EA3" w:rsidP="004B5372">
      <w:pPr>
        <w:pStyle w:val="BodyText"/>
        <w:tabs>
          <w:tab w:val="left" w:pos="0"/>
          <w:tab w:val="left" w:pos="567"/>
        </w:tabs>
        <w:spacing w:after="0" w:line="240" w:lineRule="auto"/>
        <w:jc w:val="both"/>
        <w:rPr>
          <w:rFonts w:ascii="Arial" w:hAnsi="Arial" w:cs="Arial"/>
          <w:b/>
          <w:bCs/>
          <w:color w:val="000000"/>
          <w:sz w:val="20"/>
          <w:szCs w:val="20"/>
        </w:rPr>
      </w:pPr>
    </w:p>
    <w:p w14:paraId="1BF57C05" w14:textId="77777777" w:rsidR="00D47EA3" w:rsidRDefault="00D47EA3" w:rsidP="004B5372">
      <w:pPr>
        <w:pStyle w:val="BodyText"/>
        <w:tabs>
          <w:tab w:val="left" w:pos="0"/>
          <w:tab w:val="left" w:pos="567"/>
        </w:tabs>
        <w:spacing w:after="0" w:line="240" w:lineRule="auto"/>
        <w:jc w:val="both"/>
        <w:rPr>
          <w:rFonts w:ascii="Arial" w:hAnsi="Arial" w:cs="Arial"/>
          <w:b/>
          <w:bCs/>
          <w:color w:val="000000"/>
          <w:sz w:val="20"/>
          <w:szCs w:val="20"/>
        </w:rPr>
      </w:pPr>
    </w:p>
    <w:p w14:paraId="7CF7B764" w14:textId="693E7403" w:rsidR="003C064E" w:rsidRPr="004B5372" w:rsidRDefault="003C064E" w:rsidP="004B5372">
      <w:pPr>
        <w:pStyle w:val="BodyText"/>
        <w:tabs>
          <w:tab w:val="left" w:pos="0"/>
          <w:tab w:val="left" w:pos="567"/>
        </w:tabs>
        <w:spacing w:after="0" w:line="240" w:lineRule="auto"/>
        <w:jc w:val="both"/>
        <w:rPr>
          <w:rFonts w:ascii="Arial" w:hAnsi="Arial" w:cs="Arial"/>
          <w:b/>
          <w:bCs/>
          <w:color w:val="000000"/>
          <w:sz w:val="20"/>
          <w:szCs w:val="20"/>
        </w:rPr>
      </w:pPr>
      <w:r w:rsidRPr="004B5372">
        <w:rPr>
          <w:rFonts w:ascii="Arial" w:hAnsi="Arial" w:cs="Arial"/>
          <w:b/>
          <w:bCs/>
          <w:color w:val="000000"/>
          <w:sz w:val="20"/>
          <w:szCs w:val="20"/>
        </w:rPr>
        <w:t xml:space="preserve">Table 2.   Antibacterial activity of </w:t>
      </w:r>
      <w:r w:rsidR="004B5372" w:rsidRPr="004B5372">
        <w:rPr>
          <w:rFonts w:ascii="Arial" w:hAnsi="Arial" w:cs="Arial"/>
          <w:b/>
          <w:bCs/>
          <w:i/>
          <w:iCs/>
          <w:color w:val="000000"/>
          <w:sz w:val="20"/>
          <w:szCs w:val="20"/>
        </w:rPr>
        <w:t xml:space="preserve">S. lenticellata </w:t>
      </w:r>
      <w:r w:rsidRPr="004B5372">
        <w:rPr>
          <w:rFonts w:ascii="Arial" w:hAnsi="Arial" w:cs="Arial"/>
          <w:b/>
          <w:bCs/>
          <w:color w:val="000000"/>
          <w:sz w:val="20"/>
          <w:szCs w:val="20"/>
        </w:rPr>
        <w:t>leaf extracts against human pathogens by well diffusion method.</w:t>
      </w:r>
    </w:p>
    <w:tbl>
      <w:tblPr>
        <w:tblW w:w="10346"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1527"/>
        <w:gridCol w:w="1533"/>
        <w:gridCol w:w="1527"/>
        <w:gridCol w:w="1536"/>
        <w:gridCol w:w="1536"/>
      </w:tblGrid>
      <w:tr w:rsidR="003C064E" w:rsidRPr="00872838" w14:paraId="1F620D17" w14:textId="77777777" w:rsidTr="00D47EA3">
        <w:trPr>
          <w:trHeight w:val="20"/>
        </w:trPr>
        <w:tc>
          <w:tcPr>
            <w:tcW w:w="2687" w:type="dxa"/>
            <w:vMerge w:val="restart"/>
            <w:tcBorders>
              <w:top w:val="single" w:sz="4" w:space="0" w:color="auto"/>
            </w:tcBorders>
            <w:vAlign w:val="center"/>
          </w:tcPr>
          <w:p w14:paraId="46436B2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Human</w:t>
            </w:r>
          </w:p>
          <w:p w14:paraId="2373239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lastRenderedPageBreak/>
              <w:t>pathogen</w:t>
            </w:r>
          </w:p>
        </w:tc>
        <w:tc>
          <w:tcPr>
            <w:tcW w:w="1527" w:type="dxa"/>
            <w:vMerge w:val="restart"/>
            <w:tcBorders>
              <w:top w:val="single" w:sz="4" w:space="0" w:color="auto"/>
            </w:tcBorders>
            <w:vAlign w:val="center"/>
          </w:tcPr>
          <w:p w14:paraId="13284E71"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lastRenderedPageBreak/>
              <w:t xml:space="preserve">Conc. </w:t>
            </w:r>
          </w:p>
          <w:p w14:paraId="0C55F39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lastRenderedPageBreak/>
              <w:t>(µg/ml)</w:t>
            </w:r>
          </w:p>
        </w:tc>
        <w:tc>
          <w:tcPr>
            <w:tcW w:w="6132" w:type="dxa"/>
            <w:gridSpan w:val="4"/>
            <w:tcBorders>
              <w:right w:val="single" w:sz="4" w:space="0" w:color="auto"/>
            </w:tcBorders>
          </w:tcPr>
          <w:p w14:paraId="586E6D4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lastRenderedPageBreak/>
              <w:t>Zone of inhibition in mm</w:t>
            </w:r>
          </w:p>
        </w:tc>
      </w:tr>
      <w:tr w:rsidR="003C064E" w:rsidRPr="00872838" w14:paraId="11518943" w14:textId="77777777" w:rsidTr="00D47EA3">
        <w:trPr>
          <w:trHeight w:val="20"/>
        </w:trPr>
        <w:tc>
          <w:tcPr>
            <w:tcW w:w="2687" w:type="dxa"/>
            <w:vMerge/>
            <w:vAlign w:val="center"/>
          </w:tcPr>
          <w:p w14:paraId="0F9CE0D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vMerge/>
            <w:vAlign w:val="center"/>
          </w:tcPr>
          <w:p w14:paraId="106AFF9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33" w:type="dxa"/>
            <w:vAlign w:val="center"/>
          </w:tcPr>
          <w:p w14:paraId="73DAEE2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PES</w:t>
            </w:r>
          </w:p>
        </w:tc>
        <w:tc>
          <w:tcPr>
            <w:tcW w:w="1527" w:type="dxa"/>
            <w:tcBorders>
              <w:right w:val="single" w:sz="4" w:space="0" w:color="auto"/>
            </w:tcBorders>
            <w:vAlign w:val="center"/>
          </w:tcPr>
          <w:p w14:paraId="30EF733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EAS</w:t>
            </w:r>
          </w:p>
        </w:tc>
        <w:tc>
          <w:tcPr>
            <w:tcW w:w="1536" w:type="dxa"/>
            <w:tcBorders>
              <w:right w:val="single" w:sz="4" w:space="0" w:color="auto"/>
            </w:tcBorders>
            <w:vAlign w:val="center"/>
          </w:tcPr>
          <w:p w14:paraId="6D24A4A1"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ES</w:t>
            </w:r>
          </w:p>
        </w:tc>
        <w:tc>
          <w:tcPr>
            <w:tcW w:w="1536" w:type="dxa"/>
            <w:tcBorders>
              <w:right w:val="single" w:sz="4" w:space="0" w:color="auto"/>
            </w:tcBorders>
            <w:vAlign w:val="center"/>
          </w:tcPr>
          <w:p w14:paraId="31CC9A8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Kanamycin</w:t>
            </w:r>
          </w:p>
        </w:tc>
      </w:tr>
      <w:tr w:rsidR="003C064E" w:rsidRPr="00872838" w14:paraId="4023CDF0" w14:textId="77777777" w:rsidTr="00D47EA3">
        <w:trPr>
          <w:trHeight w:val="20"/>
        </w:trPr>
        <w:tc>
          <w:tcPr>
            <w:tcW w:w="2687" w:type="dxa"/>
            <w:vMerge w:val="restart"/>
            <w:vAlign w:val="center"/>
          </w:tcPr>
          <w:p w14:paraId="000B7CC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Klebsiella pneumoniae</w:t>
            </w:r>
          </w:p>
        </w:tc>
        <w:tc>
          <w:tcPr>
            <w:tcW w:w="1527" w:type="dxa"/>
            <w:vAlign w:val="center"/>
          </w:tcPr>
          <w:p w14:paraId="53BD881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Pr>
          <w:p w14:paraId="291A0ED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67B7BEE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Pr>
          <w:p w14:paraId="0F2335E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restart"/>
            <w:vAlign w:val="center"/>
          </w:tcPr>
          <w:p w14:paraId="54D7A92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30.67±1.52</w:t>
            </w:r>
          </w:p>
          <w:p w14:paraId="7081D70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40C7A8E0" w14:textId="77777777" w:rsidTr="00D47EA3">
        <w:trPr>
          <w:trHeight w:val="20"/>
        </w:trPr>
        <w:tc>
          <w:tcPr>
            <w:tcW w:w="2687" w:type="dxa"/>
            <w:vMerge/>
            <w:vAlign w:val="center"/>
          </w:tcPr>
          <w:p w14:paraId="38A03D4A"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tcBorders>
            <w:vAlign w:val="center"/>
          </w:tcPr>
          <w:p w14:paraId="765C163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45CC85F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523BE35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Pr>
          <w:p w14:paraId="5E8D6A8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ign w:val="center"/>
          </w:tcPr>
          <w:p w14:paraId="723D9D4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706B8284" w14:textId="77777777" w:rsidTr="00D47EA3">
        <w:trPr>
          <w:trHeight w:val="20"/>
        </w:trPr>
        <w:tc>
          <w:tcPr>
            <w:tcW w:w="2687" w:type="dxa"/>
            <w:vMerge/>
            <w:vAlign w:val="center"/>
          </w:tcPr>
          <w:p w14:paraId="46A66B6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vAlign w:val="center"/>
          </w:tcPr>
          <w:p w14:paraId="7973E419"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vAlign w:val="bottom"/>
          </w:tcPr>
          <w:p w14:paraId="6E02996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13±0.91</w:t>
            </w:r>
          </w:p>
        </w:tc>
        <w:tc>
          <w:tcPr>
            <w:tcW w:w="1527" w:type="dxa"/>
            <w:vAlign w:val="bottom"/>
          </w:tcPr>
          <w:p w14:paraId="74C4DEA9"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16.67±1.17</w:t>
            </w:r>
          </w:p>
        </w:tc>
        <w:tc>
          <w:tcPr>
            <w:tcW w:w="1536" w:type="dxa"/>
          </w:tcPr>
          <w:p w14:paraId="3F9EE12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15±1.05</w:t>
            </w:r>
          </w:p>
        </w:tc>
        <w:tc>
          <w:tcPr>
            <w:tcW w:w="1536" w:type="dxa"/>
            <w:vMerge/>
            <w:vAlign w:val="center"/>
          </w:tcPr>
          <w:p w14:paraId="4D311E7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5DB97282" w14:textId="77777777" w:rsidTr="00D47EA3">
        <w:trPr>
          <w:trHeight w:val="20"/>
        </w:trPr>
        <w:tc>
          <w:tcPr>
            <w:tcW w:w="2687" w:type="dxa"/>
            <w:vMerge w:val="restart"/>
            <w:tcBorders>
              <w:top w:val="single" w:sz="4" w:space="0" w:color="auto"/>
            </w:tcBorders>
            <w:vAlign w:val="center"/>
          </w:tcPr>
          <w:p w14:paraId="677AEB6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Salmonella typhi</w:t>
            </w:r>
          </w:p>
        </w:tc>
        <w:tc>
          <w:tcPr>
            <w:tcW w:w="1527" w:type="dxa"/>
            <w:tcBorders>
              <w:top w:val="single" w:sz="4" w:space="0" w:color="auto"/>
            </w:tcBorders>
            <w:vAlign w:val="center"/>
          </w:tcPr>
          <w:p w14:paraId="71A4B19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Borders>
              <w:top w:val="single" w:sz="4" w:space="0" w:color="auto"/>
            </w:tcBorders>
          </w:tcPr>
          <w:p w14:paraId="563DE76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Borders>
              <w:top w:val="single" w:sz="4" w:space="0" w:color="auto"/>
            </w:tcBorders>
          </w:tcPr>
          <w:p w14:paraId="1FE2B2C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Borders>
              <w:top w:val="single" w:sz="4" w:space="0" w:color="auto"/>
            </w:tcBorders>
          </w:tcPr>
          <w:p w14:paraId="56F1791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restart"/>
            <w:tcBorders>
              <w:top w:val="single" w:sz="4" w:space="0" w:color="auto"/>
            </w:tcBorders>
            <w:vAlign w:val="center"/>
          </w:tcPr>
          <w:p w14:paraId="08C08BA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28.33±0.57</w:t>
            </w:r>
          </w:p>
        </w:tc>
      </w:tr>
      <w:tr w:rsidR="003C064E" w:rsidRPr="00872838" w14:paraId="3605954C" w14:textId="77777777" w:rsidTr="00D47EA3">
        <w:trPr>
          <w:trHeight w:val="20"/>
        </w:trPr>
        <w:tc>
          <w:tcPr>
            <w:tcW w:w="2687" w:type="dxa"/>
            <w:vMerge/>
            <w:vAlign w:val="center"/>
          </w:tcPr>
          <w:p w14:paraId="2E6AC8F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tcBorders>
            <w:vAlign w:val="center"/>
          </w:tcPr>
          <w:p w14:paraId="51AC2FC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55B1B7CA"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1DE499B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Pr>
          <w:p w14:paraId="65E92F4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ign w:val="center"/>
          </w:tcPr>
          <w:p w14:paraId="3DC7D36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5FAD549B" w14:textId="77777777" w:rsidTr="00D47EA3">
        <w:trPr>
          <w:trHeight w:val="20"/>
        </w:trPr>
        <w:tc>
          <w:tcPr>
            <w:tcW w:w="2687" w:type="dxa"/>
            <w:vMerge/>
            <w:tcBorders>
              <w:bottom w:val="single" w:sz="4" w:space="0" w:color="000000"/>
            </w:tcBorders>
            <w:vAlign w:val="center"/>
          </w:tcPr>
          <w:p w14:paraId="0F3D42A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bottom w:val="single" w:sz="4" w:space="0" w:color="000000"/>
            </w:tcBorders>
            <w:vAlign w:val="center"/>
          </w:tcPr>
          <w:p w14:paraId="3C32C36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tcBorders>
              <w:top w:val="single" w:sz="4" w:space="0" w:color="auto"/>
              <w:bottom w:val="single" w:sz="4" w:space="0" w:color="000000"/>
            </w:tcBorders>
            <w:vAlign w:val="bottom"/>
          </w:tcPr>
          <w:p w14:paraId="028026B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16±1.12</w:t>
            </w:r>
          </w:p>
        </w:tc>
        <w:tc>
          <w:tcPr>
            <w:tcW w:w="1527" w:type="dxa"/>
            <w:tcBorders>
              <w:bottom w:val="single" w:sz="4" w:space="0" w:color="000000"/>
            </w:tcBorders>
            <w:vAlign w:val="bottom"/>
          </w:tcPr>
          <w:p w14:paraId="095AB0A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14.44±1.01</w:t>
            </w:r>
          </w:p>
        </w:tc>
        <w:tc>
          <w:tcPr>
            <w:tcW w:w="1536" w:type="dxa"/>
            <w:tcBorders>
              <w:bottom w:val="single" w:sz="4" w:space="0" w:color="000000"/>
            </w:tcBorders>
          </w:tcPr>
          <w:p w14:paraId="773691B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17.78±1.24</w:t>
            </w:r>
          </w:p>
        </w:tc>
        <w:tc>
          <w:tcPr>
            <w:tcW w:w="1536" w:type="dxa"/>
            <w:vMerge/>
            <w:tcBorders>
              <w:bottom w:val="single" w:sz="4" w:space="0" w:color="000000"/>
            </w:tcBorders>
            <w:vAlign w:val="center"/>
          </w:tcPr>
          <w:p w14:paraId="037FFA2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1A6D5A9F" w14:textId="77777777" w:rsidTr="00D47EA3">
        <w:trPr>
          <w:trHeight w:val="20"/>
        </w:trPr>
        <w:tc>
          <w:tcPr>
            <w:tcW w:w="2687" w:type="dxa"/>
            <w:vMerge w:val="restart"/>
            <w:vAlign w:val="center"/>
          </w:tcPr>
          <w:p w14:paraId="1793AA5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Shigella flexneri</w:t>
            </w:r>
          </w:p>
        </w:tc>
        <w:tc>
          <w:tcPr>
            <w:tcW w:w="1527" w:type="dxa"/>
            <w:vAlign w:val="center"/>
          </w:tcPr>
          <w:p w14:paraId="16FB3C0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Pr>
          <w:p w14:paraId="3F3B9424"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6BAF059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Pr>
          <w:p w14:paraId="34773E6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restart"/>
            <w:vAlign w:val="center"/>
          </w:tcPr>
          <w:p w14:paraId="5DA13A99"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28.33±0.57</w:t>
            </w:r>
          </w:p>
          <w:p w14:paraId="0D51E93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23B5E00F" w14:textId="77777777" w:rsidTr="00D47EA3">
        <w:trPr>
          <w:trHeight w:val="20"/>
        </w:trPr>
        <w:tc>
          <w:tcPr>
            <w:tcW w:w="2687" w:type="dxa"/>
            <w:vMerge/>
            <w:vAlign w:val="center"/>
          </w:tcPr>
          <w:p w14:paraId="703A4599"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tcBorders>
            <w:vAlign w:val="center"/>
          </w:tcPr>
          <w:p w14:paraId="068CF57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68B2C6C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2D81931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Pr>
          <w:p w14:paraId="5EF5CE4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ign w:val="center"/>
          </w:tcPr>
          <w:p w14:paraId="16F72E3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3FE2D97F" w14:textId="77777777" w:rsidTr="00D47EA3">
        <w:trPr>
          <w:trHeight w:val="20"/>
        </w:trPr>
        <w:tc>
          <w:tcPr>
            <w:tcW w:w="2687" w:type="dxa"/>
            <w:vMerge/>
            <w:tcBorders>
              <w:bottom w:val="single" w:sz="4" w:space="0" w:color="auto"/>
            </w:tcBorders>
            <w:vAlign w:val="center"/>
          </w:tcPr>
          <w:p w14:paraId="136169A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bottom w:val="single" w:sz="4" w:space="0" w:color="auto"/>
            </w:tcBorders>
            <w:vAlign w:val="center"/>
          </w:tcPr>
          <w:p w14:paraId="1B1E189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tcBorders>
              <w:top w:val="single" w:sz="4" w:space="0" w:color="auto"/>
              <w:bottom w:val="single" w:sz="4" w:space="0" w:color="auto"/>
            </w:tcBorders>
            <w:vAlign w:val="bottom"/>
          </w:tcPr>
          <w:p w14:paraId="6CA1F6D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15±1.05</w:t>
            </w:r>
          </w:p>
        </w:tc>
        <w:tc>
          <w:tcPr>
            <w:tcW w:w="1527" w:type="dxa"/>
            <w:tcBorders>
              <w:bottom w:val="single" w:sz="4" w:space="0" w:color="auto"/>
            </w:tcBorders>
            <w:vAlign w:val="bottom"/>
          </w:tcPr>
          <w:p w14:paraId="1C86EFA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14.10±0.57</w:t>
            </w:r>
          </w:p>
          <w:p w14:paraId="7FA5461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36" w:type="dxa"/>
            <w:tcBorders>
              <w:bottom w:val="single" w:sz="4" w:space="0" w:color="auto"/>
            </w:tcBorders>
          </w:tcPr>
          <w:p w14:paraId="027DD6F1"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16.67±1.17</w:t>
            </w:r>
          </w:p>
        </w:tc>
        <w:tc>
          <w:tcPr>
            <w:tcW w:w="1536" w:type="dxa"/>
            <w:vMerge/>
            <w:tcBorders>
              <w:bottom w:val="single" w:sz="4" w:space="0" w:color="auto"/>
            </w:tcBorders>
            <w:vAlign w:val="center"/>
          </w:tcPr>
          <w:p w14:paraId="30AB8A3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1D9BD70B" w14:textId="77777777" w:rsidTr="00D47EA3">
        <w:trPr>
          <w:trHeight w:val="20"/>
        </w:trPr>
        <w:tc>
          <w:tcPr>
            <w:tcW w:w="2687" w:type="dxa"/>
            <w:vMerge w:val="restart"/>
            <w:vAlign w:val="center"/>
          </w:tcPr>
          <w:p w14:paraId="7CBEA25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Bacillus subtilis</w:t>
            </w:r>
          </w:p>
        </w:tc>
        <w:tc>
          <w:tcPr>
            <w:tcW w:w="1527" w:type="dxa"/>
            <w:tcBorders>
              <w:top w:val="single" w:sz="4" w:space="0" w:color="auto"/>
              <w:bottom w:val="single" w:sz="4" w:space="0" w:color="auto"/>
            </w:tcBorders>
            <w:vAlign w:val="center"/>
          </w:tcPr>
          <w:p w14:paraId="3867EA0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Borders>
              <w:top w:val="single" w:sz="4" w:space="0" w:color="auto"/>
              <w:bottom w:val="single" w:sz="4" w:space="0" w:color="auto"/>
            </w:tcBorders>
          </w:tcPr>
          <w:p w14:paraId="058B094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41F0D69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Pr>
          <w:p w14:paraId="4F65563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restart"/>
            <w:vAlign w:val="center"/>
          </w:tcPr>
          <w:p w14:paraId="7DA96361"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26.33±0.57</w:t>
            </w:r>
          </w:p>
          <w:p w14:paraId="6656738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10600E06" w14:textId="77777777" w:rsidTr="00D47EA3">
        <w:trPr>
          <w:trHeight w:val="20"/>
        </w:trPr>
        <w:tc>
          <w:tcPr>
            <w:tcW w:w="2687" w:type="dxa"/>
            <w:vMerge/>
            <w:vAlign w:val="center"/>
          </w:tcPr>
          <w:p w14:paraId="7E958D4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tcBorders>
            <w:vAlign w:val="center"/>
          </w:tcPr>
          <w:p w14:paraId="4A598CD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687C3EC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01809CF4"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Pr>
          <w:p w14:paraId="3E11F58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ign w:val="center"/>
          </w:tcPr>
          <w:p w14:paraId="5204774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2B6C3ECA" w14:textId="77777777" w:rsidTr="00D47EA3">
        <w:trPr>
          <w:trHeight w:val="20"/>
        </w:trPr>
        <w:tc>
          <w:tcPr>
            <w:tcW w:w="2687" w:type="dxa"/>
            <w:vMerge/>
            <w:vAlign w:val="center"/>
          </w:tcPr>
          <w:p w14:paraId="5006B6F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tcBorders>
            <w:vAlign w:val="center"/>
          </w:tcPr>
          <w:p w14:paraId="2CA7450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tcBorders>
              <w:top w:val="single" w:sz="4" w:space="0" w:color="auto"/>
            </w:tcBorders>
            <w:vAlign w:val="bottom"/>
          </w:tcPr>
          <w:p w14:paraId="28100911"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16±1.12</w:t>
            </w:r>
          </w:p>
        </w:tc>
        <w:tc>
          <w:tcPr>
            <w:tcW w:w="1527" w:type="dxa"/>
            <w:vAlign w:val="bottom"/>
          </w:tcPr>
          <w:p w14:paraId="0A389DC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17.78±1.24</w:t>
            </w:r>
          </w:p>
        </w:tc>
        <w:tc>
          <w:tcPr>
            <w:tcW w:w="1536" w:type="dxa"/>
          </w:tcPr>
          <w:p w14:paraId="3908C104"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17±1.19</w:t>
            </w:r>
          </w:p>
        </w:tc>
        <w:tc>
          <w:tcPr>
            <w:tcW w:w="1536" w:type="dxa"/>
            <w:vMerge/>
            <w:vAlign w:val="center"/>
          </w:tcPr>
          <w:p w14:paraId="1FE1905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25EFCA92" w14:textId="77777777" w:rsidTr="00D47EA3">
        <w:trPr>
          <w:trHeight w:val="20"/>
        </w:trPr>
        <w:tc>
          <w:tcPr>
            <w:tcW w:w="2687" w:type="dxa"/>
            <w:vMerge w:val="restart"/>
            <w:vAlign w:val="center"/>
          </w:tcPr>
          <w:p w14:paraId="72B1A0A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Staphylococcus aureus</w:t>
            </w:r>
          </w:p>
        </w:tc>
        <w:tc>
          <w:tcPr>
            <w:tcW w:w="1527" w:type="dxa"/>
            <w:tcBorders>
              <w:top w:val="single" w:sz="4" w:space="0" w:color="auto"/>
            </w:tcBorders>
            <w:vAlign w:val="center"/>
          </w:tcPr>
          <w:p w14:paraId="236CF54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Borders>
              <w:top w:val="single" w:sz="4" w:space="0" w:color="auto"/>
            </w:tcBorders>
          </w:tcPr>
          <w:p w14:paraId="260A206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6D88C13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Pr>
          <w:p w14:paraId="3269399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restart"/>
            <w:vAlign w:val="center"/>
          </w:tcPr>
          <w:p w14:paraId="09D425C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26.00±1.00</w:t>
            </w:r>
          </w:p>
          <w:p w14:paraId="2AB968A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58F02F35" w14:textId="77777777" w:rsidTr="00D47EA3">
        <w:trPr>
          <w:trHeight w:val="20"/>
        </w:trPr>
        <w:tc>
          <w:tcPr>
            <w:tcW w:w="2687" w:type="dxa"/>
            <w:vMerge/>
            <w:vAlign w:val="center"/>
          </w:tcPr>
          <w:p w14:paraId="7B3B13F5"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tcBorders>
            <w:vAlign w:val="center"/>
          </w:tcPr>
          <w:p w14:paraId="2479A4C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69B41D9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3DE12BB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Pr>
          <w:p w14:paraId="0257B66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ign w:val="center"/>
          </w:tcPr>
          <w:p w14:paraId="79FC23A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6C13E387" w14:textId="77777777" w:rsidTr="00D47EA3">
        <w:trPr>
          <w:trHeight w:val="20"/>
        </w:trPr>
        <w:tc>
          <w:tcPr>
            <w:tcW w:w="2687" w:type="dxa"/>
            <w:vMerge/>
            <w:vAlign w:val="center"/>
          </w:tcPr>
          <w:p w14:paraId="114FF2ED"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bottom w:val="single" w:sz="4" w:space="0" w:color="auto"/>
            </w:tcBorders>
            <w:vAlign w:val="center"/>
          </w:tcPr>
          <w:p w14:paraId="43272C7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tcBorders>
              <w:top w:val="single" w:sz="4" w:space="0" w:color="auto"/>
              <w:bottom w:val="single" w:sz="4" w:space="0" w:color="auto"/>
            </w:tcBorders>
            <w:vAlign w:val="bottom"/>
          </w:tcPr>
          <w:p w14:paraId="50E0A35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13±0.91</w:t>
            </w:r>
          </w:p>
        </w:tc>
        <w:tc>
          <w:tcPr>
            <w:tcW w:w="1527" w:type="dxa"/>
            <w:vAlign w:val="bottom"/>
          </w:tcPr>
          <w:p w14:paraId="54E66A7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14.44±1.01</w:t>
            </w:r>
          </w:p>
        </w:tc>
        <w:tc>
          <w:tcPr>
            <w:tcW w:w="1536" w:type="dxa"/>
            <w:vAlign w:val="bottom"/>
          </w:tcPr>
          <w:p w14:paraId="268E28E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18.89±1.32</w:t>
            </w:r>
          </w:p>
        </w:tc>
        <w:tc>
          <w:tcPr>
            <w:tcW w:w="1536" w:type="dxa"/>
            <w:vMerge/>
            <w:vAlign w:val="center"/>
          </w:tcPr>
          <w:p w14:paraId="36C2D93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25DC6614" w14:textId="77777777" w:rsidTr="00D47EA3">
        <w:trPr>
          <w:trHeight w:val="20"/>
        </w:trPr>
        <w:tc>
          <w:tcPr>
            <w:tcW w:w="2687" w:type="dxa"/>
            <w:vMerge w:val="restart"/>
            <w:vAlign w:val="center"/>
          </w:tcPr>
          <w:p w14:paraId="520C95F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Streptococcus mutans</w:t>
            </w:r>
          </w:p>
        </w:tc>
        <w:tc>
          <w:tcPr>
            <w:tcW w:w="1527" w:type="dxa"/>
            <w:tcBorders>
              <w:top w:val="single" w:sz="4" w:space="0" w:color="auto"/>
            </w:tcBorders>
            <w:vAlign w:val="center"/>
          </w:tcPr>
          <w:p w14:paraId="47E33D7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250</w:t>
            </w:r>
          </w:p>
        </w:tc>
        <w:tc>
          <w:tcPr>
            <w:tcW w:w="1533" w:type="dxa"/>
            <w:tcBorders>
              <w:top w:val="single" w:sz="4" w:space="0" w:color="auto"/>
            </w:tcBorders>
          </w:tcPr>
          <w:p w14:paraId="73B9D24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3AC5A62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Pr>
          <w:p w14:paraId="4B84A38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restart"/>
            <w:vAlign w:val="center"/>
          </w:tcPr>
          <w:p w14:paraId="3A81443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31.00±1.00</w:t>
            </w:r>
          </w:p>
          <w:p w14:paraId="0C2295E0"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0D2EA8D8" w14:textId="77777777" w:rsidTr="00D47EA3">
        <w:trPr>
          <w:trHeight w:val="20"/>
        </w:trPr>
        <w:tc>
          <w:tcPr>
            <w:tcW w:w="2687" w:type="dxa"/>
            <w:vMerge/>
            <w:vAlign w:val="center"/>
          </w:tcPr>
          <w:p w14:paraId="1344CD7B"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tcBorders>
            <w:vAlign w:val="center"/>
          </w:tcPr>
          <w:p w14:paraId="518BB4B6"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500</w:t>
            </w:r>
          </w:p>
        </w:tc>
        <w:tc>
          <w:tcPr>
            <w:tcW w:w="1533" w:type="dxa"/>
            <w:tcBorders>
              <w:top w:val="single" w:sz="4" w:space="0" w:color="auto"/>
            </w:tcBorders>
          </w:tcPr>
          <w:p w14:paraId="77A07977"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27" w:type="dxa"/>
          </w:tcPr>
          <w:p w14:paraId="6260B1C8"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tcPr>
          <w:p w14:paraId="329120B2"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ND</w:t>
            </w:r>
          </w:p>
        </w:tc>
        <w:tc>
          <w:tcPr>
            <w:tcW w:w="1536" w:type="dxa"/>
            <w:vMerge/>
            <w:vAlign w:val="center"/>
          </w:tcPr>
          <w:p w14:paraId="04A01AB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r w:rsidR="003C064E" w:rsidRPr="00872838" w14:paraId="76664F2F" w14:textId="77777777" w:rsidTr="00D47EA3">
        <w:trPr>
          <w:trHeight w:val="20"/>
        </w:trPr>
        <w:tc>
          <w:tcPr>
            <w:tcW w:w="2687" w:type="dxa"/>
            <w:vMerge/>
            <w:vAlign w:val="center"/>
          </w:tcPr>
          <w:p w14:paraId="52101453"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c>
          <w:tcPr>
            <w:tcW w:w="1527" w:type="dxa"/>
            <w:tcBorders>
              <w:top w:val="single" w:sz="4" w:space="0" w:color="auto"/>
            </w:tcBorders>
            <w:vAlign w:val="center"/>
          </w:tcPr>
          <w:p w14:paraId="4DE89449"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1000</w:t>
            </w:r>
          </w:p>
        </w:tc>
        <w:tc>
          <w:tcPr>
            <w:tcW w:w="1533" w:type="dxa"/>
            <w:tcBorders>
              <w:top w:val="single" w:sz="4" w:space="0" w:color="auto"/>
            </w:tcBorders>
            <w:vAlign w:val="bottom"/>
          </w:tcPr>
          <w:p w14:paraId="6E8D9014"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19±1.33</w:t>
            </w:r>
          </w:p>
        </w:tc>
        <w:tc>
          <w:tcPr>
            <w:tcW w:w="1527" w:type="dxa"/>
            <w:vAlign w:val="bottom"/>
          </w:tcPr>
          <w:p w14:paraId="47DD4E1E"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21.11±1.48</w:t>
            </w:r>
          </w:p>
        </w:tc>
        <w:tc>
          <w:tcPr>
            <w:tcW w:w="1536" w:type="dxa"/>
          </w:tcPr>
          <w:p w14:paraId="100AC2AC"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23.44±0.60</w:t>
            </w:r>
          </w:p>
        </w:tc>
        <w:tc>
          <w:tcPr>
            <w:tcW w:w="1536" w:type="dxa"/>
            <w:vMerge/>
            <w:vAlign w:val="center"/>
          </w:tcPr>
          <w:p w14:paraId="07DAF7EF" w14:textId="77777777" w:rsidR="003C064E" w:rsidRPr="00872838" w:rsidRDefault="003C064E" w:rsidP="00872838">
            <w:pPr>
              <w:pStyle w:val="BodyText"/>
              <w:tabs>
                <w:tab w:val="left" w:pos="0"/>
                <w:tab w:val="left" w:pos="567"/>
              </w:tabs>
              <w:spacing w:after="0" w:line="240" w:lineRule="auto"/>
              <w:ind w:firstLine="360"/>
              <w:jc w:val="both"/>
              <w:rPr>
                <w:rFonts w:ascii="Arial" w:hAnsi="Arial" w:cs="Arial"/>
                <w:color w:val="000000"/>
                <w:sz w:val="20"/>
                <w:szCs w:val="20"/>
              </w:rPr>
            </w:pPr>
          </w:p>
        </w:tc>
      </w:tr>
    </w:tbl>
    <w:p w14:paraId="09AAEAA0" w14:textId="4DF8A33A" w:rsidR="003C064E" w:rsidRPr="00D47EA3" w:rsidRDefault="003C064E" w:rsidP="00872838">
      <w:pPr>
        <w:pStyle w:val="BodyText"/>
        <w:tabs>
          <w:tab w:val="left" w:pos="0"/>
          <w:tab w:val="left" w:pos="567"/>
        </w:tabs>
        <w:spacing w:after="0" w:line="240" w:lineRule="auto"/>
        <w:ind w:firstLine="360"/>
        <w:jc w:val="both"/>
        <w:rPr>
          <w:rFonts w:ascii="Arial" w:hAnsi="Arial" w:cs="Arial"/>
          <w:i/>
          <w:iCs/>
          <w:color w:val="000000"/>
          <w:sz w:val="18"/>
          <w:szCs w:val="18"/>
        </w:rPr>
      </w:pPr>
      <w:r w:rsidRPr="00D47EA3">
        <w:rPr>
          <w:rFonts w:ascii="Arial" w:hAnsi="Arial" w:cs="Arial"/>
          <w:i/>
          <w:iCs/>
          <w:color w:val="000000"/>
          <w:sz w:val="18"/>
          <w:szCs w:val="18"/>
        </w:rPr>
        <w:t>ND- Not Detected, Values are mean of triplicates ± standard deviation</w:t>
      </w:r>
    </w:p>
    <w:p w14:paraId="432C17AA" w14:textId="4DE3F905" w:rsidR="003C064E" w:rsidRPr="00872838" w:rsidRDefault="00FA6F18" w:rsidP="002D3AAA">
      <w:pPr>
        <w:pStyle w:val="BodyText"/>
        <w:tabs>
          <w:tab w:val="left" w:pos="0"/>
          <w:tab w:val="left" w:pos="567"/>
        </w:tabs>
        <w:spacing w:after="0" w:line="240" w:lineRule="auto"/>
        <w:ind w:firstLine="360"/>
        <w:jc w:val="center"/>
        <w:rPr>
          <w:rFonts w:ascii="Arial" w:hAnsi="Arial" w:cs="Arial"/>
          <w:color w:val="000000"/>
          <w:sz w:val="20"/>
          <w:szCs w:val="20"/>
        </w:rPr>
      </w:pPr>
      <w:r w:rsidRPr="00872838">
        <w:rPr>
          <w:rFonts w:ascii="Arial" w:hAnsi="Arial" w:cs="Arial"/>
          <w:noProof/>
          <w:color w:val="000000"/>
          <w:sz w:val="20"/>
          <w:szCs w:val="20"/>
        </w:rPr>
        <w:drawing>
          <wp:inline distT="0" distB="0" distL="0" distR="0" wp14:anchorId="14F8393F" wp14:editId="048339AA">
            <wp:extent cx="2280165" cy="3409950"/>
            <wp:effectExtent l="0" t="0" r="0" b="0"/>
            <wp:docPr id="3997619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rotWithShape="1">
                    <a:blip r:embed="rId12">
                      <a:extLst>
                        <a:ext uri="{28A0092B-C50C-407E-A947-70E740481C1C}">
                          <a14:useLocalDpi xmlns:a14="http://schemas.microsoft.com/office/drawing/2010/main" val="0"/>
                        </a:ext>
                      </a:extLst>
                    </a:blip>
                    <a:srcRect r="2945"/>
                    <a:stretch>
                      <a:fillRect/>
                    </a:stretch>
                  </pic:blipFill>
                  <pic:spPr bwMode="auto">
                    <a:xfrm>
                      <a:off x="0" y="0"/>
                      <a:ext cx="2289844" cy="3424425"/>
                    </a:xfrm>
                    <a:prstGeom prst="rect">
                      <a:avLst/>
                    </a:prstGeom>
                    <a:noFill/>
                    <a:ln>
                      <a:noFill/>
                    </a:ln>
                    <a:extLst>
                      <a:ext uri="{53640926-AAD7-44D8-BBD7-CCE9431645EC}">
                        <a14:shadowObscured xmlns:a14="http://schemas.microsoft.com/office/drawing/2010/main"/>
                      </a:ext>
                    </a:extLst>
                  </pic:spPr>
                </pic:pic>
              </a:graphicData>
            </a:graphic>
          </wp:inline>
        </w:drawing>
      </w:r>
    </w:p>
    <w:p w14:paraId="640CA26E" w14:textId="77777777" w:rsidR="00D47EA3" w:rsidRDefault="00D2259A" w:rsidP="00D47EA3">
      <w:pPr>
        <w:pStyle w:val="BodyText"/>
        <w:tabs>
          <w:tab w:val="left" w:pos="0"/>
          <w:tab w:val="left" w:pos="567"/>
        </w:tabs>
        <w:spacing w:after="0" w:line="240" w:lineRule="auto"/>
        <w:jc w:val="both"/>
        <w:rPr>
          <w:rFonts w:ascii="Arial" w:hAnsi="Arial" w:cs="Arial"/>
          <w:color w:val="000000"/>
          <w:sz w:val="20"/>
          <w:szCs w:val="20"/>
        </w:rPr>
      </w:pPr>
      <w:r w:rsidRPr="00D47EA3">
        <w:rPr>
          <w:rFonts w:ascii="Arial" w:hAnsi="Arial" w:cs="Arial"/>
          <w:b/>
          <w:bCs/>
          <w:color w:val="000000"/>
          <w:sz w:val="20"/>
          <w:szCs w:val="20"/>
        </w:rPr>
        <w:t xml:space="preserve">Fig. </w:t>
      </w:r>
      <w:r w:rsidR="00D47EA3" w:rsidRPr="00D47EA3">
        <w:rPr>
          <w:rFonts w:ascii="Arial" w:hAnsi="Arial" w:cs="Arial"/>
          <w:b/>
          <w:bCs/>
          <w:color w:val="000000"/>
          <w:sz w:val="20"/>
          <w:szCs w:val="20"/>
        </w:rPr>
        <w:t>3</w:t>
      </w:r>
      <w:r w:rsidRPr="00D47EA3">
        <w:rPr>
          <w:rFonts w:ascii="Arial" w:hAnsi="Arial" w:cs="Arial"/>
          <w:b/>
          <w:bCs/>
          <w:color w:val="000000"/>
          <w:sz w:val="20"/>
          <w:szCs w:val="20"/>
        </w:rPr>
        <w:t xml:space="preserve">. </w:t>
      </w:r>
      <w:r w:rsidRPr="00D47EA3">
        <w:rPr>
          <w:rFonts w:ascii="Arial" w:hAnsi="Arial" w:cs="Arial"/>
          <w:b/>
          <w:bCs/>
          <w:color w:val="000000"/>
          <w:sz w:val="20"/>
          <w:szCs w:val="20"/>
        </w:rPr>
        <w:tab/>
        <w:t xml:space="preserve">Antibacterial activity of different solvent extracts of </w:t>
      </w:r>
      <w:r w:rsidR="004B5372" w:rsidRPr="00D47EA3">
        <w:rPr>
          <w:rFonts w:ascii="Arial" w:hAnsi="Arial" w:cs="Arial"/>
          <w:b/>
          <w:bCs/>
          <w:i/>
          <w:iCs/>
          <w:color w:val="000000"/>
          <w:sz w:val="20"/>
          <w:szCs w:val="20"/>
        </w:rPr>
        <w:t xml:space="preserve">S. lenticellata </w:t>
      </w:r>
      <w:r w:rsidRPr="00D47EA3">
        <w:rPr>
          <w:rFonts w:ascii="Arial" w:hAnsi="Arial" w:cs="Arial"/>
          <w:b/>
          <w:bCs/>
          <w:color w:val="000000"/>
          <w:sz w:val="20"/>
          <w:szCs w:val="20"/>
        </w:rPr>
        <w:t>leaves against human pathogenic bacteria</w:t>
      </w:r>
      <w:r w:rsidRPr="00872838">
        <w:rPr>
          <w:rFonts w:ascii="Arial" w:hAnsi="Arial" w:cs="Arial"/>
          <w:color w:val="000000"/>
          <w:sz w:val="20"/>
          <w:szCs w:val="20"/>
        </w:rPr>
        <w:t>.</w:t>
      </w:r>
    </w:p>
    <w:p w14:paraId="08DCA03E" w14:textId="7EC39C0F" w:rsidR="00D2259A" w:rsidRPr="00D47EA3" w:rsidRDefault="00D2259A" w:rsidP="00D47EA3">
      <w:pPr>
        <w:pStyle w:val="BodyText"/>
        <w:tabs>
          <w:tab w:val="left" w:pos="0"/>
          <w:tab w:val="left" w:pos="567"/>
        </w:tabs>
        <w:spacing w:after="0" w:line="240" w:lineRule="auto"/>
        <w:jc w:val="both"/>
        <w:rPr>
          <w:rFonts w:ascii="Arial" w:hAnsi="Arial" w:cs="Arial"/>
          <w:i/>
          <w:iCs/>
          <w:color w:val="000000"/>
          <w:sz w:val="20"/>
          <w:szCs w:val="20"/>
        </w:rPr>
      </w:pPr>
      <w:r w:rsidRPr="00D47EA3">
        <w:rPr>
          <w:rFonts w:ascii="Arial" w:hAnsi="Arial" w:cs="Arial"/>
          <w:i/>
          <w:iCs/>
          <w:color w:val="000000"/>
          <w:sz w:val="20"/>
          <w:szCs w:val="20"/>
        </w:rPr>
        <w:t>a. Klebsiella pneumoniae, b. Salmonella typhi, c. Shigella flexneri, d. Bacillus subtilis, e. Staphylococcus aureus, f. Streptococcus mutans PES- Petroleum ether, EAS- Ethyl acetate, ES- Ethanol, PC- Control (Kanamycin), NC- DMSO</w:t>
      </w:r>
    </w:p>
    <w:p w14:paraId="3D4BC36E" w14:textId="70B0574A" w:rsidR="00DF03AD" w:rsidRPr="00D47EA3" w:rsidRDefault="00D47EA3" w:rsidP="00D47EA3">
      <w:pPr>
        <w:pStyle w:val="BodyText"/>
        <w:tabs>
          <w:tab w:val="left" w:pos="0"/>
          <w:tab w:val="left" w:pos="567"/>
        </w:tabs>
        <w:spacing w:after="0" w:line="240" w:lineRule="auto"/>
        <w:jc w:val="both"/>
        <w:rPr>
          <w:rFonts w:ascii="Arial" w:hAnsi="Arial" w:cs="Arial"/>
          <w:b/>
          <w:bCs/>
          <w:color w:val="000000"/>
        </w:rPr>
      </w:pPr>
      <w:r w:rsidRPr="00D47EA3">
        <w:rPr>
          <w:rFonts w:ascii="Arial" w:hAnsi="Arial" w:cs="Arial"/>
          <w:b/>
          <w:bCs/>
          <w:color w:val="000000"/>
        </w:rPr>
        <w:t xml:space="preserve">3.4. </w:t>
      </w:r>
      <w:r w:rsidR="00DF03AD" w:rsidRPr="00D47EA3">
        <w:rPr>
          <w:rFonts w:ascii="Arial" w:hAnsi="Arial" w:cs="Arial"/>
          <w:b/>
          <w:bCs/>
          <w:color w:val="000000"/>
        </w:rPr>
        <w:t xml:space="preserve">Antioxidant activity </w:t>
      </w:r>
    </w:p>
    <w:p w14:paraId="1E953665" w14:textId="7C435236" w:rsidR="00DF03AD" w:rsidRPr="00D47EA3" w:rsidRDefault="00D47EA3" w:rsidP="00D47EA3">
      <w:pPr>
        <w:pStyle w:val="BodyText"/>
        <w:tabs>
          <w:tab w:val="left" w:pos="0"/>
          <w:tab w:val="left" w:pos="567"/>
        </w:tabs>
        <w:spacing w:after="0" w:line="240" w:lineRule="auto"/>
        <w:jc w:val="both"/>
        <w:rPr>
          <w:rFonts w:ascii="Arial" w:hAnsi="Arial" w:cs="Arial"/>
          <w:b/>
          <w:bCs/>
          <w:color w:val="000000"/>
          <w:sz w:val="20"/>
          <w:szCs w:val="20"/>
          <w:u w:val="single"/>
        </w:rPr>
      </w:pPr>
      <w:r w:rsidRPr="00D47EA3">
        <w:rPr>
          <w:rFonts w:ascii="Arial" w:hAnsi="Arial" w:cs="Arial"/>
          <w:b/>
          <w:bCs/>
          <w:color w:val="000000"/>
          <w:sz w:val="20"/>
          <w:szCs w:val="20"/>
          <w:u w:val="single"/>
        </w:rPr>
        <w:t>3.4.1.</w:t>
      </w:r>
      <w:r w:rsidR="00DF03AD" w:rsidRPr="00D47EA3">
        <w:rPr>
          <w:rFonts w:ascii="Arial" w:hAnsi="Arial" w:cs="Arial"/>
          <w:b/>
          <w:bCs/>
          <w:color w:val="000000"/>
          <w:sz w:val="20"/>
          <w:szCs w:val="20"/>
          <w:u w:val="single"/>
        </w:rPr>
        <w:t xml:space="preserve"> DPPH radical scavenging activity </w:t>
      </w:r>
    </w:p>
    <w:p w14:paraId="5D547597" w14:textId="248571CE"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lastRenderedPageBreak/>
        <w:tab/>
        <w:t>DPPH is a dark-</w:t>
      </w:r>
      <w:r w:rsidR="004E7B5C" w:rsidRPr="00872838">
        <w:rPr>
          <w:rFonts w:ascii="Arial" w:hAnsi="Arial" w:cs="Arial"/>
          <w:color w:val="000000"/>
          <w:sz w:val="20"/>
          <w:szCs w:val="20"/>
        </w:rPr>
        <w:t>coloured</w:t>
      </w:r>
      <w:r w:rsidRPr="00872838">
        <w:rPr>
          <w:rFonts w:ascii="Arial" w:hAnsi="Arial" w:cs="Arial"/>
          <w:color w:val="000000"/>
          <w:sz w:val="20"/>
          <w:szCs w:val="20"/>
        </w:rPr>
        <w:t xml:space="preserve"> crystalline substance that consists of stable free radical particles. Researchers are widely using DPPH to rapidly evaluate the antioxidant </w:t>
      </w:r>
      <w:r w:rsidR="004E7B5C" w:rsidRPr="00872838">
        <w:rPr>
          <w:rFonts w:ascii="Arial" w:hAnsi="Arial" w:cs="Arial"/>
          <w:color w:val="000000"/>
          <w:sz w:val="20"/>
          <w:szCs w:val="20"/>
        </w:rPr>
        <w:t>capacity</w:t>
      </w:r>
      <w:r w:rsidRPr="00872838">
        <w:rPr>
          <w:rFonts w:ascii="Arial" w:hAnsi="Arial" w:cs="Arial"/>
          <w:color w:val="000000"/>
          <w:sz w:val="20"/>
          <w:szCs w:val="20"/>
        </w:rPr>
        <w:t xml:space="preserve"> of natural products. When the DPPH radical is reduced and changed into DPPH-H, it appears dark purple in solution. however, after it is both reduced and transformed into DPPH-H, it becomes </w:t>
      </w:r>
      <w:r w:rsidR="004E7B5C" w:rsidRPr="00872838">
        <w:rPr>
          <w:rFonts w:ascii="Arial" w:hAnsi="Arial" w:cs="Arial"/>
          <w:color w:val="000000"/>
          <w:sz w:val="20"/>
          <w:szCs w:val="20"/>
        </w:rPr>
        <w:t>colourless</w:t>
      </w:r>
      <w:r w:rsidRPr="00872838">
        <w:rPr>
          <w:rFonts w:ascii="Arial" w:hAnsi="Arial" w:cs="Arial"/>
          <w:color w:val="000000"/>
          <w:sz w:val="20"/>
          <w:szCs w:val="20"/>
        </w:rPr>
        <w:t xml:space="preserve"> or light yellow (Baliyan et al., 2022). The effect of different solvent extracts on inhibition percentage of DPPH radicals </w:t>
      </w:r>
      <w:r w:rsidR="004E7B5C" w:rsidRPr="00872838">
        <w:rPr>
          <w:rFonts w:ascii="Arial" w:hAnsi="Arial" w:cs="Arial"/>
          <w:color w:val="000000"/>
          <w:sz w:val="20"/>
          <w:szCs w:val="20"/>
        </w:rPr>
        <w:t>was</w:t>
      </w:r>
      <w:r w:rsidRPr="00872838">
        <w:rPr>
          <w:rFonts w:ascii="Arial" w:hAnsi="Arial" w:cs="Arial"/>
          <w:color w:val="000000"/>
          <w:sz w:val="20"/>
          <w:szCs w:val="20"/>
        </w:rPr>
        <w:t xml:space="preserve"> shown in Fig</w:t>
      </w:r>
      <w:r w:rsidR="00D47EA3">
        <w:rPr>
          <w:rFonts w:ascii="Arial" w:hAnsi="Arial" w:cs="Arial"/>
          <w:color w:val="000000"/>
          <w:sz w:val="20"/>
          <w:szCs w:val="20"/>
        </w:rPr>
        <w:t xml:space="preserve"> 4</w:t>
      </w:r>
      <w:r w:rsidRPr="00872838">
        <w:rPr>
          <w:rFonts w:ascii="Arial" w:hAnsi="Arial" w:cs="Arial"/>
          <w:color w:val="000000"/>
          <w:sz w:val="20"/>
          <w:szCs w:val="20"/>
        </w:rPr>
        <w:t xml:space="preserve">. The results </w:t>
      </w:r>
      <w:r w:rsidR="004E7B5C" w:rsidRPr="00872838">
        <w:rPr>
          <w:rFonts w:ascii="Arial" w:hAnsi="Arial" w:cs="Arial"/>
          <w:color w:val="000000"/>
          <w:sz w:val="20"/>
          <w:szCs w:val="20"/>
        </w:rPr>
        <w:t>revealed</w:t>
      </w:r>
      <w:r w:rsidRPr="00872838">
        <w:rPr>
          <w:rFonts w:ascii="Arial" w:hAnsi="Arial" w:cs="Arial"/>
          <w:color w:val="000000"/>
          <w:sz w:val="20"/>
          <w:szCs w:val="20"/>
        </w:rPr>
        <w:t xml:space="preserve"> that ES extract has greatest IC50 value of 87.12 followed by EAS and PES extracts 158.42µg/ml, 375.09 µg/ml, respectively. All the extract shows the radical </w:t>
      </w:r>
      <w:r w:rsidR="004E7B5C" w:rsidRPr="00872838">
        <w:rPr>
          <w:rFonts w:ascii="Arial" w:hAnsi="Arial" w:cs="Arial"/>
          <w:color w:val="000000"/>
          <w:sz w:val="20"/>
          <w:szCs w:val="20"/>
        </w:rPr>
        <w:t>scavenging</w:t>
      </w:r>
      <w:r w:rsidRPr="00872838">
        <w:rPr>
          <w:rFonts w:ascii="Arial" w:hAnsi="Arial" w:cs="Arial"/>
          <w:color w:val="000000"/>
          <w:sz w:val="20"/>
          <w:szCs w:val="20"/>
        </w:rPr>
        <w:t xml:space="preserve"> ability by dose dependent manner. This could be attributed to presence of polyphenols higher in ethanolic extracts and the results are correlated with previous reports (Albishi et al., 2013; Lim et al., 2024). The results of our study support previous research showing that high-polarity solvents like ethanol, water, acetone, and methanol are commonly used to extract antioxidant compounds such as phenolic and flavonoid compounds (Tourabi et al., 2023).</w:t>
      </w:r>
    </w:p>
    <w:p w14:paraId="2839C526" w14:textId="21BE7BE2" w:rsidR="004A3278" w:rsidRPr="00872838" w:rsidRDefault="00D44866"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object w:dxaOrig="7774" w:dyaOrig="5520" w14:anchorId="5C9B49B2">
          <v:shape id="_x0000_i1028" type="#_x0000_t75" style="width:293.35pt;height:209.6pt" o:ole="">
            <v:imagedata r:id="rId13" o:title=""/>
          </v:shape>
          <o:OLEObject Type="Embed" ProgID="Prism8.Document" ShapeID="_x0000_i1028" DrawAspect="Content" ObjectID="_1824973262" r:id="rId14"/>
        </w:object>
      </w:r>
    </w:p>
    <w:p w14:paraId="27A3408F" w14:textId="3A05F185" w:rsidR="00D47EA3" w:rsidRPr="00D47EA3" w:rsidRDefault="004A3278" w:rsidP="00D47EA3">
      <w:pPr>
        <w:pStyle w:val="BodyText"/>
        <w:tabs>
          <w:tab w:val="left" w:pos="0"/>
          <w:tab w:val="left" w:pos="567"/>
        </w:tabs>
        <w:spacing w:after="0" w:line="240" w:lineRule="auto"/>
        <w:jc w:val="both"/>
        <w:rPr>
          <w:rFonts w:ascii="Arial" w:hAnsi="Arial" w:cs="Arial"/>
          <w:b/>
          <w:bCs/>
          <w:color w:val="000000"/>
          <w:sz w:val="20"/>
          <w:szCs w:val="20"/>
        </w:rPr>
      </w:pPr>
      <w:r w:rsidRPr="00D47EA3">
        <w:rPr>
          <w:rFonts w:ascii="Arial" w:hAnsi="Arial" w:cs="Arial"/>
          <w:b/>
          <w:bCs/>
          <w:color w:val="000000"/>
          <w:sz w:val="20"/>
          <w:szCs w:val="20"/>
        </w:rPr>
        <w:t>Fig</w:t>
      </w:r>
      <w:r w:rsidR="00D47EA3">
        <w:rPr>
          <w:rFonts w:ascii="Arial" w:hAnsi="Arial" w:cs="Arial"/>
          <w:b/>
          <w:bCs/>
          <w:color w:val="000000"/>
          <w:sz w:val="20"/>
          <w:szCs w:val="20"/>
        </w:rPr>
        <w:t xml:space="preserve"> 4.</w:t>
      </w:r>
      <w:r w:rsidRPr="00D47EA3">
        <w:rPr>
          <w:rFonts w:ascii="Arial" w:hAnsi="Arial" w:cs="Arial"/>
          <w:b/>
          <w:bCs/>
          <w:color w:val="000000"/>
          <w:sz w:val="20"/>
          <w:szCs w:val="20"/>
        </w:rPr>
        <w:t xml:space="preserve"> DPPH </w:t>
      </w:r>
      <w:r w:rsidR="00C3427E" w:rsidRPr="00D47EA3">
        <w:rPr>
          <w:rFonts w:ascii="Arial" w:hAnsi="Arial" w:cs="Arial"/>
          <w:b/>
          <w:bCs/>
          <w:color w:val="000000"/>
          <w:sz w:val="20"/>
          <w:szCs w:val="20"/>
        </w:rPr>
        <w:t xml:space="preserve">radical scavenging activity different solvent leaf extracts of </w:t>
      </w:r>
      <w:r w:rsidR="004B5372" w:rsidRPr="00D47EA3">
        <w:rPr>
          <w:rFonts w:ascii="Arial" w:hAnsi="Arial" w:cs="Arial"/>
          <w:b/>
          <w:bCs/>
          <w:i/>
          <w:iCs/>
          <w:color w:val="000000"/>
          <w:sz w:val="20"/>
          <w:szCs w:val="20"/>
        </w:rPr>
        <w:t>S. lenticellata</w:t>
      </w:r>
      <w:r w:rsidR="00C3427E" w:rsidRPr="00D47EA3">
        <w:rPr>
          <w:rFonts w:ascii="Arial" w:hAnsi="Arial" w:cs="Arial"/>
          <w:b/>
          <w:bCs/>
          <w:color w:val="000000"/>
          <w:sz w:val="20"/>
          <w:szCs w:val="20"/>
        </w:rPr>
        <w:t>.</w:t>
      </w:r>
    </w:p>
    <w:p w14:paraId="3AF7EC6D" w14:textId="64E5A16D" w:rsidR="00C3427E" w:rsidRPr="00D47EA3" w:rsidRDefault="00C3427E" w:rsidP="00D47EA3">
      <w:pPr>
        <w:pStyle w:val="BodyText"/>
        <w:tabs>
          <w:tab w:val="left" w:pos="0"/>
          <w:tab w:val="left" w:pos="567"/>
        </w:tabs>
        <w:spacing w:after="0" w:line="240" w:lineRule="auto"/>
        <w:jc w:val="both"/>
        <w:rPr>
          <w:rFonts w:ascii="Arial" w:hAnsi="Arial" w:cs="Arial"/>
          <w:i/>
          <w:iCs/>
          <w:color w:val="000000"/>
          <w:sz w:val="18"/>
          <w:szCs w:val="18"/>
        </w:rPr>
      </w:pPr>
      <w:r w:rsidRPr="00D47EA3">
        <w:rPr>
          <w:rFonts w:ascii="Arial" w:hAnsi="Arial" w:cs="Arial"/>
          <w:i/>
          <w:iCs/>
          <w:color w:val="000000"/>
          <w:sz w:val="18"/>
          <w:szCs w:val="18"/>
        </w:rPr>
        <w:t xml:space="preserve">Values are presented as means ± standard deviations (n= </w:t>
      </w:r>
      <w:r w:rsidR="00E82DA2" w:rsidRPr="00D47EA3">
        <w:rPr>
          <w:rFonts w:ascii="Arial" w:hAnsi="Arial" w:cs="Arial"/>
          <w:i/>
          <w:iCs/>
          <w:color w:val="000000"/>
          <w:sz w:val="18"/>
          <w:szCs w:val="18"/>
        </w:rPr>
        <w:t>3</w:t>
      </w:r>
      <w:r w:rsidRPr="00D47EA3">
        <w:rPr>
          <w:rFonts w:ascii="Arial" w:hAnsi="Arial" w:cs="Arial"/>
          <w:i/>
          <w:iCs/>
          <w:color w:val="000000"/>
          <w:sz w:val="18"/>
          <w:szCs w:val="18"/>
        </w:rPr>
        <w:t>). Significant different among means (*P &lt; 0.05)</w:t>
      </w:r>
    </w:p>
    <w:p w14:paraId="0C3004D7" w14:textId="7B6B6653" w:rsidR="00DF03AD" w:rsidRPr="00D47EA3" w:rsidRDefault="00D47EA3" w:rsidP="00D47EA3">
      <w:pPr>
        <w:pStyle w:val="BodyText"/>
        <w:tabs>
          <w:tab w:val="left" w:pos="0"/>
          <w:tab w:val="left" w:pos="567"/>
        </w:tabs>
        <w:spacing w:after="0" w:line="240" w:lineRule="auto"/>
        <w:jc w:val="both"/>
        <w:rPr>
          <w:rFonts w:ascii="Arial" w:hAnsi="Arial" w:cs="Arial"/>
          <w:b/>
          <w:bCs/>
          <w:color w:val="000000"/>
          <w:sz w:val="20"/>
          <w:szCs w:val="20"/>
          <w:u w:val="single"/>
        </w:rPr>
      </w:pPr>
      <w:r w:rsidRPr="00D47EA3">
        <w:rPr>
          <w:rFonts w:ascii="Arial" w:hAnsi="Arial" w:cs="Arial"/>
          <w:b/>
          <w:bCs/>
          <w:color w:val="000000"/>
          <w:sz w:val="20"/>
          <w:szCs w:val="20"/>
          <w:u w:val="single"/>
        </w:rPr>
        <w:t xml:space="preserve">3.4.2. </w:t>
      </w:r>
      <w:r w:rsidR="00DF03AD" w:rsidRPr="00D47EA3">
        <w:rPr>
          <w:rFonts w:ascii="Arial" w:hAnsi="Arial" w:cs="Arial"/>
          <w:b/>
          <w:bCs/>
          <w:color w:val="000000"/>
          <w:sz w:val="20"/>
          <w:szCs w:val="20"/>
          <w:u w:val="single"/>
        </w:rPr>
        <w:t xml:space="preserve">Superoxide radical scavenging activity </w:t>
      </w:r>
    </w:p>
    <w:p w14:paraId="29365D8F" w14:textId="4B227AFE" w:rsidR="00DF03AD" w:rsidRPr="00872838"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Superoxide radicals are stable but can create harmful hydroxyl radicals through damaging important cell molecules and contributing to various diseases. Removing these radicals are the solution to treat these diseases (Panigrahy et al., 2017). In this study, the scavenging activity was observed in a dose dependent manner. Accordingly, the order of superoxide radical scavenging was ES&gt; EAS&gt; PES (Fig</w:t>
      </w:r>
      <w:r w:rsidR="00D47EA3">
        <w:rPr>
          <w:rFonts w:ascii="Arial" w:hAnsi="Arial" w:cs="Arial"/>
          <w:color w:val="000000"/>
          <w:sz w:val="20"/>
          <w:szCs w:val="20"/>
        </w:rPr>
        <w:t xml:space="preserve"> 5</w:t>
      </w:r>
      <w:r w:rsidRPr="00872838">
        <w:rPr>
          <w:rFonts w:ascii="Arial" w:hAnsi="Arial" w:cs="Arial"/>
          <w:color w:val="000000"/>
          <w:sz w:val="20"/>
          <w:szCs w:val="20"/>
        </w:rPr>
        <w:t>). The order of superoxide radical scavenging ability was similar to the antioxidant potential of different fractions of ethanol extract of Mentha spicata (L.) established previously (Arumugam, 2010). The inhibitory concentration of the three extracts PES, EAS and ES was (414.93 µg/ml), (177.21 µg/ml) and (76.66 µg/ml), respectively. ES extract shows better super oxide anion radical scavenging than that of ascorbic acid with IC50 value of 145.15 μg/mL). The similar result was found earlier in stem and leaf extracts of Aerva lanata and Terminalia bellirica, both plant extracts showed better inhibitory concentration value compared with standard (Moteriya et al., 2017)</w:t>
      </w:r>
      <w:r w:rsidR="004A3278" w:rsidRPr="00872838">
        <w:rPr>
          <w:rFonts w:ascii="Arial" w:hAnsi="Arial" w:cs="Arial"/>
          <w:color w:val="000000"/>
          <w:sz w:val="20"/>
          <w:szCs w:val="20"/>
        </w:rPr>
        <w:t>.</w:t>
      </w:r>
    </w:p>
    <w:p w14:paraId="643B3F19" w14:textId="77777777" w:rsidR="004A3278" w:rsidRPr="00872838" w:rsidRDefault="004A3278" w:rsidP="00872838">
      <w:pPr>
        <w:pStyle w:val="BodyText"/>
        <w:tabs>
          <w:tab w:val="left" w:pos="0"/>
          <w:tab w:val="left" w:pos="567"/>
        </w:tabs>
        <w:spacing w:after="0" w:line="240" w:lineRule="auto"/>
        <w:ind w:firstLine="360"/>
        <w:jc w:val="both"/>
        <w:rPr>
          <w:rFonts w:ascii="Arial" w:hAnsi="Arial" w:cs="Arial"/>
          <w:color w:val="000000"/>
          <w:sz w:val="20"/>
          <w:szCs w:val="20"/>
        </w:rPr>
      </w:pPr>
    </w:p>
    <w:p w14:paraId="4FF07C4C" w14:textId="35677AA1" w:rsidR="004A3278" w:rsidRPr="00872838" w:rsidRDefault="002D3AAA" w:rsidP="002D3AAA">
      <w:pPr>
        <w:pStyle w:val="BodyText"/>
        <w:tabs>
          <w:tab w:val="left" w:pos="0"/>
          <w:tab w:val="left" w:pos="567"/>
        </w:tabs>
        <w:spacing w:after="0" w:line="240" w:lineRule="auto"/>
        <w:ind w:firstLine="360"/>
        <w:jc w:val="center"/>
        <w:rPr>
          <w:rFonts w:ascii="Arial" w:hAnsi="Arial" w:cs="Arial"/>
          <w:color w:val="000000"/>
          <w:sz w:val="20"/>
          <w:szCs w:val="20"/>
        </w:rPr>
      </w:pPr>
      <w:r w:rsidRPr="00872838">
        <w:rPr>
          <w:rFonts w:ascii="Arial" w:hAnsi="Arial" w:cs="Arial"/>
          <w:color w:val="000000"/>
          <w:sz w:val="20"/>
          <w:szCs w:val="20"/>
        </w:rPr>
        <w:object w:dxaOrig="8169" w:dyaOrig="5532" w14:anchorId="24802C96">
          <v:shape id="_x0000_i1029" type="#_x0000_t75" style="width:302.95pt;height:204.8pt" o:ole="">
            <v:imagedata r:id="rId15" o:title=""/>
          </v:shape>
          <o:OLEObject Type="Embed" ProgID="Prism8.Document" ShapeID="_x0000_i1029" DrawAspect="Content" ObjectID="_1824973263" r:id="rId16"/>
        </w:object>
      </w:r>
    </w:p>
    <w:p w14:paraId="1D60C55E" w14:textId="77777777" w:rsidR="00D47EA3" w:rsidRDefault="004A3278" w:rsidP="00D47EA3">
      <w:pPr>
        <w:pStyle w:val="BodyText"/>
        <w:tabs>
          <w:tab w:val="left" w:pos="0"/>
          <w:tab w:val="left" w:pos="567"/>
        </w:tabs>
        <w:spacing w:after="0" w:line="240" w:lineRule="auto"/>
        <w:jc w:val="both"/>
        <w:rPr>
          <w:rFonts w:ascii="Arial" w:hAnsi="Arial" w:cs="Arial"/>
          <w:color w:val="000000"/>
          <w:sz w:val="20"/>
          <w:szCs w:val="20"/>
        </w:rPr>
      </w:pPr>
      <w:r w:rsidRPr="00D47EA3">
        <w:rPr>
          <w:rFonts w:ascii="Arial" w:hAnsi="Arial" w:cs="Arial"/>
          <w:b/>
          <w:bCs/>
          <w:color w:val="000000"/>
          <w:sz w:val="20"/>
          <w:szCs w:val="20"/>
        </w:rPr>
        <w:t>Fig</w:t>
      </w:r>
      <w:r w:rsidR="00D47EA3" w:rsidRPr="00D47EA3">
        <w:rPr>
          <w:rFonts w:ascii="Arial" w:hAnsi="Arial" w:cs="Arial"/>
          <w:b/>
          <w:bCs/>
          <w:color w:val="000000"/>
          <w:sz w:val="20"/>
          <w:szCs w:val="20"/>
        </w:rPr>
        <w:t xml:space="preserve"> 5.</w:t>
      </w:r>
      <w:r w:rsidRPr="00D47EA3">
        <w:rPr>
          <w:rFonts w:ascii="Arial" w:hAnsi="Arial" w:cs="Arial"/>
          <w:b/>
          <w:bCs/>
          <w:color w:val="000000"/>
          <w:sz w:val="20"/>
          <w:szCs w:val="20"/>
        </w:rPr>
        <w:t xml:space="preserve"> Superoxide </w:t>
      </w:r>
      <w:bookmarkStart w:id="1" w:name="_Hlk214084113"/>
      <w:r w:rsidRPr="00D47EA3">
        <w:rPr>
          <w:rFonts w:ascii="Arial" w:hAnsi="Arial" w:cs="Arial"/>
          <w:b/>
          <w:bCs/>
          <w:color w:val="000000"/>
          <w:sz w:val="20"/>
          <w:szCs w:val="20"/>
        </w:rPr>
        <w:t xml:space="preserve">radical scavenging activity different solvent leaf extracts of </w:t>
      </w:r>
      <w:r w:rsidR="004B5372" w:rsidRPr="00D47EA3">
        <w:rPr>
          <w:rFonts w:ascii="Arial" w:hAnsi="Arial" w:cs="Arial"/>
          <w:b/>
          <w:bCs/>
          <w:i/>
          <w:iCs/>
          <w:color w:val="000000"/>
          <w:sz w:val="20"/>
          <w:szCs w:val="20"/>
        </w:rPr>
        <w:t>S. lenticellata</w:t>
      </w:r>
      <w:r w:rsidRPr="00D47EA3">
        <w:rPr>
          <w:rFonts w:ascii="Arial" w:hAnsi="Arial" w:cs="Arial"/>
          <w:b/>
          <w:bCs/>
          <w:color w:val="000000"/>
          <w:sz w:val="20"/>
          <w:szCs w:val="20"/>
        </w:rPr>
        <w:t>.</w:t>
      </w:r>
      <w:r w:rsidRPr="00872838">
        <w:rPr>
          <w:rFonts w:ascii="Arial" w:hAnsi="Arial" w:cs="Arial"/>
          <w:color w:val="000000"/>
          <w:sz w:val="20"/>
          <w:szCs w:val="20"/>
        </w:rPr>
        <w:t xml:space="preserve"> </w:t>
      </w:r>
    </w:p>
    <w:p w14:paraId="4B5B60BD" w14:textId="5478123E" w:rsidR="004A3278" w:rsidRPr="00D47EA3" w:rsidRDefault="004A3278" w:rsidP="00D47EA3">
      <w:pPr>
        <w:pStyle w:val="BodyText"/>
        <w:tabs>
          <w:tab w:val="left" w:pos="0"/>
          <w:tab w:val="left" w:pos="567"/>
        </w:tabs>
        <w:spacing w:after="0" w:line="240" w:lineRule="auto"/>
        <w:jc w:val="both"/>
        <w:rPr>
          <w:rFonts w:ascii="Arial" w:hAnsi="Arial" w:cs="Arial"/>
          <w:i/>
          <w:iCs/>
          <w:color w:val="000000"/>
          <w:sz w:val="18"/>
          <w:szCs w:val="18"/>
        </w:rPr>
      </w:pPr>
      <w:r w:rsidRPr="00D47EA3">
        <w:rPr>
          <w:rFonts w:ascii="Arial" w:hAnsi="Arial" w:cs="Arial"/>
          <w:i/>
          <w:iCs/>
          <w:color w:val="000000"/>
          <w:sz w:val="18"/>
          <w:szCs w:val="18"/>
        </w:rPr>
        <w:t xml:space="preserve">Values are presented as means ± standard deviations (n= </w:t>
      </w:r>
      <w:r w:rsidR="00E82DA2" w:rsidRPr="00D47EA3">
        <w:rPr>
          <w:rFonts w:ascii="Arial" w:hAnsi="Arial" w:cs="Arial"/>
          <w:i/>
          <w:iCs/>
          <w:color w:val="000000"/>
          <w:sz w:val="18"/>
          <w:szCs w:val="18"/>
        </w:rPr>
        <w:t>3</w:t>
      </w:r>
      <w:r w:rsidRPr="00D47EA3">
        <w:rPr>
          <w:rFonts w:ascii="Arial" w:hAnsi="Arial" w:cs="Arial"/>
          <w:i/>
          <w:iCs/>
          <w:color w:val="000000"/>
          <w:sz w:val="18"/>
          <w:szCs w:val="18"/>
        </w:rPr>
        <w:t>). Significant different among means (*P &lt; 0.05)</w:t>
      </w:r>
      <w:bookmarkEnd w:id="1"/>
    </w:p>
    <w:p w14:paraId="25B00C4B" w14:textId="1FED7ED0" w:rsidR="00DF03AD" w:rsidRPr="00D47EA3" w:rsidRDefault="00D47EA3" w:rsidP="00D47EA3">
      <w:pPr>
        <w:pStyle w:val="BodyText"/>
        <w:tabs>
          <w:tab w:val="left" w:pos="0"/>
          <w:tab w:val="left" w:pos="567"/>
        </w:tabs>
        <w:spacing w:after="0" w:line="240" w:lineRule="auto"/>
        <w:jc w:val="both"/>
        <w:rPr>
          <w:rFonts w:ascii="Arial" w:hAnsi="Arial" w:cs="Arial"/>
          <w:b/>
          <w:bCs/>
          <w:color w:val="000000"/>
          <w:sz w:val="20"/>
          <w:szCs w:val="20"/>
          <w:u w:val="single"/>
        </w:rPr>
      </w:pPr>
      <w:r w:rsidRPr="00D47EA3">
        <w:rPr>
          <w:rFonts w:ascii="Arial" w:hAnsi="Arial" w:cs="Arial"/>
          <w:b/>
          <w:bCs/>
          <w:color w:val="000000"/>
          <w:sz w:val="20"/>
          <w:szCs w:val="20"/>
          <w:u w:val="single"/>
        </w:rPr>
        <w:t>3.4.3</w:t>
      </w:r>
      <w:r>
        <w:rPr>
          <w:rFonts w:ascii="Arial" w:hAnsi="Arial" w:cs="Arial"/>
          <w:b/>
          <w:bCs/>
          <w:color w:val="000000"/>
          <w:sz w:val="20"/>
          <w:szCs w:val="20"/>
          <w:u w:val="single"/>
        </w:rPr>
        <w:t>.</w:t>
      </w:r>
      <w:r w:rsidR="00DF03AD" w:rsidRPr="00D47EA3">
        <w:rPr>
          <w:rFonts w:ascii="Arial" w:hAnsi="Arial" w:cs="Arial"/>
          <w:b/>
          <w:bCs/>
          <w:color w:val="000000"/>
          <w:sz w:val="20"/>
          <w:szCs w:val="20"/>
          <w:u w:val="single"/>
        </w:rPr>
        <w:t xml:space="preserve"> Hydroxyl radical scavenging activity </w:t>
      </w:r>
    </w:p>
    <w:p w14:paraId="6DD46ED0" w14:textId="60CC26EC" w:rsidR="00DF03AD" w:rsidRPr="00872838" w:rsidRDefault="00D47EA3" w:rsidP="00D47EA3">
      <w:pPr>
        <w:pStyle w:val="BodyText"/>
        <w:tabs>
          <w:tab w:val="left" w:pos="0"/>
        </w:tabs>
        <w:spacing w:after="0" w:line="240" w:lineRule="auto"/>
        <w:jc w:val="both"/>
        <w:rPr>
          <w:rFonts w:ascii="Arial" w:hAnsi="Arial" w:cs="Arial"/>
          <w:color w:val="000000"/>
          <w:sz w:val="20"/>
          <w:szCs w:val="20"/>
        </w:rPr>
      </w:pPr>
      <w:r>
        <w:rPr>
          <w:rFonts w:ascii="Arial" w:hAnsi="Arial" w:cs="Arial"/>
          <w:color w:val="000000"/>
          <w:sz w:val="20"/>
          <w:szCs w:val="20"/>
        </w:rPr>
        <w:tab/>
      </w:r>
      <w:r w:rsidR="00DF03AD" w:rsidRPr="00872838">
        <w:rPr>
          <w:rFonts w:ascii="Arial" w:hAnsi="Arial" w:cs="Arial"/>
          <w:color w:val="000000"/>
          <w:sz w:val="20"/>
          <w:szCs w:val="20"/>
        </w:rPr>
        <w:t xml:space="preserve">Oxygen-based molecules, especially the hydroxyl radical, are very reactive and can harm to flanking biomolecules. The radical scavenging activity was studied by generating themselves using ascorbic acid- iron EDTA along reaction with DMSO (dimethyl sulfoxide) to form formaldehyde. This method is useful for detecting hydroxyl radicals when using Nash reagent (Pavithra &amp; Vadivukkarasi, 2015). The results of present study showed potential hydroxyl radical </w:t>
      </w:r>
      <w:r w:rsidR="004E7B5C" w:rsidRPr="00872838">
        <w:rPr>
          <w:rFonts w:ascii="Arial" w:hAnsi="Arial" w:cs="Arial"/>
          <w:color w:val="000000"/>
          <w:sz w:val="20"/>
          <w:szCs w:val="20"/>
        </w:rPr>
        <w:t>scavenging</w:t>
      </w:r>
      <w:r w:rsidR="00DF03AD" w:rsidRPr="00872838">
        <w:rPr>
          <w:rFonts w:ascii="Arial" w:hAnsi="Arial" w:cs="Arial"/>
          <w:color w:val="000000"/>
          <w:sz w:val="20"/>
          <w:szCs w:val="20"/>
        </w:rPr>
        <w:t xml:space="preserve"> activity by the following order ES&gt;EAS&gt;PES</w:t>
      </w:r>
      <w:r>
        <w:rPr>
          <w:rFonts w:ascii="Arial" w:hAnsi="Arial" w:cs="Arial"/>
          <w:color w:val="000000"/>
          <w:sz w:val="20"/>
          <w:szCs w:val="20"/>
        </w:rPr>
        <w:t xml:space="preserve"> (Fig 6)</w:t>
      </w:r>
      <w:r w:rsidR="00DF03AD" w:rsidRPr="00872838">
        <w:rPr>
          <w:rFonts w:ascii="Arial" w:hAnsi="Arial" w:cs="Arial"/>
          <w:color w:val="000000"/>
          <w:sz w:val="20"/>
          <w:szCs w:val="20"/>
        </w:rPr>
        <w:t xml:space="preserve">. From the analysis of IC50 value was lower in ES 76.20 µg/ml EAS 87.03 µg/ml and PES 529.84 µg/ml, respectively. The standard ascorbic acid shows lowest scavenging activity when compared to ES and EAS. This may be attributed to the presence of higher phenol and flavonoid content present in the plant extracts. The Phenolic </w:t>
      </w:r>
      <w:r w:rsidR="004E7B5C" w:rsidRPr="00872838">
        <w:rPr>
          <w:rFonts w:ascii="Arial" w:hAnsi="Arial" w:cs="Arial"/>
          <w:color w:val="000000"/>
          <w:sz w:val="20"/>
          <w:szCs w:val="20"/>
        </w:rPr>
        <w:t>compounds</w:t>
      </w:r>
      <w:r w:rsidR="00DF03AD" w:rsidRPr="00872838">
        <w:rPr>
          <w:rFonts w:ascii="Arial" w:hAnsi="Arial" w:cs="Arial"/>
          <w:color w:val="000000"/>
          <w:sz w:val="20"/>
          <w:szCs w:val="20"/>
        </w:rPr>
        <w:t xml:space="preserve"> are primarily capture hydroxyl (OH) radicals by (HAT) transferring hydrogen atoms. The –OH group in the benzene ring is especially effective in scavenging these radicals. Solvent fractions like EAF and DMF, as well as methanol crude extracts of Calotropis procera root bark, may protect biomolecules and disrupt processes related to chronic diseases (Kyada et al., 2023).</w:t>
      </w:r>
    </w:p>
    <w:p w14:paraId="0245CAAB" w14:textId="77E0A641" w:rsidR="004A3278" w:rsidRPr="00872838" w:rsidRDefault="002D3AAA" w:rsidP="002D3AAA">
      <w:pPr>
        <w:pStyle w:val="BodyText"/>
        <w:tabs>
          <w:tab w:val="left" w:pos="0"/>
          <w:tab w:val="left" w:pos="567"/>
        </w:tabs>
        <w:spacing w:after="0" w:line="240" w:lineRule="auto"/>
        <w:ind w:firstLine="360"/>
        <w:jc w:val="center"/>
        <w:rPr>
          <w:rFonts w:ascii="Arial" w:hAnsi="Arial" w:cs="Arial"/>
          <w:color w:val="000000"/>
          <w:sz w:val="20"/>
          <w:szCs w:val="20"/>
        </w:rPr>
      </w:pPr>
      <w:r w:rsidRPr="00872838">
        <w:rPr>
          <w:rFonts w:ascii="Arial" w:hAnsi="Arial" w:cs="Arial"/>
          <w:color w:val="000000"/>
          <w:sz w:val="20"/>
          <w:szCs w:val="20"/>
        </w:rPr>
        <w:object w:dxaOrig="8774" w:dyaOrig="5719" w14:anchorId="4FAEDC49">
          <v:shape id="_x0000_i1030" type="#_x0000_t75" style="width:367.45pt;height:240pt" o:ole="">
            <v:imagedata r:id="rId17" o:title=""/>
          </v:shape>
          <o:OLEObject Type="Embed" ProgID="Prism8.Document" ShapeID="_x0000_i1030" DrawAspect="Content" ObjectID="_1824973264" r:id="rId18"/>
        </w:object>
      </w:r>
    </w:p>
    <w:p w14:paraId="2EF6C527" w14:textId="77777777" w:rsidR="00D47EA3" w:rsidRDefault="004A3278" w:rsidP="00D47EA3">
      <w:pPr>
        <w:pStyle w:val="BodyText"/>
        <w:tabs>
          <w:tab w:val="left" w:pos="0"/>
          <w:tab w:val="left" w:pos="567"/>
        </w:tabs>
        <w:spacing w:after="0" w:line="240" w:lineRule="auto"/>
        <w:jc w:val="both"/>
        <w:rPr>
          <w:rFonts w:ascii="Arial" w:hAnsi="Arial" w:cs="Arial"/>
          <w:color w:val="000000"/>
          <w:sz w:val="20"/>
          <w:szCs w:val="20"/>
        </w:rPr>
      </w:pPr>
      <w:r w:rsidRPr="00D47EA3">
        <w:rPr>
          <w:rFonts w:ascii="Arial" w:hAnsi="Arial" w:cs="Arial"/>
          <w:b/>
          <w:bCs/>
          <w:color w:val="000000"/>
          <w:sz w:val="20"/>
          <w:szCs w:val="20"/>
        </w:rPr>
        <w:t>Fig</w:t>
      </w:r>
      <w:r w:rsidR="00D47EA3" w:rsidRPr="00D47EA3">
        <w:rPr>
          <w:rFonts w:ascii="Arial" w:hAnsi="Arial" w:cs="Arial"/>
          <w:b/>
          <w:bCs/>
          <w:color w:val="000000"/>
          <w:sz w:val="20"/>
          <w:szCs w:val="20"/>
        </w:rPr>
        <w:t xml:space="preserve"> 6.</w:t>
      </w:r>
      <w:r w:rsidRPr="00D47EA3">
        <w:rPr>
          <w:rFonts w:ascii="Arial" w:hAnsi="Arial" w:cs="Arial"/>
          <w:b/>
          <w:bCs/>
          <w:color w:val="000000"/>
          <w:sz w:val="20"/>
          <w:szCs w:val="20"/>
        </w:rPr>
        <w:t xml:space="preserve"> Hydroxyl </w:t>
      </w:r>
      <w:r w:rsidR="00C3427E" w:rsidRPr="00D47EA3">
        <w:rPr>
          <w:rFonts w:ascii="Arial" w:hAnsi="Arial" w:cs="Arial"/>
          <w:b/>
          <w:bCs/>
          <w:color w:val="000000"/>
          <w:sz w:val="20"/>
          <w:szCs w:val="20"/>
        </w:rPr>
        <w:t xml:space="preserve">radical scavenging activity different solvent leaf extracts of </w:t>
      </w:r>
      <w:r w:rsidR="004B5372" w:rsidRPr="00D47EA3">
        <w:rPr>
          <w:rFonts w:ascii="Arial" w:hAnsi="Arial" w:cs="Arial"/>
          <w:b/>
          <w:bCs/>
          <w:i/>
          <w:iCs/>
          <w:color w:val="000000"/>
          <w:sz w:val="20"/>
          <w:szCs w:val="20"/>
        </w:rPr>
        <w:t>S. lenticellata</w:t>
      </w:r>
      <w:r w:rsidR="00C3427E" w:rsidRPr="00872838">
        <w:rPr>
          <w:rFonts w:ascii="Arial" w:hAnsi="Arial" w:cs="Arial"/>
          <w:color w:val="000000"/>
          <w:sz w:val="20"/>
          <w:szCs w:val="20"/>
        </w:rPr>
        <w:t xml:space="preserve">. </w:t>
      </w:r>
    </w:p>
    <w:p w14:paraId="107D685F" w14:textId="095C24A7" w:rsidR="00C3427E" w:rsidRPr="00D47EA3" w:rsidRDefault="00C3427E" w:rsidP="00D47EA3">
      <w:pPr>
        <w:pStyle w:val="BodyText"/>
        <w:tabs>
          <w:tab w:val="left" w:pos="0"/>
          <w:tab w:val="left" w:pos="567"/>
        </w:tabs>
        <w:spacing w:after="0" w:line="240" w:lineRule="auto"/>
        <w:jc w:val="both"/>
        <w:rPr>
          <w:rFonts w:ascii="Arial" w:hAnsi="Arial" w:cs="Arial"/>
          <w:i/>
          <w:iCs/>
          <w:color w:val="000000"/>
          <w:sz w:val="18"/>
          <w:szCs w:val="18"/>
        </w:rPr>
      </w:pPr>
      <w:r w:rsidRPr="00D47EA3">
        <w:rPr>
          <w:rFonts w:ascii="Arial" w:hAnsi="Arial" w:cs="Arial"/>
          <w:i/>
          <w:iCs/>
          <w:color w:val="000000"/>
          <w:sz w:val="18"/>
          <w:szCs w:val="18"/>
        </w:rPr>
        <w:lastRenderedPageBreak/>
        <w:t xml:space="preserve">Values are presented as means ± standard deviations (n= </w:t>
      </w:r>
      <w:r w:rsidR="00E82DA2" w:rsidRPr="00D47EA3">
        <w:rPr>
          <w:rFonts w:ascii="Arial" w:hAnsi="Arial" w:cs="Arial"/>
          <w:i/>
          <w:iCs/>
          <w:color w:val="000000"/>
          <w:sz w:val="18"/>
          <w:szCs w:val="18"/>
        </w:rPr>
        <w:t>3</w:t>
      </w:r>
      <w:r w:rsidRPr="00D47EA3">
        <w:rPr>
          <w:rFonts w:ascii="Arial" w:hAnsi="Arial" w:cs="Arial"/>
          <w:i/>
          <w:iCs/>
          <w:color w:val="000000"/>
          <w:sz w:val="18"/>
          <w:szCs w:val="18"/>
        </w:rPr>
        <w:t>). Significant different among means (*P &lt; 0.05)</w:t>
      </w:r>
    </w:p>
    <w:p w14:paraId="09AC0C0A" w14:textId="44647820" w:rsidR="00DF03AD" w:rsidRPr="00872838" w:rsidRDefault="00A811BE" w:rsidP="00872838">
      <w:pPr>
        <w:pStyle w:val="BodyText"/>
        <w:tabs>
          <w:tab w:val="left" w:pos="0"/>
          <w:tab w:val="left" w:pos="567"/>
        </w:tabs>
        <w:spacing w:after="0" w:line="240" w:lineRule="auto"/>
        <w:jc w:val="both"/>
        <w:rPr>
          <w:rFonts w:ascii="Arial" w:hAnsi="Arial" w:cs="Arial"/>
          <w:b/>
          <w:bCs/>
          <w:color w:val="000000"/>
        </w:rPr>
      </w:pPr>
      <w:r>
        <w:rPr>
          <w:rFonts w:ascii="Arial" w:hAnsi="Arial" w:cs="Arial"/>
          <w:b/>
          <w:bCs/>
          <w:color w:val="000000"/>
        </w:rPr>
        <w:t xml:space="preserve">4. </w:t>
      </w:r>
      <w:r w:rsidR="00DF03AD" w:rsidRPr="00872838">
        <w:rPr>
          <w:rFonts w:ascii="Arial" w:hAnsi="Arial" w:cs="Arial"/>
          <w:b/>
          <w:bCs/>
          <w:color w:val="000000"/>
        </w:rPr>
        <w:t>CONCLUSION</w:t>
      </w:r>
    </w:p>
    <w:p w14:paraId="28569375" w14:textId="30EEDCFE" w:rsidR="00DF03AD" w:rsidRDefault="00DF03AD" w:rsidP="00872838">
      <w:pPr>
        <w:pStyle w:val="BodyText"/>
        <w:tabs>
          <w:tab w:val="left" w:pos="0"/>
          <w:tab w:val="left" w:pos="567"/>
        </w:tabs>
        <w:spacing w:after="0" w:line="240" w:lineRule="auto"/>
        <w:ind w:firstLine="360"/>
        <w:jc w:val="both"/>
        <w:rPr>
          <w:rFonts w:ascii="Arial" w:hAnsi="Arial" w:cs="Arial"/>
          <w:color w:val="000000"/>
          <w:sz w:val="20"/>
          <w:szCs w:val="20"/>
        </w:rPr>
      </w:pPr>
      <w:r w:rsidRPr="00872838">
        <w:rPr>
          <w:rFonts w:ascii="Arial" w:hAnsi="Arial" w:cs="Arial"/>
          <w:color w:val="000000"/>
          <w:sz w:val="20"/>
          <w:szCs w:val="20"/>
        </w:rPr>
        <w:tab/>
        <w:t xml:space="preserve">In this study, we reported for the first time the phytochemical constituents present in the </w:t>
      </w:r>
      <w:r w:rsidR="004E7B5C" w:rsidRPr="00872838">
        <w:rPr>
          <w:rFonts w:ascii="Arial" w:hAnsi="Arial" w:cs="Arial"/>
          <w:color w:val="000000"/>
          <w:sz w:val="20"/>
          <w:szCs w:val="20"/>
        </w:rPr>
        <w:t>different</w:t>
      </w:r>
      <w:r w:rsidRPr="00872838">
        <w:rPr>
          <w:rFonts w:ascii="Arial" w:hAnsi="Arial" w:cs="Arial"/>
          <w:color w:val="000000"/>
          <w:sz w:val="20"/>
          <w:szCs w:val="20"/>
        </w:rPr>
        <w:t xml:space="preserve"> solvent leaf extract of </w:t>
      </w:r>
      <w:r w:rsidR="004B5372" w:rsidRPr="004B5372">
        <w:rPr>
          <w:rFonts w:ascii="Arial" w:hAnsi="Arial" w:cs="Arial"/>
          <w:i/>
          <w:iCs/>
          <w:color w:val="000000"/>
          <w:sz w:val="20"/>
          <w:szCs w:val="20"/>
        </w:rPr>
        <w:t>S. lenticellata</w:t>
      </w:r>
      <w:r w:rsidRPr="00872838">
        <w:rPr>
          <w:rFonts w:ascii="Arial" w:hAnsi="Arial" w:cs="Arial"/>
          <w:color w:val="000000"/>
          <w:sz w:val="20"/>
          <w:szCs w:val="20"/>
        </w:rPr>
        <w:t xml:space="preserve">. Among all the three extracts ethanol extract contains higher phenolic and flavonoid content. On the tested extracts, ethanol extract shows maximum zone of inhibition against oral bacteria S. mutans which causes dental plaque. The results of ethanolic leaf extract exhibited significant radical scavenging activity in dose dependent manner. The results </w:t>
      </w:r>
      <w:r w:rsidR="004E7B5C" w:rsidRPr="00872838">
        <w:rPr>
          <w:rFonts w:ascii="Arial" w:hAnsi="Arial" w:cs="Arial"/>
          <w:color w:val="000000"/>
          <w:sz w:val="20"/>
          <w:szCs w:val="20"/>
        </w:rPr>
        <w:t>clearly</w:t>
      </w:r>
      <w:r w:rsidRPr="00872838">
        <w:rPr>
          <w:rFonts w:ascii="Arial" w:hAnsi="Arial" w:cs="Arial"/>
          <w:color w:val="000000"/>
          <w:sz w:val="20"/>
          <w:szCs w:val="20"/>
        </w:rPr>
        <w:t xml:space="preserve"> indicates that phenolic substances present in the extracts were responsible for the potential antimicrobial and antioxidant activity. The study suggests that </w:t>
      </w:r>
      <w:r w:rsidR="004B5372" w:rsidRPr="004B5372">
        <w:rPr>
          <w:rFonts w:ascii="Arial" w:hAnsi="Arial" w:cs="Arial"/>
          <w:i/>
          <w:iCs/>
          <w:color w:val="000000"/>
          <w:sz w:val="20"/>
          <w:szCs w:val="20"/>
        </w:rPr>
        <w:t xml:space="preserve">S. lenticellata </w:t>
      </w:r>
      <w:r w:rsidRPr="00872838">
        <w:rPr>
          <w:rFonts w:ascii="Arial" w:hAnsi="Arial" w:cs="Arial"/>
          <w:color w:val="000000"/>
          <w:sz w:val="20"/>
          <w:szCs w:val="20"/>
        </w:rPr>
        <w:t xml:space="preserve">inhibits the oral pathogen that could be added as ingredient in the formulation of toothpaste. </w:t>
      </w:r>
      <w:r w:rsidR="004E7B5C" w:rsidRPr="00872838">
        <w:rPr>
          <w:rFonts w:ascii="Arial" w:hAnsi="Arial" w:cs="Arial"/>
          <w:color w:val="000000"/>
          <w:sz w:val="20"/>
          <w:szCs w:val="20"/>
        </w:rPr>
        <w:t>However</w:t>
      </w:r>
      <w:r w:rsidRPr="00872838">
        <w:rPr>
          <w:rFonts w:ascii="Arial" w:hAnsi="Arial" w:cs="Arial"/>
          <w:color w:val="000000"/>
          <w:sz w:val="20"/>
          <w:szCs w:val="20"/>
        </w:rPr>
        <w:t xml:space="preserve">, further studies are desirable to isolate a novel molecule to explore the therapeutic effects of various health issues. </w:t>
      </w:r>
    </w:p>
    <w:p w14:paraId="25581F5D" w14:textId="0A994BCF" w:rsidR="00493670" w:rsidRDefault="00493670" w:rsidP="00A811BE">
      <w:pPr>
        <w:pStyle w:val="BodyText"/>
        <w:tabs>
          <w:tab w:val="left" w:pos="0"/>
          <w:tab w:val="left" w:pos="567"/>
        </w:tabs>
        <w:spacing w:after="0" w:line="240" w:lineRule="auto"/>
        <w:jc w:val="both"/>
        <w:rPr>
          <w:rFonts w:ascii="Arial" w:hAnsi="Arial" w:cs="Arial"/>
          <w:color w:val="000000"/>
          <w:sz w:val="20"/>
          <w:szCs w:val="20"/>
        </w:rPr>
      </w:pPr>
    </w:p>
    <w:p w14:paraId="35FE046A" w14:textId="77777777" w:rsidR="00D56112" w:rsidRDefault="00D56112" w:rsidP="00A811BE">
      <w:pPr>
        <w:pStyle w:val="BodyText"/>
        <w:tabs>
          <w:tab w:val="left" w:pos="0"/>
          <w:tab w:val="left" w:pos="567"/>
        </w:tabs>
        <w:spacing w:after="0" w:line="240" w:lineRule="auto"/>
        <w:jc w:val="both"/>
        <w:rPr>
          <w:rFonts w:ascii="Arial" w:hAnsi="Arial" w:cs="Arial"/>
          <w:color w:val="000000"/>
          <w:sz w:val="20"/>
          <w:szCs w:val="20"/>
        </w:rPr>
      </w:pPr>
      <w:bookmarkStart w:id="2" w:name="_GoBack"/>
      <w:bookmarkEnd w:id="2"/>
    </w:p>
    <w:p w14:paraId="371644BE" w14:textId="77777777" w:rsidR="00493670" w:rsidRPr="00493670" w:rsidRDefault="00493670" w:rsidP="00493670">
      <w:pPr>
        <w:pStyle w:val="BodyText"/>
        <w:tabs>
          <w:tab w:val="left" w:pos="0"/>
          <w:tab w:val="left" w:pos="567"/>
        </w:tabs>
        <w:spacing w:after="0" w:line="240" w:lineRule="auto"/>
        <w:jc w:val="both"/>
        <w:rPr>
          <w:rFonts w:ascii="Arial" w:hAnsi="Arial" w:cs="Arial"/>
          <w:color w:val="000000"/>
          <w:sz w:val="20"/>
          <w:szCs w:val="20"/>
        </w:rPr>
      </w:pPr>
      <w:r w:rsidRPr="00493670">
        <w:rPr>
          <w:rFonts w:ascii="Arial" w:hAnsi="Arial" w:cs="Arial"/>
          <w:color w:val="000000"/>
          <w:sz w:val="20"/>
          <w:szCs w:val="20"/>
        </w:rPr>
        <w:t>COMPETING INTERESTS DISCLAIMER:</w:t>
      </w:r>
    </w:p>
    <w:p w14:paraId="1CC31ACC" w14:textId="6C580DAE" w:rsidR="00493670" w:rsidRDefault="00493670" w:rsidP="00493670">
      <w:pPr>
        <w:pStyle w:val="BodyText"/>
        <w:tabs>
          <w:tab w:val="left" w:pos="0"/>
          <w:tab w:val="left" w:pos="567"/>
        </w:tabs>
        <w:spacing w:after="0" w:line="240" w:lineRule="auto"/>
        <w:jc w:val="both"/>
        <w:rPr>
          <w:rFonts w:ascii="Arial" w:hAnsi="Arial" w:cs="Arial"/>
          <w:color w:val="000000"/>
          <w:sz w:val="20"/>
          <w:szCs w:val="20"/>
        </w:rPr>
      </w:pPr>
      <w:r w:rsidRPr="00493670">
        <w:rPr>
          <w:rFonts w:ascii="Arial" w:hAnsi="Arial" w:cs="Arial"/>
          <w:color w:val="000000"/>
          <w:sz w:val="20"/>
          <w:szCs w:val="20"/>
        </w:rPr>
        <w:t>Authors have declared that they have no known competing financial interests OR non-financial interests OR personal relationships that could have appeared to influence the work reported in this paper.</w:t>
      </w:r>
    </w:p>
    <w:p w14:paraId="0B779A4D" w14:textId="77777777" w:rsidR="00493670" w:rsidRPr="00872838" w:rsidRDefault="00493670" w:rsidP="00493670">
      <w:pPr>
        <w:pStyle w:val="BodyText"/>
        <w:tabs>
          <w:tab w:val="left" w:pos="0"/>
          <w:tab w:val="left" w:pos="567"/>
        </w:tabs>
        <w:spacing w:after="0" w:line="240" w:lineRule="auto"/>
        <w:jc w:val="both"/>
        <w:rPr>
          <w:rFonts w:ascii="Arial" w:hAnsi="Arial" w:cs="Arial"/>
          <w:color w:val="000000"/>
          <w:sz w:val="20"/>
          <w:szCs w:val="20"/>
        </w:rPr>
      </w:pPr>
    </w:p>
    <w:p w14:paraId="3A87E505" w14:textId="77777777" w:rsidR="00A811BE" w:rsidRDefault="00DF03AD" w:rsidP="00A811BE">
      <w:pPr>
        <w:tabs>
          <w:tab w:val="left" w:pos="0"/>
          <w:tab w:val="left" w:pos="567"/>
        </w:tabs>
        <w:autoSpaceDE w:val="0"/>
        <w:autoSpaceDN w:val="0"/>
        <w:adjustRightInd w:val="0"/>
        <w:spacing w:after="0" w:line="240" w:lineRule="auto"/>
        <w:rPr>
          <w:rFonts w:ascii="Arial" w:hAnsi="Arial" w:cs="Arial"/>
          <w:b/>
        </w:rPr>
      </w:pPr>
      <w:r w:rsidRPr="00A811BE">
        <w:rPr>
          <w:rFonts w:ascii="Arial" w:hAnsi="Arial" w:cs="Arial"/>
          <w:b/>
        </w:rPr>
        <w:t>REFERENCES</w:t>
      </w:r>
      <w:bookmarkEnd w:id="0"/>
    </w:p>
    <w:p w14:paraId="1507394C" w14:textId="29303C59" w:rsidR="00E82DA2" w:rsidRPr="00A811BE"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Albishi</w:t>
      </w:r>
      <w:proofErr w:type="spellEnd"/>
      <w:r w:rsidRPr="009872BF">
        <w:rPr>
          <w:rFonts w:ascii="Arial" w:hAnsi="Arial" w:cs="Arial"/>
          <w:sz w:val="20"/>
          <w:szCs w:val="20"/>
        </w:rPr>
        <w:t xml:space="preserve">, T., John, J. A., Al-Khalifa, A. S., &amp; Shahidi, F. (2013). Phenolic content and antioxidant activities of selected potato varieties and their processing by-products. Journal of Functional Foods, 5, 590–600. </w:t>
      </w:r>
    </w:p>
    <w:p w14:paraId="512DDD8B"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Arumugam, P., Murugan, R., Subathra, M., &amp; Ramesh, A. (2010). Superoxide radical scavenging and antibacterial activities of different fractions of ethanol extract of Mentha spicata (L.). Medicinal Chemistry Research, 19(7), 664–673. </w:t>
      </w:r>
    </w:p>
    <w:p w14:paraId="6798FB87"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Aryal, S., Baniya, M. K., Danekhu, K., Kunwar, P., Gurung, R., &amp; Koirala, N. (2019). Total Phenolic Content, Flavonoid Content and Antioxidant Potential of Wild Vegetables from Western Nepal. </w:t>
      </w:r>
      <w:r w:rsidRPr="009872BF">
        <w:rPr>
          <w:rFonts w:ascii="Arial" w:hAnsi="Arial" w:cs="Arial"/>
          <w:i/>
          <w:iCs/>
          <w:sz w:val="20"/>
          <w:szCs w:val="20"/>
        </w:rPr>
        <w:t>Plants</w:t>
      </w:r>
      <w:r w:rsidRPr="009872BF">
        <w:rPr>
          <w:rFonts w:ascii="Arial" w:hAnsi="Arial" w:cs="Arial"/>
          <w:sz w:val="20"/>
          <w:szCs w:val="20"/>
        </w:rPr>
        <w:t>, </w:t>
      </w:r>
      <w:r w:rsidRPr="009872BF">
        <w:rPr>
          <w:rFonts w:ascii="Arial" w:hAnsi="Arial" w:cs="Arial"/>
          <w:i/>
          <w:iCs/>
          <w:sz w:val="20"/>
          <w:szCs w:val="20"/>
        </w:rPr>
        <w:t>8</w:t>
      </w:r>
      <w:r w:rsidRPr="009872BF">
        <w:rPr>
          <w:rFonts w:ascii="Arial" w:hAnsi="Arial" w:cs="Arial"/>
          <w:sz w:val="20"/>
          <w:szCs w:val="20"/>
        </w:rPr>
        <w:t>(4), 96.</w:t>
      </w:r>
    </w:p>
    <w:p w14:paraId="72F668AB"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3" w:name="_Hlk214176349"/>
      <w:r w:rsidRPr="009872BF">
        <w:rPr>
          <w:rFonts w:ascii="Arial" w:hAnsi="Arial" w:cs="Arial"/>
          <w:sz w:val="20"/>
          <w:szCs w:val="20"/>
        </w:rPr>
        <w:t>Aune</w:t>
      </w:r>
      <w:bookmarkEnd w:id="3"/>
      <w:r w:rsidRPr="009872BF">
        <w:rPr>
          <w:rFonts w:ascii="Arial" w:hAnsi="Arial" w:cs="Arial"/>
          <w:sz w:val="20"/>
          <w:szCs w:val="20"/>
        </w:rPr>
        <w:t>, D. (2019). Plant foods, antioxidant biomarkers, and the risk of cardiovascular disease, cancer, and mortality: A review of the evidence. Advances in Nutrition, 10(4), 404–421. </w:t>
      </w:r>
    </w:p>
    <w:p w14:paraId="721A6746"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4" w:name="_Hlk214177175"/>
      <w:r w:rsidRPr="009872BF">
        <w:rPr>
          <w:rFonts w:ascii="Arial" w:hAnsi="Arial" w:cs="Arial"/>
          <w:sz w:val="20"/>
          <w:szCs w:val="20"/>
        </w:rPr>
        <w:t>Aware</w:t>
      </w:r>
      <w:bookmarkEnd w:id="4"/>
      <w:r w:rsidRPr="009872BF">
        <w:rPr>
          <w:rFonts w:ascii="Arial" w:hAnsi="Arial" w:cs="Arial"/>
          <w:sz w:val="20"/>
          <w:szCs w:val="20"/>
        </w:rPr>
        <w:t xml:space="preserve">, C. B., Patil, D. N., </w:t>
      </w:r>
      <w:proofErr w:type="spellStart"/>
      <w:r w:rsidRPr="009872BF">
        <w:rPr>
          <w:rFonts w:ascii="Arial" w:hAnsi="Arial" w:cs="Arial"/>
          <w:sz w:val="20"/>
          <w:szCs w:val="20"/>
        </w:rPr>
        <w:t>Suryawanshi</w:t>
      </w:r>
      <w:proofErr w:type="spellEnd"/>
      <w:r w:rsidRPr="009872BF">
        <w:rPr>
          <w:rFonts w:ascii="Arial" w:hAnsi="Arial" w:cs="Arial"/>
          <w:sz w:val="20"/>
          <w:szCs w:val="20"/>
        </w:rPr>
        <w:t>, S. S., Mali, P. R., Rane, M. R., Gurav, R. G., &amp; Jadhav, J. P. (2022). Natural bioactive products as promising therapeutics: A review of natural product-based drug development. South African Journal of Botany, 151, 512–528.</w:t>
      </w:r>
    </w:p>
    <w:p w14:paraId="79F8CBB5"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Babbar, N., Oberoi, H. S., Sandhu, S. K., &amp; Bhargav, V. K. (2014). Influence of different solvents in extraction of phenolic compounds from vegetable residues and their evaluation as natural sources of antioxidants. Journal of Food Science and Technology, 51(10), 2568–2575.</w:t>
      </w:r>
    </w:p>
    <w:p w14:paraId="58ABD284"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5" w:name="_Hlk212095920"/>
      <w:proofErr w:type="spellStart"/>
      <w:r w:rsidRPr="009872BF">
        <w:rPr>
          <w:rFonts w:ascii="Arial" w:hAnsi="Arial" w:cs="Arial"/>
          <w:sz w:val="20"/>
          <w:szCs w:val="20"/>
        </w:rPr>
        <w:t>Baliyan</w:t>
      </w:r>
      <w:proofErr w:type="spellEnd"/>
      <w:r w:rsidRPr="009872BF">
        <w:rPr>
          <w:rFonts w:ascii="Arial" w:hAnsi="Arial" w:cs="Arial"/>
          <w:sz w:val="20"/>
          <w:szCs w:val="20"/>
        </w:rPr>
        <w:t xml:space="preserve">, S., Mukherjee, R., Priyadarshini, A., Vibhuti, A., Gupta, A., Pandey, R. P., &amp; Chang, C. (2022). Determination of Antioxidants by DPPH Radical Scavenging Activity and Quantitative Phytochemical Analysis of </w:t>
      </w:r>
      <w:r w:rsidRPr="009872BF">
        <w:rPr>
          <w:rFonts w:ascii="Arial" w:hAnsi="Arial" w:cs="Arial"/>
          <w:i/>
          <w:iCs/>
          <w:sz w:val="20"/>
          <w:szCs w:val="20"/>
        </w:rPr>
        <w:t>Ficus religiosa</w:t>
      </w:r>
      <w:r w:rsidRPr="009872BF">
        <w:rPr>
          <w:rFonts w:ascii="Arial" w:hAnsi="Arial" w:cs="Arial"/>
          <w:sz w:val="20"/>
          <w:szCs w:val="20"/>
        </w:rPr>
        <w:t xml:space="preserve">. Molecules, 27(4), 1326.  </w:t>
      </w:r>
    </w:p>
    <w:bookmarkEnd w:id="5"/>
    <w:p w14:paraId="52B80438"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Belew, A. A., Hanan, G. G. M. W., Meshesha, D. S., &amp; </w:t>
      </w:r>
      <w:proofErr w:type="spellStart"/>
      <w:r w:rsidRPr="009872BF">
        <w:rPr>
          <w:rFonts w:ascii="Arial" w:hAnsi="Arial" w:cs="Arial"/>
          <w:sz w:val="20"/>
          <w:szCs w:val="20"/>
        </w:rPr>
        <w:t>Akele</w:t>
      </w:r>
      <w:proofErr w:type="spellEnd"/>
      <w:r w:rsidRPr="009872BF">
        <w:rPr>
          <w:rFonts w:ascii="Arial" w:hAnsi="Arial" w:cs="Arial"/>
          <w:sz w:val="20"/>
          <w:szCs w:val="20"/>
        </w:rPr>
        <w:t xml:space="preserve">, M. L. (2025). Evaluation of total phenolic, flavonoid contents, antioxidant and antibacterial activity of leaf extracts from Rhus vulgaris. Discover Plants., 2(1). </w:t>
      </w:r>
    </w:p>
    <w:p w14:paraId="7886B241"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Bharath, B., Pavithra, A. N., Divya, A., &amp; Perinbam, K. (2020). Chemical composition of ethanolic extracts from some seaweed species of the South Indian coastal zone, their antibacterial and membrane-stabilizing activity. Russian Journal of Marine Biology, 46(5), 370-378.</w:t>
      </w:r>
    </w:p>
    <w:p w14:paraId="6271669D"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Bharath, B., Perinbam, K., Devanesan, S., </w:t>
      </w:r>
      <w:proofErr w:type="spellStart"/>
      <w:r w:rsidRPr="009872BF">
        <w:rPr>
          <w:rFonts w:ascii="Arial" w:hAnsi="Arial" w:cs="Arial"/>
          <w:sz w:val="20"/>
          <w:szCs w:val="20"/>
        </w:rPr>
        <w:t>AlSalhi</w:t>
      </w:r>
      <w:proofErr w:type="spellEnd"/>
      <w:r w:rsidRPr="009872BF">
        <w:rPr>
          <w:rFonts w:ascii="Arial" w:hAnsi="Arial" w:cs="Arial"/>
          <w:sz w:val="20"/>
          <w:szCs w:val="20"/>
        </w:rPr>
        <w:t xml:space="preserve">, M. S., &amp; Saravanan, M. (2021). Evaluation of the anticancer potential of </w:t>
      </w:r>
      <w:proofErr w:type="spellStart"/>
      <w:r w:rsidRPr="009872BF">
        <w:rPr>
          <w:rFonts w:ascii="Arial" w:hAnsi="Arial" w:cs="Arial"/>
          <w:sz w:val="20"/>
          <w:szCs w:val="20"/>
        </w:rPr>
        <w:t>Hexadecanoic</w:t>
      </w:r>
      <w:proofErr w:type="spellEnd"/>
      <w:r w:rsidRPr="009872BF">
        <w:rPr>
          <w:rFonts w:ascii="Arial" w:hAnsi="Arial" w:cs="Arial"/>
          <w:sz w:val="20"/>
          <w:szCs w:val="20"/>
        </w:rPr>
        <w:t xml:space="preserve"> acid from brown algae </w:t>
      </w:r>
      <w:proofErr w:type="spellStart"/>
      <w:r w:rsidRPr="009872BF">
        <w:rPr>
          <w:rFonts w:ascii="Arial" w:hAnsi="Arial" w:cs="Arial"/>
          <w:i/>
          <w:iCs/>
          <w:sz w:val="20"/>
          <w:szCs w:val="20"/>
        </w:rPr>
        <w:t>Turbinaria</w:t>
      </w:r>
      <w:proofErr w:type="spellEnd"/>
      <w:r w:rsidRPr="009872BF">
        <w:rPr>
          <w:rFonts w:ascii="Arial" w:hAnsi="Arial" w:cs="Arial"/>
          <w:i/>
          <w:iCs/>
          <w:sz w:val="20"/>
          <w:szCs w:val="20"/>
        </w:rPr>
        <w:t xml:space="preserve"> </w:t>
      </w:r>
      <w:proofErr w:type="spellStart"/>
      <w:r w:rsidRPr="009872BF">
        <w:rPr>
          <w:rFonts w:ascii="Arial" w:hAnsi="Arial" w:cs="Arial"/>
          <w:i/>
          <w:iCs/>
          <w:sz w:val="20"/>
          <w:szCs w:val="20"/>
        </w:rPr>
        <w:t>ornata</w:t>
      </w:r>
      <w:proofErr w:type="spellEnd"/>
      <w:r w:rsidRPr="009872BF">
        <w:rPr>
          <w:rFonts w:ascii="Arial" w:hAnsi="Arial" w:cs="Arial"/>
          <w:sz w:val="20"/>
          <w:szCs w:val="20"/>
        </w:rPr>
        <w:t xml:space="preserve"> on HT–29 colon cancer cells. Journal of Molecular Structure, 1235, 130229.</w:t>
      </w:r>
    </w:p>
    <w:p w14:paraId="337A90BE"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Blot, S., Depuydt, P., </w:t>
      </w:r>
      <w:proofErr w:type="spellStart"/>
      <w:r w:rsidRPr="009872BF">
        <w:rPr>
          <w:rFonts w:ascii="Arial" w:hAnsi="Arial" w:cs="Arial"/>
          <w:sz w:val="20"/>
          <w:szCs w:val="20"/>
        </w:rPr>
        <w:t>Vandewoude</w:t>
      </w:r>
      <w:proofErr w:type="spellEnd"/>
      <w:r w:rsidRPr="009872BF">
        <w:rPr>
          <w:rFonts w:ascii="Arial" w:hAnsi="Arial" w:cs="Arial"/>
          <w:sz w:val="20"/>
          <w:szCs w:val="20"/>
        </w:rPr>
        <w:t>, K., &amp; De Bacquer, D. (2007). Measuring the impact of multidrug resistance in nosocomial infection. Current Opinion in Infectious Diseases, 20(4), 391–396.</w:t>
      </w:r>
    </w:p>
    <w:p w14:paraId="000F9E99" w14:textId="77777777" w:rsidR="00E82DA2" w:rsidRPr="009872BF" w:rsidRDefault="00E82DA2" w:rsidP="00A811BE">
      <w:pPr>
        <w:pStyle w:val="ListParagraph"/>
        <w:numPr>
          <w:ilvl w:val="0"/>
          <w:numId w:val="36"/>
        </w:numPr>
        <w:tabs>
          <w:tab w:val="left" w:pos="0"/>
          <w:tab w:val="left" w:pos="567"/>
        </w:tabs>
        <w:autoSpaceDE w:val="0"/>
        <w:autoSpaceDN w:val="0"/>
        <w:adjustRightInd w:val="0"/>
        <w:spacing w:after="0" w:line="240" w:lineRule="auto"/>
        <w:ind w:left="0"/>
        <w:jc w:val="both"/>
        <w:rPr>
          <w:rFonts w:ascii="Arial" w:eastAsia="E-BZ" w:hAnsi="Arial" w:cs="Arial"/>
          <w:sz w:val="20"/>
          <w:szCs w:val="20"/>
        </w:rPr>
      </w:pPr>
      <w:r w:rsidRPr="009872BF">
        <w:rPr>
          <w:rFonts w:ascii="Arial" w:hAnsi="Arial" w:cs="Arial"/>
          <w:sz w:val="20"/>
          <w:szCs w:val="20"/>
        </w:rPr>
        <w:t xml:space="preserve">Chavan, S. D., Shetty, N. L., &amp; Kanuri, M. (2010). Comparative evaluation of garlic extract mouthwash and chlorhexidine mouthwash on salivary Streptococcus mutans count - an </w:t>
      </w:r>
      <w:r w:rsidRPr="009872BF">
        <w:rPr>
          <w:rFonts w:ascii="Arial" w:hAnsi="Arial" w:cs="Arial"/>
          <w:i/>
          <w:iCs/>
          <w:sz w:val="20"/>
          <w:szCs w:val="20"/>
        </w:rPr>
        <w:t>in vitro</w:t>
      </w:r>
      <w:r w:rsidRPr="009872BF">
        <w:rPr>
          <w:rFonts w:ascii="Arial" w:hAnsi="Arial" w:cs="Arial"/>
          <w:sz w:val="20"/>
          <w:szCs w:val="20"/>
        </w:rPr>
        <w:t xml:space="preserve"> study. PubMed, 8(4), 369–374.</w:t>
      </w:r>
    </w:p>
    <w:p w14:paraId="7243F153" w14:textId="77777777" w:rsidR="00E82DA2" w:rsidRPr="009872BF" w:rsidRDefault="00E82DA2" w:rsidP="00A811BE">
      <w:pPr>
        <w:pStyle w:val="ListParagraph"/>
        <w:numPr>
          <w:ilvl w:val="0"/>
          <w:numId w:val="36"/>
        </w:numPr>
        <w:tabs>
          <w:tab w:val="left" w:pos="0"/>
          <w:tab w:val="left" w:pos="567"/>
        </w:tabs>
        <w:autoSpaceDE w:val="0"/>
        <w:autoSpaceDN w:val="0"/>
        <w:adjustRightInd w:val="0"/>
        <w:spacing w:after="0" w:line="240" w:lineRule="auto"/>
        <w:ind w:left="0"/>
        <w:jc w:val="both"/>
        <w:rPr>
          <w:rFonts w:ascii="Arial" w:eastAsia="E-BZ" w:hAnsi="Arial" w:cs="Arial"/>
          <w:sz w:val="20"/>
          <w:szCs w:val="20"/>
        </w:rPr>
      </w:pPr>
      <w:proofErr w:type="spellStart"/>
      <w:r w:rsidRPr="009872BF">
        <w:rPr>
          <w:rFonts w:ascii="Arial" w:eastAsia="E-BZ" w:hAnsi="Arial" w:cs="Arial"/>
          <w:sz w:val="20"/>
          <w:szCs w:val="20"/>
        </w:rPr>
        <w:lastRenderedPageBreak/>
        <w:t>Eleazu</w:t>
      </w:r>
      <w:proofErr w:type="spellEnd"/>
      <w:r w:rsidRPr="009872BF">
        <w:rPr>
          <w:rFonts w:ascii="Arial" w:eastAsia="E-BZ" w:hAnsi="Arial" w:cs="Arial"/>
          <w:sz w:val="20"/>
          <w:szCs w:val="20"/>
        </w:rPr>
        <w:t xml:space="preserve">, C. O., </w:t>
      </w:r>
      <w:proofErr w:type="spellStart"/>
      <w:r w:rsidRPr="009872BF">
        <w:rPr>
          <w:rFonts w:ascii="Arial" w:eastAsia="E-BZ" w:hAnsi="Arial" w:cs="Arial"/>
          <w:sz w:val="20"/>
          <w:szCs w:val="20"/>
        </w:rPr>
        <w:t>Eleazu</w:t>
      </w:r>
      <w:proofErr w:type="spellEnd"/>
      <w:r w:rsidRPr="009872BF">
        <w:rPr>
          <w:rFonts w:ascii="Arial" w:eastAsia="E-BZ" w:hAnsi="Arial" w:cs="Arial"/>
          <w:sz w:val="20"/>
          <w:szCs w:val="20"/>
        </w:rPr>
        <w:t xml:space="preserve">, K. C., Awa, E., &amp; Chukwuma. S.C. (2012). Comparative study of the phytochemical composition of the leaves of five Nigerian medicinal plants. </w:t>
      </w:r>
      <w:r w:rsidRPr="009872BF">
        <w:rPr>
          <w:rFonts w:ascii="Arial" w:eastAsia="E-BX" w:hAnsi="Arial" w:cs="Arial"/>
          <w:iCs/>
          <w:sz w:val="20"/>
          <w:szCs w:val="20"/>
        </w:rPr>
        <w:t>Journal of Biotechnology and Pharmaceutical Research,</w:t>
      </w:r>
      <w:r w:rsidRPr="009872BF">
        <w:rPr>
          <w:rFonts w:ascii="Arial" w:eastAsia="E-BX" w:hAnsi="Arial" w:cs="Arial"/>
          <w:sz w:val="20"/>
          <w:szCs w:val="20"/>
        </w:rPr>
        <w:t xml:space="preserve"> </w:t>
      </w:r>
      <w:r w:rsidRPr="009872BF">
        <w:rPr>
          <w:rFonts w:ascii="Arial" w:eastAsia="E-HZ" w:hAnsi="Arial" w:cs="Arial"/>
          <w:bCs/>
          <w:sz w:val="20"/>
          <w:szCs w:val="20"/>
        </w:rPr>
        <w:t>3,</w:t>
      </w:r>
      <w:r w:rsidRPr="009872BF">
        <w:rPr>
          <w:rFonts w:ascii="Arial" w:eastAsia="E-BZ" w:hAnsi="Arial" w:cs="Arial"/>
          <w:sz w:val="20"/>
          <w:szCs w:val="20"/>
        </w:rPr>
        <w:t xml:space="preserve"> 42</w:t>
      </w:r>
      <w:r w:rsidRPr="009872BF">
        <w:rPr>
          <w:rFonts w:ascii="Arial" w:hAnsi="Arial" w:cs="Arial"/>
          <w:sz w:val="20"/>
          <w:szCs w:val="20"/>
        </w:rPr>
        <w:t>–</w:t>
      </w:r>
      <w:r w:rsidRPr="009872BF">
        <w:rPr>
          <w:rFonts w:ascii="Arial" w:eastAsia="E-BZ" w:hAnsi="Arial" w:cs="Arial"/>
          <w:sz w:val="20"/>
          <w:szCs w:val="20"/>
        </w:rPr>
        <w:t xml:space="preserve">46. </w:t>
      </w:r>
    </w:p>
    <w:p w14:paraId="338E01A1" w14:textId="77777777" w:rsidR="00E82DA2" w:rsidRPr="009872BF" w:rsidRDefault="00E82DA2" w:rsidP="00A811BE">
      <w:pPr>
        <w:pStyle w:val="ListParagraph"/>
        <w:numPr>
          <w:ilvl w:val="0"/>
          <w:numId w:val="36"/>
        </w:numPr>
        <w:tabs>
          <w:tab w:val="left" w:pos="0"/>
          <w:tab w:val="left" w:pos="567"/>
        </w:tabs>
        <w:autoSpaceDE w:val="0"/>
        <w:autoSpaceDN w:val="0"/>
        <w:adjustRightInd w:val="0"/>
        <w:spacing w:after="0" w:line="240" w:lineRule="auto"/>
        <w:ind w:left="0"/>
        <w:jc w:val="both"/>
        <w:rPr>
          <w:rFonts w:ascii="Arial" w:hAnsi="Arial" w:cs="Arial"/>
          <w:sz w:val="20"/>
          <w:szCs w:val="20"/>
        </w:rPr>
      </w:pPr>
      <w:r w:rsidRPr="009872BF">
        <w:rPr>
          <w:rFonts w:ascii="Arial" w:hAnsi="Arial" w:cs="Arial"/>
          <w:sz w:val="20"/>
          <w:szCs w:val="20"/>
        </w:rPr>
        <w:t xml:space="preserve">Esmaeili, A. K., Taha, R. M., Mohajer, S., &amp; </w:t>
      </w:r>
      <w:proofErr w:type="spellStart"/>
      <w:r w:rsidRPr="009872BF">
        <w:rPr>
          <w:rFonts w:ascii="Arial" w:hAnsi="Arial" w:cs="Arial"/>
          <w:sz w:val="20"/>
          <w:szCs w:val="20"/>
        </w:rPr>
        <w:t>Banisalam</w:t>
      </w:r>
      <w:proofErr w:type="spellEnd"/>
      <w:r w:rsidRPr="009872BF">
        <w:rPr>
          <w:rFonts w:ascii="Arial" w:hAnsi="Arial" w:cs="Arial"/>
          <w:sz w:val="20"/>
          <w:szCs w:val="20"/>
        </w:rPr>
        <w:t xml:space="preserve">, B. (2015b). Antioxidant activity and total phenolic and flavonoid content of various solvent extracts from </w:t>
      </w:r>
      <w:r w:rsidRPr="009872BF">
        <w:rPr>
          <w:rFonts w:ascii="Arial" w:hAnsi="Arial" w:cs="Arial"/>
          <w:i/>
          <w:iCs/>
          <w:sz w:val="20"/>
          <w:szCs w:val="20"/>
        </w:rPr>
        <w:t>In Vivo</w:t>
      </w:r>
      <w:r w:rsidRPr="009872BF">
        <w:rPr>
          <w:rFonts w:ascii="Arial" w:hAnsi="Arial" w:cs="Arial"/>
          <w:sz w:val="20"/>
          <w:szCs w:val="20"/>
        </w:rPr>
        <w:t xml:space="preserve"> and </w:t>
      </w:r>
      <w:r w:rsidRPr="009872BF">
        <w:rPr>
          <w:rFonts w:ascii="Arial" w:hAnsi="Arial" w:cs="Arial"/>
          <w:i/>
          <w:iCs/>
          <w:sz w:val="20"/>
          <w:szCs w:val="20"/>
        </w:rPr>
        <w:t>In Vitro</w:t>
      </w:r>
      <w:r w:rsidRPr="009872BF">
        <w:rPr>
          <w:rFonts w:ascii="Arial" w:hAnsi="Arial" w:cs="Arial"/>
          <w:sz w:val="20"/>
          <w:szCs w:val="20"/>
        </w:rPr>
        <w:t xml:space="preserve"> Grown </w:t>
      </w:r>
      <w:r w:rsidRPr="009872BF">
        <w:rPr>
          <w:rFonts w:ascii="Arial" w:hAnsi="Arial" w:cs="Arial"/>
          <w:i/>
          <w:iCs/>
          <w:sz w:val="20"/>
          <w:szCs w:val="20"/>
        </w:rPr>
        <w:t>Trifolium pratense</w:t>
      </w:r>
      <w:r w:rsidRPr="009872BF">
        <w:rPr>
          <w:rFonts w:ascii="Arial" w:hAnsi="Arial" w:cs="Arial"/>
          <w:sz w:val="20"/>
          <w:szCs w:val="20"/>
        </w:rPr>
        <w:t xml:space="preserve"> L. (Red Clover). BioMed Research International, 2015, 1–11.</w:t>
      </w:r>
    </w:p>
    <w:p w14:paraId="69E14425" w14:textId="77777777" w:rsidR="00E82DA2" w:rsidRPr="009872BF" w:rsidRDefault="00E82DA2" w:rsidP="00A811BE">
      <w:pPr>
        <w:pStyle w:val="ListParagraph"/>
        <w:numPr>
          <w:ilvl w:val="0"/>
          <w:numId w:val="36"/>
        </w:numPr>
        <w:tabs>
          <w:tab w:val="left" w:pos="0"/>
          <w:tab w:val="left" w:pos="567"/>
        </w:tabs>
        <w:autoSpaceDE w:val="0"/>
        <w:autoSpaceDN w:val="0"/>
        <w:adjustRightInd w:val="0"/>
        <w:spacing w:after="0" w:line="240" w:lineRule="auto"/>
        <w:ind w:left="0"/>
        <w:jc w:val="both"/>
        <w:rPr>
          <w:rFonts w:ascii="Arial" w:hAnsi="Arial" w:cs="Arial"/>
          <w:sz w:val="20"/>
          <w:szCs w:val="20"/>
        </w:rPr>
      </w:pPr>
      <w:bookmarkStart w:id="6" w:name="_Hlk212187235"/>
      <w:r w:rsidRPr="009872BF">
        <w:rPr>
          <w:rFonts w:ascii="Arial" w:hAnsi="Arial" w:cs="Arial"/>
          <w:sz w:val="20"/>
          <w:szCs w:val="20"/>
        </w:rPr>
        <w:t xml:space="preserve">Gamble, J.S. (1936). The Flora of the Presidency of Madras. Vols. </w:t>
      </w:r>
      <w:r w:rsidRPr="009872BF">
        <w:rPr>
          <w:rFonts w:ascii="Arial" w:hAnsi="Arial" w:cs="Arial"/>
          <w:i/>
          <w:sz w:val="20"/>
          <w:szCs w:val="20"/>
        </w:rPr>
        <w:t>Botanical survey of India,</w:t>
      </w:r>
      <w:r w:rsidRPr="009872BF">
        <w:rPr>
          <w:rFonts w:ascii="Arial" w:hAnsi="Arial" w:cs="Arial"/>
          <w:sz w:val="20"/>
          <w:szCs w:val="20"/>
        </w:rPr>
        <w:t xml:space="preserve"> Calcutta, India.p.1389.</w:t>
      </w:r>
    </w:p>
    <w:p w14:paraId="0200244D"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7" w:name="_Hlk212032512"/>
      <w:r w:rsidRPr="009872BF">
        <w:rPr>
          <w:rFonts w:ascii="Arial" w:hAnsi="Arial" w:cs="Arial"/>
          <w:sz w:val="20"/>
          <w:szCs w:val="20"/>
        </w:rPr>
        <w:t xml:space="preserve">Hatami, T., Emami, S. A., </w:t>
      </w:r>
      <w:proofErr w:type="spellStart"/>
      <w:r w:rsidRPr="009872BF">
        <w:rPr>
          <w:rFonts w:ascii="Arial" w:hAnsi="Arial" w:cs="Arial"/>
          <w:sz w:val="20"/>
          <w:szCs w:val="20"/>
        </w:rPr>
        <w:t>Miraghaee</w:t>
      </w:r>
      <w:proofErr w:type="spellEnd"/>
      <w:r w:rsidRPr="009872BF">
        <w:rPr>
          <w:rFonts w:ascii="Arial" w:hAnsi="Arial" w:cs="Arial"/>
          <w:sz w:val="20"/>
          <w:szCs w:val="20"/>
        </w:rPr>
        <w:t xml:space="preserve">, S. S., &amp; </w:t>
      </w:r>
      <w:proofErr w:type="spellStart"/>
      <w:r w:rsidRPr="009872BF">
        <w:rPr>
          <w:rFonts w:ascii="Arial" w:hAnsi="Arial" w:cs="Arial"/>
          <w:sz w:val="20"/>
          <w:szCs w:val="20"/>
        </w:rPr>
        <w:t>Mojarrab</w:t>
      </w:r>
      <w:proofErr w:type="spellEnd"/>
      <w:r w:rsidRPr="009872BF">
        <w:rPr>
          <w:rFonts w:ascii="Arial" w:hAnsi="Arial" w:cs="Arial"/>
          <w:sz w:val="20"/>
          <w:szCs w:val="20"/>
        </w:rPr>
        <w:t xml:space="preserve">, M. (2014). Total Phenolic Contents and Antioxidant Activities of Different Extracts and Fractions from the Aerial Parts of </w:t>
      </w:r>
      <w:r w:rsidRPr="009872BF">
        <w:rPr>
          <w:rFonts w:ascii="Arial" w:hAnsi="Arial" w:cs="Arial"/>
          <w:i/>
          <w:iCs/>
          <w:sz w:val="20"/>
          <w:szCs w:val="20"/>
        </w:rPr>
        <w:t xml:space="preserve">Artemisia </w:t>
      </w:r>
      <w:proofErr w:type="spellStart"/>
      <w:r w:rsidRPr="009872BF">
        <w:rPr>
          <w:rFonts w:ascii="Arial" w:hAnsi="Arial" w:cs="Arial"/>
          <w:i/>
          <w:iCs/>
          <w:sz w:val="20"/>
          <w:szCs w:val="20"/>
        </w:rPr>
        <w:t>biennis</w:t>
      </w:r>
      <w:proofErr w:type="spellEnd"/>
      <w:r w:rsidRPr="009872BF">
        <w:rPr>
          <w:rFonts w:ascii="Arial" w:hAnsi="Arial" w:cs="Arial"/>
          <w:sz w:val="20"/>
          <w:szCs w:val="20"/>
        </w:rPr>
        <w:t xml:space="preserve"> </w:t>
      </w:r>
      <w:proofErr w:type="spellStart"/>
      <w:r w:rsidRPr="009872BF">
        <w:rPr>
          <w:rFonts w:ascii="Arial" w:hAnsi="Arial" w:cs="Arial"/>
          <w:sz w:val="20"/>
          <w:szCs w:val="20"/>
        </w:rPr>
        <w:t>Willd</w:t>
      </w:r>
      <w:proofErr w:type="spellEnd"/>
      <w:r w:rsidRPr="009872BF">
        <w:rPr>
          <w:rFonts w:ascii="Arial" w:hAnsi="Arial" w:cs="Arial"/>
          <w:sz w:val="20"/>
          <w:szCs w:val="20"/>
        </w:rPr>
        <w:t>. Iranian Journal of Pharmaceutical Sciences, 13(2), 551–559.</w:t>
      </w:r>
      <w:bookmarkEnd w:id="7"/>
    </w:p>
    <w:bookmarkEnd w:id="6"/>
    <w:p w14:paraId="5A7D3DD1"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Jain, I., Jain, P., Bisht, D., Sharma, A., Srivastava, B., &amp; Gupta, N. (2015). Comparative Evaluation of Antibacterial Efficacy of Six Indian Plant Extracts against Streptococcus Mutans. Journal of Clinical and Diagnostic Research, 9(2), ZC50-3 </w:t>
      </w:r>
    </w:p>
    <w:p w14:paraId="11B95C57"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Jeyaseelan, E. C., </w:t>
      </w:r>
      <w:proofErr w:type="spellStart"/>
      <w:r w:rsidRPr="009872BF">
        <w:rPr>
          <w:rFonts w:ascii="Arial" w:hAnsi="Arial" w:cs="Arial"/>
          <w:sz w:val="20"/>
          <w:szCs w:val="20"/>
        </w:rPr>
        <w:t>Jenothiny</w:t>
      </w:r>
      <w:proofErr w:type="spellEnd"/>
      <w:r w:rsidRPr="009872BF">
        <w:rPr>
          <w:rFonts w:ascii="Arial" w:hAnsi="Arial" w:cs="Arial"/>
          <w:sz w:val="20"/>
          <w:szCs w:val="20"/>
        </w:rPr>
        <w:t xml:space="preserve">, S., </w:t>
      </w:r>
      <w:proofErr w:type="spellStart"/>
      <w:r w:rsidRPr="009872BF">
        <w:rPr>
          <w:rFonts w:ascii="Arial" w:hAnsi="Arial" w:cs="Arial"/>
          <w:sz w:val="20"/>
          <w:szCs w:val="20"/>
        </w:rPr>
        <w:t>Pathmanathan</w:t>
      </w:r>
      <w:proofErr w:type="spellEnd"/>
      <w:r w:rsidRPr="009872BF">
        <w:rPr>
          <w:rFonts w:ascii="Arial" w:hAnsi="Arial" w:cs="Arial"/>
          <w:sz w:val="20"/>
          <w:szCs w:val="20"/>
        </w:rPr>
        <w:t xml:space="preserve">, M., &amp; Jeyadevan, J. (2012). Antibacterial activity of sequentially extracted organic solvent extracts of fruits, flowers and leaves of </w:t>
      </w:r>
      <w:proofErr w:type="spellStart"/>
      <w:r w:rsidRPr="009872BF">
        <w:rPr>
          <w:rFonts w:ascii="Arial" w:hAnsi="Arial" w:cs="Arial"/>
          <w:i/>
          <w:iCs/>
          <w:sz w:val="20"/>
          <w:szCs w:val="20"/>
        </w:rPr>
        <w:t>Lawsonia</w:t>
      </w:r>
      <w:proofErr w:type="spellEnd"/>
      <w:r w:rsidRPr="009872BF">
        <w:rPr>
          <w:rFonts w:ascii="Arial" w:hAnsi="Arial" w:cs="Arial"/>
          <w:i/>
          <w:iCs/>
          <w:sz w:val="20"/>
          <w:szCs w:val="20"/>
        </w:rPr>
        <w:t xml:space="preserve"> </w:t>
      </w:r>
      <w:proofErr w:type="spellStart"/>
      <w:r w:rsidRPr="009872BF">
        <w:rPr>
          <w:rFonts w:ascii="Arial" w:hAnsi="Arial" w:cs="Arial"/>
          <w:i/>
          <w:iCs/>
          <w:sz w:val="20"/>
          <w:szCs w:val="20"/>
        </w:rPr>
        <w:t>inermis</w:t>
      </w:r>
      <w:proofErr w:type="spellEnd"/>
      <w:r w:rsidRPr="009872BF">
        <w:rPr>
          <w:rFonts w:ascii="Arial" w:hAnsi="Arial" w:cs="Arial"/>
          <w:sz w:val="20"/>
          <w:szCs w:val="20"/>
        </w:rPr>
        <w:t xml:space="preserve"> L. from Jaffna. Asian Pacific Journal of Tropical Biomedicine, 2(10), 798–802. </w:t>
      </w:r>
    </w:p>
    <w:p w14:paraId="0F181ED2"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Kanwal, S., Perveen, S., Hameed, H., Tahir, S., Rashid, R., Raish, M., Bashir, S., Zaffar, K., Irfan, A., </w:t>
      </w:r>
      <w:proofErr w:type="spellStart"/>
      <w:r w:rsidRPr="009872BF">
        <w:rPr>
          <w:rFonts w:ascii="Arial" w:hAnsi="Arial" w:cs="Arial"/>
          <w:sz w:val="20"/>
          <w:szCs w:val="20"/>
        </w:rPr>
        <w:t>Kotwica-Mojzych</w:t>
      </w:r>
      <w:proofErr w:type="spellEnd"/>
      <w:r w:rsidRPr="009872BF">
        <w:rPr>
          <w:rFonts w:ascii="Arial" w:hAnsi="Arial" w:cs="Arial"/>
          <w:sz w:val="20"/>
          <w:szCs w:val="20"/>
        </w:rPr>
        <w:t xml:space="preserve">, K., Faheem, S., Ahmad, A., Kashif, M., &amp; Jardan, Y. B. (2025). Evaluating the efficacy of </w:t>
      </w:r>
      <w:r w:rsidRPr="009872BF">
        <w:rPr>
          <w:rFonts w:ascii="Arial" w:hAnsi="Arial" w:cs="Arial"/>
          <w:i/>
          <w:iCs/>
          <w:sz w:val="20"/>
          <w:szCs w:val="20"/>
        </w:rPr>
        <w:t xml:space="preserve">Chenopodium </w:t>
      </w:r>
      <w:proofErr w:type="spellStart"/>
      <w:r w:rsidRPr="009872BF">
        <w:rPr>
          <w:rFonts w:ascii="Arial" w:hAnsi="Arial" w:cs="Arial"/>
          <w:i/>
          <w:iCs/>
          <w:sz w:val="20"/>
          <w:szCs w:val="20"/>
        </w:rPr>
        <w:t>murale</w:t>
      </w:r>
      <w:proofErr w:type="spellEnd"/>
      <w:r w:rsidRPr="009872BF">
        <w:rPr>
          <w:rFonts w:ascii="Arial" w:hAnsi="Arial" w:cs="Arial"/>
          <w:sz w:val="20"/>
          <w:szCs w:val="20"/>
        </w:rPr>
        <w:t xml:space="preserve"> plant extract in inhibiting </w:t>
      </w:r>
      <w:r w:rsidRPr="009872BF">
        <w:rPr>
          <w:rFonts w:ascii="Arial" w:hAnsi="Arial" w:cs="Arial"/>
          <w:i/>
          <w:iCs/>
          <w:sz w:val="20"/>
          <w:szCs w:val="20"/>
        </w:rPr>
        <w:t>Streptococcus mutans</w:t>
      </w:r>
      <w:r w:rsidRPr="009872BF">
        <w:rPr>
          <w:rFonts w:ascii="Arial" w:hAnsi="Arial" w:cs="Arial"/>
          <w:sz w:val="20"/>
          <w:szCs w:val="20"/>
        </w:rPr>
        <w:t xml:space="preserve"> and reducing dental caries risk. Scientific Reports, 15(1). </w:t>
      </w:r>
    </w:p>
    <w:p w14:paraId="2B630E05"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Kundishora</w:t>
      </w:r>
      <w:proofErr w:type="spellEnd"/>
      <w:r w:rsidRPr="009872BF">
        <w:rPr>
          <w:rFonts w:ascii="Arial" w:hAnsi="Arial" w:cs="Arial"/>
          <w:sz w:val="20"/>
          <w:szCs w:val="20"/>
        </w:rPr>
        <w:t xml:space="preserve">, A., Sithole, S., &amp; </w:t>
      </w:r>
      <w:proofErr w:type="spellStart"/>
      <w:r w:rsidRPr="009872BF">
        <w:rPr>
          <w:rFonts w:ascii="Arial" w:hAnsi="Arial" w:cs="Arial"/>
          <w:sz w:val="20"/>
          <w:szCs w:val="20"/>
        </w:rPr>
        <w:t>Mukanganyama</w:t>
      </w:r>
      <w:proofErr w:type="spellEnd"/>
      <w:r w:rsidRPr="009872BF">
        <w:rPr>
          <w:rFonts w:ascii="Arial" w:hAnsi="Arial" w:cs="Arial"/>
          <w:sz w:val="20"/>
          <w:szCs w:val="20"/>
        </w:rPr>
        <w:t xml:space="preserve">, S. (2020). Determination of the Cytotoxic Effect of Different Leaf Extracts from </w:t>
      </w:r>
      <w:proofErr w:type="spellStart"/>
      <w:r w:rsidRPr="009872BF">
        <w:rPr>
          <w:rFonts w:ascii="Arial" w:hAnsi="Arial" w:cs="Arial"/>
          <w:sz w:val="20"/>
          <w:szCs w:val="20"/>
        </w:rPr>
        <w:t>Parinari</w:t>
      </w:r>
      <w:proofErr w:type="spellEnd"/>
      <w:r w:rsidRPr="009872BF">
        <w:rPr>
          <w:rFonts w:ascii="Arial" w:hAnsi="Arial" w:cs="Arial"/>
          <w:sz w:val="20"/>
          <w:szCs w:val="20"/>
        </w:rPr>
        <w:t xml:space="preserve"> </w:t>
      </w:r>
      <w:proofErr w:type="spellStart"/>
      <w:r w:rsidRPr="009872BF">
        <w:rPr>
          <w:rFonts w:ascii="Arial" w:hAnsi="Arial" w:cs="Arial"/>
          <w:sz w:val="20"/>
          <w:szCs w:val="20"/>
        </w:rPr>
        <w:t>curatellifolia</w:t>
      </w:r>
      <w:proofErr w:type="spellEnd"/>
      <w:r w:rsidRPr="009872BF">
        <w:rPr>
          <w:rFonts w:ascii="Arial" w:hAnsi="Arial" w:cs="Arial"/>
          <w:sz w:val="20"/>
          <w:szCs w:val="20"/>
        </w:rPr>
        <w:t xml:space="preserve"> (</w:t>
      </w:r>
      <w:proofErr w:type="spellStart"/>
      <w:r w:rsidRPr="009872BF">
        <w:rPr>
          <w:rFonts w:ascii="Arial" w:hAnsi="Arial" w:cs="Arial"/>
          <w:sz w:val="20"/>
          <w:szCs w:val="20"/>
        </w:rPr>
        <w:t>Chrysobalanaceae</w:t>
      </w:r>
      <w:proofErr w:type="spellEnd"/>
      <w:r w:rsidRPr="009872BF">
        <w:rPr>
          <w:rFonts w:ascii="Arial" w:hAnsi="Arial" w:cs="Arial"/>
          <w:sz w:val="20"/>
          <w:szCs w:val="20"/>
        </w:rPr>
        <w:t>). Journal of Toxicology, 2020, 1–11.</w:t>
      </w:r>
    </w:p>
    <w:p w14:paraId="121DA458"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Kyada, A., Rahamathulla, M., Santani, D., Vadia, N., </w:t>
      </w:r>
      <w:proofErr w:type="spellStart"/>
      <w:r w:rsidRPr="009872BF">
        <w:rPr>
          <w:rFonts w:ascii="Arial" w:hAnsi="Arial" w:cs="Arial"/>
          <w:sz w:val="20"/>
          <w:szCs w:val="20"/>
        </w:rPr>
        <w:t>Baldaniya</w:t>
      </w:r>
      <w:proofErr w:type="spellEnd"/>
      <w:r w:rsidRPr="009872BF">
        <w:rPr>
          <w:rFonts w:ascii="Arial" w:hAnsi="Arial" w:cs="Arial"/>
          <w:sz w:val="20"/>
          <w:szCs w:val="20"/>
        </w:rPr>
        <w:t xml:space="preserve">, L., Rana, M., Ahmed, M. M., Farhana, S. A., &amp; Pasha, I. (2023). Phytochemical Analysis, In Vitro Free Radical Scavenging, and LDL Protective Effects of Different Solvent Fractions of </w:t>
      </w:r>
      <w:r w:rsidRPr="009872BF">
        <w:rPr>
          <w:rFonts w:ascii="Arial" w:hAnsi="Arial" w:cs="Arial"/>
          <w:i/>
          <w:iCs/>
          <w:sz w:val="20"/>
          <w:szCs w:val="20"/>
        </w:rPr>
        <w:t xml:space="preserve">Calotropis </w:t>
      </w:r>
      <w:proofErr w:type="spellStart"/>
      <w:r w:rsidRPr="009872BF">
        <w:rPr>
          <w:rFonts w:ascii="Arial" w:hAnsi="Arial" w:cs="Arial"/>
          <w:i/>
          <w:iCs/>
          <w:sz w:val="20"/>
          <w:szCs w:val="20"/>
        </w:rPr>
        <w:t>procera</w:t>
      </w:r>
      <w:proofErr w:type="spellEnd"/>
      <w:r w:rsidRPr="009872BF">
        <w:rPr>
          <w:rFonts w:ascii="Arial" w:hAnsi="Arial" w:cs="Arial"/>
          <w:sz w:val="20"/>
          <w:szCs w:val="20"/>
        </w:rPr>
        <w:t xml:space="preserve"> (R.) Br. Root Bark Extract. Journal of Food Biochemistry, 2023, 1–19.</w:t>
      </w:r>
    </w:p>
    <w:p w14:paraId="1636853C" w14:textId="77777777" w:rsidR="00E82DA2" w:rsidRPr="009872BF" w:rsidRDefault="00E82DA2" w:rsidP="00A811BE">
      <w:pPr>
        <w:pStyle w:val="ListParagraph"/>
        <w:numPr>
          <w:ilvl w:val="0"/>
          <w:numId w:val="36"/>
        </w:numPr>
        <w:tabs>
          <w:tab w:val="left" w:pos="567"/>
        </w:tabs>
        <w:spacing w:after="0" w:line="240" w:lineRule="auto"/>
        <w:ind w:left="0"/>
        <w:jc w:val="both"/>
        <w:rPr>
          <w:rFonts w:ascii="Arial" w:hAnsi="Arial" w:cs="Arial"/>
          <w:sz w:val="20"/>
          <w:szCs w:val="20"/>
        </w:rPr>
      </w:pPr>
      <w:r w:rsidRPr="009872BF">
        <w:rPr>
          <w:rFonts w:ascii="Arial" w:hAnsi="Arial" w:cs="Arial"/>
          <w:sz w:val="20"/>
          <w:szCs w:val="20"/>
        </w:rPr>
        <w:t xml:space="preserve">Leong, L., &amp; Shui, G. (2002). An investigation of antioxidant capacity of fruits in Singapore markets. Food Chemistry, 76(1), 69–75. </w:t>
      </w:r>
    </w:p>
    <w:p w14:paraId="44A20A4A"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Liao, K., &amp; Yin, M. (2000). Individual and combined antioxidant effects of seven phenolic agents in human erythrocyte membrane ghosts and phosphatidylcholine liposome systems: importance of the partition coefficient. Journal of Agricultural and Food Chemistry, 48(6), 2266–2270. </w:t>
      </w:r>
    </w:p>
    <w:p w14:paraId="17719B44"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Lim, J., Kim, K., Kwon, D. Y., Kim, J. K., Sathasivam, R., &amp; Park, S. U. (2024). Effects of Different Solvents on the Extraction of Phenolic and Flavonoid Compounds, and Antioxidant Activities, in </w:t>
      </w:r>
      <w:proofErr w:type="spellStart"/>
      <w:r w:rsidRPr="009872BF">
        <w:rPr>
          <w:rFonts w:ascii="Arial" w:hAnsi="Arial" w:cs="Arial"/>
          <w:i/>
          <w:iCs/>
          <w:sz w:val="20"/>
          <w:szCs w:val="20"/>
        </w:rPr>
        <w:t>Scutellaria</w:t>
      </w:r>
      <w:proofErr w:type="spellEnd"/>
      <w:r w:rsidRPr="009872BF">
        <w:rPr>
          <w:rFonts w:ascii="Arial" w:hAnsi="Arial" w:cs="Arial"/>
          <w:i/>
          <w:iCs/>
          <w:sz w:val="20"/>
          <w:szCs w:val="20"/>
        </w:rPr>
        <w:t xml:space="preserve"> </w:t>
      </w:r>
      <w:proofErr w:type="spellStart"/>
      <w:r w:rsidRPr="009872BF">
        <w:rPr>
          <w:rFonts w:ascii="Arial" w:hAnsi="Arial" w:cs="Arial"/>
          <w:i/>
          <w:iCs/>
          <w:sz w:val="20"/>
          <w:szCs w:val="20"/>
        </w:rPr>
        <w:t>baicalensis</w:t>
      </w:r>
      <w:proofErr w:type="spellEnd"/>
      <w:r w:rsidRPr="009872BF">
        <w:rPr>
          <w:rFonts w:ascii="Arial" w:hAnsi="Arial" w:cs="Arial"/>
          <w:sz w:val="20"/>
          <w:szCs w:val="20"/>
        </w:rPr>
        <w:t xml:space="preserve"> Hairy Roots. </w:t>
      </w:r>
      <w:proofErr w:type="spellStart"/>
      <w:r w:rsidRPr="009872BF">
        <w:rPr>
          <w:rFonts w:ascii="Arial" w:hAnsi="Arial" w:cs="Arial"/>
          <w:sz w:val="20"/>
          <w:szCs w:val="20"/>
        </w:rPr>
        <w:t>Horticulturae</w:t>
      </w:r>
      <w:proofErr w:type="spellEnd"/>
      <w:r w:rsidRPr="009872BF">
        <w:rPr>
          <w:rFonts w:ascii="Arial" w:hAnsi="Arial" w:cs="Arial"/>
          <w:sz w:val="20"/>
          <w:szCs w:val="20"/>
        </w:rPr>
        <w:t xml:space="preserve">, 10(2), 160. </w:t>
      </w:r>
    </w:p>
    <w:p w14:paraId="7C5E4622"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8" w:name="_Hlk211796409"/>
      <w:r w:rsidRPr="009872BF">
        <w:rPr>
          <w:rFonts w:ascii="Arial" w:hAnsi="Arial" w:cs="Arial"/>
          <w:sz w:val="20"/>
          <w:szCs w:val="20"/>
        </w:rPr>
        <w:t xml:space="preserve">Loganayaki, N., </w:t>
      </w:r>
      <w:proofErr w:type="spellStart"/>
      <w:r w:rsidRPr="009872BF">
        <w:rPr>
          <w:rFonts w:ascii="Arial" w:hAnsi="Arial" w:cs="Arial"/>
          <w:sz w:val="20"/>
          <w:szCs w:val="20"/>
        </w:rPr>
        <w:t>Siddhuraju</w:t>
      </w:r>
      <w:proofErr w:type="spellEnd"/>
      <w:r w:rsidRPr="009872BF">
        <w:rPr>
          <w:rFonts w:ascii="Arial" w:hAnsi="Arial" w:cs="Arial"/>
          <w:sz w:val="20"/>
          <w:szCs w:val="20"/>
        </w:rPr>
        <w:t xml:space="preserve">, P., &amp; Manian, S. (2011). Antioxidant activity and free radical scavenging capacity of phenolic extracts from </w:t>
      </w:r>
      <w:proofErr w:type="spellStart"/>
      <w:r w:rsidRPr="009872BF">
        <w:rPr>
          <w:rFonts w:ascii="Arial" w:hAnsi="Arial" w:cs="Arial"/>
          <w:i/>
          <w:iCs/>
          <w:sz w:val="20"/>
          <w:szCs w:val="20"/>
        </w:rPr>
        <w:t>Helicteres</w:t>
      </w:r>
      <w:proofErr w:type="spellEnd"/>
      <w:r w:rsidRPr="009872BF">
        <w:rPr>
          <w:rFonts w:ascii="Arial" w:hAnsi="Arial" w:cs="Arial"/>
          <w:i/>
          <w:iCs/>
          <w:sz w:val="20"/>
          <w:szCs w:val="20"/>
        </w:rPr>
        <w:t xml:space="preserve"> </w:t>
      </w:r>
      <w:proofErr w:type="spellStart"/>
      <w:r w:rsidRPr="009872BF">
        <w:rPr>
          <w:rFonts w:ascii="Arial" w:hAnsi="Arial" w:cs="Arial"/>
          <w:i/>
          <w:iCs/>
          <w:sz w:val="20"/>
          <w:szCs w:val="20"/>
        </w:rPr>
        <w:t>isora</w:t>
      </w:r>
      <w:proofErr w:type="spellEnd"/>
      <w:r w:rsidRPr="009872BF">
        <w:rPr>
          <w:rFonts w:ascii="Arial" w:hAnsi="Arial" w:cs="Arial"/>
          <w:sz w:val="20"/>
          <w:szCs w:val="20"/>
        </w:rPr>
        <w:t xml:space="preserve"> L. and </w:t>
      </w:r>
      <w:r w:rsidRPr="009872BF">
        <w:rPr>
          <w:rFonts w:ascii="Arial" w:hAnsi="Arial" w:cs="Arial"/>
          <w:i/>
          <w:iCs/>
          <w:sz w:val="20"/>
          <w:szCs w:val="20"/>
        </w:rPr>
        <w:t>Ceiba pentandra</w:t>
      </w:r>
      <w:r w:rsidRPr="009872BF">
        <w:rPr>
          <w:rFonts w:ascii="Arial" w:hAnsi="Arial" w:cs="Arial"/>
          <w:sz w:val="20"/>
          <w:szCs w:val="20"/>
        </w:rPr>
        <w:t xml:space="preserve"> L. Journal of Food Science and Technology, 50(4), 687–695.</w:t>
      </w:r>
    </w:p>
    <w:bookmarkEnd w:id="8"/>
    <w:p w14:paraId="47B57CAA" w14:textId="77777777" w:rsidR="00E82DA2" w:rsidRPr="009872BF" w:rsidRDefault="00E82DA2" w:rsidP="00A811BE">
      <w:pPr>
        <w:pStyle w:val="ListParagraph"/>
        <w:numPr>
          <w:ilvl w:val="0"/>
          <w:numId w:val="36"/>
        </w:numPr>
        <w:tabs>
          <w:tab w:val="left" w:pos="0"/>
          <w:tab w:val="left" w:pos="567"/>
        </w:tabs>
        <w:autoSpaceDE w:val="0"/>
        <w:autoSpaceDN w:val="0"/>
        <w:adjustRightInd w:val="0"/>
        <w:spacing w:after="0" w:line="240" w:lineRule="auto"/>
        <w:ind w:left="0"/>
        <w:jc w:val="both"/>
        <w:rPr>
          <w:rFonts w:ascii="Arial" w:hAnsi="Arial" w:cs="Arial"/>
          <w:sz w:val="20"/>
          <w:szCs w:val="20"/>
        </w:rPr>
      </w:pPr>
      <w:r w:rsidRPr="009872BF">
        <w:rPr>
          <w:rFonts w:ascii="Arial" w:hAnsi="Arial" w:cs="Arial"/>
          <w:sz w:val="20"/>
          <w:szCs w:val="20"/>
        </w:rPr>
        <w:t xml:space="preserve">Mahendrakumar, M., Nirmalraj, S., Ravikumar, M., Bharath, B., </w:t>
      </w:r>
      <w:proofErr w:type="spellStart"/>
      <w:r w:rsidRPr="009872BF">
        <w:rPr>
          <w:rFonts w:ascii="Arial" w:hAnsi="Arial" w:cs="Arial"/>
          <w:sz w:val="20"/>
          <w:szCs w:val="20"/>
        </w:rPr>
        <w:t>Seeni</w:t>
      </w:r>
      <w:proofErr w:type="spellEnd"/>
      <w:r w:rsidRPr="009872BF">
        <w:rPr>
          <w:rFonts w:ascii="Arial" w:hAnsi="Arial" w:cs="Arial"/>
          <w:sz w:val="20"/>
          <w:szCs w:val="20"/>
        </w:rPr>
        <w:t xml:space="preserve">, S., &amp; Perinbam, K. (2017). </w:t>
      </w:r>
      <w:proofErr w:type="spellStart"/>
      <w:r w:rsidRPr="009872BF">
        <w:rPr>
          <w:rFonts w:ascii="Arial" w:hAnsi="Arial" w:cs="Arial"/>
          <w:sz w:val="20"/>
          <w:szCs w:val="20"/>
        </w:rPr>
        <w:t>Pharmacognostic</w:t>
      </w:r>
      <w:proofErr w:type="spellEnd"/>
      <w:r w:rsidRPr="009872BF">
        <w:rPr>
          <w:rFonts w:ascii="Arial" w:hAnsi="Arial" w:cs="Arial"/>
          <w:sz w:val="20"/>
          <w:szCs w:val="20"/>
        </w:rPr>
        <w:t xml:space="preserve">, Phytochemical and Physicochemical Investigations of </w:t>
      </w:r>
      <w:r w:rsidRPr="009872BF">
        <w:rPr>
          <w:rFonts w:ascii="Arial" w:hAnsi="Arial" w:cs="Arial"/>
          <w:i/>
          <w:iCs/>
          <w:sz w:val="20"/>
          <w:szCs w:val="20"/>
        </w:rPr>
        <w:t xml:space="preserve">Hypericum </w:t>
      </w:r>
      <w:proofErr w:type="spellStart"/>
      <w:r w:rsidRPr="009872BF">
        <w:rPr>
          <w:rFonts w:ascii="Arial" w:hAnsi="Arial" w:cs="Arial"/>
          <w:i/>
          <w:iCs/>
          <w:sz w:val="20"/>
          <w:szCs w:val="20"/>
        </w:rPr>
        <w:t>hookerianum</w:t>
      </w:r>
      <w:proofErr w:type="spellEnd"/>
      <w:r w:rsidRPr="009872BF">
        <w:rPr>
          <w:rFonts w:ascii="Arial" w:hAnsi="Arial" w:cs="Arial"/>
          <w:sz w:val="20"/>
          <w:szCs w:val="20"/>
        </w:rPr>
        <w:t xml:space="preserve"> Wight &amp; </w:t>
      </w:r>
      <w:proofErr w:type="spellStart"/>
      <w:r w:rsidRPr="009872BF">
        <w:rPr>
          <w:rFonts w:ascii="Arial" w:hAnsi="Arial" w:cs="Arial"/>
          <w:sz w:val="20"/>
          <w:szCs w:val="20"/>
        </w:rPr>
        <w:t>Arn</w:t>
      </w:r>
      <w:proofErr w:type="spellEnd"/>
      <w:r w:rsidRPr="009872BF">
        <w:rPr>
          <w:rFonts w:ascii="Arial" w:hAnsi="Arial" w:cs="Arial"/>
          <w:sz w:val="20"/>
          <w:szCs w:val="20"/>
        </w:rPr>
        <w:t>. (</w:t>
      </w:r>
      <w:proofErr w:type="spellStart"/>
      <w:r w:rsidRPr="009872BF">
        <w:rPr>
          <w:rFonts w:ascii="Arial" w:hAnsi="Arial" w:cs="Arial"/>
          <w:sz w:val="20"/>
          <w:szCs w:val="20"/>
        </w:rPr>
        <w:t>Hypericaceae</w:t>
      </w:r>
      <w:proofErr w:type="spellEnd"/>
      <w:r w:rsidRPr="009872BF">
        <w:rPr>
          <w:rFonts w:ascii="Arial" w:hAnsi="Arial" w:cs="Arial"/>
          <w:sz w:val="20"/>
          <w:szCs w:val="20"/>
        </w:rPr>
        <w:t xml:space="preserve">) of </w:t>
      </w:r>
      <w:proofErr w:type="spellStart"/>
      <w:r w:rsidRPr="009872BF">
        <w:rPr>
          <w:rFonts w:ascii="Arial" w:hAnsi="Arial" w:cs="Arial"/>
          <w:sz w:val="20"/>
          <w:szCs w:val="20"/>
        </w:rPr>
        <w:t>Palni</w:t>
      </w:r>
      <w:proofErr w:type="spellEnd"/>
      <w:r w:rsidRPr="009872BF">
        <w:rPr>
          <w:rFonts w:ascii="Arial" w:hAnsi="Arial" w:cs="Arial"/>
          <w:sz w:val="20"/>
          <w:szCs w:val="20"/>
        </w:rPr>
        <w:t xml:space="preserve"> Hills, India. Polymer Journal, 9, 750-756. </w:t>
      </w:r>
    </w:p>
    <w:p w14:paraId="187C5868"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Mathew, S., Abraham, T. E., &amp; Zakaria, Z. A. (2015). Reactivity of phenolic compounds towards free radicals under </w:t>
      </w:r>
      <w:r w:rsidRPr="009872BF">
        <w:rPr>
          <w:rFonts w:ascii="Arial" w:hAnsi="Arial" w:cs="Arial"/>
          <w:i/>
          <w:iCs/>
          <w:sz w:val="20"/>
          <w:szCs w:val="20"/>
        </w:rPr>
        <w:t>in vitro</w:t>
      </w:r>
      <w:r w:rsidRPr="009872BF">
        <w:rPr>
          <w:rFonts w:ascii="Arial" w:hAnsi="Arial" w:cs="Arial"/>
          <w:sz w:val="20"/>
          <w:szCs w:val="20"/>
        </w:rPr>
        <w:t xml:space="preserve"> conditions. Journal of Food Science and Technology, 52(9), 5790–5798.  </w:t>
      </w:r>
    </w:p>
    <w:p w14:paraId="75584EAB"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9" w:name="_Hlk212187553"/>
      <w:r w:rsidRPr="009872BF">
        <w:rPr>
          <w:rFonts w:ascii="Arial" w:hAnsi="Arial" w:cs="Arial"/>
          <w:sz w:val="20"/>
          <w:szCs w:val="20"/>
        </w:rPr>
        <w:t xml:space="preserve">Matthew, K. M. (1983). The flora of the </w:t>
      </w:r>
      <w:proofErr w:type="spellStart"/>
      <w:r w:rsidRPr="009872BF">
        <w:rPr>
          <w:rFonts w:ascii="Arial" w:hAnsi="Arial" w:cs="Arial"/>
          <w:sz w:val="20"/>
          <w:szCs w:val="20"/>
        </w:rPr>
        <w:t>Tamilnadu</w:t>
      </w:r>
      <w:proofErr w:type="spellEnd"/>
      <w:r w:rsidRPr="009872BF">
        <w:rPr>
          <w:rFonts w:ascii="Arial" w:hAnsi="Arial" w:cs="Arial"/>
          <w:sz w:val="20"/>
          <w:szCs w:val="20"/>
        </w:rPr>
        <w:t xml:space="preserve"> Carnatic</w:t>
      </w:r>
      <w:r w:rsidRPr="009872BF">
        <w:rPr>
          <w:rFonts w:ascii="Arial" w:hAnsi="Arial" w:cs="Arial"/>
          <w:i/>
          <w:iCs/>
          <w:sz w:val="20"/>
          <w:szCs w:val="20"/>
        </w:rPr>
        <w:t>.</w:t>
      </w:r>
      <w:r w:rsidRPr="009872BF">
        <w:rPr>
          <w:rFonts w:ascii="Arial" w:hAnsi="Arial" w:cs="Arial"/>
          <w:sz w:val="20"/>
          <w:szCs w:val="20"/>
        </w:rPr>
        <w:t> </w:t>
      </w:r>
      <w:proofErr w:type="spellStart"/>
      <w:r w:rsidRPr="009872BF">
        <w:rPr>
          <w:rFonts w:ascii="Arial" w:hAnsi="Arial" w:cs="Arial"/>
          <w:sz w:val="20"/>
          <w:szCs w:val="20"/>
        </w:rPr>
        <w:t>Tiruchirapalli</w:t>
      </w:r>
      <w:proofErr w:type="spellEnd"/>
      <w:r w:rsidRPr="009872BF">
        <w:rPr>
          <w:rFonts w:ascii="Arial" w:hAnsi="Arial" w:cs="Arial"/>
          <w:sz w:val="20"/>
          <w:szCs w:val="20"/>
        </w:rPr>
        <w:t xml:space="preserve">, India: </w:t>
      </w:r>
      <w:proofErr w:type="spellStart"/>
      <w:r w:rsidRPr="009872BF">
        <w:rPr>
          <w:rFonts w:ascii="Arial" w:hAnsi="Arial" w:cs="Arial"/>
          <w:sz w:val="20"/>
          <w:szCs w:val="20"/>
        </w:rPr>
        <w:t>Rapinat</w:t>
      </w:r>
      <w:proofErr w:type="spellEnd"/>
      <w:r w:rsidRPr="009872BF">
        <w:rPr>
          <w:rFonts w:ascii="Arial" w:hAnsi="Arial" w:cs="Arial"/>
          <w:sz w:val="20"/>
          <w:szCs w:val="20"/>
        </w:rPr>
        <w:t xml:space="preserve"> Herbarium, St. Joseph's College. </w:t>
      </w:r>
    </w:p>
    <w:bookmarkEnd w:id="9"/>
    <w:p w14:paraId="57CEDB7F"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Mehdipour</w:t>
      </w:r>
      <w:proofErr w:type="spellEnd"/>
      <w:r w:rsidRPr="009872BF">
        <w:rPr>
          <w:rFonts w:ascii="Arial" w:hAnsi="Arial" w:cs="Arial"/>
          <w:sz w:val="20"/>
          <w:szCs w:val="20"/>
        </w:rPr>
        <w:t xml:space="preserve">, A., Ehsani, A., Samadi, N., Ehsani, M., &amp; </w:t>
      </w:r>
      <w:proofErr w:type="spellStart"/>
      <w:r w:rsidRPr="009872BF">
        <w:rPr>
          <w:rFonts w:ascii="Arial" w:hAnsi="Arial" w:cs="Arial"/>
          <w:sz w:val="20"/>
          <w:szCs w:val="20"/>
        </w:rPr>
        <w:t>Sharifinejad</w:t>
      </w:r>
      <w:proofErr w:type="spellEnd"/>
      <w:r w:rsidRPr="009872BF">
        <w:rPr>
          <w:rFonts w:ascii="Arial" w:hAnsi="Arial" w:cs="Arial"/>
          <w:sz w:val="20"/>
          <w:szCs w:val="20"/>
        </w:rPr>
        <w:t xml:space="preserve">, N. (2022). The antimicrobial and antibiofilm effects of three herbal extracts on </w:t>
      </w:r>
      <w:r w:rsidRPr="009872BF">
        <w:rPr>
          <w:rFonts w:ascii="Arial" w:hAnsi="Arial" w:cs="Arial"/>
          <w:i/>
          <w:iCs/>
          <w:sz w:val="20"/>
          <w:szCs w:val="20"/>
        </w:rPr>
        <w:t>Streptococcus mutans</w:t>
      </w:r>
      <w:r w:rsidRPr="009872BF">
        <w:rPr>
          <w:rFonts w:ascii="Arial" w:hAnsi="Arial" w:cs="Arial"/>
          <w:sz w:val="20"/>
          <w:szCs w:val="20"/>
        </w:rPr>
        <w:t xml:space="preserve"> compared with Chlorhexidine 0.2% (</w:t>
      </w:r>
      <w:r w:rsidRPr="009872BF">
        <w:rPr>
          <w:rFonts w:ascii="Arial" w:hAnsi="Arial" w:cs="Arial"/>
          <w:i/>
          <w:iCs/>
          <w:sz w:val="20"/>
          <w:szCs w:val="20"/>
        </w:rPr>
        <w:t>in vitro</w:t>
      </w:r>
      <w:r w:rsidRPr="009872BF">
        <w:rPr>
          <w:rFonts w:ascii="Arial" w:hAnsi="Arial" w:cs="Arial"/>
          <w:sz w:val="20"/>
          <w:szCs w:val="20"/>
        </w:rPr>
        <w:t xml:space="preserve"> study). Journal of Medicine and Life, 15(4), 526–532. </w:t>
      </w:r>
    </w:p>
    <w:p w14:paraId="35C78E33"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Moteriya</w:t>
      </w:r>
      <w:proofErr w:type="spellEnd"/>
      <w:r w:rsidRPr="009872BF">
        <w:rPr>
          <w:rFonts w:ascii="Arial" w:hAnsi="Arial" w:cs="Arial"/>
          <w:sz w:val="20"/>
          <w:szCs w:val="20"/>
        </w:rPr>
        <w:t xml:space="preserve">, P., </w:t>
      </w:r>
      <w:proofErr w:type="spellStart"/>
      <w:r w:rsidRPr="009872BF">
        <w:rPr>
          <w:rFonts w:ascii="Arial" w:hAnsi="Arial" w:cs="Arial"/>
          <w:sz w:val="20"/>
          <w:szCs w:val="20"/>
        </w:rPr>
        <w:t>Padalia</w:t>
      </w:r>
      <w:proofErr w:type="spellEnd"/>
      <w:r w:rsidRPr="009872BF">
        <w:rPr>
          <w:rFonts w:ascii="Arial" w:hAnsi="Arial" w:cs="Arial"/>
          <w:sz w:val="20"/>
          <w:szCs w:val="20"/>
        </w:rPr>
        <w:t>, H., Pande, J., Ram, J., &amp; Chanda, S.V. (2017). Superoxide radical scavenging activity and reducing capacity assessment of some important medicinal plants of Gujarat, India. IOSR Journal of Pharmacy and Biological Sciences, 12(5), 40–50.</w:t>
      </w:r>
    </w:p>
    <w:p w14:paraId="43A7060E" w14:textId="77777777" w:rsidR="00E82DA2" w:rsidRPr="009872BF" w:rsidRDefault="00E82DA2" w:rsidP="00A811BE">
      <w:pPr>
        <w:pStyle w:val="ListParagraph"/>
        <w:numPr>
          <w:ilvl w:val="0"/>
          <w:numId w:val="36"/>
        </w:numPr>
        <w:tabs>
          <w:tab w:val="left" w:pos="0"/>
          <w:tab w:val="left" w:pos="567"/>
          <w:tab w:val="left" w:pos="4536"/>
        </w:tabs>
        <w:spacing w:after="0" w:line="240" w:lineRule="auto"/>
        <w:ind w:left="0"/>
        <w:jc w:val="both"/>
        <w:rPr>
          <w:rFonts w:ascii="Arial" w:hAnsi="Arial" w:cs="Arial"/>
          <w:sz w:val="20"/>
          <w:szCs w:val="20"/>
        </w:rPr>
      </w:pPr>
      <w:r w:rsidRPr="009872BF">
        <w:rPr>
          <w:rFonts w:ascii="Arial" w:hAnsi="Arial" w:cs="Arial"/>
          <w:sz w:val="20"/>
          <w:szCs w:val="20"/>
        </w:rPr>
        <w:t>Nikaido, H. (2009). Multidrug resistance in bacteria. Annual Review of Biochemistry, 78(1), 119–146. </w:t>
      </w:r>
    </w:p>
    <w:p w14:paraId="79A02485" w14:textId="77777777" w:rsidR="00E82DA2" w:rsidRPr="009872BF" w:rsidRDefault="00E82DA2" w:rsidP="00A811BE">
      <w:pPr>
        <w:pStyle w:val="ListParagraph"/>
        <w:numPr>
          <w:ilvl w:val="0"/>
          <w:numId w:val="36"/>
        </w:numPr>
        <w:tabs>
          <w:tab w:val="left" w:pos="0"/>
          <w:tab w:val="left" w:pos="567"/>
          <w:tab w:val="left" w:pos="4536"/>
        </w:tabs>
        <w:spacing w:after="0" w:line="240" w:lineRule="auto"/>
        <w:ind w:left="0"/>
        <w:jc w:val="both"/>
        <w:rPr>
          <w:rFonts w:ascii="Arial" w:hAnsi="Arial" w:cs="Arial"/>
          <w:sz w:val="20"/>
          <w:szCs w:val="20"/>
        </w:rPr>
      </w:pPr>
      <w:bookmarkStart w:id="10" w:name="_Hlk213138508"/>
      <w:proofErr w:type="spellStart"/>
      <w:r w:rsidRPr="009872BF">
        <w:rPr>
          <w:rFonts w:ascii="Arial" w:hAnsi="Arial" w:cs="Arial"/>
          <w:sz w:val="20"/>
          <w:szCs w:val="20"/>
        </w:rPr>
        <w:lastRenderedPageBreak/>
        <w:t>Pagès</w:t>
      </w:r>
      <w:proofErr w:type="spellEnd"/>
      <w:r w:rsidRPr="009872BF">
        <w:rPr>
          <w:rFonts w:ascii="Arial" w:hAnsi="Arial" w:cs="Arial"/>
          <w:sz w:val="20"/>
          <w:szCs w:val="20"/>
        </w:rPr>
        <w:t>, J., &amp; Amaral, L. (2008). Mechanisms of drug efflux and strategies to combat them: Challenging the efflux pump of Gram-negative bacteria. </w:t>
      </w:r>
      <w:proofErr w:type="spellStart"/>
      <w:r w:rsidRPr="009872BF">
        <w:rPr>
          <w:rFonts w:ascii="Arial" w:hAnsi="Arial" w:cs="Arial"/>
          <w:sz w:val="20"/>
          <w:szCs w:val="20"/>
        </w:rPr>
        <w:t>Biochimica</w:t>
      </w:r>
      <w:proofErr w:type="spellEnd"/>
      <w:r w:rsidRPr="009872BF">
        <w:rPr>
          <w:rFonts w:ascii="Arial" w:hAnsi="Arial" w:cs="Arial"/>
          <w:sz w:val="20"/>
          <w:szCs w:val="20"/>
        </w:rPr>
        <w:t xml:space="preserve"> Et </w:t>
      </w:r>
      <w:proofErr w:type="spellStart"/>
      <w:r w:rsidRPr="009872BF">
        <w:rPr>
          <w:rFonts w:ascii="Arial" w:hAnsi="Arial" w:cs="Arial"/>
          <w:sz w:val="20"/>
          <w:szCs w:val="20"/>
        </w:rPr>
        <w:t>Biophysica</w:t>
      </w:r>
      <w:proofErr w:type="spellEnd"/>
      <w:r w:rsidRPr="009872BF">
        <w:rPr>
          <w:rFonts w:ascii="Arial" w:hAnsi="Arial" w:cs="Arial"/>
          <w:sz w:val="20"/>
          <w:szCs w:val="20"/>
        </w:rPr>
        <w:t xml:space="preserve"> Acta (BBA) - Proteins and Proteomics, 1794(5), 826–833.</w:t>
      </w:r>
    </w:p>
    <w:bookmarkEnd w:id="10"/>
    <w:p w14:paraId="0FA5EF91" w14:textId="77777777" w:rsidR="00E82DA2" w:rsidRPr="009872BF" w:rsidRDefault="00E82DA2" w:rsidP="00A811BE">
      <w:pPr>
        <w:pStyle w:val="ListParagraph"/>
        <w:numPr>
          <w:ilvl w:val="0"/>
          <w:numId w:val="36"/>
        </w:numPr>
        <w:tabs>
          <w:tab w:val="left" w:pos="0"/>
          <w:tab w:val="left" w:pos="567"/>
          <w:tab w:val="left" w:pos="4536"/>
        </w:tabs>
        <w:spacing w:after="0" w:line="240" w:lineRule="auto"/>
        <w:ind w:left="0"/>
        <w:jc w:val="both"/>
        <w:rPr>
          <w:rFonts w:ascii="Arial" w:hAnsi="Arial" w:cs="Arial"/>
          <w:sz w:val="20"/>
          <w:szCs w:val="20"/>
        </w:rPr>
      </w:pPr>
      <w:r w:rsidRPr="009872BF">
        <w:rPr>
          <w:rFonts w:ascii="Arial" w:hAnsi="Arial" w:cs="Arial"/>
          <w:sz w:val="20"/>
          <w:szCs w:val="20"/>
        </w:rPr>
        <w:t xml:space="preserve">Panigrahy, S. K., Kumar, A., &amp; Bhatt, R. (2017). Antioxidant potentials of successive solvent extracts from the unexplored </w:t>
      </w:r>
      <w:proofErr w:type="spellStart"/>
      <w:r w:rsidRPr="009872BF">
        <w:rPr>
          <w:rFonts w:ascii="Arial" w:hAnsi="Arial" w:cs="Arial"/>
          <w:i/>
          <w:iCs/>
          <w:sz w:val="20"/>
          <w:szCs w:val="20"/>
        </w:rPr>
        <w:t>Hedhychium</w:t>
      </w:r>
      <w:proofErr w:type="spellEnd"/>
      <w:r w:rsidRPr="009872BF">
        <w:rPr>
          <w:rFonts w:ascii="Arial" w:hAnsi="Arial" w:cs="Arial"/>
          <w:i/>
          <w:iCs/>
          <w:sz w:val="20"/>
          <w:szCs w:val="20"/>
        </w:rPr>
        <w:t xml:space="preserve"> </w:t>
      </w:r>
      <w:proofErr w:type="spellStart"/>
      <w:r w:rsidRPr="009872BF">
        <w:rPr>
          <w:rFonts w:ascii="Arial" w:hAnsi="Arial" w:cs="Arial"/>
          <w:i/>
          <w:iCs/>
          <w:sz w:val="20"/>
          <w:szCs w:val="20"/>
        </w:rPr>
        <w:t>coronarium</w:t>
      </w:r>
      <w:proofErr w:type="spellEnd"/>
      <w:r w:rsidRPr="009872BF">
        <w:rPr>
          <w:rFonts w:ascii="Arial" w:hAnsi="Arial" w:cs="Arial"/>
          <w:sz w:val="20"/>
          <w:szCs w:val="20"/>
        </w:rPr>
        <w:t xml:space="preserve"> rhizome. Journal of Food Science and Technology, 54(10), 3297–3306.</w:t>
      </w:r>
    </w:p>
    <w:p w14:paraId="6BE43ADB"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bookmarkStart w:id="11" w:name="_Hlk213136001"/>
      <w:r w:rsidRPr="009872BF">
        <w:rPr>
          <w:rFonts w:ascii="Arial" w:hAnsi="Arial" w:cs="Arial"/>
          <w:sz w:val="20"/>
          <w:szCs w:val="20"/>
        </w:rPr>
        <w:t xml:space="preserve">Pavithra, K., &amp; </w:t>
      </w:r>
      <w:proofErr w:type="spellStart"/>
      <w:r w:rsidRPr="009872BF">
        <w:rPr>
          <w:rFonts w:ascii="Arial" w:hAnsi="Arial" w:cs="Arial"/>
          <w:sz w:val="20"/>
          <w:szCs w:val="20"/>
        </w:rPr>
        <w:t>Vadivukkarasi</w:t>
      </w:r>
      <w:proofErr w:type="spellEnd"/>
      <w:r w:rsidRPr="009872BF">
        <w:rPr>
          <w:rFonts w:ascii="Arial" w:hAnsi="Arial" w:cs="Arial"/>
          <w:sz w:val="20"/>
          <w:szCs w:val="20"/>
        </w:rPr>
        <w:t xml:space="preserve">, S. (2015). </w:t>
      </w:r>
      <w:bookmarkEnd w:id="11"/>
      <w:r w:rsidRPr="009872BF">
        <w:rPr>
          <w:rFonts w:ascii="Arial" w:hAnsi="Arial" w:cs="Arial"/>
          <w:sz w:val="20"/>
          <w:szCs w:val="20"/>
        </w:rPr>
        <w:t xml:space="preserve">Evaluation of free radical scavenging activity of various extracts of leaves from </w:t>
      </w:r>
      <w:proofErr w:type="spellStart"/>
      <w:r w:rsidRPr="009872BF">
        <w:rPr>
          <w:rFonts w:ascii="Arial" w:hAnsi="Arial" w:cs="Arial"/>
          <w:i/>
          <w:iCs/>
          <w:sz w:val="20"/>
          <w:szCs w:val="20"/>
        </w:rPr>
        <w:t>Kedrostis</w:t>
      </w:r>
      <w:proofErr w:type="spellEnd"/>
      <w:r w:rsidRPr="009872BF">
        <w:rPr>
          <w:rFonts w:ascii="Arial" w:hAnsi="Arial" w:cs="Arial"/>
          <w:i/>
          <w:iCs/>
          <w:sz w:val="20"/>
          <w:szCs w:val="20"/>
        </w:rPr>
        <w:t xml:space="preserve"> </w:t>
      </w:r>
      <w:proofErr w:type="spellStart"/>
      <w:r w:rsidRPr="009872BF">
        <w:rPr>
          <w:rFonts w:ascii="Arial" w:hAnsi="Arial" w:cs="Arial"/>
          <w:i/>
          <w:iCs/>
          <w:sz w:val="20"/>
          <w:szCs w:val="20"/>
        </w:rPr>
        <w:t>foetidissima</w:t>
      </w:r>
      <w:proofErr w:type="spellEnd"/>
      <w:r w:rsidRPr="009872BF">
        <w:rPr>
          <w:rFonts w:ascii="Arial" w:hAnsi="Arial" w:cs="Arial"/>
          <w:sz w:val="20"/>
          <w:szCs w:val="20"/>
        </w:rPr>
        <w:t xml:space="preserve"> (Jacq.) </w:t>
      </w:r>
      <w:proofErr w:type="spellStart"/>
      <w:r w:rsidRPr="009872BF">
        <w:rPr>
          <w:rFonts w:ascii="Arial" w:hAnsi="Arial" w:cs="Arial"/>
          <w:sz w:val="20"/>
          <w:szCs w:val="20"/>
        </w:rPr>
        <w:t>Cogn</w:t>
      </w:r>
      <w:proofErr w:type="spellEnd"/>
      <w:r w:rsidRPr="009872BF">
        <w:rPr>
          <w:rFonts w:ascii="Arial" w:hAnsi="Arial" w:cs="Arial"/>
          <w:sz w:val="20"/>
          <w:szCs w:val="20"/>
        </w:rPr>
        <w:t xml:space="preserve">. Food Science and Human Wellness, 4(1), 42–46.  </w:t>
      </w:r>
    </w:p>
    <w:p w14:paraId="2DB2D1B4" w14:textId="77777777" w:rsidR="00E82DA2" w:rsidRPr="009872BF" w:rsidRDefault="00E82DA2" w:rsidP="00A811BE">
      <w:pPr>
        <w:pStyle w:val="ListParagraph"/>
        <w:numPr>
          <w:ilvl w:val="0"/>
          <w:numId w:val="36"/>
        </w:numPr>
        <w:tabs>
          <w:tab w:val="left" w:pos="0"/>
          <w:tab w:val="left" w:pos="567"/>
        </w:tabs>
        <w:spacing w:after="0" w:line="240" w:lineRule="auto"/>
        <w:ind w:left="0"/>
        <w:jc w:val="both"/>
        <w:rPr>
          <w:rFonts w:ascii="Arial" w:hAnsi="Arial" w:cs="Arial"/>
          <w:sz w:val="20"/>
          <w:szCs w:val="20"/>
          <w:lang w:eastAsia="en-IN"/>
        </w:rPr>
      </w:pPr>
      <w:r w:rsidRPr="009872BF">
        <w:rPr>
          <w:rFonts w:ascii="Arial" w:hAnsi="Arial" w:cs="Arial"/>
          <w:sz w:val="20"/>
          <w:szCs w:val="20"/>
          <w:lang w:eastAsia="en-IN"/>
        </w:rPr>
        <w:t xml:space="preserve">Perez, C., Pauli, M. &amp; </w:t>
      </w:r>
      <w:proofErr w:type="spellStart"/>
      <w:r w:rsidRPr="009872BF">
        <w:rPr>
          <w:rFonts w:ascii="Arial" w:hAnsi="Arial" w:cs="Arial"/>
          <w:sz w:val="20"/>
          <w:szCs w:val="20"/>
          <w:lang w:eastAsia="en-IN"/>
        </w:rPr>
        <w:t>Bazerque</w:t>
      </w:r>
      <w:proofErr w:type="spellEnd"/>
      <w:r w:rsidRPr="009872BF">
        <w:rPr>
          <w:rFonts w:ascii="Arial" w:hAnsi="Arial" w:cs="Arial"/>
          <w:sz w:val="20"/>
          <w:szCs w:val="20"/>
          <w:lang w:eastAsia="en-IN"/>
        </w:rPr>
        <w:t xml:space="preserve">, P. (1990). An Antibiotic Assay by Agar Well Diffusion Method. Acta </w:t>
      </w:r>
      <w:proofErr w:type="spellStart"/>
      <w:r w:rsidRPr="009872BF">
        <w:rPr>
          <w:rFonts w:ascii="Arial" w:hAnsi="Arial" w:cs="Arial"/>
          <w:sz w:val="20"/>
          <w:szCs w:val="20"/>
          <w:lang w:eastAsia="en-IN"/>
        </w:rPr>
        <w:t>Biologiae</w:t>
      </w:r>
      <w:proofErr w:type="spellEnd"/>
      <w:r w:rsidRPr="009872BF">
        <w:rPr>
          <w:rFonts w:ascii="Arial" w:hAnsi="Arial" w:cs="Arial"/>
          <w:sz w:val="20"/>
          <w:szCs w:val="20"/>
          <w:lang w:eastAsia="en-IN"/>
        </w:rPr>
        <w:t xml:space="preserve"> et </w:t>
      </w:r>
      <w:proofErr w:type="spellStart"/>
      <w:r w:rsidRPr="009872BF">
        <w:rPr>
          <w:rFonts w:ascii="Arial" w:hAnsi="Arial" w:cs="Arial"/>
          <w:sz w:val="20"/>
          <w:szCs w:val="20"/>
          <w:lang w:eastAsia="en-IN"/>
        </w:rPr>
        <w:t>Medicinae</w:t>
      </w:r>
      <w:proofErr w:type="spellEnd"/>
      <w:r w:rsidRPr="009872BF">
        <w:rPr>
          <w:rFonts w:ascii="Arial" w:hAnsi="Arial" w:cs="Arial"/>
          <w:sz w:val="20"/>
          <w:szCs w:val="20"/>
          <w:lang w:eastAsia="en-IN"/>
        </w:rPr>
        <w:t xml:space="preserve"> </w:t>
      </w:r>
      <w:proofErr w:type="spellStart"/>
      <w:r w:rsidRPr="009872BF">
        <w:rPr>
          <w:rFonts w:ascii="Arial" w:hAnsi="Arial" w:cs="Arial"/>
          <w:sz w:val="20"/>
          <w:szCs w:val="20"/>
          <w:lang w:eastAsia="en-IN"/>
        </w:rPr>
        <w:t>Experimentalis</w:t>
      </w:r>
      <w:proofErr w:type="spellEnd"/>
      <w:r w:rsidRPr="009872BF">
        <w:rPr>
          <w:rFonts w:ascii="Arial" w:hAnsi="Arial" w:cs="Arial"/>
          <w:sz w:val="20"/>
          <w:szCs w:val="20"/>
          <w:lang w:eastAsia="en-IN"/>
        </w:rPr>
        <w:t xml:space="preserve">, 15, 113-115. </w:t>
      </w:r>
    </w:p>
    <w:p w14:paraId="4023C0D4"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Pham-Huy, L. A., He, H., &amp; Pham-</w:t>
      </w:r>
      <w:proofErr w:type="spellStart"/>
      <w:r w:rsidRPr="009872BF">
        <w:rPr>
          <w:rFonts w:ascii="Arial" w:hAnsi="Arial" w:cs="Arial"/>
          <w:sz w:val="20"/>
          <w:szCs w:val="20"/>
        </w:rPr>
        <w:t>Huyc</w:t>
      </w:r>
      <w:proofErr w:type="spellEnd"/>
      <w:r w:rsidRPr="009872BF">
        <w:rPr>
          <w:rFonts w:ascii="Arial" w:hAnsi="Arial" w:cs="Arial"/>
          <w:sz w:val="20"/>
          <w:szCs w:val="20"/>
        </w:rPr>
        <w:t xml:space="preserve">, C. (2008). Free radicals, antioxidants in disease and health. International Journal of Biomedical Science, 4(2), 89–96. </w:t>
      </w:r>
    </w:p>
    <w:p w14:paraId="36A96812"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 xml:space="preserve">Potdar, S., Lakshminarayan, N., &amp; Goud, R. S. (2014). Antimicrobial Efficacy of </w:t>
      </w:r>
      <w:proofErr w:type="spellStart"/>
      <w:r w:rsidRPr="009872BF">
        <w:rPr>
          <w:rFonts w:ascii="Arial" w:hAnsi="Arial" w:cs="Arial"/>
          <w:i/>
          <w:iCs/>
          <w:sz w:val="20"/>
          <w:szCs w:val="20"/>
        </w:rPr>
        <w:t>Emblica</w:t>
      </w:r>
      <w:proofErr w:type="spellEnd"/>
      <w:r w:rsidRPr="009872BF">
        <w:rPr>
          <w:rFonts w:ascii="Arial" w:hAnsi="Arial" w:cs="Arial"/>
          <w:i/>
          <w:iCs/>
          <w:sz w:val="20"/>
          <w:szCs w:val="20"/>
        </w:rPr>
        <w:t xml:space="preserve"> Officinalis</w:t>
      </w:r>
      <w:r w:rsidRPr="009872BF">
        <w:rPr>
          <w:rFonts w:ascii="Arial" w:hAnsi="Arial" w:cs="Arial"/>
          <w:sz w:val="20"/>
          <w:szCs w:val="20"/>
        </w:rPr>
        <w:t xml:space="preserve"> Fruit Extracts on </w:t>
      </w:r>
      <w:r w:rsidRPr="009872BF">
        <w:rPr>
          <w:rFonts w:ascii="Arial" w:hAnsi="Arial" w:cs="Arial"/>
          <w:i/>
          <w:iCs/>
          <w:sz w:val="20"/>
          <w:szCs w:val="20"/>
        </w:rPr>
        <w:t>S. mutans, E. faecalis</w:t>
      </w:r>
      <w:r w:rsidRPr="009872BF">
        <w:rPr>
          <w:rFonts w:ascii="Arial" w:hAnsi="Arial" w:cs="Arial"/>
          <w:sz w:val="20"/>
          <w:szCs w:val="20"/>
        </w:rPr>
        <w:t xml:space="preserve"> and </w:t>
      </w:r>
      <w:r w:rsidRPr="009872BF">
        <w:rPr>
          <w:rFonts w:ascii="Arial" w:hAnsi="Arial" w:cs="Arial"/>
          <w:i/>
          <w:iCs/>
          <w:sz w:val="20"/>
          <w:szCs w:val="20"/>
        </w:rPr>
        <w:t>C. albicans</w:t>
      </w:r>
      <w:r w:rsidRPr="009872BF">
        <w:rPr>
          <w:rFonts w:ascii="Arial" w:hAnsi="Arial" w:cs="Arial"/>
          <w:sz w:val="20"/>
          <w:szCs w:val="20"/>
        </w:rPr>
        <w:t>. Advances in Human Biology, 4(1), 26–30. </w:t>
      </w:r>
    </w:p>
    <w:p w14:paraId="1C0A5953"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r w:rsidRPr="009872BF">
        <w:rPr>
          <w:rFonts w:ascii="Arial" w:hAnsi="Arial" w:cs="Arial"/>
          <w:sz w:val="20"/>
          <w:szCs w:val="20"/>
        </w:rPr>
        <w:t>Raaman N. (2006). Phytochemical techniques, New India publishing Agency, 1st Edition Delhi, 2006, 19-24.</w:t>
      </w:r>
    </w:p>
    <w:p w14:paraId="54119660"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Ratananikom</w:t>
      </w:r>
      <w:proofErr w:type="spellEnd"/>
      <w:r w:rsidRPr="009872BF">
        <w:rPr>
          <w:rFonts w:ascii="Arial" w:hAnsi="Arial" w:cs="Arial"/>
          <w:sz w:val="20"/>
          <w:szCs w:val="20"/>
        </w:rPr>
        <w:t xml:space="preserve">, K., &amp; </w:t>
      </w:r>
      <w:proofErr w:type="spellStart"/>
      <w:r w:rsidRPr="009872BF">
        <w:rPr>
          <w:rFonts w:ascii="Arial" w:hAnsi="Arial" w:cs="Arial"/>
          <w:sz w:val="20"/>
          <w:szCs w:val="20"/>
        </w:rPr>
        <w:t>Srikacha</w:t>
      </w:r>
      <w:proofErr w:type="spellEnd"/>
      <w:r w:rsidRPr="009872BF">
        <w:rPr>
          <w:rFonts w:ascii="Arial" w:hAnsi="Arial" w:cs="Arial"/>
          <w:sz w:val="20"/>
          <w:szCs w:val="20"/>
        </w:rPr>
        <w:t xml:space="preserve">, N. (2020). Antibacterial activity of plant extracts in different solvents against pathogenic bacteria: An </w:t>
      </w:r>
      <w:r w:rsidRPr="009872BF">
        <w:rPr>
          <w:rFonts w:ascii="Arial" w:hAnsi="Arial" w:cs="Arial"/>
          <w:i/>
          <w:iCs/>
          <w:sz w:val="20"/>
          <w:szCs w:val="20"/>
        </w:rPr>
        <w:t>in vitro</w:t>
      </w:r>
      <w:r w:rsidRPr="009872BF">
        <w:rPr>
          <w:rFonts w:ascii="Arial" w:hAnsi="Arial" w:cs="Arial"/>
          <w:sz w:val="20"/>
          <w:szCs w:val="20"/>
        </w:rPr>
        <w:t xml:space="preserve"> experiment. Journal of Acute Disease, 9(5), 223. </w:t>
      </w:r>
    </w:p>
    <w:p w14:paraId="41C2B6D1"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Tourabi</w:t>
      </w:r>
      <w:proofErr w:type="spellEnd"/>
      <w:r w:rsidRPr="009872BF">
        <w:rPr>
          <w:rFonts w:ascii="Arial" w:hAnsi="Arial" w:cs="Arial"/>
          <w:sz w:val="20"/>
          <w:szCs w:val="20"/>
        </w:rPr>
        <w:t xml:space="preserve">, M., </w:t>
      </w:r>
      <w:proofErr w:type="spellStart"/>
      <w:r w:rsidRPr="009872BF">
        <w:rPr>
          <w:rFonts w:ascii="Arial" w:hAnsi="Arial" w:cs="Arial"/>
          <w:sz w:val="20"/>
          <w:szCs w:val="20"/>
        </w:rPr>
        <w:t>Metouekel</w:t>
      </w:r>
      <w:proofErr w:type="spellEnd"/>
      <w:r w:rsidRPr="009872BF">
        <w:rPr>
          <w:rFonts w:ascii="Arial" w:hAnsi="Arial" w:cs="Arial"/>
          <w:sz w:val="20"/>
          <w:szCs w:val="20"/>
        </w:rPr>
        <w:t xml:space="preserve">, A., </w:t>
      </w:r>
      <w:proofErr w:type="spellStart"/>
      <w:r w:rsidRPr="009872BF">
        <w:rPr>
          <w:rFonts w:ascii="Arial" w:hAnsi="Arial" w:cs="Arial"/>
          <w:sz w:val="20"/>
          <w:szCs w:val="20"/>
        </w:rPr>
        <w:t>Ghouizi</w:t>
      </w:r>
      <w:proofErr w:type="spellEnd"/>
      <w:r w:rsidRPr="009872BF">
        <w:rPr>
          <w:rFonts w:ascii="Arial" w:hAnsi="Arial" w:cs="Arial"/>
          <w:sz w:val="20"/>
          <w:szCs w:val="20"/>
        </w:rPr>
        <w:t xml:space="preserve">, A. E. L., </w:t>
      </w:r>
      <w:proofErr w:type="spellStart"/>
      <w:r w:rsidRPr="009872BF">
        <w:rPr>
          <w:rFonts w:ascii="Arial" w:hAnsi="Arial" w:cs="Arial"/>
          <w:sz w:val="20"/>
          <w:szCs w:val="20"/>
        </w:rPr>
        <w:t>Jeddi</w:t>
      </w:r>
      <w:proofErr w:type="spellEnd"/>
      <w:r w:rsidRPr="009872BF">
        <w:rPr>
          <w:rFonts w:ascii="Arial" w:hAnsi="Arial" w:cs="Arial"/>
          <w:sz w:val="20"/>
          <w:szCs w:val="20"/>
        </w:rPr>
        <w:t xml:space="preserve">, M., </w:t>
      </w:r>
      <w:proofErr w:type="spellStart"/>
      <w:r w:rsidRPr="009872BF">
        <w:rPr>
          <w:rFonts w:ascii="Arial" w:hAnsi="Arial" w:cs="Arial"/>
          <w:sz w:val="20"/>
          <w:szCs w:val="20"/>
        </w:rPr>
        <w:t>Nouioura</w:t>
      </w:r>
      <w:proofErr w:type="spellEnd"/>
      <w:r w:rsidRPr="009872BF">
        <w:rPr>
          <w:rFonts w:ascii="Arial" w:hAnsi="Arial" w:cs="Arial"/>
          <w:sz w:val="20"/>
          <w:szCs w:val="20"/>
        </w:rPr>
        <w:t xml:space="preserve">, G., Laaroussi, H., Hosen, M. E., Benbrahim, K. F., </w:t>
      </w:r>
      <w:proofErr w:type="spellStart"/>
      <w:r w:rsidRPr="009872BF">
        <w:rPr>
          <w:rFonts w:ascii="Arial" w:hAnsi="Arial" w:cs="Arial"/>
          <w:sz w:val="20"/>
          <w:szCs w:val="20"/>
        </w:rPr>
        <w:t>Bourhia</w:t>
      </w:r>
      <w:proofErr w:type="spellEnd"/>
      <w:r w:rsidRPr="009872BF">
        <w:rPr>
          <w:rFonts w:ascii="Arial" w:hAnsi="Arial" w:cs="Arial"/>
          <w:sz w:val="20"/>
          <w:szCs w:val="20"/>
        </w:rPr>
        <w:t xml:space="preserve">, M., </w:t>
      </w:r>
      <w:proofErr w:type="spellStart"/>
      <w:r w:rsidRPr="009872BF">
        <w:rPr>
          <w:rFonts w:ascii="Arial" w:hAnsi="Arial" w:cs="Arial"/>
          <w:sz w:val="20"/>
          <w:szCs w:val="20"/>
        </w:rPr>
        <w:t>Salamatullah</w:t>
      </w:r>
      <w:proofErr w:type="spellEnd"/>
      <w:r w:rsidRPr="009872BF">
        <w:rPr>
          <w:rFonts w:ascii="Arial" w:hAnsi="Arial" w:cs="Arial"/>
          <w:sz w:val="20"/>
          <w:szCs w:val="20"/>
        </w:rPr>
        <w:t xml:space="preserve">, A. M., Nafidi, H., </w:t>
      </w:r>
      <w:proofErr w:type="spellStart"/>
      <w:r w:rsidRPr="009872BF">
        <w:rPr>
          <w:rFonts w:ascii="Arial" w:hAnsi="Arial" w:cs="Arial"/>
          <w:sz w:val="20"/>
          <w:szCs w:val="20"/>
        </w:rPr>
        <w:t>Wondmie</w:t>
      </w:r>
      <w:proofErr w:type="spellEnd"/>
      <w:r w:rsidRPr="009872BF">
        <w:rPr>
          <w:rFonts w:ascii="Arial" w:hAnsi="Arial" w:cs="Arial"/>
          <w:sz w:val="20"/>
          <w:szCs w:val="20"/>
        </w:rPr>
        <w:t xml:space="preserve">, G. F., Lyoussi, B., &amp; Derwich, E. (2023). Efficacy of various extracting solvents on phytochemical composition, and biological properties of </w:t>
      </w:r>
      <w:r w:rsidRPr="009872BF">
        <w:rPr>
          <w:rFonts w:ascii="Arial" w:hAnsi="Arial" w:cs="Arial"/>
          <w:i/>
          <w:iCs/>
          <w:sz w:val="20"/>
          <w:szCs w:val="20"/>
        </w:rPr>
        <w:t>Mentha longifolia</w:t>
      </w:r>
      <w:r w:rsidRPr="009872BF">
        <w:rPr>
          <w:rFonts w:ascii="Arial" w:hAnsi="Arial" w:cs="Arial"/>
          <w:sz w:val="20"/>
          <w:szCs w:val="20"/>
        </w:rPr>
        <w:t xml:space="preserve"> L. leaf extracts. Scientific Reports, 13(1). </w:t>
      </w:r>
    </w:p>
    <w:p w14:paraId="65EC56E0"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Valgas</w:t>
      </w:r>
      <w:proofErr w:type="spellEnd"/>
      <w:r w:rsidRPr="009872BF">
        <w:rPr>
          <w:rFonts w:ascii="Arial" w:hAnsi="Arial" w:cs="Arial"/>
          <w:sz w:val="20"/>
          <w:szCs w:val="20"/>
        </w:rPr>
        <w:t xml:space="preserve">, C., De Souza, S. M., </w:t>
      </w:r>
      <w:proofErr w:type="spellStart"/>
      <w:r w:rsidRPr="009872BF">
        <w:rPr>
          <w:rFonts w:ascii="Arial" w:hAnsi="Arial" w:cs="Arial"/>
          <w:sz w:val="20"/>
          <w:szCs w:val="20"/>
        </w:rPr>
        <w:t>Smânia</w:t>
      </w:r>
      <w:proofErr w:type="spellEnd"/>
      <w:r w:rsidRPr="009872BF">
        <w:rPr>
          <w:rFonts w:ascii="Arial" w:hAnsi="Arial" w:cs="Arial"/>
          <w:sz w:val="20"/>
          <w:szCs w:val="20"/>
        </w:rPr>
        <w:t xml:space="preserve">, E. F. A., &amp; </w:t>
      </w:r>
      <w:proofErr w:type="spellStart"/>
      <w:r w:rsidRPr="009872BF">
        <w:rPr>
          <w:rFonts w:ascii="Arial" w:hAnsi="Arial" w:cs="Arial"/>
          <w:sz w:val="20"/>
          <w:szCs w:val="20"/>
        </w:rPr>
        <w:t>Smânia</w:t>
      </w:r>
      <w:proofErr w:type="spellEnd"/>
      <w:r w:rsidRPr="009872BF">
        <w:rPr>
          <w:rFonts w:ascii="Arial" w:hAnsi="Arial" w:cs="Arial"/>
          <w:sz w:val="20"/>
          <w:szCs w:val="20"/>
        </w:rPr>
        <w:t>, A., Jr. (2007). Screening methods to determine antibacterial activity of natural products. Brazilian Journal of Microbiology, 38(2), 369–380.</w:t>
      </w:r>
    </w:p>
    <w:p w14:paraId="36CDBF3E" w14:textId="77777777" w:rsidR="00E82DA2" w:rsidRPr="009872BF" w:rsidRDefault="00E82DA2" w:rsidP="00A811BE">
      <w:pPr>
        <w:pStyle w:val="ListParagraph"/>
        <w:numPr>
          <w:ilvl w:val="0"/>
          <w:numId w:val="36"/>
        </w:numPr>
        <w:spacing w:after="0" w:line="240" w:lineRule="auto"/>
        <w:ind w:left="0"/>
        <w:jc w:val="both"/>
        <w:rPr>
          <w:rFonts w:ascii="Arial" w:hAnsi="Arial" w:cs="Arial"/>
          <w:sz w:val="20"/>
          <w:szCs w:val="20"/>
        </w:rPr>
      </w:pPr>
      <w:proofErr w:type="spellStart"/>
      <w:r w:rsidRPr="009872BF">
        <w:rPr>
          <w:rFonts w:ascii="Arial" w:hAnsi="Arial" w:cs="Arial"/>
          <w:sz w:val="20"/>
          <w:szCs w:val="20"/>
        </w:rPr>
        <w:t>Velioglu</w:t>
      </w:r>
      <w:proofErr w:type="spellEnd"/>
      <w:r w:rsidRPr="009872BF">
        <w:rPr>
          <w:rFonts w:ascii="Arial" w:hAnsi="Arial" w:cs="Arial"/>
          <w:sz w:val="20"/>
          <w:szCs w:val="20"/>
        </w:rPr>
        <w:t xml:space="preserve">, Y. S., Mazza, G., Gao, L., &amp; </w:t>
      </w:r>
      <w:proofErr w:type="spellStart"/>
      <w:r w:rsidRPr="009872BF">
        <w:rPr>
          <w:rFonts w:ascii="Arial" w:hAnsi="Arial" w:cs="Arial"/>
          <w:sz w:val="20"/>
          <w:szCs w:val="20"/>
        </w:rPr>
        <w:t>Oomah</w:t>
      </w:r>
      <w:proofErr w:type="spellEnd"/>
      <w:r w:rsidRPr="009872BF">
        <w:rPr>
          <w:rFonts w:ascii="Arial" w:hAnsi="Arial" w:cs="Arial"/>
          <w:sz w:val="20"/>
          <w:szCs w:val="20"/>
        </w:rPr>
        <w:t xml:space="preserve">, B. D. (1998). Antioxidant activity and total phenolics in selected fruits, vegetables, and grain products. Journal of Agricultural and Food Chemistry, 46(10), 4113–4117. </w:t>
      </w:r>
    </w:p>
    <w:p w14:paraId="0F9361DC" w14:textId="65F0F814" w:rsidR="00E82DA2" w:rsidRPr="006F2780" w:rsidRDefault="00E82DA2" w:rsidP="006F2780">
      <w:pPr>
        <w:pStyle w:val="ListParagraph"/>
        <w:numPr>
          <w:ilvl w:val="0"/>
          <w:numId w:val="36"/>
        </w:numPr>
        <w:spacing w:after="0" w:line="240" w:lineRule="auto"/>
        <w:ind w:left="0"/>
        <w:jc w:val="both"/>
        <w:rPr>
          <w:rFonts w:ascii="Arial" w:eastAsiaTheme="minorHAnsi" w:hAnsi="Arial" w:cs="Arial"/>
          <w:kern w:val="2"/>
          <w:sz w:val="20"/>
          <w:szCs w:val="20"/>
        </w:rPr>
      </w:pPr>
      <w:r w:rsidRPr="009872BF">
        <w:rPr>
          <w:rFonts w:ascii="Arial" w:eastAsia="Times New Roman" w:hAnsi="Arial" w:cs="Arial"/>
          <w:sz w:val="20"/>
          <w:szCs w:val="20"/>
          <w:lang w:eastAsia="en-IN" w:bidi="ta-IN"/>
        </w:rPr>
        <w:t>Wasiullah, M., Piyushyadav, Sushilyadav, &amp; Amarjeet, Y. (2023). A Review Article on dosage forms of Herbal Products and Storage Conditions. International Journal of Pharmaceutical Research and Applications, 8, 645.</w:t>
      </w:r>
    </w:p>
    <w:sectPr w:rsidR="00E82DA2" w:rsidRPr="006F2780" w:rsidSect="00D56112">
      <w:headerReference w:type="even" r:id="rId19"/>
      <w:headerReference w:type="default" r:id="rId20"/>
      <w:footerReference w:type="even" r:id="rId21"/>
      <w:footerReference w:type="default" r:id="rId22"/>
      <w:headerReference w:type="first" r:id="rId23"/>
      <w:footerReference w:type="first" r:id="rId24"/>
      <w:pgSz w:w="11906" w:h="16838"/>
      <w:pgMar w:top="1440" w:right="2125"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5F90A" w14:textId="77777777" w:rsidR="00AA72D4" w:rsidRDefault="00AA72D4" w:rsidP="006641C0">
      <w:pPr>
        <w:spacing w:after="0" w:line="240" w:lineRule="auto"/>
      </w:pPr>
      <w:r>
        <w:separator/>
      </w:r>
    </w:p>
  </w:endnote>
  <w:endnote w:type="continuationSeparator" w:id="0">
    <w:p w14:paraId="321B4A5B" w14:textId="77777777" w:rsidR="00AA72D4" w:rsidRDefault="00AA72D4" w:rsidP="0066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E-BZ">
    <w:altName w:val="Microsoft YaHei"/>
    <w:panose1 w:val="00000000000000000000"/>
    <w:charset w:val="86"/>
    <w:family w:val="auto"/>
    <w:notTrueType/>
    <w:pitch w:val="default"/>
    <w:sig w:usb0="00000001" w:usb1="080F0000" w:usb2="00000010" w:usb3="00000000" w:csb0="00060000" w:csb1="00000000"/>
  </w:font>
  <w:font w:name="Cambria Math">
    <w:panose1 w:val="02040503050406030204"/>
    <w:charset w:val="00"/>
    <w:family w:val="roman"/>
    <w:pitch w:val="variable"/>
    <w:sig w:usb0="E00006FF" w:usb1="420024FF" w:usb2="02000000" w:usb3="00000000" w:csb0="0000019F" w:csb1="00000000"/>
  </w:font>
  <w:font w:name="E-BX">
    <w:altName w:val="Microsoft YaHei"/>
    <w:panose1 w:val="00000000000000000000"/>
    <w:charset w:val="86"/>
    <w:family w:val="auto"/>
    <w:notTrueType/>
    <w:pitch w:val="default"/>
    <w:sig w:usb0="00000001" w:usb1="080F0000" w:usb2="00000010" w:usb3="00000000" w:csb0="00060000" w:csb1="00000000"/>
  </w:font>
  <w:font w:name="E-HZ">
    <w:altName w:val="Microsoft YaHei"/>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C105D" w14:textId="77777777" w:rsidR="00D56112" w:rsidRDefault="00D56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F44C0" w14:textId="77777777" w:rsidR="00D56112" w:rsidRDefault="00D561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B0624" w14:textId="77777777" w:rsidR="00D56112" w:rsidRDefault="00D5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EB4D1" w14:textId="77777777" w:rsidR="00AA72D4" w:rsidRDefault="00AA72D4" w:rsidP="006641C0">
      <w:pPr>
        <w:spacing w:after="0" w:line="240" w:lineRule="auto"/>
      </w:pPr>
      <w:r>
        <w:separator/>
      </w:r>
    </w:p>
  </w:footnote>
  <w:footnote w:type="continuationSeparator" w:id="0">
    <w:p w14:paraId="7118E3CD" w14:textId="77777777" w:rsidR="00AA72D4" w:rsidRDefault="00AA72D4" w:rsidP="0066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AA65E" w14:textId="769F1E08" w:rsidR="00D56112" w:rsidRDefault="00D56112">
    <w:pPr>
      <w:pStyle w:val="Header"/>
    </w:pPr>
    <w:r>
      <w:rPr>
        <w:noProof/>
      </w:rPr>
      <w:pict w14:anchorId="5DFAB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1969" o:spid="_x0000_s2050" type="#_x0000_t136" style="position:absolute;margin-left:0;margin-top:0;width:479.1pt;height:9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16A46" w14:textId="46EE59DE" w:rsidR="00D56112" w:rsidRDefault="00D56112">
    <w:pPr>
      <w:pStyle w:val="Header"/>
    </w:pPr>
    <w:r>
      <w:rPr>
        <w:noProof/>
      </w:rPr>
      <w:pict w14:anchorId="740A3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1970" o:spid="_x0000_s2051" type="#_x0000_t136" style="position:absolute;margin-left:0;margin-top:0;width:479.1pt;height:9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235B" w14:textId="60BFF2F4" w:rsidR="00D56112" w:rsidRDefault="00D56112">
    <w:pPr>
      <w:pStyle w:val="Header"/>
    </w:pPr>
    <w:r>
      <w:rPr>
        <w:noProof/>
      </w:rPr>
      <w:pict w14:anchorId="733F5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81968" o:spid="_x0000_s2049" type="#_x0000_t136" style="position:absolute;margin-left:0;margin-top:0;width:479.1pt;height:9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6218"/>
    <w:multiLevelType w:val="hybridMultilevel"/>
    <w:tmpl w:val="FF422BD8"/>
    <w:lvl w:ilvl="0" w:tplc="413AE0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332225"/>
    <w:multiLevelType w:val="hybridMultilevel"/>
    <w:tmpl w:val="BDA4C5E8"/>
    <w:lvl w:ilvl="0" w:tplc="40090001">
      <w:start w:val="1"/>
      <w:numFmt w:val="bullet"/>
      <w:lvlText w:val=""/>
      <w:lvlJc w:val="left"/>
      <w:pPr>
        <w:ind w:left="360" w:hanging="360"/>
      </w:pPr>
      <w:rPr>
        <w:rFonts w:ascii="Symbol" w:hAnsi="Symbol" w:cs="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abstractNum w:abstractNumId="2" w15:restartNumberingAfterBreak="0">
    <w:nsid w:val="1B234A7C"/>
    <w:multiLevelType w:val="multilevel"/>
    <w:tmpl w:val="91226E30"/>
    <w:lvl w:ilvl="0">
      <w:start w:val="4"/>
      <w:numFmt w:val="decimal"/>
      <w:lvlText w:val="%1."/>
      <w:lvlJc w:val="left"/>
      <w:pPr>
        <w:ind w:left="390" w:hanging="39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FF1094A"/>
    <w:multiLevelType w:val="multilevel"/>
    <w:tmpl w:val="88D8334A"/>
    <w:lvl w:ilvl="0">
      <w:start w:val="1"/>
      <w:numFmt w:val="decimal"/>
      <w:lvlText w:val="%1."/>
      <w:lvlJc w:val="left"/>
      <w:pPr>
        <w:ind w:left="450" w:hanging="450"/>
      </w:pPr>
      <w:rPr>
        <w:rFonts w:hint="default"/>
        <w:b w:val="0"/>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 w15:restartNumberingAfterBreak="0">
    <w:nsid w:val="20A10305"/>
    <w:multiLevelType w:val="multilevel"/>
    <w:tmpl w:val="22CAF6D4"/>
    <w:lvl w:ilvl="0">
      <w:start w:val="4"/>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6C498C"/>
    <w:multiLevelType w:val="hybridMultilevel"/>
    <w:tmpl w:val="5E9AC5A8"/>
    <w:lvl w:ilvl="0" w:tplc="28B8A390">
      <w:start w:val="6"/>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7F5103"/>
    <w:multiLevelType w:val="hybridMultilevel"/>
    <w:tmpl w:val="4D169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522C72"/>
    <w:multiLevelType w:val="hybridMultilevel"/>
    <w:tmpl w:val="AE1CDC74"/>
    <w:lvl w:ilvl="0" w:tplc="E3EED542">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BA767F3"/>
    <w:multiLevelType w:val="multilevel"/>
    <w:tmpl w:val="5DA27650"/>
    <w:lvl w:ilvl="0">
      <w:start w:val="4"/>
      <w:numFmt w:val="decimal"/>
      <w:lvlText w:val="%1."/>
      <w:lvlJc w:val="left"/>
      <w:pPr>
        <w:ind w:left="390" w:hanging="39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D153B6E"/>
    <w:multiLevelType w:val="hybridMultilevel"/>
    <w:tmpl w:val="6540D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A91F3F"/>
    <w:multiLevelType w:val="multilevel"/>
    <w:tmpl w:val="F7FE67C4"/>
    <w:lvl w:ilvl="0">
      <w:start w:val="4"/>
      <w:numFmt w:val="decimal"/>
      <w:lvlText w:val="%1."/>
      <w:lvlJc w:val="left"/>
      <w:pPr>
        <w:ind w:left="390" w:hanging="39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5F81D1B"/>
    <w:multiLevelType w:val="multilevel"/>
    <w:tmpl w:val="7D6AEE7C"/>
    <w:lvl w:ilvl="0">
      <w:start w:val="4"/>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223A73"/>
    <w:multiLevelType w:val="multilevel"/>
    <w:tmpl w:val="341212C6"/>
    <w:lvl w:ilvl="0">
      <w:start w:val="4"/>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A34FA0"/>
    <w:multiLevelType w:val="hybridMultilevel"/>
    <w:tmpl w:val="C6EE35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0D82B38"/>
    <w:multiLevelType w:val="multilevel"/>
    <w:tmpl w:val="6A3A8A16"/>
    <w:lvl w:ilvl="0">
      <w:start w:val="4"/>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922299F"/>
    <w:multiLevelType w:val="multilevel"/>
    <w:tmpl w:val="D2CED41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A303C10"/>
    <w:multiLevelType w:val="hybridMultilevel"/>
    <w:tmpl w:val="08726FF4"/>
    <w:lvl w:ilvl="0" w:tplc="49A49BBC">
      <w:start w:val="1"/>
      <w:numFmt w:val="decimal"/>
      <w:lvlText w:val="%1."/>
      <w:lvlJc w:val="left"/>
      <w:pPr>
        <w:ind w:left="865" w:hanging="360"/>
      </w:pPr>
      <w:rPr>
        <w:rFonts w:hint="default"/>
      </w:rPr>
    </w:lvl>
    <w:lvl w:ilvl="1" w:tplc="40090019" w:tentative="1">
      <w:start w:val="1"/>
      <w:numFmt w:val="lowerLetter"/>
      <w:lvlText w:val="%2."/>
      <w:lvlJc w:val="left"/>
      <w:pPr>
        <w:ind w:left="1585" w:hanging="360"/>
      </w:pPr>
    </w:lvl>
    <w:lvl w:ilvl="2" w:tplc="4009001B" w:tentative="1">
      <w:start w:val="1"/>
      <w:numFmt w:val="lowerRoman"/>
      <w:lvlText w:val="%3."/>
      <w:lvlJc w:val="right"/>
      <w:pPr>
        <w:ind w:left="2305" w:hanging="180"/>
      </w:pPr>
    </w:lvl>
    <w:lvl w:ilvl="3" w:tplc="4009000F" w:tentative="1">
      <w:start w:val="1"/>
      <w:numFmt w:val="decimal"/>
      <w:lvlText w:val="%4."/>
      <w:lvlJc w:val="left"/>
      <w:pPr>
        <w:ind w:left="3025" w:hanging="360"/>
      </w:pPr>
    </w:lvl>
    <w:lvl w:ilvl="4" w:tplc="40090019" w:tentative="1">
      <w:start w:val="1"/>
      <w:numFmt w:val="lowerLetter"/>
      <w:lvlText w:val="%5."/>
      <w:lvlJc w:val="left"/>
      <w:pPr>
        <w:ind w:left="3745" w:hanging="360"/>
      </w:pPr>
    </w:lvl>
    <w:lvl w:ilvl="5" w:tplc="4009001B" w:tentative="1">
      <w:start w:val="1"/>
      <w:numFmt w:val="lowerRoman"/>
      <w:lvlText w:val="%6."/>
      <w:lvlJc w:val="right"/>
      <w:pPr>
        <w:ind w:left="4465" w:hanging="180"/>
      </w:pPr>
    </w:lvl>
    <w:lvl w:ilvl="6" w:tplc="4009000F" w:tentative="1">
      <w:start w:val="1"/>
      <w:numFmt w:val="decimal"/>
      <w:lvlText w:val="%7."/>
      <w:lvlJc w:val="left"/>
      <w:pPr>
        <w:ind w:left="5185" w:hanging="360"/>
      </w:pPr>
    </w:lvl>
    <w:lvl w:ilvl="7" w:tplc="40090019" w:tentative="1">
      <w:start w:val="1"/>
      <w:numFmt w:val="lowerLetter"/>
      <w:lvlText w:val="%8."/>
      <w:lvlJc w:val="left"/>
      <w:pPr>
        <w:ind w:left="5905" w:hanging="360"/>
      </w:pPr>
    </w:lvl>
    <w:lvl w:ilvl="8" w:tplc="4009001B" w:tentative="1">
      <w:start w:val="1"/>
      <w:numFmt w:val="lowerRoman"/>
      <w:lvlText w:val="%9."/>
      <w:lvlJc w:val="right"/>
      <w:pPr>
        <w:ind w:left="6625" w:hanging="180"/>
      </w:pPr>
    </w:lvl>
  </w:abstractNum>
  <w:abstractNum w:abstractNumId="17" w15:restartNumberingAfterBreak="0">
    <w:nsid w:val="5AF23222"/>
    <w:multiLevelType w:val="multilevel"/>
    <w:tmpl w:val="E8B65468"/>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FC84447"/>
    <w:multiLevelType w:val="hybridMultilevel"/>
    <w:tmpl w:val="1FDEFE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08353F6"/>
    <w:multiLevelType w:val="multilevel"/>
    <w:tmpl w:val="793A3C58"/>
    <w:lvl w:ilvl="0">
      <w:start w:val="4"/>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1037D2E"/>
    <w:multiLevelType w:val="hybridMultilevel"/>
    <w:tmpl w:val="56E4FD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961150"/>
    <w:multiLevelType w:val="hybridMultilevel"/>
    <w:tmpl w:val="1D2C73BC"/>
    <w:lvl w:ilvl="0" w:tplc="3CF2A2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328346D"/>
    <w:multiLevelType w:val="multilevel"/>
    <w:tmpl w:val="D5A84152"/>
    <w:lvl w:ilvl="0">
      <w:start w:val="4"/>
      <w:numFmt w:val="decimal"/>
      <w:lvlText w:val="%1."/>
      <w:lvlJc w:val="left"/>
      <w:pPr>
        <w:ind w:left="390" w:hanging="390"/>
      </w:pPr>
      <w:rPr>
        <w:rFonts w:hint="default"/>
      </w:rPr>
    </w:lvl>
    <w:lvl w:ilvl="1">
      <w:start w:val="7"/>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40F4E8C"/>
    <w:multiLevelType w:val="hybridMultilevel"/>
    <w:tmpl w:val="65A4B124"/>
    <w:lvl w:ilvl="0" w:tplc="5B02E776">
      <w:start w:val="1"/>
      <w:numFmt w:val="decimal"/>
      <w:lvlText w:val="%1."/>
      <w:lvlJc w:val="left"/>
      <w:pPr>
        <w:ind w:left="486" w:hanging="360"/>
      </w:pPr>
      <w:rPr>
        <w:rFonts w:hint="default"/>
        <w:b w:val="0"/>
      </w:rPr>
    </w:lvl>
    <w:lvl w:ilvl="1" w:tplc="40090019" w:tentative="1">
      <w:start w:val="1"/>
      <w:numFmt w:val="lowerLetter"/>
      <w:lvlText w:val="%2."/>
      <w:lvlJc w:val="left"/>
      <w:pPr>
        <w:ind w:left="1206" w:hanging="360"/>
      </w:pPr>
    </w:lvl>
    <w:lvl w:ilvl="2" w:tplc="4009001B" w:tentative="1">
      <w:start w:val="1"/>
      <w:numFmt w:val="lowerRoman"/>
      <w:lvlText w:val="%3."/>
      <w:lvlJc w:val="right"/>
      <w:pPr>
        <w:ind w:left="1926" w:hanging="180"/>
      </w:pPr>
    </w:lvl>
    <w:lvl w:ilvl="3" w:tplc="4009000F" w:tentative="1">
      <w:start w:val="1"/>
      <w:numFmt w:val="decimal"/>
      <w:lvlText w:val="%4."/>
      <w:lvlJc w:val="left"/>
      <w:pPr>
        <w:ind w:left="2646" w:hanging="360"/>
      </w:pPr>
    </w:lvl>
    <w:lvl w:ilvl="4" w:tplc="40090019" w:tentative="1">
      <w:start w:val="1"/>
      <w:numFmt w:val="lowerLetter"/>
      <w:lvlText w:val="%5."/>
      <w:lvlJc w:val="left"/>
      <w:pPr>
        <w:ind w:left="3366" w:hanging="360"/>
      </w:pPr>
    </w:lvl>
    <w:lvl w:ilvl="5" w:tplc="4009001B" w:tentative="1">
      <w:start w:val="1"/>
      <w:numFmt w:val="lowerRoman"/>
      <w:lvlText w:val="%6."/>
      <w:lvlJc w:val="right"/>
      <w:pPr>
        <w:ind w:left="4086" w:hanging="180"/>
      </w:pPr>
    </w:lvl>
    <w:lvl w:ilvl="6" w:tplc="4009000F" w:tentative="1">
      <w:start w:val="1"/>
      <w:numFmt w:val="decimal"/>
      <w:lvlText w:val="%7."/>
      <w:lvlJc w:val="left"/>
      <w:pPr>
        <w:ind w:left="4806" w:hanging="360"/>
      </w:pPr>
    </w:lvl>
    <w:lvl w:ilvl="7" w:tplc="40090019" w:tentative="1">
      <w:start w:val="1"/>
      <w:numFmt w:val="lowerLetter"/>
      <w:lvlText w:val="%8."/>
      <w:lvlJc w:val="left"/>
      <w:pPr>
        <w:ind w:left="5526" w:hanging="360"/>
      </w:pPr>
    </w:lvl>
    <w:lvl w:ilvl="8" w:tplc="4009001B" w:tentative="1">
      <w:start w:val="1"/>
      <w:numFmt w:val="lowerRoman"/>
      <w:lvlText w:val="%9."/>
      <w:lvlJc w:val="right"/>
      <w:pPr>
        <w:ind w:left="6246" w:hanging="180"/>
      </w:pPr>
    </w:lvl>
  </w:abstractNum>
  <w:abstractNum w:abstractNumId="24" w15:restartNumberingAfterBreak="0">
    <w:nsid w:val="65B236A4"/>
    <w:multiLevelType w:val="hybridMultilevel"/>
    <w:tmpl w:val="D0E8D990"/>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5EC4FA3"/>
    <w:multiLevelType w:val="hybridMultilevel"/>
    <w:tmpl w:val="EC4603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6B6333B"/>
    <w:multiLevelType w:val="multilevel"/>
    <w:tmpl w:val="1A686154"/>
    <w:lvl w:ilvl="0">
      <w:start w:val="4"/>
      <w:numFmt w:val="decimal"/>
      <w:lvlText w:val="%1."/>
      <w:lvlJc w:val="left"/>
      <w:pPr>
        <w:ind w:left="585" w:hanging="585"/>
      </w:pPr>
      <w:rPr>
        <w:rFonts w:hint="default"/>
      </w:rPr>
    </w:lvl>
    <w:lvl w:ilvl="1">
      <w:start w:val="7"/>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AC96F5A"/>
    <w:multiLevelType w:val="hybridMultilevel"/>
    <w:tmpl w:val="BCE0730E"/>
    <w:lvl w:ilvl="0" w:tplc="4009000F">
      <w:start w:val="1"/>
      <w:numFmt w:val="decimal"/>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8" w15:restartNumberingAfterBreak="0">
    <w:nsid w:val="6AD54966"/>
    <w:multiLevelType w:val="multilevel"/>
    <w:tmpl w:val="0480239C"/>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F22788"/>
    <w:multiLevelType w:val="hybridMultilevel"/>
    <w:tmpl w:val="F56CD9B8"/>
    <w:lvl w:ilvl="0" w:tplc="0E0C5AEE">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E9C2549"/>
    <w:multiLevelType w:val="hybridMultilevel"/>
    <w:tmpl w:val="66380D4A"/>
    <w:lvl w:ilvl="0" w:tplc="4009000F">
      <w:start w:val="1"/>
      <w:numFmt w:val="decimal"/>
      <w:lvlText w:val="%1."/>
      <w:lvlJc w:val="left"/>
      <w:pPr>
        <w:ind w:left="643"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0955E22"/>
    <w:multiLevelType w:val="multilevel"/>
    <w:tmpl w:val="A3428C76"/>
    <w:lvl w:ilvl="0">
      <w:start w:val="3"/>
      <w:numFmt w:val="decimal"/>
      <w:lvlText w:val="%1."/>
      <w:lvlJc w:val="left"/>
      <w:pPr>
        <w:ind w:left="585" w:hanging="585"/>
      </w:pPr>
      <w:rPr>
        <w:rFonts w:hint="default"/>
      </w:rPr>
    </w:lvl>
    <w:lvl w:ilvl="1">
      <w:start w:val="5"/>
      <w:numFmt w:val="decimal"/>
      <w:lvlText w:val="%1.%2."/>
      <w:lvlJc w:val="left"/>
      <w:pPr>
        <w:ind w:left="1146" w:hanging="720"/>
      </w:pPr>
      <w:rPr>
        <w:rFonts w:hint="default"/>
        <w:i w:val="0"/>
      </w:rPr>
    </w:lvl>
    <w:lvl w:ilvl="2">
      <w:start w:val="4"/>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1911D00"/>
    <w:multiLevelType w:val="hybridMultilevel"/>
    <w:tmpl w:val="F2D8D66E"/>
    <w:lvl w:ilvl="0" w:tplc="D0CCDFDE">
      <w:start w:val="1"/>
      <w:numFmt w:val="upperRoman"/>
      <w:lvlText w:val="%1."/>
      <w:lvlJc w:val="left"/>
      <w:pPr>
        <w:ind w:left="1003" w:hanging="720"/>
      </w:pPr>
      <w:rPr>
        <w:rFonts w:hint="default"/>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3" w15:restartNumberingAfterBreak="0">
    <w:nsid w:val="78214C9B"/>
    <w:multiLevelType w:val="multilevel"/>
    <w:tmpl w:val="5894BC50"/>
    <w:lvl w:ilvl="0">
      <w:start w:val="4"/>
      <w:numFmt w:val="decimal"/>
      <w:lvlText w:val="%1."/>
      <w:lvlJc w:val="left"/>
      <w:pPr>
        <w:ind w:left="585" w:hanging="585"/>
      </w:pPr>
      <w:rPr>
        <w:rFonts w:hint="default"/>
      </w:rPr>
    </w:lvl>
    <w:lvl w:ilvl="1">
      <w:start w:val="7"/>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A2612C"/>
    <w:multiLevelType w:val="hybridMultilevel"/>
    <w:tmpl w:val="919444AA"/>
    <w:lvl w:ilvl="0" w:tplc="AE3A6E64">
      <w:start w:val="1"/>
      <w:numFmt w:val="decimal"/>
      <w:lvlText w:val="%1."/>
      <w:lvlJc w:val="left"/>
      <w:pPr>
        <w:ind w:left="877" w:hanging="630"/>
      </w:pPr>
      <w:rPr>
        <w:rFonts w:hint="default"/>
      </w:rPr>
    </w:lvl>
    <w:lvl w:ilvl="1" w:tplc="40090019" w:tentative="1">
      <w:start w:val="1"/>
      <w:numFmt w:val="lowerLetter"/>
      <w:lvlText w:val="%2."/>
      <w:lvlJc w:val="left"/>
      <w:pPr>
        <w:ind w:left="1327" w:hanging="360"/>
      </w:pPr>
    </w:lvl>
    <w:lvl w:ilvl="2" w:tplc="4009001B" w:tentative="1">
      <w:start w:val="1"/>
      <w:numFmt w:val="lowerRoman"/>
      <w:lvlText w:val="%3."/>
      <w:lvlJc w:val="right"/>
      <w:pPr>
        <w:ind w:left="2047" w:hanging="180"/>
      </w:pPr>
    </w:lvl>
    <w:lvl w:ilvl="3" w:tplc="4009000F" w:tentative="1">
      <w:start w:val="1"/>
      <w:numFmt w:val="decimal"/>
      <w:lvlText w:val="%4."/>
      <w:lvlJc w:val="left"/>
      <w:pPr>
        <w:ind w:left="2767" w:hanging="360"/>
      </w:pPr>
    </w:lvl>
    <w:lvl w:ilvl="4" w:tplc="40090019" w:tentative="1">
      <w:start w:val="1"/>
      <w:numFmt w:val="lowerLetter"/>
      <w:lvlText w:val="%5."/>
      <w:lvlJc w:val="left"/>
      <w:pPr>
        <w:ind w:left="3487" w:hanging="360"/>
      </w:pPr>
    </w:lvl>
    <w:lvl w:ilvl="5" w:tplc="4009001B" w:tentative="1">
      <w:start w:val="1"/>
      <w:numFmt w:val="lowerRoman"/>
      <w:lvlText w:val="%6."/>
      <w:lvlJc w:val="right"/>
      <w:pPr>
        <w:ind w:left="4207" w:hanging="180"/>
      </w:pPr>
    </w:lvl>
    <w:lvl w:ilvl="6" w:tplc="4009000F" w:tentative="1">
      <w:start w:val="1"/>
      <w:numFmt w:val="decimal"/>
      <w:lvlText w:val="%7."/>
      <w:lvlJc w:val="left"/>
      <w:pPr>
        <w:ind w:left="4927" w:hanging="360"/>
      </w:pPr>
    </w:lvl>
    <w:lvl w:ilvl="7" w:tplc="40090019" w:tentative="1">
      <w:start w:val="1"/>
      <w:numFmt w:val="lowerLetter"/>
      <w:lvlText w:val="%8."/>
      <w:lvlJc w:val="left"/>
      <w:pPr>
        <w:ind w:left="5647" w:hanging="360"/>
      </w:pPr>
    </w:lvl>
    <w:lvl w:ilvl="8" w:tplc="4009001B" w:tentative="1">
      <w:start w:val="1"/>
      <w:numFmt w:val="lowerRoman"/>
      <w:lvlText w:val="%9."/>
      <w:lvlJc w:val="right"/>
      <w:pPr>
        <w:ind w:left="6367" w:hanging="180"/>
      </w:pPr>
    </w:lvl>
  </w:abstractNum>
  <w:abstractNum w:abstractNumId="35" w15:restartNumberingAfterBreak="0">
    <w:nsid w:val="7FB50D2B"/>
    <w:multiLevelType w:val="hybridMultilevel"/>
    <w:tmpl w:val="C3B6B532"/>
    <w:lvl w:ilvl="0" w:tplc="0409000F">
      <w:start w:val="1"/>
      <w:numFmt w:val="decimal"/>
      <w:lvlText w:val="%1."/>
      <w:lvlJc w:val="left"/>
      <w:pPr>
        <w:ind w:left="360" w:hanging="360"/>
      </w:pPr>
      <w:rPr>
        <w:rFont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cs="Wingdings" w:hint="default"/>
      </w:rPr>
    </w:lvl>
    <w:lvl w:ilvl="3" w:tplc="40090001">
      <w:start w:val="1"/>
      <w:numFmt w:val="bullet"/>
      <w:lvlText w:val=""/>
      <w:lvlJc w:val="left"/>
      <w:pPr>
        <w:ind w:left="2880" w:hanging="360"/>
      </w:pPr>
      <w:rPr>
        <w:rFonts w:ascii="Symbol" w:hAnsi="Symbol" w:cs="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cs="Wingdings" w:hint="default"/>
      </w:rPr>
    </w:lvl>
    <w:lvl w:ilvl="6" w:tplc="40090001">
      <w:start w:val="1"/>
      <w:numFmt w:val="bullet"/>
      <w:lvlText w:val=""/>
      <w:lvlJc w:val="left"/>
      <w:pPr>
        <w:ind w:left="5040" w:hanging="360"/>
      </w:pPr>
      <w:rPr>
        <w:rFonts w:ascii="Symbol" w:hAnsi="Symbol" w:cs="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cs="Wingdings" w:hint="default"/>
      </w:rPr>
    </w:lvl>
  </w:abstractNum>
  <w:num w:numId="1">
    <w:abstractNumId w:val="9"/>
  </w:num>
  <w:num w:numId="2">
    <w:abstractNumId w:val="31"/>
  </w:num>
  <w:num w:numId="3">
    <w:abstractNumId w:val="3"/>
  </w:num>
  <w:num w:numId="4">
    <w:abstractNumId w:val="13"/>
  </w:num>
  <w:num w:numId="5">
    <w:abstractNumId w:val="18"/>
  </w:num>
  <w:num w:numId="6">
    <w:abstractNumId w:val="29"/>
  </w:num>
  <w:num w:numId="7">
    <w:abstractNumId w:val="25"/>
  </w:num>
  <w:num w:numId="8">
    <w:abstractNumId w:val="27"/>
  </w:num>
  <w:num w:numId="9">
    <w:abstractNumId w:val="30"/>
  </w:num>
  <w:num w:numId="10">
    <w:abstractNumId w:val="32"/>
  </w:num>
  <w:num w:numId="11">
    <w:abstractNumId w:val="16"/>
  </w:num>
  <w:num w:numId="12">
    <w:abstractNumId w:val="23"/>
  </w:num>
  <w:num w:numId="13">
    <w:abstractNumId w:val="0"/>
  </w:num>
  <w:num w:numId="14">
    <w:abstractNumId w:val="1"/>
  </w:num>
  <w:num w:numId="15">
    <w:abstractNumId w:val="5"/>
  </w:num>
  <w:num w:numId="16">
    <w:abstractNumId w:val="12"/>
  </w:num>
  <w:num w:numId="17">
    <w:abstractNumId w:val="14"/>
  </w:num>
  <w:num w:numId="18">
    <w:abstractNumId w:val="4"/>
  </w:num>
  <w:num w:numId="19">
    <w:abstractNumId w:val="19"/>
  </w:num>
  <w:num w:numId="20">
    <w:abstractNumId w:val="8"/>
  </w:num>
  <w:num w:numId="21">
    <w:abstractNumId w:val="22"/>
  </w:num>
  <w:num w:numId="22">
    <w:abstractNumId w:val="10"/>
  </w:num>
  <w:num w:numId="23">
    <w:abstractNumId w:val="2"/>
  </w:num>
  <w:num w:numId="24">
    <w:abstractNumId w:val="33"/>
  </w:num>
  <w:num w:numId="25">
    <w:abstractNumId w:val="26"/>
  </w:num>
  <w:num w:numId="26">
    <w:abstractNumId w:val="17"/>
  </w:num>
  <w:num w:numId="27">
    <w:abstractNumId w:val="34"/>
  </w:num>
  <w:num w:numId="28">
    <w:abstractNumId w:val="21"/>
  </w:num>
  <w:num w:numId="29">
    <w:abstractNumId w:val="7"/>
  </w:num>
  <w:num w:numId="30">
    <w:abstractNumId w:val="28"/>
  </w:num>
  <w:num w:numId="31">
    <w:abstractNumId w:val="24"/>
  </w:num>
  <w:num w:numId="32">
    <w:abstractNumId w:val="6"/>
  </w:num>
  <w:num w:numId="33">
    <w:abstractNumId w:val="35"/>
  </w:num>
  <w:num w:numId="34">
    <w:abstractNumId w:val="11"/>
  </w:num>
  <w:num w:numId="35">
    <w:abstractNumId w:val="15"/>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4812"/>
    <w:rsid w:val="00010BC3"/>
    <w:rsid w:val="0001236E"/>
    <w:rsid w:val="00026FCF"/>
    <w:rsid w:val="000353A3"/>
    <w:rsid w:val="00044DC6"/>
    <w:rsid w:val="000700DC"/>
    <w:rsid w:val="00083C74"/>
    <w:rsid w:val="00091A01"/>
    <w:rsid w:val="000941AB"/>
    <w:rsid w:val="000A05FF"/>
    <w:rsid w:val="000C1607"/>
    <w:rsid w:val="000E0E10"/>
    <w:rsid w:val="000F600A"/>
    <w:rsid w:val="00105854"/>
    <w:rsid w:val="001217C7"/>
    <w:rsid w:val="00122CD8"/>
    <w:rsid w:val="00124EDB"/>
    <w:rsid w:val="001351C2"/>
    <w:rsid w:val="00146152"/>
    <w:rsid w:val="0017594A"/>
    <w:rsid w:val="0018345F"/>
    <w:rsid w:val="001836FA"/>
    <w:rsid w:val="00183D34"/>
    <w:rsid w:val="001861DC"/>
    <w:rsid w:val="00186AEE"/>
    <w:rsid w:val="0019092D"/>
    <w:rsid w:val="00191FF8"/>
    <w:rsid w:val="001B2392"/>
    <w:rsid w:val="001B314B"/>
    <w:rsid w:val="001C36A1"/>
    <w:rsid w:val="001C56EA"/>
    <w:rsid w:val="001D232D"/>
    <w:rsid w:val="001E10FD"/>
    <w:rsid w:val="001E2167"/>
    <w:rsid w:val="001E3504"/>
    <w:rsid w:val="001E7011"/>
    <w:rsid w:val="001F10C6"/>
    <w:rsid w:val="001F61B1"/>
    <w:rsid w:val="0020745A"/>
    <w:rsid w:val="002127A1"/>
    <w:rsid w:val="00220BB4"/>
    <w:rsid w:val="002400A2"/>
    <w:rsid w:val="00253F1E"/>
    <w:rsid w:val="00271A85"/>
    <w:rsid w:val="00276CC3"/>
    <w:rsid w:val="002839B8"/>
    <w:rsid w:val="0028532A"/>
    <w:rsid w:val="00287AB5"/>
    <w:rsid w:val="0029061D"/>
    <w:rsid w:val="002C120C"/>
    <w:rsid w:val="002C2A33"/>
    <w:rsid w:val="002C6867"/>
    <w:rsid w:val="002D3AAA"/>
    <w:rsid w:val="002F6752"/>
    <w:rsid w:val="00307327"/>
    <w:rsid w:val="003147B7"/>
    <w:rsid w:val="00315829"/>
    <w:rsid w:val="00323E2F"/>
    <w:rsid w:val="00346000"/>
    <w:rsid w:val="00353D3D"/>
    <w:rsid w:val="00362AF4"/>
    <w:rsid w:val="00364CB5"/>
    <w:rsid w:val="00366CBE"/>
    <w:rsid w:val="003925B7"/>
    <w:rsid w:val="003A3FDB"/>
    <w:rsid w:val="003A4DDB"/>
    <w:rsid w:val="003B013C"/>
    <w:rsid w:val="003B1D6C"/>
    <w:rsid w:val="003B484D"/>
    <w:rsid w:val="003C064E"/>
    <w:rsid w:val="003C2354"/>
    <w:rsid w:val="003D22AF"/>
    <w:rsid w:val="003D536E"/>
    <w:rsid w:val="003D7FAD"/>
    <w:rsid w:val="003F5810"/>
    <w:rsid w:val="00400EB3"/>
    <w:rsid w:val="00421BF3"/>
    <w:rsid w:val="00422C31"/>
    <w:rsid w:val="00432864"/>
    <w:rsid w:val="004418FE"/>
    <w:rsid w:val="004527D7"/>
    <w:rsid w:val="0045628F"/>
    <w:rsid w:val="00461397"/>
    <w:rsid w:val="004857F1"/>
    <w:rsid w:val="00493670"/>
    <w:rsid w:val="00495AC4"/>
    <w:rsid w:val="004A3278"/>
    <w:rsid w:val="004A7C57"/>
    <w:rsid w:val="004B5372"/>
    <w:rsid w:val="004D4852"/>
    <w:rsid w:val="004E40C3"/>
    <w:rsid w:val="004E4724"/>
    <w:rsid w:val="004E7B5C"/>
    <w:rsid w:val="004F70B5"/>
    <w:rsid w:val="00507F3D"/>
    <w:rsid w:val="00515382"/>
    <w:rsid w:val="00545CB1"/>
    <w:rsid w:val="00545F66"/>
    <w:rsid w:val="00563C72"/>
    <w:rsid w:val="005723BD"/>
    <w:rsid w:val="005A6169"/>
    <w:rsid w:val="005E32B7"/>
    <w:rsid w:val="005E7DDD"/>
    <w:rsid w:val="005F233F"/>
    <w:rsid w:val="00615186"/>
    <w:rsid w:val="00632DF4"/>
    <w:rsid w:val="006374F9"/>
    <w:rsid w:val="00642CB5"/>
    <w:rsid w:val="00657337"/>
    <w:rsid w:val="00657D2B"/>
    <w:rsid w:val="006641C0"/>
    <w:rsid w:val="0068299F"/>
    <w:rsid w:val="0068697C"/>
    <w:rsid w:val="006978E3"/>
    <w:rsid w:val="006A2EF2"/>
    <w:rsid w:val="006B315F"/>
    <w:rsid w:val="006B7645"/>
    <w:rsid w:val="006C29D2"/>
    <w:rsid w:val="006C563F"/>
    <w:rsid w:val="006E67AD"/>
    <w:rsid w:val="006E7F00"/>
    <w:rsid w:val="006F1AD0"/>
    <w:rsid w:val="006F2780"/>
    <w:rsid w:val="006F3B75"/>
    <w:rsid w:val="007118BC"/>
    <w:rsid w:val="00714C05"/>
    <w:rsid w:val="00733047"/>
    <w:rsid w:val="0074097D"/>
    <w:rsid w:val="00760498"/>
    <w:rsid w:val="007720C8"/>
    <w:rsid w:val="007903C8"/>
    <w:rsid w:val="007A18F7"/>
    <w:rsid w:val="007A2AC4"/>
    <w:rsid w:val="007A4552"/>
    <w:rsid w:val="007B2799"/>
    <w:rsid w:val="007C3E29"/>
    <w:rsid w:val="007C4A33"/>
    <w:rsid w:val="007C533A"/>
    <w:rsid w:val="00834E7A"/>
    <w:rsid w:val="00872838"/>
    <w:rsid w:val="00887514"/>
    <w:rsid w:val="008A003F"/>
    <w:rsid w:val="008B3409"/>
    <w:rsid w:val="008E15C3"/>
    <w:rsid w:val="008E3BFA"/>
    <w:rsid w:val="008E4A20"/>
    <w:rsid w:val="008F3E7D"/>
    <w:rsid w:val="0091558B"/>
    <w:rsid w:val="0091743D"/>
    <w:rsid w:val="00940FA8"/>
    <w:rsid w:val="009438ED"/>
    <w:rsid w:val="0094418D"/>
    <w:rsid w:val="00950AFF"/>
    <w:rsid w:val="00952EB1"/>
    <w:rsid w:val="0095656A"/>
    <w:rsid w:val="00956751"/>
    <w:rsid w:val="00985114"/>
    <w:rsid w:val="00986ED2"/>
    <w:rsid w:val="009918E3"/>
    <w:rsid w:val="009A5894"/>
    <w:rsid w:val="009B5DFF"/>
    <w:rsid w:val="009B6675"/>
    <w:rsid w:val="009C1CAE"/>
    <w:rsid w:val="009E3342"/>
    <w:rsid w:val="009F1B2D"/>
    <w:rsid w:val="009F2083"/>
    <w:rsid w:val="00A1299D"/>
    <w:rsid w:val="00A16BA4"/>
    <w:rsid w:val="00A25DF1"/>
    <w:rsid w:val="00A31BFC"/>
    <w:rsid w:val="00A472CA"/>
    <w:rsid w:val="00A57563"/>
    <w:rsid w:val="00A62A06"/>
    <w:rsid w:val="00A63F99"/>
    <w:rsid w:val="00A80C64"/>
    <w:rsid w:val="00A811BE"/>
    <w:rsid w:val="00AA396E"/>
    <w:rsid w:val="00AA72D4"/>
    <w:rsid w:val="00AC5049"/>
    <w:rsid w:val="00AE33E5"/>
    <w:rsid w:val="00AE5EC2"/>
    <w:rsid w:val="00AF04A3"/>
    <w:rsid w:val="00B106BB"/>
    <w:rsid w:val="00B17F04"/>
    <w:rsid w:val="00B32E64"/>
    <w:rsid w:val="00B4223C"/>
    <w:rsid w:val="00B61BD2"/>
    <w:rsid w:val="00B66244"/>
    <w:rsid w:val="00B709D2"/>
    <w:rsid w:val="00B70A22"/>
    <w:rsid w:val="00BB035E"/>
    <w:rsid w:val="00BC2ACE"/>
    <w:rsid w:val="00BD7178"/>
    <w:rsid w:val="00BF72BA"/>
    <w:rsid w:val="00C02685"/>
    <w:rsid w:val="00C20E6D"/>
    <w:rsid w:val="00C32F5F"/>
    <w:rsid w:val="00C33874"/>
    <w:rsid w:val="00C3427E"/>
    <w:rsid w:val="00C37B2A"/>
    <w:rsid w:val="00C40407"/>
    <w:rsid w:val="00C41BE2"/>
    <w:rsid w:val="00C52CF4"/>
    <w:rsid w:val="00C63BFE"/>
    <w:rsid w:val="00C64585"/>
    <w:rsid w:val="00C6744C"/>
    <w:rsid w:val="00C90ADD"/>
    <w:rsid w:val="00CA254D"/>
    <w:rsid w:val="00CA78B9"/>
    <w:rsid w:val="00CC2318"/>
    <w:rsid w:val="00CD3D96"/>
    <w:rsid w:val="00CD3FDC"/>
    <w:rsid w:val="00CE4DF5"/>
    <w:rsid w:val="00CE6B1F"/>
    <w:rsid w:val="00D2009B"/>
    <w:rsid w:val="00D2259A"/>
    <w:rsid w:val="00D22F7D"/>
    <w:rsid w:val="00D254DB"/>
    <w:rsid w:val="00D275A8"/>
    <w:rsid w:val="00D44655"/>
    <w:rsid w:val="00D44866"/>
    <w:rsid w:val="00D47EA3"/>
    <w:rsid w:val="00D56112"/>
    <w:rsid w:val="00D72042"/>
    <w:rsid w:val="00D812DF"/>
    <w:rsid w:val="00D83916"/>
    <w:rsid w:val="00DA0FEB"/>
    <w:rsid w:val="00DA1955"/>
    <w:rsid w:val="00DB131A"/>
    <w:rsid w:val="00DB3CEB"/>
    <w:rsid w:val="00DB709D"/>
    <w:rsid w:val="00DC4812"/>
    <w:rsid w:val="00DE1839"/>
    <w:rsid w:val="00DF03AD"/>
    <w:rsid w:val="00DF4170"/>
    <w:rsid w:val="00DF6CAB"/>
    <w:rsid w:val="00E059AD"/>
    <w:rsid w:val="00E10678"/>
    <w:rsid w:val="00E1104C"/>
    <w:rsid w:val="00E13CA6"/>
    <w:rsid w:val="00E15981"/>
    <w:rsid w:val="00E1658F"/>
    <w:rsid w:val="00E2657B"/>
    <w:rsid w:val="00E3686F"/>
    <w:rsid w:val="00E504AC"/>
    <w:rsid w:val="00E711C8"/>
    <w:rsid w:val="00E755E4"/>
    <w:rsid w:val="00E82DA2"/>
    <w:rsid w:val="00E82E82"/>
    <w:rsid w:val="00E848BF"/>
    <w:rsid w:val="00E8643D"/>
    <w:rsid w:val="00EA6778"/>
    <w:rsid w:val="00EA7E24"/>
    <w:rsid w:val="00EC1C56"/>
    <w:rsid w:val="00EC3A2C"/>
    <w:rsid w:val="00ED55BA"/>
    <w:rsid w:val="00F041EC"/>
    <w:rsid w:val="00F141CE"/>
    <w:rsid w:val="00F143C3"/>
    <w:rsid w:val="00F14F82"/>
    <w:rsid w:val="00F20F51"/>
    <w:rsid w:val="00F361A3"/>
    <w:rsid w:val="00F44EA7"/>
    <w:rsid w:val="00F6241E"/>
    <w:rsid w:val="00F6265D"/>
    <w:rsid w:val="00F67160"/>
    <w:rsid w:val="00F70AA4"/>
    <w:rsid w:val="00F724B2"/>
    <w:rsid w:val="00F94F24"/>
    <w:rsid w:val="00F97618"/>
    <w:rsid w:val="00FA6970"/>
    <w:rsid w:val="00FA6F18"/>
    <w:rsid w:val="00FB5166"/>
    <w:rsid w:val="00FB7DBA"/>
    <w:rsid w:val="00FC00E5"/>
    <w:rsid w:val="00FE58E9"/>
    <w:rsid w:val="00FE631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1"/>
      </o:rules>
    </o:shapelayout>
  </w:shapeDefaults>
  <w:decimalSymbol w:val="."/>
  <w:listSeparator w:val=","/>
  <w14:docId w14:val="78413A20"/>
  <w15:docId w15:val="{394001E2-FE8E-42E1-B071-59A29D4A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812"/>
  </w:style>
  <w:style w:type="paragraph" w:styleId="Heading1">
    <w:name w:val="heading 1"/>
    <w:basedOn w:val="Normal"/>
    <w:link w:val="Heading1Char"/>
    <w:uiPriority w:val="9"/>
    <w:qFormat/>
    <w:rsid w:val="000E0E1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unhideWhenUsed/>
    <w:qFormat/>
    <w:rsid w:val="000E0E10"/>
    <w:pPr>
      <w:keepNext/>
      <w:spacing w:before="240" w:after="60" w:line="360" w:lineRule="auto"/>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unhideWhenUsed/>
    <w:qFormat/>
    <w:rsid w:val="000E0E10"/>
    <w:pPr>
      <w:spacing w:before="240" w:after="60" w:line="36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0E0E10"/>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10"/>
    <w:rPr>
      <w:rFonts w:ascii="Times New Roman" w:eastAsia="Times New Roman" w:hAnsi="Times New Roman" w:cs="Times New Roman"/>
      <w:b/>
      <w:bCs/>
      <w:kern w:val="36"/>
      <w:sz w:val="48"/>
      <w:szCs w:val="48"/>
      <w:lang w:val="en-US"/>
    </w:rPr>
  </w:style>
  <w:style w:type="character" w:customStyle="1" w:styleId="Heading3Char">
    <w:name w:val="Heading 3 Char"/>
    <w:basedOn w:val="DefaultParagraphFont"/>
    <w:link w:val="Heading3"/>
    <w:uiPriority w:val="9"/>
    <w:rsid w:val="000E0E10"/>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rsid w:val="000E0E10"/>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E0E10"/>
    <w:rPr>
      <w:rFonts w:ascii="Times New Roman" w:eastAsia="Times New Roman" w:hAnsi="Times New Roman" w:cs="Times New Roman"/>
      <w:b/>
      <w:bCs/>
      <w:lang w:val="en-US"/>
    </w:rPr>
  </w:style>
  <w:style w:type="paragraph" w:customStyle="1" w:styleId="Default">
    <w:name w:val="Default"/>
    <w:rsid w:val="000E0E1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0E0E10"/>
    <w:pPr>
      <w:ind w:left="720"/>
      <w:contextualSpacing/>
    </w:pPr>
    <w:rPr>
      <w:rFonts w:ascii="Calibri" w:eastAsia="Calibri" w:hAnsi="Calibri" w:cs="Times New Roman"/>
      <w:lang w:val="en-US"/>
    </w:rPr>
  </w:style>
  <w:style w:type="paragraph" w:styleId="BodyText">
    <w:name w:val="Body Text"/>
    <w:basedOn w:val="Normal"/>
    <w:link w:val="BodyTextChar"/>
    <w:rsid w:val="000E0E10"/>
    <w:pPr>
      <w:spacing w:after="120"/>
    </w:pPr>
    <w:rPr>
      <w:rFonts w:ascii="Calibri" w:eastAsia="Calibri" w:hAnsi="Calibri" w:cs="Calibri"/>
    </w:rPr>
  </w:style>
  <w:style w:type="character" w:customStyle="1" w:styleId="BodyTextChar">
    <w:name w:val="Body Text Char"/>
    <w:basedOn w:val="DefaultParagraphFont"/>
    <w:link w:val="BodyText"/>
    <w:rsid w:val="000E0E10"/>
    <w:rPr>
      <w:rFonts w:ascii="Calibri" w:eastAsia="Calibri" w:hAnsi="Calibri" w:cs="Calibri"/>
    </w:rPr>
  </w:style>
  <w:style w:type="paragraph" w:styleId="BodyTextIndent">
    <w:name w:val="Body Text Indent"/>
    <w:basedOn w:val="Normal"/>
    <w:link w:val="BodyTextIndentChar"/>
    <w:uiPriority w:val="99"/>
    <w:semiHidden/>
    <w:unhideWhenUsed/>
    <w:rsid w:val="000E0E10"/>
    <w:pPr>
      <w:spacing w:after="120" w:line="240" w:lineRule="auto"/>
      <w:ind w:left="360"/>
    </w:pPr>
    <w:rPr>
      <w:rFonts w:ascii="Times New Roman" w:eastAsia="Times New Roman" w:hAnsi="Times New Roman" w:cs="Times New Roman"/>
      <w:lang w:val="en-US"/>
    </w:rPr>
  </w:style>
  <w:style w:type="character" w:customStyle="1" w:styleId="BodyTextIndentChar">
    <w:name w:val="Body Text Indent Char"/>
    <w:basedOn w:val="DefaultParagraphFont"/>
    <w:link w:val="BodyTextIndent"/>
    <w:uiPriority w:val="99"/>
    <w:semiHidden/>
    <w:rsid w:val="000E0E10"/>
    <w:rPr>
      <w:rFonts w:ascii="Times New Roman" w:eastAsia="Times New Roman" w:hAnsi="Times New Roman" w:cs="Times New Roman"/>
      <w:lang w:val="en-US"/>
    </w:rPr>
  </w:style>
  <w:style w:type="paragraph" w:styleId="BodyTextIndent2">
    <w:name w:val="Body Text Indent 2"/>
    <w:basedOn w:val="Normal"/>
    <w:link w:val="BodyTextIndent2Char"/>
    <w:uiPriority w:val="99"/>
    <w:unhideWhenUsed/>
    <w:rsid w:val="000E0E10"/>
    <w:pPr>
      <w:spacing w:after="120" w:line="480" w:lineRule="auto"/>
      <w:ind w:left="360"/>
    </w:pPr>
    <w:rPr>
      <w:rFonts w:ascii="Times New Roman" w:eastAsia="Times New Roman" w:hAnsi="Times New Roman" w:cs="Times New Roman"/>
      <w:lang w:val="en-US"/>
    </w:rPr>
  </w:style>
  <w:style w:type="character" w:customStyle="1" w:styleId="BodyTextIndent2Char">
    <w:name w:val="Body Text Indent 2 Char"/>
    <w:basedOn w:val="DefaultParagraphFont"/>
    <w:link w:val="BodyTextIndent2"/>
    <w:uiPriority w:val="99"/>
    <w:rsid w:val="000E0E10"/>
    <w:rPr>
      <w:rFonts w:ascii="Times New Roman" w:eastAsia="Times New Roman" w:hAnsi="Times New Roman" w:cs="Times New Roman"/>
      <w:lang w:val="en-US"/>
    </w:rPr>
  </w:style>
  <w:style w:type="character" w:styleId="Emphasis">
    <w:name w:val="Emphasis"/>
    <w:basedOn w:val="DefaultParagraphFont"/>
    <w:uiPriority w:val="20"/>
    <w:qFormat/>
    <w:rsid w:val="000E0E10"/>
    <w:rPr>
      <w:i/>
      <w:iCs/>
    </w:rPr>
  </w:style>
  <w:style w:type="paragraph" w:styleId="NoSpacing">
    <w:name w:val="No Spacing"/>
    <w:uiPriority w:val="1"/>
    <w:qFormat/>
    <w:rsid w:val="000E0E10"/>
    <w:pPr>
      <w:spacing w:after="0" w:line="240" w:lineRule="auto"/>
    </w:pPr>
    <w:rPr>
      <w:rFonts w:ascii="Times New Roman" w:eastAsia="Times New Roman" w:hAnsi="Times New Roman" w:cs="Times New Roman"/>
      <w:lang w:val="en-US"/>
    </w:rPr>
  </w:style>
  <w:style w:type="paragraph" w:styleId="NormalWeb">
    <w:name w:val="Normal (Web)"/>
    <w:basedOn w:val="Normal"/>
    <w:uiPriority w:val="99"/>
    <w:unhideWhenUsed/>
    <w:rsid w:val="000E0E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E0E10"/>
    <w:rPr>
      <w:b/>
      <w:bCs/>
    </w:rPr>
  </w:style>
  <w:style w:type="paragraph" w:styleId="Header">
    <w:name w:val="header"/>
    <w:basedOn w:val="Normal"/>
    <w:link w:val="HeaderChar"/>
    <w:uiPriority w:val="99"/>
    <w:unhideWhenUsed/>
    <w:rsid w:val="000E0E10"/>
    <w:pPr>
      <w:tabs>
        <w:tab w:val="center" w:pos="4680"/>
        <w:tab w:val="right" w:pos="9360"/>
      </w:tabs>
      <w:spacing w:after="0" w:line="240" w:lineRule="auto"/>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0E0E10"/>
    <w:rPr>
      <w:rFonts w:ascii="Times New Roman" w:eastAsia="Times New Roman" w:hAnsi="Times New Roman" w:cs="Times New Roman"/>
      <w:lang w:val="en-US"/>
    </w:rPr>
  </w:style>
  <w:style w:type="paragraph" w:styleId="Footer">
    <w:name w:val="footer"/>
    <w:basedOn w:val="Normal"/>
    <w:link w:val="FooterChar"/>
    <w:uiPriority w:val="99"/>
    <w:unhideWhenUsed/>
    <w:rsid w:val="000E0E10"/>
    <w:pPr>
      <w:tabs>
        <w:tab w:val="center" w:pos="4680"/>
        <w:tab w:val="right" w:pos="9360"/>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0E0E10"/>
    <w:rPr>
      <w:rFonts w:ascii="Times New Roman" w:eastAsia="Times New Roman" w:hAnsi="Times New Roman" w:cs="Times New Roman"/>
      <w:lang w:val="en-US"/>
    </w:rPr>
  </w:style>
  <w:style w:type="character" w:customStyle="1" w:styleId="BalloonTextChar">
    <w:name w:val="Balloon Text Char"/>
    <w:basedOn w:val="DefaultParagraphFont"/>
    <w:link w:val="BalloonText"/>
    <w:uiPriority w:val="99"/>
    <w:semiHidden/>
    <w:rsid w:val="000E0E10"/>
    <w:rPr>
      <w:rFonts w:ascii="Tahoma" w:hAnsi="Tahoma" w:cs="Tahoma"/>
      <w:sz w:val="16"/>
      <w:szCs w:val="16"/>
    </w:rPr>
  </w:style>
  <w:style w:type="paragraph" w:styleId="BalloonText">
    <w:name w:val="Balloon Text"/>
    <w:basedOn w:val="Normal"/>
    <w:link w:val="BalloonTextChar"/>
    <w:uiPriority w:val="99"/>
    <w:semiHidden/>
    <w:unhideWhenUsed/>
    <w:rsid w:val="000E0E10"/>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E0E10"/>
    <w:rPr>
      <w:rFonts w:ascii="Tahoma" w:hAnsi="Tahoma" w:cs="Tahoma"/>
      <w:sz w:val="16"/>
      <w:szCs w:val="16"/>
    </w:rPr>
  </w:style>
  <w:style w:type="paragraph" w:styleId="Caption">
    <w:name w:val="caption"/>
    <w:basedOn w:val="Normal"/>
    <w:next w:val="Normal"/>
    <w:uiPriority w:val="35"/>
    <w:unhideWhenUsed/>
    <w:qFormat/>
    <w:rsid w:val="000E0E10"/>
    <w:pPr>
      <w:spacing w:after="0" w:line="360" w:lineRule="auto"/>
    </w:pPr>
    <w:rPr>
      <w:rFonts w:ascii="Calibri" w:eastAsia="Calibri" w:hAnsi="Calibri" w:cs="Times New Roman"/>
      <w:b/>
      <w:bCs/>
      <w:sz w:val="20"/>
      <w:szCs w:val="20"/>
    </w:rPr>
  </w:style>
  <w:style w:type="paragraph" w:styleId="Title">
    <w:name w:val="Title"/>
    <w:basedOn w:val="Normal"/>
    <w:next w:val="Normal"/>
    <w:link w:val="TitleChar"/>
    <w:uiPriority w:val="10"/>
    <w:qFormat/>
    <w:rsid w:val="000E0E10"/>
    <w:pPr>
      <w:spacing w:before="240" w:after="60"/>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uiPriority w:val="10"/>
    <w:rsid w:val="000E0E10"/>
    <w:rPr>
      <w:rFonts w:ascii="Cambria" w:eastAsia="Times New Roman" w:hAnsi="Cambria" w:cs="Times New Roman"/>
      <w:b/>
      <w:bCs/>
      <w:kern w:val="28"/>
      <w:sz w:val="32"/>
      <w:szCs w:val="32"/>
      <w:lang w:val="en-US"/>
    </w:rPr>
  </w:style>
  <w:style w:type="character" w:customStyle="1" w:styleId="apple-converted-space">
    <w:name w:val="apple-converted-space"/>
    <w:basedOn w:val="DefaultParagraphFont"/>
    <w:rsid w:val="000E0E10"/>
  </w:style>
  <w:style w:type="character" w:styleId="Hyperlink">
    <w:name w:val="Hyperlink"/>
    <w:basedOn w:val="DefaultParagraphFont"/>
    <w:uiPriority w:val="99"/>
    <w:unhideWhenUsed/>
    <w:rsid w:val="000E0E10"/>
    <w:rPr>
      <w:color w:val="0000FF"/>
      <w:u w:val="single"/>
    </w:rPr>
  </w:style>
  <w:style w:type="character" w:customStyle="1" w:styleId="value">
    <w:name w:val="value"/>
    <w:basedOn w:val="DefaultParagraphFont"/>
    <w:rsid w:val="000E0E10"/>
  </w:style>
  <w:style w:type="table" w:styleId="TableGrid">
    <w:name w:val="Table Grid"/>
    <w:basedOn w:val="TableNormal"/>
    <w:uiPriority w:val="59"/>
    <w:rsid w:val="000E0E10"/>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E2657B"/>
    <w:rPr>
      <w:color w:val="605E5C"/>
      <w:shd w:val="clear" w:color="auto" w:fill="E1DFDD"/>
    </w:rPr>
  </w:style>
  <w:style w:type="paragraph" w:customStyle="1" w:styleId="Body">
    <w:name w:val="Body"/>
    <w:basedOn w:val="Normal"/>
    <w:rsid w:val="001E10FD"/>
    <w:pPr>
      <w:spacing w:after="240" w:line="240" w:lineRule="auto"/>
      <w:jc w:val="both"/>
    </w:pPr>
    <w:rPr>
      <w:rFonts w:ascii="Helvetica" w:eastAsia="Times New Roman" w:hAnsi="Helvetica" w:cs="Times New Roman"/>
      <w:sz w:val="20"/>
      <w:szCs w:val="20"/>
      <w:lang w:val="en-US"/>
    </w:rPr>
  </w:style>
  <w:style w:type="character" w:styleId="LineNumber">
    <w:name w:val="line number"/>
    <w:basedOn w:val="DefaultParagraphFont"/>
    <w:uiPriority w:val="99"/>
    <w:semiHidden/>
    <w:unhideWhenUsed/>
    <w:rsid w:val="00B66244"/>
  </w:style>
  <w:style w:type="paragraph" w:customStyle="1" w:styleId="ReferHead">
    <w:name w:val="Refer Head"/>
    <w:basedOn w:val="Normal"/>
    <w:rsid w:val="00A811BE"/>
    <w:pPr>
      <w:keepNext/>
      <w:spacing w:after="240" w:line="240" w:lineRule="auto"/>
    </w:pPr>
    <w:rPr>
      <w:rFonts w:ascii="Helvetica" w:eastAsia="Times New Roman" w:hAnsi="Helvetica" w:cs="Times New Roman"/>
      <w:b/>
      <w:cap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E2DB1-A2A1-40DD-8781-299AD160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5853</TotalTime>
  <Pages>11</Pages>
  <Words>5040</Words>
  <Characters>28732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Karthick NP</dc:creator>
  <cp:keywords/>
  <dc:description/>
  <cp:lastModifiedBy>SDI 1084</cp:lastModifiedBy>
  <cp:revision>59</cp:revision>
  <cp:lastPrinted>2019-04-08T07:08:00Z</cp:lastPrinted>
  <dcterms:created xsi:type="dcterms:W3CDTF">2019-04-08T05:40:00Z</dcterms:created>
  <dcterms:modified xsi:type="dcterms:W3CDTF">2025-11-18T06:45:00Z</dcterms:modified>
</cp:coreProperties>
</file>