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F9C1E" w14:textId="14C0EE1D" w:rsidR="007671B7" w:rsidRDefault="007671B7" w:rsidP="0025111C">
      <w:pPr>
        <w:rPr>
          <w:rFonts w:ascii="Arial" w:hAnsi="Arial" w:cs="Arial"/>
          <w:bCs/>
          <w:i/>
          <w:iCs/>
          <w:sz w:val="32"/>
          <w:szCs w:val="32"/>
          <w:u w:val="single"/>
        </w:rPr>
      </w:pPr>
      <w:bookmarkStart w:id="0" w:name="_Hlk214303335"/>
      <w:r w:rsidRPr="007671B7">
        <w:rPr>
          <w:rFonts w:ascii="Arial" w:hAnsi="Arial" w:cs="Arial"/>
          <w:bCs/>
          <w:i/>
          <w:iCs/>
          <w:sz w:val="32"/>
          <w:szCs w:val="32"/>
          <w:u w:val="single"/>
        </w:rPr>
        <w:t>Original Research Article</w:t>
      </w:r>
    </w:p>
    <w:p w14:paraId="4D735F47" w14:textId="77777777" w:rsidR="007671B7" w:rsidRDefault="007671B7" w:rsidP="0025111C">
      <w:pPr>
        <w:rPr>
          <w:rFonts w:ascii="Arial" w:hAnsi="Arial" w:cs="Arial"/>
          <w:sz w:val="32"/>
          <w:szCs w:val="32"/>
        </w:rPr>
      </w:pPr>
    </w:p>
    <w:p w14:paraId="6EB7DCB6" w14:textId="02698428" w:rsidR="0025111C" w:rsidRPr="0025111C" w:rsidRDefault="0025111C" w:rsidP="0025111C">
      <w:pPr>
        <w:rPr>
          <w:rFonts w:ascii="Arial" w:hAnsi="Arial" w:cs="Arial"/>
          <w:sz w:val="32"/>
          <w:szCs w:val="32"/>
        </w:rPr>
      </w:pPr>
      <w:r w:rsidRPr="0025111C">
        <w:rPr>
          <w:rFonts w:ascii="Arial" w:hAnsi="Arial" w:cs="Arial"/>
          <w:sz w:val="32"/>
          <w:szCs w:val="32"/>
        </w:rPr>
        <w:t>Explo</w:t>
      </w:r>
      <w:r w:rsidR="00322737">
        <w:rPr>
          <w:rFonts w:ascii="Arial" w:hAnsi="Arial" w:cs="Arial"/>
          <w:sz w:val="32"/>
          <w:szCs w:val="32"/>
        </w:rPr>
        <w:t>ring Determinants of Psilocybin Acceptance as</w:t>
      </w:r>
      <w:r w:rsidR="004969E2">
        <w:rPr>
          <w:rFonts w:ascii="Arial" w:hAnsi="Arial" w:cs="Arial"/>
          <w:sz w:val="32"/>
          <w:szCs w:val="32"/>
        </w:rPr>
        <w:t xml:space="preserve"> an Alternat</w:t>
      </w:r>
      <w:r w:rsidR="002C146B">
        <w:rPr>
          <w:rFonts w:ascii="Arial" w:hAnsi="Arial" w:cs="Arial"/>
          <w:sz w:val="32"/>
          <w:szCs w:val="32"/>
        </w:rPr>
        <w:t>ive Modality</w:t>
      </w:r>
      <w:r w:rsidR="004969E2">
        <w:rPr>
          <w:rFonts w:ascii="Arial" w:hAnsi="Arial" w:cs="Arial"/>
          <w:sz w:val="32"/>
          <w:szCs w:val="32"/>
        </w:rPr>
        <w:t xml:space="preserve"> </w:t>
      </w:r>
      <w:r w:rsidR="005A07D4">
        <w:rPr>
          <w:rFonts w:ascii="Arial" w:hAnsi="Arial" w:cs="Arial"/>
          <w:sz w:val="32"/>
          <w:szCs w:val="32"/>
        </w:rPr>
        <w:t xml:space="preserve">for </w:t>
      </w:r>
      <w:r w:rsidRPr="0025111C">
        <w:rPr>
          <w:rFonts w:ascii="Arial" w:hAnsi="Arial" w:cs="Arial"/>
          <w:sz w:val="32"/>
          <w:szCs w:val="32"/>
        </w:rPr>
        <w:t>Major Depressive Disorder</w:t>
      </w:r>
      <w:r w:rsidR="00322737">
        <w:rPr>
          <w:rFonts w:ascii="Arial" w:hAnsi="Arial" w:cs="Arial"/>
          <w:sz w:val="32"/>
          <w:szCs w:val="32"/>
        </w:rPr>
        <w:t>: A Pilot Study</w:t>
      </w:r>
    </w:p>
    <w:bookmarkEnd w:id="0"/>
    <w:p w14:paraId="1E9B1600" w14:textId="77777777" w:rsidR="0025111C" w:rsidRPr="0025111C" w:rsidRDefault="0025111C" w:rsidP="0025111C">
      <w:pPr>
        <w:pStyle w:val="Author"/>
        <w:spacing w:line="240" w:lineRule="auto"/>
        <w:jc w:val="both"/>
        <w:rPr>
          <w:rFonts w:ascii="Arial" w:hAnsi="Arial" w:cs="Arial"/>
          <w:sz w:val="36"/>
        </w:rPr>
      </w:pPr>
    </w:p>
    <w:p w14:paraId="6B55B05D" w14:textId="77777777" w:rsidR="0025111C" w:rsidRPr="0025111C" w:rsidRDefault="0025111C" w:rsidP="0025111C">
      <w:pPr>
        <w:pStyle w:val="Affiliation"/>
        <w:spacing w:after="0" w:line="240" w:lineRule="auto"/>
        <w:jc w:val="both"/>
        <w:rPr>
          <w:rFonts w:ascii="Arial" w:hAnsi="Arial" w:cs="Arial"/>
        </w:rPr>
      </w:pPr>
    </w:p>
    <w:p w14:paraId="515BCFA7" w14:textId="77777777" w:rsidR="0025111C" w:rsidRPr="0025111C" w:rsidRDefault="0025111C" w:rsidP="0025111C">
      <w:pPr>
        <w:pStyle w:val="Affiliation"/>
        <w:spacing w:after="0" w:line="240" w:lineRule="auto"/>
        <w:jc w:val="both"/>
        <w:rPr>
          <w:rFonts w:ascii="Arial" w:hAnsi="Arial" w:cs="Arial"/>
        </w:rPr>
      </w:pPr>
    </w:p>
    <w:p w14:paraId="4A3A1ADA" w14:textId="77777777" w:rsidR="0025111C" w:rsidRPr="0025111C" w:rsidRDefault="0025111C" w:rsidP="0025111C">
      <w:pPr>
        <w:pStyle w:val="Copyright"/>
        <w:spacing w:after="0" w:line="240" w:lineRule="auto"/>
        <w:jc w:val="both"/>
        <w:rPr>
          <w:rFonts w:ascii="Arial" w:hAnsi="Arial" w:cs="Arial"/>
        </w:rPr>
        <w:sectPr w:rsidR="0025111C" w:rsidRPr="0025111C" w:rsidSect="001F65CF">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25111C">
        <w:rPr>
          <w:rFonts w:ascii="Arial" w:hAnsi="Arial" w:cs="Arial"/>
          <w:noProof/>
        </w:rPr>
        <mc:AlternateContent>
          <mc:Choice Requires="wps">
            <w:drawing>
              <wp:inline distT="0" distB="0" distL="0" distR="0" wp14:anchorId="16D403D7" wp14:editId="5EA40401">
                <wp:extent cx="5303520" cy="635"/>
                <wp:effectExtent l="13335" t="12700" r="17145" b="15875"/>
                <wp:docPr id="25443129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B943AED" id="_x0000_t32" coordsize="21600,21600" o:spt="32" o:oned="t" path="m,l21600,21600e" filled="f">
                <v:path arrowok="t" fillok="f" o:connecttype="none"/>
                <o:lock v:ext="edit" shapetype="t"/>
              </v:shapetype>
              <v:shape id="AutoShape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" strokeweight="1.5pt">
                <w10:anchorlock/>
              </v:shape>
            </w:pict>
          </mc:Fallback>
        </mc:AlternateContent>
      </w:r>
      <w:r w:rsidRPr="0025111C">
        <w:rPr>
          <w:rFonts w:ascii="Arial" w:hAnsi="Arial" w:cs="Arial"/>
        </w:rPr>
        <w:t>.</w:t>
      </w:r>
    </w:p>
    <w:p w14:paraId="3224E73A" w14:textId="77777777" w:rsidR="0025111C" w:rsidRPr="0025111C" w:rsidRDefault="0025111C" w:rsidP="0025111C">
      <w:pPr>
        <w:pStyle w:val="AbstHead"/>
        <w:spacing w:after="0"/>
        <w:jc w:val="both"/>
        <w:rPr>
          <w:rFonts w:ascii="Arial" w:hAnsi="Arial" w:cs="Arial"/>
        </w:rPr>
      </w:pPr>
      <w:r w:rsidRPr="0025111C">
        <w:rPr>
          <w:rFonts w:ascii="Arial" w:hAnsi="Arial" w:cs="Arial"/>
        </w:rPr>
        <w:t xml:space="preserve">ABSTRACT </w:t>
      </w:r>
    </w:p>
    <w:p w14:paraId="4CC7613B" w14:textId="77777777" w:rsidR="0025111C" w:rsidRPr="0025111C" w:rsidRDefault="0025111C" w:rsidP="0025111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5111C" w:rsidRPr="0025111C" w14:paraId="7A3B29BD" w14:textId="77777777" w:rsidTr="00E303BE">
        <w:tc>
          <w:tcPr>
            <w:tcW w:w="9576" w:type="dxa"/>
            <w:shd w:val="clear" w:color="auto" w:fill="F2F2F2"/>
          </w:tcPr>
          <w:p w14:paraId="17E9E103" w14:textId="558FC20D" w:rsidR="0025111C" w:rsidRPr="0025111C" w:rsidRDefault="0025111C" w:rsidP="00E303BE">
            <w:pPr>
              <w:pStyle w:val="Body"/>
              <w:spacing w:after="0"/>
              <w:jc w:val="left"/>
              <w:rPr>
                <w:rFonts w:ascii="Arial" w:eastAsia="Calibri" w:hAnsi="Arial" w:cs="Arial"/>
                <w:szCs w:val="22"/>
              </w:rPr>
            </w:pPr>
            <w:r w:rsidRPr="0025111C">
              <w:rPr>
                <w:rFonts w:ascii="Arial" w:eastAsia="Calibri" w:hAnsi="Arial" w:cs="Arial"/>
                <w:b/>
                <w:bCs/>
                <w:szCs w:val="22"/>
              </w:rPr>
              <w:t>Introduction:</w:t>
            </w:r>
            <w:r w:rsidRPr="0025111C">
              <w:rPr>
                <w:rFonts w:ascii="Arial" w:eastAsia="Calibri" w:hAnsi="Arial" w:cs="Arial"/>
                <w:szCs w:val="22"/>
              </w:rPr>
              <w:t xml:space="preserve"> Major depressive disorder (MDD) affects over 21 million adults in the U.S</w:t>
            </w:r>
            <w:r w:rsidR="00F87120">
              <w:rPr>
                <w:rFonts w:ascii="Arial" w:eastAsia="Calibri" w:hAnsi="Arial" w:cs="Arial"/>
                <w:szCs w:val="22"/>
              </w:rPr>
              <w:t xml:space="preserve"> </w:t>
            </w:r>
            <w:r w:rsidRPr="0025111C">
              <w:rPr>
                <w:rFonts w:ascii="Arial" w:eastAsia="Calibri" w:hAnsi="Arial" w:cs="Arial"/>
                <w:szCs w:val="22"/>
              </w:rPr>
              <w:t>(NIMH, 2023) and remains a significant public health challenge</w:t>
            </w:r>
            <w:bookmarkStart w:id="1" w:name="_Ref214644192"/>
            <w:r w:rsidRPr="0025111C">
              <w:rPr>
                <w:rStyle w:val="EndnoteReference"/>
                <w:rFonts w:ascii="Arial" w:eastAsia="Calibri" w:hAnsi="Arial" w:cs="Arial"/>
                <w:szCs w:val="22"/>
              </w:rPr>
              <w:endnoteReference w:id="1"/>
            </w:r>
            <w:bookmarkEnd w:id="1"/>
            <w:r w:rsidRPr="0025111C">
              <w:rPr>
                <w:rFonts w:ascii="Arial" w:eastAsia="Calibri" w:hAnsi="Arial" w:cs="Arial"/>
                <w:szCs w:val="22"/>
              </w:rPr>
              <w:t>. Despite the effectiveness of traditional medications, 30% of patients remains resistant</w:t>
            </w:r>
            <w:r w:rsidRPr="0025111C">
              <w:rPr>
                <w:rFonts w:ascii="Arial" w:eastAsia="Calibri" w:hAnsi="Arial" w:cs="Arial"/>
              </w:rPr>
              <w:t>. L</w:t>
            </w:r>
            <w:r w:rsidRPr="0025111C">
              <w:rPr>
                <w:rFonts w:ascii="Arial" w:hAnsi="Arial" w:cs="Arial"/>
              </w:rPr>
              <w:t xml:space="preserve">ittle is known about the </w:t>
            </w:r>
            <w:proofErr w:type="gramStart"/>
            <w:r w:rsidRPr="0025111C">
              <w:rPr>
                <w:rFonts w:ascii="Arial" w:hAnsi="Arial" w:cs="Arial"/>
              </w:rPr>
              <w:t>beliefs</w:t>
            </w:r>
            <w:proofErr w:type="gramEnd"/>
            <w:r w:rsidRPr="0025111C">
              <w:rPr>
                <w:rFonts w:ascii="Arial" w:hAnsi="Arial" w:cs="Arial"/>
              </w:rPr>
              <w:t xml:space="preserve"> individuals hold regarding novel treatments, such as psilocybin and the motivations behind medication acceptance. </w:t>
            </w:r>
            <w:r w:rsidRPr="0025111C">
              <w:rPr>
                <w:rFonts w:ascii="Arial" w:eastAsia="Calibri" w:hAnsi="Arial" w:cs="Arial"/>
                <w:szCs w:val="22"/>
              </w:rPr>
              <w:t xml:space="preserve">This study utilized the Health Belief Model (HBM) to explore factors influencing psilocybin-assisted therapy acceptance (PATA) among </w:t>
            </w:r>
            <w:r w:rsidR="00F87120">
              <w:rPr>
                <w:rFonts w:ascii="Arial" w:eastAsia="Calibri" w:hAnsi="Arial" w:cs="Arial"/>
                <w:szCs w:val="22"/>
              </w:rPr>
              <w:t xml:space="preserve">young </w:t>
            </w:r>
            <w:r w:rsidRPr="0025111C">
              <w:rPr>
                <w:rFonts w:ascii="Arial" w:eastAsia="Calibri" w:hAnsi="Arial" w:cs="Arial"/>
                <w:szCs w:val="22"/>
              </w:rPr>
              <w:t>adults with major depressive disorder.</w:t>
            </w:r>
          </w:p>
          <w:p w14:paraId="0269FBFF" w14:textId="77777777" w:rsidR="0025111C" w:rsidRPr="0025111C" w:rsidRDefault="0025111C" w:rsidP="00E303BE">
            <w:pPr>
              <w:pStyle w:val="Body"/>
              <w:spacing w:after="0"/>
              <w:jc w:val="left"/>
              <w:rPr>
                <w:rFonts w:ascii="Arial" w:eastAsia="Calibri" w:hAnsi="Arial" w:cs="Arial"/>
                <w:szCs w:val="22"/>
              </w:rPr>
            </w:pPr>
            <w:r w:rsidRPr="0025111C">
              <w:rPr>
                <w:rFonts w:ascii="Arial" w:eastAsia="Calibri" w:hAnsi="Arial" w:cs="Arial"/>
                <w:b/>
                <w:bCs/>
                <w:szCs w:val="22"/>
              </w:rPr>
              <w:t>Methods:</w:t>
            </w:r>
            <w:r w:rsidRPr="0025111C">
              <w:rPr>
                <w:rFonts w:ascii="Arial" w:eastAsia="Calibri" w:hAnsi="Arial" w:cs="Arial"/>
                <w:szCs w:val="22"/>
              </w:rPr>
              <w:t xml:space="preserve"> A cross-sectional design was conducted. Participants were recruited from outpatient mental health clinics. This study utilized a questionnaire that included demographics, clinical history, knowledge, attitudes, and HBM constructs. Spearman's Rho Coefficient was performed for variables found to be associated with medication acceptance. A hierarchical regression was performed to analyze the utility of HBM constructs to explain variance.</w:t>
            </w:r>
          </w:p>
          <w:p w14:paraId="36F51930" w14:textId="4090AD9C" w:rsidR="0025111C" w:rsidRPr="0025111C" w:rsidRDefault="0025111C" w:rsidP="00E303BE">
            <w:pPr>
              <w:pStyle w:val="Body"/>
              <w:spacing w:after="0"/>
              <w:jc w:val="left"/>
              <w:rPr>
                <w:rFonts w:ascii="Arial" w:eastAsia="Calibri" w:hAnsi="Arial" w:cs="Arial"/>
                <w:szCs w:val="22"/>
              </w:rPr>
            </w:pPr>
            <w:r w:rsidRPr="0025111C">
              <w:rPr>
                <w:rFonts w:ascii="Arial" w:eastAsia="Calibri" w:hAnsi="Arial" w:cs="Arial"/>
                <w:b/>
                <w:bCs/>
                <w:szCs w:val="22"/>
              </w:rPr>
              <w:t>Results:</w:t>
            </w:r>
            <w:r w:rsidRPr="0025111C">
              <w:rPr>
                <w:rFonts w:ascii="Arial" w:eastAsia="Calibri" w:hAnsi="Arial" w:cs="Arial"/>
                <w:szCs w:val="22"/>
              </w:rPr>
              <w:t xml:space="preserve"> The bivariate analysis indicated demographic variables were not significantly correlated with PATA (</w:t>
            </w:r>
            <w:proofErr w:type="spellStart"/>
            <w:r w:rsidRPr="0025111C">
              <w:rPr>
                <w:rFonts w:ascii="Arial" w:eastAsia="Calibri" w:hAnsi="Arial" w:cs="Arial"/>
                <w:szCs w:val="22"/>
              </w:rPr>
              <w:t>rs</w:t>
            </w:r>
            <w:proofErr w:type="spellEnd"/>
            <w:r w:rsidRPr="0025111C">
              <w:rPr>
                <w:rFonts w:ascii="Arial" w:eastAsia="Calibri" w:hAnsi="Arial" w:cs="Arial"/>
                <w:szCs w:val="22"/>
              </w:rPr>
              <w:t xml:space="preserve"> values ranging from –.285 to –.039, all </w:t>
            </w:r>
            <w:r w:rsidRPr="0025111C">
              <w:rPr>
                <w:rFonts w:ascii="Arial" w:eastAsia="Calibri" w:hAnsi="Arial" w:cs="Arial"/>
                <w:i/>
                <w:iCs/>
                <w:szCs w:val="22"/>
              </w:rPr>
              <w:t>P</w:t>
            </w:r>
            <w:r w:rsidRPr="0025111C">
              <w:rPr>
                <w:rFonts w:ascii="Arial" w:eastAsia="Calibri" w:hAnsi="Arial" w:cs="Arial"/>
                <w:szCs w:val="22"/>
              </w:rPr>
              <w:t xml:space="preserve"> &gt; .05), suggesting demographic factors did not play a significant role in predicting PATA. Model 1 included positively correlated predictors, showing a significant correlation between the two predictors and PATA (R=.506), accounting for 25.6% of variance in scores; R2 =.256, F</w:t>
            </w:r>
            <w:r>
              <w:rPr>
                <w:rFonts w:ascii="Arial" w:eastAsia="Calibri" w:hAnsi="Arial" w:cs="Arial"/>
                <w:szCs w:val="22"/>
              </w:rPr>
              <w:t xml:space="preserve"> </w:t>
            </w:r>
            <w:r w:rsidRPr="0025111C">
              <w:rPr>
                <w:rFonts w:ascii="Arial" w:eastAsia="Calibri" w:hAnsi="Arial" w:cs="Arial"/>
                <w:szCs w:val="22"/>
              </w:rPr>
              <w:t>(3,27) =3.10</w:t>
            </w:r>
            <w:r w:rsidRPr="00E1565D">
              <w:rPr>
                <w:rFonts w:ascii="Arial" w:eastAsia="Calibri" w:hAnsi="Arial" w:cs="Arial"/>
                <w:szCs w:val="22"/>
              </w:rPr>
              <w:t xml:space="preserve">, </w:t>
            </w:r>
            <w:r w:rsidRPr="00E1565D">
              <w:rPr>
                <w:rFonts w:ascii="Arial" w:eastAsia="Calibri" w:hAnsi="Arial" w:cs="Arial"/>
                <w:i/>
                <w:iCs/>
                <w:szCs w:val="22"/>
              </w:rPr>
              <w:t>P</w:t>
            </w:r>
            <w:r w:rsidRPr="00E1565D">
              <w:rPr>
                <w:rFonts w:ascii="Arial" w:eastAsia="Calibri" w:hAnsi="Arial" w:cs="Arial"/>
                <w:szCs w:val="22"/>
              </w:rPr>
              <w:t>=.043</w:t>
            </w:r>
            <w:r w:rsidRPr="0025111C">
              <w:rPr>
                <w:rFonts w:ascii="Arial" w:eastAsia="Calibri" w:hAnsi="Arial" w:cs="Arial"/>
                <w:szCs w:val="22"/>
              </w:rPr>
              <w:t>. The HBM constructs in Model 2 strengthen the correlation with PATA (R=.916) and further increased in variance with an R2=.839. Adding the HBM constructs substantially improved the model (F</w:t>
            </w:r>
            <w:r>
              <w:rPr>
                <w:rFonts w:ascii="Arial" w:eastAsia="Calibri" w:hAnsi="Arial" w:cs="Arial"/>
                <w:szCs w:val="22"/>
              </w:rPr>
              <w:t xml:space="preserve"> </w:t>
            </w:r>
            <w:r w:rsidRPr="0025111C">
              <w:rPr>
                <w:rFonts w:ascii="Arial" w:eastAsia="Calibri" w:hAnsi="Arial" w:cs="Arial"/>
                <w:szCs w:val="22"/>
              </w:rPr>
              <w:t>(19,11) = 3.01</w:t>
            </w:r>
            <w:r w:rsidRPr="00E1565D">
              <w:rPr>
                <w:rFonts w:ascii="Arial" w:eastAsia="Calibri" w:hAnsi="Arial" w:cs="Arial"/>
                <w:szCs w:val="22"/>
              </w:rPr>
              <w:t xml:space="preserve">, </w:t>
            </w:r>
            <w:r w:rsidRPr="00E1565D">
              <w:rPr>
                <w:rFonts w:ascii="Arial" w:eastAsia="Calibri" w:hAnsi="Arial" w:cs="Arial"/>
                <w:i/>
                <w:iCs/>
                <w:szCs w:val="22"/>
              </w:rPr>
              <w:t>P</w:t>
            </w:r>
            <w:r w:rsidRPr="00E1565D">
              <w:rPr>
                <w:rFonts w:ascii="Arial" w:eastAsia="Calibri" w:hAnsi="Arial" w:cs="Arial"/>
                <w:szCs w:val="22"/>
              </w:rPr>
              <w:t xml:space="preserve"> = .033),</w:t>
            </w:r>
            <w:r w:rsidRPr="0025111C">
              <w:rPr>
                <w:rFonts w:ascii="Arial" w:eastAsia="Calibri" w:hAnsi="Arial" w:cs="Arial"/>
                <w:szCs w:val="22"/>
              </w:rPr>
              <w:t xml:space="preserve"> suggesting the expanded set of variables significantly predicted PATA.</w:t>
            </w:r>
          </w:p>
          <w:p w14:paraId="73D41F14" w14:textId="7AAAD6BF" w:rsidR="0025111C" w:rsidRPr="0025111C" w:rsidRDefault="0025111C" w:rsidP="00E303BE">
            <w:pPr>
              <w:rPr>
                <w:rFonts w:ascii="Arial" w:hAnsi="Arial" w:cs="Arial"/>
              </w:rPr>
            </w:pPr>
            <w:r w:rsidRPr="0025111C">
              <w:rPr>
                <w:rFonts w:ascii="Arial" w:eastAsia="Calibri" w:hAnsi="Arial" w:cs="Arial"/>
                <w:b/>
                <w:bCs/>
                <w:szCs w:val="22"/>
              </w:rPr>
              <w:t>Conclusion:</w:t>
            </w:r>
            <w:r w:rsidRPr="0025111C">
              <w:rPr>
                <w:rFonts w:ascii="Arial" w:eastAsia="Calibri" w:hAnsi="Arial" w:cs="Arial"/>
                <w:szCs w:val="22"/>
              </w:rPr>
              <w:t xml:space="preserve"> Perceived benefits emerged as the strongest predictor of PATA (β = .584,</w:t>
            </w:r>
            <w:r>
              <w:rPr>
                <w:rFonts w:ascii="Arial" w:eastAsia="Calibri" w:hAnsi="Arial" w:cs="Arial"/>
                <w:i/>
                <w:iCs/>
                <w:szCs w:val="22"/>
              </w:rPr>
              <w:t xml:space="preserve"> P</w:t>
            </w:r>
            <w:r w:rsidRPr="0025111C">
              <w:rPr>
                <w:rFonts w:ascii="Arial" w:eastAsia="Calibri" w:hAnsi="Arial" w:cs="Arial"/>
                <w:szCs w:val="22"/>
              </w:rPr>
              <w:t xml:space="preserve"> = .006), highlighting the need for communication strategies that emphasize evidence-based outcomes on psilocybin’s efficacy in reducing associated symptoms of MDD. The inclusion of the HBM constructs identified key factors associated with PATA, suggesting that acceptance can be increased through targeted interventions.  </w:t>
            </w:r>
          </w:p>
          <w:p w14:paraId="2BB92E8A" w14:textId="77777777" w:rsidR="0025111C" w:rsidRPr="0025111C" w:rsidRDefault="0025111C" w:rsidP="00E303BE">
            <w:pPr>
              <w:pStyle w:val="Body"/>
              <w:spacing w:after="0"/>
              <w:rPr>
                <w:rFonts w:ascii="Arial" w:eastAsia="Calibri" w:hAnsi="Arial" w:cs="Arial"/>
                <w:szCs w:val="22"/>
              </w:rPr>
            </w:pPr>
          </w:p>
        </w:tc>
      </w:tr>
      <w:tr w:rsidR="0025111C" w:rsidRPr="0025111C" w14:paraId="569C5BE6" w14:textId="77777777" w:rsidTr="00E303BE">
        <w:tc>
          <w:tcPr>
            <w:tcW w:w="9576" w:type="dxa"/>
            <w:shd w:val="clear" w:color="auto" w:fill="F2F2F2"/>
          </w:tcPr>
          <w:p w14:paraId="4ABD2E0C" w14:textId="77777777" w:rsidR="0025111C" w:rsidRPr="0025111C" w:rsidRDefault="0025111C" w:rsidP="00E303BE">
            <w:pPr>
              <w:pStyle w:val="Body"/>
              <w:spacing w:after="0"/>
              <w:jc w:val="left"/>
              <w:rPr>
                <w:rFonts w:ascii="Arial" w:eastAsia="Calibri" w:hAnsi="Arial" w:cs="Arial"/>
                <w:szCs w:val="22"/>
              </w:rPr>
            </w:pPr>
          </w:p>
        </w:tc>
      </w:tr>
    </w:tbl>
    <w:p w14:paraId="477E62B7" w14:textId="77777777" w:rsidR="0025111C" w:rsidRPr="0025111C" w:rsidRDefault="0025111C" w:rsidP="0025111C">
      <w:pPr>
        <w:pStyle w:val="Body"/>
        <w:spacing w:after="0"/>
        <w:rPr>
          <w:rFonts w:ascii="Arial" w:hAnsi="Arial" w:cs="Arial"/>
          <w:i/>
        </w:rPr>
      </w:pPr>
    </w:p>
    <w:p w14:paraId="569DF05A" w14:textId="77777777" w:rsidR="0025111C" w:rsidRPr="0025111C" w:rsidRDefault="0025111C" w:rsidP="0025111C">
      <w:pPr>
        <w:pStyle w:val="Body"/>
        <w:spacing w:after="0"/>
        <w:rPr>
          <w:rFonts w:ascii="Arial" w:hAnsi="Arial" w:cs="Arial"/>
          <w:i/>
        </w:rPr>
      </w:pPr>
      <w:r w:rsidRPr="0025111C">
        <w:rPr>
          <w:rFonts w:ascii="Arial" w:hAnsi="Arial" w:cs="Arial"/>
          <w:i/>
        </w:rPr>
        <w:t>Keywords: [psilocybin-assisted therapy, health belief model, major depressive disorder, complementary and alternative medicine, medication acceptance]</w:t>
      </w:r>
    </w:p>
    <w:p w14:paraId="041A9FCA" w14:textId="77777777" w:rsidR="0025111C" w:rsidRPr="0025111C" w:rsidRDefault="0025111C" w:rsidP="0025111C">
      <w:pPr>
        <w:pStyle w:val="Body"/>
        <w:spacing w:after="0"/>
        <w:rPr>
          <w:rFonts w:ascii="Arial" w:hAnsi="Arial" w:cs="Arial"/>
          <w:i/>
        </w:rPr>
      </w:pPr>
    </w:p>
    <w:p w14:paraId="0C70BBDD" w14:textId="4F271741" w:rsidR="0025111C" w:rsidRDefault="0025111C">
      <w:pPr>
        <w:spacing w:after="160" w:line="278" w:lineRule="auto"/>
        <w:rPr>
          <w:rFonts w:ascii="Arial" w:hAnsi="Arial" w:cs="Arial"/>
          <w:i/>
          <w:sz w:val="18"/>
        </w:rPr>
      </w:pPr>
    </w:p>
    <w:p w14:paraId="26B3DD5C" w14:textId="470739A7" w:rsidR="0025111C" w:rsidRDefault="0025111C" w:rsidP="0025111C">
      <w:pPr>
        <w:pStyle w:val="Body"/>
        <w:spacing w:after="0"/>
        <w:rPr>
          <w:rFonts w:ascii="Arial" w:hAnsi="Arial" w:cs="Arial"/>
          <w:i/>
          <w:sz w:val="18"/>
        </w:rPr>
      </w:pPr>
    </w:p>
    <w:p w14:paraId="7B3BA730" w14:textId="3A89CF61" w:rsidR="001F65CF" w:rsidRDefault="001F65CF" w:rsidP="0025111C">
      <w:pPr>
        <w:pStyle w:val="Body"/>
        <w:spacing w:after="0"/>
        <w:rPr>
          <w:rFonts w:ascii="Arial" w:hAnsi="Arial" w:cs="Arial"/>
          <w:i/>
          <w:sz w:val="18"/>
        </w:rPr>
      </w:pPr>
    </w:p>
    <w:p w14:paraId="53E5884A" w14:textId="27AA66BC" w:rsidR="001F65CF" w:rsidRDefault="001F65CF" w:rsidP="0025111C">
      <w:pPr>
        <w:pStyle w:val="Body"/>
        <w:spacing w:after="0"/>
        <w:rPr>
          <w:rFonts w:ascii="Arial" w:hAnsi="Arial" w:cs="Arial"/>
          <w:i/>
          <w:sz w:val="18"/>
        </w:rPr>
      </w:pPr>
    </w:p>
    <w:p w14:paraId="4F340AB2" w14:textId="1A8B24AF" w:rsidR="001F65CF" w:rsidRDefault="001F65CF" w:rsidP="0025111C">
      <w:pPr>
        <w:pStyle w:val="Body"/>
        <w:spacing w:after="0"/>
        <w:rPr>
          <w:rFonts w:ascii="Arial" w:hAnsi="Arial" w:cs="Arial"/>
          <w:i/>
          <w:sz w:val="18"/>
        </w:rPr>
      </w:pPr>
    </w:p>
    <w:p w14:paraId="670B1521" w14:textId="77777777" w:rsidR="001F65CF" w:rsidRPr="0025111C" w:rsidRDefault="001F65CF" w:rsidP="0025111C">
      <w:pPr>
        <w:pStyle w:val="Body"/>
        <w:spacing w:after="0"/>
        <w:rPr>
          <w:rFonts w:ascii="Arial" w:hAnsi="Arial" w:cs="Arial"/>
          <w:i/>
          <w:sz w:val="18"/>
        </w:rPr>
      </w:pPr>
    </w:p>
    <w:p w14:paraId="5BE3B898" w14:textId="77777777" w:rsidR="0025111C" w:rsidRPr="0025111C" w:rsidRDefault="0025111C" w:rsidP="0025111C">
      <w:pPr>
        <w:pStyle w:val="Body"/>
        <w:spacing w:after="0"/>
        <w:rPr>
          <w:rFonts w:ascii="Arial" w:hAnsi="Arial" w:cs="Arial"/>
          <w:i/>
        </w:rPr>
      </w:pPr>
    </w:p>
    <w:p w14:paraId="4A2D789C" w14:textId="77777777" w:rsidR="0025111C" w:rsidRPr="0025111C" w:rsidRDefault="0025111C" w:rsidP="0025111C">
      <w:pPr>
        <w:pStyle w:val="Body"/>
        <w:spacing w:after="0"/>
        <w:rPr>
          <w:rFonts w:ascii="Arial" w:hAnsi="Arial" w:cs="Arial"/>
          <w:i/>
        </w:rPr>
      </w:pPr>
    </w:p>
    <w:p w14:paraId="4D78C6E6" w14:textId="77777777" w:rsidR="0025111C" w:rsidRPr="0025111C" w:rsidRDefault="0025111C" w:rsidP="0025111C">
      <w:pPr>
        <w:pStyle w:val="AbstHead"/>
        <w:spacing w:after="0"/>
        <w:jc w:val="both"/>
        <w:rPr>
          <w:rFonts w:ascii="Arial" w:hAnsi="Arial" w:cs="Arial"/>
        </w:rPr>
      </w:pPr>
      <w:r w:rsidRPr="0025111C">
        <w:rPr>
          <w:rFonts w:ascii="Arial" w:hAnsi="Arial" w:cs="Arial"/>
        </w:rPr>
        <w:t xml:space="preserve">1. INTRODUCTION </w:t>
      </w:r>
    </w:p>
    <w:p w14:paraId="2D73314F" w14:textId="77777777" w:rsidR="0025111C" w:rsidRPr="0025111C" w:rsidRDefault="0025111C" w:rsidP="0025111C">
      <w:pPr>
        <w:pStyle w:val="Body"/>
        <w:spacing w:after="0"/>
        <w:rPr>
          <w:rFonts w:ascii="Arial" w:hAnsi="Arial" w:cs="Arial"/>
        </w:rPr>
      </w:pPr>
    </w:p>
    <w:p w14:paraId="37376FAD" w14:textId="595B367C" w:rsidR="0025111C" w:rsidRPr="0025111C" w:rsidRDefault="0025111C" w:rsidP="0025111C">
      <w:pPr>
        <w:ind w:firstLine="720"/>
        <w:jc w:val="both"/>
        <w:rPr>
          <w:rFonts w:ascii="Arial" w:hAnsi="Arial" w:cs="Arial"/>
        </w:rPr>
      </w:pPr>
      <w:r w:rsidRPr="0025111C">
        <w:rPr>
          <w:rFonts w:ascii="Arial" w:hAnsi="Arial" w:cs="Arial"/>
          <w:color w:val="000000" w:themeColor="text1"/>
        </w:rPr>
        <w:t>Depression is the primary driver a person commits suicide every 12 minutes in the United States</w:t>
      </w:r>
      <w:r w:rsidRPr="0025111C">
        <w:rPr>
          <w:rStyle w:val="EndnoteReference"/>
          <w:rFonts w:ascii="Arial" w:hAnsi="Arial" w:cs="Arial"/>
          <w:color w:val="000000" w:themeColor="text1"/>
        </w:rPr>
        <w:endnoteReference w:id="2"/>
      </w:r>
      <w:r w:rsidRPr="0025111C">
        <w:rPr>
          <w:rFonts w:ascii="Arial" w:hAnsi="Arial" w:cs="Arial"/>
          <w:color w:val="000000" w:themeColor="text1"/>
        </w:rPr>
        <w:t xml:space="preserve"> (CDC, 2023). Approximately 322 million people worldwide live with depression which impacts an estimated 18 million adults annually in the United States</w:t>
      </w:r>
      <w:r w:rsidRPr="0025111C">
        <w:rPr>
          <w:rFonts w:ascii="Arial" w:hAnsi="Arial" w:cs="Arial"/>
          <w:color w:val="000000" w:themeColor="text1"/>
        </w:rPr>
        <w:fldChar w:fldCharType="begin"/>
      </w:r>
      <w:r w:rsidRPr="0025111C">
        <w:rPr>
          <w:rFonts w:ascii="Arial" w:hAnsi="Arial" w:cs="Arial"/>
          <w:color w:val="000000" w:themeColor="text1"/>
        </w:rPr>
        <w:instrText xml:space="preserve"> NOTEREF _Ref214644192 \f \h </w:instrText>
      </w:r>
      <w:r>
        <w:rPr>
          <w:rFonts w:ascii="Arial" w:hAnsi="Arial" w:cs="Arial"/>
          <w:color w:val="000000" w:themeColor="text1"/>
        </w:rPr>
        <w:instrText xml:space="preserve"> \* MERGEFORMAT </w:instrText>
      </w:r>
      <w:r w:rsidRPr="0025111C">
        <w:rPr>
          <w:rFonts w:ascii="Arial" w:hAnsi="Arial" w:cs="Arial"/>
          <w:color w:val="000000" w:themeColor="text1"/>
        </w:rPr>
      </w:r>
      <w:r w:rsidRPr="0025111C">
        <w:rPr>
          <w:rFonts w:ascii="Arial" w:hAnsi="Arial" w:cs="Arial"/>
          <w:color w:val="000000" w:themeColor="text1"/>
        </w:rPr>
        <w:fldChar w:fldCharType="separate"/>
      </w:r>
      <w:r w:rsidR="009E19E9" w:rsidRPr="009E19E9">
        <w:rPr>
          <w:rStyle w:val="EndnoteReference"/>
          <w:rFonts w:ascii="Arial" w:hAnsi="Arial" w:cs="Arial"/>
        </w:rPr>
        <w:t>1</w:t>
      </w:r>
      <w:r w:rsidRPr="0025111C">
        <w:rPr>
          <w:rFonts w:ascii="Arial" w:hAnsi="Arial" w:cs="Arial"/>
          <w:color w:val="000000" w:themeColor="text1"/>
        </w:rPr>
        <w:fldChar w:fldCharType="end"/>
      </w:r>
      <w:r w:rsidRPr="0025111C">
        <w:rPr>
          <w:rFonts w:ascii="Arial" w:hAnsi="Arial" w:cs="Arial"/>
          <w:color w:val="000000" w:themeColor="text1"/>
        </w:rPr>
        <w:t xml:space="preserve"> (National Institute of Mental Health [NIMH], 2023.) Depression is the most troublesome disorder worldwide</w:t>
      </w:r>
      <w:r w:rsidRPr="0025111C">
        <w:rPr>
          <w:rStyle w:val="EndnoteReference"/>
          <w:rFonts w:ascii="Arial" w:hAnsi="Arial" w:cs="Arial"/>
          <w:color w:val="000000" w:themeColor="text1"/>
        </w:rPr>
        <w:endnoteReference w:id="3"/>
      </w:r>
      <w:r w:rsidRPr="0025111C">
        <w:rPr>
          <w:rFonts w:ascii="Arial" w:hAnsi="Arial" w:cs="Arial"/>
          <w:color w:val="000000" w:themeColor="text1"/>
        </w:rPr>
        <w:t xml:space="preserve"> </w:t>
      </w:r>
      <w:r w:rsidRPr="0025111C">
        <w:rPr>
          <w:rFonts w:ascii="Arial" w:hAnsi="Arial" w:cs="Arial"/>
        </w:rPr>
        <w:t>(Üstün et al., 2004) and considered one of the most common mental health disorders in the United States</w:t>
      </w:r>
      <w:r w:rsidR="009E319C">
        <w:rPr>
          <w:rFonts w:ascii="Arial" w:hAnsi="Arial" w:cs="Arial"/>
        </w:rPr>
        <w:t xml:space="preserve"> </w:t>
      </w:r>
      <w:r w:rsidRPr="0025111C">
        <w:rPr>
          <w:rFonts w:ascii="Arial" w:hAnsi="Arial" w:cs="Arial"/>
        </w:rPr>
        <w:t>(</w:t>
      </w:r>
      <w:r w:rsidRPr="0025111C">
        <w:rPr>
          <w:rFonts w:ascii="Arial" w:hAnsi="Arial" w:cs="Arial"/>
          <w:color w:val="000000" w:themeColor="text1"/>
        </w:rPr>
        <w:t>NIMH, 2023)</w:t>
      </w:r>
      <w:r w:rsidRPr="0025111C">
        <w:rPr>
          <w:rFonts w:ascii="Arial" w:hAnsi="Arial" w:cs="Arial"/>
        </w:rPr>
        <w:t xml:space="preserve">. It </w:t>
      </w:r>
      <w:r w:rsidRPr="0025111C">
        <w:rPr>
          <w:rFonts w:ascii="Arial" w:hAnsi="Arial" w:cs="Arial"/>
          <w:color w:val="000000" w:themeColor="text1"/>
        </w:rPr>
        <w:t>is the leading cause of disability for individuals 15-44 years of age</w:t>
      </w:r>
      <w:r w:rsidRPr="0025111C">
        <w:rPr>
          <w:rStyle w:val="EndnoteReference"/>
          <w:rFonts w:ascii="Arial" w:hAnsi="Arial" w:cs="Arial"/>
          <w:color w:val="000000" w:themeColor="text1"/>
        </w:rPr>
        <w:endnoteReference w:id="4"/>
      </w:r>
      <w:r w:rsidRPr="0025111C">
        <w:rPr>
          <w:rFonts w:ascii="Arial" w:hAnsi="Arial" w:cs="Arial"/>
          <w:color w:val="000000" w:themeColor="text1"/>
        </w:rPr>
        <w:t xml:space="preserve"> </w:t>
      </w:r>
      <w:r w:rsidRPr="0025111C">
        <w:rPr>
          <w:rFonts w:ascii="Arial" w:hAnsi="Arial" w:cs="Arial"/>
          <w:color w:val="000000" w:themeColor="text1"/>
          <w:shd w:val="clear" w:color="auto" w:fill="FFFFFF"/>
        </w:rPr>
        <w:t>(Kessler et al., 2005), accounting for $23 billion in lost workdays each year, resulting in nearly 400 million disability days per year</w:t>
      </w:r>
      <w:r w:rsidRPr="0025111C">
        <w:rPr>
          <w:rStyle w:val="EndnoteReference"/>
          <w:rFonts w:ascii="Arial" w:hAnsi="Arial" w:cs="Arial"/>
          <w:color w:val="000000" w:themeColor="text1"/>
          <w:shd w:val="clear" w:color="auto" w:fill="FFFFFF"/>
        </w:rPr>
        <w:endnoteReference w:id="5"/>
      </w:r>
      <w:r w:rsidRPr="0025111C">
        <w:rPr>
          <w:rFonts w:ascii="Arial" w:hAnsi="Arial" w:cs="Arial"/>
          <w:color w:val="000000" w:themeColor="text1"/>
          <w:shd w:val="clear" w:color="auto" w:fill="FFFFFF"/>
        </w:rPr>
        <w:t xml:space="preserve"> (Greenberg et al., 2015). </w:t>
      </w:r>
      <w:r w:rsidRPr="0025111C">
        <w:rPr>
          <w:rFonts w:ascii="Arial" w:hAnsi="Arial" w:cs="Arial"/>
        </w:rPr>
        <w:t>In the U.S., 13.1% of adults report symptoms of depression in a two-week period, and nearly 29% have been diagnosed with depression at some point in their lives</w:t>
      </w:r>
      <w:r w:rsidRPr="0025111C">
        <w:rPr>
          <w:rStyle w:val="EndnoteReference"/>
          <w:rFonts w:ascii="Arial" w:hAnsi="Arial" w:cs="Arial"/>
        </w:rPr>
        <w:endnoteReference w:id="6"/>
      </w:r>
      <w:r w:rsidRPr="0025111C">
        <w:rPr>
          <w:rFonts w:ascii="Arial" w:hAnsi="Arial" w:cs="Arial"/>
        </w:rPr>
        <w:t xml:space="preserve"> (CDC, 2025).</w:t>
      </w:r>
      <w:r w:rsidRPr="0025111C">
        <w:rPr>
          <w:rFonts w:ascii="Arial" w:hAnsi="Arial" w:cs="Arial"/>
          <w:color w:val="000000" w:themeColor="text1"/>
          <w:shd w:val="clear" w:color="auto" w:fill="FFFFFF"/>
        </w:rPr>
        <w:t xml:space="preserve"> This is an example of Major Depressive Disorder (MDD), which is </w:t>
      </w:r>
      <w:r w:rsidRPr="0025111C">
        <w:rPr>
          <w:rFonts w:ascii="Arial" w:hAnsi="Arial" w:cs="Arial"/>
          <w:color w:val="000000" w:themeColor="text1"/>
        </w:rPr>
        <w:t>characterized by persistent feelings of sadness or loss of interest in previously activities, recurrent thoughts of death, and other related symptoms lasting two weeks</w:t>
      </w:r>
      <w:bookmarkStart w:id="2" w:name="_Ref214632963"/>
      <w:r w:rsidRPr="0025111C">
        <w:rPr>
          <w:rStyle w:val="EndnoteReference"/>
          <w:rFonts w:ascii="Arial" w:hAnsi="Arial" w:cs="Arial"/>
          <w:color w:val="000000" w:themeColor="text1"/>
        </w:rPr>
        <w:endnoteReference w:id="7"/>
      </w:r>
      <w:bookmarkEnd w:id="2"/>
      <w:r w:rsidRPr="0025111C">
        <w:rPr>
          <w:rFonts w:ascii="Arial" w:hAnsi="Arial" w:cs="Arial"/>
          <w:color w:val="000000" w:themeColor="text1"/>
          <w:vertAlign w:val="superscript"/>
        </w:rPr>
        <w:t>,</w:t>
      </w:r>
      <w:r w:rsidRPr="0025111C">
        <w:rPr>
          <w:rStyle w:val="EndnoteReference"/>
          <w:rFonts w:ascii="Arial" w:hAnsi="Arial" w:cs="Arial"/>
          <w:color w:val="000000" w:themeColor="text1"/>
        </w:rPr>
        <w:endnoteReference w:id="8"/>
      </w:r>
      <w:r w:rsidRPr="0025111C">
        <w:rPr>
          <w:rFonts w:ascii="Arial" w:hAnsi="Arial" w:cs="Arial"/>
        </w:rPr>
        <w:t>(Marx et al., 2023</w:t>
      </w:r>
      <w:r w:rsidRPr="0025111C">
        <w:rPr>
          <w:rFonts w:ascii="Arial" w:hAnsi="Arial" w:cs="Arial"/>
          <w:color w:val="2C3E50"/>
          <w:shd w:val="clear" w:color="auto" w:fill="FFFFFF"/>
        </w:rPr>
        <w:t xml:space="preserve">; </w:t>
      </w:r>
      <w:r w:rsidRPr="0025111C">
        <w:rPr>
          <w:rFonts w:ascii="Arial" w:hAnsi="Arial" w:cs="Arial"/>
          <w:color w:val="000000" w:themeColor="text1"/>
        </w:rPr>
        <w:t>American Psychiatric Association, 2023) with severe change</w:t>
      </w:r>
      <w:r w:rsidR="00F87120">
        <w:rPr>
          <w:rFonts w:ascii="Arial" w:hAnsi="Arial" w:cs="Arial"/>
          <w:color w:val="000000" w:themeColor="text1"/>
        </w:rPr>
        <w:t>s</w:t>
      </w:r>
      <w:r w:rsidRPr="0025111C">
        <w:rPr>
          <w:rFonts w:ascii="Arial" w:hAnsi="Arial" w:cs="Arial"/>
          <w:color w:val="000000" w:themeColor="text1"/>
        </w:rPr>
        <w:t xml:space="preserve"> in daily functioning</w:t>
      </w:r>
      <w:r w:rsidRPr="0025111C">
        <w:rPr>
          <w:rStyle w:val="EndnoteReference"/>
          <w:rFonts w:ascii="Arial" w:hAnsi="Arial" w:cs="Arial"/>
          <w:color w:val="000000" w:themeColor="text1"/>
        </w:rPr>
        <w:endnoteReference w:id="9"/>
      </w:r>
      <w:r w:rsidRPr="0025111C">
        <w:rPr>
          <w:rFonts w:ascii="Arial" w:hAnsi="Arial" w:cs="Arial"/>
          <w:color w:val="000000" w:themeColor="text1"/>
        </w:rPr>
        <w:t xml:space="preserve"> </w:t>
      </w:r>
      <w:r w:rsidRPr="0025111C">
        <w:rPr>
          <w:rFonts w:ascii="Arial" w:hAnsi="Arial" w:cs="Arial"/>
        </w:rPr>
        <w:t>(O’Connor et al., 2019).</w:t>
      </w:r>
      <w:r w:rsidRPr="0025111C">
        <w:rPr>
          <w:rFonts w:ascii="Arial" w:hAnsi="Arial" w:cs="Arial"/>
          <w:color w:val="000000" w:themeColor="text1"/>
        </w:rPr>
        <w:t xml:space="preserve">  From a global perspective- since 1990, the prevalence of MDD has surpassed 55% with women experiencing higher rates 1.6 times than men</w:t>
      </w:r>
      <w:r w:rsidRPr="0025111C">
        <w:rPr>
          <w:rStyle w:val="EndnoteReference"/>
          <w:rFonts w:ascii="Arial" w:hAnsi="Arial" w:cs="Arial"/>
          <w:color w:val="000000" w:themeColor="text1"/>
        </w:rPr>
        <w:endnoteReference w:id="10"/>
      </w:r>
      <w:r w:rsidRPr="0025111C">
        <w:rPr>
          <w:rFonts w:ascii="Arial" w:hAnsi="Arial" w:cs="Arial"/>
        </w:rPr>
        <w:t xml:space="preserve"> (Institute for Health Metrics and Evaluation [IHME], 2021). Studies have also shown, individuals with MDD often diagnosed with other comorbidities and experience lower quality of life due to their inability to perform daily tasks</w:t>
      </w:r>
      <w:r w:rsidRPr="0025111C">
        <w:rPr>
          <w:rFonts w:ascii="Arial" w:hAnsi="Arial" w:cs="Arial"/>
        </w:rPr>
        <w:fldChar w:fldCharType="begin"/>
      </w:r>
      <w:r w:rsidRPr="0025111C">
        <w:rPr>
          <w:rFonts w:ascii="Arial" w:hAnsi="Arial" w:cs="Arial"/>
        </w:rPr>
        <w:instrText xml:space="preserve"> NOTEREF _Ref214632963 \f \h </w:instrText>
      </w:r>
      <w:r>
        <w:rPr>
          <w:rFonts w:ascii="Arial" w:hAnsi="Arial" w:cs="Arial"/>
        </w:rPr>
        <w:instrText xml:space="preserve"> \* MERGEFORMAT </w:instrText>
      </w:r>
      <w:r w:rsidRPr="0025111C">
        <w:rPr>
          <w:rFonts w:ascii="Arial" w:hAnsi="Arial" w:cs="Arial"/>
        </w:rPr>
      </w:r>
      <w:r w:rsidRPr="0025111C">
        <w:rPr>
          <w:rFonts w:ascii="Arial" w:hAnsi="Arial" w:cs="Arial"/>
        </w:rPr>
        <w:fldChar w:fldCharType="separate"/>
      </w:r>
      <w:r w:rsidR="009E19E9" w:rsidRPr="009E19E9">
        <w:rPr>
          <w:rStyle w:val="EndnoteReference"/>
          <w:rFonts w:ascii="Arial" w:hAnsi="Arial" w:cs="Arial"/>
        </w:rPr>
        <w:t>7</w:t>
      </w:r>
      <w:r w:rsidRPr="0025111C">
        <w:rPr>
          <w:rFonts w:ascii="Arial" w:hAnsi="Arial" w:cs="Arial"/>
        </w:rPr>
        <w:fldChar w:fldCharType="end"/>
      </w:r>
      <w:r w:rsidRPr="0025111C">
        <w:rPr>
          <w:rFonts w:ascii="Arial" w:hAnsi="Arial" w:cs="Arial"/>
        </w:rPr>
        <w:t xml:space="preserve"> (Marx et al., 2023</w:t>
      </w:r>
      <w:r w:rsidRPr="0025111C">
        <w:rPr>
          <w:rFonts w:ascii="Arial" w:hAnsi="Arial" w:cs="Arial"/>
          <w:color w:val="2C3E50"/>
          <w:shd w:val="clear" w:color="auto" w:fill="FFFFFF"/>
        </w:rPr>
        <w:t xml:space="preserve">). </w:t>
      </w:r>
    </w:p>
    <w:p w14:paraId="64C420BA" w14:textId="77777777" w:rsidR="0025111C" w:rsidRPr="0025111C" w:rsidRDefault="0025111C" w:rsidP="0025111C">
      <w:pPr>
        <w:shd w:val="clear" w:color="auto" w:fill="FFFFFF"/>
        <w:jc w:val="both"/>
        <w:textAlignment w:val="baseline"/>
        <w:rPr>
          <w:rFonts w:ascii="Arial" w:hAnsi="Arial" w:cs="Arial"/>
        </w:rPr>
      </w:pPr>
    </w:p>
    <w:p w14:paraId="53287A74" w14:textId="54F1FB0A" w:rsidR="0025111C" w:rsidRPr="0025111C" w:rsidRDefault="0025111C" w:rsidP="0025111C">
      <w:pPr>
        <w:shd w:val="clear" w:color="auto" w:fill="FFFFFF"/>
        <w:ind w:firstLine="720"/>
        <w:jc w:val="both"/>
        <w:textAlignment w:val="baseline"/>
        <w:rPr>
          <w:rFonts w:ascii="Arial" w:hAnsi="Arial" w:cs="Arial"/>
        </w:rPr>
      </w:pPr>
      <w:r w:rsidRPr="0025111C">
        <w:rPr>
          <w:rFonts w:ascii="Arial" w:hAnsi="Arial" w:cs="Arial"/>
        </w:rPr>
        <w:t>Depression is a heterogeneous disorder, as individuals experience different symptoms, and response to treatments varies based on metabolism, the presence of co-morbidities, current use of other medications, and brain chemistry. Given these intricacies, treatment typically involves a multimodal approach including medications such as se</w:t>
      </w:r>
      <w:r w:rsidRPr="0025111C">
        <w:rPr>
          <w:rFonts w:ascii="Arial" w:hAnsi="Arial" w:cs="Arial"/>
          <w:color w:val="1B1B1B"/>
          <w:shd w:val="clear" w:color="auto" w:fill="FFFFFF"/>
        </w:rPr>
        <w:t>rotonin and noradrenaline reuptake inhibitors</w:t>
      </w:r>
      <w:r w:rsidRPr="0025111C">
        <w:rPr>
          <w:rStyle w:val="EndnoteReference"/>
          <w:rFonts w:ascii="Arial" w:hAnsi="Arial" w:cs="Arial"/>
          <w:color w:val="1B1B1B"/>
          <w:shd w:val="clear" w:color="auto" w:fill="FFFFFF"/>
        </w:rPr>
        <w:endnoteReference w:id="11"/>
      </w:r>
      <w:r w:rsidRPr="0025111C">
        <w:rPr>
          <w:rFonts w:ascii="Arial" w:hAnsi="Arial" w:cs="Arial"/>
          <w:color w:val="1B1B1B"/>
          <w:shd w:val="clear" w:color="auto" w:fill="FFFFFF"/>
          <w:vertAlign w:val="superscript"/>
        </w:rPr>
        <w:t>,</w:t>
      </w:r>
      <w:bookmarkStart w:id="3" w:name="_Ref214633434"/>
      <w:r w:rsidRPr="0025111C">
        <w:rPr>
          <w:rStyle w:val="EndnoteReference"/>
          <w:rFonts w:ascii="Arial" w:hAnsi="Arial" w:cs="Arial"/>
          <w:color w:val="1B1B1B"/>
          <w:shd w:val="clear" w:color="auto" w:fill="FFFFFF"/>
        </w:rPr>
        <w:endnoteReference w:id="12"/>
      </w:r>
      <w:bookmarkEnd w:id="3"/>
      <w:r w:rsidRPr="0025111C">
        <w:rPr>
          <w:rFonts w:ascii="Arial" w:hAnsi="Arial" w:cs="Arial"/>
        </w:rPr>
        <w:t>(APA, 2022; Cuijpers et al., 2021), evidence-based psychotherapies and often</w:t>
      </w:r>
      <w:r w:rsidR="00865CE7">
        <w:rPr>
          <w:rFonts w:ascii="Arial" w:hAnsi="Arial" w:cs="Arial"/>
        </w:rPr>
        <w:t xml:space="preserve"> times, </w:t>
      </w:r>
      <w:r w:rsidRPr="0025111C">
        <w:rPr>
          <w:rFonts w:ascii="Arial" w:hAnsi="Arial" w:cs="Arial"/>
        </w:rPr>
        <w:t>patients undergo a combination of these approaches to maximized outcomes</w:t>
      </w:r>
      <w:r w:rsidRPr="0025111C">
        <w:rPr>
          <w:rFonts w:ascii="Arial" w:hAnsi="Arial" w:cs="Arial"/>
        </w:rPr>
        <w:fldChar w:fldCharType="begin"/>
      </w:r>
      <w:r w:rsidRPr="0025111C">
        <w:rPr>
          <w:rFonts w:ascii="Arial" w:hAnsi="Arial" w:cs="Arial"/>
        </w:rPr>
        <w:instrText xml:space="preserve"> NOTEREF _Ref214632963 \f \h </w:instrText>
      </w:r>
      <w:r>
        <w:rPr>
          <w:rFonts w:ascii="Arial" w:hAnsi="Arial" w:cs="Arial"/>
        </w:rPr>
        <w:instrText xml:space="preserve"> \* MERGEFORMAT </w:instrText>
      </w:r>
      <w:r w:rsidRPr="0025111C">
        <w:rPr>
          <w:rFonts w:ascii="Arial" w:hAnsi="Arial" w:cs="Arial"/>
        </w:rPr>
      </w:r>
      <w:r w:rsidRPr="0025111C">
        <w:rPr>
          <w:rFonts w:ascii="Arial" w:hAnsi="Arial" w:cs="Arial"/>
        </w:rPr>
        <w:fldChar w:fldCharType="separate"/>
      </w:r>
      <w:r w:rsidR="009E19E9" w:rsidRPr="009E19E9">
        <w:rPr>
          <w:rStyle w:val="EndnoteReference"/>
          <w:rFonts w:ascii="Arial" w:hAnsi="Arial" w:cs="Arial"/>
        </w:rPr>
        <w:t>7</w:t>
      </w:r>
      <w:r w:rsidRPr="0025111C">
        <w:rPr>
          <w:rFonts w:ascii="Arial" w:hAnsi="Arial" w:cs="Arial"/>
        </w:rPr>
        <w:fldChar w:fldCharType="end"/>
      </w:r>
      <w:r w:rsidRPr="0025111C">
        <w:rPr>
          <w:rFonts w:ascii="Arial" w:hAnsi="Arial" w:cs="Arial"/>
          <w:vertAlign w:val="superscript"/>
        </w:rPr>
        <w:t>,</w:t>
      </w:r>
      <w:r w:rsidRPr="0025111C">
        <w:rPr>
          <w:rFonts w:ascii="Arial" w:hAnsi="Arial" w:cs="Arial"/>
        </w:rPr>
        <w:fldChar w:fldCharType="begin"/>
      </w:r>
      <w:r w:rsidRPr="0025111C">
        <w:rPr>
          <w:rFonts w:ascii="Arial" w:hAnsi="Arial" w:cs="Arial"/>
        </w:rPr>
        <w:instrText xml:space="preserve"> NOTEREF _Ref214633434 \f \h </w:instrText>
      </w:r>
      <w:r>
        <w:rPr>
          <w:rFonts w:ascii="Arial" w:hAnsi="Arial" w:cs="Arial"/>
        </w:rPr>
        <w:instrText xml:space="preserve"> \* MERGEFORMAT </w:instrText>
      </w:r>
      <w:r w:rsidRPr="0025111C">
        <w:rPr>
          <w:rFonts w:ascii="Arial" w:hAnsi="Arial" w:cs="Arial"/>
        </w:rPr>
      </w:r>
      <w:r w:rsidRPr="0025111C">
        <w:rPr>
          <w:rFonts w:ascii="Arial" w:hAnsi="Arial" w:cs="Arial"/>
        </w:rPr>
        <w:fldChar w:fldCharType="separate"/>
      </w:r>
      <w:r w:rsidR="009E19E9" w:rsidRPr="009E19E9">
        <w:rPr>
          <w:rStyle w:val="EndnoteReference"/>
          <w:rFonts w:ascii="Arial" w:hAnsi="Arial" w:cs="Arial"/>
        </w:rPr>
        <w:t>12</w:t>
      </w:r>
      <w:r w:rsidRPr="0025111C">
        <w:rPr>
          <w:rFonts w:ascii="Arial" w:hAnsi="Arial" w:cs="Arial"/>
        </w:rPr>
        <w:fldChar w:fldCharType="end"/>
      </w:r>
      <w:r w:rsidRPr="0025111C">
        <w:rPr>
          <w:rFonts w:ascii="Arial" w:hAnsi="Arial" w:cs="Arial"/>
        </w:rPr>
        <w:t xml:space="preserve"> (Marx et al., 2023; Cuijpers et al., 2021). Although, MDD symptoms are well recognized by physicians, providing effective treatment poses great challenges, as many patients develop chronic symptoms or become treatment resistant</w:t>
      </w:r>
      <w:r w:rsidRPr="0025111C">
        <w:rPr>
          <w:rStyle w:val="EndnoteReference"/>
          <w:rFonts w:ascii="Arial" w:hAnsi="Arial" w:cs="Arial"/>
        </w:rPr>
        <w:endnoteReference w:id="13"/>
      </w:r>
      <w:r w:rsidRPr="0025111C">
        <w:rPr>
          <w:rFonts w:ascii="Arial" w:hAnsi="Arial" w:cs="Arial"/>
        </w:rPr>
        <w:t xml:space="preserve"> (Ogłodek et al., 2014). It follows that first line antidepressants have modest efficacy, yet studies have shown that 50% to 60% of patients do not respond or tolerate well to them</w:t>
      </w:r>
      <w:r w:rsidRPr="0025111C">
        <w:rPr>
          <w:rStyle w:val="EndnoteReference"/>
          <w:rFonts w:ascii="Arial" w:hAnsi="Arial" w:cs="Arial"/>
        </w:rPr>
        <w:endnoteReference w:id="14"/>
      </w:r>
      <w:r w:rsidRPr="0025111C">
        <w:rPr>
          <w:rFonts w:ascii="Arial" w:hAnsi="Arial" w:cs="Arial"/>
        </w:rPr>
        <w:t xml:space="preserve"> </w:t>
      </w:r>
      <w:r w:rsidRPr="0025111C">
        <w:rPr>
          <w:rFonts w:ascii="Arial" w:hAnsi="Arial" w:cs="Arial"/>
          <w:color w:val="000000" w:themeColor="text1"/>
          <w:shd w:val="clear" w:color="auto" w:fill="FFFFFF"/>
        </w:rPr>
        <w:t xml:space="preserve">(He et al., 2025). </w:t>
      </w:r>
      <w:r w:rsidRPr="0025111C">
        <w:rPr>
          <w:rFonts w:ascii="Arial" w:hAnsi="Arial" w:cs="Arial"/>
        </w:rPr>
        <w:t xml:space="preserve">This finding aligns with a study by </w:t>
      </w:r>
      <w:r w:rsidRPr="0025111C">
        <w:rPr>
          <w:rFonts w:ascii="Arial" w:hAnsi="Arial" w:cs="Arial"/>
          <w:color w:val="000000" w:themeColor="text1"/>
        </w:rPr>
        <w:t>Gaddy et al (2024) which revealed about one-third of patients with MDD reach remission after the initial trial of first line antidepressant</w:t>
      </w:r>
      <w:r w:rsidRPr="0025111C">
        <w:rPr>
          <w:rStyle w:val="EndnoteReference"/>
          <w:rFonts w:ascii="Arial" w:hAnsi="Arial" w:cs="Arial"/>
          <w:color w:val="000000" w:themeColor="text1"/>
        </w:rPr>
        <w:endnoteReference w:id="15"/>
      </w:r>
      <w:r w:rsidRPr="0025111C">
        <w:rPr>
          <w:rFonts w:ascii="Arial" w:hAnsi="Arial" w:cs="Arial"/>
        </w:rPr>
        <w:t xml:space="preserve">. </w:t>
      </w:r>
      <w:r w:rsidR="00F87120">
        <w:rPr>
          <w:rFonts w:ascii="Arial" w:hAnsi="Arial" w:cs="Arial"/>
        </w:rPr>
        <w:t>Similarly, another</w:t>
      </w:r>
      <w:r w:rsidRPr="0025111C">
        <w:rPr>
          <w:rFonts w:ascii="Arial" w:hAnsi="Arial" w:cs="Arial"/>
        </w:rPr>
        <w:t xml:space="preserve"> recent study led by the University of Birmingham examined 5,136 patients with MDD, and results revealed that 48% have tried at least two medications without positive response rate</w:t>
      </w:r>
      <w:r w:rsidR="00547FCD">
        <w:rPr>
          <w:rFonts w:ascii="Arial" w:hAnsi="Arial" w:cs="Arial"/>
        </w:rPr>
        <w:t xml:space="preserve"> and </w:t>
      </w:r>
      <w:r w:rsidRPr="0025111C">
        <w:rPr>
          <w:rFonts w:ascii="Arial" w:hAnsi="Arial" w:cs="Arial"/>
        </w:rPr>
        <w:t>37% tried four or more antidepressants without success</w:t>
      </w:r>
      <w:r w:rsidR="00547FCD">
        <w:rPr>
          <w:rStyle w:val="EndnoteReference"/>
          <w:rFonts w:ascii="Arial" w:hAnsi="Arial" w:cs="Arial"/>
        </w:rPr>
        <w:endnoteReference w:customMarkFollows="1" w:id="16"/>
        <w:t>16</w:t>
      </w:r>
      <w:r w:rsidRPr="0025111C">
        <w:rPr>
          <w:rFonts w:ascii="Arial" w:hAnsi="Arial" w:cs="Arial"/>
          <w:color w:val="000000" w:themeColor="text1"/>
          <w:shd w:val="clear" w:color="auto" w:fill="FFFFFF"/>
        </w:rPr>
        <w:t xml:space="preserve"> </w:t>
      </w:r>
      <w:r w:rsidRPr="0025111C">
        <w:rPr>
          <w:rFonts w:ascii="Arial" w:hAnsi="Arial" w:cs="Arial"/>
        </w:rPr>
        <w:t>(Gill et al., 2025)</w:t>
      </w:r>
      <w:r w:rsidRPr="0025111C">
        <w:rPr>
          <w:rFonts w:ascii="Arial" w:hAnsi="Arial" w:cs="Arial"/>
          <w:color w:val="2C3E50"/>
          <w:shd w:val="clear" w:color="auto" w:fill="FFFFFF"/>
        </w:rPr>
        <w:t xml:space="preserve">. </w:t>
      </w:r>
      <w:r w:rsidRPr="0025111C">
        <w:rPr>
          <w:rFonts w:ascii="Arial" w:hAnsi="Arial" w:cs="Arial"/>
        </w:rPr>
        <w:t>Findings from the STAR*D trial, reported that 33% of patients entered remission after one treatment step, while 67% reached remission after four steps- noting that remission rates decreased at each step</w:t>
      </w:r>
      <w:r w:rsidR="00BB3152">
        <w:rPr>
          <w:rStyle w:val="EndnoteReference"/>
          <w:rFonts w:ascii="Arial" w:hAnsi="Arial" w:cs="Arial"/>
        </w:rPr>
        <w:endnoteReference w:customMarkFollows="1" w:id="17"/>
        <w:t>17</w:t>
      </w:r>
      <w:r w:rsidRPr="0025111C">
        <w:rPr>
          <w:rFonts w:ascii="Arial" w:hAnsi="Arial" w:cs="Arial"/>
          <w:vertAlign w:val="superscript"/>
        </w:rPr>
        <w:t>,</w:t>
      </w:r>
      <w:r w:rsidR="00BB3152">
        <w:rPr>
          <w:rStyle w:val="EndnoteReference"/>
          <w:rFonts w:ascii="Arial" w:hAnsi="Arial" w:cs="Arial"/>
        </w:rPr>
        <w:endnoteReference w:customMarkFollows="1" w:id="18"/>
        <w:t>18</w:t>
      </w:r>
      <w:r w:rsidRPr="0025111C">
        <w:rPr>
          <w:rFonts w:ascii="Arial" w:hAnsi="Arial" w:cs="Arial"/>
        </w:rPr>
        <w:t xml:space="preserve"> (Rush et al., 2006; Pigott et al., 2024). However, given the low efficacy rates, there is an urgent need to expand the therapeutic topography to include novel treatment modalities that address both biological and psychosocial dimensions of recovery to improve quality of life. </w:t>
      </w:r>
    </w:p>
    <w:p w14:paraId="52EE89C8" w14:textId="77777777" w:rsidR="0025111C" w:rsidRPr="0025111C" w:rsidRDefault="0025111C" w:rsidP="0025111C">
      <w:pPr>
        <w:shd w:val="clear" w:color="auto" w:fill="FFFFFF"/>
        <w:jc w:val="both"/>
        <w:textAlignment w:val="baseline"/>
        <w:rPr>
          <w:rFonts w:ascii="Arial" w:hAnsi="Arial" w:cs="Arial"/>
          <w:color w:val="EE0000"/>
        </w:rPr>
      </w:pPr>
    </w:p>
    <w:p w14:paraId="2428AF1A" w14:textId="3DC9AAAE" w:rsidR="0025111C" w:rsidRPr="0025111C" w:rsidRDefault="0025111C" w:rsidP="0025111C">
      <w:pPr>
        <w:ind w:firstLine="720"/>
        <w:jc w:val="both"/>
        <w:rPr>
          <w:rFonts w:ascii="Arial" w:hAnsi="Arial" w:cs="Arial"/>
          <w:color w:val="000000" w:themeColor="text1"/>
        </w:rPr>
      </w:pPr>
      <w:r w:rsidRPr="0025111C">
        <w:rPr>
          <w:rFonts w:ascii="Arial" w:hAnsi="Arial" w:cs="Arial"/>
          <w:color w:val="000000" w:themeColor="text1"/>
        </w:rPr>
        <w:t xml:space="preserve">Stigma about psychedelics continues to deter social acceptance; however, with the current legalization of psilocybin therapy in Colorado and Oregon, behavioral scientists predict a positive shift in public attitudes and policy changes. For example, in 2024, the </w:t>
      </w:r>
      <w:r w:rsidRPr="0025111C">
        <w:rPr>
          <w:rFonts w:ascii="Arial" w:hAnsi="Arial" w:cs="Arial"/>
          <w:color w:val="000000" w:themeColor="text1"/>
          <w:spacing w:val="2"/>
        </w:rPr>
        <w:t>National Center for Complementary and Integrative Health recognized the therapeutic benefits of psychedelics for depression and encouraged the inclusion of psilocybin in complementary and alternative medicine research</w:t>
      </w:r>
      <w:r w:rsidR="00BB3152">
        <w:rPr>
          <w:rStyle w:val="EndnoteReference"/>
          <w:rFonts w:ascii="Arial" w:hAnsi="Arial" w:cs="Arial"/>
          <w:color w:val="000000" w:themeColor="text1"/>
          <w:spacing w:val="2"/>
        </w:rPr>
        <w:endnoteReference w:customMarkFollows="1" w:id="19"/>
        <w:t>19</w:t>
      </w:r>
      <w:r w:rsidRPr="0025111C">
        <w:rPr>
          <w:rFonts w:ascii="Arial" w:hAnsi="Arial" w:cs="Arial"/>
          <w:color w:val="000000" w:themeColor="text1"/>
          <w:spacing w:val="2"/>
        </w:rPr>
        <w:t xml:space="preserve"> </w:t>
      </w:r>
      <w:r w:rsidRPr="0025111C">
        <w:rPr>
          <w:rFonts w:ascii="Arial" w:hAnsi="Arial" w:cs="Arial"/>
          <w:color w:val="000000" w:themeColor="text1"/>
          <w:shd w:val="clear" w:color="auto" w:fill="FFFFFF"/>
        </w:rPr>
        <w:t xml:space="preserve">(National Center for Complementary and Integrative Health, 2024). </w:t>
      </w:r>
      <w:r w:rsidRPr="0025111C">
        <w:rPr>
          <w:rFonts w:ascii="Arial" w:hAnsi="Arial" w:cs="Arial"/>
        </w:rPr>
        <w:t>Another example stems from the U.S. Food and Drug Administration (FDA) where it issued guidelines supporting the development of psilocybin-based drugs to treat certain psychiatric and other mental health disorders</w:t>
      </w:r>
      <w:r w:rsidR="00BB3152">
        <w:rPr>
          <w:rStyle w:val="EndnoteReference"/>
          <w:rFonts w:ascii="Arial" w:hAnsi="Arial" w:cs="Arial"/>
        </w:rPr>
        <w:endnoteReference w:customMarkFollows="1" w:id="20"/>
        <w:t>20</w:t>
      </w:r>
      <w:r w:rsidRPr="0025111C">
        <w:rPr>
          <w:rFonts w:ascii="Arial" w:hAnsi="Arial" w:cs="Arial"/>
        </w:rPr>
        <w:t xml:space="preserve"> (Research, 2023). These socio-political changes have prioritized </w:t>
      </w:r>
      <w:r w:rsidR="00BB3152">
        <w:rPr>
          <w:rFonts w:ascii="Arial" w:hAnsi="Arial" w:cs="Arial"/>
        </w:rPr>
        <w:t xml:space="preserve">research efforts for </w:t>
      </w:r>
      <w:r w:rsidR="00F40FD1">
        <w:rPr>
          <w:rFonts w:ascii="Arial" w:hAnsi="Arial" w:cs="Arial"/>
        </w:rPr>
        <w:t>further</w:t>
      </w:r>
      <w:r w:rsidRPr="0025111C">
        <w:rPr>
          <w:rFonts w:ascii="Arial" w:hAnsi="Arial" w:cs="Arial"/>
        </w:rPr>
        <w:t xml:space="preserve"> complementary and alternative medicine (CAM)-aligned clinical trials. </w:t>
      </w:r>
      <w:r w:rsidRPr="0025111C">
        <w:rPr>
          <w:rFonts w:ascii="Arial" w:hAnsi="Arial" w:cs="Arial"/>
          <w:color w:val="000000" w:themeColor="text1"/>
        </w:rPr>
        <w:t>However, to rigorously evaluate novel CAM modalities, it is imperative to ground research in evidence-based theoretical frameworks.  Applying such frameworks enables researchers to examine the connection between individual beliefs and behavioral intentions, and to contextualize findings to improve outcomes</w:t>
      </w:r>
      <w:r w:rsidR="00340B01">
        <w:rPr>
          <w:rFonts w:ascii="Arial" w:hAnsi="Arial" w:cs="Arial"/>
          <w:color w:val="000000" w:themeColor="text1"/>
        </w:rPr>
        <w:t xml:space="preserve">, while </w:t>
      </w:r>
      <w:r w:rsidRPr="0025111C">
        <w:rPr>
          <w:rFonts w:ascii="Arial" w:hAnsi="Arial" w:cs="Arial"/>
          <w:color w:val="000000" w:themeColor="text1"/>
        </w:rPr>
        <w:t>inform</w:t>
      </w:r>
      <w:r w:rsidR="00340B01">
        <w:rPr>
          <w:rFonts w:ascii="Arial" w:hAnsi="Arial" w:cs="Arial"/>
          <w:color w:val="000000" w:themeColor="text1"/>
        </w:rPr>
        <w:t>ing</w:t>
      </w:r>
      <w:r w:rsidRPr="0025111C">
        <w:rPr>
          <w:rFonts w:ascii="Arial" w:hAnsi="Arial" w:cs="Arial"/>
          <w:color w:val="000000" w:themeColor="text1"/>
        </w:rPr>
        <w:t xml:space="preserve"> targeted interventions. Modern psychedelic science research is accelerating, and results are promising. Researchers have integrated psilocybin experiences with behavior change methods such as Cognitive Behavioral Therapy</w:t>
      </w:r>
      <w:r w:rsidR="00F40FD1">
        <w:rPr>
          <w:rStyle w:val="EndnoteReference"/>
          <w:rFonts w:ascii="Arial" w:hAnsi="Arial" w:cs="Arial"/>
          <w:color w:val="000000" w:themeColor="text1"/>
          <w:shd w:val="clear" w:color="auto" w:fill="FFFFFF"/>
        </w:rPr>
        <w:endnoteReference w:customMarkFollows="1" w:id="21"/>
        <w:t>21</w:t>
      </w:r>
      <w:r w:rsidRPr="0025111C">
        <w:rPr>
          <w:rFonts w:ascii="Arial" w:hAnsi="Arial" w:cs="Arial"/>
          <w:color w:val="000000" w:themeColor="text1"/>
          <w:shd w:val="clear" w:color="auto" w:fill="FFFFFF"/>
        </w:rPr>
        <w:t xml:space="preserve"> (Teixeira et al., 2021) </w:t>
      </w:r>
      <w:r w:rsidRPr="0025111C">
        <w:rPr>
          <w:rFonts w:ascii="Arial" w:hAnsi="Arial" w:cs="Arial"/>
          <w:color w:val="000000" w:themeColor="text1"/>
        </w:rPr>
        <w:t>and Motivational Interviewing</w:t>
      </w:r>
      <w:r w:rsidR="00F40FD1">
        <w:rPr>
          <w:rStyle w:val="EndnoteReference"/>
          <w:rFonts w:ascii="Arial" w:hAnsi="Arial" w:cs="Arial"/>
          <w:color w:val="000000" w:themeColor="text1"/>
        </w:rPr>
        <w:endnoteReference w:customMarkFollows="1" w:id="22"/>
        <w:t>22</w:t>
      </w:r>
      <w:r w:rsidRPr="0025111C">
        <w:rPr>
          <w:rFonts w:ascii="Arial" w:hAnsi="Arial" w:cs="Arial"/>
          <w:color w:val="000000" w:themeColor="text1"/>
        </w:rPr>
        <w:t xml:space="preserve"> </w:t>
      </w:r>
      <w:r w:rsidRPr="0025111C">
        <w:rPr>
          <w:rFonts w:ascii="Arial" w:hAnsi="Arial" w:cs="Arial"/>
          <w:color w:val="000000" w:themeColor="text1"/>
          <w:shd w:val="clear" w:color="auto" w:fill="FFFFFF"/>
        </w:rPr>
        <w:t>(Wolff et al., 2020)</w:t>
      </w:r>
      <w:r w:rsidRPr="0025111C">
        <w:rPr>
          <w:rFonts w:ascii="Arial" w:hAnsi="Arial" w:cs="Arial"/>
          <w:color w:val="000000" w:themeColor="text1"/>
        </w:rPr>
        <w:t xml:space="preserve">, </w:t>
      </w:r>
      <w:r w:rsidRPr="0025111C">
        <w:rPr>
          <w:rFonts w:ascii="Arial" w:hAnsi="Arial" w:cs="Arial"/>
          <w:color w:val="000000" w:themeColor="text1"/>
          <w:shd w:val="clear" w:color="auto" w:fill="FFFFFF"/>
        </w:rPr>
        <w:t>while a few studies have used the Theory of Planned Behavior (TPB) to predict acceptability of psilocybin-assisted therapy</w:t>
      </w:r>
      <w:r w:rsidR="00F40FD1">
        <w:rPr>
          <w:rStyle w:val="EndnoteReference"/>
          <w:rFonts w:ascii="Arial" w:hAnsi="Arial" w:cs="Arial"/>
          <w:color w:val="000000" w:themeColor="text1"/>
          <w:shd w:val="clear" w:color="auto" w:fill="FFFFFF"/>
        </w:rPr>
        <w:endnoteReference w:customMarkFollows="1" w:id="23"/>
        <w:t>23</w:t>
      </w:r>
      <w:r w:rsidRPr="0025111C">
        <w:rPr>
          <w:rFonts w:ascii="Arial" w:hAnsi="Arial" w:cs="Arial"/>
          <w:color w:val="000000" w:themeColor="text1"/>
          <w:shd w:val="clear" w:color="auto" w:fill="FFFFFF"/>
        </w:rPr>
        <w:t xml:space="preserve"> (Louie et al., 2025) and </w:t>
      </w:r>
      <w:r w:rsidRPr="0025111C">
        <w:rPr>
          <w:rFonts w:ascii="Arial" w:hAnsi="Arial" w:cs="Arial"/>
          <w:color w:val="000000" w:themeColor="text1"/>
        </w:rPr>
        <w:t>Psychological Reactance Theory (PRT) to explore factors of uncertainty within the context of legalizing psilocybin</w:t>
      </w:r>
      <w:r w:rsidR="00F40FD1">
        <w:rPr>
          <w:rStyle w:val="EndnoteReference"/>
          <w:rFonts w:ascii="Arial" w:hAnsi="Arial" w:cs="Arial"/>
          <w:color w:val="000000" w:themeColor="text1"/>
        </w:rPr>
        <w:endnoteReference w:customMarkFollows="1" w:id="24"/>
        <w:t>24</w:t>
      </w:r>
      <w:r w:rsidRPr="0025111C">
        <w:rPr>
          <w:rFonts w:ascii="Arial" w:hAnsi="Arial" w:cs="Arial"/>
          <w:color w:val="000000" w:themeColor="text1"/>
        </w:rPr>
        <w:t xml:space="preserve"> (Quick et at., 2025). However, </w:t>
      </w:r>
      <w:r w:rsidRPr="0025111C">
        <w:rPr>
          <w:rFonts w:ascii="Arial" w:hAnsi="Arial" w:cs="Arial"/>
          <w:color w:val="000000" w:themeColor="text1"/>
          <w:shd w:val="clear" w:color="auto" w:fill="FFFFFF"/>
        </w:rPr>
        <w:t xml:space="preserve">to the best of our knowledge, the current study is the first to operationalize the Health Belief Model for identifying individual-determinants associated with psilocybin-assisted therapy acceptance among young </w:t>
      </w:r>
      <w:r w:rsidR="001D29F4">
        <w:rPr>
          <w:rFonts w:ascii="Arial" w:hAnsi="Arial" w:cs="Arial"/>
          <w:color w:val="000000" w:themeColor="text1"/>
          <w:shd w:val="clear" w:color="auto" w:fill="FFFFFF"/>
        </w:rPr>
        <w:t xml:space="preserve">adults </w:t>
      </w:r>
      <w:r w:rsidRPr="0025111C">
        <w:rPr>
          <w:rFonts w:ascii="Arial" w:hAnsi="Arial" w:cs="Arial"/>
          <w:color w:val="000000" w:themeColor="text1"/>
          <w:shd w:val="clear" w:color="auto" w:fill="FFFFFF"/>
        </w:rPr>
        <w:t>diagnosed with major depressive disorder.</w:t>
      </w:r>
    </w:p>
    <w:p w14:paraId="47D22C12" w14:textId="77777777" w:rsidR="0025111C" w:rsidRPr="0025111C" w:rsidRDefault="0025111C" w:rsidP="0025111C">
      <w:pPr>
        <w:jc w:val="both"/>
        <w:rPr>
          <w:rFonts w:ascii="Arial" w:hAnsi="Arial" w:cs="Arial"/>
          <w:color w:val="000000" w:themeColor="text1"/>
        </w:rPr>
      </w:pPr>
    </w:p>
    <w:p w14:paraId="64F18E25" w14:textId="7291267D" w:rsidR="0025111C" w:rsidRPr="0025111C" w:rsidRDefault="0025111C" w:rsidP="0025111C">
      <w:pPr>
        <w:ind w:firstLine="720"/>
        <w:jc w:val="both"/>
        <w:rPr>
          <w:rFonts w:ascii="Arial" w:hAnsi="Arial" w:cs="Arial"/>
          <w:color w:val="000000" w:themeColor="text1"/>
        </w:rPr>
      </w:pPr>
      <w:r w:rsidRPr="0025111C">
        <w:rPr>
          <w:rFonts w:ascii="Arial" w:hAnsi="Arial" w:cs="Arial"/>
          <w:color w:val="000000" w:themeColor="text1"/>
          <w:shd w:val="clear" w:color="auto" w:fill="FFFFFF"/>
        </w:rPr>
        <w:t>The HBM framework has been used in a variety of arenas involving behavioral sciences such as exploring acceptance of COVID-19 vaccine</w:t>
      </w:r>
      <w:r w:rsidR="00A71328">
        <w:rPr>
          <w:rStyle w:val="EndnoteReference"/>
          <w:rFonts w:ascii="Arial" w:hAnsi="Arial" w:cs="Arial"/>
          <w:color w:val="000000" w:themeColor="text1"/>
          <w:shd w:val="clear" w:color="auto" w:fill="FFFFFF"/>
        </w:rPr>
        <w:endnoteReference w:customMarkFollows="1" w:id="25"/>
        <w:t>25</w:t>
      </w:r>
      <w:r w:rsidRPr="0025111C">
        <w:rPr>
          <w:rFonts w:ascii="Arial" w:hAnsi="Arial" w:cs="Arial"/>
          <w:color w:val="000000" w:themeColor="text1"/>
          <w:shd w:val="clear" w:color="auto" w:fill="FFFFFF"/>
        </w:rPr>
        <w:t xml:space="preserve"> (Al</w:t>
      </w:r>
      <w:r w:rsidRPr="0025111C">
        <w:rPr>
          <w:rFonts w:ascii="Cambria Math" w:hAnsi="Cambria Math" w:cs="Cambria Math"/>
          <w:color w:val="000000" w:themeColor="text1"/>
          <w:shd w:val="clear" w:color="auto" w:fill="FFFFFF"/>
        </w:rPr>
        <w:t>‐</w:t>
      </w:r>
      <w:r w:rsidRPr="0025111C">
        <w:rPr>
          <w:rFonts w:ascii="Arial" w:hAnsi="Arial" w:cs="Arial"/>
          <w:color w:val="000000" w:themeColor="text1"/>
          <w:shd w:val="clear" w:color="auto" w:fill="FFFFFF"/>
        </w:rPr>
        <w:t>Metwali et al., 2021), predicting intentions to use harm reduction strategies</w:t>
      </w:r>
      <w:r w:rsidR="00A71328">
        <w:rPr>
          <w:rStyle w:val="EndnoteReference"/>
          <w:rFonts w:ascii="Arial" w:hAnsi="Arial" w:cs="Arial"/>
          <w:color w:val="000000" w:themeColor="text1"/>
          <w:shd w:val="clear" w:color="auto" w:fill="FFFFFF"/>
        </w:rPr>
        <w:endnoteReference w:customMarkFollows="1" w:id="26"/>
        <w:t>26</w:t>
      </w:r>
      <w:r w:rsidRPr="0025111C">
        <w:rPr>
          <w:rFonts w:ascii="Arial" w:hAnsi="Arial" w:cs="Arial"/>
          <w:color w:val="000000" w:themeColor="text1"/>
          <w:shd w:val="clear" w:color="auto" w:fill="FFFFFF"/>
        </w:rPr>
        <w:t xml:space="preserve"> (Bonar &amp; Rosenberg, 2011), identifying motivators to engage in substance use disorder treatment program</w:t>
      </w:r>
      <w:r w:rsidR="00A71328">
        <w:rPr>
          <w:rStyle w:val="EndnoteReference"/>
          <w:rFonts w:ascii="Arial" w:hAnsi="Arial" w:cs="Arial"/>
          <w:color w:val="000000" w:themeColor="text1"/>
          <w:shd w:val="clear" w:color="auto" w:fill="FFFFFF"/>
        </w:rPr>
        <w:endnoteReference w:customMarkFollows="1" w:id="27"/>
        <w:t>27</w:t>
      </w:r>
      <w:r w:rsidRPr="0025111C">
        <w:rPr>
          <w:rFonts w:ascii="Arial" w:hAnsi="Arial" w:cs="Arial"/>
          <w:color w:val="000000" w:themeColor="text1"/>
          <w:shd w:val="clear" w:color="auto" w:fill="FFFFFF"/>
        </w:rPr>
        <w:t xml:space="preserve"> (Dillion et al., 2020), promoting drug abuse preventive behaviors</w:t>
      </w:r>
      <w:r w:rsidR="00A71328">
        <w:rPr>
          <w:rStyle w:val="EndnoteReference"/>
          <w:rFonts w:ascii="Arial" w:hAnsi="Arial" w:cs="Arial"/>
          <w:color w:val="000000" w:themeColor="text1"/>
          <w:shd w:val="clear" w:color="auto" w:fill="FFFFFF"/>
        </w:rPr>
        <w:endnoteReference w:customMarkFollows="1" w:id="28"/>
        <w:t>28</w:t>
      </w:r>
      <w:r w:rsidRPr="0025111C">
        <w:rPr>
          <w:rFonts w:ascii="Arial" w:hAnsi="Arial" w:cs="Arial"/>
          <w:color w:val="000000" w:themeColor="text1"/>
          <w:shd w:val="clear" w:color="auto" w:fill="FFFFFF"/>
        </w:rPr>
        <w:t xml:space="preserve"> (Fadaei et al., 2020), and assessing psychosocial predictors of factors health screenings</w:t>
      </w:r>
      <w:r w:rsidR="00A71328">
        <w:rPr>
          <w:rStyle w:val="EndnoteReference"/>
          <w:rFonts w:ascii="Arial" w:hAnsi="Arial" w:cs="Arial"/>
          <w:color w:val="000000" w:themeColor="text1"/>
          <w:shd w:val="clear" w:color="auto" w:fill="FFFFFF"/>
        </w:rPr>
        <w:endnoteReference w:customMarkFollows="1" w:id="29"/>
        <w:t>29</w:t>
      </w:r>
      <w:r w:rsidRPr="0025111C">
        <w:rPr>
          <w:rFonts w:ascii="Arial" w:hAnsi="Arial" w:cs="Arial"/>
          <w:color w:val="000000" w:themeColor="text1"/>
          <w:shd w:val="clear" w:color="auto" w:fill="FFFFFF"/>
        </w:rPr>
        <w:t xml:space="preserve"> (Burak &amp; Meyer, 1997), cardiovascular disease</w:t>
      </w:r>
      <w:r w:rsidR="00A71328">
        <w:rPr>
          <w:rStyle w:val="EndnoteReference"/>
          <w:rFonts w:ascii="Arial" w:hAnsi="Arial" w:cs="Arial"/>
          <w:color w:val="000000" w:themeColor="text1"/>
          <w:shd w:val="clear" w:color="auto" w:fill="FFFFFF"/>
        </w:rPr>
        <w:endnoteReference w:customMarkFollows="1" w:id="30"/>
        <w:t>30</w:t>
      </w:r>
      <w:r w:rsidRPr="0025111C">
        <w:rPr>
          <w:rFonts w:ascii="Arial" w:hAnsi="Arial" w:cs="Arial"/>
          <w:color w:val="000000" w:themeColor="text1"/>
          <w:shd w:val="clear" w:color="auto" w:fill="FFFFFF"/>
        </w:rPr>
        <w:t xml:space="preserve"> (Mohammadnabizadeh et al., 2022) and diet and exercise behavior</w:t>
      </w:r>
      <w:r w:rsidR="00A71328">
        <w:rPr>
          <w:rStyle w:val="EndnoteReference"/>
          <w:rFonts w:ascii="Arial" w:hAnsi="Arial" w:cs="Arial"/>
          <w:color w:val="000000" w:themeColor="text1"/>
          <w:shd w:val="clear" w:color="auto" w:fill="FFFFFF"/>
        </w:rPr>
        <w:endnoteReference w:customMarkFollows="1" w:id="31"/>
        <w:t>31</w:t>
      </w:r>
      <w:r w:rsidRPr="0025111C">
        <w:rPr>
          <w:rFonts w:ascii="Arial" w:hAnsi="Arial" w:cs="Arial"/>
          <w:color w:val="000000" w:themeColor="text1"/>
          <w:shd w:val="clear" w:color="auto" w:fill="FFFFFF"/>
        </w:rPr>
        <w:t xml:space="preserve">  (Rahmati Najarkolaei et al., 2015). </w:t>
      </w:r>
      <w:r w:rsidRPr="0025111C">
        <w:rPr>
          <w:rFonts w:ascii="Arial" w:hAnsi="Arial" w:cs="Arial"/>
          <w:color w:val="000000" w:themeColor="text1"/>
        </w:rPr>
        <w:t xml:space="preserve">Previous studies have used specific HBM constructs to examine </w:t>
      </w:r>
      <w:r w:rsidR="00865CE7">
        <w:rPr>
          <w:rFonts w:ascii="Arial" w:hAnsi="Arial" w:cs="Arial"/>
          <w:color w:val="000000" w:themeColor="text1"/>
        </w:rPr>
        <w:t xml:space="preserve">its </w:t>
      </w:r>
      <w:r w:rsidRPr="0025111C">
        <w:rPr>
          <w:rFonts w:ascii="Arial" w:hAnsi="Arial" w:cs="Arial"/>
          <w:color w:val="000000" w:themeColor="text1"/>
        </w:rPr>
        <w:t xml:space="preserve">influence </w:t>
      </w:r>
      <w:r w:rsidRPr="0025111C">
        <w:rPr>
          <w:rFonts w:ascii="Arial" w:hAnsi="Arial" w:cs="Arial"/>
          <w:color w:val="000000" w:themeColor="text1"/>
        </w:rPr>
        <w:lastRenderedPageBreak/>
        <w:t>on treatment acceptance in patients with substance use disorder (SUD)</w:t>
      </w:r>
      <w:r w:rsidR="00A71328">
        <w:rPr>
          <w:rStyle w:val="EndnoteReference"/>
          <w:rFonts w:ascii="Arial" w:hAnsi="Arial" w:cs="Arial"/>
          <w:color w:val="000000" w:themeColor="text1"/>
        </w:rPr>
        <w:endnoteReference w:customMarkFollows="1" w:id="32"/>
        <w:t>32</w:t>
      </w:r>
      <w:r w:rsidRPr="0025111C">
        <w:rPr>
          <w:rFonts w:ascii="Arial" w:hAnsi="Arial" w:cs="Arial"/>
          <w:color w:val="000000" w:themeColor="text1"/>
        </w:rPr>
        <w:t xml:space="preserve"> (Muslim et al., 2025) as well as to predict medication adherence among patients with severe mental disorders</w:t>
      </w:r>
      <w:r w:rsidR="00E34244">
        <w:rPr>
          <w:rStyle w:val="EndnoteReference"/>
          <w:rFonts w:ascii="Arial" w:hAnsi="Arial" w:cs="Arial"/>
          <w:color w:val="000000" w:themeColor="text1"/>
        </w:rPr>
        <w:endnoteReference w:customMarkFollows="1" w:id="33"/>
        <w:t>33</w:t>
      </w:r>
      <w:r w:rsidRPr="0025111C">
        <w:rPr>
          <w:rFonts w:ascii="Arial" w:hAnsi="Arial" w:cs="Arial"/>
          <w:color w:val="000000" w:themeColor="text1"/>
        </w:rPr>
        <w:t xml:space="preserve"> (Adams &amp; Scott, 2000). The HBM proposes individual</w:t>
      </w:r>
      <w:r w:rsidR="00865CE7">
        <w:rPr>
          <w:rFonts w:ascii="Arial" w:hAnsi="Arial" w:cs="Arial"/>
          <w:color w:val="000000" w:themeColor="text1"/>
        </w:rPr>
        <w:t>s’</w:t>
      </w:r>
      <w:r w:rsidRPr="0025111C">
        <w:rPr>
          <w:rFonts w:ascii="Arial" w:hAnsi="Arial" w:cs="Arial"/>
          <w:color w:val="000000" w:themeColor="text1"/>
        </w:rPr>
        <w:t xml:space="preserve"> decision to engage in a health-related behavior is guided by perceived susceptibility, perceived severity, perceived benefits, perceived barriers, and cues to action</w:t>
      </w:r>
      <w:r w:rsidR="00E34244">
        <w:rPr>
          <w:rStyle w:val="EndnoteReference"/>
          <w:rFonts w:ascii="Arial" w:hAnsi="Arial" w:cs="Arial"/>
          <w:color w:val="000000" w:themeColor="text1"/>
        </w:rPr>
        <w:endnoteReference w:customMarkFollows="1" w:id="34"/>
        <w:t>34</w:t>
      </w:r>
      <w:r w:rsidRPr="0025111C">
        <w:rPr>
          <w:rFonts w:ascii="Arial" w:hAnsi="Arial" w:cs="Arial"/>
          <w:color w:val="000000" w:themeColor="text1"/>
        </w:rPr>
        <w:t xml:space="preserve"> (Jacobson Vann et al., 2011). These constructs are illustrated in the context of major depressive disorder and medication acceptance</w:t>
      </w:r>
      <w:r w:rsidR="00865CE7">
        <w:rPr>
          <w:rFonts w:ascii="Arial" w:hAnsi="Arial" w:cs="Arial"/>
          <w:color w:val="000000" w:themeColor="text1"/>
        </w:rPr>
        <w:t xml:space="preserve">. </w:t>
      </w:r>
      <w:r w:rsidRPr="0025111C">
        <w:rPr>
          <w:rFonts w:ascii="Arial" w:hAnsi="Arial" w:cs="Arial"/>
          <w:color w:val="000000" w:themeColor="text1"/>
        </w:rPr>
        <w:t xml:space="preserve">This study utilizes the HBM framework as a structured lens for conceptualizing associated determinants that shape individuals’ perceptions related to psilocybin </w:t>
      </w:r>
      <w:r w:rsidR="00D66268">
        <w:rPr>
          <w:rFonts w:ascii="Arial" w:hAnsi="Arial" w:cs="Arial"/>
          <w:color w:val="000000" w:themeColor="text1"/>
        </w:rPr>
        <w:t xml:space="preserve">assisted therapy </w:t>
      </w:r>
      <w:r w:rsidRPr="0025111C">
        <w:rPr>
          <w:rFonts w:ascii="Arial" w:hAnsi="Arial" w:cs="Arial"/>
          <w:color w:val="000000" w:themeColor="text1"/>
        </w:rPr>
        <w:t xml:space="preserve">acceptance. The current study operationalizes perceived severity as an individuals’ belief about the seriousness of depressive symptoms and its adverse impact on daily life functioning or health outcomes. Whereas, perceived barriers are defined as legal concerns, lack of provider support stigma, adverse side effects, and cost associated with using psilocybin. Perceived benefits include individuals’ beliefs about the effectiveness of psilocybin in alleviating depressive symptoms to the state of remission or recovery. Lastly, cues to action, also known as “motivators,” can be understood as internal and external triggers that prompt an </w:t>
      </w:r>
      <w:proofErr w:type="gramStart"/>
      <w:r w:rsidRPr="0025111C">
        <w:rPr>
          <w:rFonts w:ascii="Arial" w:hAnsi="Arial" w:cs="Arial"/>
          <w:color w:val="000000" w:themeColor="text1"/>
        </w:rPr>
        <w:t>individuals</w:t>
      </w:r>
      <w:proofErr w:type="gramEnd"/>
      <w:r w:rsidRPr="0025111C">
        <w:rPr>
          <w:rFonts w:ascii="Arial" w:hAnsi="Arial" w:cs="Arial"/>
          <w:color w:val="000000" w:themeColor="text1"/>
        </w:rPr>
        <w:t xml:space="preserve">’ decision to adopt psilocybin such as FDA approval, </w:t>
      </w:r>
      <w:r w:rsidR="00D66268">
        <w:rPr>
          <w:rFonts w:ascii="Arial" w:hAnsi="Arial" w:cs="Arial"/>
          <w:color w:val="000000" w:themeColor="text1"/>
        </w:rPr>
        <w:t>clinician recommendation,</w:t>
      </w:r>
      <w:r w:rsidRPr="0025111C">
        <w:rPr>
          <w:rFonts w:ascii="Arial" w:hAnsi="Arial" w:cs="Arial"/>
          <w:color w:val="000000" w:themeColor="text1"/>
        </w:rPr>
        <w:t xml:space="preserve"> or positive testimonies from current or </w:t>
      </w:r>
      <w:r w:rsidR="00D66268">
        <w:rPr>
          <w:rFonts w:ascii="Arial" w:hAnsi="Arial" w:cs="Arial"/>
          <w:color w:val="000000" w:themeColor="text1"/>
        </w:rPr>
        <w:t>former</w:t>
      </w:r>
      <w:r w:rsidRPr="0025111C">
        <w:rPr>
          <w:rFonts w:ascii="Arial" w:hAnsi="Arial" w:cs="Arial"/>
          <w:color w:val="000000" w:themeColor="text1"/>
        </w:rPr>
        <w:t xml:space="preserve"> psilocybin users. </w:t>
      </w:r>
    </w:p>
    <w:p w14:paraId="21E718F4" w14:textId="77777777" w:rsidR="0025111C" w:rsidRPr="0025111C" w:rsidRDefault="0025111C" w:rsidP="0025111C">
      <w:pPr>
        <w:ind w:firstLine="720"/>
        <w:jc w:val="both"/>
        <w:rPr>
          <w:rFonts w:ascii="Arial" w:hAnsi="Arial" w:cs="Arial"/>
          <w:color w:val="000000" w:themeColor="text1"/>
        </w:rPr>
      </w:pPr>
    </w:p>
    <w:p w14:paraId="39B5179E" w14:textId="37B9492E" w:rsidR="0025111C" w:rsidRPr="0025111C" w:rsidRDefault="0025111C" w:rsidP="0025111C">
      <w:pPr>
        <w:spacing w:line="259" w:lineRule="auto"/>
        <w:ind w:firstLine="720"/>
        <w:jc w:val="both"/>
        <w:rPr>
          <w:rFonts w:ascii="Arial" w:eastAsiaTheme="majorEastAsia" w:hAnsi="Arial" w:cs="Arial"/>
          <w:color w:val="000000" w:themeColor="text1"/>
        </w:rPr>
      </w:pPr>
      <w:r w:rsidRPr="0025111C">
        <w:rPr>
          <w:rFonts w:ascii="Arial" w:hAnsi="Arial" w:cs="Arial"/>
          <w:color w:val="000000" w:themeColor="text1"/>
        </w:rPr>
        <w:t>The primary utility of the HBM is determining factors that influence the decision-making process and actions that leads to outcomes</w:t>
      </w:r>
      <w:r w:rsidR="00E34244">
        <w:rPr>
          <w:rStyle w:val="EndnoteReference"/>
          <w:rFonts w:ascii="Arial" w:hAnsi="Arial" w:cs="Arial"/>
          <w:color w:val="000000" w:themeColor="text1"/>
        </w:rPr>
        <w:endnoteReference w:customMarkFollows="1" w:id="35"/>
        <w:t>35</w:t>
      </w:r>
      <w:r w:rsidRPr="0025111C">
        <w:rPr>
          <w:rFonts w:ascii="Arial" w:hAnsi="Arial" w:cs="Arial"/>
          <w:color w:val="000000" w:themeColor="text1"/>
        </w:rPr>
        <w:t xml:space="preserve"> (Orji et al., 2012); therefore, it is most suitable for addressing behaviors that have consequences, and in </w:t>
      </w:r>
      <w:r w:rsidR="00E34244">
        <w:rPr>
          <w:rFonts w:ascii="Arial" w:hAnsi="Arial" w:cs="Arial"/>
          <w:color w:val="000000" w:themeColor="text1"/>
        </w:rPr>
        <w:t xml:space="preserve">the </w:t>
      </w:r>
      <w:r w:rsidRPr="0025111C">
        <w:rPr>
          <w:rFonts w:ascii="Arial" w:hAnsi="Arial" w:cs="Arial"/>
          <w:color w:val="000000" w:themeColor="text1"/>
        </w:rPr>
        <w:t>context</w:t>
      </w:r>
      <w:r w:rsidR="00E34244">
        <w:rPr>
          <w:rFonts w:ascii="Arial" w:hAnsi="Arial" w:cs="Arial"/>
          <w:color w:val="000000" w:themeColor="text1"/>
        </w:rPr>
        <w:t xml:space="preserve"> of the present study, </w:t>
      </w:r>
      <w:r w:rsidRPr="0025111C">
        <w:rPr>
          <w:rFonts w:ascii="Arial" w:hAnsi="Arial" w:cs="Arial"/>
          <w:color w:val="000000" w:themeColor="text1"/>
        </w:rPr>
        <w:t>life threatening consequences include self-harm and suicide</w:t>
      </w:r>
      <w:r w:rsidR="00E34244">
        <w:rPr>
          <w:rFonts w:ascii="Arial" w:hAnsi="Arial" w:cs="Arial"/>
          <w:color w:val="000000" w:themeColor="text1"/>
        </w:rPr>
        <w:t>.</w:t>
      </w:r>
      <w:r w:rsidR="00E34244" w:rsidRPr="0025111C">
        <w:rPr>
          <w:rFonts w:ascii="Arial" w:hAnsi="Arial" w:cs="Arial"/>
          <w:color w:val="000000" w:themeColor="text1"/>
        </w:rPr>
        <w:t xml:space="preserve"> </w:t>
      </w:r>
      <w:r w:rsidRPr="0025111C">
        <w:rPr>
          <w:rFonts w:ascii="Arial" w:hAnsi="Arial" w:cs="Arial"/>
          <w:color w:val="000000" w:themeColor="text1"/>
        </w:rPr>
        <w:t>The HBM is a valuable framework for managing of chronic illnesses or mental health disorders</w:t>
      </w:r>
      <w:r w:rsidR="002560C3">
        <w:rPr>
          <w:rStyle w:val="EndnoteReference"/>
          <w:rFonts w:ascii="Arial" w:hAnsi="Arial" w:cs="Arial"/>
          <w:color w:val="000000" w:themeColor="text1"/>
        </w:rPr>
        <w:endnoteReference w:customMarkFollows="1" w:id="36"/>
        <w:t>32</w:t>
      </w:r>
      <w:r w:rsidR="002560C3" w:rsidRPr="0025111C">
        <w:rPr>
          <w:rFonts w:ascii="Arial" w:hAnsi="Arial" w:cs="Arial"/>
          <w:color w:val="000000" w:themeColor="text1"/>
        </w:rPr>
        <w:t xml:space="preserve"> </w:t>
      </w:r>
      <w:r w:rsidRPr="0025111C">
        <w:rPr>
          <w:rFonts w:ascii="Arial" w:hAnsi="Arial" w:cs="Arial"/>
          <w:color w:val="000000" w:themeColor="text1"/>
        </w:rPr>
        <w:t>(Muslim et al., 2025). By examining these constructs within th</w:t>
      </w:r>
      <w:r w:rsidR="00095A6B">
        <w:rPr>
          <w:rFonts w:ascii="Arial" w:hAnsi="Arial" w:cs="Arial"/>
          <w:color w:val="000000" w:themeColor="text1"/>
        </w:rPr>
        <w:t>is</w:t>
      </w:r>
      <w:r w:rsidRPr="0025111C">
        <w:rPr>
          <w:rFonts w:ascii="Arial" w:hAnsi="Arial" w:cs="Arial"/>
          <w:color w:val="000000" w:themeColor="text1"/>
        </w:rPr>
        <w:t xml:space="preserve"> context, the current study can provide new insights on factors that motivate or hinder individuals’ decision to adopt psilocybin-assisted therapy as a CAM modality in treating MDD-related symptoms. </w:t>
      </w:r>
      <w:r w:rsidRPr="0025111C">
        <w:rPr>
          <w:rFonts w:ascii="Arial" w:eastAsiaTheme="majorEastAsia" w:hAnsi="Arial" w:cs="Arial"/>
          <w:color w:val="000000" w:themeColor="text1"/>
        </w:rPr>
        <w:t xml:space="preserve">Given the growing body of evidence supporting psilocybin, medical professionals, researchers, and policymakers are called develop comprehensive mental health interventions and establish safety and regulatory guidelines to ensure equitable access to psychedelic-assisted therapies. The purpose of this study </w:t>
      </w:r>
      <w:r w:rsidRPr="0025111C">
        <w:rPr>
          <w:rFonts w:ascii="Arial" w:hAnsi="Arial" w:cs="Arial"/>
        </w:rPr>
        <w:t>is to examine determinants influencing psilocybin-assisted therapy acceptance (PATA) among young adults with major depressive disorder. Understanding the connection between these behavioral and cognitive facts and psilocybin acceptance can inform policy decision making to expand existing Medical Cannabis laws to include psychedelic-assisted therapies. Therefore, we hypothesized that after controlling for cova</w:t>
      </w:r>
      <w:r w:rsidR="00567E07">
        <w:rPr>
          <w:rFonts w:ascii="Arial" w:hAnsi="Arial" w:cs="Arial"/>
        </w:rPr>
        <w:t>riates</w:t>
      </w:r>
      <w:r w:rsidRPr="0025111C">
        <w:rPr>
          <w:rFonts w:ascii="Arial" w:hAnsi="Arial" w:cs="Arial"/>
        </w:rPr>
        <w:t>, there would be a significant association between Health Belief Model constructs and psilocybin-assisted therapy acceptance</w:t>
      </w:r>
      <w:r w:rsidR="004D5F69">
        <w:rPr>
          <w:rFonts w:ascii="Arial" w:hAnsi="Arial" w:cs="Arial"/>
        </w:rPr>
        <w:t>.</w:t>
      </w:r>
    </w:p>
    <w:p w14:paraId="7357CD1B" w14:textId="77777777" w:rsidR="0025111C" w:rsidRPr="0025111C" w:rsidRDefault="0025111C" w:rsidP="0025111C">
      <w:pPr>
        <w:spacing w:line="259" w:lineRule="auto"/>
        <w:ind w:firstLine="720"/>
        <w:jc w:val="both"/>
        <w:rPr>
          <w:rFonts w:ascii="Arial" w:eastAsiaTheme="majorEastAsia" w:hAnsi="Arial" w:cs="Arial"/>
          <w:color w:val="000000" w:themeColor="text1"/>
        </w:rPr>
      </w:pPr>
    </w:p>
    <w:p w14:paraId="0A64744E" w14:textId="77777777" w:rsidR="0025111C" w:rsidRPr="0025111C" w:rsidRDefault="0025111C" w:rsidP="0025111C">
      <w:pPr>
        <w:ind w:firstLine="720"/>
        <w:jc w:val="both"/>
        <w:rPr>
          <w:rFonts w:ascii="Arial" w:hAnsi="Arial" w:cs="Arial"/>
          <w:color w:val="000000" w:themeColor="text1"/>
        </w:rPr>
      </w:pPr>
    </w:p>
    <w:p w14:paraId="4ACE929A" w14:textId="77777777" w:rsidR="0025111C" w:rsidRPr="0025111C" w:rsidRDefault="0025111C" w:rsidP="0025111C">
      <w:pPr>
        <w:ind w:firstLine="720"/>
        <w:jc w:val="both"/>
        <w:rPr>
          <w:rFonts w:ascii="Arial" w:hAnsi="Arial" w:cs="Arial"/>
          <w:color w:val="000000" w:themeColor="text1"/>
        </w:rPr>
      </w:pPr>
    </w:p>
    <w:p w14:paraId="71DAF59C" w14:textId="77777777" w:rsidR="0025111C" w:rsidRPr="0025111C" w:rsidRDefault="0025111C" w:rsidP="0025111C">
      <w:pPr>
        <w:shd w:val="clear" w:color="auto" w:fill="FFFFFF"/>
        <w:jc w:val="both"/>
        <w:textAlignment w:val="baseline"/>
        <w:rPr>
          <w:rFonts w:ascii="Arial" w:hAnsi="Arial" w:cs="Arial"/>
          <w:b/>
          <w:bCs/>
          <w:color w:val="000000" w:themeColor="text1"/>
        </w:rPr>
      </w:pPr>
      <w:r w:rsidRPr="0025111C">
        <w:rPr>
          <w:rFonts w:ascii="Arial" w:hAnsi="Arial" w:cs="Arial"/>
          <w:b/>
          <w:bCs/>
          <w:color w:val="000000" w:themeColor="text1"/>
        </w:rPr>
        <w:t xml:space="preserve">1.1 Literature Review </w:t>
      </w:r>
    </w:p>
    <w:p w14:paraId="780D4F70" w14:textId="77777777" w:rsidR="0025111C" w:rsidRPr="0025111C" w:rsidRDefault="0025111C" w:rsidP="0025111C">
      <w:pPr>
        <w:shd w:val="clear" w:color="auto" w:fill="FFFFFF"/>
        <w:jc w:val="both"/>
        <w:textAlignment w:val="baseline"/>
        <w:rPr>
          <w:rFonts w:ascii="Arial" w:hAnsi="Arial" w:cs="Arial"/>
          <w:color w:val="000000" w:themeColor="text1"/>
        </w:rPr>
      </w:pPr>
    </w:p>
    <w:p w14:paraId="31AD7FF0" w14:textId="77777777" w:rsidR="0025111C" w:rsidRPr="0025111C" w:rsidRDefault="0025111C" w:rsidP="0025111C">
      <w:pPr>
        <w:shd w:val="clear" w:color="auto" w:fill="FFFFFF"/>
        <w:jc w:val="both"/>
        <w:textAlignment w:val="baseline"/>
        <w:rPr>
          <w:rFonts w:ascii="Arial" w:hAnsi="Arial" w:cs="Arial"/>
          <w:color w:val="000000" w:themeColor="text1"/>
        </w:rPr>
      </w:pPr>
    </w:p>
    <w:p w14:paraId="6811E497" w14:textId="30F8E7CA" w:rsidR="0025111C" w:rsidRPr="0025111C" w:rsidRDefault="006519F7" w:rsidP="0025111C">
      <w:pPr>
        <w:ind w:firstLine="720"/>
        <w:jc w:val="both"/>
        <w:rPr>
          <w:rFonts w:ascii="Arial" w:hAnsi="Arial" w:cs="Arial"/>
        </w:rPr>
      </w:pPr>
      <w:r>
        <w:rPr>
          <w:rFonts w:ascii="Arial" w:hAnsi="Arial" w:cs="Arial"/>
        </w:rPr>
        <w:t xml:space="preserve">As previous research </w:t>
      </w:r>
      <w:proofErr w:type="gramStart"/>
      <w:r>
        <w:rPr>
          <w:rFonts w:ascii="Arial" w:hAnsi="Arial" w:cs="Arial"/>
        </w:rPr>
        <w:t>have</w:t>
      </w:r>
      <w:proofErr w:type="gramEnd"/>
      <w:r>
        <w:rPr>
          <w:rFonts w:ascii="Arial" w:hAnsi="Arial" w:cs="Arial"/>
        </w:rPr>
        <w:t xml:space="preserve"> shown, traditional treatment modalities fall short, warranting the investigation of alternative therapies. </w:t>
      </w:r>
      <w:r w:rsidR="007E6903">
        <w:rPr>
          <w:rFonts w:ascii="Arial" w:hAnsi="Arial" w:cs="Arial"/>
        </w:rPr>
        <w:t xml:space="preserve"> Granted, </w:t>
      </w:r>
      <w:r w:rsidR="007E6903" w:rsidRPr="009D5F69">
        <w:rPr>
          <w:rFonts w:ascii="Arial" w:hAnsi="Arial" w:cs="Arial"/>
        </w:rPr>
        <w:t>modalities</w:t>
      </w:r>
      <w:r w:rsidR="0025111C" w:rsidRPr="009D5F69">
        <w:rPr>
          <w:rFonts w:ascii="Arial" w:hAnsi="Arial" w:cs="Arial"/>
        </w:rPr>
        <w:t xml:space="preserve"> such as transcranial magnetic stimulation (TMS) and ketamine infusions have emerged as more effective treatments for </w:t>
      </w:r>
      <w:r w:rsidR="00C51319">
        <w:rPr>
          <w:rFonts w:ascii="Arial" w:hAnsi="Arial" w:cs="Arial"/>
        </w:rPr>
        <w:t>major depressive disorder (MDD)</w:t>
      </w:r>
      <w:r w:rsidR="0025111C" w:rsidRPr="009D5F69">
        <w:rPr>
          <w:rFonts w:ascii="Arial" w:hAnsi="Arial" w:cs="Arial"/>
        </w:rPr>
        <w:t>, compared to first line antidepressants. However, those treatments possess several drawbacks, including inconsistent response rates and severe adverse side effects</w:t>
      </w:r>
      <w:r w:rsidR="002560C3" w:rsidRPr="009D5F69">
        <w:rPr>
          <w:rStyle w:val="EndnoteReference"/>
          <w:rFonts w:ascii="Arial" w:hAnsi="Arial" w:cs="Arial"/>
        </w:rPr>
        <w:endnoteReference w:customMarkFollows="1" w:id="37"/>
        <w:t>36</w:t>
      </w:r>
      <w:r w:rsidR="0025111C" w:rsidRPr="009D5F69">
        <w:rPr>
          <w:rFonts w:ascii="Arial" w:hAnsi="Arial" w:cs="Arial"/>
        </w:rPr>
        <w:t xml:space="preserve"> (Arubuolawe et al., 2024). For example, transcranial magnetic stimulation is not a standard treatment for the general population however, its efficacy </w:t>
      </w:r>
      <w:proofErr w:type="gramStart"/>
      <w:r w:rsidR="0025111C" w:rsidRPr="009D5F69">
        <w:rPr>
          <w:rFonts w:ascii="Arial" w:hAnsi="Arial" w:cs="Arial"/>
        </w:rPr>
        <w:t>of  have</w:t>
      </w:r>
      <w:proofErr w:type="gramEnd"/>
      <w:r w:rsidR="0025111C" w:rsidRPr="009D5F69">
        <w:rPr>
          <w:rFonts w:ascii="Arial" w:hAnsi="Arial" w:cs="Arial"/>
        </w:rPr>
        <w:t xml:space="preserve"> shown response rates of 20% to 50% in older adults</w:t>
      </w:r>
      <w:r w:rsidR="002560C3" w:rsidRPr="009D5F69">
        <w:rPr>
          <w:rStyle w:val="EndnoteReference"/>
          <w:rFonts w:ascii="Arial" w:hAnsi="Arial" w:cs="Arial"/>
        </w:rPr>
        <w:endnoteReference w:customMarkFollows="1" w:id="38"/>
        <w:t>37</w:t>
      </w:r>
      <w:r w:rsidR="0025111C" w:rsidRPr="009D5F69">
        <w:rPr>
          <w:rFonts w:ascii="Arial" w:hAnsi="Arial" w:cs="Arial"/>
        </w:rPr>
        <w:t xml:space="preserve"> (Gálvez et al., 2015) with patients citing side effects as headaches, neck pain, paresthesia, localized pain</w:t>
      </w:r>
      <w:r w:rsidR="002560C3" w:rsidRPr="009D5F69">
        <w:rPr>
          <w:rStyle w:val="EndnoteReference"/>
          <w:rFonts w:ascii="Arial" w:hAnsi="Arial" w:cs="Arial"/>
        </w:rPr>
        <w:endnoteReference w:customMarkFollows="1" w:id="39"/>
        <w:t>38</w:t>
      </w:r>
      <w:r w:rsidR="0025111C" w:rsidRPr="009D5F69">
        <w:rPr>
          <w:rFonts w:ascii="Arial" w:hAnsi="Arial" w:cs="Arial"/>
        </w:rPr>
        <w:t xml:space="preserve"> (Slotema et al., 2010; Gálvez et al., 2015) and serious adverse effects as seizures, hypomania, and hearing changes</w:t>
      </w:r>
      <w:r w:rsidR="002560C3" w:rsidRPr="009D5F69">
        <w:rPr>
          <w:rStyle w:val="EndnoteReference"/>
          <w:rFonts w:ascii="Arial" w:hAnsi="Arial" w:cs="Arial"/>
        </w:rPr>
        <w:endnoteReference w:customMarkFollows="1" w:id="40"/>
        <w:t>39</w:t>
      </w:r>
      <w:r w:rsidR="0025111C" w:rsidRPr="009D5F69">
        <w:rPr>
          <w:rFonts w:ascii="Arial" w:hAnsi="Arial" w:cs="Arial"/>
          <w:vertAlign w:val="superscript"/>
        </w:rPr>
        <w:t>,</w:t>
      </w:r>
      <w:r w:rsidR="00D64254" w:rsidRPr="009D5F69">
        <w:rPr>
          <w:rFonts w:ascii="Arial" w:hAnsi="Arial" w:cs="Arial"/>
        </w:rPr>
        <w:t xml:space="preserve"> </w:t>
      </w:r>
      <w:r w:rsidR="0025111C" w:rsidRPr="009D5F69">
        <w:rPr>
          <w:rFonts w:ascii="Arial" w:hAnsi="Arial" w:cs="Arial"/>
        </w:rPr>
        <w:t>(Rossi et al., 2009; Gálvez et al., 2015). Findings from systematic reviews show ketamine can relieve depressive symptoms in up to 70% of patients (Arubuolawe et al., 2024). The common side effects with both intravenous and non-intravenous racemic ketamine are dissociation, abnormal sensations, perceptual disturbances, derealization, and depersonalization</w:t>
      </w:r>
      <w:r w:rsidR="009D5F69" w:rsidRPr="009D5F69">
        <w:rPr>
          <w:rStyle w:val="EndnoteReference"/>
          <w:rFonts w:ascii="Arial" w:hAnsi="Arial" w:cs="Arial"/>
        </w:rPr>
        <w:endnoteReference w:customMarkFollows="1" w:id="41"/>
        <w:t>40</w:t>
      </w:r>
      <w:r w:rsidR="0025111C" w:rsidRPr="009D5F69">
        <w:rPr>
          <w:rFonts w:ascii="Arial" w:hAnsi="Arial" w:cs="Arial"/>
        </w:rPr>
        <w:t xml:space="preserve"> (Short et al., 2018).  While these modalities provide short-</w:t>
      </w:r>
      <w:r w:rsidR="00C51319">
        <w:rPr>
          <w:rFonts w:ascii="Arial" w:hAnsi="Arial" w:cs="Arial"/>
        </w:rPr>
        <w:t>lived</w:t>
      </w:r>
      <w:r w:rsidR="0025111C" w:rsidRPr="009D5F69">
        <w:rPr>
          <w:rFonts w:ascii="Arial" w:hAnsi="Arial" w:cs="Arial"/>
        </w:rPr>
        <w:t xml:space="preserve"> improvement</w:t>
      </w:r>
      <w:r w:rsidR="00C51319">
        <w:rPr>
          <w:rFonts w:ascii="Arial" w:hAnsi="Arial" w:cs="Arial"/>
        </w:rPr>
        <w:t xml:space="preserve">s, </w:t>
      </w:r>
      <w:r w:rsidR="0025111C" w:rsidRPr="009D5F69">
        <w:rPr>
          <w:rFonts w:ascii="Arial" w:hAnsi="Arial" w:cs="Arial"/>
        </w:rPr>
        <w:t>30% of patients remains treatment resistant</w:t>
      </w:r>
      <w:r w:rsidR="009D5F69" w:rsidRPr="009D5F69">
        <w:rPr>
          <w:rStyle w:val="EndnoteReference"/>
          <w:rFonts w:ascii="Arial" w:hAnsi="Arial" w:cs="Arial"/>
        </w:rPr>
        <w:endnoteReference w:customMarkFollows="1" w:id="42"/>
        <w:t>41</w:t>
      </w:r>
      <w:r w:rsidR="0025111C" w:rsidRPr="009D5F69">
        <w:rPr>
          <w:rFonts w:ascii="Arial" w:hAnsi="Arial" w:cs="Arial"/>
        </w:rPr>
        <w:t xml:space="preserve"> (Weronika Dębowska et al., 2023). Even though both TMS and ketamine offers better outcomes compared to traditional monotherapies, the adverse side effect profile and high unresponsive rates underscore the need to </w:t>
      </w:r>
      <w:r w:rsidR="007E6903">
        <w:rPr>
          <w:rFonts w:ascii="Arial" w:hAnsi="Arial" w:cs="Arial"/>
        </w:rPr>
        <w:t xml:space="preserve">further </w:t>
      </w:r>
      <w:r w:rsidR="0025111C" w:rsidRPr="009D5F69">
        <w:rPr>
          <w:rFonts w:ascii="Arial" w:hAnsi="Arial" w:cs="Arial"/>
        </w:rPr>
        <w:t xml:space="preserve">explore alternative </w:t>
      </w:r>
      <w:r w:rsidR="00251DE6">
        <w:rPr>
          <w:rFonts w:ascii="Arial" w:hAnsi="Arial" w:cs="Arial"/>
        </w:rPr>
        <w:t xml:space="preserve">therapies. </w:t>
      </w:r>
    </w:p>
    <w:p w14:paraId="117B5CDC" w14:textId="77777777" w:rsidR="0025111C" w:rsidRPr="0025111C" w:rsidRDefault="0025111C" w:rsidP="0025111C">
      <w:pPr>
        <w:jc w:val="both"/>
        <w:rPr>
          <w:rFonts w:ascii="Arial" w:hAnsi="Arial" w:cs="Arial"/>
        </w:rPr>
      </w:pPr>
    </w:p>
    <w:p w14:paraId="44A61BE5" w14:textId="6895CD6A" w:rsidR="0025111C" w:rsidRPr="0029483A" w:rsidRDefault="0025111C" w:rsidP="0025111C">
      <w:pPr>
        <w:shd w:val="clear" w:color="auto" w:fill="FFFFFF"/>
        <w:ind w:firstLine="720"/>
        <w:jc w:val="both"/>
        <w:textAlignment w:val="baseline"/>
        <w:rPr>
          <w:rFonts w:ascii="Arial" w:hAnsi="Arial" w:cs="Arial"/>
        </w:rPr>
      </w:pPr>
      <w:r w:rsidRPr="008B6442">
        <w:rPr>
          <w:rFonts w:ascii="Arial" w:hAnsi="Arial" w:cs="Arial"/>
          <w:color w:val="000000" w:themeColor="text1"/>
        </w:rPr>
        <w:t>One novel alternative treatment modality that has shown persistent, positive clinical effects both major depressive disorder and treatment resistant disorder is psilocybin, currently coined as the “Renaissance Psychedelic</w:t>
      </w:r>
      <w:r w:rsidRPr="008B6442">
        <w:rPr>
          <w:rFonts w:ascii="Arial" w:hAnsi="Arial" w:cs="Arial"/>
        </w:rPr>
        <w:t xml:space="preserve">”. </w:t>
      </w:r>
      <w:r w:rsidRPr="008B6442">
        <w:rPr>
          <w:rFonts w:ascii="Arial" w:hAnsi="Arial" w:cs="Arial"/>
          <w:color w:val="000000" w:themeColor="text1"/>
        </w:rPr>
        <w:t xml:space="preserve">Psychedelic research has experienced a revival of interest since the 2000s. Evidence from </w:t>
      </w:r>
      <w:r w:rsidRPr="008B6442">
        <w:rPr>
          <w:rFonts w:ascii="Arial" w:hAnsi="Arial" w:cs="Arial"/>
          <w:color w:val="000000" w:themeColor="text1"/>
          <w:shd w:val="clear" w:color="auto" w:fill="FFFFFF"/>
        </w:rPr>
        <w:t xml:space="preserve">randomized clinical trials (RCT) is the driving force behind this resurrection- with results demonstrating the effectiveness on treating MDD, </w:t>
      </w:r>
      <w:r w:rsidRPr="008B6442">
        <w:rPr>
          <w:rFonts w:ascii="Arial" w:hAnsi="Arial" w:cs="Arial"/>
          <w:color w:val="000000" w:themeColor="text1"/>
        </w:rPr>
        <w:t>substance-abuse disorder, treatment-resistant depression (TRD), and post traumatic syndrome disorder (PTSD)</w:t>
      </w:r>
      <w:r w:rsidR="008B6442" w:rsidRPr="008B6442">
        <w:rPr>
          <w:rStyle w:val="EndnoteReference"/>
          <w:rFonts w:ascii="Arial" w:hAnsi="Arial" w:cs="Arial"/>
          <w:color w:val="000000" w:themeColor="text1"/>
        </w:rPr>
        <w:endnoteReference w:customMarkFollows="1" w:id="43"/>
        <w:t>42</w:t>
      </w:r>
      <w:r w:rsidRPr="008B6442">
        <w:rPr>
          <w:rFonts w:ascii="Arial" w:hAnsi="Arial" w:cs="Arial"/>
          <w:color w:val="000000" w:themeColor="text1"/>
        </w:rPr>
        <w:t xml:space="preserve"> </w:t>
      </w:r>
      <w:r w:rsidRPr="008B6442">
        <w:rPr>
          <w:rFonts w:ascii="Arial" w:hAnsi="Arial" w:cs="Arial"/>
        </w:rPr>
        <w:t>(Lucido &amp; Dunlop, 2025). First isolated by Albert Hofmann in 1958, psilocybin alters the state of mind and has been widely used by indigenous people for centuries</w:t>
      </w:r>
      <w:r w:rsidR="008B6442" w:rsidRPr="008B6442">
        <w:rPr>
          <w:rStyle w:val="EndnoteReference"/>
          <w:rFonts w:ascii="Arial" w:hAnsi="Arial" w:cs="Arial"/>
        </w:rPr>
        <w:endnoteReference w:customMarkFollows="1" w:id="44"/>
        <w:t>43</w:t>
      </w:r>
      <w:r w:rsidRPr="008B6442">
        <w:rPr>
          <w:rFonts w:ascii="Arial" w:hAnsi="Arial" w:cs="Arial"/>
        </w:rPr>
        <w:t xml:space="preserve"> (Nichols, 2016).</w:t>
      </w:r>
      <w:r w:rsidRPr="008B6442">
        <w:rPr>
          <w:rFonts w:ascii="Arial" w:hAnsi="Arial" w:cs="Arial"/>
          <w:color w:val="000000" w:themeColor="text1"/>
        </w:rPr>
        <w:t xml:space="preserve"> A </w:t>
      </w:r>
      <w:r w:rsidRPr="008B6442">
        <w:rPr>
          <w:rFonts w:ascii="Arial" w:hAnsi="Arial" w:cs="Arial"/>
        </w:rPr>
        <w:t>pilot study by Carhart-Harris et al (2016) confirmed those medicinal benefits</w:t>
      </w:r>
      <w:r w:rsidR="008B6442" w:rsidRPr="008B6442">
        <w:rPr>
          <w:rStyle w:val="EndnoteReference"/>
          <w:rFonts w:ascii="Arial" w:hAnsi="Arial" w:cs="Arial"/>
        </w:rPr>
        <w:endnoteReference w:customMarkFollows="1" w:id="45"/>
        <w:t>44</w:t>
      </w:r>
      <w:r w:rsidRPr="008B6442">
        <w:rPr>
          <w:rFonts w:ascii="Arial" w:hAnsi="Arial" w:cs="Arial"/>
        </w:rPr>
        <w:t xml:space="preserve">. The 2016 study measured the intensity of psilocybin psychoactive effects in 12 patients with TRD. The study administered psilocybin with psychotherapeutic support and included a low dose of 10 mg followed by an active dose of 25 mg one week later. Patients reported psychedelic effects between 30 to 60 minutes after dosing. For the 10 mg session, the mean self-rated intensity </w:t>
      </w:r>
      <w:r w:rsidRPr="008B6442">
        <w:rPr>
          <w:rFonts w:ascii="Arial" w:hAnsi="Arial" w:cs="Arial"/>
        </w:rPr>
        <w:lastRenderedPageBreak/>
        <w:t>score was 0.51 and 0.75 for the 25 mg session- indicating that patients rated the high-dose session more intense. Patients tolerated both dosage levels well and reported mild onset anxiety, short confusion, and light nausea. Investigator measured severity of self-reported symptoms with the Quick Inventory of Depressive Symptoms (QIDS). All patients experienced some level of reduced severity at week one which was sustained for 3 months, and 67% achieved complete remission at week one</w:t>
      </w:r>
      <w:r w:rsidR="00D64254">
        <w:rPr>
          <w:rStyle w:val="EndnoteReference"/>
          <w:rFonts w:ascii="Arial" w:hAnsi="Arial" w:cs="Arial"/>
        </w:rPr>
        <w:endnoteReference w:customMarkFollows="1" w:id="46"/>
        <w:t>44</w:t>
      </w:r>
      <w:r w:rsidR="00D64254" w:rsidRPr="008B6442">
        <w:rPr>
          <w:rFonts w:ascii="Arial" w:hAnsi="Arial" w:cs="Arial"/>
        </w:rPr>
        <w:t xml:space="preserve"> </w:t>
      </w:r>
      <w:r w:rsidRPr="008B6442">
        <w:rPr>
          <w:rFonts w:ascii="Arial" w:hAnsi="Arial" w:cs="Arial"/>
        </w:rPr>
        <w:t>(</w:t>
      </w:r>
      <w:r w:rsidRPr="008B6442">
        <w:rPr>
          <w:rFonts w:ascii="Arial" w:hAnsi="Arial" w:cs="Arial"/>
          <w:color w:val="000000"/>
        </w:rPr>
        <w:t xml:space="preserve">Carhart-Harris, et al, 2016). </w:t>
      </w:r>
      <w:r w:rsidRPr="008B6442">
        <w:rPr>
          <w:rFonts w:ascii="Arial" w:hAnsi="Arial" w:cs="Arial"/>
        </w:rPr>
        <w:t xml:space="preserve">Two years later, Carhart-Harris et al (2018) conducted a </w:t>
      </w:r>
      <w:r w:rsidR="00674CB1" w:rsidRPr="008B6442">
        <w:rPr>
          <w:rFonts w:ascii="Arial" w:hAnsi="Arial" w:cs="Arial"/>
        </w:rPr>
        <w:t>six-month</w:t>
      </w:r>
      <w:r w:rsidRPr="008B6442">
        <w:rPr>
          <w:rFonts w:ascii="Arial" w:hAnsi="Arial" w:cs="Arial"/>
        </w:rPr>
        <w:t xml:space="preserve"> follow-up to report safety and efficacy outcomes with 19 patients who received two oral doses of psilocybin at 10 and 25 mg with seven days apart</w:t>
      </w:r>
      <w:r w:rsidR="008B6442" w:rsidRPr="008B6442">
        <w:rPr>
          <w:rStyle w:val="EndnoteReference"/>
          <w:rFonts w:ascii="Arial" w:hAnsi="Arial" w:cs="Arial"/>
        </w:rPr>
        <w:endnoteReference w:customMarkFollows="1" w:id="47"/>
        <w:t>45</w:t>
      </w:r>
      <w:r w:rsidRPr="008B6442">
        <w:rPr>
          <w:rFonts w:ascii="Arial" w:hAnsi="Arial" w:cs="Arial"/>
        </w:rPr>
        <w:t>. Data on the 12 patients that were previously reported in the 2016 study by Carhart-Harris et al were included in the 2018 analysis. Investigators measured the severity of self-reported symptoms with the Quick Inventory of Depressive Symptoms, (QIDS-SR16) from the start to certain time points after 25 mg psilocybin session. Results demonstrated significant and retained improvement, as QIDS-SR16 scores were reduced at all time points after and sustained for 3-5 weeks</w:t>
      </w:r>
      <w:r w:rsidRPr="0029483A">
        <w:rPr>
          <w:rFonts w:ascii="Arial" w:hAnsi="Arial" w:cs="Arial"/>
        </w:rPr>
        <w:t>.  Investigators also reported that suicide scores decreased at one and two weeks after treatment and majority of patients reported no serious events- noting common side effects including transient anxiety, temporary headaches, and transient nausea</w:t>
      </w:r>
      <w:r w:rsidR="00D64254" w:rsidRPr="0029483A">
        <w:rPr>
          <w:rFonts w:ascii="Arial" w:hAnsi="Arial" w:cs="Arial"/>
          <w:vertAlign w:val="superscript"/>
        </w:rPr>
        <w:endnoteReference w:customMarkFollows="1" w:id="48"/>
        <w:t>45</w:t>
      </w:r>
      <w:r w:rsidR="00A43FBD" w:rsidRPr="0029483A">
        <w:rPr>
          <w:rFonts w:ascii="Arial" w:hAnsi="Arial" w:cs="Arial"/>
        </w:rPr>
        <w:t xml:space="preserve"> </w:t>
      </w:r>
      <w:r w:rsidRPr="0029483A">
        <w:rPr>
          <w:rFonts w:ascii="Arial" w:hAnsi="Arial" w:cs="Arial"/>
        </w:rPr>
        <w:t>(Carhart-Harris et al., 2018).</w:t>
      </w:r>
    </w:p>
    <w:p w14:paraId="3388EDF8" w14:textId="77777777" w:rsidR="0025111C" w:rsidRPr="008B6442" w:rsidRDefault="0025111C" w:rsidP="0025111C">
      <w:pPr>
        <w:shd w:val="clear" w:color="auto" w:fill="FFFFFF"/>
        <w:ind w:firstLine="720"/>
        <w:jc w:val="both"/>
        <w:textAlignment w:val="baseline"/>
        <w:rPr>
          <w:rFonts w:ascii="Arial" w:hAnsi="Arial" w:cs="Arial"/>
        </w:rPr>
      </w:pPr>
    </w:p>
    <w:p w14:paraId="271E0B67" w14:textId="6D59C167" w:rsidR="0025111C" w:rsidRPr="0025111C" w:rsidRDefault="0025111C" w:rsidP="0025111C">
      <w:pPr>
        <w:shd w:val="clear" w:color="auto" w:fill="FFFFFF"/>
        <w:ind w:firstLine="720"/>
        <w:jc w:val="both"/>
        <w:textAlignment w:val="baseline"/>
        <w:rPr>
          <w:rFonts w:ascii="Arial" w:hAnsi="Arial" w:cs="Arial"/>
        </w:rPr>
      </w:pPr>
      <w:r w:rsidRPr="008B6442">
        <w:rPr>
          <w:rFonts w:ascii="Arial" w:hAnsi="Arial" w:cs="Arial"/>
        </w:rPr>
        <w:t>The efficacy of psilocybin was the subject in another randomized trial by Davis et al (2020) which included 27 participants with MDD divided into two groups</w:t>
      </w:r>
      <w:r w:rsidR="008B6442" w:rsidRPr="008B6442">
        <w:rPr>
          <w:rStyle w:val="EndnoteReference"/>
          <w:rFonts w:ascii="Arial" w:hAnsi="Arial" w:cs="Arial"/>
        </w:rPr>
        <w:endnoteReference w:customMarkFollows="1" w:id="49"/>
        <w:t>46</w:t>
      </w:r>
      <w:r w:rsidRPr="008B6442">
        <w:rPr>
          <w:rFonts w:ascii="Arial" w:hAnsi="Arial" w:cs="Arial"/>
        </w:rPr>
        <w:t>. One group received two doses of psilocybin (20 mg) one week apart. The second group received the same dose of psilocybin after the control period. Similar to earlier studies, psilocybin was administered with psychotherapeutic support. At weeks 1 and 4, 17 participants achieved a response- meaning the GRID-Hamilton Depression Rating (GRID-HAMD) scores dropped by at least 50% with remission rates of 58% and 54% respectively. The QIDS-SR scores showed a reduction in symptoms from baseline to day 1 after treatment which was sustained through week four. The common side effects were spike in blood pressure and short-lasting headaches. Another RCT conducted by Carhart-Harris et al. (2021) compared psilocybin with escitalopram</w:t>
      </w:r>
      <w:r w:rsidR="008B6442" w:rsidRPr="008B6442">
        <w:rPr>
          <w:rStyle w:val="EndnoteReference"/>
          <w:rFonts w:ascii="Arial" w:hAnsi="Arial" w:cs="Arial"/>
        </w:rPr>
        <w:endnoteReference w:customMarkFollows="1" w:id="50"/>
        <w:t>47</w:t>
      </w:r>
      <w:r w:rsidRPr="008B6442">
        <w:rPr>
          <w:rFonts w:ascii="Arial" w:hAnsi="Arial" w:cs="Arial"/>
        </w:rPr>
        <w:t xml:space="preserve">. The study included two groups of 30 participants each. The participants either received two doses of psilocybin (25 mg, three weeks apart) plus a placebo or escitalopram with a low dose of psilocybin (1 mg, two doses). After six weeks, psilocybin did not differ significantly from escitalopram on the primary endpoint (QIDS-SR-16). The intergroup difference was 2 points favoring psilocybin with a 95% confidence interval of -5.0 to 0.9 and </w:t>
      </w:r>
      <w:r w:rsidR="00674CB1" w:rsidRPr="008B6442">
        <w:rPr>
          <w:rFonts w:ascii="Arial" w:hAnsi="Arial" w:cs="Arial"/>
          <w:i/>
          <w:iCs/>
        </w:rPr>
        <w:t>P</w:t>
      </w:r>
      <w:r w:rsidRPr="008B6442">
        <w:rPr>
          <w:rFonts w:ascii="Arial" w:hAnsi="Arial" w:cs="Arial"/>
        </w:rPr>
        <w:t>=.</w:t>
      </w:r>
      <w:r w:rsidR="00674CB1" w:rsidRPr="008B6442">
        <w:rPr>
          <w:rFonts w:ascii="Arial" w:hAnsi="Arial" w:cs="Arial"/>
        </w:rPr>
        <w:t>0</w:t>
      </w:r>
      <w:r w:rsidRPr="008B6442">
        <w:rPr>
          <w:rFonts w:ascii="Arial" w:hAnsi="Arial" w:cs="Arial"/>
        </w:rPr>
        <w:t xml:space="preserve">17. The </w:t>
      </w:r>
      <w:r w:rsidRPr="008B6442">
        <w:rPr>
          <w:rFonts w:ascii="Arial" w:hAnsi="Arial" w:cs="Arial"/>
          <w:color w:val="000000" w:themeColor="text1"/>
        </w:rPr>
        <w:t>secondary outcomes show that psilocybin performed better, with response rate of 70% in the psilocybin group and 48% in the escitalopram group and remission rates of 57% and 28%, respectively. Regarding tolerance, few side effects reported including headaches, nausea, transient increase high blood pressure</w:t>
      </w:r>
      <w:r w:rsidR="00F0429F">
        <w:rPr>
          <w:rStyle w:val="EndnoteReference"/>
          <w:rFonts w:ascii="Arial" w:hAnsi="Arial" w:cs="Arial"/>
          <w:color w:val="000000" w:themeColor="text1"/>
        </w:rPr>
        <w:endnoteReference w:customMarkFollows="1" w:id="51"/>
        <w:t>47</w:t>
      </w:r>
      <w:r w:rsidRPr="008B6442">
        <w:rPr>
          <w:rFonts w:ascii="Arial" w:hAnsi="Arial" w:cs="Arial"/>
          <w:color w:val="000000" w:themeColor="text1"/>
        </w:rPr>
        <w:t xml:space="preserve"> (Carhart-Harris et al., 2021). As earlier studies have indicated, psilocybin does not trigger secondary psychotic disorders</w:t>
      </w:r>
      <w:r w:rsidR="008B6442" w:rsidRPr="008B6442">
        <w:rPr>
          <w:rStyle w:val="EndnoteReference"/>
          <w:rFonts w:ascii="Arial" w:hAnsi="Arial" w:cs="Arial"/>
          <w:color w:val="000000" w:themeColor="text1"/>
        </w:rPr>
        <w:endnoteReference w:customMarkFollows="1" w:id="52"/>
        <w:t>48</w:t>
      </w:r>
      <w:r w:rsidRPr="008B6442">
        <w:rPr>
          <w:rFonts w:ascii="Arial" w:hAnsi="Arial" w:cs="Arial"/>
          <w:color w:val="000000" w:themeColor="text1"/>
        </w:rPr>
        <w:t xml:space="preserve"> (Studerus et al., 2011), or does it produce drug-dependency</w:t>
      </w:r>
      <w:r w:rsidR="008B6442" w:rsidRPr="008B6442">
        <w:rPr>
          <w:rStyle w:val="EndnoteReference"/>
          <w:rFonts w:ascii="Arial" w:hAnsi="Arial" w:cs="Arial"/>
          <w:color w:val="000000" w:themeColor="text1"/>
        </w:rPr>
        <w:endnoteReference w:customMarkFollows="1" w:id="53"/>
        <w:t>49</w:t>
      </w:r>
      <w:r w:rsidRPr="008B6442">
        <w:rPr>
          <w:rFonts w:ascii="Arial" w:hAnsi="Arial" w:cs="Arial"/>
          <w:color w:val="000000" w:themeColor="text1"/>
        </w:rPr>
        <w:t xml:space="preserve"> (Johnson et al., 2008), making it a promising agent for further exploration due to its high remission and response rates and favorable safety profile.</w:t>
      </w:r>
      <w:r w:rsidRPr="0025111C">
        <w:rPr>
          <w:rFonts w:ascii="Arial" w:hAnsi="Arial" w:cs="Arial"/>
          <w:color w:val="000000" w:themeColor="text1"/>
        </w:rPr>
        <w:t xml:space="preserve">  </w:t>
      </w:r>
    </w:p>
    <w:p w14:paraId="46A82CC2" w14:textId="77777777" w:rsidR="0025111C" w:rsidRPr="0025111C" w:rsidRDefault="0025111C" w:rsidP="0025111C">
      <w:pPr>
        <w:shd w:val="clear" w:color="auto" w:fill="FFFFFF"/>
        <w:jc w:val="both"/>
        <w:textAlignment w:val="baseline"/>
        <w:rPr>
          <w:rFonts w:ascii="Arial" w:hAnsi="Arial" w:cs="Arial"/>
          <w:color w:val="000000" w:themeColor="text1"/>
        </w:rPr>
      </w:pPr>
    </w:p>
    <w:p w14:paraId="3CC9ED1D" w14:textId="77777777" w:rsidR="0025111C" w:rsidRPr="0025111C" w:rsidRDefault="0025111C" w:rsidP="0025111C">
      <w:pPr>
        <w:jc w:val="both"/>
        <w:rPr>
          <w:rFonts w:ascii="Arial" w:hAnsi="Arial" w:cs="Arial"/>
          <w:b/>
          <w:bCs/>
          <w:color w:val="000000" w:themeColor="text1"/>
          <w:sz w:val="22"/>
          <w:szCs w:val="22"/>
        </w:rPr>
      </w:pPr>
      <w:r w:rsidRPr="0025111C">
        <w:rPr>
          <w:rFonts w:ascii="Arial" w:hAnsi="Arial" w:cs="Arial"/>
          <w:b/>
          <w:bCs/>
          <w:color w:val="000000" w:themeColor="text1"/>
          <w:sz w:val="22"/>
          <w:szCs w:val="22"/>
        </w:rPr>
        <w:t>2. METHODS</w:t>
      </w:r>
    </w:p>
    <w:p w14:paraId="299A34D3" w14:textId="77777777" w:rsidR="0025111C" w:rsidRPr="0025111C" w:rsidRDefault="0025111C" w:rsidP="0025111C">
      <w:pPr>
        <w:jc w:val="both"/>
        <w:rPr>
          <w:rFonts w:ascii="Arial" w:hAnsi="Arial" w:cs="Arial"/>
          <w:b/>
          <w:bCs/>
          <w:color w:val="000000" w:themeColor="text1"/>
        </w:rPr>
      </w:pPr>
    </w:p>
    <w:p w14:paraId="1BE93A7A" w14:textId="77777777" w:rsidR="0025111C" w:rsidRPr="0025111C" w:rsidRDefault="0025111C" w:rsidP="0025111C">
      <w:pPr>
        <w:jc w:val="both"/>
        <w:rPr>
          <w:rFonts w:ascii="Arial" w:hAnsi="Arial" w:cs="Arial"/>
          <w:b/>
          <w:bCs/>
          <w:color w:val="000000" w:themeColor="text1"/>
          <w:sz w:val="22"/>
          <w:szCs w:val="22"/>
        </w:rPr>
      </w:pPr>
      <w:r w:rsidRPr="0025111C">
        <w:rPr>
          <w:rFonts w:ascii="Arial" w:hAnsi="Arial" w:cs="Arial"/>
          <w:b/>
          <w:bCs/>
          <w:color w:val="000000" w:themeColor="text1"/>
          <w:sz w:val="22"/>
          <w:szCs w:val="22"/>
        </w:rPr>
        <w:t xml:space="preserve">2.1 Study Design </w:t>
      </w:r>
    </w:p>
    <w:p w14:paraId="5D751A28" w14:textId="77777777" w:rsidR="0025111C" w:rsidRPr="0025111C" w:rsidRDefault="0025111C" w:rsidP="0025111C">
      <w:pPr>
        <w:jc w:val="both"/>
        <w:rPr>
          <w:rFonts w:ascii="Arial" w:hAnsi="Arial" w:cs="Arial"/>
          <w:b/>
          <w:bCs/>
          <w:i/>
          <w:iCs/>
          <w:color w:val="000000" w:themeColor="text1"/>
        </w:rPr>
      </w:pPr>
    </w:p>
    <w:p w14:paraId="70796771" w14:textId="63A9F19A" w:rsidR="0025111C" w:rsidRPr="0025111C" w:rsidRDefault="0025111C" w:rsidP="00251DE6">
      <w:pPr>
        <w:ind w:firstLine="720"/>
        <w:jc w:val="both"/>
        <w:rPr>
          <w:rFonts w:ascii="Arial" w:hAnsi="Arial" w:cs="Arial"/>
        </w:rPr>
      </w:pPr>
      <w:r w:rsidRPr="0025111C">
        <w:rPr>
          <w:rFonts w:ascii="Arial" w:hAnsi="Arial" w:cs="Arial"/>
          <w:color w:val="000000" w:themeColor="text1"/>
        </w:rPr>
        <w:t>Data was collected over a 3-month period through cross-sectional survey. The study utilized a pre-structured questionnaire grounded in the </w:t>
      </w:r>
      <w:r w:rsidRPr="0025111C">
        <w:rPr>
          <w:rFonts w:ascii="Arial" w:eastAsiaTheme="majorEastAsia" w:hAnsi="Arial" w:cs="Arial"/>
          <w:color w:val="000000" w:themeColor="text1"/>
        </w:rPr>
        <w:t>Health Belief Model (HBM)</w:t>
      </w:r>
      <w:r w:rsidRPr="0025111C">
        <w:rPr>
          <w:rFonts w:ascii="Arial" w:hAnsi="Arial" w:cs="Arial"/>
          <w:color w:val="000000" w:themeColor="text1"/>
        </w:rPr>
        <w:t xml:space="preserve"> constructs. The study protocol was reviewed and approved by the </w:t>
      </w:r>
      <w:r w:rsidRPr="0025111C">
        <w:rPr>
          <w:rFonts w:ascii="Arial" w:eastAsiaTheme="majorEastAsia" w:hAnsi="Arial" w:cs="Arial"/>
          <w:color w:val="000000" w:themeColor="text1"/>
        </w:rPr>
        <w:t>Institutional Review Board (IRB)</w:t>
      </w:r>
      <w:r w:rsidRPr="0025111C">
        <w:rPr>
          <w:rFonts w:ascii="Arial" w:hAnsi="Arial" w:cs="Arial"/>
          <w:color w:val="000000" w:themeColor="text1"/>
        </w:rPr>
        <w:t xml:space="preserve"> at Florida A&amp;M University (IRB No. 2270186-1). </w:t>
      </w:r>
      <w:r w:rsidRPr="0025111C">
        <w:rPr>
          <w:rFonts w:ascii="Arial" w:hAnsi="Arial" w:cs="Arial"/>
        </w:rPr>
        <w:t xml:space="preserve"> </w:t>
      </w:r>
    </w:p>
    <w:p w14:paraId="7C823E00" w14:textId="77777777" w:rsidR="0025111C" w:rsidRPr="0025111C" w:rsidRDefault="0025111C" w:rsidP="0025111C">
      <w:pPr>
        <w:jc w:val="both"/>
        <w:rPr>
          <w:rFonts w:ascii="Arial" w:hAnsi="Arial" w:cs="Arial"/>
          <w:color w:val="000000" w:themeColor="text1"/>
        </w:rPr>
      </w:pPr>
    </w:p>
    <w:p w14:paraId="2B91920B" w14:textId="77777777" w:rsidR="0025111C" w:rsidRPr="0025111C" w:rsidRDefault="0025111C" w:rsidP="0025111C">
      <w:pPr>
        <w:jc w:val="both"/>
        <w:rPr>
          <w:rFonts w:ascii="Arial" w:eastAsiaTheme="majorEastAsia" w:hAnsi="Arial" w:cs="Arial"/>
          <w:b/>
          <w:bCs/>
          <w:color w:val="000000" w:themeColor="text1"/>
          <w:sz w:val="22"/>
          <w:szCs w:val="22"/>
        </w:rPr>
      </w:pPr>
      <w:r w:rsidRPr="0025111C">
        <w:rPr>
          <w:rFonts w:ascii="Arial" w:eastAsiaTheme="majorEastAsia" w:hAnsi="Arial" w:cs="Arial"/>
          <w:b/>
          <w:bCs/>
          <w:color w:val="000000" w:themeColor="text1"/>
          <w:sz w:val="22"/>
          <w:szCs w:val="22"/>
        </w:rPr>
        <w:t xml:space="preserve">  2.2 Participants and Recruitment</w:t>
      </w:r>
    </w:p>
    <w:p w14:paraId="0A9C7635" w14:textId="77777777" w:rsidR="0025111C" w:rsidRPr="0025111C" w:rsidRDefault="0025111C" w:rsidP="0025111C">
      <w:pPr>
        <w:jc w:val="both"/>
        <w:rPr>
          <w:rFonts w:ascii="Arial" w:hAnsi="Arial" w:cs="Arial"/>
          <w:b/>
          <w:bCs/>
          <w:color w:val="000000" w:themeColor="text1"/>
        </w:rPr>
      </w:pPr>
    </w:p>
    <w:p w14:paraId="2F6F8A4C" w14:textId="77777777" w:rsidR="0025111C" w:rsidRPr="0025111C" w:rsidRDefault="0025111C" w:rsidP="0025111C">
      <w:pPr>
        <w:ind w:firstLine="360"/>
        <w:jc w:val="both"/>
        <w:rPr>
          <w:rFonts w:ascii="Arial" w:hAnsi="Arial" w:cs="Arial"/>
          <w:color w:val="000000" w:themeColor="text1"/>
        </w:rPr>
      </w:pPr>
      <w:r w:rsidRPr="0025111C">
        <w:rPr>
          <w:rFonts w:ascii="Arial" w:hAnsi="Arial" w:cs="Arial"/>
          <w:color w:val="000000" w:themeColor="text1"/>
        </w:rPr>
        <w:t>A total of 96 adults aged 18 to 65 with a self-reported diagnosis of MDD were initially recruited from four outpatient mental health and behavioral health clinics in Tallahassee, Florida. However, only 33 participants met the inclusion criteria and were included in the final analysis. Recruitment sites included: Office of Counseling Services at Florida Agricultural and Mechanical University (FAMU), Apalachee Center Mental Health Care, Tallahassee Memorial Behavioral Health Center, and Bond Community Health Center Mental Health Services. Participants were recruited through flyers distributed at these locations and social media campaigns. I</w:t>
      </w:r>
      <w:r w:rsidRPr="0025111C">
        <w:rPr>
          <w:rFonts w:ascii="Arial" w:eastAsiaTheme="majorEastAsia" w:hAnsi="Arial" w:cs="Arial"/>
          <w:color w:val="000000" w:themeColor="text1"/>
        </w:rPr>
        <w:t>nclusion criteria</w:t>
      </w:r>
      <w:r w:rsidRPr="0025111C">
        <w:rPr>
          <w:rFonts w:ascii="Arial" w:hAnsi="Arial" w:cs="Arial"/>
          <w:color w:val="000000" w:themeColor="text1"/>
        </w:rPr>
        <w:t> are as follow:</w:t>
      </w:r>
    </w:p>
    <w:p w14:paraId="6519648B" w14:textId="77777777" w:rsidR="0025111C" w:rsidRPr="0025111C" w:rsidRDefault="0025111C" w:rsidP="0025111C">
      <w:pPr>
        <w:pStyle w:val="NoSpacing"/>
        <w:numPr>
          <w:ilvl w:val="0"/>
          <w:numId w:val="32"/>
        </w:numPr>
        <w:jc w:val="both"/>
        <w:rPr>
          <w:rFonts w:ascii="Arial" w:hAnsi="Arial" w:cs="Arial"/>
          <w:color w:val="000000" w:themeColor="text1"/>
          <w:sz w:val="20"/>
          <w:szCs w:val="20"/>
        </w:rPr>
      </w:pPr>
      <w:r w:rsidRPr="0025111C">
        <w:rPr>
          <w:rFonts w:ascii="Arial" w:hAnsi="Arial" w:cs="Arial"/>
          <w:color w:val="000000" w:themeColor="text1"/>
          <w:sz w:val="20"/>
          <w:szCs w:val="20"/>
        </w:rPr>
        <w:t>Adults aged 18 years or older</w:t>
      </w:r>
    </w:p>
    <w:p w14:paraId="1A3307A8" w14:textId="434EABB8" w:rsidR="0025111C" w:rsidRPr="0025111C" w:rsidRDefault="0025111C" w:rsidP="0025111C">
      <w:pPr>
        <w:pStyle w:val="NoSpacing"/>
        <w:numPr>
          <w:ilvl w:val="0"/>
          <w:numId w:val="32"/>
        </w:numPr>
        <w:jc w:val="both"/>
        <w:rPr>
          <w:rFonts w:ascii="Arial" w:hAnsi="Arial" w:cs="Arial"/>
          <w:color w:val="000000" w:themeColor="text1"/>
          <w:sz w:val="20"/>
          <w:szCs w:val="20"/>
        </w:rPr>
      </w:pPr>
      <w:r w:rsidRPr="0025111C">
        <w:rPr>
          <w:rFonts w:ascii="Arial" w:hAnsi="Arial" w:cs="Arial"/>
          <w:color w:val="000000" w:themeColor="text1"/>
          <w:sz w:val="20"/>
          <w:szCs w:val="20"/>
        </w:rPr>
        <w:t>Diagnosed with MDD by a treating physician based on DSM-IV criteria</w:t>
      </w:r>
    </w:p>
    <w:p w14:paraId="32B985BC" w14:textId="77777777" w:rsidR="0025111C" w:rsidRPr="0025111C" w:rsidRDefault="0025111C" w:rsidP="0025111C">
      <w:pPr>
        <w:pStyle w:val="NoSpacing"/>
        <w:numPr>
          <w:ilvl w:val="0"/>
          <w:numId w:val="32"/>
        </w:numPr>
        <w:jc w:val="both"/>
        <w:rPr>
          <w:rFonts w:ascii="Arial" w:hAnsi="Arial" w:cs="Arial"/>
          <w:color w:val="000000" w:themeColor="text1"/>
          <w:sz w:val="20"/>
          <w:szCs w:val="20"/>
        </w:rPr>
      </w:pPr>
      <w:r w:rsidRPr="0025111C">
        <w:rPr>
          <w:rFonts w:ascii="Arial" w:hAnsi="Arial" w:cs="Arial"/>
          <w:color w:val="000000" w:themeColor="text1"/>
          <w:sz w:val="20"/>
          <w:szCs w:val="20"/>
        </w:rPr>
        <w:t xml:space="preserve">Currently prescribed any class of oral antidepressants </w:t>
      </w:r>
    </w:p>
    <w:p w14:paraId="124C3EA3" w14:textId="77777777" w:rsidR="0025111C" w:rsidRPr="0025111C" w:rsidRDefault="0025111C" w:rsidP="0025111C">
      <w:pPr>
        <w:pStyle w:val="NoSpacing"/>
        <w:numPr>
          <w:ilvl w:val="0"/>
          <w:numId w:val="31"/>
        </w:numPr>
        <w:jc w:val="both"/>
        <w:rPr>
          <w:rFonts w:ascii="Arial" w:hAnsi="Arial" w:cs="Arial"/>
          <w:color w:val="000000" w:themeColor="text1"/>
          <w:sz w:val="20"/>
          <w:szCs w:val="20"/>
        </w:rPr>
      </w:pPr>
      <w:r w:rsidRPr="0025111C">
        <w:rPr>
          <w:rFonts w:ascii="Arial" w:hAnsi="Arial" w:cs="Arial"/>
          <w:color w:val="000000" w:themeColor="text1"/>
          <w:sz w:val="20"/>
          <w:szCs w:val="20"/>
        </w:rPr>
        <w:t>Access to a computer</w:t>
      </w:r>
    </w:p>
    <w:p w14:paraId="120BB5AE" w14:textId="77777777" w:rsidR="0025111C" w:rsidRPr="0025111C" w:rsidRDefault="0025111C" w:rsidP="0025111C">
      <w:pPr>
        <w:pStyle w:val="NoSpacing"/>
        <w:jc w:val="both"/>
        <w:rPr>
          <w:rFonts w:ascii="Arial" w:hAnsi="Arial" w:cs="Arial"/>
          <w:color w:val="000000" w:themeColor="text1"/>
          <w:sz w:val="20"/>
          <w:szCs w:val="20"/>
        </w:rPr>
      </w:pPr>
      <w:r w:rsidRPr="0025111C">
        <w:rPr>
          <w:rFonts w:ascii="Arial" w:hAnsi="Arial" w:cs="Arial"/>
          <w:color w:val="000000" w:themeColor="text1"/>
          <w:sz w:val="20"/>
          <w:szCs w:val="20"/>
        </w:rPr>
        <w:t>Exclusion criteria included:</w:t>
      </w:r>
    </w:p>
    <w:p w14:paraId="66458C1B" w14:textId="77777777" w:rsidR="0025111C" w:rsidRPr="0025111C" w:rsidRDefault="0025111C" w:rsidP="0025111C">
      <w:pPr>
        <w:pStyle w:val="NoSpacing"/>
        <w:numPr>
          <w:ilvl w:val="0"/>
          <w:numId w:val="31"/>
        </w:numPr>
        <w:jc w:val="both"/>
        <w:rPr>
          <w:rFonts w:ascii="Arial" w:hAnsi="Arial" w:cs="Arial"/>
          <w:color w:val="000000" w:themeColor="text1"/>
          <w:sz w:val="20"/>
          <w:szCs w:val="20"/>
        </w:rPr>
      </w:pPr>
      <w:r w:rsidRPr="0025111C">
        <w:rPr>
          <w:rFonts w:ascii="Arial" w:hAnsi="Arial" w:cs="Arial"/>
          <w:color w:val="000000" w:themeColor="text1"/>
          <w:sz w:val="20"/>
          <w:szCs w:val="20"/>
        </w:rPr>
        <w:t>Co-morbid psychiatric diagnoses (e.g., schizophrenia, bipolar disorder)</w:t>
      </w:r>
    </w:p>
    <w:p w14:paraId="151CD4FB" w14:textId="77777777" w:rsidR="0025111C" w:rsidRPr="0025111C" w:rsidRDefault="0025111C" w:rsidP="0025111C">
      <w:pPr>
        <w:pStyle w:val="NoSpacing"/>
        <w:numPr>
          <w:ilvl w:val="0"/>
          <w:numId w:val="31"/>
        </w:numPr>
        <w:jc w:val="both"/>
        <w:rPr>
          <w:rFonts w:ascii="Arial" w:hAnsi="Arial" w:cs="Arial"/>
          <w:color w:val="000000" w:themeColor="text1"/>
          <w:sz w:val="20"/>
          <w:szCs w:val="20"/>
        </w:rPr>
      </w:pPr>
      <w:r w:rsidRPr="0025111C">
        <w:rPr>
          <w:rFonts w:ascii="Arial" w:hAnsi="Arial" w:cs="Arial"/>
          <w:color w:val="000000" w:themeColor="text1"/>
          <w:sz w:val="20"/>
          <w:szCs w:val="20"/>
        </w:rPr>
        <w:t>Cognitive impairments or intellectual disabilities</w:t>
      </w:r>
    </w:p>
    <w:p w14:paraId="6FE214F2" w14:textId="005F2AC6" w:rsidR="0025111C" w:rsidRPr="00251DE6" w:rsidRDefault="0025111C" w:rsidP="00251DE6">
      <w:pPr>
        <w:pStyle w:val="NoSpacing"/>
        <w:numPr>
          <w:ilvl w:val="0"/>
          <w:numId w:val="31"/>
        </w:numPr>
        <w:jc w:val="both"/>
        <w:rPr>
          <w:rFonts w:ascii="Arial" w:hAnsi="Arial" w:cs="Arial"/>
          <w:color w:val="000000" w:themeColor="text1"/>
          <w:sz w:val="20"/>
          <w:szCs w:val="20"/>
        </w:rPr>
      </w:pPr>
      <w:r w:rsidRPr="0025111C">
        <w:rPr>
          <w:rFonts w:ascii="Arial" w:hAnsi="Arial" w:cs="Arial"/>
          <w:color w:val="000000" w:themeColor="text1"/>
          <w:sz w:val="20"/>
          <w:szCs w:val="20"/>
        </w:rPr>
        <w:t>Inability to understand or speak English</w:t>
      </w:r>
    </w:p>
    <w:p w14:paraId="472C8C49" w14:textId="77777777" w:rsidR="005346E7" w:rsidRDefault="005346E7" w:rsidP="0025111C">
      <w:pPr>
        <w:spacing w:after="160" w:line="278" w:lineRule="auto"/>
        <w:jc w:val="both"/>
        <w:rPr>
          <w:rFonts w:ascii="Arial" w:hAnsi="Arial" w:cs="Arial"/>
          <w:b/>
          <w:bCs/>
          <w:color w:val="000000" w:themeColor="text1"/>
          <w:sz w:val="22"/>
          <w:szCs w:val="22"/>
        </w:rPr>
      </w:pPr>
    </w:p>
    <w:p w14:paraId="28CD0E4F" w14:textId="77777777" w:rsidR="005346E7" w:rsidRDefault="005346E7" w:rsidP="0025111C">
      <w:pPr>
        <w:spacing w:after="160" w:line="278" w:lineRule="auto"/>
        <w:jc w:val="both"/>
        <w:rPr>
          <w:rFonts w:ascii="Arial" w:hAnsi="Arial" w:cs="Arial"/>
          <w:b/>
          <w:bCs/>
          <w:color w:val="000000" w:themeColor="text1"/>
          <w:sz w:val="22"/>
          <w:szCs w:val="22"/>
        </w:rPr>
      </w:pPr>
    </w:p>
    <w:p w14:paraId="6DC18827" w14:textId="420A8640" w:rsidR="0025111C" w:rsidRPr="0025111C" w:rsidRDefault="0025111C" w:rsidP="0025111C">
      <w:pPr>
        <w:spacing w:after="160" w:line="278" w:lineRule="auto"/>
        <w:jc w:val="both"/>
        <w:rPr>
          <w:rFonts w:ascii="Arial" w:hAnsi="Arial" w:cs="Arial"/>
          <w:b/>
          <w:bCs/>
          <w:color w:val="000000" w:themeColor="text1"/>
          <w:sz w:val="22"/>
          <w:szCs w:val="22"/>
        </w:rPr>
      </w:pPr>
      <w:r w:rsidRPr="0025111C">
        <w:rPr>
          <w:rFonts w:ascii="Arial" w:hAnsi="Arial" w:cs="Arial"/>
          <w:b/>
          <w:bCs/>
          <w:color w:val="000000" w:themeColor="text1"/>
          <w:sz w:val="22"/>
          <w:szCs w:val="22"/>
        </w:rPr>
        <w:lastRenderedPageBreak/>
        <w:t>2.3 Survey Procedures</w:t>
      </w:r>
    </w:p>
    <w:p w14:paraId="34913E6D" w14:textId="5D85EADF" w:rsidR="0025111C" w:rsidRPr="0025111C" w:rsidRDefault="0025111C" w:rsidP="0025111C">
      <w:pPr>
        <w:jc w:val="both"/>
        <w:rPr>
          <w:rFonts w:ascii="Arial" w:hAnsi="Arial" w:cs="Arial"/>
          <w:color w:val="000000" w:themeColor="text1"/>
        </w:rPr>
      </w:pPr>
      <w:r w:rsidRPr="0025111C">
        <w:rPr>
          <w:rFonts w:ascii="Arial" w:eastAsiaTheme="majorEastAsia" w:hAnsi="Arial" w:cs="Arial"/>
          <w:b/>
          <w:bCs/>
          <w:i/>
          <w:iCs/>
          <w:color w:val="000000" w:themeColor="text1"/>
        </w:rPr>
        <w:t xml:space="preserve">     </w:t>
      </w:r>
      <w:r w:rsidRPr="0025111C">
        <w:rPr>
          <w:rFonts w:ascii="Arial" w:hAnsi="Arial" w:cs="Arial"/>
          <w:color w:val="000000" w:themeColor="text1"/>
        </w:rPr>
        <w:t xml:space="preserve">Flyers were </w:t>
      </w:r>
      <w:r w:rsidR="008B6442">
        <w:rPr>
          <w:rFonts w:ascii="Arial" w:hAnsi="Arial" w:cs="Arial"/>
          <w:color w:val="000000" w:themeColor="text1"/>
        </w:rPr>
        <w:t>distributed</w:t>
      </w:r>
      <w:r w:rsidRPr="0025111C">
        <w:rPr>
          <w:rFonts w:ascii="Arial" w:hAnsi="Arial" w:cs="Arial"/>
          <w:color w:val="000000" w:themeColor="text1"/>
        </w:rPr>
        <w:t xml:space="preserve"> to </w:t>
      </w:r>
      <w:r w:rsidR="008B6442">
        <w:rPr>
          <w:rFonts w:ascii="Arial" w:hAnsi="Arial" w:cs="Arial"/>
          <w:color w:val="000000" w:themeColor="text1"/>
        </w:rPr>
        <w:t xml:space="preserve">the </w:t>
      </w:r>
      <w:r w:rsidRPr="0025111C">
        <w:rPr>
          <w:rFonts w:ascii="Arial" w:hAnsi="Arial" w:cs="Arial"/>
          <w:color w:val="000000" w:themeColor="text1"/>
        </w:rPr>
        <w:t>mental health facilities</w:t>
      </w:r>
      <w:r w:rsidR="008B6442">
        <w:rPr>
          <w:rFonts w:ascii="Arial" w:hAnsi="Arial" w:cs="Arial"/>
          <w:color w:val="000000" w:themeColor="text1"/>
        </w:rPr>
        <w:t xml:space="preserve">. </w:t>
      </w:r>
      <w:r w:rsidRPr="0025111C">
        <w:rPr>
          <w:rFonts w:ascii="Arial" w:hAnsi="Arial" w:cs="Arial"/>
          <w:color w:val="000000" w:themeColor="text1"/>
        </w:rPr>
        <w:t>Staff were instructed to place flyers in high-volume areas such as the concierge desk and waiting rooms. The flyers contained a brief description of the study and QR code</w:t>
      </w:r>
      <w:r w:rsidR="008B6442">
        <w:rPr>
          <w:rFonts w:ascii="Arial" w:hAnsi="Arial" w:cs="Arial"/>
          <w:color w:val="000000" w:themeColor="text1"/>
        </w:rPr>
        <w:t xml:space="preserve"> to the survey. </w:t>
      </w:r>
      <w:r w:rsidRPr="0025111C">
        <w:rPr>
          <w:rFonts w:ascii="Arial" w:hAnsi="Arial" w:cs="Arial"/>
          <w:color w:val="000000" w:themeColor="text1"/>
        </w:rPr>
        <w:t xml:space="preserve"> </w:t>
      </w:r>
      <w:r w:rsidR="00705BC8">
        <w:rPr>
          <w:rFonts w:ascii="Arial" w:hAnsi="Arial" w:cs="Arial"/>
          <w:color w:val="000000" w:themeColor="text1"/>
        </w:rPr>
        <w:t xml:space="preserve">To ensure complete anonymity, no personal information was collected, as defined by the Office for Human Research Protections. </w:t>
      </w:r>
      <w:r w:rsidR="00501245">
        <w:rPr>
          <w:rFonts w:ascii="Arial" w:hAnsi="Arial" w:cs="Arial"/>
          <w:color w:val="000000" w:themeColor="text1"/>
        </w:rPr>
        <w:t>I</w:t>
      </w:r>
      <w:r w:rsidR="00705BC8">
        <w:rPr>
          <w:rFonts w:ascii="Arial" w:hAnsi="Arial" w:cs="Arial"/>
          <w:color w:val="000000" w:themeColor="text1"/>
        </w:rPr>
        <w:t>nformed consent</w:t>
      </w:r>
      <w:r w:rsidR="00501245">
        <w:rPr>
          <w:rFonts w:ascii="Arial" w:hAnsi="Arial" w:cs="Arial"/>
          <w:color w:val="000000" w:themeColor="text1"/>
        </w:rPr>
        <w:t xml:space="preserve"> was obtained</w:t>
      </w:r>
      <w:r w:rsidR="00705BC8">
        <w:rPr>
          <w:rFonts w:ascii="Arial" w:hAnsi="Arial" w:cs="Arial"/>
          <w:color w:val="000000" w:themeColor="text1"/>
        </w:rPr>
        <w:t xml:space="preserve"> from all participants. The online survey tool </w:t>
      </w:r>
      <w:r w:rsidR="00705BC8" w:rsidRPr="0025111C">
        <w:rPr>
          <w:rFonts w:ascii="Arial" w:hAnsi="Arial" w:cs="Arial"/>
          <w:color w:val="000000" w:themeColor="text1"/>
        </w:rPr>
        <w:t>Qualtrics</w:t>
      </w:r>
      <w:r w:rsidR="00705BC8">
        <w:rPr>
          <w:rFonts w:ascii="Arial" w:hAnsi="Arial" w:cs="Arial"/>
          <w:color w:val="000000" w:themeColor="text1"/>
        </w:rPr>
        <w:t xml:space="preserve"> was used to collect data. </w:t>
      </w:r>
      <w:r w:rsidRPr="0025111C">
        <w:rPr>
          <w:rFonts w:ascii="Arial" w:hAnsi="Arial" w:cs="Arial"/>
          <w:color w:val="000000" w:themeColor="text1"/>
        </w:rPr>
        <w:t xml:space="preserve">Qualtrics data were imported into SPSS (version 31) for analysis. </w:t>
      </w:r>
    </w:p>
    <w:p w14:paraId="43149FDC" w14:textId="77777777" w:rsidR="0025111C" w:rsidRPr="0025111C" w:rsidRDefault="0025111C" w:rsidP="0025111C">
      <w:pPr>
        <w:jc w:val="both"/>
        <w:rPr>
          <w:rFonts w:ascii="Arial" w:eastAsiaTheme="majorEastAsia" w:hAnsi="Arial" w:cs="Arial"/>
          <w:b/>
          <w:bCs/>
          <w:i/>
          <w:iCs/>
          <w:color w:val="000000" w:themeColor="text1"/>
        </w:rPr>
      </w:pPr>
    </w:p>
    <w:p w14:paraId="0945809C" w14:textId="2DDE7396" w:rsidR="0025111C" w:rsidRPr="0025111C" w:rsidRDefault="0025111C" w:rsidP="0025111C">
      <w:pPr>
        <w:jc w:val="both"/>
        <w:rPr>
          <w:rFonts w:ascii="Arial" w:eastAsiaTheme="majorEastAsia" w:hAnsi="Arial" w:cs="Arial"/>
          <w:b/>
          <w:bCs/>
          <w:color w:val="000000" w:themeColor="text1"/>
          <w:sz w:val="22"/>
          <w:szCs w:val="22"/>
        </w:rPr>
      </w:pPr>
      <w:r w:rsidRPr="0025111C">
        <w:rPr>
          <w:rFonts w:ascii="Arial" w:eastAsiaTheme="majorEastAsia" w:hAnsi="Arial" w:cs="Arial"/>
          <w:b/>
          <w:bCs/>
          <w:color w:val="000000" w:themeColor="text1"/>
          <w:sz w:val="22"/>
          <w:szCs w:val="22"/>
        </w:rPr>
        <w:t xml:space="preserve">2.4 Measures </w:t>
      </w:r>
    </w:p>
    <w:p w14:paraId="4F75E223" w14:textId="78B0DAEF" w:rsidR="00263C09" w:rsidRPr="0025111C" w:rsidRDefault="00263C09" w:rsidP="00263C09">
      <w:pPr>
        <w:shd w:val="clear" w:color="auto" w:fill="FFFFFF"/>
        <w:ind w:firstLine="720"/>
        <w:jc w:val="both"/>
        <w:textAlignment w:val="baseline"/>
        <w:rPr>
          <w:rFonts w:ascii="Arial" w:hAnsi="Arial" w:cs="Arial"/>
          <w:color w:val="000000" w:themeColor="text1"/>
        </w:rPr>
      </w:pPr>
      <w:r w:rsidRPr="0025111C">
        <w:rPr>
          <w:rFonts w:ascii="Arial" w:hAnsi="Arial" w:cs="Arial"/>
          <w:color w:val="000000" w:themeColor="text1"/>
        </w:rPr>
        <w:t xml:space="preserve">The instrument </w:t>
      </w:r>
      <w:r w:rsidR="00F0429F">
        <w:rPr>
          <w:rFonts w:ascii="Arial" w:hAnsi="Arial" w:cs="Arial"/>
          <w:color w:val="000000" w:themeColor="text1"/>
        </w:rPr>
        <w:t xml:space="preserve">was </w:t>
      </w:r>
      <w:r w:rsidRPr="0025111C">
        <w:rPr>
          <w:rFonts w:ascii="Arial" w:hAnsi="Arial" w:cs="Arial"/>
          <w:color w:val="000000" w:themeColor="text1"/>
        </w:rPr>
        <w:t>designed to capture quantitative data, as well as a final open-ended section intended to elicit qualitative insights beyond the scope of structured questions</w:t>
      </w:r>
      <w:r w:rsidR="00F0429F">
        <w:rPr>
          <w:rFonts w:ascii="Arial" w:hAnsi="Arial" w:cs="Arial"/>
          <w:color w:val="000000" w:themeColor="text1"/>
        </w:rPr>
        <w:t xml:space="preserve"> and comprised of six sections including:</w:t>
      </w:r>
      <w:r>
        <w:rPr>
          <w:rFonts w:ascii="Arial" w:hAnsi="Arial" w:cs="Arial"/>
          <w:color w:val="000000" w:themeColor="text1"/>
        </w:rPr>
        <w:t xml:space="preserve"> Section 1: D</w:t>
      </w:r>
      <w:r w:rsidRPr="0025111C">
        <w:rPr>
          <w:rFonts w:ascii="Arial" w:hAnsi="Arial" w:cs="Arial"/>
          <w:color w:val="000000" w:themeColor="text1"/>
        </w:rPr>
        <w:t>emographic characteristics</w:t>
      </w:r>
      <w:r>
        <w:rPr>
          <w:rFonts w:ascii="Arial" w:hAnsi="Arial" w:cs="Arial"/>
          <w:color w:val="000000" w:themeColor="text1"/>
        </w:rPr>
        <w:t xml:space="preserve">; </w:t>
      </w:r>
      <w:r w:rsidRPr="0025111C">
        <w:rPr>
          <w:rFonts w:ascii="Arial" w:hAnsi="Arial" w:cs="Arial"/>
          <w:color w:val="000000" w:themeColor="text1"/>
        </w:rPr>
        <w:t>Section 2</w:t>
      </w:r>
      <w:r>
        <w:rPr>
          <w:rFonts w:ascii="Arial" w:hAnsi="Arial" w:cs="Arial"/>
          <w:color w:val="000000" w:themeColor="text1"/>
        </w:rPr>
        <w:t xml:space="preserve">: </w:t>
      </w:r>
      <w:r w:rsidRPr="0025111C">
        <w:rPr>
          <w:rFonts w:ascii="Arial" w:hAnsi="Arial" w:cs="Arial"/>
          <w:color w:val="000000" w:themeColor="text1"/>
          <w:shd w:val="clear" w:color="auto" w:fill="FFFFFF"/>
        </w:rPr>
        <w:t>Clinical History</w:t>
      </w:r>
      <w:r>
        <w:rPr>
          <w:rFonts w:ascii="Arial" w:hAnsi="Arial" w:cs="Arial"/>
          <w:color w:val="000000" w:themeColor="text1"/>
          <w:shd w:val="clear" w:color="auto" w:fill="FFFFFF"/>
        </w:rPr>
        <w:t xml:space="preserve">; </w:t>
      </w:r>
      <w:r w:rsidRPr="0025111C">
        <w:rPr>
          <w:rFonts w:ascii="Arial" w:hAnsi="Arial" w:cs="Arial"/>
          <w:color w:val="000000" w:themeColor="text1"/>
        </w:rPr>
        <w:t>Section 3</w:t>
      </w:r>
      <w:r>
        <w:rPr>
          <w:rFonts w:ascii="Arial" w:hAnsi="Arial" w:cs="Arial"/>
          <w:color w:val="000000" w:themeColor="text1"/>
        </w:rPr>
        <w:t xml:space="preserve">: </w:t>
      </w:r>
      <w:r w:rsidRPr="0025111C">
        <w:rPr>
          <w:rFonts w:ascii="Arial" w:hAnsi="Arial" w:cs="Arial"/>
          <w:color w:val="000000" w:themeColor="text1"/>
        </w:rPr>
        <w:t>Knowledge and Attitudes; Section 4</w:t>
      </w:r>
      <w:r>
        <w:rPr>
          <w:rFonts w:ascii="Arial" w:hAnsi="Arial" w:cs="Arial"/>
          <w:color w:val="000000" w:themeColor="text1"/>
        </w:rPr>
        <w:t xml:space="preserve">: </w:t>
      </w:r>
      <w:r w:rsidRPr="0025111C">
        <w:rPr>
          <w:rFonts w:ascii="Arial" w:hAnsi="Arial" w:cs="Arial"/>
          <w:color w:val="000000" w:themeColor="text1"/>
        </w:rPr>
        <w:t>HBM constructs question-items</w:t>
      </w:r>
      <w:r>
        <w:rPr>
          <w:rFonts w:ascii="Arial" w:hAnsi="Arial" w:cs="Arial"/>
          <w:color w:val="000000" w:themeColor="text1"/>
        </w:rPr>
        <w:t xml:space="preserve">; </w:t>
      </w:r>
      <w:r w:rsidRPr="0025111C">
        <w:rPr>
          <w:rFonts w:ascii="Arial" w:hAnsi="Arial" w:cs="Arial"/>
          <w:color w:val="000000" w:themeColor="text1"/>
        </w:rPr>
        <w:t>and Section 6</w:t>
      </w:r>
      <w:r>
        <w:rPr>
          <w:rFonts w:ascii="Arial" w:hAnsi="Arial" w:cs="Arial"/>
          <w:color w:val="000000" w:themeColor="text1"/>
        </w:rPr>
        <w:t xml:space="preserve">: </w:t>
      </w:r>
      <w:r w:rsidRPr="0025111C">
        <w:rPr>
          <w:rFonts w:ascii="Arial" w:hAnsi="Arial" w:cs="Arial"/>
          <w:color w:val="000000" w:themeColor="text1"/>
        </w:rPr>
        <w:t xml:space="preserve">Closing Remarks. </w:t>
      </w:r>
    </w:p>
    <w:p w14:paraId="4A63914D" w14:textId="77777777" w:rsidR="0025111C" w:rsidRPr="0025111C" w:rsidRDefault="0025111C" w:rsidP="0025111C">
      <w:pPr>
        <w:jc w:val="both"/>
        <w:rPr>
          <w:rFonts w:ascii="Arial" w:hAnsi="Arial" w:cs="Arial"/>
          <w:color w:val="000000" w:themeColor="text1"/>
        </w:rPr>
      </w:pPr>
    </w:p>
    <w:p w14:paraId="68CA0C64" w14:textId="77777777" w:rsidR="0025111C" w:rsidRPr="008B6442" w:rsidRDefault="0025111C" w:rsidP="0025111C">
      <w:pPr>
        <w:jc w:val="both"/>
        <w:rPr>
          <w:rFonts w:ascii="Arial" w:hAnsi="Arial" w:cs="Arial"/>
          <w:b/>
          <w:bCs/>
          <w:i/>
          <w:iCs/>
          <w:color w:val="000000" w:themeColor="text1"/>
        </w:rPr>
      </w:pPr>
      <w:r w:rsidRPr="008B6442">
        <w:rPr>
          <w:rFonts w:ascii="Arial" w:hAnsi="Arial" w:cs="Arial"/>
          <w:b/>
          <w:bCs/>
          <w:i/>
          <w:iCs/>
          <w:color w:val="000000" w:themeColor="text1"/>
        </w:rPr>
        <w:t>2.4.1. Demographic and Clinical Variables.</w:t>
      </w:r>
    </w:p>
    <w:p w14:paraId="2A4A34DE" w14:textId="77777777" w:rsidR="0025111C" w:rsidRPr="0025111C" w:rsidRDefault="0025111C" w:rsidP="0025111C">
      <w:pPr>
        <w:jc w:val="both"/>
        <w:rPr>
          <w:rFonts w:ascii="Arial" w:hAnsi="Arial" w:cs="Arial"/>
          <w:b/>
          <w:bCs/>
          <w:color w:val="000000" w:themeColor="text1"/>
        </w:rPr>
      </w:pPr>
    </w:p>
    <w:p w14:paraId="7BDAE8A2" w14:textId="79C9EF02" w:rsidR="0025111C" w:rsidRPr="0025111C" w:rsidRDefault="0025111C" w:rsidP="0025111C">
      <w:pPr>
        <w:shd w:val="clear" w:color="auto" w:fill="FFFFFF"/>
        <w:ind w:firstLine="720"/>
        <w:jc w:val="both"/>
        <w:textAlignment w:val="baseline"/>
        <w:rPr>
          <w:rFonts w:ascii="Arial" w:hAnsi="Arial" w:cs="Arial"/>
          <w:color w:val="000000" w:themeColor="text1"/>
        </w:rPr>
      </w:pPr>
      <w:r w:rsidRPr="0025111C">
        <w:rPr>
          <w:rFonts w:ascii="Arial" w:hAnsi="Arial" w:cs="Arial"/>
          <w:color w:val="000000" w:themeColor="text1"/>
        </w:rPr>
        <w:t>This section allowed investigator to analyze trends across different variables.</w:t>
      </w:r>
      <w:r w:rsidR="00263C09">
        <w:rPr>
          <w:rFonts w:ascii="Arial" w:hAnsi="Arial" w:cs="Arial"/>
          <w:color w:val="000000" w:themeColor="text1"/>
        </w:rPr>
        <w:t xml:space="preserve">  Data was collected on participants’ </w:t>
      </w:r>
      <w:r w:rsidR="00263C09" w:rsidRPr="0025111C">
        <w:rPr>
          <w:rFonts w:ascii="Arial" w:hAnsi="Arial" w:cs="Arial"/>
          <w:color w:val="000000" w:themeColor="text1"/>
        </w:rPr>
        <w:t>age, gender, race/ethnicity, education, religion, income, marital and employment</w:t>
      </w:r>
      <w:r w:rsidR="00263C09">
        <w:rPr>
          <w:rFonts w:ascii="Arial" w:hAnsi="Arial" w:cs="Arial"/>
          <w:color w:val="000000" w:themeColor="text1"/>
        </w:rPr>
        <w:t xml:space="preserve">. Clinical question items collected data on </w:t>
      </w:r>
      <w:r w:rsidR="00263C09">
        <w:rPr>
          <w:rFonts w:ascii="Arial" w:hAnsi="Arial" w:cs="Arial"/>
          <w:color w:val="000000" w:themeColor="text1"/>
          <w:shd w:val="clear" w:color="auto" w:fill="FFFFFF"/>
        </w:rPr>
        <w:t xml:space="preserve">the </w:t>
      </w:r>
      <w:r w:rsidR="00263C09" w:rsidRPr="0025111C">
        <w:rPr>
          <w:rFonts w:ascii="Arial" w:hAnsi="Arial" w:cs="Arial"/>
          <w:color w:val="000000" w:themeColor="text1"/>
          <w:shd w:val="clear" w:color="auto" w:fill="FFFFFF"/>
        </w:rPr>
        <w:t>length of MDD diagnosis, and medication history</w:t>
      </w:r>
      <w:r w:rsidR="00263C09">
        <w:rPr>
          <w:rFonts w:ascii="Arial" w:hAnsi="Arial" w:cs="Arial"/>
          <w:color w:val="000000" w:themeColor="text1"/>
          <w:shd w:val="clear" w:color="auto" w:fill="FFFFFF"/>
        </w:rPr>
        <w:t xml:space="preserve">, such as number of existing </w:t>
      </w:r>
      <w:r w:rsidR="005346E7">
        <w:rPr>
          <w:rFonts w:ascii="Arial" w:hAnsi="Arial" w:cs="Arial"/>
          <w:color w:val="000000" w:themeColor="text1"/>
          <w:shd w:val="clear" w:color="auto" w:fill="FFFFFF"/>
        </w:rPr>
        <w:t xml:space="preserve">antidepressant participants had trialed. </w:t>
      </w:r>
    </w:p>
    <w:p w14:paraId="181B93B4" w14:textId="77777777" w:rsidR="0025111C" w:rsidRPr="0025111C" w:rsidRDefault="0025111C" w:rsidP="0025111C">
      <w:pPr>
        <w:jc w:val="both"/>
        <w:rPr>
          <w:rFonts w:ascii="Arial" w:hAnsi="Arial" w:cs="Arial"/>
          <w:color w:val="000000" w:themeColor="text1"/>
        </w:rPr>
      </w:pPr>
    </w:p>
    <w:p w14:paraId="74FE15D0" w14:textId="77777777" w:rsidR="0025111C" w:rsidRPr="008B6442" w:rsidRDefault="0025111C" w:rsidP="0025111C">
      <w:pPr>
        <w:jc w:val="both"/>
        <w:rPr>
          <w:rFonts w:ascii="Arial" w:hAnsi="Arial" w:cs="Arial"/>
          <w:b/>
          <w:bCs/>
          <w:i/>
          <w:iCs/>
          <w:color w:val="000000" w:themeColor="text1"/>
        </w:rPr>
      </w:pPr>
      <w:r w:rsidRPr="008B6442">
        <w:rPr>
          <w:rFonts w:ascii="Arial" w:hAnsi="Arial" w:cs="Arial"/>
          <w:b/>
          <w:bCs/>
          <w:i/>
          <w:iCs/>
          <w:color w:val="000000" w:themeColor="text1"/>
        </w:rPr>
        <w:t>2.4.2 Knowledge and Attitudinal Variables.</w:t>
      </w:r>
    </w:p>
    <w:p w14:paraId="5297B9F5" w14:textId="77777777" w:rsidR="0025111C" w:rsidRPr="0025111C" w:rsidRDefault="0025111C" w:rsidP="0025111C">
      <w:pPr>
        <w:ind w:firstLine="720"/>
        <w:jc w:val="both"/>
        <w:rPr>
          <w:rFonts w:ascii="Arial" w:hAnsi="Arial" w:cs="Arial"/>
          <w:b/>
          <w:bCs/>
          <w:i/>
          <w:iCs/>
          <w:color w:val="000000" w:themeColor="text1"/>
          <w:u w:val="single"/>
        </w:rPr>
      </w:pPr>
    </w:p>
    <w:p w14:paraId="21C5CD57" w14:textId="028807E7" w:rsidR="0025111C" w:rsidRPr="0025111C" w:rsidRDefault="0025111C" w:rsidP="0025111C">
      <w:pPr>
        <w:ind w:firstLine="720"/>
        <w:jc w:val="both"/>
        <w:rPr>
          <w:rFonts w:ascii="Arial" w:hAnsi="Arial" w:cs="Arial"/>
          <w:color w:val="000000" w:themeColor="text1"/>
        </w:rPr>
      </w:pPr>
      <w:r w:rsidRPr="0025111C">
        <w:rPr>
          <w:rFonts w:ascii="Arial" w:hAnsi="Arial" w:cs="Arial"/>
          <w:color w:val="000000" w:themeColor="text1"/>
        </w:rPr>
        <w:t xml:space="preserve">Questions in this section were based on </w:t>
      </w:r>
      <w:r w:rsidR="006755B9">
        <w:rPr>
          <w:rFonts w:ascii="Arial" w:hAnsi="Arial" w:cs="Arial"/>
          <w:color w:val="000000" w:themeColor="text1"/>
        </w:rPr>
        <w:t xml:space="preserve">a </w:t>
      </w:r>
      <w:r w:rsidRPr="0025111C">
        <w:rPr>
          <w:rFonts w:ascii="Arial" w:hAnsi="Arial" w:cs="Arial"/>
          <w:color w:val="000000" w:themeColor="text1"/>
        </w:rPr>
        <w:t>previous stud</w:t>
      </w:r>
      <w:r w:rsidR="006755B9">
        <w:rPr>
          <w:rFonts w:ascii="Arial" w:hAnsi="Arial" w:cs="Arial"/>
          <w:color w:val="000000" w:themeColor="text1"/>
        </w:rPr>
        <w:t>y</w:t>
      </w:r>
      <w:r w:rsidRPr="0025111C">
        <w:rPr>
          <w:rFonts w:ascii="Arial" w:hAnsi="Arial" w:cs="Arial"/>
          <w:color w:val="000000" w:themeColor="text1"/>
        </w:rPr>
        <w:t xml:space="preserve"> with a similar hypothesis and </w:t>
      </w:r>
      <w:r w:rsidR="006755B9">
        <w:rPr>
          <w:rFonts w:ascii="Arial" w:hAnsi="Arial" w:cs="Arial"/>
          <w:color w:val="000000" w:themeColor="text1"/>
        </w:rPr>
        <w:t xml:space="preserve">study </w:t>
      </w:r>
      <w:r w:rsidRPr="0025111C">
        <w:rPr>
          <w:rFonts w:ascii="Arial" w:hAnsi="Arial" w:cs="Arial"/>
          <w:color w:val="000000" w:themeColor="text1"/>
        </w:rPr>
        <w:t>variables</w:t>
      </w:r>
      <w:r w:rsidR="00024FC8">
        <w:rPr>
          <w:rStyle w:val="EndnoteReference"/>
          <w:rFonts w:ascii="Arial" w:hAnsi="Arial" w:cs="Arial"/>
          <w:color w:val="000000" w:themeColor="text1"/>
        </w:rPr>
        <w:endnoteReference w:customMarkFollows="1" w:id="54"/>
        <w:t>50</w:t>
      </w:r>
      <w:r w:rsidR="00024FC8">
        <w:rPr>
          <w:rFonts w:ascii="Arial" w:hAnsi="Arial" w:cs="Arial"/>
          <w:color w:val="000000" w:themeColor="text1"/>
        </w:rPr>
        <w:t xml:space="preserve"> </w:t>
      </w:r>
      <w:r w:rsidRPr="0025111C">
        <w:rPr>
          <w:rFonts w:ascii="Arial" w:hAnsi="Arial" w:cs="Arial"/>
          <w:color w:val="000000" w:themeColor="text1"/>
        </w:rPr>
        <w:t>(Fai et al., 2017).</w:t>
      </w:r>
      <w:r w:rsidRPr="0025111C">
        <w:rPr>
          <w:rFonts w:ascii="Arial" w:hAnsi="Arial" w:cs="Arial"/>
        </w:rPr>
        <w:t xml:space="preserve"> </w:t>
      </w:r>
      <w:r w:rsidRPr="0025111C">
        <w:rPr>
          <w:rFonts w:ascii="Arial" w:hAnsi="Arial" w:cs="Arial"/>
          <w:color w:val="000000" w:themeColor="text1"/>
        </w:rPr>
        <w:t>Section 3 titled, ‘</w:t>
      </w:r>
      <w:r w:rsidRPr="0025111C">
        <w:rPr>
          <w:rFonts w:ascii="Arial" w:hAnsi="Arial" w:cs="Arial"/>
          <w:i/>
          <w:iCs/>
          <w:color w:val="000000" w:themeColor="text1"/>
        </w:rPr>
        <w:t>Knowledge and Attitude Towards Psilocybin’,</w:t>
      </w:r>
      <w:r w:rsidRPr="0025111C">
        <w:rPr>
          <w:rFonts w:ascii="Arial" w:hAnsi="Arial" w:cs="Arial"/>
          <w:b/>
          <w:bCs/>
          <w:color w:val="000000" w:themeColor="text1"/>
        </w:rPr>
        <w:t xml:space="preserve"> </w:t>
      </w:r>
      <w:r w:rsidRPr="0025111C">
        <w:rPr>
          <w:rFonts w:ascii="Arial" w:hAnsi="Arial" w:cs="Arial"/>
          <w:color w:val="000000" w:themeColor="text1"/>
        </w:rPr>
        <w:t>measured participants’ knowledge of and attitudes towards psilocybin. Key definitions of CAM and MDD were provided as prompts.  Knowledge was assessed with a Likert-scale question of ‘</w:t>
      </w:r>
      <w:r w:rsidRPr="0025111C">
        <w:rPr>
          <w:rFonts w:ascii="Arial" w:hAnsi="Arial" w:cs="Arial"/>
        </w:rPr>
        <w:t xml:space="preserve">How familiar are you with the term psilocybin’, with responses of ‘Very familiar’, ‘Familiar’, ‘Slightly Familiar’, and ‘Not familiar at all’.  After reading the prompts, participants were directed to answer two questions that measured attitude, including ‘Do you believe psilocybin would be an effective CAM modality to treat </w:t>
      </w:r>
      <w:r w:rsidR="00453B94">
        <w:rPr>
          <w:rFonts w:ascii="Arial" w:hAnsi="Arial" w:cs="Arial"/>
        </w:rPr>
        <w:t>severe depressive symptoms</w:t>
      </w:r>
      <w:r w:rsidRPr="0025111C">
        <w:rPr>
          <w:rFonts w:ascii="Arial" w:hAnsi="Arial" w:cs="Arial"/>
        </w:rPr>
        <w:t xml:space="preserve">” and ‘Should Florida expand its Medical Marijuana Program to include psilocybin’ with response options of ‘Strongly Agree’, ‘Slightly Agree’, ‘Slightly Disagree’, and ‘Strongly Disagree’. </w:t>
      </w:r>
    </w:p>
    <w:p w14:paraId="3C633435" w14:textId="77777777" w:rsidR="0025111C" w:rsidRPr="0025111C" w:rsidRDefault="0025111C" w:rsidP="0025111C">
      <w:pPr>
        <w:jc w:val="both"/>
        <w:rPr>
          <w:rFonts w:ascii="Arial" w:hAnsi="Arial" w:cs="Arial"/>
          <w:b/>
          <w:bCs/>
          <w:i/>
          <w:iCs/>
          <w:color w:val="000000" w:themeColor="text1"/>
          <w:u w:val="single"/>
        </w:rPr>
      </w:pPr>
    </w:p>
    <w:p w14:paraId="44D6B889" w14:textId="77777777" w:rsidR="0025111C" w:rsidRPr="008B6442" w:rsidRDefault="0025111C" w:rsidP="0025111C">
      <w:pPr>
        <w:jc w:val="both"/>
        <w:rPr>
          <w:rFonts w:ascii="Arial" w:hAnsi="Arial" w:cs="Arial"/>
          <w:b/>
          <w:bCs/>
          <w:i/>
          <w:iCs/>
          <w:color w:val="000000" w:themeColor="text1"/>
        </w:rPr>
      </w:pPr>
      <w:r w:rsidRPr="008B6442">
        <w:rPr>
          <w:rFonts w:ascii="Arial" w:hAnsi="Arial" w:cs="Arial"/>
          <w:b/>
          <w:bCs/>
          <w:i/>
          <w:iCs/>
          <w:color w:val="000000" w:themeColor="text1"/>
        </w:rPr>
        <w:t>2.4.3. Perceived Severity.</w:t>
      </w:r>
    </w:p>
    <w:p w14:paraId="7C722D18" w14:textId="77777777" w:rsidR="0025111C" w:rsidRPr="0025111C" w:rsidRDefault="0025111C" w:rsidP="0025111C">
      <w:pPr>
        <w:ind w:firstLine="720"/>
        <w:jc w:val="both"/>
        <w:rPr>
          <w:rFonts w:ascii="Arial" w:hAnsi="Arial" w:cs="Arial"/>
          <w:b/>
          <w:bCs/>
          <w:color w:val="000000" w:themeColor="text1"/>
        </w:rPr>
      </w:pPr>
    </w:p>
    <w:p w14:paraId="4338DCF1" w14:textId="77777777" w:rsidR="0025111C" w:rsidRPr="0025111C" w:rsidRDefault="0025111C" w:rsidP="0025111C">
      <w:pPr>
        <w:ind w:firstLine="720"/>
        <w:jc w:val="both"/>
        <w:rPr>
          <w:rFonts w:ascii="Arial" w:hAnsi="Arial" w:cs="Arial"/>
          <w:strike/>
          <w:color w:val="000000" w:themeColor="text1"/>
        </w:rPr>
      </w:pPr>
      <w:r w:rsidRPr="0025111C">
        <w:rPr>
          <w:rFonts w:ascii="Arial" w:hAnsi="Arial" w:cs="Arial"/>
          <w:color w:val="000000" w:themeColor="text1"/>
        </w:rPr>
        <w:t xml:space="preserve">The participants’ understanding of the severity of their depressive symptoms were assessed using a Likert-scale question that measured their beliefs about an unfavorable outcome (e.g., suicide) if they decided to take no additional action (e.g., seeking alternative treatment modalities). Perceived severity was measured with a single item including, ‘To what degree do you believe your condition would lead to adverse health outcomes (e.g. suicide) if you do not change your plan of treatment’, with response options of ‘very likely’, ‘somewhat likely’, ‘somewhat unlikely’, and ‘very likely’. </w:t>
      </w:r>
    </w:p>
    <w:p w14:paraId="7780E0B0" w14:textId="77777777" w:rsidR="0025111C" w:rsidRPr="0025111C" w:rsidRDefault="0025111C" w:rsidP="0025111C">
      <w:pPr>
        <w:spacing w:after="160" w:line="278" w:lineRule="auto"/>
        <w:jc w:val="both"/>
        <w:rPr>
          <w:rFonts w:ascii="Arial" w:hAnsi="Arial" w:cs="Arial"/>
          <w:color w:val="000000" w:themeColor="text1"/>
        </w:rPr>
      </w:pPr>
    </w:p>
    <w:p w14:paraId="2638C9A8" w14:textId="77777777" w:rsidR="0025111C" w:rsidRPr="008B6442" w:rsidRDefault="0025111C" w:rsidP="0025111C">
      <w:pPr>
        <w:spacing w:after="160" w:line="278" w:lineRule="auto"/>
        <w:jc w:val="both"/>
        <w:rPr>
          <w:rFonts w:ascii="Arial" w:hAnsi="Arial" w:cs="Arial"/>
          <w:b/>
          <w:bCs/>
          <w:i/>
          <w:iCs/>
          <w:color w:val="000000" w:themeColor="text1"/>
        </w:rPr>
      </w:pPr>
      <w:r w:rsidRPr="008B6442">
        <w:rPr>
          <w:rFonts w:ascii="Arial" w:hAnsi="Arial" w:cs="Arial"/>
          <w:b/>
          <w:bCs/>
          <w:i/>
          <w:iCs/>
          <w:color w:val="000000" w:themeColor="text1"/>
        </w:rPr>
        <w:t xml:space="preserve">2.4.4 Perceived Barriers, Cues to Action, and Perceived Benefits. </w:t>
      </w:r>
    </w:p>
    <w:p w14:paraId="02088542" w14:textId="235BC2BB" w:rsidR="0025111C" w:rsidRPr="0025111C" w:rsidRDefault="0025111C" w:rsidP="00C71134">
      <w:pPr>
        <w:ind w:firstLine="720"/>
        <w:jc w:val="both"/>
        <w:rPr>
          <w:rFonts w:ascii="Arial" w:hAnsi="Arial" w:cs="Arial"/>
          <w:color w:val="000000" w:themeColor="text1"/>
        </w:rPr>
      </w:pPr>
      <w:r w:rsidRPr="000F5D46">
        <w:rPr>
          <w:rFonts w:ascii="Arial" w:hAnsi="Arial" w:cs="Arial"/>
          <w:color w:val="000000" w:themeColor="text1"/>
        </w:rPr>
        <w:t>Psilocybin-</w:t>
      </w:r>
      <w:r w:rsidR="00674CB1" w:rsidRPr="000F5D46">
        <w:rPr>
          <w:rFonts w:ascii="Arial" w:hAnsi="Arial" w:cs="Arial"/>
          <w:color w:val="000000" w:themeColor="text1"/>
        </w:rPr>
        <w:t>a</w:t>
      </w:r>
      <w:r w:rsidRPr="000F5D46">
        <w:rPr>
          <w:rFonts w:ascii="Arial" w:hAnsi="Arial" w:cs="Arial"/>
          <w:color w:val="000000" w:themeColor="text1"/>
        </w:rPr>
        <w:t xml:space="preserve">ssisted </w:t>
      </w:r>
      <w:r w:rsidR="00674CB1" w:rsidRPr="000F5D46">
        <w:rPr>
          <w:rFonts w:ascii="Arial" w:hAnsi="Arial" w:cs="Arial"/>
          <w:color w:val="000000" w:themeColor="text1"/>
        </w:rPr>
        <w:t>t</w:t>
      </w:r>
      <w:r w:rsidRPr="000F5D46">
        <w:rPr>
          <w:rFonts w:ascii="Arial" w:hAnsi="Arial" w:cs="Arial"/>
          <w:color w:val="000000" w:themeColor="text1"/>
        </w:rPr>
        <w:t xml:space="preserve">herapy </w:t>
      </w:r>
      <w:r w:rsidR="00674CB1" w:rsidRPr="000F5D46">
        <w:rPr>
          <w:rFonts w:ascii="Arial" w:hAnsi="Arial" w:cs="Arial"/>
          <w:color w:val="000000" w:themeColor="text1"/>
        </w:rPr>
        <w:t>a</w:t>
      </w:r>
      <w:r w:rsidRPr="000F5D46">
        <w:rPr>
          <w:rFonts w:ascii="Arial" w:hAnsi="Arial" w:cs="Arial"/>
          <w:color w:val="000000" w:themeColor="text1"/>
        </w:rPr>
        <w:t xml:space="preserve">cceptance (PATA), the dependent variable, was measured with a single question-item including ‘How likely are you to </w:t>
      </w:r>
      <w:r w:rsidR="005346E7">
        <w:rPr>
          <w:rFonts w:ascii="Arial" w:hAnsi="Arial" w:cs="Arial"/>
          <w:color w:val="000000" w:themeColor="text1"/>
        </w:rPr>
        <w:t xml:space="preserve">use psilocybin </w:t>
      </w:r>
      <w:r w:rsidRPr="000F5D46">
        <w:rPr>
          <w:rFonts w:ascii="Arial" w:hAnsi="Arial" w:cs="Arial"/>
          <w:color w:val="000000" w:themeColor="text1"/>
        </w:rPr>
        <w:t>to</w:t>
      </w:r>
      <w:r w:rsidR="00530E15" w:rsidRPr="000F5D46">
        <w:rPr>
          <w:rFonts w:ascii="Arial" w:hAnsi="Arial" w:cs="Arial"/>
          <w:color w:val="000000" w:themeColor="text1"/>
        </w:rPr>
        <w:t xml:space="preserve"> treat depressive symptoms </w:t>
      </w:r>
      <w:r w:rsidRPr="000F5D46">
        <w:rPr>
          <w:rFonts w:ascii="Arial" w:hAnsi="Arial" w:cs="Arial"/>
          <w:color w:val="000000" w:themeColor="text1"/>
        </w:rPr>
        <w:t xml:space="preserve">if it was legal under medical supervision in Florida’ with response options of ‘very likely’, ‘somewhat likely’, ‘somewhat unlikely’, and ‘very likely’. </w:t>
      </w:r>
      <w:r w:rsidRPr="000F5D46">
        <w:rPr>
          <w:rFonts w:ascii="Arial" w:hAnsi="Arial" w:cs="Arial"/>
        </w:rPr>
        <w:t xml:space="preserve"> Other predictors were measured by </w:t>
      </w:r>
      <w:r w:rsidRPr="000F5D46">
        <w:rPr>
          <w:rFonts w:ascii="Arial" w:hAnsi="Arial" w:cs="Arial"/>
          <w:color w:val="000000" w:themeColor="text1"/>
        </w:rPr>
        <w:t>questions related to perceived barriers, cues to action, and perceived benefits. To measure perceived barriers, participants were asked, ‘</w:t>
      </w:r>
      <w:r w:rsidRPr="000F5D46">
        <w:rPr>
          <w:rFonts w:ascii="Arial" w:hAnsi="Arial" w:cs="Arial"/>
        </w:rPr>
        <w:t xml:space="preserve">What reservations do you have about using psilocybin to treat depressive symptoms?’ Response options included ‘Legality of use in Florida’, ‘Side effects or risks’, ‘Lack of information’, ‘Negative Testimonies of former psilocybin users’ ‘Judgement’, ‘Accessibility (e.g., cost)’, ‘Insufficient Health Insurance’, and ‘Other’. </w:t>
      </w:r>
      <w:r w:rsidRPr="000F5D46">
        <w:rPr>
          <w:rFonts w:ascii="Arial" w:hAnsi="Arial" w:cs="Arial"/>
          <w:color w:val="000000" w:themeColor="text1"/>
          <w:shd w:val="clear" w:color="auto" w:fill="FFFFFF"/>
        </w:rPr>
        <w:t xml:space="preserve">Participants were given the option to write their responses or choose all response choices that applied. Relating to perceived barriers, </w:t>
      </w:r>
      <w:r w:rsidRPr="000F5D46">
        <w:rPr>
          <w:rFonts w:ascii="Arial" w:hAnsi="Arial" w:cs="Arial"/>
        </w:rPr>
        <w:t xml:space="preserve">the HBM posits that individuals will </w:t>
      </w:r>
      <w:proofErr w:type="gramStart"/>
      <w:r w:rsidRPr="000F5D46">
        <w:rPr>
          <w:rFonts w:ascii="Arial" w:hAnsi="Arial" w:cs="Arial"/>
        </w:rPr>
        <w:t>take action</w:t>
      </w:r>
      <w:proofErr w:type="gramEnd"/>
      <w:r w:rsidRPr="000F5D46">
        <w:rPr>
          <w:rFonts w:ascii="Arial" w:hAnsi="Arial" w:cs="Arial"/>
        </w:rPr>
        <w:t xml:space="preserve"> to prevent illness if they perceive few negative attributes relation to the action</w:t>
      </w:r>
      <w:r w:rsidR="007B1C68" w:rsidRPr="000F5D46">
        <w:rPr>
          <w:rStyle w:val="EndnoteReference"/>
          <w:rFonts w:ascii="Arial" w:hAnsi="Arial" w:cs="Arial"/>
        </w:rPr>
        <w:endnoteReference w:customMarkFollows="1" w:id="55"/>
        <w:t>51</w:t>
      </w:r>
      <w:r w:rsidRPr="000F5D46">
        <w:rPr>
          <w:rFonts w:ascii="Arial" w:hAnsi="Arial" w:cs="Arial"/>
        </w:rPr>
        <w:t xml:space="preserve"> (Jones et al., 2014). </w:t>
      </w:r>
      <w:r w:rsidRPr="000F5D46">
        <w:rPr>
          <w:rFonts w:ascii="Arial" w:hAnsi="Arial" w:cs="Arial"/>
          <w:color w:val="000000" w:themeColor="text1"/>
          <w:shd w:val="clear" w:color="auto" w:fill="FFFFFF"/>
        </w:rPr>
        <w:t>Cues to action was measured by asking ‘</w:t>
      </w:r>
      <w:r w:rsidRPr="000F5D46">
        <w:rPr>
          <w:rFonts w:ascii="Arial" w:hAnsi="Arial" w:cs="Arial"/>
        </w:rPr>
        <w:t>What would motivate you to consider using psilocybin as a treatment for MDD? with response options of ‘Recommendations from a Healthcare Provider’ ‘Positive Personal Testimonies’ ‘FDA Approval’, ‘Positive Experience from Peers’, ‘Positive Support from Family of Friends’ and ‘Nothing’. Because the HBM consists of several expressions of action-triggering cues</w:t>
      </w:r>
      <w:r w:rsidR="007B1C68" w:rsidRPr="000F5D46">
        <w:rPr>
          <w:rStyle w:val="EndnoteReference"/>
          <w:rFonts w:ascii="Arial" w:hAnsi="Arial" w:cs="Arial"/>
        </w:rPr>
        <w:endnoteReference w:customMarkFollows="1" w:id="56"/>
        <w:t>52</w:t>
      </w:r>
      <w:r w:rsidRPr="000F5D46">
        <w:rPr>
          <w:rFonts w:ascii="Arial" w:hAnsi="Arial" w:cs="Arial"/>
        </w:rPr>
        <w:t xml:space="preserve"> (Rohayah Adiman et al., 2024), these cues often are defined as mediating and precipitating factors that motivate individuals to initiate or maintain an action</w:t>
      </w:r>
      <w:r w:rsidR="007B1C68" w:rsidRPr="000F5D46">
        <w:rPr>
          <w:rStyle w:val="EndnoteReference"/>
          <w:rFonts w:ascii="Arial" w:hAnsi="Arial" w:cs="Arial"/>
        </w:rPr>
        <w:endnoteReference w:customMarkFollows="1" w:id="57"/>
        <w:t>53</w:t>
      </w:r>
      <w:r w:rsidRPr="000F5D46">
        <w:rPr>
          <w:rFonts w:ascii="Arial" w:hAnsi="Arial" w:cs="Arial"/>
        </w:rPr>
        <w:t xml:space="preserve"> (Bishop et al. 2015). Following the same format of perceived barrier question, participants were prompted to choose all responses that applied. Perceived benefit was measured by asking ‘How beneficial do you believe psilocybin could be in improving MDD symptoms’, with response options including ‘Very Beneficial’, ‘Beneficial’, ‘Somewhat Beneficial’, and ‘Not Beneficial’. Perceived benefits are individuals’ beliefs that a specific course of action</w:t>
      </w:r>
      <w:r w:rsidR="00F8181A" w:rsidRPr="000F5D46">
        <w:rPr>
          <w:rFonts w:ascii="Arial" w:hAnsi="Arial" w:cs="Arial"/>
        </w:rPr>
        <w:t xml:space="preserve">, such as uptake of an alternative modality (e.g., psilocybin-assisted </w:t>
      </w:r>
      <w:r w:rsidR="00F8181A" w:rsidRPr="000F5D46">
        <w:rPr>
          <w:rFonts w:ascii="Arial" w:hAnsi="Arial" w:cs="Arial"/>
        </w:rPr>
        <w:lastRenderedPageBreak/>
        <w:t>therapy)</w:t>
      </w:r>
      <w:r w:rsidRPr="000F5D46">
        <w:rPr>
          <w:rFonts w:ascii="Arial" w:hAnsi="Arial" w:cs="Arial"/>
        </w:rPr>
        <w:t xml:space="preserve"> would reduce the severity</w:t>
      </w:r>
      <w:r w:rsidR="00F8181A" w:rsidRPr="000F5D46">
        <w:rPr>
          <w:rFonts w:ascii="Arial" w:hAnsi="Arial" w:cs="Arial"/>
        </w:rPr>
        <w:t xml:space="preserve"> (e.g., increased suicidal ideation</w:t>
      </w:r>
      <w:r w:rsidR="000F5D46" w:rsidRPr="000F5D46">
        <w:rPr>
          <w:rFonts w:ascii="Arial" w:hAnsi="Arial" w:cs="Arial"/>
        </w:rPr>
        <w:t>)</w:t>
      </w:r>
      <w:r w:rsidRPr="000F5D46">
        <w:rPr>
          <w:rFonts w:ascii="Arial" w:hAnsi="Arial" w:cs="Arial"/>
        </w:rPr>
        <w:t xml:space="preserve"> or lead to positive health outcomes</w:t>
      </w:r>
      <w:r w:rsidR="000F5D46" w:rsidRPr="000F5D46">
        <w:rPr>
          <w:rFonts w:ascii="Arial" w:hAnsi="Arial" w:cs="Arial"/>
        </w:rPr>
        <w:t xml:space="preserve"> (e.g., recovery ore remission). </w:t>
      </w:r>
      <w:r w:rsidRPr="000F5D46">
        <w:rPr>
          <w:rFonts w:ascii="Arial" w:hAnsi="Arial" w:cs="Arial"/>
        </w:rPr>
        <w:t>Response options from these questions were derived from previously studies that</w:t>
      </w:r>
      <w:r w:rsidRPr="0025111C">
        <w:rPr>
          <w:rFonts w:ascii="Arial" w:hAnsi="Arial" w:cs="Arial"/>
        </w:rPr>
        <w:t xml:space="preserve"> operationalized HBM constructs to examine factors influencing treatment acceptance</w:t>
      </w:r>
      <w:r w:rsidR="00C71134">
        <w:rPr>
          <w:rStyle w:val="EndnoteReference"/>
          <w:rFonts w:ascii="Arial" w:hAnsi="Arial" w:cs="Arial"/>
        </w:rPr>
        <w:endnoteReference w:customMarkFollows="1" w:id="58"/>
        <w:t>25,26,28</w:t>
      </w:r>
      <w:r w:rsidR="00C71134" w:rsidRPr="0025111C">
        <w:rPr>
          <w:rFonts w:ascii="Arial" w:hAnsi="Arial" w:cs="Arial"/>
        </w:rPr>
        <w:t xml:space="preserve"> </w:t>
      </w:r>
      <w:r w:rsidRPr="0025111C">
        <w:rPr>
          <w:rFonts w:ascii="Arial" w:hAnsi="Arial" w:cs="Arial"/>
        </w:rPr>
        <w:t>(</w:t>
      </w:r>
      <w:r w:rsidR="00C71134" w:rsidRPr="0025111C">
        <w:rPr>
          <w:rFonts w:ascii="Arial" w:hAnsi="Arial" w:cs="Arial"/>
          <w:color w:val="000000" w:themeColor="text1"/>
          <w:shd w:val="clear" w:color="auto" w:fill="FFFFFF"/>
        </w:rPr>
        <w:t>Al</w:t>
      </w:r>
      <w:r w:rsidR="00C71134" w:rsidRPr="0025111C">
        <w:rPr>
          <w:rFonts w:ascii="Cambria Math" w:hAnsi="Cambria Math" w:cs="Cambria Math"/>
          <w:color w:val="000000" w:themeColor="text1"/>
          <w:shd w:val="clear" w:color="auto" w:fill="FFFFFF"/>
        </w:rPr>
        <w:t>‐</w:t>
      </w:r>
      <w:r w:rsidR="00C71134" w:rsidRPr="0025111C">
        <w:rPr>
          <w:rFonts w:ascii="Arial" w:hAnsi="Arial" w:cs="Arial"/>
          <w:color w:val="000000" w:themeColor="text1"/>
          <w:shd w:val="clear" w:color="auto" w:fill="FFFFFF"/>
        </w:rPr>
        <w:t>Metwali et al., 2021</w:t>
      </w:r>
      <w:r w:rsidR="00C71134">
        <w:rPr>
          <w:rFonts w:ascii="Arial" w:hAnsi="Arial" w:cs="Arial"/>
          <w:color w:val="000000" w:themeColor="text1"/>
          <w:shd w:val="clear" w:color="auto" w:fill="FFFFFF"/>
        </w:rPr>
        <w:t xml:space="preserve">; </w:t>
      </w:r>
      <w:r w:rsidR="00C71134" w:rsidRPr="0025111C">
        <w:rPr>
          <w:rFonts w:ascii="Arial" w:hAnsi="Arial" w:cs="Arial"/>
          <w:color w:val="000000" w:themeColor="text1"/>
          <w:shd w:val="clear" w:color="auto" w:fill="FFFFFF"/>
        </w:rPr>
        <w:t>Bonar &amp; Rosenberg, 2011</w:t>
      </w:r>
      <w:r w:rsidR="00C71134">
        <w:rPr>
          <w:rFonts w:ascii="Arial" w:hAnsi="Arial" w:cs="Arial"/>
          <w:color w:val="000000" w:themeColor="text1"/>
          <w:shd w:val="clear" w:color="auto" w:fill="FFFFFF"/>
        </w:rPr>
        <w:t xml:space="preserve">; </w:t>
      </w:r>
      <w:r w:rsidR="00C71134" w:rsidRPr="00DD1E1D">
        <w:rPr>
          <w:rFonts w:ascii="Arial" w:hAnsi="Arial" w:cs="Arial"/>
        </w:rPr>
        <w:t>Fadaei</w:t>
      </w:r>
      <w:r w:rsidR="00C71134">
        <w:rPr>
          <w:rFonts w:ascii="Arial" w:hAnsi="Arial" w:cs="Arial"/>
        </w:rPr>
        <w:t xml:space="preserve"> et al.,</w:t>
      </w:r>
      <w:r w:rsidR="00C71134" w:rsidRPr="00DD1E1D">
        <w:rPr>
          <w:rFonts w:ascii="Arial" w:hAnsi="Arial" w:cs="Arial"/>
        </w:rPr>
        <w:t xml:space="preserve">2020). </w:t>
      </w:r>
    </w:p>
    <w:p w14:paraId="1BECE60F" w14:textId="77777777" w:rsidR="0025111C" w:rsidRPr="0025111C" w:rsidRDefault="0025111C" w:rsidP="0025111C">
      <w:pPr>
        <w:jc w:val="both"/>
        <w:rPr>
          <w:rFonts w:ascii="Arial" w:eastAsiaTheme="majorEastAsia" w:hAnsi="Arial" w:cs="Arial"/>
          <w:b/>
          <w:bCs/>
          <w:color w:val="000000" w:themeColor="text1"/>
        </w:rPr>
      </w:pPr>
    </w:p>
    <w:p w14:paraId="6A427FF3" w14:textId="77777777" w:rsidR="0025111C" w:rsidRPr="0025111C" w:rsidRDefault="0025111C" w:rsidP="0025111C">
      <w:pPr>
        <w:jc w:val="both"/>
        <w:rPr>
          <w:rFonts w:ascii="Arial" w:eastAsiaTheme="majorEastAsia" w:hAnsi="Arial" w:cs="Arial"/>
          <w:b/>
          <w:bCs/>
          <w:color w:val="000000" w:themeColor="text1"/>
          <w:sz w:val="22"/>
          <w:szCs w:val="22"/>
        </w:rPr>
      </w:pPr>
      <w:r w:rsidRPr="0025111C">
        <w:rPr>
          <w:rFonts w:ascii="Arial" w:eastAsiaTheme="majorEastAsia" w:hAnsi="Arial" w:cs="Arial"/>
          <w:b/>
          <w:bCs/>
          <w:color w:val="000000" w:themeColor="text1"/>
          <w:sz w:val="22"/>
          <w:szCs w:val="22"/>
        </w:rPr>
        <w:t xml:space="preserve">2.5 Data Analysis </w:t>
      </w:r>
    </w:p>
    <w:p w14:paraId="14338E75" w14:textId="77777777" w:rsidR="0025111C" w:rsidRPr="0025111C" w:rsidRDefault="0025111C" w:rsidP="0025111C">
      <w:pPr>
        <w:jc w:val="both"/>
        <w:rPr>
          <w:rFonts w:ascii="Arial" w:hAnsi="Arial" w:cs="Arial"/>
          <w:b/>
          <w:bCs/>
          <w:color w:val="000000" w:themeColor="text1"/>
        </w:rPr>
      </w:pPr>
    </w:p>
    <w:p w14:paraId="18ECD7AD" w14:textId="34222944" w:rsidR="0025111C" w:rsidRPr="00C44D41" w:rsidRDefault="00465B44" w:rsidP="0025111C">
      <w:pPr>
        <w:ind w:firstLine="720"/>
        <w:jc w:val="both"/>
        <w:rPr>
          <w:rFonts w:ascii="Arial" w:hAnsi="Arial" w:cs="Arial"/>
          <w:color w:val="000000" w:themeColor="text1"/>
        </w:rPr>
      </w:pPr>
      <w:r>
        <w:rPr>
          <w:rFonts w:ascii="Arial" w:hAnsi="Arial" w:cs="Arial"/>
          <w:color w:val="000000" w:themeColor="text1"/>
        </w:rPr>
        <w:t>D</w:t>
      </w:r>
      <w:r w:rsidR="0025111C" w:rsidRPr="00C44D41">
        <w:rPr>
          <w:rFonts w:ascii="Arial" w:hAnsi="Arial" w:cs="Arial"/>
          <w:color w:val="000000" w:themeColor="text1"/>
        </w:rPr>
        <w:t>ata</w:t>
      </w:r>
      <w:r>
        <w:rPr>
          <w:rFonts w:ascii="Arial" w:hAnsi="Arial" w:cs="Arial"/>
          <w:color w:val="000000" w:themeColor="text1"/>
        </w:rPr>
        <w:t xml:space="preserve"> were</w:t>
      </w:r>
      <w:r w:rsidR="0025111C" w:rsidRPr="00C44D41">
        <w:rPr>
          <w:rFonts w:ascii="Arial" w:hAnsi="Arial" w:cs="Arial"/>
          <w:color w:val="000000" w:themeColor="text1"/>
        </w:rPr>
        <w:t xml:space="preserve"> analyzed with frequencies checked for missing values and internal consistencies</w:t>
      </w:r>
      <w:r>
        <w:rPr>
          <w:rFonts w:ascii="Arial" w:hAnsi="Arial" w:cs="Arial"/>
          <w:color w:val="000000" w:themeColor="text1"/>
        </w:rPr>
        <w:t xml:space="preserve">. </w:t>
      </w:r>
      <w:r w:rsidR="0025111C" w:rsidRPr="00C44D41">
        <w:rPr>
          <w:rFonts w:ascii="Arial" w:hAnsi="Arial" w:cs="Arial"/>
          <w:color w:val="000000" w:themeColor="text1"/>
        </w:rPr>
        <w:t xml:space="preserve">Tests were performed for frequency distribution and normality. </w:t>
      </w:r>
      <w:r w:rsidR="0025111C" w:rsidRPr="00C44D41">
        <w:rPr>
          <w:rFonts w:ascii="Arial" w:hAnsi="Arial" w:cs="Arial"/>
          <w:color w:val="000000" w:themeColor="text1"/>
          <w:shd w:val="clear" w:color="auto" w:fill="FFFFFF"/>
        </w:rPr>
        <w:t xml:space="preserve">Descriptive statistics were used to assess demographic characteristics and clinical history. Bivariate analysis using Spearman Rho Coefficient were performed for variables previously found to be associated with </w:t>
      </w:r>
      <w:r w:rsidR="00C44D41">
        <w:rPr>
          <w:rFonts w:ascii="Arial" w:hAnsi="Arial" w:cs="Arial"/>
          <w:color w:val="000000" w:themeColor="text1"/>
          <w:shd w:val="clear" w:color="auto" w:fill="FFFFFF"/>
        </w:rPr>
        <w:t xml:space="preserve">psilocybin </w:t>
      </w:r>
      <w:r w:rsidR="0025111C" w:rsidRPr="00C44D41">
        <w:rPr>
          <w:rFonts w:ascii="Arial" w:hAnsi="Arial" w:cs="Arial"/>
          <w:color w:val="000000" w:themeColor="text1"/>
          <w:shd w:val="clear" w:color="auto" w:fill="FFFFFF"/>
        </w:rPr>
        <w:t xml:space="preserve">acceptance. </w:t>
      </w:r>
      <w:r w:rsidR="0025111C" w:rsidRPr="00C44D41">
        <w:rPr>
          <w:rFonts w:ascii="Arial" w:hAnsi="Arial" w:cs="Arial"/>
          <w:color w:val="000000" w:themeColor="text1"/>
        </w:rPr>
        <w:t xml:space="preserve">A hierarchical </w:t>
      </w:r>
      <w:r>
        <w:rPr>
          <w:rFonts w:ascii="Arial" w:hAnsi="Arial" w:cs="Arial"/>
          <w:color w:val="000000" w:themeColor="text1"/>
        </w:rPr>
        <w:t xml:space="preserve">multiple </w:t>
      </w:r>
      <w:r w:rsidR="0025111C" w:rsidRPr="00C44D41">
        <w:rPr>
          <w:rFonts w:ascii="Arial" w:hAnsi="Arial" w:cs="Arial"/>
          <w:color w:val="000000" w:themeColor="text1"/>
        </w:rPr>
        <w:t xml:space="preserve">regression was performed to analyze the utility of the HBM constructs to explain the variance in the dependent variable (e.g., PATA). The final analysis consisted of two models. Model 1 included </w:t>
      </w:r>
      <w:r w:rsidR="0025111C" w:rsidRPr="00C44D41">
        <w:rPr>
          <w:rFonts w:ascii="Arial" w:eastAsiaTheme="majorEastAsia" w:hAnsi="Arial" w:cs="Arial"/>
          <w:color w:val="000000" w:themeColor="text1"/>
        </w:rPr>
        <w:t xml:space="preserve">significant and positive correlated </w:t>
      </w:r>
      <w:r w:rsidR="0025111C" w:rsidRPr="00C44D41">
        <w:rPr>
          <w:rFonts w:ascii="Arial" w:hAnsi="Arial" w:cs="Arial"/>
          <w:color w:val="000000" w:themeColor="text1"/>
        </w:rPr>
        <w:t xml:space="preserve">variables </w:t>
      </w:r>
      <w:r>
        <w:rPr>
          <w:rFonts w:ascii="Arial" w:hAnsi="Arial" w:cs="Arial"/>
          <w:color w:val="000000" w:themeColor="text1"/>
        </w:rPr>
        <w:t xml:space="preserve">from the </w:t>
      </w:r>
      <w:r w:rsidR="0025111C" w:rsidRPr="00C44D41">
        <w:rPr>
          <w:rFonts w:ascii="Arial" w:hAnsi="Arial" w:cs="Arial"/>
          <w:color w:val="000000" w:themeColor="text1"/>
        </w:rPr>
        <w:t>bivariate coefficient analysis (</w:t>
      </w:r>
      <w:r w:rsidR="00674CB1" w:rsidRPr="00C44D41">
        <w:rPr>
          <w:rFonts w:ascii="Arial" w:hAnsi="Arial" w:cs="Arial"/>
          <w:i/>
          <w:iCs/>
          <w:color w:val="000000" w:themeColor="text1"/>
        </w:rPr>
        <w:t>P</w:t>
      </w:r>
      <w:r w:rsidR="00674CB1" w:rsidRPr="00C44D41">
        <w:rPr>
          <w:rFonts w:ascii="Arial" w:hAnsi="Arial" w:cs="Arial"/>
          <w:color w:val="000000" w:themeColor="text1"/>
        </w:rPr>
        <w:t>=.05</w:t>
      </w:r>
      <w:r w:rsidR="0025111C" w:rsidRPr="00C44D41">
        <w:rPr>
          <w:rFonts w:ascii="Arial" w:hAnsi="Arial" w:cs="Arial"/>
          <w:color w:val="000000" w:themeColor="text1"/>
        </w:rPr>
        <w:t xml:space="preserve">). Whereas the second model included added HBM constructs to evaluate the impact of independent variables to explain the variance in PATA. </w:t>
      </w:r>
    </w:p>
    <w:p w14:paraId="0CF829A4" w14:textId="474AA484" w:rsidR="0025111C" w:rsidRDefault="0025111C" w:rsidP="00674CB1">
      <w:pPr>
        <w:rPr>
          <w:rFonts w:ascii="Arial" w:hAnsi="Arial" w:cs="Arial"/>
          <w:b/>
          <w:bCs/>
          <w:color w:val="000000" w:themeColor="text1"/>
        </w:rPr>
      </w:pPr>
    </w:p>
    <w:p w14:paraId="45815C3F" w14:textId="77777777" w:rsidR="00674CB1" w:rsidRPr="0025111C" w:rsidRDefault="00674CB1" w:rsidP="00674CB1">
      <w:pPr>
        <w:rPr>
          <w:rFonts w:ascii="Arial" w:hAnsi="Arial" w:cs="Arial"/>
          <w:b/>
          <w:bCs/>
          <w:color w:val="000000" w:themeColor="text1"/>
        </w:rPr>
      </w:pPr>
    </w:p>
    <w:p w14:paraId="27623CEA" w14:textId="77777777" w:rsidR="0025111C" w:rsidRPr="0025111C" w:rsidRDefault="0025111C" w:rsidP="0025111C">
      <w:pPr>
        <w:jc w:val="both"/>
        <w:rPr>
          <w:rFonts w:ascii="Arial" w:hAnsi="Arial" w:cs="Arial"/>
          <w:b/>
          <w:bCs/>
          <w:color w:val="000000" w:themeColor="text1"/>
          <w:sz w:val="22"/>
          <w:szCs w:val="22"/>
        </w:rPr>
      </w:pPr>
      <w:r w:rsidRPr="0025111C">
        <w:rPr>
          <w:rFonts w:ascii="Arial" w:hAnsi="Arial" w:cs="Arial"/>
          <w:b/>
          <w:bCs/>
          <w:color w:val="000000" w:themeColor="text1"/>
          <w:sz w:val="22"/>
          <w:szCs w:val="22"/>
        </w:rPr>
        <w:t>3. RESULTS</w:t>
      </w:r>
    </w:p>
    <w:p w14:paraId="7EC7A9A8" w14:textId="77777777" w:rsidR="0025111C" w:rsidRPr="0025111C" w:rsidRDefault="0025111C" w:rsidP="0025111C">
      <w:pPr>
        <w:rPr>
          <w:rFonts w:ascii="Arial" w:hAnsi="Arial" w:cs="Arial"/>
          <w:i/>
          <w:iCs/>
          <w:color w:val="000000" w:themeColor="text1"/>
        </w:rPr>
      </w:pPr>
    </w:p>
    <w:p w14:paraId="4CC48B44" w14:textId="77777777" w:rsidR="0025111C" w:rsidRPr="0025111C" w:rsidRDefault="0025111C" w:rsidP="0025111C">
      <w:pPr>
        <w:rPr>
          <w:rFonts w:ascii="Arial" w:hAnsi="Arial" w:cs="Arial"/>
          <w:b/>
          <w:bCs/>
          <w:color w:val="000000" w:themeColor="text1"/>
          <w:sz w:val="22"/>
          <w:szCs w:val="22"/>
        </w:rPr>
      </w:pPr>
      <w:r w:rsidRPr="0025111C">
        <w:rPr>
          <w:rFonts w:ascii="Arial" w:hAnsi="Arial" w:cs="Arial"/>
          <w:b/>
          <w:bCs/>
          <w:color w:val="000000" w:themeColor="text1"/>
          <w:sz w:val="22"/>
          <w:szCs w:val="22"/>
        </w:rPr>
        <w:t>3.1 Descriptive Analysis</w:t>
      </w:r>
    </w:p>
    <w:p w14:paraId="2B1F857F" w14:textId="77777777" w:rsidR="0025111C" w:rsidRPr="0025111C" w:rsidRDefault="0025111C" w:rsidP="0025111C">
      <w:pPr>
        <w:rPr>
          <w:rFonts w:ascii="Arial" w:hAnsi="Arial" w:cs="Arial"/>
          <w:b/>
          <w:bCs/>
          <w:color w:val="000000" w:themeColor="text1"/>
          <w:sz w:val="22"/>
          <w:szCs w:val="22"/>
        </w:rPr>
      </w:pPr>
    </w:p>
    <w:p w14:paraId="73513226" w14:textId="0D92BF5C" w:rsidR="0025111C" w:rsidRPr="0025111C" w:rsidRDefault="0025111C" w:rsidP="0025111C">
      <w:pPr>
        <w:ind w:firstLine="720"/>
        <w:rPr>
          <w:rFonts w:ascii="Arial" w:hAnsi="Arial" w:cs="Arial"/>
        </w:rPr>
      </w:pPr>
      <w:r w:rsidRPr="0025111C">
        <w:rPr>
          <w:rFonts w:ascii="Arial" w:hAnsi="Arial" w:cs="Arial"/>
        </w:rPr>
        <w:t xml:space="preserve">The sample presented in Table 1 primarily consisted of young adults, </w:t>
      </w:r>
      <w:r w:rsidRPr="0025111C">
        <w:rPr>
          <w:rFonts w:ascii="Arial" w:eastAsiaTheme="majorEastAsia" w:hAnsi="Arial" w:cs="Arial"/>
        </w:rPr>
        <w:t>aged 18–21 years (48.5%)</w:t>
      </w:r>
      <w:r w:rsidRPr="0025111C">
        <w:rPr>
          <w:rFonts w:ascii="Arial" w:hAnsi="Arial" w:cs="Arial"/>
        </w:rPr>
        <w:t xml:space="preserve">, who were predominantly </w:t>
      </w:r>
      <w:r w:rsidRPr="0025111C">
        <w:rPr>
          <w:rFonts w:ascii="Arial" w:eastAsiaTheme="majorEastAsia" w:hAnsi="Arial" w:cs="Arial"/>
        </w:rPr>
        <w:t>female (75.8%)</w:t>
      </w:r>
      <w:r w:rsidRPr="0025111C">
        <w:rPr>
          <w:rFonts w:ascii="Arial" w:hAnsi="Arial" w:cs="Arial"/>
        </w:rPr>
        <w:t xml:space="preserve"> and </w:t>
      </w:r>
      <w:r w:rsidRPr="0025111C">
        <w:rPr>
          <w:rFonts w:ascii="Arial" w:eastAsiaTheme="majorEastAsia" w:hAnsi="Arial" w:cs="Arial"/>
        </w:rPr>
        <w:t>Black or African American (72.7%)</w:t>
      </w:r>
      <w:r w:rsidRPr="0025111C">
        <w:rPr>
          <w:rFonts w:ascii="Arial" w:hAnsi="Arial" w:cs="Arial"/>
        </w:rPr>
        <w:t xml:space="preserve">.  Most of the participants identified as </w:t>
      </w:r>
      <w:r w:rsidRPr="0025111C">
        <w:rPr>
          <w:rFonts w:ascii="Arial" w:eastAsiaTheme="majorEastAsia" w:hAnsi="Arial" w:cs="Arial"/>
        </w:rPr>
        <w:t>Christian (75.8%), w</w:t>
      </w:r>
      <w:r w:rsidRPr="0025111C">
        <w:rPr>
          <w:rFonts w:ascii="Arial" w:hAnsi="Arial" w:cs="Arial"/>
        </w:rPr>
        <w:t xml:space="preserve">ith small representations of Muslim (6%), Hindu (3%), and no religion (12.1%). </w:t>
      </w:r>
      <w:r w:rsidRPr="0025111C">
        <w:rPr>
          <w:rFonts w:ascii="Arial" w:eastAsiaTheme="majorEastAsia" w:hAnsi="Arial" w:cs="Arial"/>
        </w:rPr>
        <w:t xml:space="preserve">Most had a high school diploma (48.5%) or bachelor’s degree (36.4%). </w:t>
      </w:r>
      <w:r w:rsidRPr="0025111C">
        <w:rPr>
          <w:rFonts w:ascii="Arial" w:hAnsi="Arial" w:cs="Arial"/>
        </w:rPr>
        <w:t xml:space="preserve">Nearly all participants reported being </w:t>
      </w:r>
      <w:r w:rsidRPr="0025111C">
        <w:rPr>
          <w:rFonts w:ascii="Arial" w:eastAsiaTheme="majorEastAsia" w:hAnsi="Arial" w:cs="Arial"/>
        </w:rPr>
        <w:t>single (90.9%)</w:t>
      </w:r>
      <w:r w:rsidRPr="0025111C">
        <w:rPr>
          <w:rFonts w:ascii="Arial" w:hAnsi="Arial" w:cs="Arial"/>
        </w:rPr>
        <w:t xml:space="preserve">. Over half of the sample (60.6%) reported an annual income of $30,000 or below and approximately half were employed (57.6%). Regarding clinical characteristics, the </w:t>
      </w:r>
      <w:r w:rsidR="00453B94">
        <w:rPr>
          <w:rFonts w:ascii="Arial" w:eastAsiaTheme="majorEastAsia" w:hAnsi="Arial" w:cs="Arial"/>
        </w:rPr>
        <w:t xml:space="preserve">length of </w:t>
      </w:r>
      <w:r w:rsidRPr="0025111C">
        <w:rPr>
          <w:rFonts w:ascii="Arial" w:eastAsiaTheme="majorEastAsia" w:hAnsi="Arial" w:cs="Arial"/>
        </w:rPr>
        <w:t>MDD diagnosis</w:t>
      </w:r>
      <w:r w:rsidRPr="0025111C">
        <w:rPr>
          <w:rFonts w:ascii="Arial" w:hAnsi="Arial" w:cs="Arial"/>
        </w:rPr>
        <w:t xml:space="preserve"> varied, with 33.3% diagnosed for less than one year, while 30.3% living with MDD for three to five years. </w:t>
      </w:r>
      <w:r w:rsidRPr="0025111C">
        <w:rPr>
          <w:rFonts w:ascii="Arial" w:eastAsiaTheme="majorEastAsia" w:hAnsi="Arial" w:cs="Arial"/>
        </w:rPr>
        <w:t>Attitudes towards psilocybin and CAM were generally positive</w:t>
      </w:r>
      <w:r w:rsidRPr="0025111C">
        <w:rPr>
          <w:rFonts w:ascii="Arial" w:hAnsi="Arial" w:cs="Arial"/>
        </w:rPr>
        <w:t xml:space="preserve">, with 50% strongly agreeing, but 43.8% did not recognize psilocybin as a CAM modality to treat depressive symptoms. Gender-based comparisons revealed women show more variability in antidepressant experiences, with 40% have taken 1 medication, and 24% have taken 3 or more, while men mostly reported taking just one medication (62.5%). Men reported slightly higher use of CAM (25%), and 76% of women reported no usage. Men showed slightly higher familiarity with </w:t>
      </w:r>
      <w:r w:rsidR="00674CB1" w:rsidRPr="0025111C">
        <w:rPr>
          <w:rFonts w:ascii="Arial" w:hAnsi="Arial" w:cs="Arial"/>
        </w:rPr>
        <w:t xml:space="preserve">psilocybin-assisted therapy </w:t>
      </w:r>
      <w:r w:rsidR="00674CB1">
        <w:rPr>
          <w:rFonts w:ascii="Arial" w:hAnsi="Arial" w:cs="Arial"/>
        </w:rPr>
        <w:t>(</w:t>
      </w:r>
      <w:r w:rsidRPr="0025111C">
        <w:rPr>
          <w:rFonts w:ascii="Arial" w:hAnsi="Arial" w:cs="Arial"/>
        </w:rPr>
        <w:t>PAT</w:t>
      </w:r>
      <w:r w:rsidR="00674CB1">
        <w:rPr>
          <w:rFonts w:ascii="Arial" w:hAnsi="Arial" w:cs="Arial"/>
        </w:rPr>
        <w:t>)</w:t>
      </w:r>
      <w:r w:rsidRPr="0025111C">
        <w:rPr>
          <w:rFonts w:ascii="Arial" w:hAnsi="Arial" w:cs="Arial"/>
        </w:rPr>
        <w:t xml:space="preserve"> (28.6%), compared to 16% of women. Both groups expressed </w:t>
      </w:r>
      <w:r w:rsidRPr="0025111C">
        <w:rPr>
          <w:rFonts w:ascii="Arial" w:eastAsiaTheme="majorEastAsia" w:hAnsi="Arial" w:cs="Arial"/>
        </w:rPr>
        <w:t>similarly positive attitudes</w:t>
      </w:r>
      <w:r w:rsidRPr="0025111C">
        <w:rPr>
          <w:rFonts w:ascii="Arial" w:hAnsi="Arial" w:cs="Arial"/>
        </w:rPr>
        <w:t xml:space="preserve"> toward the policy expansion, </w:t>
      </w:r>
      <w:r w:rsidRPr="0025111C">
        <w:rPr>
          <w:rFonts w:ascii="Arial" w:eastAsiaTheme="majorEastAsia" w:hAnsi="Arial" w:cs="Arial"/>
        </w:rPr>
        <w:t xml:space="preserve">with </w:t>
      </w:r>
      <w:r w:rsidRPr="0025111C">
        <w:rPr>
          <w:rFonts w:ascii="Arial" w:hAnsi="Arial" w:cs="Arial"/>
        </w:rPr>
        <w:t xml:space="preserve">57.1% males and 54.2% females strongly agreeing that the Medical Marijuana Program (MMP) should be expanded to include </w:t>
      </w:r>
      <w:r w:rsidR="00674CB1">
        <w:rPr>
          <w:rFonts w:ascii="Arial" w:hAnsi="Arial" w:cs="Arial"/>
        </w:rPr>
        <w:t>PAT.</w:t>
      </w:r>
      <w:r w:rsidRPr="0025111C">
        <w:rPr>
          <w:rFonts w:ascii="Arial" w:hAnsi="Arial" w:cs="Arial"/>
        </w:rPr>
        <w:t xml:space="preserve"> </w:t>
      </w:r>
    </w:p>
    <w:p w14:paraId="0CFDD3EB" w14:textId="77777777" w:rsidR="0025111C" w:rsidRPr="0025111C" w:rsidRDefault="0025111C" w:rsidP="0025111C">
      <w:pPr>
        <w:ind w:firstLine="720"/>
        <w:rPr>
          <w:rFonts w:ascii="Arial" w:hAnsi="Arial" w:cs="Arial"/>
        </w:rPr>
      </w:pPr>
    </w:p>
    <w:p w14:paraId="00B79872" w14:textId="77777777" w:rsidR="0025111C" w:rsidRPr="0025111C" w:rsidRDefault="0025111C" w:rsidP="0025111C">
      <w:pPr>
        <w:ind w:firstLine="720"/>
        <w:rPr>
          <w:rFonts w:ascii="Arial" w:hAnsi="Arial" w:cs="Arial"/>
        </w:rPr>
      </w:pPr>
    </w:p>
    <w:p w14:paraId="1E5FF820" w14:textId="77777777" w:rsidR="0025111C" w:rsidRPr="0025111C" w:rsidRDefault="0025111C" w:rsidP="0025111C">
      <w:pPr>
        <w:rPr>
          <w:rFonts w:ascii="Arial" w:hAnsi="Arial" w:cs="Arial"/>
          <w:b/>
          <w:bCs/>
          <w:color w:val="000000" w:themeColor="text1"/>
        </w:rPr>
      </w:pPr>
      <w:r w:rsidRPr="0025111C">
        <w:rPr>
          <w:rFonts w:ascii="Arial" w:hAnsi="Arial" w:cs="Arial"/>
          <w:b/>
          <w:bCs/>
          <w:color w:val="000000" w:themeColor="text1"/>
        </w:rPr>
        <w:t xml:space="preserve">Table 1 - Socio-demographic Characteristics </w:t>
      </w:r>
    </w:p>
    <w:p w14:paraId="62BEABA1" w14:textId="77777777" w:rsidR="0025111C" w:rsidRPr="0025111C" w:rsidRDefault="0025111C" w:rsidP="0025111C">
      <w:pPr>
        <w:rPr>
          <w:rFonts w:ascii="Arial" w:hAnsi="Arial" w:cs="Arial"/>
        </w:rPr>
      </w:pPr>
    </w:p>
    <w:tbl>
      <w:tblPr>
        <w:tblStyle w:val="NormalGrid"/>
        <w:tblW w:w="0" w:type="auto"/>
        <w:tblLook w:val="04A0" w:firstRow="1" w:lastRow="0" w:firstColumn="1" w:lastColumn="0" w:noHBand="0" w:noVBand="1"/>
      </w:tblPr>
      <w:tblGrid>
        <w:gridCol w:w="2070"/>
        <w:gridCol w:w="2155"/>
        <w:gridCol w:w="1260"/>
        <w:gridCol w:w="1530"/>
      </w:tblGrid>
      <w:tr w:rsidR="0025111C" w:rsidRPr="0025111C" w14:paraId="44FBD7AF" w14:textId="77777777" w:rsidTr="00E303BE">
        <w:trPr>
          <w:trHeight w:val="432"/>
        </w:trPr>
        <w:tc>
          <w:tcPr>
            <w:tcW w:w="2070" w:type="dxa"/>
            <w:tcBorders>
              <w:top w:val="single" w:sz="4" w:space="0" w:color="auto"/>
              <w:bottom w:val="single" w:sz="4" w:space="0" w:color="auto"/>
            </w:tcBorders>
            <w:noWrap/>
            <w:vAlign w:val="center"/>
            <w:hideMark/>
          </w:tcPr>
          <w:p w14:paraId="47CB3A2F"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Variable</w:t>
            </w:r>
          </w:p>
        </w:tc>
        <w:tc>
          <w:tcPr>
            <w:tcW w:w="2155" w:type="dxa"/>
            <w:tcBorders>
              <w:top w:val="single" w:sz="4" w:space="0" w:color="auto"/>
              <w:bottom w:val="single" w:sz="4" w:space="0" w:color="auto"/>
            </w:tcBorders>
            <w:noWrap/>
            <w:vAlign w:val="center"/>
            <w:hideMark/>
          </w:tcPr>
          <w:p w14:paraId="5A83F484" w14:textId="77777777" w:rsidR="0025111C" w:rsidRPr="0025111C" w:rsidRDefault="0025111C" w:rsidP="00E303BE">
            <w:pPr>
              <w:jc w:val="center"/>
              <w:rPr>
                <w:rFonts w:ascii="Arial" w:hAnsi="Arial" w:cs="Arial"/>
                <w:b/>
                <w:bCs/>
                <w:sz w:val="16"/>
                <w:szCs w:val="16"/>
              </w:rPr>
            </w:pPr>
            <w:r w:rsidRPr="0025111C">
              <w:rPr>
                <w:rFonts w:ascii="Arial" w:hAnsi="Arial" w:cs="Arial"/>
                <w:b/>
                <w:bCs/>
                <w:sz w:val="16"/>
                <w:szCs w:val="16"/>
              </w:rPr>
              <w:t>Response</w:t>
            </w:r>
          </w:p>
        </w:tc>
        <w:tc>
          <w:tcPr>
            <w:tcW w:w="1260" w:type="dxa"/>
            <w:tcBorders>
              <w:top w:val="single" w:sz="4" w:space="0" w:color="auto"/>
              <w:bottom w:val="single" w:sz="4" w:space="0" w:color="auto"/>
            </w:tcBorders>
            <w:vAlign w:val="center"/>
            <w:hideMark/>
          </w:tcPr>
          <w:p w14:paraId="134844D2" w14:textId="77777777" w:rsidR="0025111C" w:rsidRPr="0025111C" w:rsidRDefault="0025111C" w:rsidP="00E303BE">
            <w:pPr>
              <w:jc w:val="center"/>
              <w:rPr>
                <w:rFonts w:ascii="Arial" w:hAnsi="Arial" w:cs="Arial"/>
                <w:b/>
                <w:bCs/>
                <w:sz w:val="16"/>
                <w:szCs w:val="16"/>
              </w:rPr>
            </w:pPr>
            <w:r w:rsidRPr="0025111C">
              <w:rPr>
                <w:rFonts w:ascii="Arial" w:hAnsi="Arial" w:cs="Arial"/>
                <w:b/>
                <w:bCs/>
                <w:sz w:val="16"/>
                <w:szCs w:val="16"/>
              </w:rPr>
              <w:t>n</w:t>
            </w:r>
          </w:p>
        </w:tc>
        <w:tc>
          <w:tcPr>
            <w:tcW w:w="1530" w:type="dxa"/>
            <w:tcBorders>
              <w:top w:val="single" w:sz="4" w:space="0" w:color="auto"/>
              <w:bottom w:val="single" w:sz="4" w:space="0" w:color="auto"/>
            </w:tcBorders>
            <w:noWrap/>
            <w:vAlign w:val="center"/>
            <w:hideMark/>
          </w:tcPr>
          <w:p w14:paraId="5684F019" w14:textId="77777777" w:rsidR="0025111C" w:rsidRPr="0025111C" w:rsidRDefault="0025111C" w:rsidP="00E303BE">
            <w:pPr>
              <w:jc w:val="center"/>
              <w:rPr>
                <w:rFonts w:ascii="Arial" w:hAnsi="Arial" w:cs="Arial"/>
                <w:b/>
                <w:bCs/>
                <w:sz w:val="16"/>
                <w:szCs w:val="16"/>
              </w:rPr>
            </w:pPr>
            <w:r w:rsidRPr="0025111C">
              <w:rPr>
                <w:rFonts w:ascii="Arial" w:hAnsi="Arial" w:cs="Arial"/>
                <w:b/>
                <w:bCs/>
                <w:sz w:val="16"/>
                <w:szCs w:val="16"/>
              </w:rPr>
              <w:t>%</w:t>
            </w:r>
          </w:p>
        </w:tc>
      </w:tr>
      <w:tr w:rsidR="0025111C" w:rsidRPr="0025111C" w14:paraId="551BC40F" w14:textId="77777777" w:rsidTr="00E303BE">
        <w:trPr>
          <w:trHeight w:val="20"/>
        </w:trPr>
        <w:tc>
          <w:tcPr>
            <w:tcW w:w="2070" w:type="dxa"/>
            <w:vMerge w:val="restart"/>
            <w:tcBorders>
              <w:top w:val="single" w:sz="4" w:space="0" w:color="auto"/>
            </w:tcBorders>
            <w:hideMark/>
          </w:tcPr>
          <w:p w14:paraId="0C8E1DEF"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Age</w:t>
            </w:r>
          </w:p>
        </w:tc>
        <w:tc>
          <w:tcPr>
            <w:tcW w:w="2155" w:type="dxa"/>
            <w:tcBorders>
              <w:top w:val="single" w:sz="4" w:space="0" w:color="auto"/>
            </w:tcBorders>
            <w:hideMark/>
          </w:tcPr>
          <w:p w14:paraId="431F06A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18-21 years old</w:t>
            </w:r>
          </w:p>
        </w:tc>
        <w:tc>
          <w:tcPr>
            <w:tcW w:w="1260" w:type="dxa"/>
            <w:tcBorders>
              <w:top w:val="single" w:sz="4" w:space="0" w:color="auto"/>
            </w:tcBorders>
            <w:hideMark/>
          </w:tcPr>
          <w:p w14:paraId="184E4028"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16</w:t>
            </w:r>
          </w:p>
        </w:tc>
        <w:tc>
          <w:tcPr>
            <w:tcW w:w="1530" w:type="dxa"/>
            <w:tcBorders>
              <w:top w:val="single" w:sz="4" w:space="0" w:color="auto"/>
            </w:tcBorders>
            <w:hideMark/>
          </w:tcPr>
          <w:p w14:paraId="0D000711"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48.50</w:t>
            </w:r>
          </w:p>
        </w:tc>
      </w:tr>
      <w:tr w:rsidR="0025111C" w:rsidRPr="0025111C" w14:paraId="524435EB" w14:textId="77777777" w:rsidTr="00E303BE">
        <w:trPr>
          <w:trHeight w:val="20"/>
        </w:trPr>
        <w:tc>
          <w:tcPr>
            <w:tcW w:w="2070" w:type="dxa"/>
            <w:vMerge/>
            <w:hideMark/>
          </w:tcPr>
          <w:p w14:paraId="253D45B9" w14:textId="77777777" w:rsidR="0025111C" w:rsidRPr="0025111C" w:rsidRDefault="0025111C" w:rsidP="00E303BE">
            <w:pPr>
              <w:jc w:val="center"/>
              <w:rPr>
                <w:rFonts w:ascii="Arial" w:hAnsi="Arial" w:cs="Arial"/>
                <w:b/>
                <w:bCs/>
                <w:i/>
                <w:iCs/>
                <w:sz w:val="16"/>
                <w:szCs w:val="16"/>
              </w:rPr>
            </w:pPr>
          </w:p>
        </w:tc>
        <w:tc>
          <w:tcPr>
            <w:tcW w:w="2155" w:type="dxa"/>
            <w:hideMark/>
          </w:tcPr>
          <w:p w14:paraId="3AA88E9E"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22-25 years old</w:t>
            </w:r>
          </w:p>
        </w:tc>
        <w:tc>
          <w:tcPr>
            <w:tcW w:w="1260" w:type="dxa"/>
            <w:hideMark/>
          </w:tcPr>
          <w:p w14:paraId="6F741704"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11</w:t>
            </w:r>
          </w:p>
        </w:tc>
        <w:tc>
          <w:tcPr>
            <w:tcW w:w="1530" w:type="dxa"/>
            <w:hideMark/>
          </w:tcPr>
          <w:p w14:paraId="53A3E991"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33.30</w:t>
            </w:r>
          </w:p>
        </w:tc>
      </w:tr>
      <w:tr w:rsidR="0025111C" w:rsidRPr="0025111C" w14:paraId="294D98B3" w14:textId="77777777" w:rsidTr="00E303BE">
        <w:trPr>
          <w:trHeight w:val="20"/>
        </w:trPr>
        <w:tc>
          <w:tcPr>
            <w:tcW w:w="2070" w:type="dxa"/>
            <w:vMerge/>
            <w:hideMark/>
          </w:tcPr>
          <w:p w14:paraId="1DD554D6" w14:textId="77777777" w:rsidR="0025111C" w:rsidRPr="0025111C" w:rsidRDefault="0025111C" w:rsidP="00E303BE">
            <w:pPr>
              <w:jc w:val="center"/>
              <w:rPr>
                <w:rFonts w:ascii="Arial" w:hAnsi="Arial" w:cs="Arial"/>
                <w:b/>
                <w:bCs/>
                <w:i/>
                <w:iCs/>
                <w:sz w:val="16"/>
                <w:szCs w:val="16"/>
              </w:rPr>
            </w:pPr>
          </w:p>
        </w:tc>
        <w:tc>
          <w:tcPr>
            <w:tcW w:w="2155" w:type="dxa"/>
            <w:hideMark/>
          </w:tcPr>
          <w:p w14:paraId="1C244EC4"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26-30 years old</w:t>
            </w:r>
          </w:p>
        </w:tc>
        <w:tc>
          <w:tcPr>
            <w:tcW w:w="1260" w:type="dxa"/>
            <w:hideMark/>
          </w:tcPr>
          <w:p w14:paraId="37EE717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w:t>
            </w:r>
          </w:p>
        </w:tc>
        <w:tc>
          <w:tcPr>
            <w:tcW w:w="1530" w:type="dxa"/>
            <w:hideMark/>
          </w:tcPr>
          <w:p w14:paraId="5182FDC0"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18.20</w:t>
            </w:r>
          </w:p>
        </w:tc>
      </w:tr>
      <w:tr w:rsidR="0025111C" w:rsidRPr="0025111C" w14:paraId="7A5834EC" w14:textId="77777777" w:rsidTr="00E303BE">
        <w:trPr>
          <w:trHeight w:val="20"/>
        </w:trPr>
        <w:tc>
          <w:tcPr>
            <w:tcW w:w="7015" w:type="dxa"/>
            <w:gridSpan w:val="4"/>
          </w:tcPr>
          <w:p w14:paraId="20E7DEB9" w14:textId="77777777" w:rsidR="0025111C" w:rsidRPr="0025111C" w:rsidRDefault="0025111C" w:rsidP="00E303BE">
            <w:pPr>
              <w:jc w:val="center"/>
              <w:rPr>
                <w:rFonts w:ascii="Arial" w:hAnsi="Arial" w:cs="Arial"/>
                <w:b/>
                <w:bCs/>
                <w:i/>
                <w:iCs/>
                <w:sz w:val="16"/>
                <w:szCs w:val="16"/>
              </w:rPr>
            </w:pPr>
          </w:p>
        </w:tc>
      </w:tr>
      <w:tr w:rsidR="0025111C" w:rsidRPr="0025111C" w14:paraId="32698577" w14:textId="77777777" w:rsidTr="00E303BE">
        <w:trPr>
          <w:trHeight w:val="20"/>
        </w:trPr>
        <w:tc>
          <w:tcPr>
            <w:tcW w:w="2070" w:type="dxa"/>
            <w:vMerge w:val="restart"/>
            <w:hideMark/>
          </w:tcPr>
          <w:p w14:paraId="24F33A25"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Gender</w:t>
            </w:r>
          </w:p>
        </w:tc>
        <w:tc>
          <w:tcPr>
            <w:tcW w:w="2155" w:type="dxa"/>
            <w:hideMark/>
          </w:tcPr>
          <w:p w14:paraId="220A7363"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Male</w:t>
            </w:r>
          </w:p>
        </w:tc>
        <w:tc>
          <w:tcPr>
            <w:tcW w:w="1260" w:type="dxa"/>
            <w:hideMark/>
          </w:tcPr>
          <w:p w14:paraId="05F95D8F"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8</w:t>
            </w:r>
          </w:p>
        </w:tc>
        <w:tc>
          <w:tcPr>
            <w:tcW w:w="1530" w:type="dxa"/>
            <w:hideMark/>
          </w:tcPr>
          <w:p w14:paraId="4A86DA1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24.20</w:t>
            </w:r>
          </w:p>
        </w:tc>
      </w:tr>
      <w:tr w:rsidR="0025111C" w:rsidRPr="0025111C" w14:paraId="686DDB37" w14:textId="77777777" w:rsidTr="00E303BE">
        <w:trPr>
          <w:trHeight w:val="20"/>
        </w:trPr>
        <w:tc>
          <w:tcPr>
            <w:tcW w:w="2070" w:type="dxa"/>
            <w:vMerge/>
            <w:hideMark/>
          </w:tcPr>
          <w:p w14:paraId="1531E94B" w14:textId="77777777" w:rsidR="0025111C" w:rsidRPr="0025111C" w:rsidRDefault="0025111C" w:rsidP="00E303BE">
            <w:pPr>
              <w:jc w:val="center"/>
              <w:rPr>
                <w:rFonts w:ascii="Arial" w:hAnsi="Arial" w:cs="Arial"/>
                <w:b/>
                <w:bCs/>
                <w:i/>
                <w:iCs/>
                <w:sz w:val="16"/>
                <w:szCs w:val="16"/>
              </w:rPr>
            </w:pPr>
          </w:p>
        </w:tc>
        <w:tc>
          <w:tcPr>
            <w:tcW w:w="2155" w:type="dxa"/>
            <w:hideMark/>
          </w:tcPr>
          <w:p w14:paraId="36CFAB8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Female</w:t>
            </w:r>
          </w:p>
        </w:tc>
        <w:tc>
          <w:tcPr>
            <w:tcW w:w="1260" w:type="dxa"/>
            <w:hideMark/>
          </w:tcPr>
          <w:p w14:paraId="57F4263E"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25</w:t>
            </w:r>
          </w:p>
        </w:tc>
        <w:tc>
          <w:tcPr>
            <w:tcW w:w="1530" w:type="dxa"/>
            <w:hideMark/>
          </w:tcPr>
          <w:p w14:paraId="4C6C0E4F"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75.80</w:t>
            </w:r>
          </w:p>
        </w:tc>
      </w:tr>
      <w:tr w:rsidR="0025111C" w:rsidRPr="0025111C" w14:paraId="16797B0D" w14:textId="77777777" w:rsidTr="00E303BE">
        <w:trPr>
          <w:trHeight w:val="20"/>
        </w:trPr>
        <w:tc>
          <w:tcPr>
            <w:tcW w:w="7015" w:type="dxa"/>
            <w:gridSpan w:val="4"/>
          </w:tcPr>
          <w:p w14:paraId="597FCA1C" w14:textId="77777777" w:rsidR="0025111C" w:rsidRPr="0025111C" w:rsidRDefault="0025111C" w:rsidP="00E303BE">
            <w:pPr>
              <w:jc w:val="center"/>
              <w:rPr>
                <w:rFonts w:ascii="Arial" w:hAnsi="Arial" w:cs="Arial"/>
                <w:b/>
                <w:bCs/>
                <w:i/>
                <w:iCs/>
                <w:sz w:val="16"/>
                <w:szCs w:val="16"/>
              </w:rPr>
            </w:pPr>
          </w:p>
        </w:tc>
      </w:tr>
      <w:tr w:rsidR="0025111C" w:rsidRPr="0025111C" w14:paraId="171C7B81" w14:textId="77777777" w:rsidTr="00E303BE">
        <w:trPr>
          <w:trHeight w:val="20"/>
        </w:trPr>
        <w:tc>
          <w:tcPr>
            <w:tcW w:w="2070" w:type="dxa"/>
            <w:vMerge w:val="restart"/>
            <w:hideMark/>
          </w:tcPr>
          <w:p w14:paraId="4D726442"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Race/Ethnicity</w:t>
            </w:r>
          </w:p>
        </w:tc>
        <w:tc>
          <w:tcPr>
            <w:tcW w:w="2155" w:type="dxa"/>
            <w:hideMark/>
          </w:tcPr>
          <w:p w14:paraId="387D1D35"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Caucasian</w:t>
            </w:r>
          </w:p>
        </w:tc>
        <w:tc>
          <w:tcPr>
            <w:tcW w:w="1260" w:type="dxa"/>
            <w:hideMark/>
          </w:tcPr>
          <w:p w14:paraId="32D63CF1"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4</w:t>
            </w:r>
          </w:p>
        </w:tc>
        <w:tc>
          <w:tcPr>
            <w:tcW w:w="1530" w:type="dxa"/>
            <w:hideMark/>
          </w:tcPr>
          <w:p w14:paraId="5FECB65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12.10</w:t>
            </w:r>
          </w:p>
        </w:tc>
      </w:tr>
      <w:tr w:rsidR="0025111C" w:rsidRPr="0025111C" w14:paraId="738CC222" w14:textId="77777777" w:rsidTr="00E303BE">
        <w:trPr>
          <w:trHeight w:val="20"/>
        </w:trPr>
        <w:tc>
          <w:tcPr>
            <w:tcW w:w="2070" w:type="dxa"/>
            <w:vMerge/>
            <w:hideMark/>
          </w:tcPr>
          <w:p w14:paraId="3ABAD16A" w14:textId="77777777" w:rsidR="0025111C" w:rsidRPr="0025111C" w:rsidRDefault="0025111C" w:rsidP="00E303BE">
            <w:pPr>
              <w:jc w:val="center"/>
              <w:rPr>
                <w:rFonts w:ascii="Arial" w:hAnsi="Arial" w:cs="Arial"/>
                <w:b/>
                <w:bCs/>
                <w:i/>
                <w:iCs/>
                <w:sz w:val="16"/>
                <w:szCs w:val="16"/>
              </w:rPr>
            </w:pPr>
          </w:p>
        </w:tc>
        <w:tc>
          <w:tcPr>
            <w:tcW w:w="2155" w:type="dxa"/>
            <w:hideMark/>
          </w:tcPr>
          <w:p w14:paraId="2C00A94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Hispanic/Latino</w:t>
            </w:r>
          </w:p>
        </w:tc>
        <w:tc>
          <w:tcPr>
            <w:tcW w:w="1260" w:type="dxa"/>
            <w:hideMark/>
          </w:tcPr>
          <w:p w14:paraId="306AAD2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w:t>
            </w:r>
          </w:p>
        </w:tc>
        <w:tc>
          <w:tcPr>
            <w:tcW w:w="1530" w:type="dxa"/>
            <w:hideMark/>
          </w:tcPr>
          <w:p w14:paraId="0780CEDE"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6.10</w:t>
            </w:r>
          </w:p>
        </w:tc>
      </w:tr>
      <w:tr w:rsidR="0025111C" w:rsidRPr="0025111C" w14:paraId="2632ED08" w14:textId="77777777" w:rsidTr="00E303BE">
        <w:trPr>
          <w:trHeight w:val="20"/>
        </w:trPr>
        <w:tc>
          <w:tcPr>
            <w:tcW w:w="2070" w:type="dxa"/>
            <w:vMerge/>
            <w:hideMark/>
          </w:tcPr>
          <w:p w14:paraId="7A0087FC" w14:textId="77777777" w:rsidR="0025111C" w:rsidRPr="0025111C" w:rsidRDefault="0025111C" w:rsidP="00E303BE">
            <w:pPr>
              <w:jc w:val="center"/>
              <w:rPr>
                <w:rFonts w:ascii="Arial" w:hAnsi="Arial" w:cs="Arial"/>
                <w:b/>
                <w:bCs/>
                <w:i/>
                <w:iCs/>
                <w:sz w:val="16"/>
                <w:szCs w:val="16"/>
              </w:rPr>
            </w:pPr>
          </w:p>
        </w:tc>
        <w:tc>
          <w:tcPr>
            <w:tcW w:w="2155" w:type="dxa"/>
            <w:hideMark/>
          </w:tcPr>
          <w:p w14:paraId="016DD57F"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Black or African American</w:t>
            </w:r>
          </w:p>
        </w:tc>
        <w:tc>
          <w:tcPr>
            <w:tcW w:w="1260" w:type="dxa"/>
            <w:hideMark/>
          </w:tcPr>
          <w:p w14:paraId="6DA421DB"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24</w:t>
            </w:r>
          </w:p>
        </w:tc>
        <w:tc>
          <w:tcPr>
            <w:tcW w:w="1530" w:type="dxa"/>
            <w:hideMark/>
          </w:tcPr>
          <w:p w14:paraId="4CB3BBA8"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72.70</w:t>
            </w:r>
          </w:p>
        </w:tc>
      </w:tr>
      <w:tr w:rsidR="0025111C" w:rsidRPr="0025111C" w14:paraId="04888193" w14:textId="77777777" w:rsidTr="00E303BE">
        <w:trPr>
          <w:trHeight w:val="20"/>
        </w:trPr>
        <w:tc>
          <w:tcPr>
            <w:tcW w:w="2070" w:type="dxa"/>
            <w:vMerge/>
            <w:hideMark/>
          </w:tcPr>
          <w:p w14:paraId="0ABC0CF3" w14:textId="77777777" w:rsidR="0025111C" w:rsidRPr="0025111C" w:rsidRDefault="0025111C" w:rsidP="00E303BE">
            <w:pPr>
              <w:jc w:val="center"/>
              <w:rPr>
                <w:rFonts w:ascii="Arial" w:hAnsi="Arial" w:cs="Arial"/>
                <w:b/>
                <w:bCs/>
                <w:i/>
                <w:iCs/>
                <w:sz w:val="16"/>
                <w:szCs w:val="16"/>
              </w:rPr>
            </w:pPr>
          </w:p>
        </w:tc>
        <w:tc>
          <w:tcPr>
            <w:tcW w:w="2155" w:type="dxa"/>
            <w:hideMark/>
          </w:tcPr>
          <w:p w14:paraId="6B496CD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Asian or Pacific Islander</w:t>
            </w:r>
          </w:p>
        </w:tc>
        <w:tc>
          <w:tcPr>
            <w:tcW w:w="1260" w:type="dxa"/>
            <w:hideMark/>
          </w:tcPr>
          <w:p w14:paraId="7AE2490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w:t>
            </w:r>
          </w:p>
        </w:tc>
        <w:tc>
          <w:tcPr>
            <w:tcW w:w="1530" w:type="dxa"/>
            <w:hideMark/>
          </w:tcPr>
          <w:p w14:paraId="56187D3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3.00</w:t>
            </w:r>
          </w:p>
        </w:tc>
      </w:tr>
      <w:tr w:rsidR="0025111C" w:rsidRPr="0025111C" w14:paraId="03100C7D" w14:textId="77777777" w:rsidTr="00E303BE">
        <w:trPr>
          <w:trHeight w:val="20"/>
        </w:trPr>
        <w:tc>
          <w:tcPr>
            <w:tcW w:w="2070" w:type="dxa"/>
            <w:vMerge/>
            <w:hideMark/>
          </w:tcPr>
          <w:p w14:paraId="03DF88AC" w14:textId="77777777" w:rsidR="0025111C" w:rsidRPr="0025111C" w:rsidRDefault="0025111C" w:rsidP="00E303BE">
            <w:pPr>
              <w:jc w:val="center"/>
              <w:rPr>
                <w:rFonts w:ascii="Arial" w:hAnsi="Arial" w:cs="Arial"/>
                <w:b/>
                <w:bCs/>
                <w:i/>
                <w:iCs/>
                <w:sz w:val="16"/>
                <w:szCs w:val="16"/>
              </w:rPr>
            </w:pPr>
          </w:p>
        </w:tc>
        <w:tc>
          <w:tcPr>
            <w:tcW w:w="2155" w:type="dxa"/>
            <w:hideMark/>
          </w:tcPr>
          <w:p w14:paraId="318ADEA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Native American</w:t>
            </w:r>
          </w:p>
        </w:tc>
        <w:tc>
          <w:tcPr>
            <w:tcW w:w="1260" w:type="dxa"/>
            <w:hideMark/>
          </w:tcPr>
          <w:p w14:paraId="378CF1BB"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w:t>
            </w:r>
          </w:p>
        </w:tc>
        <w:tc>
          <w:tcPr>
            <w:tcW w:w="1530" w:type="dxa"/>
            <w:hideMark/>
          </w:tcPr>
          <w:p w14:paraId="352261D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0.00</w:t>
            </w:r>
          </w:p>
        </w:tc>
      </w:tr>
      <w:tr w:rsidR="0025111C" w:rsidRPr="0025111C" w14:paraId="2C09ED77" w14:textId="77777777" w:rsidTr="00E303BE">
        <w:trPr>
          <w:trHeight w:val="20"/>
        </w:trPr>
        <w:tc>
          <w:tcPr>
            <w:tcW w:w="2070" w:type="dxa"/>
            <w:vMerge/>
            <w:hideMark/>
          </w:tcPr>
          <w:p w14:paraId="19BBBE4D" w14:textId="77777777" w:rsidR="0025111C" w:rsidRPr="0025111C" w:rsidRDefault="0025111C" w:rsidP="00E303BE">
            <w:pPr>
              <w:jc w:val="center"/>
              <w:rPr>
                <w:rFonts w:ascii="Arial" w:hAnsi="Arial" w:cs="Arial"/>
                <w:b/>
                <w:bCs/>
                <w:i/>
                <w:iCs/>
                <w:sz w:val="16"/>
                <w:szCs w:val="16"/>
              </w:rPr>
            </w:pPr>
          </w:p>
        </w:tc>
        <w:tc>
          <w:tcPr>
            <w:tcW w:w="2155" w:type="dxa"/>
            <w:hideMark/>
          </w:tcPr>
          <w:p w14:paraId="52804DD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Other</w:t>
            </w:r>
          </w:p>
        </w:tc>
        <w:tc>
          <w:tcPr>
            <w:tcW w:w="1260" w:type="dxa"/>
            <w:hideMark/>
          </w:tcPr>
          <w:p w14:paraId="1F38097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w:t>
            </w:r>
          </w:p>
        </w:tc>
        <w:tc>
          <w:tcPr>
            <w:tcW w:w="1530" w:type="dxa"/>
            <w:hideMark/>
          </w:tcPr>
          <w:p w14:paraId="43D06044"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6.10</w:t>
            </w:r>
          </w:p>
        </w:tc>
      </w:tr>
      <w:tr w:rsidR="0025111C" w:rsidRPr="0025111C" w14:paraId="3D3574BF" w14:textId="77777777" w:rsidTr="00E303BE">
        <w:trPr>
          <w:trHeight w:val="20"/>
        </w:trPr>
        <w:tc>
          <w:tcPr>
            <w:tcW w:w="7015" w:type="dxa"/>
            <w:gridSpan w:val="4"/>
          </w:tcPr>
          <w:p w14:paraId="13E7C321" w14:textId="77777777" w:rsidR="0025111C" w:rsidRPr="0025111C" w:rsidRDefault="0025111C" w:rsidP="00E303BE">
            <w:pPr>
              <w:jc w:val="center"/>
              <w:rPr>
                <w:rFonts w:ascii="Arial" w:hAnsi="Arial" w:cs="Arial"/>
                <w:b/>
                <w:bCs/>
                <w:i/>
                <w:iCs/>
                <w:sz w:val="16"/>
                <w:szCs w:val="16"/>
              </w:rPr>
            </w:pPr>
          </w:p>
        </w:tc>
      </w:tr>
      <w:tr w:rsidR="0025111C" w:rsidRPr="0025111C" w14:paraId="7E04A7CE" w14:textId="77777777" w:rsidTr="00E303BE">
        <w:trPr>
          <w:trHeight w:val="20"/>
        </w:trPr>
        <w:tc>
          <w:tcPr>
            <w:tcW w:w="2070" w:type="dxa"/>
            <w:vMerge w:val="restart"/>
            <w:hideMark/>
          </w:tcPr>
          <w:p w14:paraId="46CCA039"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Marital Status</w:t>
            </w:r>
          </w:p>
        </w:tc>
        <w:tc>
          <w:tcPr>
            <w:tcW w:w="2155" w:type="dxa"/>
            <w:hideMark/>
          </w:tcPr>
          <w:p w14:paraId="332B869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Single</w:t>
            </w:r>
          </w:p>
        </w:tc>
        <w:tc>
          <w:tcPr>
            <w:tcW w:w="1260" w:type="dxa"/>
            <w:hideMark/>
          </w:tcPr>
          <w:p w14:paraId="27D65D0B"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30</w:t>
            </w:r>
          </w:p>
        </w:tc>
        <w:tc>
          <w:tcPr>
            <w:tcW w:w="1530" w:type="dxa"/>
            <w:hideMark/>
          </w:tcPr>
          <w:p w14:paraId="65BC25D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90.90</w:t>
            </w:r>
          </w:p>
        </w:tc>
      </w:tr>
      <w:tr w:rsidR="0025111C" w:rsidRPr="0025111C" w14:paraId="6EB77D16" w14:textId="77777777" w:rsidTr="00E303BE">
        <w:trPr>
          <w:trHeight w:val="20"/>
        </w:trPr>
        <w:tc>
          <w:tcPr>
            <w:tcW w:w="2070" w:type="dxa"/>
            <w:vMerge/>
            <w:hideMark/>
          </w:tcPr>
          <w:p w14:paraId="13A68FF6" w14:textId="77777777" w:rsidR="0025111C" w:rsidRPr="0025111C" w:rsidRDefault="0025111C" w:rsidP="00E303BE">
            <w:pPr>
              <w:jc w:val="center"/>
              <w:rPr>
                <w:rFonts w:ascii="Arial" w:hAnsi="Arial" w:cs="Arial"/>
                <w:b/>
                <w:bCs/>
                <w:i/>
                <w:iCs/>
                <w:sz w:val="16"/>
                <w:szCs w:val="16"/>
              </w:rPr>
            </w:pPr>
          </w:p>
        </w:tc>
        <w:tc>
          <w:tcPr>
            <w:tcW w:w="2155" w:type="dxa"/>
            <w:hideMark/>
          </w:tcPr>
          <w:p w14:paraId="77ED891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Married</w:t>
            </w:r>
          </w:p>
        </w:tc>
        <w:tc>
          <w:tcPr>
            <w:tcW w:w="1260" w:type="dxa"/>
            <w:hideMark/>
          </w:tcPr>
          <w:p w14:paraId="6EB0FE1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w:t>
            </w:r>
          </w:p>
        </w:tc>
        <w:tc>
          <w:tcPr>
            <w:tcW w:w="1530" w:type="dxa"/>
            <w:hideMark/>
          </w:tcPr>
          <w:p w14:paraId="17107DD1"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6.10</w:t>
            </w:r>
          </w:p>
        </w:tc>
      </w:tr>
      <w:tr w:rsidR="0025111C" w:rsidRPr="0025111C" w14:paraId="318E1669" w14:textId="77777777" w:rsidTr="00E303BE">
        <w:trPr>
          <w:trHeight w:val="20"/>
        </w:trPr>
        <w:tc>
          <w:tcPr>
            <w:tcW w:w="2070" w:type="dxa"/>
            <w:vMerge/>
            <w:hideMark/>
          </w:tcPr>
          <w:p w14:paraId="10469DBF" w14:textId="77777777" w:rsidR="0025111C" w:rsidRPr="0025111C" w:rsidRDefault="0025111C" w:rsidP="00E303BE">
            <w:pPr>
              <w:jc w:val="center"/>
              <w:rPr>
                <w:rFonts w:ascii="Arial" w:hAnsi="Arial" w:cs="Arial"/>
                <w:b/>
                <w:bCs/>
                <w:i/>
                <w:iCs/>
                <w:sz w:val="16"/>
                <w:szCs w:val="16"/>
              </w:rPr>
            </w:pPr>
          </w:p>
        </w:tc>
        <w:tc>
          <w:tcPr>
            <w:tcW w:w="2155" w:type="dxa"/>
            <w:hideMark/>
          </w:tcPr>
          <w:p w14:paraId="001E595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Divorced</w:t>
            </w:r>
          </w:p>
        </w:tc>
        <w:tc>
          <w:tcPr>
            <w:tcW w:w="1260" w:type="dxa"/>
            <w:hideMark/>
          </w:tcPr>
          <w:p w14:paraId="2755435B"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w:t>
            </w:r>
          </w:p>
        </w:tc>
        <w:tc>
          <w:tcPr>
            <w:tcW w:w="1530" w:type="dxa"/>
            <w:hideMark/>
          </w:tcPr>
          <w:p w14:paraId="0D05C61E"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0.00</w:t>
            </w:r>
          </w:p>
        </w:tc>
      </w:tr>
      <w:tr w:rsidR="0025111C" w:rsidRPr="0025111C" w14:paraId="61D5AB52" w14:textId="77777777" w:rsidTr="00E303BE">
        <w:trPr>
          <w:trHeight w:val="20"/>
        </w:trPr>
        <w:tc>
          <w:tcPr>
            <w:tcW w:w="2070" w:type="dxa"/>
            <w:vMerge/>
            <w:hideMark/>
          </w:tcPr>
          <w:p w14:paraId="32FE85C0" w14:textId="77777777" w:rsidR="0025111C" w:rsidRPr="0025111C" w:rsidRDefault="0025111C" w:rsidP="00E303BE">
            <w:pPr>
              <w:jc w:val="center"/>
              <w:rPr>
                <w:rFonts w:ascii="Arial" w:hAnsi="Arial" w:cs="Arial"/>
                <w:b/>
                <w:bCs/>
                <w:i/>
                <w:iCs/>
                <w:sz w:val="16"/>
                <w:szCs w:val="16"/>
              </w:rPr>
            </w:pPr>
          </w:p>
        </w:tc>
        <w:tc>
          <w:tcPr>
            <w:tcW w:w="2155" w:type="dxa"/>
            <w:hideMark/>
          </w:tcPr>
          <w:p w14:paraId="695DD4C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Widowed</w:t>
            </w:r>
          </w:p>
        </w:tc>
        <w:tc>
          <w:tcPr>
            <w:tcW w:w="1260" w:type="dxa"/>
            <w:hideMark/>
          </w:tcPr>
          <w:p w14:paraId="4FB9328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w:t>
            </w:r>
          </w:p>
        </w:tc>
        <w:tc>
          <w:tcPr>
            <w:tcW w:w="1530" w:type="dxa"/>
            <w:hideMark/>
          </w:tcPr>
          <w:p w14:paraId="0ED37900"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3.00</w:t>
            </w:r>
          </w:p>
        </w:tc>
      </w:tr>
      <w:tr w:rsidR="0025111C" w:rsidRPr="0025111C" w14:paraId="57719E82" w14:textId="77777777" w:rsidTr="00E303BE">
        <w:trPr>
          <w:trHeight w:val="20"/>
        </w:trPr>
        <w:tc>
          <w:tcPr>
            <w:tcW w:w="7015" w:type="dxa"/>
            <w:gridSpan w:val="4"/>
          </w:tcPr>
          <w:p w14:paraId="5D1A5D14" w14:textId="77777777" w:rsidR="0025111C" w:rsidRPr="0025111C" w:rsidRDefault="0025111C" w:rsidP="00E303BE">
            <w:pPr>
              <w:jc w:val="center"/>
              <w:rPr>
                <w:rFonts w:ascii="Arial" w:hAnsi="Arial" w:cs="Arial"/>
                <w:b/>
                <w:bCs/>
                <w:i/>
                <w:iCs/>
                <w:sz w:val="16"/>
                <w:szCs w:val="16"/>
              </w:rPr>
            </w:pPr>
          </w:p>
        </w:tc>
      </w:tr>
      <w:tr w:rsidR="0025111C" w:rsidRPr="0025111C" w14:paraId="3AC8507E" w14:textId="77777777" w:rsidTr="00E303BE">
        <w:trPr>
          <w:trHeight w:val="20"/>
        </w:trPr>
        <w:tc>
          <w:tcPr>
            <w:tcW w:w="2070" w:type="dxa"/>
            <w:vMerge w:val="restart"/>
            <w:hideMark/>
          </w:tcPr>
          <w:p w14:paraId="3CDABDB0"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Employment</w:t>
            </w:r>
          </w:p>
        </w:tc>
        <w:tc>
          <w:tcPr>
            <w:tcW w:w="2155" w:type="dxa"/>
            <w:hideMark/>
          </w:tcPr>
          <w:p w14:paraId="2EABE853"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Yes</w:t>
            </w:r>
          </w:p>
        </w:tc>
        <w:tc>
          <w:tcPr>
            <w:tcW w:w="1260" w:type="dxa"/>
            <w:hideMark/>
          </w:tcPr>
          <w:p w14:paraId="13FC746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19</w:t>
            </w:r>
          </w:p>
        </w:tc>
        <w:tc>
          <w:tcPr>
            <w:tcW w:w="1530" w:type="dxa"/>
            <w:hideMark/>
          </w:tcPr>
          <w:p w14:paraId="570A220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57.60</w:t>
            </w:r>
          </w:p>
        </w:tc>
      </w:tr>
      <w:tr w:rsidR="0025111C" w:rsidRPr="0025111C" w14:paraId="4A85B89E" w14:textId="77777777" w:rsidTr="00E303BE">
        <w:trPr>
          <w:trHeight w:val="20"/>
        </w:trPr>
        <w:tc>
          <w:tcPr>
            <w:tcW w:w="2070" w:type="dxa"/>
            <w:vMerge/>
            <w:hideMark/>
          </w:tcPr>
          <w:p w14:paraId="31C4C578" w14:textId="77777777" w:rsidR="0025111C" w:rsidRPr="0025111C" w:rsidRDefault="0025111C" w:rsidP="00E303BE">
            <w:pPr>
              <w:jc w:val="center"/>
              <w:rPr>
                <w:rFonts w:ascii="Arial" w:hAnsi="Arial" w:cs="Arial"/>
                <w:b/>
                <w:bCs/>
                <w:i/>
                <w:iCs/>
                <w:sz w:val="16"/>
                <w:szCs w:val="16"/>
              </w:rPr>
            </w:pPr>
          </w:p>
        </w:tc>
        <w:tc>
          <w:tcPr>
            <w:tcW w:w="2155" w:type="dxa"/>
            <w:hideMark/>
          </w:tcPr>
          <w:p w14:paraId="64D8624F"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No</w:t>
            </w:r>
          </w:p>
        </w:tc>
        <w:tc>
          <w:tcPr>
            <w:tcW w:w="1260" w:type="dxa"/>
            <w:hideMark/>
          </w:tcPr>
          <w:p w14:paraId="5C40691C"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14</w:t>
            </w:r>
          </w:p>
        </w:tc>
        <w:tc>
          <w:tcPr>
            <w:tcW w:w="1530" w:type="dxa"/>
            <w:hideMark/>
          </w:tcPr>
          <w:p w14:paraId="2E0D2D0B"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42.40</w:t>
            </w:r>
          </w:p>
        </w:tc>
      </w:tr>
      <w:tr w:rsidR="0025111C" w:rsidRPr="0025111C" w14:paraId="6565EDE9" w14:textId="77777777" w:rsidTr="00E303BE">
        <w:trPr>
          <w:trHeight w:val="20"/>
        </w:trPr>
        <w:tc>
          <w:tcPr>
            <w:tcW w:w="7015" w:type="dxa"/>
            <w:gridSpan w:val="4"/>
          </w:tcPr>
          <w:p w14:paraId="07085307" w14:textId="77777777" w:rsidR="0025111C" w:rsidRPr="0025111C" w:rsidRDefault="0025111C" w:rsidP="00E303BE">
            <w:pPr>
              <w:jc w:val="center"/>
              <w:rPr>
                <w:rFonts w:ascii="Arial" w:hAnsi="Arial" w:cs="Arial"/>
                <w:b/>
                <w:bCs/>
                <w:i/>
                <w:iCs/>
                <w:sz w:val="16"/>
                <w:szCs w:val="16"/>
              </w:rPr>
            </w:pPr>
          </w:p>
        </w:tc>
      </w:tr>
      <w:tr w:rsidR="0025111C" w:rsidRPr="0025111C" w14:paraId="61808C06" w14:textId="77777777" w:rsidTr="00E303BE">
        <w:trPr>
          <w:trHeight w:val="20"/>
        </w:trPr>
        <w:tc>
          <w:tcPr>
            <w:tcW w:w="2070" w:type="dxa"/>
            <w:vMerge w:val="restart"/>
            <w:hideMark/>
          </w:tcPr>
          <w:p w14:paraId="1264F098"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Income</w:t>
            </w:r>
          </w:p>
        </w:tc>
        <w:tc>
          <w:tcPr>
            <w:tcW w:w="2155" w:type="dxa"/>
            <w:hideMark/>
          </w:tcPr>
          <w:p w14:paraId="456EAEBE"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$0-30,000</w:t>
            </w:r>
          </w:p>
        </w:tc>
        <w:tc>
          <w:tcPr>
            <w:tcW w:w="1260" w:type="dxa"/>
            <w:hideMark/>
          </w:tcPr>
          <w:p w14:paraId="4232795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20</w:t>
            </w:r>
          </w:p>
        </w:tc>
        <w:tc>
          <w:tcPr>
            <w:tcW w:w="1530" w:type="dxa"/>
            <w:hideMark/>
          </w:tcPr>
          <w:p w14:paraId="256652BB"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60.60</w:t>
            </w:r>
          </w:p>
        </w:tc>
      </w:tr>
      <w:tr w:rsidR="0025111C" w:rsidRPr="0025111C" w14:paraId="0224C775" w14:textId="77777777" w:rsidTr="00E303BE">
        <w:trPr>
          <w:trHeight w:val="20"/>
        </w:trPr>
        <w:tc>
          <w:tcPr>
            <w:tcW w:w="2070" w:type="dxa"/>
            <w:vMerge/>
            <w:hideMark/>
          </w:tcPr>
          <w:p w14:paraId="1B88B5F2" w14:textId="77777777" w:rsidR="0025111C" w:rsidRPr="0025111C" w:rsidRDefault="0025111C" w:rsidP="00E303BE">
            <w:pPr>
              <w:jc w:val="center"/>
              <w:rPr>
                <w:rFonts w:ascii="Arial" w:hAnsi="Arial" w:cs="Arial"/>
                <w:b/>
                <w:bCs/>
                <w:i/>
                <w:iCs/>
                <w:sz w:val="16"/>
                <w:szCs w:val="16"/>
              </w:rPr>
            </w:pPr>
          </w:p>
        </w:tc>
        <w:tc>
          <w:tcPr>
            <w:tcW w:w="2155" w:type="dxa"/>
            <w:hideMark/>
          </w:tcPr>
          <w:p w14:paraId="66B8D0B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$31,000-60,000</w:t>
            </w:r>
          </w:p>
        </w:tc>
        <w:tc>
          <w:tcPr>
            <w:tcW w:w="1260" w:type="dxa"/>
            <w:hideMark/>
          </w:tcPr>
          <w:p w14:paraId="5B2CDBF8"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8</w:t>
            </w:r>
          </w:p>
        </w:tc>
        <w:tc>
          <w:tcPr>
            <w:tcW w:w="1530" w:type="dxa"/>
            <w:hideMark/>
          </w:tcPr>
          <w:p w14:paraId="62FF95D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24.20</w:t>
            </w:r>
          </w:p>
        </w:tc>
      </w:tr>
      <w:tr w:rsidR="0025111C" w:rsidRPr="0025111C" w14:paraId="46EFD40B" w14:textId="77777777" w:rsidTr="00E303BE">
        <w:trPr>
          <w:trHeight w:val="20"/>
        </w:trPr>
        <w:tc>
          <w:tcPr>
            <w:tcW w:w="2070" w:type="dxa"/>
            <w:vMerge/>
            <w:hideMark/>
          </w:tcPr>
          <w:p w14:paraId="58047F43" w14:textId="77777777" w:rsidR="0025111C" w:rsidRPr="0025111C" w:rsidRDefault="0025111C" w:rsidP="00E303BE">
            <w:pPr>
              <w:jc w:val="center"/>
              <w:rPr>
                <w:rFonts w:ascii="Arial" w:hAnsi="Arial" w:cs="Arial"/>
                <w:b/>
                <w:bCs/>
                <w:i/>
                <w:iCs/>
                <w:sz w:val="16"/>
                <w:szCs w:val="16"/>
              </w:rPr>
            </w:pPr>
          </w:p>
        </w:tc>
        <w:tc>
          <w:tcPr>
            <w:tcW w:w="2155" w:type="dxa"/>
            <w:hideMark/>
          </w:tcPr>
          <w:p w14:paraId="3F930A2E"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$61,000-90,000</w:t>
            </w:r>
          </w:p>
        </w:tc>
        <w:tc>
          <w:tcPr>
            <w:tcW w:w="1260" w:type="dxa"/>
            <w:hideMark/>
          </w:tcPr>
          <w:p w14:paraId="06FA533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w:t>
            </w:r>
          </w:p>
        </w:tc>
        <w:tc>
          <w:tcPr>
            <w:tcW w:w="1530" w:type="dxa"/>
            <w:hideMark/>
          </w:tcPr>
          <w:p w14:paraId="4C5729E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6.10</w:t>
            </w:r>
          </w:p>
        </w:tc>
      </w:tr>
      <w:tr w:rsidR="0025111C" w:rsidRPr="0025111C" w14:paraId="4925C98D" w14:textId="77777777" w:rsidTr="00E303BE">
        <w:trPr>
          <w:trHeight w:val="20"/>
        </w:trPr>
        <w:tc>
          <w:tcPr>
            <w:tcW w:w="2070" w:type="dxa"/>
            <w:vMerge/>
            <w:hideMark/>
          </w:tcPr>
          <w:p w14:paraId="79A68242" w14:textId="77777777" w:rsidR="0025111C" w:rsidRPr="0025111C" w:rsidRDefault="0025111C" w:rsidP="00E303BE">
            <w:pPr>
              <w:jc w:val="center"/>
              <w:rPr>
                <w:rFonts w:ascii="Arial" w:hAnsi="Arial" w:cs="Arial"/>
                <w:b/>
                <w:bCs/>
                <w:i/>
                <w:iCs/>
                <w:sz w:val="16"/>
                <w:szCs w:val="16"/>
              </w:rPr>
            </w:pPr>
          </w:p>
        </w:tc>
        <w:tc>
          <w:tcPr>
            <w:tcW w:w="2155" w:type="dxa"/>
            <w:hideMark/>
          </w:tcPr>
          <w:p w14:paraId="03E01D2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$91,000-120,000</w:t>
            </w:r>
          </w:p>
        </w:tc>
        <w:tc>
          <w:tcPr>
            <w:tcW w:w="1260" w:type="dxa"/>
            <w:hideMark/>
          </w:tcPr>
          <w:p w14:paraId="47CA5E45"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w:t>
            </w:r>
          </w:p>
        </w:tc>
        <w:tc>
          <w:tcPr>
            <w:tcW w:w="1530" w:type="dxa"/>
            <w:hideMark/>
          </w:tcPr>
          <w:p w14:paraId="398F4A65"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0.00</w:t>
            </w:r>
          </w:p>
        </w:tc>
      </w:tr>
      <w:tr w:rsidR="0025111C" w:rsidRPr="0025111C" w14:paraId="7D6DAB1B" w14:textId="77777777" w:rsidTr="00E303BE">
        <w:trPr>
          <w:trHeight w:val="20"/>
        </w:trPr>
        <w:tc>
          <w:tcPr>
            <w:tcW w:w="2070" w:type="dxa"/>
            <w:vMerge/>
            <w:hideMark/>
          </w:tcPr>
          <w:p w14:paraId="49B1FD4A" w14:textId="77777777" w:rsidR="0025111C" w:rsidRPr="0025111C" w:rsidRDefault="0025111C" w:rsidP="00E303BE">
            <w:pPr>
              <w:jc w:val="center"/>
              <w:rPr>
                <w:rFonts w:ascii="Arial" w:hAnsi="Arial" w:cs="Arial"/>
                <w:b/>
                <w:bCs/>
                <w:i/>
                <w:iCs/>
                <w:sz w:val="16"/>
                <w:szCs w:val="16"/>
              </w:rPr>
            </w:pPr>
          </w:p>
        </w:tc>
        <w:tc>
          <w:tcPr>
            <w:tcW w:w="2155" w:type="dxa"/>
            <w:hideMark/>
          </w:tcPr>
          <w:p w14:paraId="4C4EDC45"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$120,000 &gt;</w:t>
            </w:r>
          </w:p>
        </w:tc>
        <w:tc>
          <w:tcPr>
            <w:tcW w:w="1260" w:type="dxa"/>
            <w:hideMark/>
          </w:tcPr>
          <w:p w14:paraId="08651B7C"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w:t>
            </w:r>
          </w:p>
        </w:tc>
        <w:tc>
          <w:tcPr>
            <w:tcW w:w="1530" w:type="dxa"/>
            <w:hideMark/>
          </w:tcPr>
          <w:p w14:paraId="29DC2469"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9.10</w:t>
            </w:r>
          </w:p>
        </w:tc>
      </w:tr>
      <w:tr w:rsidR="0025111C" w:rsidRPr="0025111C" w14:paraId="7C92442A" w14:textId="77777777" w:rsidTr="00E303BE">
        <w:trPr>
          <w:trHeight w:val="20"/>
        </w:trPr>
        <w:tc>
          <w:tcPr>
            <w:tcW w:w="7015" w:type="dxa"/>
            <w:gridSpan w:val="4"/>
          </w:tcPr>
          <w:p w14:paraId="734A1847" w14:textId="77777777" w:rsidR="0025111C" w:rsidRPr="0025111C" w:rsidRDefault="0025111C" w:rsidP="00E303BE">
            <w:pPr>
              <w:jc w:val="center"/>
              <w:rPr>
                <w:rFonts w:ascii="Arial" w:hAnsi="Arial" w:cs="Arial"/>
                <w:b/>
                <w:bCs/>
                <w:i/>
                <w:iCs/>
                <w:sz w:val="16"/>
                <w:szCs w:val="16"/>
              </w:rPr>
            </w:pPr>
          </w:p>
        </w:tc>
      </w:tr>
      <w:tr w:rsidR="0025111C" w:rsidRPr="0025111C" w14:paraId="0DA26F68" w14:textId="77777777" w:rsidTr="00E303BE">
        <w:trPr>
          <w:trHeight w:val="20"/>
        </w:trPr>
        <w:tc>
          <w:tcPr>
            <w:tcW w:w="2070" w:type="dxa"/>
            <w:vMerge w:val="restart"/>
            <w:hideMark/>
          </w:tcPr>
          <w:p w14:paraId="124E0083"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Religion</w:t>
            </w:r>
          </w:p>
        </w:tc>
        <w:tc>
          <w:tcPr>
            <w:tcW w:w="2155" w:type="dxa"/>
            <w:hideMark/>
          </w:tcPr>
          <w:p w14:paraId="557661C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Christian</w:t>
            </w:r>
          </w:p>
        </w:tc>
        <w:tc>
          <w:tcPr>
            <w:tcW w:w="1260" w:type="dxa"/>
            <w:hideMark/>
          </w:tcPr>
          <w:p w14:paraId="3992E8D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25</w:t>
            </w:r>
          </w:p>
        </w:tc>
        <w:tc>
          <w:tcPr>
            <w:tcW w:w="1530" w:type="dxa"/>
            <w:hideMark/>
          </w:tcPr>
          <w:p w14:paraId="53FC35A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75.80</w:t>
            </w:r>
          </w:p>
        </w:tc>
      </w:tr>
      <w:tr w:rsidR="0025111C" w:rsidRPr="0025111C" w14:paraId="54D635BF" w14:textId="77777777" w:rsidTr="00E303BE">
        <w:trPr>
          <w:trHeight w:val="20"/>
        </w:trPr>
        <w:tc>
          <w:tcPr>
            <w:tcW w:w="2070" w:type="dxa"/>
            <w:vMerge/>
            <w:hideMark/>
          </w:tcPr>
          <w:p w14:paraId="2B989D4F" w14:textId="77777777" w:rsidR="0025111C" w:rsidRPr="0025111C" w:rsidRDefault="0025111C" w:rsidP="00E303BE">
            <w:pPr>
              <w:jc w:val="center"/>
              <w:rPr>
                <w:rFonts w:ascii="Arial" w:hAnsi="Arial" w:cs="Arial"/>
                <w:b/>
                <w:bCs/>
                <w:i/>
                <w:iCs/>
                <w:sz w:val="16"/>
                <w:szCs w:val="16"/>
              </w:rPr>
            </w:pPr>
          </w:p>
        </w:tc>
        <w:tc>
          <w:tcPr>
            <w:tcW w:w="2155" w:type="dxa"/>
            <w:hideMark/>
          </w:tcPr>
          <w:p w14:paraId="18D79FD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Buddhist</w:t>
            </w:r>
          </w:p>
        </w:tc>
        <w:tc>
          <w:tcPr>
            <w:tcW w:w="1260" w:type="dxa"/>
            <w:hideMark/>
          </w:tcPr>
          <w:p w14:paraId="231BC12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w:t>
            </w:r>
          </w:p>
        </w:tc>
        <w:tc>
          <w:tcPr>
            <w:tcW w:w="1530" w:type="dxa"/>
            <w:hideMark/>
          </w:tcPr>
          <w:p w14:paraId="7ACE3BB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0.00</w:t>
            </w:r>
          </w:p>
        </w:tc>
      </w:tr>
      <w:tr w:rsidR="0025111C" w:rsidRPr="0025111C" w14:paraId="2B68B6CD" w14:textId="77777777" w:rsidTr="00E303BE">
        <w:trPr>
          <w:trHeight w:val="20"/>
        </w:trPr>
        <w:tc>
          <w:tcPr>
            <w:tcW w:w="2070" w:type="dxa"/>
            <w:vMerge/>
            <w:hideMark/>
          </w:tcPr>
          <w:p w14:paraId="38D8BEDF" w14:textId="77777777" w:rsidR="0025111C" w:rsidRPr="0025111C" w:rsidRDefault="0025111C" w:rsidP="00E303BE">
            <w:pPr>
              <w:jc w:val="center"/>
              <w:rPr>
                <w:rFonts w:ascii="Arial" w:hAnsi="Arial" w:cs="Arial"/>
                <w:b/>
                <w:bCs/>
                <w:i/>
                <w:iCs/>
                <w:sz w:val="16"/>
                <w:szCs w:val="16"/>
              </w:rPr>
            </w:pPr>
          </w:p>
        </w:tc>
        <w:tc>
          <w:tcPr>
            <w:tcW w:w="2155" w:type="dxa"/>
            <w:hideMark/>
          </w:tcPr>
          <w:p w14:paraId="6E1F4CB9"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Hindu</w:t>
            </w:r>
          </w:p>
        </w:tc>
        <w:tc>
          <w:tcPr>
            <w:tcW w:w="1260" w:type="dxa"/>
            <w:hideMark/>
          </w:tcPr>
          <w:p w14:paraId="41CF3BA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w:t>
            </w:r>
          </w:p>
        </w:tc>
        <w:tc>
          <w:tcPr>
            <w:tcW w:w="1530" w:type="dxa"/>
            <w:hideMark/>
          </w:tcPr>
          <w:p w14:paraId="462F9B61"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3.00</w:t>
            </w:r>
          </w:p>
        </w:tc>
      </w:tr>
      <w:tr w:rsidR="0025111C" w:rsidRPr="0025111C" w14:paraId="5ED1F8A0" w14:textId="77777777" w:rsidTr="00E303BE">
        <w:trPr>
          <w:trHeight w:val="20"/>
        </w:trPr>
        <w:tc>
          <w:tcPr>
            <w:tcW w:w="2070" w:type="dxa"/>
            <w:vMerge/>
            <w:hideMark/>
          </w:tcPr>
          <w:p w14:paraId="6B3992CA" w14:textId="77777777" w:rsidR="0025111C" w:rsidRPr="0025111C" w:rsidRDefault="0025111C" w:rsidP="00E303BE">
            <w:pPr>
              <w:jc w:val="center"/>
              <w:rPr>
                <w:rFonts w:ascii="Arial" w:hAnsi="Arial" w:cs="Arial"/>
                <w:b/>
                <w:bCs/>
                <w:i/>
                <w:iCs/>
                <w:sz w:val="16"/>
                <w:szCs w:val="16"/>
              </w:rPr>
            </w:pPr>
          </w:p>
        </w:tc>
        <w:tc>
          <w:tcPr>
            <w:tcW w:w="2155" w:type="dxa"/>
            <w:hideMark/>
          </w:tcPr>
          <w:p w14:paraId="1AC131B1"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Muslim</w:t>
            </w:r>
          </w:p>
        </w:tc>
        <w:tc>
          <w:tcPr>
            <w:tcW w:w="1260" w:type="dxa"/>
            <w:hideMark/>
          </w:tcPr>
          <w:p w14:paraId="009C12C5"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w:t>
            </w:r>
          </w:p>
        </w:tc>
        <w:tc>
          <w:tcPr>
            <w:tcW w:w="1530" w:type="dxa"/>
            <w:hideMark/>
          </w:tcPr>
          <w:p w14:paraId="7E88BD45"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6.10</w:t>
            </w:r>
          </w:p>
        </w:tc>
      </w:tr>
      <w:tr w:rsidR="0025111C" w:rsidRPr="0025111C" w14:paraId="2F43CFC1" w14:textId="77777777" w:rsidTr="00E303BE">
        <w:trPr>
          <w:trHeight w:val="20"/>
        </w:trPr>
        <w:tc>
          <w:tcPr>
            <w:tcW w:w="2070" w:type="dxa"/>
            <w:vMerge/>
            <w:hideMark/>
          </w:tcPr>
          <w:p w14:paraId="383C0165" w14:textId="77777777" w:rsidR="0025111C" w:rsidRPr="0025111C" w:rsidRDefault="0025111C" w:rsidP="00E303BE">
            <w:pPr>
              <w:jc w:val="center"/>
              <w:rPr>
                <w:rFonts w:ascii="Arial" w:hAnsi="Arial" w:cs="Arial"/>
                <w:b/>
                <w:bCs/>
                <w:i/>
                <w:iCs/>
                <w:sz w:val="16"/>
                <w:szCs w:val="16"/>
              </w:rPr>
            </w:pPr>
          </w:p>
        </w:tc>
        <w:tc>
          <w:tcPr>
            <w:tcW w:w="2155" w:type="dxa"/>
            <w:hideMark/>
          </w:tcPr>
          <w:p w14:paraId="710E4F6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Jewish</w:t>
            </w:r>
          </w:p>
        </w:tc>
        <w:tc>
          <w:tcPr>
            <w:tcW w:w="1260" w:type="dxa"/>
            <w:hideMark/>
          </w:tcPr>
          <w:p w14:paraId="4D097989"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w:t>
            </w:r>
          </w:p>
        </w:tc>
        <w:tc>
          <w:tcPr>
            <w:tcW w:w="1530" w:type="dxa"/>
            <w:hideMark/>
          </w:tcPr>
          <w:p w14:paraId="7F88697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0.00</w:t>
            </w:r>
          </w:p>
        </w:tc>
      </w:tr>
      <w:tr w:rsidR="0025111C" w:rsidRPr="0025111C" w14:paraId="5DFB6467" w14:textId="77777777" w:rsidTr="00E303BE">
        <w:trPr>
          <w:trHeight w:val="20"/>
        </w:trPr>
        <w:tc>
          <w:tcPr>
            <w:tcW w:w="2070" w:type="dxa"/>
            <w:vMerge/>
            <w:hideMark/>
          </w:tcPr>
          <w:p w14:paraId="5785F5CE" w14:textId="77777777" w:rsidR="0025111C" w:rsidRPr="0025111C" w:rsidRDefault="0025111C" w:rsidP="00E303BE">
            <w:pPr>
              <w:jc w:val="center"/>
              <w:rPr>
                <w:rFonts w:ascii="Arial" w:hAnsi="Arial" w:cs="Arial"/>
                <w:b/>
                <w:bCs/>
                <w:i/>
                <w:iCs/>
                <w:sz w:val="16"/>
                <w:szCs w:val="16"/>
              </w:rPr>
            </w:pPr>
          </w:p>
        </w:tc>
        <w:tc>
          <w:tcPr>
            <w:tcW w:w="2155" w:type="dxa"/>
            <w:hideMark/>
          </w:tcPr>
          <w:p w14:paraId="4933BFBE"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No Religion</w:t>
            </w:r>
          </w:p>
        </w:tc>
        <w:tc>
          <w:tcPr>
            <w:tcW w:w="1260" w:type="dxa"/>
            <w:hideMark/>
          </w:tcPr>
          <w:p w14:paraId="614FC90B"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4</w:t>
            </w:r>
          </w:p>
        </w:tc>
        <w:tc>
          <w:tcPr>
            <w:tcW w:w="1530" w:type="dxa"/>
            <w:hideMark/>
          </w:tcPr>
          <w:p w14:paraId="4CE08FD9"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12.10</w:t>
            </w:r>
          </w:p>
        </w:tc>
      </w:tr>
      <w:tr w:rsidR="0025111C" w:rsidRPr="0025111C" w14:paraId="51C637D9" w14:textId="77777777" w:rsidTr="00E303BE">
        <w:trPr>
          <w:trHeight w:val="20"/>
        </w:trPr>
        <w:tc>
          <w:tcPr>
            <w:tcW w:w="2070" w:type="dxa"/>
            <w:vMerge/>
            <w:hideMark/>
          </w:tcPr>
          <w:p w14:paraId="1047A4D4" w14:textId="77777777" w:rsidR="0025111C" w:rsidRPr="0025111C" w:rsidRDefault="0025111C" w:rsidP="00E303BE">
            <w:pPr>
              <w:jc w:val="center"/>
              <w:rPr>
                <w:rFonts w:ascii="Arial" w:hAnsi="Arial" w:cs="Arial"/>
                <w:b/>
                <w:bCs/>
                <w:i/>
                <w:iCs/>
                <w:sz w:val="16"/>
                <w:szCs w:val="16"/>
              </w:rPr>
            </w:pPr>
          </w:p>
        </w:tc>
        <w:tc>
          <w:tcPr>
            <w:tcW w:w="2155" w:type="dxa"/>
            <w:hideMark/>
          </w:tcPr>
          <w:p w14:paraId="278B119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Other Religion</w:t>
            </w:r>
          </w:p>
        </w:tc>
        <w:tc>
          <w:tcPr>
            <w:tcW w:w="1260" w:type="dxa"/>
            <w:hideMark/>
          </w:tcPr>
          <w:p w14:paraId="1D2E86A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w:t>
            </w:r>
          </w:p>
        </w:tc>
        <w:tc>
          <w:tcPr>
            <w:tcW w:w="1530" w:type="dxa"/>
            <w:hideMark/>
          </w:tcPr>
          <w:p w14:paraId="1CF0825F"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3.00</w:t>
            </w:r>
          </w:p>
        </w:tc>
      </w:tr>
      <w:tr w:rsidR="0025111C" w:rsidRPr="0025111C" w14:paraId="4D10D34A" w14:textId="77777777" w:rsidTr="00E303BE">
        <w:trPr>
          <w:trHeight w:val="20"/>
        </w:trPr>
        <w:tc>
          <w:tcPr>
            <w:tcW w:w="7015" w:type="dxa"/>
            <w:gridSpan w:val="4"/>
          </w:tcPr>
          <w:p w14:paraId="3C5968A8" w14:textId="77777777" w:rsidR="0025111C" w:rsidRPr="0025111C" w:rsidRDefault="0025111C" w:rsidP="00E303BE">
            <w:pPr>
              <w:jc w:val="center"/>
              <w:rPr>
                <w:rFonts w:ascii="Arial" w:hAnsi="Arial" w:cs="Arial"/>
                <w:b/>
                <w:bCs/>
                <w:i/>
                <w:iCs/>
                <w:sz w:val="16"/>
                <w:szCs w:val="16"/>
              </w:rPr>
            </w:pPr>
          </w:p>
        </w:tc>
      </w:tr>
      <w:tr w:rsidR="0025111C" w:rsidRPr="0025111C" w14:paraId="77FAA8EE" w14:textId="77777777" w:rsidTr="00E303BE">
        <w:trPr>
          <w:trHeight w:val="20"/>
        </w:trPr>
        <w:tc>
          <w:tcPr>
            <w:tcW w:w="2070" w:type="dxa"/>
            <w:vMerge w:val="restart"/>
            <w:hideMark/>
          </w:tcPr>
          <w:p w14:paraId="1986AB0E"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Length of MDD Diagnosis</w:t>
            </w:r>
          </w:p>
        </w:tc>
        <w:tc>
          <w:tcPr>
            <w:tcW w:w="2155" w:type="dxa"/>
            <w:hideMark/>
          </w:tcPr>
          <w:p w14:paraId="5E5D0483"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Less than 1 year</w:t>
            </w:r>
          </w:p>
        </w:tc>
        <w:tc>
          <w:tcPr>
            <w:tcW w:w="1260" w:type="dxa"/>
            <w:hideMark/>
          </w:tcPr>
          <w:p w14:paraId="3182F9EC"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11</w:t>
            </w:r>
          </w:p>
        </w:tc>
        <w:tc>
          <w:tcPr>
            <w:tcW w:w="1530" w:type="dxa"/>
            <w:hideMark/>
          </w:tcPr>
          <w:p w14:paraId="08BA8E88"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33.30</w:t>
            </w:r>
          </w:p>
        </w:tc>
      </w:tr>
      <w:tr w:rsidR="0025111C" w:rsidRPr="0025111C" w14:paraId="332354AA" w14:textId="77777777" w:rsidTr="00E303BE">
        <w:trPr>
          <w:trHeight w:val="20"/>
        </w:trPr>
        <w:tc>
          <w:tcPr>
            <w:tcW w:w="2070" w:type="dxa"/>
            <w:vMerge/>
            <w:hideMark/>
          </w:tcPr>
          <w:p w14:paraId="662FB522" w14:textId="77777777" w:rsidR="0025111C" w:rsidRPr="0025111C" w:rsidRDefault="0025111C" w:rsidP="00E303BE">
            <w:pPr>
              <w:jc w:val="center"/>
              <w:rPr>
                <w:rFonts w:ascii="Arial" w:hAnsi="Arial" w:cs="Arial"/>
                <w:b/>
                <w:bCs/>
                <w:i/>
                <w:iCs/>
                <w:sz w:val="16"/>
                <w:szCs w:val="16"/>
              </w:rPr>
            </w:pPr>
          </w:p>
        </w:tc>
        <w:tc>
          <w:tcPr>
            <w:tcW w:w="2155" w:type="dxa"/>
            <w:hideMark/>
          </w:tcPr>
          <w:p w14:paraId="4F44D129"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1-2 years</w:t>
            </w:r>
          </w:p>
        </w:tc>
        <w:tc>
          <w:tcPr>
            <w:tcW w:w="1260" w:type="dxa"/>
            <w:hideMark/>
          </w:tcPr>
          <w:p w14:paraId="1E18FCBF"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4</w:t>
            </w:r>
          </w:p>
        </w:tc>
        <w:tc>
          <w:tcPr>
            <w:tcW w:w="1530" w:type="dxa"/>
            <w:hideMark/>
          </w:tcPr>
          <w:p w14:paraId="3FA4DF9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12.10</w:t>
            </w:r>
          </w:p>
        </w:tc>
      </w:tr>
      <w:tr w:rsidR="0025111C" w:rsidRPr="0025111C" w14:paraId="0BA0DD60" w14:textId="77777777" w:rsidTr="00E303BE">
        <w:trPr>
          <w:trHeight w:val="20"/>
        </w:trPr>
        <w:tc>
          <w:tcPr>
            <w:tcW w:w="2070" w:type="dxa"/>
            <w:vMerge/>
            <w:hideMark/>
          </w:tcPr>
          <w:p w14:paraId="6D73D44C" w14:textId="77777777" w:rsidR="0025111C" w:rsidRPr="0025111C" w:rsidRDefault="0025111C" w:rsidP="00E303BE">
            <w:pPr>
              <w:jc w:val="center"/>
              <w:rPr>
                <w:rFonts w:ascii="Arial" w:hAnsi="Arial" w:cs="Arial"/>
                <w:b/>
                <w:bCs/>
                <w:i/>
                <w:iCs/>
                <w:sz w:val="16"/>
                <w:szCs w:val="16"/>
              </w:rPr>
            </w:pPr>
          </w:p>
        </w:tc>
        <w:tc>
          <w:tcPr>
            <w:tcW w:w="2155" w:type="dxa"/>
            <w:hideMark/>
          </w:tcPr>
          <w:p w14:paraId="0FA45FF3"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3-5 years</w:t>
            </w:r>
          </w:p>
        </w:tc>
        <w:tc>
          <w:tcPr>
            <w:tcW w:w="1260" w:type="dxa"/>
            <w:hideMark/>
          </w:tcPr>
          <w:p w14:paraId="300195D1"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10</w:t>
            </w:r>
          </w:p>
        </w:tc>
        <w:tc>
          <w:tcPr>
            <w:tcW w:w="1530" w:type="dxa"/>
            <w:hideMark/>
          </w:tcPr>
          <w:p w14:paraId="47DD30AB"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30.30</w:t>
            </w:r>
          </w:p>
        </w:tc>
      </w:tr>
      <w:tr w:rsidR="0025111C" w:rsidRPr="0025111C" w14:paraId="453D4D8A" w14:textId="77777777" w:rsidTr="00E303BE">
        <w:trPr>
          <w:trHeight w:val="20"/>
        </w:trPr>
        <w:tc>
          <w:tcPr>
            <w:tcW w:w="2070" w:type="dxa"/>
            <w:vMerge/>
            <w:hideMark/>
          </w:tcPr>
          <w:p w14:paraId="355969C4" w14:textId="77777777" w:rsidR="0025111C" w:rsidRPr="0025111C" w:rsidRDefault="0025111C" w:rsidP="00E303BE">
            <w:pPr>
              <w:jc w:val="center"/>
              <w:rPr>
                <w:rFonts w:ascii="Arial" w:hAnsi="Arial" w:cs="Arial"/>
                <w:b/>
                <w:bCs/>
                <w:i/>
                <w:iCs/>
                <w:sz w:val="16"/>
                <w:szCs w:val="16"/>
              </w:rPr>
            </w:pPr>
          </w:p>
        </w:tc>
        <w:tc>
          <w:tcPr>
            <w:tcW w:w="2155" w:type="dxa"/>
            <w:hideMark/>
          </w:tcPr>
          <w:p w14:paraId="423B5F64"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More than 5 years</w:t>
            </w:r>
          </w:p>
        </w:tc>
        <w:tc>
          <w:tcPr>
            <w:tcW w:w="1260" w:type="dxa"/>
            <w:hideMark/>
          </w:tcPr>
          <w:p w14:paraId="7AC75B5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8</w:t>
            </w:r>
          </w:p>
        </w:tc>
        <w:tc>
          <w:tcPr>
            <w:tcW w:w="1530" w:type="dxa"/>
            <w:hideMark/>
          </w:tcPr>
          <w:p w14:paraId="4D07F48B"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24.20</w:t>
            </w:r>
          </w:p>
        </w:tc>
      </w:tr>
      <w:tr w:rsidR="0025111C" w:rsidRPr="0025111C" w14:paraId="327BB39D" w14:textId="77777777" w:rsidTr="00E303BE">
        <w:trPr>
          <w:trHeight w:val="20"/>
        </w:trPr>
        <w:tc>
          <w:tcPr>
            <w:tcW w:w="2070" w:type="dxa"/>
            <w:vMerge/>
            <w:hideMark/>
          </w:tcPr>
          <w:p w14:paraId="5BD48731" w14:textId="77777777" w:rsidR="0025111C" w:rsidRPr="0025111C" w:rsidRDefault="0025111C" w:rsidP="00E303BE">
            <w:pPr>
              <w:jc w:val="center"/>
              <w:rPr>
                <w:rFonts w:ascii="Arial" w:hAnsi="Arial" w:cs="Arial"/>
                <w:b/>
                <w:bCs/>
                <w:i/>
                <w:iCs/>
                <w:sz w:val="16"/>
                <w:szCs w:val="16"/>
              </w:rPr>
            </w:pPr>
          </w:p>
        </w:tc>
        <w:tc>
          <w:tcPr>
            <w:tcW w:w="2155" w:type="dxa"/>
            <w:hideMark/>
          </w:tcPr>
          <w:p w14:paraId="0353376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Not Applicable</w:t>
            </w:r>
          </w:p>
        </w:tc>
        <w:tc>
          <w:tcPr>
            <w:tcW w:w="1260" w:type="dxa"/>
            <w:hideMark/>
          </w:tcPr>
          <w:p w14:paraId="2A80FA4E"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w:t>
            </w:r>
          </w:p>
        </w:tc>
        <w:tc>
          <w:tcPr>
            <w:tcW w:w="1530" w:type="dxa"/>
            <w:hideMark/>
          </w:tcPr>
          <w:p w14:paraId="310F494C"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0.00</w:t>
            </w:r>
          </w:p>
        </w:tc>
      </w:tr>
      <w:tr w:rsidR="0025111C" w:rsidRPr="0025111C" w14:paraId="5FE639D0" w14:textId="77777777" w:rsidTr="00E303BE">
        <w:trPr>
          <w:trHeight w:val="20"/>
        </w:trPr>
        <w:tc>
          <w:tcPr>
            <w:tcW w:w="7015" w:type="dxa"/>
            <w:gridSpan w:val="4"/>
          </w:tcPr>
          <w:p w14:paraId="4EA6610E" w14:textId="77777777" w:rsidR="0025111C" w:rsidRPr="0025111C" w:rsidRDefault="0025111C" w:rsidP="00E303BE">
            <w:pPr>
              <w:jc w:val="center"/>
              <w:rPr>
                <w:rFonts w:ascii="Arial" w:hAnsi="Arial" w:cs="Arial"/>
                <w:b/>
                <w:bCs/>
                <w:i/>
                <w:iCs/>
                <w:sz w:val="16"/>
                <w:szCs w:val="16"/>
              </w:rPr>
            </w:pPr>
          </w:p>
        </w:tc>
      </w:tr>
      <w:tr w:rsidR="0025111C" w:rsidRPr="0025111C" w14:paraId="4578DF11" w14:textId="77777777" w:rsidTr="00E303BE">
        <w:trPr>
          <w:trHeight w:val="20"/>
        </w:trPr>
        <w:tc>
          <w:tcPr>
            <w:tcW w:w="2070" w:type="dxa"/>
            <w:vMerge w:val="restart"/>
            <w:hideMark/>
          </w:tcPr>
          <w:p w14:paraId="1E44D7B3"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No. of Antidepressants Taken</w:t>
            </w:r>
          </w:p>
        </w:tc>
        <w:tc>
          <w:tcPr>
            <w:tcW w:w="2155" w:type="dxa"/>
            <w:hideMark/>
          </w:tcPr>
          <w:p w14:paraId="5213C08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None</w:t>
            </w:r>
          </w:p>
        </w:tc>
        <w:tc>
          <w:tcPr>
            <w:tcW w:w="1260" w:type="dxa"/>
            <w:hideMark/>
          </w:tcPr>
          <w:p w14:paraId="5ACDADFE"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w:t>
            </w:r>
          </w:p>
        </w:tc>
        <w:tc>
          <w:tcPr>
            <w:tcW w:w="1530" w:type="dxa"/>
            <w:hideMark/>
          </w:tcPr>
          <w:p w14:paraId="1F98D6E5"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0.00</w:t>
            </w:r>
          </w:p>
        </w:tc>
      </w:tr>
      <w:tr w:rsidR="0025111C" w:rsidRPr="0025111C" w14:paraId="47BCCEDB" w14:textId="77777777" w:rsidTr="00E303BE">
        <w:trPr>
          <w:trHeight w:val="20"/>
        </w:trPr>
        <w:tc>
          <w:tcPr>
            <w:tcW w:w="2070" w:type="dxa"/>
            <w:vMerge/>
            <w:hideMark/>
          </w:tcPr>
          <w:p w14:paraId="49125AC7" w14:textId="77777777" w:rsidR="0025111C" w:rsidRPr="0025111C" w:rsidRDefault="0025111C" w:rsidP="00E303BE">
            <w:pPr>
              <w:jc w:val="center"/>
              <w:rPr>
                <w:rFonts w:ascii="Arial" w:hAnsi="Arial" w:cs="Arial"/>
                <w:b/>
                <w:bCs/>
                <w:i/>
                <w:iCs/>
                <w:sz w:val="16"/>
                <w:szCs w:val="16"/>
              </w:rPr>
            </w:pPr>
          </w:p>
        </w:tc>
        <w:tc>
          <w:tcPr>
            <w:tcW w:w="2155" w:type="dxa"/>
            <w:hideMark/>
          </w:tcPr>
          <w:p w14:paraId="603168B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w:t>
            </w:r>
          </w:p>
        </w:tc>
        <w:tc>
          <w:tcPr>
            <w:tcW w:w="1260" w:type="dxa"/>
            <w:hideMark/>
          </w:tcPr>
          <w:p w14:paraId="628A5DC9"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15</w:t>
            </w:r>
          </w:p>
        </w:tc>
        <w:tc>
          <w:tcPr>
            <w:tcW w:w="1530" w:type="dxa"/>
            <w:hideMark/>
          </w:tcPr>
          <w:p w14:paraId="713CE22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45.50</w:t>
            </w:r>
          </w:p>
        </w:tc>
      </w:tr>
      <w:tr w:rsidR="0025111C" w:rsidRPr="0025111C" w14:paraId="5E2110AB" w14:textId="77777777" w:rsidTr="00E303BE">
        <w:trPr>
          <w:trHeight w:val="20"/>
        </w:trPr>
        <w:tc>
          <w:tcPr>
            <w:tcW w:w="2070" w:type="dxa"/>
            <w:vMerge/>
            <w:hideMark/>
          </w:tcPr>
          <w:p w14:paraId="3158758F" w14:textId="77777777" w:rsidR="0025111C" w:rsidRPr="0025111C" w:rsidRDefault="0025111C" w:rsidP="00E303BE">
            <w:pPr>
              <w:jc w:val="center"/>
              <w:rPr>
                <w:rFonts w:ascii="Arial" w:hAnsi="Arial" w:cs="Arial"/>
                <w:b/>
                <w:bCs/>
                <w:i/>
                <w:iCs/>
                <w:sz w:val="16"/>
                <w:szCs w:val="16"/>
              </w:rPr>
            </w:pPr>
          </w:p>
        </w:tc>
        <w:tc>
          <w:tcPr>
            <w:tcW w:w="2155" w:type="dxa"/>
            <w:hideMark/>
          </w:tcPr>
          <w:p w14:paraId="29A2CC29"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w:t>
            </w:r>
          </w:p>
        </w:tc>
        <w:tc>
          <w:tcPr>
            <w:tcW w:w="1260" w:type="dxa"/>
            <w:hideMark/>
          </w:tcPr>
          <w:p w14:paraId="657F193C"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12</w:t>
            </w:r>
          </w:p>
        </w:tc>
        <w:tc>
          <w:tcPr>
            <w:tcW w:w="1530" w:type="dxa"/>
            <w:hideMark/>
          </w:tcPr>
          <w:p w14:paraId="57F7F28E"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36.40</w:t>
            </w:r>
          </w:p>
        </w:tc>
      </w:tr>
      <w:tr w:rsidR="0025111C" w:rsidRPr="0025111C" w14:paraId="0363E072" w14:textId="77777777" w:rsidTr="00E303BE">
        <w:trPr>
          <w:trHeight w:val="20"/>
        </w:trPr>
        <w:tc>
          <w:tcPr>
            <w:tcW w:w="2070" w:type="dxa"/>
            <w:vMerge/>
            <w:hideMark/>
          </w:tcPr>
          <w:p w14:paraId="35895D38" w14:textId="77777777" w:rsidR="0025111C" w:rsidRPr="0025111C" w:rsidRDefault="0025111C" w:rsidP="00E303BE">
            <w:pPr>
              <w:jc w:val="center"/>
              <w:rPr>
                <w:rFonts w:ascii="Arial" w:hAnsi="Arial" w:cs="Arial"/>
                <w:b/>
                <w:bCs/>
                <w:i/>
                <w:iCs/>
                <w:sz w:val="16"/>
                <w:szCs w:val="16"/>
              </w:rPr>
            </w:pPr>
          </w:p>
        </w:tc>
        <w:tc>
          <w:tcPr>
            <w:tcW w:w="2155" w:type="dxa"/>
            <w:hideMark/>
          </w:tcPr>
          <w:p w14:paraId="71C9F2C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3 or more</w:t>
            </w:r>
          </w:p>
        </w:tc>
        <w:tc>
          <w:tcPr>
            <w:tcW w:w="1260" w:type="dxa"/>
            <w:hideMark/>
          </w:tcPr>
          <w:p w14:paraId="6B748AEC"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w:t>
            </w:r>
          </w:p>
        </w:tc>
        <w:tc>
          <w:tcPr>
            <w:tcW w:w="1530" w:type="dxa"/>
            <w:hideMark/>
          </w:tcPr>
          <w:p w14:paraId="71026183"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18.20</w:t>
            </w:r>
          </w:p>
        </w:tc>
      </w:tr>
      <w:tr w:rsidR="0025111C" w:rsidRPr="0025111C" w14:paraId="653F52B9" w14:textId="77777777" w:rsidTr="00E303BE">
        <w:trPr>
          <w:trHeight w:val="20"/>
        </w:trPr>
        <w:tc>
          <w:tcPr>
            <w:tcW w:w="7015" w:type="dxa"/>
            <w:gridSpan w:val="4"/>
          </w:tcPr>
          <w:p w14:paraId="29A620A6" w14:textId="77777777" w:rsidR="0025111C" w:rsidRPr="0025111C" w:rsidRDefault="0025111C" w:rsidP="00E303BE">
            <w:pPr>
              <w:jc w:val="center"/>
              <w:rPr>
                <w:rFonts w:ascii="Arial" w:hAnsi="Arial" w:cs="Arial"/>
                <w:b/>
                <w:bCs/>
                <w:i/>
                <w:iCs/>
                <w:sz w:val="16"/>
                <w:szCs w:val="16"/>
              </w:rPr>
            </w:pPr>
          </w:p>
        </w:tc>
      </w:tr>
      <w:tr w:rsidR="0025111C" w:rsidRPr="0025111C" w14:paraId="49D29564" w14:textId="77777777" w:rsidTr="00E303BE">
        <w:trPr>
          <w:trHeight w:val="20"/>
        </w:trPr>
        <w:tc>
          <w:tcPr>
            <w:tcW w:w="2070" w:type="dxa"/>
            <w:vMerge w:val="restart"/>
            <w:hideMark/>
          </w:tcPr>
          <w:p w14:paraId="49557BEB"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CAM Usage</w:t>
            </w:r>
          </w:p>
        </w:tc>
        <w:tc>
          <w:tcPr>
            <w:tcW w:w="2155" w:type="dxa"/>
            <w:hideMark/>
          </w:tcPr>
          <w:p w14:paraId="6F7FB1BF"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Yes</w:t>
            </w:r>
          </w:p>
        </w:tc>
        <w:tc>
          <w:tcPr>
            <w:tcW w:w="1260" w:type="dxa"/>
            <w:hideMark/>
          </w:tcPr>
          <w:p w14:paraId="10D2E241"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8</w:t>
            </w:r>
          </w:p>
        </w:tc>
        <w:tc>
          <w:tcPr>
            <w:tcW w:w="1530" w:type="dxa"/>
            <w:hideMark/>
          </w:tcPr>
          <w:p w14:paraId="053E8074"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24.20</w:t>
            </w:r>
          </w:p>
        </w:tc>
      </w:tr>
      <w:tr w:rsidR="0025111C" w:rsidRPr="0025111C" w14:paraId="5161B78F" w14:textId="77777777" w:rsidTr="00E303BE">
        <w:trPr>
          <w:trHeight w:val="20"/>
        </w:trPr>
        <w:tc>
          <w:tcPr>
            <w:tcW w:w="2070" w:type="dxa"/>
            <w:vMerge/>
            <w:hideMark/>
          </w:tcPr>
          <w:p w14:paraId="2EBA0076" w14:textId="77777777" w:rsidR="0025111C" w:rsidRPr="0025111C" w:rsidRDefault="0025111C" w:rsidP="00E303BE">
            <w:pPr>
              <w:jc w:val="center"/>
              <w:rPr>
                <w:rFonts w:ascii="Arial" w:hAnsi="Arial" w:cs="Arial"/>
                <w:b/>
                <w:bCs/>
                <w:i/>
                <w:iCs/>
                <w:sz w:val="16"/>
                <w:szCs w:val="16"/>
              </w:rPr>
            </w:pPr>
          </w:p>
        </w:tc>
        <w:tc>
          <w:tcPr>
            <w:tcW w:w="2155" w:type="dxa"/>
            <w:hideMark/>
          </w:tcPr>
          <w:p w14:paraId="30B06E4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No</w:t>
            </w:r>
          </w:p>
        </w:tc>
        <w:tc>
          <w:tcPr>
            <w:tcW w:w="1260" w:type="dxa"/>
            <w:hideMark/>
          </w:tcPr>
          <w:p w14:paraId="7B82A713"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25</w:t>
            </w:r>
          </w:p>
        </w:tc>
        <w:tc>
          <w:tcPr>
            <w:tcW w:w="1530" w:type="dxa"/>
            <w:hideMark/>
          </w:tcPr>
          <w:p w14:paraId="5E508095"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75.80</w:t>
            </w:r>
          </w:p>
        </w:tc>
      </w:tr>
      <w:tr w:rsidR="0025111C" w:rsidRPr="0025111C" w14:paraId="20332E9A" w14:textId="77777777" w:rsidTr="00E303BE">
        <w:trPr>
          <w:trHeight w:val="20"/>
        </w:trPr>
        <w:tc>
          <w:tcPr>
            <w:tcW w:w="7015" w:type="dxa"/>
            <w:gridSpan w:val="4"/>
          </w:tcPr>
          <w:p w14:paraId="2CCBC437" w14:textId="77777777" w:rsidR="0025111C" w:rsidRPr="0025111C" w:rsidRDefault="0025111C" w:rsidP="00E303BE">
            <w:pPr>
              <w:jc w:val="center"/>
              <w:rPr>
                <w:rFonts w:ascii="Arial" w:hAnsi="Arial" w:cs="Arial"/>
                <w:b/>
                <w:bCs/>
                <w:i/>
                <w:iCs/>
                <w:sz w:val="16"/>
                <w:szCs w:val="16"/>
              </w:rPr>
            </w:pPr>
          </w:p>
        </w:tc>
      </w:tr>
      <w:tr w:rsidR="0025111C" w:rsidRPr="0025111C" w14:paraId="677970E8" w14:textId="77777777" w:rsidTr="00E303BE">
        <w:trPr>
          <w:trHeight w:val="20"/>
        </w:trPr>
        <w:tc>
          <w:tcPr>
            <w:tcW w:w="2070" w:type="dxa"/>
            <w:vMerge w:val="restart"/>
            <w:hideMark/>
          </w:tcPr>
          <w:p w14:paraId="668F7B65"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General Knowledge PAT</w:t>
            </w:r>
          </w:p>
        </w:tc>
        <w:tc>
          <w:tcPr>
            <w:tcW w:w="2155" w:type="dxa"/>
            <w:hideMark/>
          </w:tcPr>
          <w:p w14:paraId="297DCD6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Not Familiar at all</w:t>
            </w:r>
          </w:p>
        </w:tc>
        <w:tc>
          <w:tcPr>
            <w:tcW w:w="1260" w:type="dxa"/>
            <w:hideMark/>
          </w:tcPr>
          <w:p w14:paraId="5A3D979F"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16</w:t>
            </w:r>
          </w:p>
        </w:tc>
        <w:tc>
          <w:tcPr>
            <w:tcW w:w="1530" w:type="dxa"/>
            <w:hideMark/>
          </w:tcPr>
          <w:p w14:paraId="07EE993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50.00</w:t>
            </w:r>
          </w:p>
        </w:tc>
      </w:tr>
      <w:tr w:rsidR="0025111C" w:rsidRPr="0025111C" w14:paraId="2D1C2193" w14:textId="77777777" w:rsidTr="00E303BE">
        <w:trPr>
          <w:trHeight w:val="20"/>
        </w:trPr>
        <w:tc>
          <w:tcPr>
            <w:tcW w:w="2070" w:type="dxa"/>
            <w:vMerge/>
            <w:hideMark/>
          </w:tcPr>
          <w:p w14:paraId="38ED5384" w14:textId="77777777" w:rsidR="0025111C" w:rsidRPr="0025111C" w:rsidRDefault="0025111C" w:rsidP="00E303BE">
            <w:pPr>
              <w:jc w:val="center"/>
              <w:rPr>
                <w:rFonts w:ascii="Arial" w:hAnsi="Arial" w:cs="Arial"/>
                <w:b/>
                <w:bCs/>
                <w:i/>
                <w:iCs/>
                <w:sz w:val="16"/>
                <w:szCs w:val="16"/>
              </w:rPr>
            </w:pPr>
          </w:p>
        </w:tc>
        <w:tc>
          <w:tcPr>
            <w:tcW w:w="2155" w:type="dxa"/>
            <w:hideMark/>
          </w:tcPr>
          <w:p w14:paraId="03A9C3A0"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Slightly Familiar</w:t>
            </w:r>
          </w:p>
        </w:tc>
        <w:tc>
          <w:tcPr>
            <w:tcW w:w="1260" w:type="dxa"/>
            <w:hideMark/>
          </w:tcPr>
          <w:p w14:paraId="22C28E58"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w:t>
            </w:r>
          </w:p>
        </w:tc>
        <w:tc>
          <w:tcPr>
            <w:tcW w:w="1530" w:type="dxa"/>
            <w:hideMark/>
          </w:tcPr>
          <w:p w14:paraId="1CDB88CF"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18.80</w:t>
            </w:r>
          </w:p>
        </w:tc>
      </w:tr>
      <w:tr w:rsidR="0025111C" w:rsidRPr="0025111C" w14:paraId="4FC6640B" w14:textId="77777777" w:rsidTr="00E303BE">
        <w:trPr>
          <w:trHeight w:val="20"/>
        </w:trPr>
        <w:tc>
          <w:tcPr>
            <w:tcW w:w="2070" w:type="dxa"/>
            <w:vMerge/>
            <w:hideMark/>
          </w:tcPr>
          <w:p w14:paraId="2B40DCF8" w14:textId="77777777" w:rsidR="0025111C" w:rsidRPr="0025111C" w:rsidRDefault="0025111C" w:rsidP="00E303BE">
            <w:pPr>
              <w:jc w:val="center"/>
              <w:rPr>
                <w:rFonts w:ascii="Arial" w:hAnsi="Arial" w:cs="Arial"/>
                <w:b/>
                <w:bCs/>
                <w:i/>
                <w:iCs/>
                <w:sz w:val="16"/>
                <w:szCs w:val="16"/>
              </w:rPr>
            </w:pPr>
          </w:p>
        </w:tc>
        <w:tc>
          <w:tcPr>
            <w:tcW w:w="2155" w:type="dxa"/>
            <w:hideMark/>
          </w:tcPr>
          <w:p w14:paraId="7269E464"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Familiar</w:t>
            </w:r>
          </w:p>
        </w:tc>
        <w:tc>
          <w:tcPr>
            <w:tcW w:w="1260" w:type="dxa"/>
            <w:hideMark/>
          </w:tcPr>
          <w:p w14:paraId="636BC969"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8</w:t>
            </w:r>
          </w:p>
        </w:tc>
        <w:tc>
          <w:tcPr>
            <w:tcW w:w="1530" w:type="dxa"/>
            <w:hideMark/>
          </w:tcPr>
          <w:p w14:paraId="391AAF5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25.00</w:t>
            </w:r>
          </w:p>
        </w:tc>
      </w:tr>
      <w:tr w:rsidR="0025111C" w:rsidRPr="0025111C" w14:paraId="785114DD" w14:textId="77777777" w:rsidTr="00E303BE">
        <w:trPr>
          <w:trHeight w:val="20"/>
        </w:trPr>
        <w:tc>
          <w:tcPr>
            <w:tcW w:w="2070" w:type="dxa"/>
            <w:vMerge/>
            <w:hideMark/>
          </w:tcPr>
          <w:p w14:paraId="08F8CAFF" w14:textId="77777777" w:rsidR="0025111C" w:rsidRPr="0025111C" w:rsidRDefault="0025111C" w:rsidP="00E303BE">
            <w:pPr>
              <w:jc w:val="center"/>
              <w:rPr>
                <w:rFonts w:ascii="Arial" w:hAnsi="Arial" w:cs="Arial"/>
                <w:b/>
                <w:bCs/>
                <w:i/>
                <w:iCs/>
                <w:sz w:val="16"/>
                <w:szCs w:val="16"/>
              </w:rPr>
            </w:pPr>
          </w:p>
        </w:tc>
        <w:tc>
          <w:tcPr>
            <w:tcW w:w="2155" w:type="dxa"/>
            <w:hideMark/>
          </w:tcPr>
          <w:p w14:paraId="4B9059A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Very Familiar</w:t>
            </w:r>
          </w:p>
        </w:tc>
        <w:tc>
          <w:tcPr>
            <w:tcW w:w="1260" w:type="dxa"/>
            <w:hideMark/>
          </w:tcPr>
          <w:p w14:paraId="7BCD0ECC"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w:t>
            </w:r>
          </w:p>
        </w:tc>
        <w:tc>
          <w:tcPr>
            <w:tcW w:w="1530" w:type="dxa"/>
            <w:hideMark/>
          </w:tcPr>
          <w:p w14:paraId="04BD96DB"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6.30</w:t>
            </w:r>
          </w:p>
        </w:tc>
      </w:tr>
      <w:tr w:rsidR="0025111C" w:rsidRPr="0025111C" w14:paraId="12DB05EC" w14:textId="77777777" w:rsidTr="00E303BE">
        <w:trPr>
          <w:trHeight w:val="20"/>
        </w:trPr>
        <w:tc>
          <w:tcPr>
            <w:tcW w:w="7015" w:type="dxa"/>
            <w:gridSpan w:val="4"/>
          </w:tcPr>
          <w:p w14:paraId="599A6329" w14:textId="77777777" w:rsidR="0025111C" w:rsidRPr="0025111C" w:rsidRDefault="0025111C" w:rsidP="00E303BE">
            <w:pPr>
              <w:jc w:val="center"/>
              <w:rPr>
                <w:rFonts w:ascii="Arial" w:hAnsi="Arial" w:cs="Arial"/>
                <w:b/>
                <w:bCs/>
                <w:i/>
                <w:iCs/>
                <w:sz w:val="16"/>
                <w:szCs w:val="16"/>
              </w:rPr>
            </w:pPr>
          </w:p>
        </w:tc>
      </w:tr>
      <w:tr w:rsidR="0025111C" w:rsidRPr="0025111C" w14:paraId="64DE61BB" w14:textId="77777777" w:rsidTr="00E303BE">
        <w:trPr>
          <w:trHeight w:val="20"/>
        </w:trPr>
        <w:tc>
          <w:tcPr>
            <w:tcW w:w="2070" w:type="dxa"/>
            <w:vMerge w:val="restart"/>
            <w:hideMark/>
          </w:tcPr>
          <w:p w14:paraId="777EE308"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Attitude towards Psilocybin and CAM</w:t>
            </w:r>
          </w:p>
        </w:tc>
        <w:tc>
          <w:tcPr>
            <w:tcW w:w="2155" w:type="dxa"/>
            <w:hideMark/>
          </w:tcPr>
          <w:p w14:paraId="59D8A1D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Yes</w:t>
            </w:r>
          </w:p>
        </w:tc>
        <w:tc>
          <w:tcPr>
            <w:tcW w:w="1260" w:type="dxa"/>
            <w:hideMark/>
          </w:tcPr>
          <w:p w14:paraId="66C69424"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16</w:t>
            </w:r>
          </w:p>
        </w:tc>
        <w:tc>
          <w:tcPr>
            <w:tcW w:w="1530" w:type="dxa"/>
            <w:hideMark/>
          </w:tcPr>
          <w:p w14:paraId="6B2E28C1"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50.00</w:t>
            </w:r>
          </w:p>
        </w:tc>
      </w:tr>
      <w:tr w:rsidR="0025111C" w:rsidRPr="0025111C" w14:paraId="20572691" w14:textId="77777777" w:rsidTr="00E303BE">
        <w:trPr>
          <w:trHeight w:val="20"/>
        </w:trPr>
        <w:tc>
          <w:tcPr>
            <w:tcW w:w="2070" w:type="dxa"/>
            <w:vMerge/>
            <w:hideMark/>
          </w:tcPr>
          <w:p w14:paraId="4258393F" w14:textId="77777777" w:rsidR="0025111C" w:rsidRPr="0025111C" w:rsidRDefault="0025111C" w:rsidP="00E303BE">
            <w:pPr>
              <w:jc w:val="center"/>
              <w:rPr>
                <w:rFonts w:ascii="Arial" w:hAnsi="Arial" w:cs="Arial"/>
                <w:b/>
                <w:bCs/>
                <w:i/>
                <w:iCs/>
                <w:sz w:val="16"/>
                <w:szCs w:val="16"/>
              </w:rPr>
            </w:pPr>
          </w:p>
        </w:tc>
        <w:tc>
          <w:tcPr>
            <w:tcW w:w="2155" w:type="dxa"/>
            <w:hideMark/>
          </w:tcPr>
          <w:p w14:paraId="4D98F875"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No</w:t>
            </w:r>
          </w:p>
        </w:tc>
        <w:tc>
          <w:tcPr>
            <w:tcW w:w="1260" w:type="dxa"/>
            <w:hideMark/>
          </w:tcPr>
          <w:p w14:paraId="008080C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14</w:t>
            </w:r>
          </w:p>
        </w:tc>
        <w:tc>
          <w:tcPr>
            <w:tcW w:w="1530" w:type="dxa"/>
            <w:hideMark/>
          </w:tcPr>
          <w:p w14:paraId="5CD98884"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43.80</w:t>
            </w:r>
          </w:p>
        </w:tc>
      </w:tr>
      <w:tr w:rsidR="0025111C" w:rsidRPr="0025111C" w14:paraId="7BA02D77" w14:textId="77777777" w:rsidTr="00E303BE">
        <w:trPr>
          <w:trHeight w:val="480"/>
        </w:trPr>
        <w:tc>
          <w:tcPr>
            <w:tcW w:w="2070" w:type="dxa"/>
            <w:vMerge/>
            <w:hideMark/>
          </w:tcPr>
          <w:p w14:paraId="4A6F5C38" w14:textId="77777777" w:rsidR="0025111C" w:rsidRPr="0025111C" w:rsidRDefault="0025111C" w:rsidP="00E303BE">
            <w:pPr>
              <w:jc w:val="center"/>
              <w:rPr>
                <w:rFonts w:ascii="Arial" w:hAnsi="Arial" w:cs="Arial"/>
                <w:b/>
                <w:bCs/>
                <w:i/>
                <w:iCs/>
                <w:sz w:val="16"/>
                <w:szCs w:val="16"/>
              </w:rPr>
            </w:pPr>
          </w:p>
        </w:tc>
        <w:tc>
          <w:tcPr>
            <w:tcW w:w="2155" w:type="dxa"/>
            <w:vMerge w:val="restart"/>
            <w:hideMark/>
          </w:tcPr>
          <w:p w14:paraId="2D31BE7D"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Not familiar with Psilocybin</w:t>
            </w:r>
          </w:p>
        </w:tc>
        <w:tc>
          <w:tcPr>
            <w:tcW w:w="1260" w:type="dxa"/>
            <w:vMerge w:val="restart"/>
            <w:hideMark/>
          </w:tcPr>
          <w:p w14:paraId="68659BB2"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2</w:t>
            </w:r>
          </w:p>
        </w:tc>
        <w:tc>
          <w:tcPr>
            <w:tcW w:w="1530" w:type="dxa"/>
            <w:vMerge w:val="restart"/>
            <w:hideMark/>
          </w:tcPr>
          <w:p w14:paraId="1D12F726"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6.30</w:t>
            </w:r>
          </w:p>
        </w:tc>
      </w:tr>
      <w:tr w:rsidR="0025111C" w:rsidRPr="0025111C" w14:paraId="678CB731" w14:textId="77777777" w:rsidTr="00E303BE">
        <w:trPr>
          <w:trHeight w:val="480"/>
        </w:trPr>
        <w:tc>
          <w:tcPr>
            <w:tcW w:w="2070" w:type="dxa"/>
            <w:vMerge/>
            <w:hideMark/>
          </w:tcPr>
          <w:p w14:paraId="4AFD2511" w14:textId="77777777" w:rsidR="0025111C" w:rsidRPr="0025111C" w:rsidRDefault="0025111C" w:rsidP="00E303BE">
            <w:pPr>
              <w:jc w:val="center"/>
              <w:rPr>
                <w:rFonts w:ascii="Arial" w:hAnsi="Arial" w:cs="Arial"/>
                <w:b/>
                <w:bCs/>
                <w:i/>
                <w:iCs/>
                <w:sz w:val="16"/>
                <w:szCs w:val="16"/>
              </w:rPr>
            </w:pPr>
          </w:p>
        </w:tc>
        <w:tc>
          <w:tcPr>
            <w:tcW w:w="2155" w:type="dxa"/>
            <w:vMerge/>
            <w:hideMark/>
          </w:tcPr>
          <w:p w14:paraId="6C83DA29" w14:textId="77777777" w:rsidR="0025111C" w:rsidRPr="0025111C" w:rsidRDefault="0025111C" w:rsidP="00E303BE">
            <w:pPr>
              <w:jc w:val="center"/>
              <w:rPr>
                <w:rFonts w:ascii="Arial" w:hAnsi="Arial" w:cs="Arial"/>
                <w:sz w:val="16"/>
                <w:szCs w:val="16"/>
              </w:rPr>
            </w:pPr>
          </w:p>
        </w:tc>
        <w:tc>
          <w:tcPr>
            <w:tcW w:w="1260" w:type="dxa"/>
            <w:vMerge/>
            <w:hideMark/>
          </w:tcPr>
          <w:p w14:paraId="195540B2" w14:textId="77777777" w:rsidR="0025111C" w:rsidRPr="0025111C" w:rsidRDefault="0025111C" w:rsidP="00E303BE">
            <w:pPr>
              <w:jc w:val="center"/>
              <w:rPr>
                <w:rFonts w:ascii="Arial" w:hAnsi="Arial" w:cs="Arial"/>
                <w:sz w:val="16"/>
                <w:szCs w:val="16"/>
              </w:rPr>
            </w:pPr>
          </w:p>
        </w:tc>
        <w:tc>
          <w:tcPr>
            <w:tcW w:w="1530" w:type="dxa"/>
            <w:vMerge/>
            <w:hideMark/>
          </w:tcPr>
          <w:p w14:paraId="769FB26B" w14:textId="77777777" w:rsidR="0025111C" w:rsidRPr="0025111C" w:rsidRDefault="0025111C" w:rsidP="00E303BE">
            <w:pPr>
              <w:jc w:val="center"/>
              <w:rPr>
                <w:rFonts w:ascii="Arial" w:hAnsi="Arial" w:cs="Arial"/>
                <w:sz w:val="16"/>
                <w:szCs w:val="16"/>
              </w:rPr>
            </w:pPr>
          </w:p>
        </w:tc>
      </w:tr>
      <w:tr w:rsidR="0025111C" w:rsidRPr="0025111C" w14:paraId="2ECFEDC8" w14:textId="77777777" w:rsidTr="00E303BE">
        <w:trPr>
          <w:trHeight w:val="20"/>
        </w:trPr>
        <w:tc>
          <w:tcPr>
            <w:tcW w:w="7015" w:type="dxa"/>
            <w:gridSpan w:val="4"/>
          </w:tcPr>
          <w:p w14:paraId="1C5CCA77" w14:textId="77777777" w:rsidR="0025111C" w:rsidRPr="0025111C" w:rsidRDefault="0025111C" w:rsidP="00E303BE">
            <w:pPr>
              <w:jc w:val="center"/>
              <w:rPr>
                <w:rFonts w:ascii="Arial" w:hAnsi="Arial" w:cs="Arial"/>
                <w:b/>
                <w:bCs/>
                <w:i/>
                <w:iCs/>
                <w:sz w:val="16"/>
                <w:szCs w:val="16"/>
              </w:rPr>
            </w:pPr>
          </w:p>
        </w:tc>
      </w:tr>
      <w:tr w:rsidR="0025111C" w:rsidRPr="0025111C" w14:paraId="789BE1BB" w14:textId="77777777" w:rsidTr="00E303BE">
        <w:trPr>
          <w:trHeight w:val="20"/>
        </w:trPr>
        <w:tc>
          <w:tcPr>
            <w:tcW w:w="2070" w:type="dxa"/>
            <w:vMerge w:val="restart"/>
            <w:tcBorders>
              <w:bottom w:val="single" w:sz="4" w:space="0" w:color="auto"/>
            </w:tcBorders>
            <w:hideMark/>
          </w:tcPr>
          <w:p w14:paraId="79E1CE1F" w14:textId="77777777" w:rsidR="0025111C" w:rsidRPr="0025111C" w:rsidRDefault="0025111C" w:rsidP="00E303BE">
            <w:pPr>
              <w:jc w:val="center"/>
              <w:rPr>
                <w:rFonts w:ascii="Arial" w:hAnsi="Arial" w:cs="Arial"/>
                <w:b/>
                <w:bCs/>
                <w:i/>
                <w:iCs/>
                <w:sz w:val="16"/>
                <w:szCs w:val="16"/>
              </w:rPr>
            </w:pPr>
            <w:r w:rsidRPr="0025111C">
              <w:rPr>
                <w:rFonts w:ascii="Arial" w:hAnsi="Arial" w:cs="Arial"/>
                <w:b/>
                <w:bCs/>
                <w:sz w:val="16"/>
                <w:szCs w:val="16"/>
              </w:rPr>
              <w:t>Expansion of MMP</w:t>
            </w:r>
          </w:p>
        </w:tc>
        <w:tc>
          <w:tcPr>
            <w:tcW w:w="2155" w:type="dxa"/>
            <w:hideMark/>
          </w:tcPr>
          <w:p w14:paraId="66AD6B81"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Strongly Disagree</w:t>
            </w:r>
          </w:p>
        </w:tc>
        <w:tc>
          <w:tcPr>
            <w:tcW w:w="1260" w:type="dxa"/>
            <w:hideMark/>
          </w:tcPr>
          <w:p w14:paraId="26021173"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w:t>
            </w:r>
          </w:p>
        </w:tc>
        <w:tc>
          <w:tcPr>
            <w:tcW w:w="1530" w:type="dxa"/>
            <w:hideMark/>
          </w:tcPr>
          <w:p w14:paraId="38643D99"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0.00</w:t>
            </w:r>
          </w:p>
        </w:tc>
      </w:tr>
      <w:tr w:rsidR="0025111C" w:rsidRPr="0025111C" w14:paraId="71659F53" w14:textId="77777777" w:rsidTr="00E303BE">
        <w:trPr>
          <w:trHeight w:val="20"/>
        </w:trPr>
        <w:tc>
          <w:tcPr>
            <w:tcW w:w="2070" w:type="dxa"/>
            <w:vMerge/>
            <w:tcBorders>
              <w:bottom w:val="single" w:sz="4" w:space="0" w:color="auto"/>
            </w:tcBorders>
            <w:hideMark/>
          </w:tcPr>
          <w:p w14:paraId="0F2FCA42" w14:textId="77777777" w:rsidR="0025111C" w:rsidRPr="0025111C" w:rsidRDefault="0025111C" w:rsidP="00E303BE">
            <w:pPr>
              <w:jc w:val="center"/>
              <w:rPr>
                <w:rFonts w:ascii="Arial" w:hAnsi="Arial" w:cs="Arial"/>
                <w:b/>
                <w:bCs/>
                <w:i/>
                <w:iCs/>
                <w:sz w:val="16"/>
                <w:szCs w:val="16"/>
              </w:rPr>
            </w:pPr>
          </w:p>
        </w:tc>
        <w:tc>
          <w:tcPr>
            <w:tcW w:w="2155" w:type="dxa"/>
            <w:hideMark/>
          </w:tcPr>
          <w:p w14:paraId="376EFB1A"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Slightly Disagree</w:t>
            </w:r>
          </w:p>
        </w:tc>
        <w:tc>
          <w:tcPr>
            <w:tcW w:w="1260" w:type="dxa"/>
            <w:hideMark/>
          </w:tcPr>
          <w:p w14:paraId="37A3E5F8"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w:t>
            </w:r>
          </w:p>
        </w:tc>
        <w:tc>
          <w:tcPr>
            <w:tcW w:w="1530" w:type="dxa"/>
            <w:hideMark/>
          </w:tcPr>
          <w:p w14:paraId="25BA268C"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0.00</w:t>
            </w:r>
          </w:p>
        </w:tc>
      </w:tr>
      <w:tr w:rsidR="0025111C" w:rsidRPr="0025111C" w14:paraId="4DEB9622" w14:textId="77777777" w:rsidTr="00E303BE">
        <w:trPr>
          <w:trHeight w:val="20"/>
        </w:trPr>
        <w:tc>
          <w:tcPr>
            <w:tcW w:w="2070" w:type="dxa"/>
            <w:vMerge/>
            <w:tcBorders>
              <w:bottom w:val="single" w:sz="4" w:space="0" w:color="auto"/>
            </w:tcBorders>
            <w:hideMark/>
          </w:tcPr>
          <w:p w14:paraId="629E2484" w14:textId="77777777" w:rsidR="0025111C" w:rsidRPr="0025111C" w:rsidRDefault="0025111C" w:rsidP="00E303BE">
            <w:pPr>
              <w:jc w:val="center"/>
              <w:rPr>
                <w:rFonts w:ascii="Arial" w:hAnsi="Arial" w:cs="Arial"/>
                <w:b/>
                <w:bCs/>
                <w:i/>
                <w:iCs/>
                <w:sz w:val="16"/>
                <w:szCs w:val="16"/>
              </w:rPr>
            </w:pPr>
          </w:p>
        </w:tc>
        <w:tc>
          <w:tcPr>
            <w:tcW w:w="2155" w:type="dxa"/>
            <w:hideMark/>
          </w:tcPr>
          <w:p w14:paraId="67EBD569"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Slightly Agree</w:t>
            </w:r>
          </w:p>
        </w:tc>
        <w:tc>
          <w:tcPr>
            <w:tcW w:w="1260" w:type="dxa"/>
            <w:hideMark/>
          </w:tcPr>
          <w:p w14:paraId="5D6707D7"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14</w:t>
            </w:r>
          </w:p>
        </w:tc>
        <w:tc>
          <w:tcPr>
            <w:tcW w:w="1530" w:type="dxa"/>
            <w:hideMark/>
          </w:tcPr>
          <w:p w14:paraId="54A4B61F"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45.20</w:t>
            </w:r>
          </w:p>
        </w:tc>
      </w:tr>
      <w:tr w:rsidR="0025111C" w:rsidRPr="0025111C" w14:paraId="1C612FC7" w14:textId="77777777" w:rsidTr="00E303BE">
        <w:trPr>
          <w:trHeight w:val="20"/>
        </w:trPr>
        <w:tc>
          <w:tcPr>
            <w:tcW w:w="2070" w:type="dxa"/>
            <w:vMerge/>
            <w:tcBorders>
              <w:bottom w:val="single" w:sz="4" w:space="0" w:color="auto"/>
            </w:tcBorders>
            <w:hideMark/>
          </w:tcPr>
          <w:p w14:paraId="61EB6C25" w14:textId="77777777" w:rsidR="0025111C" w:rsidRPr="0025111C" w:rsidRDefault="0025111C" w:rsidP="00E303BE">
            <w:pPr>
              <w:jc w:val="center"/>
              <w:rPr>
                <w:rFonts w:ascii="Arial" w:hAnsi="Arial" w:cs="Arial"/>
                <w:b/>
                <w:bCs/>
                <w:i/>
                <w:iCs/>
                <w:sz w:val="16"/>
                <w:szCs w:val="16"/>
              </w:rPr>
            </w:pPr>
          </w:p>
        </w:tc>
        <w:tc>
          <w:tcPr>
            <w:tcW w:w="2155" w:type="dxa"/>
            <w:tcBorders>
              <w:bottom w:val="single" w:sz="4" w:space="0" w:color="auto"/>
            </w:tcBorders>
            <w:hideMark/>
          </w:tcPr>
          <w:p w14:paraId="1FA0A075"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Strongly Agree</w:t>
            </w:r>
          </w:p>
        </w:tc>
        <w:tc>
          <w:tcPr>
            <w:tcW w:w="1260" w:type="dxa"/>
            <w:tcBorders>
              <w:bottom w:val="single" w:sz="4" w:space="0" w:color="auto"/>
            </w:tcBorders>
            <w:hideMark/>
          </w:tcPr>
          <w:p w14:paraId="70387A40"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17</w:t>
            </w:r>
          </w:p>
        </w:tc>
        <w:tc>
          <w:tcPr>
            <w:tcW w:w="1530" w:type="dxa"/>
            <w:tcBorders>
              <w:bottom w:val="single" w:sz="4" w:space="0" w:color="auto"/>
            </w:tcBorders>
            <w:hideMark/>
          </w:tcPr>
          <w:p w14:paraId="41B6C99C" w14:textId="77777777" w:rsidR="0025111C" w:rsidRPr="0025111C" w:rsidRDefault="0025111C" w:rsidP="00E303BE">
            <w:pPr>
              <w:jc w:val="center"/>
              <w:rPr>
                <w:rFonts w:ascii="Arial" w:hAnsi="Arial" w:cs="Arial"/>
                <w:sz w:val="16"/>
                <w:szCs w:val="16"/>
              </w:rPr>
            </w:pPr>
            <w:r w:rsidRPr="0025111C">
              <w:rPr>
                <w:rFonts w:ascii="Arial" w:hAnsi="Arial" w:cs="Arial"/>
                <w:sz w:val="16"/>
                <w:szCs w:val="16"/>
              </w:rPr>
              <w:t>54.80</w:t>
            </w:r>
          </w:p>
        </w:tc>
      </w:tr>
    </w:tbl>
    <w:p w14:paraId="5772B16B" w14:textId="77777777" w:rsidR="0025111C" w:rsidRPr="0025111C" w:rsidRDefault="0025111C" w:rsidP="0025111C">
      <w:pPr>
        <w:rPr>
          <w:rFonts w:ascii="Arial" w:hAnsi="Arial" w:cs="Arial"/>
          <w:i/>
          <w:iCs/>
          <w:sz w:val="16"/>
          <w:szCs w:val="16"/>
        </w:rPr>
      </w:pPr>
      <w:r w:rsidRPr="0025111C">
        <w:rPr>
          <w:rFonts w:ascii="Arial" w:hAnsi="Arial" w:cs="Arial"/>
          <w:b/>
          <w:bCs/>
          <w:i/>
          <w:iCs/>
          <w:sz w:val="16"/>
          <w:szCs w:val="16"/>
        </w:rPr>
        <w:t>Note.</w:t>
      </w:r>
      <w:r w:rsidRPr="0025111C">
        <w:rPr>
          <w:rFonts w:ascii="Arial" w:hAnsi="Arial" w:cs="Arial"/>
          <w:i/>
          <w:iCs/>
          <w:sz w:val="16"/>
          <w:szCs w:val="16"/>
        </w:rPr>
        <w:t xml:space="preserve"> </w:t>
      </w:r>
      <w:r w:rsidRPr="0025111C">
        <w:rPr>
          <w:rFonts w:ascii="Arial" w:hAnsi="Arial" w:cs="Arial"/>
          <w:sz w:val="16"/>
          <w:szCs w:val="16"/>
        </w:rPr>
        <w:t>PAT= Psilocybin-Assisted Therapy; CAM= Complementary and Alternative Medicine; MDD= Major Depressive Disorder; MMP = Medical Marijuana Program; (n=33)</w:t>
      </w:r>
    </w:p>
    <w:p w14:paraId="660D44B0" w14:textId="77777777" w:rsidR="0025111C" w:rsidRPr="0025111C" w:rsidRDefault="0025111C" w:rsidP="0025111C">
      <w:pPr>
        <w:shd w:val="clear" w:color="auto" w:fill="FFFFFF"/>
        <w:textAlignment w:val="baseline"/>
        <w:rPr>
          <w:rFonts w:ascii="Arial" w:hAnsi="Arial" w:cs="Arial"/>
          <w:color w:val="000000" w:themeColor="text1"/>
          <w:sz w:val="16"/>
          <w:szCs w:val="16"/>
        </w:rPr>
      </w:pPr>
    </w:p>
    <w:p w14:paraId="26110694" w14:textId="77777777" w:rsidR="0025111C" w:rsidRPr="0025111C" w:rsidRDefault="0025111C" w:rsidP="0025111C">
      <w:pPr>
        <w:shd w:val="clear" w:color="auto" w:fill="FFFFFF"/>
        <w:textAlignment w:val="baseline"/>
        <w:rPr>
          <w:rFonts w:ascii="Arial" w:hAnsi="Arial" w:cs="Arial"/>
          <w:b/>
          <w:bCs/>
          <w:color w:val="000000" w:themeColor="text1"/>
        </w:rPr>
      </w:pPr>
      <w:r w:rsidRPr="0025111C">
        <w:rPr>
          <w:rFonts w:ascii="Arial" w:hAnsi="Arial" w:cs="Arial"/>
          <w:b/>
          <w:bCs/>
          <w:color w:val="000000" w:themeColor="text1"/>
        </w:rPr>
        <w:t xml:space="preserve">3.2 Bivariate Analysis of Potential Covariates with PATA </w:t>
      </w:r>
    </w:p>
    <w:p w14:paraId="76363228" w14:textId="77777777" w:rsidR="0025111C" w:rsidRPr="0025111C" w:rsidRDefault="0025111C" w:rsidP="0025111C">
      <w:pPr>
        <w:shd w:val="clear" w:color="auto" w:fill="FFFFFF"/>
        <w:textAlignment w:val="baseline"/>
        <w:rPr>
          <w:rFonts w:ascii="Arial" w:hAnsi="Arial" w:cs="Arial"/>
          <w:b/>
          <w:bCs/>
          <w:i/>
          <w:iCs/>
          <w:color w:val="000000" w:themeColor="text1"/>
        </w:rPr>
      </w:pPr>
    </w:p>
    <w:p w14:paraId="182F12EF" w14:textId="51610FB0" w:rsidR="0025111C" w:rsidRPr="0025111C" w:rsidRDefault="0025111C" w:rsidP="0025111C">
      <w:pPr>
        <w:ind w:firstLine="720"/>
        <w:rPr>
          <w:rFonts w:ascii="Arial" w:hAnsi="Arial" w:cs="Arial"/>
        </w:rPr>
      </w:pPr>
      <w:r w:rsidRPr="0025111C">
        <w:rPr>
          <w:rFonts w:ascii="Arial" w:hAnsi="Arial" w:cs="Arial"/>
        </w:rPr>
        <w:t xml:space="preserve">A Spearman’s rho analysis was conducted to examine associations between PATA and demographic characteristics, clinical and medication history, attitudinal, and knowledge variables. Results in Table 2, shows a weak correlation between demographic variables, and clinical factors (e.g., number of antidepressant medications taken, and duration of MDD diagnosis) with PATA </w:t>
      </w:r>
      <w:r w:rsidRPr="00674CB1">
        <w:rPr>
          <w:rFonts w:ascii="Arial" w:hAnsi="Arial" w:cs="Arial"/>
        </w:rPr>
        <w:t>(</w:t>
      </w:r>
      <w:r w:rsidR="00477389">
        <w:rPr>
          <w:rFonts w:ascii="Arial" w:hAnsi="Arial" w:cs="Arial"/>
        </w:rPr>
        <w:t>P=.25</w:t>
      </w:r>
      <w:r w:rsidRPr="00674CB1">
        <w:rPr>
          <w:rFonts w:ascii="Arial" w:hAnsi="Arial" w:cs="Arial"/>
        </w:rPr>
        <w:t xml:space="preserve">, </w:t>
      </w:r>
      <w:r w:rsidR="00477389" w:rsidRPr="00477389">
        <w:rPr>
          <w:rFonts w:ascii="Arial" w:hAnsi="Arial" w:cs="Arial"/>
          <w:i/>
          <w:iCs/>
        </w:rPr>
        <w:t>P</w:t>
      </w:r>
      <w:r w:rsidR="00477389">
        <w:rPr>
          <w:rFonts w:ascii="Arial" w:hAnsi="Arial" w:cs="Arial"/>
        </w:rPr>
        <w:t>=.13, respectively</w:t>
      </w:r>
      <w:r w:rsidRPr="00674CB1">
        <w:rPr>
          <w:rFonts w:ascii="Arial" w:hAnsi="Arial" w:cs="Arial"/>
        </w:rPr>
        <w:t>).</w:t>
      </w:r>
      <w:r w:rsidRPr="0025111C">
        <w:rPr>
          <w:rFonts w:ascii="Arial" w:hAnsi="Arial" w:cs="Arial"/>
        </w:rPr>
        <w:t xml:space="preserve"> More specifically, PATA  was not associated with age (</w:t>
      </w:r>
      <w:r w:rsidRPr="0025111C">
        <w:rPr>
          <w:rFonts w:ascii="Arial" w:eastAsiaTheme="majorEastAsia" w:hAnsi="Arial" w:cs="Arial"/>
        </w:rPr>
        <w:t xml:space="preserve">r=-.254, </w:t>
      </w:r>
      <w:r w:rsidR="0038450D" w:rsidRPr="0038450D">
        <w:rPr>
          <w:rFonts w:ascii="Arial" w:eastAsiaTheme="majorEastAsia" w:hAnsi="Arial" w:cs="Arial"/>
          <w:i/>
          <w:iCs/>
        </w:rPr>
        <w:t>P</w:t>
      </w:r>
      <w:r w:rsidRPr="0025111C">
        <w:rPr>
          <w:rFonts w:ascii="Arial" w:eastAsiaTheme="majorEastAsia" w:hAnsi="Arial" w:cs="Arial"/>
        </w:rPr>
        <w:t>=.168), gender (r=-.039,</w:t>
      </w:r>
      <w:r w:rsidRPr="0038450D">
        <w:rPr>
          <w:rFonts w:ascii="Arial" w:eastAsiaTheme="majorEastAsia" w:hAnsi="Arial" w:cs="Arial"/>
          <w:i/>
          <w:iCs/>
        </w:rPr>
        <w:t xml:space="preserve"> </w:t>
      </w:r>
      <w:r w:rsidR="0038450D" w:rsidRPr="0038450D">
        <w:rPr>
          <w:rFonts w:ascii="Arial" w:eastAsiaTheme="majorEastAsia" w:hAnsi="Arial" w:cs="Arial"/>
          <w:i/>
          <w:iCs/>
        </w:rPr>
        <w:t>P</w:t>
      </w:r>
      <w:r w:rsidRPr="00674CB1">
        <w:rPr>
          <w:rFonts w:ascii="Arial" w:eastAsiaTheme="majorEastAsia" w:hAnsi="Arial" w:cs="Arial"/>
        </w:rPr>
        <w:t>=.835),</w:t>
      </w:r>
      <w:r w:rsidRPr="0025111C">
        <w:rPr>
          <w:rFonts w:ascii="Arial" w:eastAsiaTheme="majorEastAsia" w:hAnsi="Arial" w:cs="Arial"/>
        </w:rPr>
        <w:t xml:space="preserve"> race/ethnicity (r= -.147,</w:t>
      </w:r>
      <w:r w:rsidRPr="0038450D">
        <w:rPr>
          <w:rFonts w:ascii="Arial" w:eastAsiaTheme="majorEastAsia" w:hAnsi="Arial" w:cs="Arial"/>
          <w:i/>
          <w:iCs/>
        </w:rPr>
        <w:t xml:space="preserve"> </w:t>
      </w:r>
      <w:r w:rsidR="0038450D" w:rsidRPr="0038450D">
        <w:rPr>
          <w:rFonts w:ascii="Arial" w:eastAsiaTheme="majorEastAsia" w:hAnsi="Arial" w:cs="Arial"/>
          <w:i/>
          <w:iCs/>
        </w:rPr>
        <w:t>P</w:t>
      </w:r>
      <w:r w:rsidRPr="0025111C">
        <w:rPr>
          <w:rFonts w:ascii="Arial" w:eastAsiaTheme="majorEastAsia" w:hAnsi="Arial" w:cs="Arial"/>
        </w:rPr>
        <w:t xml:space="preserve">=.430), marital status (r= -.230, </w:t>
      </w:r>
      <w:r w:rsidR="0038450D" w:rsidRPr="0038450D">
        <w:rPr>
          <w:rFonts w:ascii="Arial" w:eastAsiaTheme="majorEastAsia" w:hAnsi="Arial" w:cs="Arial"/>
          <w:i/>
          <w:iCs/>
        </w:rPr>
        <w:t>P</w:t>
      </w:r>
      <w:r w:rsidRPr="00674CB1">
        <w:rPr>
          <w:rFonts w:ascii="Arial" w:eastAsiaTheme="majorEastAsia" w:hAnsi="Arial" w:cs="Arial"/>
        </w:rPr>
        <w:t>=.212),</w:t>
      </w:r>
      <w:r w:rsidRPr="0025111C">
        <w:rPr>
          <w:rFonts w:ascii="Arial" w:eastAsiaTheme="majorEastAsia" w:hAnsi="Arial" w:cs="Arial"/>
        </w:rPr>
        <w:t xml:space="preserve"> employment (r= -.125, </w:t>
      </w:r>
      <w:r w:rsidR="0038450D" w:rsidRPr="0038450D">
        <w:rPr>
          <w:rFonts w:ascii="Arial" w:eastAsiaTheme="majorEastAsia" w:hAnsi="Arial" w:cs="Arial"/>
          <w:i/>
          <w:iCs/>
        </w:rPr>
        <w:t>P</w:t>
      </w:r>
      <w:r w:rsidRPr="0025111C">
        <w:rPr>
          <w:rFonts w:ascii="Arial" w:eastAsiaTheme="majorEastAsia" w:hAnsi="Arial" w:cs="Arial"/>
        </w:rPr>
        <w:t xml:space="preserve">=.501), income (r= -.285, </w:t>
      </w:r>
      <w:r w:rsidR="0038450D" w:rsidRPr="0038450D">
        <w:rPr>
          <w:rFonts w:ascii="Arial" w:eastAsiaTheme="majorEastAsia" w:hAnsi="Arial" w:cs="Arial"/>
          <w:i/>
          <w:iCs/>
        </w:rPr>
        <w:t>P</w:t>
      </w:r>
      <w:r w:rsidRPr="0025111C">
        <w:rPr>
          <w:rFonts w:ascii="Arial" w:eastAsiaTheme="majorEastAsia" w:hAnsi="Arial" w:cs="Arial"/>
        </w:rPr>
        <w:t xml:space="preserve">=.120), religion (r= -.168, </w:t>
      </w:r>
      <w:r w:rsidR="0038450D" w:rsidRPr="0038450D">
        <w:rPr>
          <w:rFonts w:ascii="Arial" w:eastAsiaTheme="majorEastAsia" w:hAnsi="Arial" w:cs="Arial"/>
          <w:i/>
          <w:iCs/>
        </w:rPr>
        <w:t>P</w:t>
      </w:r>
      <w:r w:rsidRPr="0025111C">
        <w:rPr>
          <w:rFonts w:ascii="Arial" w:eastAsiaTheme="majorEastAsia" w:hAnsi="Arial" w:cs="Arial"/>
        </w:rPr>
        <w:t xml:space="preserve">=.366), education (r= -.244, </w:t>
      </w:r>
      <w:r w:rsidR="0038450D" w:rsidRPr="0038450D">
        <w:rPr>
          <w:rFonts w:ascii="Arial" w:eastAsiaTheme="majorEastAsia" w:hAnsi="Arial" w:cs="Arial"/>
          <w:i/>
          <w:iCs/>
        </w:rPr>
        <w:t>P</w:t>
      </w:r>
      <w:r w:rsidRPr="00674CB1">
        <w:rPr>
          <w:rFonts w:ascii="Arial" w:eastAsiaTheme="majorEastAsia" w:hAnsi="Arial" w:cs="Arial"/>
        </w:rPr>
        <w:t>=.185),</w:t>
      </w:r>
      <w:r w:rsidRPr="0025111C">
        <w:rPr>
          <w:rFonts w:ascii="Arial" w:eastAsiaTheme="majorEastAsia" w:hAnsi="Arial" w:cs="Arial"/>
        </w:rPr>
        <w:t xml:space="preserve"> length of MDD diagnosis (r= -.274, </w:t>
      </w:r>
      <w:r w:rsidR="0038450D" w:rsidRPr="0038450D">
        <w:rPr>
          <w:rFonts w:ascii="Arial" w:eastAsiaTheme="majorEastAsia" w:hAnsi="Arial" w:cs="Arial"/>
          <w:i/>
          <w:iCs/>
        </w:rPr>
        <w:t>P</w:t>
      </w:r>
      <w:r w:rsidRPr="00674CB1">
        <w:rPr>
          <w:rFonts w:ascii="Arial" w:eastAsiaTheme="majorEastAsia" w:hAnsi="Arial" w:cs="Arial"/>
        </w:rPr>
        <w:t>=.135),</w:t>
      </w:r>
      <w:r w:rsidRPr="0025111C">
        <w:rPr>
          <w:rFonts w:ascii="Arial" w:eastAsiaTheme="majorEastAsia" w:hAnsi="Arial" w:cs="Arial"/>
        </w:rPr>
        <w:t xml:space="preserve"> and number of existing antidepressants taken (r= -.213, </w:t>
      </w:r>
      <w:r w:rsidR="0038450D" w:rsidRPr="0038450D">
        <w:rPr>
          <w:rFonts w:ascii="Arial" w:eastAsiaTheme="majorEastAsia" w:hAnsi="Arial" w:cs="Arial"/>
          <w:i/>
          <w:iCs/>
        </w:rPr>
        <w:t>P</w:t>
      </w:r>
      <w:r w:rsidRPr="0025111C">
        <w:rPr>
          <w:rFonts w:ascii="Arial" w:eastAsiaTheme="majorEastAsia" w:hAnsi="Arial" w:cs="Arial"/>
        </w:rPr>
        <w:t xml:space="preserve">=.251). </w:t>
      </w:r>
      <w:r w:rsidR="00A7539B">
        <w:rPr>
          <w:rFonts w:ascii="Arial" w:eastAsiaTheme="majorEastAsia" w:hAnsi="Arial" w:cs="Arial"/>
        </w:rPr>
        <w:t xml:space="preserve">However, </w:t>
      </w:r>
      <w:r w:rsidR="00A7539B">
        <w:rPr>
          <w:rFonts w:ascii="Arial" w:hAnsi="Arial" w:cs="Arial"/>
        </w:rPr>
        <w:t>t</w:t>
      </w:r>
      <w:r w:rsidRPr="0025111C">
        <w:rPr>
          <w:rFonts w:ascii="Arial" w:hAnsi="Arial" w:cs="Arial"/>
        </w:rPr>
        <w:t xml:space="preserve">he </w:t>
      </w:r>
      <w:r w:rsidR="00A7539B" w:rsidRPr="0025111C">
        <w:rPr>
          <w:rFonts w:ascii="Arial" w:eastAsiaTheme="majorEastAsia" w:hAnsi="Arial" w:cs="Arial"/>
        </w:rPr>
        <w:t xml:space="preserve">length of MDD diagnosis </w:t>
      </w:r>
      <w:r w:rsidRPr="0025111C">
        <w:rPr>
          <w:rFonts w:ascii="Arial" w:hAnsi="Arial" w:cs="Arial"/>
        </w:rPr>
        <w:t xml:space="preserve">was a strong predictor of </w:t>
      </w:r>
      <w:r w:rsidRPr="0025111C">
        <w:rPr>
          <w:rFonts w:ascii="Arial" w:eastAsiaTheme="majorEastAsia" w:hAnsi="Arial" w:cs="Arial"/>
        </w:rPr>
        <w:t>antidepressant use (r = .748</w:t>
      </w:r>
      <w:r w:rsidRPr="0025111C">
        <w:rPr>
          <w:rFonts w:ascii="Arial" w:hAnsi="Arial" w:cs="Arial"/>
        </w:rPr>
        <w:t xml:space="preserve">, </w:t>
      </w:r>
      <w:r w:rsidR="0038450D" w:rsidRPr="0038450D">
        <w:rPr>
          <w:rFonts w:ascii="Arial" w:eastAsiaTheme="majorEastAsia" w:hAnsi="Arial" w:cs="Arial"/>
          <w:i/>
          <w:iCs/>
        </w:rPr>
        <w:t>P</w:t>
      </w:r>
      <w:r w:rsidRPr="00674CB1">
        <w:rPr>
          <w:rFonts w:ascii="Arial" w:eastAsiaTheme="majorEastAsia" w:hAnsi="Arial" w:cs="Arial"/>
        </w:rPr>
        <w:t>&lt; .001).</w:t>
      </w:r>
      <w:r w:rsidRPr="0025111C">
        <w:rPr>
          <w:rFonts w:ascii="Arial" w:eastAsiaTheme="majorEastAsia" w:hAnsi="Arial" w:cs="Arial"/>
        </w:rPr>
        <w:t xml:space="preserve"> </w:t>
      </w:r>
      <w:r w:rsidRPr="0025111C">
        <w:rPr>
          <w:rFonts w:ascii="Arial" w:hAnsi="Arial" w:cs="Arial"/>
        </w:rPr>
        <w:t>Employment was positively correlated with income (</w:t>
      </w:r>
      <w:r w:rsidRPr="0025111C">
        <w:rPr>
          <w:rFonts w:ascii="Arial" w:eastAsiaTheme="majorEastAsia" w:hAnsi="Arial" w:cs="Arial"/>
        </w:rPr>
        <w:t>r</w:t>
      </w:r>
      <w:r w:rsidRPr="0025111C">
        <w:rPr>
          <w:rFonts w:ascii="Arial" w:hAnsi="Arial" w:cs="Arial"/>
        </w:rPr>
        <w:t xml:space="preserve">= .461, </w:t>
      </w:r>
      <w:r w:rsidR="0038450D" w:rsidRPr="0038450D">
        <w:rPr>
          <w:rFonts w:ascii="Arial" w:hAnsi="Arial" w:cs="Arial"/>
          <w:i/>
          <w:iCs/>
        </w:rPr>
        <w:t>P</w:t>
      </w:r>
      <w:r w:rsidRPr="0038450D">
        <w:rPr>
          <w:rFonts w:ascii="Arial" w:hAnsi="Arial" w:cs="Arial"/>
          <w:i/>
          <w:iCs/>
        </w:rPr>
        <w:t xml:space="preserve"> </w:t>
      </w:r>
      <w:r w:rsidRPr="0025111C">
        <w:rPr>
          <w:rFonts w:ascii="Arial" w:hAnsi="Arial" w:cs="Arial"/>
        </w:rPr>
        <w:t>= .007) and inversely correlated with length of MDD diagnosis (</w:t>
      </w:r>
      <w:r w:rsidRPr="0025111C">
        <w:rPr>
          <w:rFonts w:ascii="Arial" w:eastAsiaTheme="majorEastAsia" w:hAnsi="Arial" w:cs="Arial"/>
        </w:rPr>
        <w:t>r</w:t>
      </w:r>
      <w:r w:rsidRPr="0025111C">
        <w:rPr>
          <w:rFonts w:ascii="Arial" w:hAnsi="Arial" w:cs="Arial"/>
        </w:rPr>
        <w:t xml:space="preserve"> = –.339, </w:t>
      </w:r>
      <w:r w:rsidR="0038450D" w:rsidRPr="0038450D">
        <w:rPr>
          <w:rFonts w:ascii="Arial" w:hAnsi="Arial" w:cs="Arial"/>
          <w:i/>
          <w:iCs/>
        </w:rPr>
        <w:t>P</w:t>
      </w:r>
      <w:r w:rsidRPr="0025111C">
        <w:rPr>
          <w:rFonts w:ascii="Arial" w:hAnsi="Arial" w:cs="Arial"/>
        </w:rPr>
        <w:t xml:space="preserve"> = .054) and number of antidepressants taken (</w:t>
      </w:r>
      <w:r w:rsidRPr="0025111C">
        <w:rPr>
          <w:rFonts w:ascii="Arial" w:eastAsiaTheme="majorEastAsia" w:hAnsi="Arial" w:cs="Arial"/>
        </w:rPr>
        <w:t>r</w:t>
      </w:r>
      <w:r w:rsidRPr="0025111C">
        <w:rPr>
          <w:rFonts w:ascii="Arial" w:hAnsi="Arial" w:cs="Arial"/>
        </w:rPr>
        <w:t xml:space="preserve"> = –.345,</w:t>
      </w:r>
      <w:r w:rsidRPr="0038450D">
        <w:rPr>
          <w:rFonts w:ascii="Arial" w:hAnsi="Arial" w:cs="Arial"/>
          <w:i/>
          <w:iCs/>
        </w:rPr>
        <w:t xml:space="preserve"> </w:t>
      </w:r>
      <w:r w:rsidR="0038450D" w:rsidRPr="0038450D">
        <w:rPr>
          <w:rFonts w:ascii="Arial" w:hAnsi="Arial" w:cs="Arial"/>
          <w:i/>
          <w:iCs/>
        </w:rPr>
        <w:t>P</w:t>
      </w:r>
      <w:r w:rsidRPr="0025111C">
        <w:rPr>
          <w:rFonts w:ascii="Arial" w:hAnsi="Arial" w:cs="Arial"/>
        </w:rPr>
        <w:t xml:space="preserve"> = .049). Regarding attitudinal variables, results revealed a statistically significant positive correlation between </w:t>
      </w:r>
      <w:r w:rsidRPr="0025111C">
        <w:rPr>
          <w:rFonts w:ascii="Arial" w:eastAsiaTheme="majorEastAsia" w:hAnsi="Arial" w:cs="Arial"/>
        </w:rPr>
        <w:t xml:space="preserve">attitudes toward the Medical Marijuana Program </w:t>
      </w:r>
      <w:r w:rsidR="00A7539B">
        <w:rPr>
          <w:rFonts w:ascii="Arial" w:eastAsiaTheme="majorEastAsia" w:hAnsi="Arial" w:cs="Arial"/>
        </w:rPr>
        <w:t xml:space="preserve">(MMP) </w:t>
      </w:r>
      <w:r w:rsidRPr="0025111C">
        <w:rPr>
          <w:rFonts w:ascii="Arial" w:eastAsiaTheme="majorEastAsia" w:hAnsi="Arial" w:cs="Arial"/>
        </w:rPr>
        <w:t>expansion to include psilocybin</w:t>
      </w:r>
      <w:r w:rsidRPr="0025111C">
        <w:rPr>
          <w:rFonts w:ascii="Arial" w:hAnsi="Arial" w:cs="Arial"/>
        </w:rPr>
        <w:t xml:space="preserve"> (r = .454, </w:t>
      </w:r>
      <w:r w:rsidR="0038450D" w:rsidRPr="0038450D">
        <w:rPr>
          <w:rFonts w:ascii="Arial" w:hAnsi="Arial" w:cs="Arial"/>
          <w:i/>
          <w:iCs/>
        </w:rPr>
        <w:t>P</w:t>
      </w:r>
      <w:r w:rsidRPr="0025111C">
        <w:rPr>
          <w:rFonts w:ascii="Arial" w:hAnsi="Arial" w:cs="Arial"/>
        </w:rPr>
        <w:t xml:space="preserve">= .010).  Non- significant effects included both, </w:t>
      </w:r>
      <w:r w:rsidRPr="0025111C">
        <w:rPr>
          <w:rFonts w:ascii="Arial" w:eastAsiaTheme="majorEastAsia" w:hAnsi="Arial" w:cs="Arial"/>
        </w:rPr>
        <w:t>attitudes</w:t>
      </w:r>
      <w:r w:rsidRPr="0025111C">
        <w:rPr>
          <w:rFonts w:ascii="Arial" w:hAnsi="Arial" w:cs="Arial"/>
        </w:rPr>
        <w:t xml:space="preserve"> towards psilocybin and CAM </w:t>
      </w:r>
      <w:r w:rsidRPr="0025111C">
        <w:rPr>
          <w:rFonts w:ascii="Arial" w:eastAsiaTheme="majorEastAsia" w:hAnsi="Arial" w:cs="Arial"/>
        </w:rPr>
        <w:t xml:space="preserve">(r = .262, </w:t>
      </w:r>
      <w:r w:rsidR="0038450D" w:rsidRPr="0038450D">
        <w:rPr>
          <w:rFonts w:ascii="Arial" w:eastAsiaTheme="majorEastAsia" w:hAnsi="Arial" w:cs="Arial"/>
          <w:i/>
          <w:iCs/>
        </w:rPr>
        <w:t>P</w:t>
      </w:r>
      <w:r w:rsidRPr="0025111C">
        <w:rPr>
          <w:rFonts w:ascii="Arial" w:eastAsiaTheme="majorEastAsia" w:hAnsi="Arial" w:cs="Arial"/>
        </w:rPr>
        <w:t>= .155)</w:t>
      </w:r>
      <w:r w:rsidRPr="0025111C">
        <w:rPr>
          <w:rFonts w:ascii="Arial" w:hAnsi="Arial" w:cs="Arial"/>
        </w:rPr>
        <w:t xml:space="preserve"> and </w:t>
      </w:r>
      <w:r w:rsidRPr="0025111C">
        <w:rPr>
          <w:rFonts w:ascii="Arial" w:eastAsiaTheme="majorEastAsia" w:hAnsi="Arial" w:cs="Arial"/>
        </w:rPr>
        <w:t xml:space="preserve">general knowledge (r = .216, </w:t>
      </w:r>
      <w:r w:rsidR="0038450D" w:rsidRPr="0038450D">
        <w:rPr>
          <w:rFonts w:ascii="Arial" w:eastAsiaTheme="majorEastAsia" w:hAnsi="Arial" w:cs="Arial"/>
          <w:i/>
          <w:iCs/>
        </w:rPr>
        <w:t>P</w:t>
      </w:r>
      <w:r w:rsidRPr="0025111C">
        <w:rPr>
          <w:rFonts w:ascii="Arial" w:eastAsiaTheme="majorEastAsia" w:hAnsi="Arial" w:cs="Arial"/>
        </w:rPr>
        <w:t>= .244)</w:t>
      </w:r>
      <w:r w:rsidRPr="0025111C">
        <w:rPr>
          <w:rFonts w:ascii="Arial" w:hAnsi="Arial" w:cs="Arial"/>
        </w:rPr>
        <w:t xml:space="preserve">. </w:t>
      </w:r>
    </w:p>
    <w:p w14:paraId="29D4E27F" w14:textId="77777777" w:rsidR="0025111C" w:rsidRPr="0025111C" w:rsidRDefault="0025111C" w:rsidP="0025111C">
      <w:pPr>
        <w:shd w:val="clear" w:color="auto" w:fill="FFFFFF"/>
        <w:textAlignment w:val="baseline"/>
        <w:rPr>
          <w:rFonts w:ascii="Arial" w:hAnsi="Arial" w:cs="Arial"/>
          <w:b/>
          <w:bCs/>
        </w:rPr>
      </w:pPr>
    </w:p>
    <w:p w14:paraId="6701E26C" w14:textId="77777777" w:rsidR="0025111C" w:rsidRPr="0025111C" w:rsidRDefault="0025111C" w:rsidP="0025111C">
      <w:pPr>
        <w:shd w:val="clear" w:color="auto" w:fill="FFFFFF"/>
        <w:textAlignment w:val="baseline"/>
        <w:rPr>
          <w:rFonts w:ascii="Arial" w:hAnsi="Arial" w:cs="Arial"/>
          <w:b/>
          <w:bCs/>
        </w:rPr>
      </w:pPr>
    </w:p>
    <w:p w14:paraId="4E584397" w14:textId="77777777" w:rsidR="0025111C" w:rsidRPr="0025111C" w:rsidRDefault="0025111C" w:rsidP="0025111C">
      <w:pPr>
        <w:shd w:val="clear" w:color="auto" w:fill="FFFFFF"/>
        <w:textAlignment w:val="baseline"/>
        <w:rPr>
          <w:rFonts w:ascii="Arial" w:hAnsi="Arial" w:cs="Arial"/>
          <w:b/>
          <w:bCs/>
        </w:rPr>
      </w:pPr>
      <w:r w:rsidRPr="0025111C">
        <w:rPr>
          <w:rFonts w:ascii="Arial" w:hAnsi="Arial" w:cs="Arial"/>
          <w:b/>
          <w:bCs/>
        </w:rPr>
        <w:t xml:space="preserve">Table 2 - Correlations of Potential Covariates with </w:t>
      </w:r>
      <w:r w:rsidRPr="0025111C">
        <w:rPr>
          <w:rFonts w:ascii="Arial" w:hAnsi="Arial" w:cs="Arial"/>
          <w:b/>
          <w:bCs/>
          <w:color w:val="000000" w:themeColor="text1"/>
        </w:rPr>
        <w:t>Psilocybin-Assisted Therapy Acceptance</w:t>
      </w:r>
    </w:p>
    <w:p w14:paraId="2B25E973" w14:textId="77777777" w:rsidR="0025111C" w:rsidRPr="0025111C" w:rsidRDefault="0025111C" w:rsidP="0025111C">
      <w:pPr>
        <w:shd w:val="clear" w:color="auto" w:fill="FFFFFF"/>
        <w:textAlignment w:val="baseline"/>
        <w:rPr>
          <w:rFonts w:ascii="Arial" w:hAnsi="Arial" w:cs="Arial"/>
        </w:rPr>
      </w:pPr>
    </w:p>
    <w:tbl>
      <w:tblPr>
        <w:tblStyle w:val="PlainTable5"/>
        <w:tblW w:w="8910" w:type="dxa"/>
        <w:tblLayout w:type="fixed"/>
        <w:tblLook w:val="04A0" w:firstRow="1" w:lastRow="0" w:firstColumn="1" w:lastColumn="0" w:noHBand="0" w:noVBand="1"/>
      </w:tblPr>
      <w:tblGrid>
        <w:gridCol w:w="4405"/>
        <w:gridCol w:w="1985"/>
        <w:gridCol w:w="2520"/>
      </w:tblGrid>
      <w:tr w:rsidR="0025111C" w:rsidRPr="0025111C" w14:paraId="05FDCEFE" w14:textId="77777777" w:rsidTr="00E303BE">
        <w:trPr>
          <w:cnfStyle w:val="100000000000" w:firstRow="1" w:lastRow="0" w:firstColumn="0" w:lastColumn="0" w:oddVBand="0" w:evenVBand="0" w:oddHBand="0" w:evenHBand="0" w:firstRowFirstColumn="0" w:firstRowLastColumn="0" w:lastRowFirstColumn="0" w:lastRowLastColumn="0"/>
          <w:trHeight w:val="276"/>
        </w:trPr>
        <w:tc>
          <w:tcPr>
            <w:cnfStyle w:val="001000000100" w:firstRow="0" w:lastRow="0" w:firstColumn="1" w:lastColumn="0" w:oddVBand="0" w:evenVBand="0" w:oddHBand="0" w:evenHBand="0" w:firstRowFirstColumn="1" w:firstRowLastColumn="0" w:lastRowFirstColumn="0" w:lastRowLastColumn="0"/>
            <w:tcW w:w="4405" w:type="dxa"/>
            <w:vMerge w:val="restart"/>
            <w:tcBorders>
              <w:top w:val="single" w:sz="4" w:space="0" w:color="auto"/>
              <w:bottom w:val="single" w:sz="4" w:space="0" w:color="auto"/>
            </w:tcBorders>
            <w:vAlign w:val="center"/>
          </w:tcPr>
          <w:p w14:paraId="6879A256" w14:textId="77777777" w:rsidR="0025111C" w:rsidRPr="0025111C" w:rsidRDefault="0025111C" w:rsidP="00E303BE">
            <w:pPr>
              <w:autoSpaceDE w:val="0"/>
              <w:autoSpaceDN w:val="0"/>
              <w:adjustRightInd w:val="0"/>
              <w:jc w:val="center"/>
              <w:rPr>
                <w:rFonts w:ascii="Arial" w:hAnsi="Arial" w:cs="Arial"/>
                <w:b/>
                <w:bCs/>
                <w:i w:val="0"/>
                <w:iCs w:val="0"/>
                <w:color w:val="000000" w:themeColor="text1"/>
                <w:sz w:val="16"/>
                <w:szCs w:val="16"/>
              </w:rPr>
            </w:pPr>
            <w:r w:rsidRPr="0025111C">
              <w:rPr>
                <w:rFonts w:ascii="Arial" w:hAnsi="Arial" w:cs="Arial"/>
                <w:b/>
                <w:bCs/>
                <w:i w:val="0"/>
                <w:iCs w:val="0"/>
                <w:color w:val="000000" w:themeColor="text1"/>
                <w:sz w:val="16"/>
                <w:szCs w:val="16"/>
              </w:rPr>
              <w:t>Variable</w:t>
            </w:r>
          </w:p>
        </w:tc>
        <w:tc>
          <w:tcPr>
            <w:tcW w:w="1985" w:type="dxa"/>
            <w:vMerge w:val="restart"/>
            <w:tcBorders>
              <w:top w:val="single" w:sz="4" w:space="0" w:color="auto"/>
              <w:bottom w:val="single" w:sz="4" w:space="0" w:color="auto"/>
            </w:tcBorders>
            <w:vAlign w:val="center"/>
          </w:tcPr>
          <w:p w14:paraId="1D55BAF9" w14:textId="77777777" w:rsidR="0025111C" w:rsidRPr="0025111C" w:rsidRDefault="0025111C" w:rsidP="00E303BE">
            <w:pPr>
              <w:autoSpaceDE w:val="0"/>
              <w:autoSpaceDN w:val="0"/>
              <w:adjustRightInd w:val="0"/>
              <w:spacing w:line="320" w:lineRule="atLeast"/>
              <w:ind w:right="60"/>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themeColor="text1"/>
                <w:sz w:val="16"/>
                <w:szCs w:val="16"/>
              </w:rPr>
            </w:pPr>
            <w:r w:rsidRPr="0025111C">
              <w:rPr>
                <w:rFonts w:ascii="Arial" w:hAnsi="Arial" w:cs="Arial"/>
                <w:b/>
                <w:bCs/>
                <w:i w:val="0"/>
                <w:iCs w:val="0"/>
                <w:color w:val="000000" w:themeColor="text1"/>
                <w:sz w:val="16"/>
                <w:szCs w:val="16"/>
              </w:rPr>
              <w:t>Spearman's rho</w:t>
            </w:r>
          </w:p>
        </w:tc>
        <w:tc>
          <w:tcPr>
            <w:tcW w:w="2520" w:type="dxa"/>
            <w:vMerge w:val="restart"/>
            <w:tcBorders>
              <w:top w:val="single" w:sz="4" w:space="0" w:color="auto"/>
              <w:bottom w:val="single" w:sz="4" w:space="0" w:color="auto"/>
            </w:tcBorders>
            <w:vAlign w:val="center"/>
          </w:tcPr>
          <w:p w14:paraId="7CF2B45A" w14:textId="77777777" w:rsidR="0025111C" w:rsidRPr="0025111C" w:rsidRDefault="0025111C" w:rsidP="00E303BE">
            <w:pPr>
              <w:autoSpaceDE w:val="0"/>
              <w:autoSpaceDN w:val="0"/>
              <w:adjustRightInd w:val="0"/>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themeColor="text1"/>
                <w:sz w:val="16"/>
                <w:szCs w:val="16"/>
              </w:rPr>
            </w:pPr>
            <w:r w:rsidRPr="0025111C">
              <w:rPr>
                <w:rFonts w:ascii="Arial" w:hAnsi="Arial" w:cs="Arial"/>
                <w:b/>
                <w:bCs/>
                <w:i w:val="0"/>
                <w:iCs w:val="0"/>
                <w:color w:val="000000" w:themeColor="text1"/>
                <w:sz w:val="16"/>
                <w:szCs w:val="16"/>
              </w:rPr>
              <w:t>Significance(2-tailed)</w:t>
            </w:r>
          </w:p>
        </w:tc>
      </w:tr>
      <w:tr w:rsidR="0025111C" w:rsidRPr="0025111C" w14:paraId="19AC6349" w14:textId="77777777" w:rsidTr="00E303B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405" w:type="dxa"/>
            <w:vMerge/>
            <w:tcBorders>
              <w:bottom w:val="single" w:sz="4" w:space="0" w:color="auto"/>
            </w:tcBorders>
          </w:tcPr>
          <w:p w14:paraId="74FAA822" w14:textId="77777777" w:rsidR="0025111C" w:rsidRPr="0025111C" w:rsidRDefault="0025111C" w:rsidP="00E303BE">
            <w:pPr>
              <w:autoSpaceDE w:val="0"/>
              <w:autoSpaceDN w:val="0"/>
              <w:adjustRightInd w:val="0"/>
              <w:rPr>
                <w:rFonts w:ascii="Arial" w:hAnsi="Arial" w:cs="Arial"/>
                <w:color w:val="000000" w:themeColor="text1"/>
                <w:sz w:val="16"/>
                <w:szCs w:val="16"/>
              </w:rPr>
            </w:pPr>
          </w:p>
        </w:tc>
        <w:tc>
          <w:tcPr>
            <w:tcW w:w="1985" w:type="dxa"/>
            <w:vMerge/>
            <w:tcBorders>
              <w:bottom w:val="single" w:sz="4" w:space="0" w:color="auto"/>
            </w:tcBorders>
          </w:tcPr>
          <w:p w14:paraId="4F111397" w14:textId="77777777" w:rsidR="0025111C" w:rsidRPr="0025111C" w:rsidRDefault="0025111C" w:rsidP="00E303B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2520" w:type="dxa"/>
            <w:vMerge/>
            <w:tcBorders>
              <w:bottom w:val="single" w:sz="4" w:space="0" w:color="auto"/>
            </w:tcBorders>
          </w:tcPr>
          <w:p w14:paraId="5D296FA1" w14:textId="77777777" w:rsidR="0025111C" w:rsidRPr="0025111C" w:rsidRDefault="0025111C" w:rsidP="00E303B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r w:rsidR="0025111C" w:rsidRPr="0025111C" w14:paraId="33B2BB65" w14:textId="77777777" w:rsidTr="00E303BE">
        <w:tc>
          <w:tcPr>
            <w:cnfStyle w:val="001000000000" w:firstRow="0" w:lastRow="0" w:firstColumn="1" w:lastColumn="0" w:oddVBand="0" w:evenVBand="0" w:oddHBand="0" w:evenHBand="0" w:firstRowFirstColumn="0" w:firstRowLastColumn="0" w:lastRowFirstColumn="0" w:lastRowLastColumn="0"/>
            <w:tcW w:w="4405" w:type="dxa"/>
            <w:tcBorders>
              <w:top w:val="single" w:sz="4" w:space="0" w:color="auto"/>
            </w:tcBorders>
            <w:vAlign w:val="center"/>
          </w:tcPr>
          <w:p w14:paraId="05699B4D" w14:textId="77777777" w:rsidR="0025111C" w:rsidRPr="0025111C"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25111C">
              <w:rPr>
                <w:rFonts w:ascii="Arial" w:hAnsi="Arial" w:cs="Arial"/>
                <w:i w:val="0"/>
                <w:iCs w:val="0"/>
                <w:color w:val="000000" w:themeColor="text1"/>
                <w:sz w:val="16"/>
                <w:szCs w:val="16"/>
              </w:rPr>
              <w:t>Age - PATA</w:t>
            </w:r>
          </w:p>
        </w:tc>
        <w:tc>
          <w:tcPr>
            <w:tcW w:w="1985" w:type="dxa"/>
            <w:tcBorders>
              <w:top w:val="single" w:sz="4" w:space="0" w:color="auto"/>
            </w:tcBorders>
            <w:vAlign w:val="center"/>
          </w:tcPr>
          <w:p w14:paraId="3F7779CB" w14:textId="77777777" w:rsidR="0025111C" w:rsidRPr="0025111C"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-.254</w:t>
            </w:r>
          </w:p>
        </w:tc>
        <w:tc>
          <w:tcPr>
            <w:tcW w:w="2520" w:type="dxa"/>
            <w:tcBorders>
              <w:top w:val="single" w:sz="4" w:space="0" w:color="auto"/>
            </w:tcBorders>
            <w:vAlign w:val="center"/>
          </w:tcPr>
          <w:p w14:paraId="658829A6" w14:textId="7A444634" w:rsidR="0025111C" w:rsidRPr="0025111C"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.16</w:t>
            </w:r>
            <w:r w:rsidR="00A7539B">
              <w:rPr>
                <w:rFonts w:ascii="Arial" w:hAnsi="Arial" w:cs="Arial"/>
                <w:color w:val="000000" w:themeColor="text1"/>
                <w:sz w:val="16"/>
                <w:szCs w:val="16"/>
              </w:rPr>
              <w:t>8</w:t>
            </w:r>
          </w:p>
        </w:tc>
      </w:tr>
      <w:tr w:rsidR="0025111C" w:rsidRPr="0025111C" w14:paraId="652D4904"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6ACBCF5B" w14:textId="77777777" w:rsidR="0025111C" w:rsidRPr="0025111C"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25111C">
              <w:rPr>
                <w:rFonts w:ascii="Arial" w:hAnsi="Arial" w:cs="Arial"/>
                <w:i w:val="0"/>
                <w:iCs w:val="0"/>
                <w:color w:val="000000" w:themeColor="text1"/>
                <w:sz w:val="16"/>
                <w:szCs w:val="16"/>
              </w:rPr>
              <w:t>Gender PATA</w:t>
            </w:r>
          </w:p>
        </w:tc>
        <w:tc>
          <w:tcPr>
            <w:tcW w:w="1985" w:type="dxa"/>
            <w:vAlign w:val="center"/>
          </w:tcPr>
          <w:p w14:paraId="27DEC2B5" w14:textId="77777777" w:rsidR="0025111C" w:rsidRPr="0025111C"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-.039</w:t>
            </w:r>
          </w:p>
        </w:tc>
        <w:tc>
          <w:tcPr>
            <w:tcW w:w="2520" w:type="dxa"/>
            <w:vAlign w:val="center"/>
          </w:tcPr>
          <w:p w14:paraId="27E05BC4" w14:textId="28462431" w:rsidR="0025111C" w:rsidRPr="0025111C"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.83</w:t>
            </w:r>
            <w:r w:rsidR="00A7539B">
              <w:rPr>
                <w:rFonts w:ascii="Arial" w:hAnsi="Arial" w:cs="Arial"/>
                <w:color w:val="000000" w:themeColor="text1"/>
                <w:sz w:val="16"/>
                <w:szCs w:val="16"/>
              </w:rPr>
              <w:t>5</w:t>
            </w:r>
          </w:p>
        </w:tc>
      </w:tr>
      <w:tr w:rsidR="0025111C" w:rsidRPr="0025111C" w14:paraId="57537C79" w14:textId="77777777" w:rsidTr="00E303BE">
        <w:tc>
          <w:tcPr>
            <w:cnfStyle w:val="001000000000" w:firstRow="0" w:lastRow="0" w:firstColumn="1" w:lastColumn="0" w:oddVBand="0" w:evenVBand="0" w:oddHBand="0" w:evenHBand="0" w:firstRowFirstColumn="0" w:firstRowLastColumn="0" w:lastRowFirstColumn="0" w:lastRowLastColumn="0"/>
            <w:tcW w:w="4405" w:type="dxa"/>
            <w:vAlign w:val="center"/>
          </w:tcPr>
          <w:p w14:paraId="1556FDFD" w14:textId="77777777" w:rsidR="0025111C" w:rsidRPr="0025111C"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25111C">
              <w:rPr>
                <w:rFonts w:ascii="Arial" w:hAnsi="Arial" w:cs="Arial"/>
                <w:i w:val="0"/>
                <w:iCs w:val="0"/>
                <w:color w:val="000000" w:themeColor="text1"/>
                <w:sz w:val="16"/>
                <w:szCs w:val="16"/>
              </w:rPr>
              <w:t>Race/Ethnicity - PATA</w:t>
            </w:r>
          </w:p>
        </w:tc>
        <w:tc>
          <w:tcPr>
            <w:tcW w:w="1985" w:type="dxa"/>
            <w:vAlign w:val="center"/>
          </w:tcPr>
          <w:p w14:paraId="455A9D17" w14:textId="77777777" w:rsidR="0025111C" w:rsidRPr="0025111C"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-.147</w:t>
            </w:r>
          </w:p>
        </w:tc>
        <w:tc>
          <w:tcPr>
            <w:tcW w:w="2520" w:type="dxa"/>
            <w:vAlign w:val="center"/>
          </w:tcPr>
          <w:p w14:paraId="40494E74" w14:textId="25E72379" w:rsidR="0025111C" w:rsidRPr="0025111C"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.43</w:t>
            </w:r>
            <w:r w:rsidR="00A7539B">
              <w:rPr>
                <w:rFonts w:ascii="Arial" w:hAnsi="Arial" w:cs="Arial"/>
                <w:color w:val="000000" w:themeColor="text1"/>
                <w:sz w:val="16"/>
                <w:szCs w:val="16"/>
              </w:rPr>
              <w:t>0</w:t>
            </w:r>
          </w:p>
        </w:tc>
      </w:tr>
      <w:tr w:rsidR="0025111C" w:rsidRPr="0025111C" w14:paraId="61D906B6"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38DB20F9" w14:textId="77777777" w:rsidR="0025111C" w:rsidRPr="0025111C"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25111C">
              <w:rPr>
                <w:rFonts w:ascii="Arial" w:hAnsi="Arial" w:cs="Arial"/>
                <w:i w:val="0"/>
                <w:iCs w:val="0"/>
                <w:color w:val="000000" w:themeColor="text1"/>
                <w:sz w:val="16"/>
                <w:szCs w:val="16"/>
              </w:rPr>
              <w:t>Marital Status - PATA</w:t>
            </w:r>
          </w:p>
        </w:tc>
        <w:tc>
          <w:tcPr>
            <w:tcW w:w="1985" w:type="dxa"/>
            <w:vAlign w:val="center"/>
          </w:tcPr>
          <w:p w14:paraId="498CC354" w14:textId="77777777" w:rsidR="0025111C" w:rsidRPr="0025111C"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-.230</w:t>
            </w:r>
          </w:p>
        </w:tc>
        <w:tc>
          <w:tcPr>
            <w:tcW w:w="2520" w:type="dxa"/>
            <w:vAlign w:val="center"/>
          </w:tcPr>
          <w:p w14:paraId="382E434F" w14:textId="2F48B139" w:rsidR="0025111C" w:rsidRPr="0025111C"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.21</w:t>
            </w:r>
            <w:r w:rsidR="00A7539B">
              <w:rPr>
                <w:rFonts w:ascii="Arial" w:hAnsi="Arial" w:cs="Arial"/>
                <w:color w:val="000000" w:themeColor="text1"/>
                <w:sz w:val="16"/>
                <w:szCs w:val="16"/>
              </w:rPr>
              <w:t>2</w:t>
            </w:r>
          </w:p>
        </w:tc>
      </w:tr>
      <w:tr w:rsidR="0025111C" w:rsidRPr="0025111C" w14:paraId="31E2BB61" w14:textId="77777777" w:rsidTr="00E303BE">
        <w:tc>
          <w:tcPr>
            <w:cnfStyle w:val="001000000000" w:firstRow="0" w:lastRow="0" w:firstColumn="1" w:lastColumn="0" w:oddVBand="0" w:evenVBand="0" w:oddHBand="0" w:evenHBand="0" w:firstRowFirstColumn="0" w:firstRowLastColumn="0" w:lastRowFirstColumn="0" w:lastRowLastColumn="0"/>
            <w:tcW w:w="4405" w:type="dxa"/>
            <w:vAlign w:val="center"/>
          </w:tcPr>
          <w:p w14:paraId="5DE36C3A" w14:textId="77777777" w:rsidR="0025111C" w:rsidRPr="0025111C"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25111C">
              <w:rPr>
                <w:rFonts w:ascii="Arial" w:hAnsi="Arial" w:cs="Arial"/>
                <w:i w:val="0"/>
                <w:iCs w:val="0"/>
                <w:color w:val="000000" w:themeColor="text1"/>
                <w:sz w:val="16"/>
                <w:szCs w:val="16"/>
              </w:rPr>
              <w:t>Employment - PATA</w:t>
            </w:r>
          </w:p>
        </w:tc>
        <w:tc>
          <w:tcPr>
            <w:tcW w:w="1985" w:type="dxa"/>
            <w:vAlign w:val="center"/>
          </w:tcPr>
          <w:p w14:paraId="78BBCD6D" w14:textId="77777777" w:rsidR="0025111C" w:rsidRPr="0025111C"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-.125</w:t>
            </w:r>
          </w:p>
        </w:tc>
        <w:tc>
          <w:tcPr>
            <w:tcW w:w="2520" w:type="dxa"/>
            <w:vAlign w:val="center"/>
          </w:tcPr>
          <w:p w14:paraId="57C4BF10" w14:textId="12C3B080" w:rsidR="0025111C" w:rsidRPr="0025111C"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.50</w:t>
            </w:r>
            <w:r w:rsidR="00A7539B">
              <w:rPr>
                <w:rFonts w:ascii="Arial" w:hAnsi="Arial" w:cs="Arial"/>
                <w:color w:val="000000" w:themeColor="text1"/>
                <w:sz w:val="16"/>
                <w:szCs w:val="16"/>
              </w:rPr>
              <w:t>1</w:t>
            </w:r>
          </w:p>
        </w:tc>
      </w:tr>
      <w:tr w:rsidR="0025111C" w:rsidRPr="0025111C" w14:paraId="6581E9CE"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623B47A9" w14:textId="77777777" w:rsidR="0025111C" w:rsidRPr="0025111C"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25111C">
              <w:rPr>
                <w:rFonts w:ascii="Arial" w:hAnsi="Arial" w:cs="Arial"/>
                <w:i w:val="0"/>
                <w:iCs w:val="0"/>
                <w:color w:val="000000" w:themeColor="text1"/>
                <w:sz w:val="16"/>
                <w:szCs w:val="16"/>
              </w:rPr>
              <w:t>Income - PATA</w:t>
            </w:r>
          </w:p>
        </w:tc>
        <w:tc>
          <w:tcPr>
            <w:tcW w:w="1985" w:type="dxa"/>
            <w:vAlign w:val="center"/>
          </w:tcPr>
          <w:p w14:paraId="17390CEB" w14:textId="77777777" w:rsidR="0025111C" w:rsidRPr="0025111C"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-.285</w:t>
            </w:r>
          </w:p>
        </w:tc>
        <w:tc>
          <w:tcPr>
            <w:tcW w:w="2520" w:type="dxa"/>
            <w:vAlign w:val="center"/>
          </w:tcPr>
          <w:p w14:paraId="02B143C7" w14:textId="7856DB57" w:rsidR="0025111C" w:rsidRPr="0025111C"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.12</w:t>
            </w:r>
            <w:r w:rsidR="00A7539B">
              <w:rPr>
                <w:rFonts w:ascii="Arial" w:hAnsi="Arial" w:cs="Arial"/>
                <w:color w:val="000000" w:themeColor="text1"/>
                <w:sz w:val="16"/>
                <w:szCs w:val="16"/>
              </w:rPr>
              <w:t>0</w:t>
            </w:r>
          </w:p>
        </w:tc>
      </w:tr>
      <w:tr w:rsidR="00A7539B" w:rsidRPr="0025111C" w14:paraId="2376565D" w14:textId="77777777" w:rsidTr="00E303BE">
        <w:tc>
          <w:tcPr>
            <w:cnfStyle w:val="001000000000" w:firstRow="0" w:lastRow="0" w:firstColumn="1" w:lastColumn="0" w:oddVBand="0" w:evenVBand="0" w:oddHBand="0" w:evenHBand="0" w:firstRowFirstColumn="0" w:firstRowLastColumn="0" w:lastRowFirstColumn="0" w:lastRowLastColumn="0"/>
            <w:tcW w:w="4405" w:type="dxa"/>
            <w:vAlign w:val="center"/>
          </w:tcPr>
          <w:p w14:paraId="3A20ED60" w14:textId="13B79436" w:rsidR="00A7539B" w:rsidRPr="00A7539B" w:rsidRDefault="00A7539B" w:rsidP="00A7539B">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A7539B">
              <w:rPr>
                <w:rFonts w:ascii="Arial" w:hAnsi="Arial" w:cs="Arial"/>
                <w:i w:val="0"/>
                <w:iCs w:val="0"/>
                <w:color w:val="000000" w:themeColor="text1"/>
                <w:sz w:val="16"/>
                <w:szCs w:val="16"/>
              </w:rPr>
              <w:t>Religion</w:t>
            </w:r>
            <w:r>
              <w:rPr>
                <w:rFonts w:ascii="Arial" w:hAnsi="Arial" w:cs="Arial"/>
                <w:i w:val="0"/>
                <w:iCs w:val="0"/>
                <w:color w:val="000000" w:themeColor="text1"/>
                <w:sz w:val="16"/>
                <w:szCs w:val="16"/>
              </w:rPr>
              <w:t>- PATA</w:t>
            </w:r>
          </w:p>
        </w:tc>
        <w:tc>
          <w:tcPr>
            <w:tcW w:w="1985" w:type="dxa"/>
            <w:vAlign w:val="center"/>
          </w:tcPr>
          <w:p w14:paraId="1C3F4409" w14:textId="20C4B65E" w:rsidR="00A7539B" w:rsidRPr="0025111C" w:rsidRDefault="00A7539B"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-.168</w:t>
            </w:r>
          </w:p>
        </w:tc>
        <w:tc>
          <w:tcPr>
            <w:tcW w:w="2520" w:type="dxa"/>
            <w:vAlign w:val="center"/>
          </w:tcPr>
          <w:p w14:paraId="4221BDAC" w14:textId="575BDD43" w:rsidR="00A7539B" w:rsidRPr="0025111C" w:rsidRDefault="00A7539B"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.366</w:t>
            </w:r>
          </w:p>
        </w:tc>
      </w:tr>
      <w:tr w:rsidR="0025111C" w:rsidRPr="0025111C" w14:paraId="72102D3E"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43F36CBD" w14:textId="77777777" w:rsidR="0025111C" w:rsidRPr="0025111C"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25111C">
              <w:rPr>
                <w:rFonts w:ascii="Arial" w:hAnsi="Arial" w:cs="Arial"/>
                <w:i w:val="0"/>
                <w:iCs w:val="0"/>
                <w:color w:val="000000" w:themeColor="text1"/>
                <w:sz w:val="16"/>
                <w:szCs w:val="16"/>
              </w:rPr>
              <w:t>Length of MDD Diagnosis - PATA</w:t>
            </w:r>
          </w:p>
        </w:tc>
        <w:tc>
          <w:tcPr>
            <w:tcW w:w="1985" w:type="dxa"/>
            <w:vAlign w:val="center"/>
          </w:tcPr>
          <w:p w14:paraId="6C9F6487" w14:textId="77777777" w:rsidR="0025111C" w:rsidRPr="0025111C"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-.274</w:t>
            </w:r>
          </w:p>
        </w:tc>
        <w:tc>
          <w:tcPr>
            <w:tcW w:w="2520" w:type="dxa"/>
            <w:vAlign w:val="center"/>
          </w:tcPr>
          <w:p w14:paraId="39E06F07" w14:textId="37298554" w:rsidR="0025111C" w:rsidRPr="0025111C"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.13</w:t>
            </w:r>
            <w:r w:rsidR="00A7539B">
              <w:rPr>
                <w:rFonts w:ascii="Arial" w:hAnsi="Arial" w:cs="Arial"/>
                <w:color w:val="000000" w:themeColor="text1"/>
                <w:sz w:val="16"/>
                <w:szCs w:val="16"/>
              </w:rPr>
              <w:t>5</w:t>
            </w:r>
          </w:p>
        </w:tc>
      </w:tr>
      <w:tr w:rsidR="0025111C" w:rsidRPr="0025111C" w14:paraId="22242BCD" w14:textId="77777777" w:rsidTr="00E303BE">
        <w:tc>
          <w:tcPr>
            <w:cnfStyle w:val="001000000000" w:firstRow="0" w:lastRow="0" w:firstColumn="1" w:lastColumn="0" w:oddVBand="0" w:evenVBand="0" w:oddHBand="0" w:evenHBand="0" w:firstRowFirstColumn="0" w:firstRowLastColumn="0" w:lastRowFirstColumn="0" w:lastRowLastColumn="0"/>
            <w:tcW w:w="4405" w:type="dxa"/>
            <w:vAlign w:val="center"/>
          </w:tcPr>
          <w:p w14:paraId="71A48B39" w14:textId="77777777" w:rsidR="0025111C" w:rsidRPr="0025111C"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25111C">
              <w:rPr>
                <w:rFonts w:ascii="Arial" w:hAnsi="Arial" w:cs="Arial"/>
                <w:i w:val="0"/>
                <w:iCs w:val="0"/>
                <w:color w:val="000000" w:themeColor="text1"/>
                <w:sz w:val="16"/>
                <w:szCs w:val="16"/>
              </w:rPr>
              <w:t>No. of Antidepressants Taken - PATA</w:t>
            </w:r>
          </w:p>
        </w:tc>
        <w:tc>
          <w:tcPr>
            <w:tcW w:w="1985" w:type="dxa"/>
            <w:vAlign w:val="center"/>
          </w:tcPr>
          <w:p w14:paraId="507DF288" w14:textId="77777777" w:rsidR="0025111C" w:rsidRPr="0025111C"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-.213</w:t>
            </w:r>
          </w:p>
        </w:tc>
        <w:tc>
          <w:tcPr>
            <w:tcW w:w="2520" w:type="dxa"/>
            <w:vAlign w:val="center"/>
          </w:tcPr>
          <w:p w14:paraId="0ACE29BF" w14:textId="036CA7FE" w:rsidR="0025111C" w:rsidRPr="0025111C"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5111C">
              <w:rPr>
                <w:rFonts w:ascii="Arial" w:hAnsi="Arial" w:cs="Arial"/>
                <w:color w:val="000000" w:themeColor="text1"/>
                <w:sz w:val="16"/>
                <w:szCs w:val="16"/>
              </w:rPr>
              <w:t>.25</w:t>
            </w:r>
            <w:r w:rsidR="00A7539B">
              <w:rPr>
                <w:rFonts w:ascii="Arial" w:hAnsi="Arial" w:cs="Arial"/>
                <w:color w:val="000000" w:themeColor="text1"/>
                <w:sz w:val="16"/>
                <w:szCs w:val="16"/>
              </w:rPr>
              <w:t>1</w:t>
            </w:r>
          </w:p>
        </w:tc>
      </w:tr>
      <w:tr w:rsidR="0025111C" w:rsidRPr="0025111C" w14:paraId="095862B8" w14:textId="77777777" w:rsidTr="00251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shd w:val="clear" w:color="auto" w:fill="auto"/>
            <w:vAlign w:val="center"/>
          </w:tcPr>
          <w:p w14:paraId="60B11FC7" w14:textId="4265F3D7" w:rsidR="0025111C" w:rsidRPr="00A7539B"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A7539B">
              <w:rPr>
                <w:rFonts w:ascii="Arial" w:hAnsi="Arial" w:cs="Arial"/>
                <w:i w:val="0"/>
                <w:iCs w:val="0"/>
                <w:color w:val="000000" w:themeColor="text1"/>
                <w:sz w:val="16"/>
                <w:szCs w:val="16"/>
              </w:rPr>
              <w:t>General Knowledge</w:t>
            </w:r>
            <w:r w:rsidR="00A7539B">
              <w:rPr>
                <w:rFonts w:ascii="Arial" w:hAnsi="Arial" w:cs="Arial"/>
                <w:i w:val="0"/>
                <w:iCs w:val="0"/>
                <w:color w:val="000000" w:themeColor="text1"/>
                <w:sz w:val="16"/>
                <w:szCs w:val="16"/>
              </w:rPr>
              <w:t xml:space="preserve">- </w:t>
            </w:r>
            <w:r w:rsidRPr="00A7539B">
              <w:rPr>
                <w:rFonts w:ascii="Arial" w:hAnsi="Arial" w:cs="Arial"/>
                <w:i w:val="0"/>
                <w:iCs w:val="0"/>
                <w:color w:val="000000" w:themeColor="text1"/>
                <w:sz w:val="16"/>
                <w:szCs w:val="16"/>
              </w:rPr>
              <w:t>PATA</w:t>
            </w:r>
          </w:p>
        </w:tc>
        <w:tc>
          <w:tcPr>
            <w:tcW w:w="1985" w:type="dxa"/>
            <w:shd w:val="clear" w:color="auto" w:fill="auto"/>
            <w:vAlign w:val="center"/>
          </w:tcPr>
          <w:p w14:paraId="061CFA00" w14:textId="77777777" w:rsidR="0025111C" w:rsidRPr="00A7539B"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A7539B">
              <w:rPr>
                <w:rFonts w:ascii="Arial" w:hAnsi="Arial" w:cs="Arial"/>
                <w:color w:val="000000" w:themeColor="text1"/>
                <w:sz w:val="16"/>
                <w:szCs w:val="16"/>
              </w:rPr>
              <w:t>.216</w:t>
            </w:r>
          </w:p>
        </w:tc>
        <w:tc>
          <w:tcPr>
            <w:tcW w:w="2520" w:type="dxa"/>
            <w:shd w:val="clear" w:color="auto" w:fill="auto"/>
            <w:vAlign w:val="center"/>
          </w:tcPr>
          <w:p w14:paraId="20AF8A46" w14:textId="7A755E1D" w:rsidR="0025111C" w:rsidRPr="00A7539B"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A7539B">
              <w:rPr>
                <w:rFonts w:ascii="Arial" w:hAnsi="Arial" w:cs="Arial"/>
                <w:color w:val="000000" w:themeColor="text1"/>
                <w:sz w:val="16"/>
                <w:szCs w:val="16"/>
              </w:rPr>
              <w:t>.24</w:t>
            </w:r>
            <w:r w:rsidR="00A7539B" w:rsidRPr="00A7539B">
              <w:rPr>
                <w:rFonts w:ascii="Arial" w:hAnsi="Arial" w:cs="Arial"/>
                <w:color w:val="000000" w:themeColor="text1"/>
                <w:sz w:val="16"/>
                <w:szCs w:val="16"/>
              </w:rPr>
              <w:t>4</w:t>
            </w:r>
          </w:p>
        </w:tc>
      </w:tr>
      <w:tr w:rsidR="0025111C" w:rsidRPr="0025111C" w14:paraId="525CD8F6" w14:textId="77777777" w:rsidTr="00A7539B">
        <w:tc>
          <w:tcPr>
            <w:cnfStyle w:val="001000000000" w:firstRow="0" w:lastRow="0" w:firstColumn="1" w:lastColumn="0" w:oddVBand="0" w:evenVBand="0" w:oddHBand="0" w:evenHBand="0" w:firstRowFirstColumn="0" w:firstRowLastColumn="0" w:lastRowFirstColumn="0" w:lastRowLastColumn="0"/>
            <w:tcW w:w="4405" w:type="dxa"/>
            <w:shd w:val="clear" w:color="auto" w:fill="D9F2D0" w:themeFill="accent6" w:themeFillTint="33"/>
            <w:vAlign w:val="center"/>
          </w:tcPr>
          <w:p w14:paraId="1ECFE4AB" w14:textId="77777777" w:rsidR="0025111C" w:rsidRPr="0025111C" w:rsidRDefault="0025111C" w:rsidP="00E303BE">
            <w:pPr>
              <w:autoSpaceDE w:val="0"/>
              <w:autoSpaceDN w:val="0"/>
              <w:adjustRightInd w:val="0"/>
              <w:spacing w:line="320" w:lineRule="atLeast"/>
              <w:ind w:left="60" w:right="60"/>
              <w:jc w:val="left"/>
              <w:rPr>
                <w:rFonts w:ascii="Arial" w:hAnsi="Arial" w:cs="Arial"/>
                <w:b/>
                <w:bCs/>
                <w:i w:val="0"/>
                <w:iCs w:val="0"/>
                <w:color w:val="000000" w:themeColor="text1"/>
                <w:sz w:val="16"/>
                <w:szCs w:val="16"/>
              </w:rPr>
            </w:pPr>
            <w:r w:rsidRPr="0025111C">
              <w:rPr>
                <w:rFonts w:ascii="Arial" w:hAnsi="Arial" w:cs="Arial"/>
                <w:b/>
                <w:bCs/>
                <w:i w:val="0"/>
                <w:iCs w:val="0"/>
                <w:color w:val="000000" w:themeColor="text1"/>
                <w:sz w:val="16"/>
                <w:szCs w:val="16"/>
              </w:rPr>
              <w:t>Expansion of MMP- PATA</w:t>
            </w:r>
          </w:p>
        </w:tc>
        <w:tc>
          <w:tcPr>
            <w:tcW w:w="1985" w:type="dxa"/>
            <w:shd w:val="clear" w:color="auto" w:fill="D9F2D0" w:themeFill="accent6" w:themeFillTint="33"/>
            <w:vAlign w:val="center"/>
          </w:tcPr>
          <w:p w14:paraId="288433F6" w14:textId="77777777" w:rsidR="0025111C" w:rsidRPr="0025111C"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25111C">
              <w:rPr>
                <w:rFonts w:ascii="Arial" w:hAnsi="Arial" w:cs="Arial"/>
                <w:b/>
                <w:bCs/>
                <w:color w:val="000000" w:themeColor="text1"/>
                <w:sz w:val="16"/>
                <w:szCs w:val="16"/>
              </w:rPr>
              <w:t>.454</w:t>
            </w:r>
          </w:p>
        </w:tc>
        <w:tc>
          <w:tcPr>
            <w:tcW w:w="2520" w:type="dxa"/>
            <w:shd w:val="clear" w:color="auto" w:fill="D9F2D0" w:themeFill="accent6" w:themeFillTint="33"/>
            <w:vAlign w:val="center"/>
          </w:tcPr>
          <w:p w14:paraId="72CA34EA" w14:textId="77777777" w:rsidR="0025111C" w:rsidRPr="0025111C"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25111C">
              <w:rPr>
                <w:rFonts w:ascii="Arial" w:hAnsi="Arial" w:cs="Arial"/>
                <w:b/>
                <w:bCs/>
                <w:color w:val="000000" w:themeColor="text1"/>
                <w:sz w:val="16"/>
                <w:szCs w:val="16"/>
              </w:rPr>
              <w:t>.010</w:t>
            </w:r>
          </w:p>
        </w:tc>
      </w:tr>
      <w:tr w:rsidR="0025111C" w:rsidRPr="0025111C" w14:paraId="53C40FAC" w14:textId="77777777" w:rsidTr="00251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shd w:val="clear" w:color="auto" w:fill="auto"/>
            <w:vAlign w:val="center"/>
          </w:tcPr>
          <w:p w14:paraId="4EFC3B0B" w14:textId="77777777" w:rsidR="0025111C" w:rsidRPr="00A7539B"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A7539B">
              <w:rPr>
                <w:rFonts w:ascii="Arial" w:hAnsi="Arial" w:cs="Arial"/>
                <w:i w:val="0"/>
                <w:iCs w:val="0"/>
                <w:sz w:val="16"/>
                <w:szCs w:val="16"/>
              </w:rPr>
              <w:lastRenderedPageBreak/>
              <w:t xml:space="preserve">Attitude towards Psilocybin and CAM </w:t>
            </w:r>
            <w:r w:rsidRPr="00A7539B">
              <w:rPr>
                <w:rFonts w:ascii="Arial" w:hAnsi="Arial" w:cs="Arial"/>
                <w:i w:val="0"/>
                <w:iCs w:val="0"/>
                <w:color w:val="000000" w:themeColor="text1"/>
                <w:sz w:val="16"/>
                <w:szCs w:val="16"/>
              </w:rPr>
              <w:t>- PATA</w:t>
            </w:r>
          </w:p>
        </w:tc>
        <w:tc>
          <w:tcPr>
            <w:tcW w:w="1985" w:type="dxa"/>
            <w:shd w:val="clear" w:color="auto" w:fill="auto"/>
            <w:vAlign w:val="center"/>
          </w:tcPr>
          <w:p w14:paraId="3D72017E" w14:textId="77777777" w:rsidR="0025111C" w:rsidRPr="00A7539B"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A7539B">
              <w:rPr>
                <w:rFonts w:ascii="Arial" w:hAnsi="Arial" w:cs="Arial"/>
                <w:color w:val="000000" w:themeColor="text1"/>
                <w:sz w:val="16"/>
                <w:szCs w:val="16"/>
              </w:rPr>
              <w:t>.262</w:t>
            </w:r>
          </w:p>
        </w:tc>
        <w:tc>
          <w:tcPr>
            <w:tcW w:w="2520" w:type="dxa"/>
            <w:shd w:val="clear" w:color="auto" w:fill="auto"/>
            <w:vAlign w:val="center"/>
          </w:tcPr>
          <w:p w14:paraId="59B01936" w14:textId="03A86A23" w:rsidR="0025111C" w:rsidRPr="00A7539B"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A7539B">
              <w:rPr>
                <w:rFonts w:ascii="Arial" w:hAnsi="Arial" w:cs="Arial"/>
                <w:color w:val="000000" w:themeColor="text1"/>
                <w:sz w:val="16"/>
                <w:szCs w:val="16"/>
              </w:rPr>
              <w:t>.15</w:t>
            </w:r>
            <w:r w:rsidR="00A7539B" w:rsidRPr="00A7539B">
              <w:rPr>
                <w:rFonts w:ascii="Arial" w:hAnsi="Arial" w:cs="Arial"/>
                <w:color w:val="000000" w:themeColor="text1"/>
                <w:sz w:val="16"/>
                <w:szCs w:val="16"/>
              </w:rPr>
              <w:t>5</w:t>
            </w:r>
          </w:p>
        </w:tc>
      </w:tr>
    </w:tbl>
    <w:p w14:paraId="408B6A15" w14:textId="5AA1873E" w:rsidR="0025111C" w:rsidRPr="0025111C" w:rsidRDefault="0025111C" w:rsidP="0025111C">
      <w:pPr>
        <w:autoSpaceDE w:val="0"/>
        <w:autoSpaceDN w:val="0"/>
        <w:adjustRightInd w:val="0"/>
        <w:rPr>
          <w:rFonts w:ascii="Arial" w:eastAsiaTheme="minorHAnsi" w:hAnsi="Arial" w:cs="Arial"/>
          <w:sz w:val="16"/>
          <w:szCs w:val="16"/>
        </w:rPr>
      </w:pPr>
      <w:r>
        <w:rPr>
          <w:rFonts w:ascii="Arial" w:eastAsiaTheme="minorHAnsi" w:hAnsi="Arial" w:cs="Arial"/>
          <w:noProof/>
          <w:sz w:val="16"/>
          <w:szCs w:val="16"/>
          <w14:ligatures w14:val="standardContextual"/>
        </w:rPr>
        <mc:AlternateContent>
          <mc:Choice Requires="wps">
            <w:drawing>
              <wp:anchor distT="0" distB="0" distL="114300" distR="114300" simplePos="0" relativeHeight="251660288" behindDoc="0" locked="0" layoutInCell="1" allowOverlap="1" wp14:anchorId="01CE3F8D" wp14:editId="0DA42DE6">
                <wp:simplePos x="0" y="0"/>
                <wp:positionH relativeFrom="column">
                  <wp:posOffset>14437</wp:posOffset>
                </wp:positionH>
                <wp:positionV relativeFrom="paragraph">
                  <wp:posOffset>66842</wp:posOffset>
                </wp:positionV>
                <wp:extent cx="5727031" cy="0"/>
                <wp:effectExtent l="0" t="0" r="13970" b="12700"/>
                <wp:wrapNone/>
                <wp:docPr id="2051691636" name="Straight Connector 1"/>
                <wp:cNvGraphicFramePr/>
                <a:graphic xmlns:a="http://schemas.openxmlformats.org/drawingml/2006/main">
                  <a:graphicData uri="http://schemas.microsoft.com/office/word/2010/wordprocessingShape">
                    <wps:wsp>
                      <wps:cNvCnPr/>
                      <wps:spPr>
                        <a:xfrm>
                          <a:off x="0" y="0"/>
                          <a:ext cx="57270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3A085A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5pt,5.25pt" to="452.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" strokecolor="black [3213]" strokeweight=".5pt">
                <v:stroke joinstyle="miter"/>
              </v:line>
            </w:pict>
          </mc:Fallback>
        </mc:AlternateContent>
      </w:r>
    </w:p>
    <w:p w14:paraId="239A1845" w14:textId="5C723800" w:rsidR="0025111C" w:rsidRPr="0025111C" w:rsidRDefault="0025111C" w:rsidP="0025111C">
      <w:pPr>
        <w:autoSpaceDE w:val="0"/>
        <w:autoSpaceDN w:val="0"/>
        <w:adjustRightInd w:val="0"/>
        <w:rPr>
          <w:rFonts w:ascii="Arial" w:eastAsiaTheme="minorHAnsi" w:hAnsi="Arial" w:cs="Arial"/>
          <w:sz w:val="16"/>
          <w:szCs w:val="16"/>
        </w:rPr>
      </w:pPr>
      <w:r w:rsidRPr="0025111C">
        <w:rPr>
          <w:rFonts w:ascii="Arial" w:eastAsiaTheme="minorHAnsi" w:hAnsi="Arial" w:cs="Arial"/>
          <w:i/>
          <w:iCs/>
          <w:sz w:val="16"/>
          <w:szCs w:val="16"/>
        </w:rPr>
        <w:t>Note.</w:t>
      </w:r>
      <w:r>
        <w:rPr>
          <w:rFonts w:ascii="Arial" w:eastAsiaTheme="minorHAnsi" w:hAnsi="Arial" w:cs="Arial"/>
          <w:i/>
          <w:iCs/>
          <w:sz w:val="16"/>
          <w:szCs w:val="16"/>
        </w:rPr>
        <w:t xml:space="preserve"> </w:t>
      </w:r>
      <w:r w:rsidRPr="0025111C">
        <w:rPr>
          <w:rFonts w:ascii="Arial" w:hAnsi="Arial" w:cs="Arial"/>
          <w:color w:val="000000" w:themeColor="text1"/>
          <w:sz w:val="16"/>
          <w:szCs w:val="16"/>
        </w:rPr>
        <w:t>Psilocybin-Assisted Therapy Acceptance= PATA.</w:t>
      </w:r>
      <w:r w:rsidRPr="0025111C">
        <w:rPr>
          <w:rFonts w:ascii="Arial" w:hAnsi="Arial" w:cs="Arial"/>
          <w:i/>
          <w:iCs/>
          <w:color w:val="000000" w:themeColor="text1"/>
          <w:sz w:val="16"/>
          <w:szCs w:val="16"/>
        </w:rPr>
        <w:t xml:space="preserve"> </w:t>
      </w:r>
    </w:p>
    <w:p w14:paraId="69A1E049" w14:textId="77777777" w:rsidR="0025111C" w:rsidRPr="0025111C" w:rsidRDefault="0025111C" w:rsidP="0025111C">
      <w:pPr>
        <w:autoSpaceDE w:val="0"/>
        <w:autoSpaceDN w:val="0"/>
        <w:adjustRightInd w:val="0"/>
        <w:spacing w:line="400" w:lineRule="atLeast"/>
        <w:rPr>
          <w:rFonts w:ascii="Arial" w:eastAsiaTheme="minorHAnsi" w:hAnsi="Arial" w:cs="Arial"/>
        </w:rPr>
      </w:pPr>
    </w:p>
    <w:p w14:paraId="02264CD4" w14:textId="77777777" w:rsidR="0025111C" w:rsidRPr="0025111C" w:rsidRDefault="0025111C" w:rsidP="0025111C">
      <w:pPr>
        <w:shd w:val="clear" w:color="auto" w:fill="FFFFFF"/>
        <w:textAlignment w:val="baseline"/>
        <w:rPr>
          <w:rFonts w:ascii="Arial" w:hAnsi="Arial" w:cs="Arial"/>
          <w:i/>
          <w:iCs/>
        </w:rPr>
      </w:pPr>
    </w:p>
    <w:p w14:paraId="125E219B" w14:textId="77777777" w:rsidR="0025111C" w:rsidRPr="0025111C" w:rsidRDefault="0025111C" w:rsidP="0025111C">
      <w:pPr>
        <w:shd w:val="clear" w:color="auto" w:fill="FFFFFF"/>
        <w:textAlignment w:val="baseline"/>
        <w:rPr>
          <w:rFonts w:ascii="Arial" w:hAnsi="Arial" w:cs="Arial"/>
          <w:b/>
          <w:bCs/>
        </w:rPr>
      </w:pPr>
      <w:r w:rsidRPr="0025111C">
        <w:rPr>
          <w:rFonts w:ascii="Arial" w:hAnsi="Arial" w:cs="Arial"/>
          <w:b/>
          <w:bCs/>
        </w:rPr>
        <w:t>3.3 Associations between HBM Constructs and Psilocybin-Assisted Therapy Acceptance (PATA)</w:t>
      </w:r>
    </w:p>
    <w:p w14:paraId="403C00D1" w14:textId="77777777" w:rsidR="0025111C" w:rsidRPr="0025111C" w:rsidRDefault="0025111C" w:rsidP="0025111C">
      <w:pPr>
        <w:shd w:val="clear" w:color="auto" w:fill="FFFFFF"/>
        <w:jc w:val="both"/>
        <w:textAlignment w:val="baseline"/>
        <w:rPr>
          <w:rFonts w:ascii="Arial" w:hAnsi="Arial" w:cs="Arial"/>
          <w:color w:val="222222"/>
          <w:shd w:val="clear" w:color="auto" w:fill="FFFFFF"/>
        </w:rPr>
      </w:pPr>
    </w:p>
    <w:p w14:paraId="58F823AC" w14:textId="1AF9BF5E" w:rsidR="0025111C" w:rsidRPr="0025111C" w:rsidRDefault="0025111C" w:rsidP="0025111C">
      <w:pPr>
        <w:ind w:firstLine="720"/>
        <w:rPr>
          <w:rFonts w:ascii="Arial" w:hAnsi="Arial" w:cs="Arial"/>
        </w:rPr>
      </w:pPr>
      <w:r w:rsidRPr="0025111C">
        <w:rPr>
          <w:rFonts w:ascii="Arial" w:hAnsi="Arial" w:cs="Arial"/>
        </w:rPr>
        <w:t xml:space="preserve">Spearman Rho correlation coefficients were calculated prior to the hierarchical multiple regression to ensure variables were not highly correlated. Relatively low correlations were observed for demographic and clinical variables; however, attitude towards the policy expansion of the medical marijuana program (MMP) to include psilocybin, demonstrated a moderate correlation with PATA. A positive trend was shown between </w:t>
      </w:r>
      <w:r w:rsidRPr="0025111C">
        <w:rPr>
          <w:rFonts w:ascii="Arial" w:eastAsiaTheme="majorEastAsia" w:hAnsi="Arial" w:cs="Arial"/>
        </w:rPr>
        <w:t xml:space="preserve">attitudes toward </w:t>
      </w:r>
      <w:r w:rsidR="000C4CD6">
        <w:rPr>
          <w:rFonts w:ascii="Arial" w:eastAsiaTheme="majorEastAsia" w:hAnsi="Arial" w:cs="Arial"/>
        </w:rPr>
        <w:t xml:space="preserve">psilocybin as </w:t>
      </w:r>
      <w:r w:rsidRPr="0025111C">
        <w:rPr>
          <w:rFonts w:ascii="Arial" w:eastAsiaTheme="majorEastAsia" w:hAnsi="Arial" w:cs="Arial"/>
        </w:rPr>
        <w:t xml:space="preserve">potential </w:t>
      </w:r>
      <w:r w:rsidR="000C4CD6">
        <w:rPr>
          <w:rFonts w:ascii="Arial" w:eastAsiaTheme="majorEastAsia" w:hAnsi="Arial" w:cs="Arial"/>
        </w:rPr>
        <w:t>CAM modality</w:t>
      </w:r>
      <w:r w:rsidRPr="0025111C">
        <w:rPr>
          <w:rFonts w:ascii="Arial" w:eastAsiaTheme="majorEastAsia" w:hAnsi="Arial" w:cs="Arial"/>
        </w:rPr>
        <w:t xml:space="preserve"> </w:t>
      </w:r>
      <w:r w:rsidRPr="0025111C">
        <w:rPr>
          <w:rFonts w:ascii="Arial" w:hAnsi="Arial" w:cs="Arial"/>
        </w:rPr>
        <w:t xml:space="preserve">and </w:t>
      </w:r>
      <w:r w:rsidRPr="0025111C">
        <w:rPr>
          <w:rFonts w:ascii="Arial" w:eastAsiaTheme="majorEastAsia" w:hAnsi="Arial" w:cs="Arial"/>
        </w:rPr>
        <w:t xml:space="preserve">general knowledge and PATA; and therefore, included in the </w:t>
      </w:r>
      <w:r w:rsidR="00337288">
        <w:rPr>
          <w:rFonts w:ascii="Arial" w:eastAsiaTheme="majorEastAsia" w:hAnsi="Arial" w:cs="Arial"/>
        </w:rPr>
        <w:t xml:space="preserve">hierarchical regression </w:t>
      </w:r>
      <w:r w:rsidRPr="0025111C">
        <w:rPr>
          <w:rFonts w:ascii="Arial" w:eastAsiaTheme="majorEastAsia" w:hAnsi="Arial" w:cs="Arial"/>
        </w:rPr>
        <w:t xml:space="preserve">model. </w:t>
      </w:r>
      <w:r w:rsidRPr="0025111C">
        <w:rPr>
          <w:rFonts w:ascii="Arial" w:hAnsi="Arial" w:cs="Arial"/>
        </w:rPr>
        <w:t xml:space="preserve">Hierarchical multiple regression was conducted to determine if the addition of the HBM constructs improved the explanatory variance of PATA over and above demographic, clinical, and attitudinal factors alone. Predictors in Model 1 included attitude towards the policy expansion of MMP, general knowledge, and </w:t>
      </w:r>
      <w:r w:rsidR="00337288" w:rsidRPr="0025111C">
        <w:rPr>
          <w:rFonts w:ascii="Arial" w:eastAsiaTheme="majorEastAsia" w:hAnsi="Arial" w:cs="Arial"/>
        </w:rPr>
        <w:t xml:space="preserve">attitudes toward </w:t>
      </w:r>
      <w:r w:rsidR="00337288">
        <w:rPr>
          <w:rFonts w:ascii="Arial" w:eastAsiaTheme="majorEastAsia" w:hAnsi="Arial" w:cs="Arial"/>
        </w:rPr>
        <w:t xml:space="preserve">psilocybin as </w:t>
      </w:r>
      <w:r w:rsidR="00337288" w:rsidRPr="0025111C">
        <w:rPr>
          <w:rFonts w:ascii="Arial" w:eastAsiaTheme="majorEastAsia" w:hAnsi="Arial" w:cs="Arial"/>
        </w:rPr>
        <w:t xml:space="preserve">potential </w:t>
      </w:r>
      <w:r w:rsidR="00337288">
        <w:rPr>
          <w:rFonts w:ascii="Arial" w:eastAsiaTheme="majorEastAsia" w:hAnsi="Arial" w:cs="Arial"/>
        </w:rPr>
        <w:t>CAM modality</w:t>
      </w:r>
      <w:r w:rsidR="00337288" w:rsidRPr="0025111C">
        <w:rPr>
          <w:rFonts w:ascii="Arial" w:eastAsiaTheme="majorEastAsia" w:hAnsi="Arial" w:cs="Arial"/>
        </w:rPr>
        <w:t xml:space="preserve"> </w:t>
      </w:r>
      <w:r w:rsidRPr="0025111C">
        <w:rPr>
          <w:rFonts w:ascii="Arial" w:hAnsi="Arial" w:cs="Arial"/>
        </w:rPr>
        <w:t>as independent variables with PATA as the outcome variable</w:t>
      </w:r>
      <w:r w:rsidR="00337288">
        <w:rPr>
          <w:rFonts w:ascii="Arial" w:hAnsi="Arial" w:cs="Arial"/>
        </w:rPr>
        <w:t xml:space="preserve">. In Table 3, </w:t>
      </w:r>
      <w:r w:rsidRPr="0025111C">
        <w:rPr>
          <w:rFonts w:ascii="Arial" w:hAnsi="Arial" w:cs="Arial"/>
        </w:rPr>
        <w:t>Model 1 indicated a correlation between the two predictors and PATA (R=.506), accounting for 25.6% of variance in scores; R2 =.256, F</w:t>
      </w:r>
      <w:r w:rsidR="000C4CD6">
        <w:rPr>
          <w:rFonts w:ascii="Arial" w:hAnsi="Arial" w:cs="Arial"/>
        </w:rPr>
        <w:t xml:space="preserve"> </w:t>
      </w:r>
      <w:r w:rsidRPr="0025111C">
        <w:rPr>
          <w:rFonts w:ascii="Arial" w:hAnsi="Arial" w:cs="Arial"/>
        </w:rPr>
        <w:t>(3,27)</w:t>
      </w:r>
      <w:r w:rsidR="00D00F69">
        <w:rPr>
          <w:rFonts w:ascii="Arial" w:hAnsi="Arial" w:cs="Arial"/>
        </w:rPr>
        <w:t xml:space="preserve"> </w:t>
      </w:r>
      <w:r w:rsidRPr="0025111C">
        <w:rPr>
          <w:rFonts w:ascii="Arial" w:hAnsi="Arial" w:cs="Arial"/>
        </w:rPr>
        <w:t>=</w:t>
      </w:r>
      <w:r w:rsidR="00D00F69">
        <w:rPr>
          <w:rFonts w:ascii="Arial" w:hAnsi="Arial" w:cs="Arial"/>
        </w:rPr>
        <w:t xml:space="preserve"> </w:t>
      </w:r>
      <w:r w:rsidRPr="0025111C">
        <w:rPr>
          <w:rFonts w:ascii="Arial" w:hAnsi="Arial" w:cs="Arial"/>
        </w:rPr>
        <w:t xml:space="preserve">3.10, </w:t>
      </w:r>
      <w:r w:rsidR="000C4CD6" w:rsidRPr="000C4CD6">
        <w:rPr>
          <w:rFonts w:ascii="Arial" w:hAnsi="Arial" w:cs="Arial"/>
          <w:i/>
          <w:iCs/>
        </w:rPr>
        <w:t>P</w:t>
      </w:r>
      <w:r w:rsidRPr="0025111C">
        <w:rPr>
          <w:rFonts w:ascii="Arial" w:hAnsi="Arial" w:cs="Arial"/>
        </w:rPr>
        <w:t>=.043. Table 3 shows attitude towards MMP expansion as the most significant, strongest predictor of PATA (β=.431,</w:t>
      </w:r>
      <w:r w:rsidRPr="000C4CD6">
        <w:rPr>
          <w:rFonts w:ascii="Arial" w:hAnsi="Arial" w:cs="Arial"/>
          <w:i/>
          <w:iCs/>
        </w:rPr>
        <w:t xml:space="preserve"> </w:t>
      </w:r>
      <w:r w:rsidR="000C4CD6" w:rsidRPr="000C4CD6">
        <w:rPr>
          <w:rFonts w:ascii="Arial" w:hAnsi="Arial" w:cs="Arial"/>
          <w:i/>
          <w:iCs/>
        </w:rPr>
        <w:t>P</w:t>
      </w:r>
      <w:r w:rsidRPr="0025111C">
        <w:rPr>
          <w:rFonts w:ascii="Arial" w:hAnsi="Arial" w:cs="Arial"/>
        </w:rPr>
        <w:t xml:space="preserve">=.015). Knowledge (β=.080, </w:t>
      </w:r>
      <w:r w:rsidR="000C4CD6" w:rsidRPr="000C4CD6">
        <w:rPr>
          <w:rFonts w:ascii="Arial" w:hAnsi="Arial" w:cs="Arial"/>
          <w:i/>
          <w:iCs/>
        </w:rPr>
        <w:t>P</w:t>
      </w:r>
      <w:r w:rsidRPr="0025111C">
        <w:rPr>
          <w:rFonts w:ascii="Arial" w:hAnsi="Arial" w:cs="Arial"/>
        </w:rPr>
        <w:t xml:space="preserve">=.729) and </w:t>
      </w:r>
      <w:r w:rsidR="00337288" w:rsidRPr="0025111C">
        <w:rPr>
          <w:rFonts w:ascii="Arial" w:eastAsiaTheme="majorEastAsia" w:hAnsi="Arial" w:cs="Arial"/>
        </w:rPr>
        <w:t xml:space="preserve">attitudes toward </w:t>
      </w:r>
      <w:r w:rsidR="00337288">
        <w:rPr>
          <w:rFonts w:ascii="Arial" w:eastAsiaTheme="majorEastAsia" w:hAnsi="Arial" w:cs="Arial"/>
        </w:rPr>
        <w:t xml:space="preserve">psilocybin as </w:t>
      </w:r>
      <w:r w:rsidR="00337288" w:rsidRPr="0025111C">
        <w:rPr>
          <w:rFonts w:ascii="Arial" w:eastAsiaTheme="majorEastAsia" w:hAnsi="Arial" w:cs="Arial"/>
        </w:rPr>
        <w:t xml:space="preserve">potential </w:t>
      </w:r>
      <w:r w:rsidR="00337288">
        <w:rPr>
          <w:rFonts w:ascii="Arial" w:eastAsiaTheme="majorEastAsia" w:hAnsi="Arial" w:cs="Arial"/>
        </w:rPr>
        <w:t>CAM modality</w:t>
      </w:r>
      <w:r w:rsidR="00337288" w:rsidRPr="0025111C">
        <w:rPr>
          <w:rFonts w:ascii="Arial" w:hAnsi="Arial" w:cs="Arial"/>
        </w:rPr>
        <w:t xml:space="preserve"> </w:t>
      </w:r>
      <w:r w:rsidRPr="0025111C">
        <w:rPr>
          <w:rFonts w:ascii="Arial" w:hAnsi="Arial" w:cs="Arial"/>
        </w:rPr>
        <w:t xml:space="preserve">(β=.188, </w:t>
      </w:r>
      <w:r w:rsidR="000C4CD6" w:rsidRPr="000C4CD6">
        <w:rPr>
          <w:rFonts w:ascii="Arial" w:hAnsi="Arial" w:cs="Arial"/>
          <w:i/>
          <w:iCs/>
        </w:rPr>
        <w:t>P</w:t>
      </w:r>
      <w:r w:rsidRPr="0025111C">
        <w:rPr>
          <w:rFonts w:ascii="Arial" w:hAnsi="Arial" w:cs="Arial"/>
        </w:rPr>
        <w:t xml:space="preserve">=.414) were not significant once the attitude towards expansion of MMP was added. </w:t>
      </w:r>
    </w:p>
    <w:p w14:paraId="427D5DD8" w14:textId="77777777" w:rsidR="0025111C" w:rsidRPr="0025111C" w:rsidRDefault="0025111C" w:rsidP="0025111C">
      <w:pPr>
        <w:rPr>
          <w:rFonts w:ascii="Arial" w:hAnsi="Arial" w:cs="Arial"/>
        </w:rPr>
      </w:pPr>
    </w:p>
    <w:p w14:paraId="5E85F192" w14:textId="62E91560" w:rsidR="0025111C" w:rsidRPr="0025111C" w:rsidRDefault="0025111C" w:rsidP="0025111C">
      <w:pPr>
        <w:ind w:firstLine="720"/>
        <w:rPr>
          <w:rFonts w:ascii="Arial" w:hAnsi="Arial" w:cs="Arial"/>
        </w:rPr>
      </w:pPr>
      <w:r w:rsidRPr="0025111C">
        <w:rPr>
          <w:rFonts w:ascii="Arial" w:hAnsi="Arial" w:cs="Arial"/>
        </w:rPr>
        <w:t xml:space="preserve">Model 2 included the added HBM constructs including, perceived barriers (e.g., legality, side effects/risk, lack of information, accessibility, negative testimonies, judgement, and insufficient health insurance), perceived benefits, cues to actions (e.g. recommendations from a healthcare provide, positive testimonies from former psilocybin users, FDA approval, positive experience from peers, and positive support from family), and perceived severity. The addition of the HBM constructs strengthen the correlation with PATA (R=.916) and further increase in variance with an R2=.839. Adding the HBM constructs substantially improved the </w:t>
      </w:r>
      <w:r w:rsidR="00EC341A">
        <w:rPr>
          <w:rFonts w:ascii="Arial" w:hAnsi="Arial" w:cs="Arial"/>
        </w:rPr>
        <w:t>M</w:t>
      </w:r>
      <w:r w:rsidRPr="0025111C">
        <w:rPr>
          <w:rFonts w:ascii="Arial" w:hAnsi="Arial" w:cs="Arial"/>
        </w:rPr>
        <w:t>odel (</w:t>
      </w:r>
      <w:r w:rsidRPr="0025111C">
        <w:rPr>
          <w:rFonts w:ascii="Arial" w:eastAsiaTheme="majorEastAsia" w:hAnsi="Arial" w:cs="Arial"/>
        </w:rPr>
        <w:t>F</w:t>
      </w:r>
      <w:r w:rsidR="00D00F69">
        <w:rPr>
          <w:rFonts w:ascii="Arial" w:eastAsiaTheme="majorEastAsia" w:hAnsi="Arial" w:cs="Arial"/>
        </w:rPr>
        <w:t xml:space="preserve"> </w:t>
      </w:r>
      <w:r w:rsidRPr="0025111C">
        <w:rPr>
          <w:rFonts w:ascii="Arial" w:eastAsiaTheme="majorEastAsia" w:hAnsi="Arial" w:cs="Arial"/>
        </w:rPr>
        <w:t xml:space="preserve">(19,11) = 3.01, </w:t>
      </w:r>
      <w:r w:rsidR="00EC341A" w:rsidRPr="00EC341A">
        <w:rPr>
          <w:rFonts w:ascii="Arial" w:eastAsiaTheme="majorEastAsia" w:hAnsi="Arial" w:cs="Arial"/>
          <w:i/>
          <w:iCs/>
        </w:rPr>
        <w:t>P</w:t>
      </w:r>
      <w:r w:rsidRPr="0025111C">
        <w:rPr>
          <w:rFonts w:ascii="Arial" w:eastAsiaTheme="majorEastAsia" w:hAnsi="Arial" w:cs="Arial"/>
        </w:rPr>
        <w:t xml:space="preserve"> = .033), suggesting the expanded set of variables significantly predicted PATA. Perceived benefits emerged as a powerful independent predictor of PATA</w:t>
      </w:r>
      <w:r w:rsidRPr="0025111C">
        <w:rPr>
          <w:rFonts w:ascii="Arial" w:hAnsi="Arial" w:cs="Arial"/>
        </w:rPr>
        <w:t xml:space="preserve"> (β = .584, </w:t>
      </w:r>
      <w:r w:rsidR="00EC341A" w:rsidRPr="00EC341A">
        <w:rPr>
          <w:rFonts w:ascii="Arial" w:hAnsi="Arial" w:cs="Arial"/>
          <w:i/>
          <w:iCs/>
        </w:rPr>
        <w:t>P</w:t>
      </w:r>
      <w:r w:rsidRPr="0025111C">
        <w:rPr>
          <w:rFonts w:ascii="Arial" w:hAnsi="Arial" w:cs="Arial"/>
        </w:rPr>
        <w:t xml:space="preserve"> = .006). Legality concerns (β = .373,</w:t>
      </w:r>
      <w:r w:rsidRPr="00EC341A">
        <w:rPr>
          <w:rFonts w:ascii="Arial" w:hAnsi="Arial" w:cs="Arial"/>
          <w:i/>
          <w:iCs/>
        </w:rPr>
        <w:t xml:space="preserve"> </w:t>
      </w:r>
      <w:r w:rsidR="00EC341A" w:rsidRPr="00EC341A">
        <w:rPr>
          <w:rFonts w:ascii="Arial" w:hAnsi="Arial" w:cs="Arial"/>
          <w:i/>
          <w:iCs/>
        </w:rPr>
        <w:t>P</w:t>
      </w:r>
      <w:r w:rsidRPr="0025111C">
        <w:rPr>
          <w:rFonts w:ascii="Arial" w:hAnsi="Arial" w:cs="Arial"/>
        </w:rPr>
        <w:t xml:space="preserve"> = .081) and positive testimonies (β = .359, </w:t>
      </w:r>
      <w:r w:rsidR="00EC341A" w:rsidRPr="00EC341A">
        <w:rPr>
          <w:rFonts w:ascii="Arial" w:hAnsi="Arial" w:cs="Arial"/>
          <w:i/>
          <w:iCs/>
        </w:rPr>
        <w:t>P</w:t>
      </w:r>
      <w:r w:rsidRPr="0025111C">
        <w:rPr>
          <w:rFonts w:ascii="Arial" w:hAnsi="Arial" w:cs="Arial"/>
        </w:rPr>
        <w:t xml:space="preserve"> = .088) approached significance, suggesting that they may play secondary roles in predicting PATA. </w:t>
      </w:r>
      <w:r w:rsidR="00EC341A">
        <w:rPr>
          <w:rFonts w:ascii="Arial" w:hAnsi="Arial" w:cs="Arial"/>
        </w:rPr>
        <w:t>A negative trend was observed between s</w:t>
      </w:r>
      <w:r w:rsidRPr="0025111C">
        <w:rPr>
          <w:rFonts w:ascii="Arial" w:hAnsi="Arial" w:cs="Arial"/>
        </w:rPr>
        <w:t>ide effects/risks concerns</w:t>
      </w:r>
      <w:r w:rsidR="00EC341A">
        <w:rPr>
          <w:rFonts w:ascii="Arial" w:hAnsi="Arial" w:cs="Arial"/>
        </w:rPr>
        <w:t xml:space="preserve"> and PATA</w:t>
      </w:r>
      <w:r w:rsidRPr="0025111C">
        <w:rPr>
          <w:rFonts w:ascii="Arial" w:hAnsi="Arial" w:cs="Arial"/>
        </w:rPr>
        <w:t xml:space="preserve"> (β = −.410, </w:t>
      </w:r>
      <w:r w:rsidR="00EC341A" w:rsidRPr="00EC341A">
        <w:rPr>
          <w:rFonts w:ascii="Arial" w:hAnsi="Arial" w:cs="Arial"/>
          <w:i/>
          <w:iCs/>
        </w:rPr>
        <w:t>P</w:t>
      </w:r>
      <w:r w:rsidRPr="00EC341A">
        <w:rPr>
          <w:rFonts w:ascii="Arial" w:hAnsi="Arial" w:cs="Arial"/>
          <w:i/>
          <w:iCs/>
        </w:rPr>
        <w:t xml:space="preserve"> </w:t>
      </w:r>
      <w:r w:rsidRPr="0025111C">
        <w:rPr>
          <w:rFonts w:ascii="Arial" w:hAnsi="Arial" w:cs="Arial"/>
        </w:rPr>
        <w:t>= .087)</w:t>
      </w:r>
      <w:r w:rsidR="00EC341A">
        <w:rPr>
          <w:rFonts w:ascii="Arial" w:hAnsi="Arial" w:cs="Arial"/>
        </w:rPr>
        <w:t>.</w:t>
      </w:r>
    </w:p>
    <w:p w14:paraId="53916087" w14:textId="77777777" w:rsidR="0025111C" w:rsidRPr="0025111C" w:rsidRDefault="0025111C" w:rsidP="0025111C">
      <w:pPr>
        <w:shd w:val="clear" w:color="auto" w:fill="FFFFFF"/>
        <w:textAlignment w:val="baseline"/>
        <w:rPr>
          <w:rFonts w:ascii="Arial" w:hAnsi="Arial" w:cs="Arial"/>
          <w:color w:val="222222"/>
          <w:shd w:val="clear" w:color="auto" w:fill="FFFFFF"/>
        </w:rPr>
      </w:pPr>
    </w:p>
    <w:p w14:paraId="0B3109DE" w14:textId="77777777" w:rsidR="0025111C" w:rsidRPr="0025111C" w:rsidRDefault="0025111C" w:rsidP="0025111C">
      <w:pPr>
        <w:rPr>
          <w:rFonts w:ascii="Arial" w:hAnsi="Arial" w:cs="Arial"/>
        </w:rPr>
      </w:pPr>
    </w:p>
    <w:p w14:paraId="73542F8F" w14:textId="77777777" w:rsidR="0025111C" w:rsidRPr="0025111C" w:rsidRDefault="0025111C" w:rsidP="0025111C">
      <w:pPr>
        <w:rPr>
          <w:rFonts w:ascii="Arial" w:hAnsi="Arial" w:cs="Arial"/>
          <w:b/>
          <w:bCs/>
        </w:rPr>
      </w:pPr>
      <w:r w:rsidRPr="0025111C">
        <w:rPr>
          <w:rFonts w:ascii="Arial" w:hAnsi="Arial" w:cs="Arial"/>
          <w:b/>
          <w:bCs/>
        </w:rPr>
        <w:t>Table 3 - Hierarchical Multiple Regression Examining Attitudes, HBM Constructs, and Psilocybin-Assisted Therapy Acceptance (PATA)</w:t>
      </w:r>
    </w:p>
    <w:p w14:paraId="7FB17DB4" w14:textId="77777777" w:rsidR="0025111C" w:rsidRPr="0025111C" w:rsidRDefault="0025111C" w:rsidP="0025111C">
      <w:pPr>
        <w:autoSpaceDE w:val="0"/>
        <w:autoSpaceDN w:val="0"/>
        <w:adjustRightInd w:val="0"/>
        <w:rPr>
          <w:rFonts w:ascii="Arial" w:eastAsiaTheme="minorHAnsi" w:hAnsi="Arial" w:cs="Arial"/>
        </w:rPr>
      </w:pPr>
    </w:p>
    <w:tbl>
      <w:tblPr>
        <w:tblStyle w:val="PlainTable4"/>
        <w:tblW w:w="8838" w:type="dxa"/>
        <w:tblLook w:val="04A0" w:firstRow="1" w:lastRow="0" w:firstColumn="1" w:lastColumn="0" w:noHBand="0" w:noVBand="1"/>
      </w:tblPr>
      <w:tblGrid>
        <w:gridCol w:w="1834"/>
        <w:gridCol w:w="672"/>
        <w:gridCol w:w="614"/>
        <w:gridCol w:w="623"/>
        <w:gridCol w:w="692"/>
        <w:gridCol w:w="543"/>
        <w:gridCol w:w="733"/>
        <w:gridCol w:w="732"/>
        <w:gridCol w:w="775"/>
        <w:gridCol w:w="900"/>
        <w:gridCol w:w="720"/>
      </w:tblGrid>
      <w:tr w:rsidR="0025111C" w:rsidRPr="0025111C" w14:paraId="1F4319CC" w14:textId="77777777" w:rsidTr="00E30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gridSpan w:val="11"/>
            <w:tcBorders>
              <w:bottom w:val="single" w:sz="4" w:space="0" w:color="auto"/>
            </w:tcBorders>
          </w:tcPr>
          <w:p w14:paraId="57304CDD" w14:textId="77777777" w:rsidR="0025111C" w:rsidRPr="0025111C" w:rsidRDefault="0025111C" w:rsidP="00E303BE">
            <w:pPr>
              <w:jc w:val="center"/>
              <w:rPr>
                <w:rFonts w:ascii="Arial" w:hAnsi="Arial" w:cs="Arial"/>
                <w:b w:val="0"/>
                <w:bCs w:val="0"/>
                <w:sz w:val="18"/>
                <w:szCs w:val="18"/>
              </w:rPr>
            </w:pPr>
            <w:r w:rsidRPr="0025111C">
              <w:rPr>
                <w:rFonts w:ascii="Arial" w:hAnsi="Arial" w:cs="Arial"/>
                <w:sz w:val="18"/>
                <w:szCs w:val="18"/>
              </w:rPr>
              <w:t>Psilocybin Assisted Therapy Acceptance (PATA)</w:t>
            </w:r>
          </w:p>
          <w:p w14:paraId="73019878" w14:textId="77777777" w:rsidR="0025111C" w:rsidRPr="0025111C" w:rsidRDefault="0025111C" w:rsidP="00E303BE">
            <w:pPr>
              <w:jc w:val="center"/>
              <w:rPr>
                <w:rFonts w:ascii="Arial" w:hAnsi="Arial" w:cs="Arial"/>
                <w:b w:val="0"/>
                <w:bCs w:val="0"/>
                <w:sz w:val="18"/>
                <w:szCs w:val="18"/>
              </w:rPr>
            </w:pPr>
          </w:p>
        </w:tc>
      </w:tr>
      <w:tr w:rsidR="0025111C" w:rsidRPr="0025111C" w14:paraId="3384BF34"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Borders>
              <w:top w:val="single" w:sz="4" w:space="0" w:color="auto"/>
              <w:bottom w:val="single" w:sz="4" w:space="0" w:color="auto"/>
            </w:tcBorders>
          </w:tcPr>
          <w:p w14:paraId="6C4177A8" w14:textId="77777777" w:rsidR="0025111C" w:rsidRPr="0025111C" w:rsidRDefault="0025111C" w:rsidP="00E303BE">
            <w:pPr>
              <w:jc w:val="center"/>
              <w:rPr>
                <w:rFonts w:ascii="Arial" w:hAnsi="Arial" w:cs="Arial"/>
                <w:b w:val="0"/>
                <w:bCs w:val="0"/>
                <w:sz w:val="18"/>
                <w:szCs w:val="18"/>
              </w:rPr>
            </w:pPr>
            <w:r w:rsidRPr="0025111C">
              <w:rPr>
                <w:rFonts w:ascii="Arial" w:hAnsi="Arial" w:cs="Arial"/>
                <w:sz w:val="18"/>
                <w:szCs w:val="18"/>
              </w:rPr>
              <w:t>Variable</w:t>
            </w:r>
          </w:p>
        </w:tc>
        <w:tc>
          <w:tcPr>
            <w:tcW w:w="3144" w:type="dxa"/>
            <w:gridSpan w:val="5"/>
            <w:tcBorders>
              <w:top w:val="single" w:sz="4" w:space="0" w:color="auto"/>
              <w:bottom w:val="single" w:sz="4" w:space="0" w:color="auto"/>
            </w:tcBorders>
          </w:tcPr>
          <w:p w14:paraId="26984BFD"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25111C">
              <w:rPr>
                <w:rFonts w:ascii="Arial" w:hAnsi="Arial" w:cs="Arial"/>
                <w:b/>
                <w:bCs/>
                <w:sz w:val="18"/>
                <w:szCs w:val="18"/>
              </w:rPr>
              <w:t>Model 1</w:t>
            </w:r>
          </w:p>
        </w:tc>
        <w:tc>
          <w:tcPr>
            <w:tcW w:w="3860" w:type="dxa"/>
            <w:gridSpan w:val="5"/>
            <w:tcBorders>
              <w:top w:val="single" w:sz="4" w:space="0" w:color="auto"/>
              <w:bottom w:val="single" w:sz="4" w:space="0" w:color="auto"/>
            </w:tcBorders>
            <w:vAlign w:val="bottom"/>
          </w:tcPr>
          <w:p w14:paraId="3BA7E83A"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25111C">
              <w:rPr>
                <w:rFonts w:ascii="Arial" w:hAnsi="Arial" w:cs="Arial"/>
                <w:b/>
                <w:bCs/>
                <w:sz w:val="18"/>
                <w:szCs w:val="18"/>
              </w:rPr>
              <w:t>Model 2</w:t>
            </w:r>
          </w:p>
        </w:tc>
      </w:tr>
      <w:tr w:rsidR="0025111C" w:rsidRPr="0025111C" w14:paraId="77546191" w14:textId="77777777" w:rsidTr="00E303BE">
        <w:tc>
          <w:tcPr>
            <w:cnfStyle w:val="001000000000" w:firstRow="0" w:lastRow="0" w:firstColumn="1" w:lastColumn="0" w:oddVBand="0" w:evenVBand="0" w:oddHBand="0" w:evenHBand="0" w:firstRowFirstColumn="0" w:firstRowLastColumn="0" w:lastRowFirstColumn="0" w:lastRowLastColumn="0"/>
            <w:tcW w:w="8838" w:type="dxa"/>
            <w:gridSpan w:val="11"/>
            <w:tcBorders>
              <w:top w:val="single" w:sz="4" w:space="0" w:color="auto"/>
            </w:tcBorders>
          </w:tcPr>
          <w:p w14:paraId="06A80855" w14:textId="77777777" w:rsidR="0025111C" w:rsidRPr="0025111C" w:rsidRDefault="0025111C" w:rsidP="00E303BE">
            <w:pPr>
              <w:rPr>
                <w:rFonts w:ascii="Arial" w:hAnsi="Arial" w:cs="Arial"/>
                <w:b w:val="0"/>
                <w:bCs w:val="0"/>
                <w:sz w:val="18"/>
                <w:szCs w:val="18"/>
              </w:rPr>
            </w:pPr>
          </w:p>
        </w:tc>
      </w:tr>
      <w:tr w:rsidR="0025111C" w:rsidRPr="0025111C" w14:paraId="324ECC17"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7B2FFCD2" w14:textId="77777777" w:rsidR="0025111C" w:rsidRPr="0025111C" w:rsidRDefault="0025111C" w:rsidP="00E303BE">
            <w:pPr>
              <w:rPr>
                <w:rFonts w:ascii="Arial" w:hAnsi="Arial" w:cs="Arial"/>
                <w:b w:val="0"/>
                <w:bCs w:val="0"/>
                <w:sz w:val="18"/>
                <w:szCs w:val="18"/>
              </w:rPr>
            </w:pPr>
          </w:p>
        </w:tc>
        <w:tc>
          <w:tcPr>
            <w:tcW w:w="672" w:type="dxa"/>
          </w:tcPr>
          <w:p w14:paraId="7B02FBF2"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25111C">
              <w:rPr>
                <w:rFonts w:ascii="Arial" w:hAnsi="Arial" w:cs="Arial"/>
                <w:b/>
                <w:bCs/>
                <w:sz w:val="18"/>
                <w:szCs w:val="18"/>
              </w:rPr>
              <w:t>B</w:t>
            </w:r>
          </w:p>
        </w:tc>
        <w:tc>
          <w:tcPr>
            <w:tcW w:w="614" w:type="dxa"/>
          </w:tcPr>
          <w:p w14:paraId="3C887644"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25111C">
              <w:rPr>
                <w:rFonts w:ascii="Arial" w:hAnsi="Arial" w:cs="Arial"/>
                <w:b/>
                <w:bCs/>
                <w:sz w:val="18"/>
                <w:szCs w:val="18"/>
              </w:rPr>
              <w:t>SE B</w:t>
            </w:r>
          </w:p>
        </w:tc>
        <w:tc>
          <w:tcPr>
            <w:tcW w:w="623" w:type="dxa"/>
          </w:tcPr>
          <w:p w14:paraId="5A2DD236"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25111C">
              <w:rPr>
                <w:rFonts w:ascii="Arial" w:hAnsi="Arial" w:cs="Arial"/>
                <w:b/>
                <w:bCs/>
                <w:sz w:val="18"/>
                <w:szCs w:val="18"/>
              </w:rPr>
              <w:t>β</w:t>
            </w:r>
          </w:p>
        </w:tc>
        <w:tc>
          <w:tcPr>
            <w:tcW w:w="692" w:type="dxa"/>
          </w:tcPr>
          <w:p w14:paraId="2AE654B5"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18"/>
                <w:szCs w:val="18"/>
              </w:rPr>
            </w:pPr>
            <w:r w:rsidRPr="0025111C">
              <w:rPr>
                <w:rFonts w:ascii="Arial" w:hAnsi="Arial" w:cs="Arial"/>
                <w:b/>
                <w:bCs/>
                <w:i/>
                <w:iCs/>
                <w:sz w:val="18"/>
                <w:szCs w:val="18"/>
              </w:rPr>
              <w:t>t</w:t>
            </w:r>
          </w:p>
        </w:tc>
        <w:tc>
          <w:tcPr>
            <w:tcW w:w="543" w:type="dxa"/>
          </w:tcPr>
          <w:p w14:paraId="614C7D97"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18"/>
                <w:szCs w:val="18"/>
              </w:rPr>
            </w:pPr>
            <w:r w:rsidRPr="0025111C">
              <w:rPr>
                <w:rFonts w:ascii="Arial" w:hAnsi="Arial" w:cs="Arial"/>
                <w:b/>
                <w:bCs/>
                <w:i/>
                <w:iCs/>
                <w:sz w:val="18"/>
                <w:szCs w:val="18"/>
              </w:rPr>
              <w:t>P</w:t>
            </w:r>
          </w:p>
        </w:tc>
        <w:tc>
          <w:tcPr>
            <w:tcW w:w="733" w:type="dxa"/>
          </w:tcPr>
          <w:p w14:paraId="4E7B01E4"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25111C">
              <w:rPr>
                <w:rFonts w:ascii="Arial" w:hAnsi="Arial" w:cs="Arial"/>
                <w:b/>
                <w:bCs/>
                <w:sz w:val="18"/>
                <w:szCs w:val="18"/>
              </w:rPr>
              <w:t>B</w:t>
            </w:r>
          </w:p>
        </w:tc>
        <w:tc>
          <w:tcPr>
            <w:tcW w:w="732" w:type="dxa"/>
          </w:tcPr>
          <w:p w14:paraId="60046137"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25111C">
              <w:rPr>
                <w:rFonts w:ascii="Arial" w:hAnsi="Arial" w:cs="Arial"/>
                <w:b/>
                <w:bCs/>
                <w:sz w:val="18"/>
                <w:szCs w:val="18"/>
              </w:rPr>
              <w:t>SE B</w:t>
            </w:r>
          </w:p>
        </w:tc>
        <w:tc>
          <w:tcPr>
            <w:tcW w:w="775" w:type="dxa"/>
          </w:tcPr>
          <w:p w14:paraId="23126F92"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25111C">
              <w:rPr>
                <w:rFonts w:ascii="Arial" w:hAnsi="Arial" w:cs="Arial"/>
                <w:b/>
                <w:bCs/>
                <w:sz w:val="18"/>
                <w:szCs w:val="18"/>
              </w:rPr>
              <w:t>β</w:t>
            </w:r>
          </w:p>
        </w:tc>
        <w:tc>
          <w:tcPr>
            <w:tcW w:w="900" w:type="dxa"/>
          </w:tcPr>
          <w:p w14:paraId="154EFFCB"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18"/>
                <w:szCs w:val="18"/>
              </w:rPr>
            </w:pPr>
            <w:r w:rsidRPr="0025111C">
              <w:rPr>
                <w:rFonts w:ascii="Arial" w:hAnsi="Arial" w:cs="Arial"/>
                <w:b/>
                <w:bCs/>
                <w:i/>
                <w:iCs/>
                <w:sz w:val="18"/>
                <w:szCs w:val="18"/>
              </w:rPr>
              <w:t>t</w:t>
            </w:r>
          </w:p>
        </w:tc>
        <w:tc>
          <w:tcPr>
            <w:tcW w:w="720" w:type="dxa"/>
          </w:tcPr>
          <w:p w14:paraId="12B7DABA"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18"/>
                <w:szCs w:val="18"/>
              </w:rPr>
            </w:pPr>
            <w:r w:rsidRPr="0025111C">
              <w:rPr>
                <w:rFonts w:ascii="Arial" w:hAnsi="Arial" w:cs="Arial"/>
                <w:b/>
                <w:bCs/>
                <w:i/>
                <w:iCs/>
                <w:sz w:val="18"/>
                <w:szCs w:val="18"/>
              </w:rPr>
              <w:t>P</w:t>
            </w:r>
          </w:p>
        </w:tc>
      </w:tr>
      <w:tr w:rsidR="0025111C" w:rsidRPr="0025111C" w14:paraId="20DF6F89"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13F862E1" w14:textId="77777777" w:rsidR="0025111C" w:rsidRPr="0025111C" w:rsidRDefault="0025111C" w:rsidP="00E303BE">
            <w:pPr>
              <w:rPr>
                <w:rFonts w:ascii="Arial" w:hAnsi="Arial" w:cs="Arial"/>
                <w:sz w:val="18"/>
                <w:szCs w:val="18"/>
              </w:rPr>
            </w:pPr>
            <w:r w:rsidRPr="0025111C">
              <w:rPr>
                <w:rFonts w:ascii="Arial" w:hAnsi="Arial" w:cs="Arial"/>
                <w:sz w:val="18"/>
                <w:szCs w:val="18"/>
              </w:rPr>
              <w:t xml:space="preserve">Constant </w:t>
            </w:r>
          </w:p>
        </w:tc>
        <w:tc>
          <w:tcPr>
            <w:tcW w:w="672" w:type="dxa"/>
          </w:tcPr>
          <w:p w14:paraId="3AF60105"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.655</w:t>
            </w:r>
          </w:p>
        </w:tc>
        <w:tc>
          <w:tcPr>
            <w:tcW w:w="614" w:type="dxa"/>
          </w:tcPr>
          <w:p w14:paraId="0A91E7E6"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.829</w:t>
            </w:r>
          </w:p>
        </w:tc>
        <w:tc>
          <w:tcPr>
            <w:tcW w:w="623" w:type="dxa"/>
          </w:tcPr>
          <w:p w14:paraId="1A7A162F"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w:t>
            </w:r>
          </w:p>
        </w:tc>
        <w:tc>
          <w:tcPr>
            <w:tcW w:w="692" w:type="dxa"/>
          </w:tcPr>
          <w:p w14:paraId="58B1C251"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.790</w:t>
            </w:r>
          </w:p>
        </w:tc>
        <w:tc>
          <w:tcPr>
            <w:tcW w:w="543" w:type="dxa"/>
          </w:tcPr>
          <w:p w14:paraId="367894F0"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.43</w:t>
            </w:r>
          </w:p>
        </w:tc>
        <w:tc>
          <w:tcPr>
            <w:tcW w:w="733" w:type="dxa"/>
          </w:tcPr>
          <w:p w14:paraId="4AF68A29"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1.687</w:t>
            </w:r>
          </w:p>
        </w:tc>
        <w:tc>
          <w:tcPr>
            <w:tcW w:w="732" w:type="dxa"/>
          </w:tcPr>
          <w:p w14:paraId="6F1F31F7"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1.157</w:t>
            </w:r>
          </w:p>
        </w:tc>
        <w:tc>
          <w:tcPr>
            <w:tcW w:w="775" w:type="dxa"/>
          </w:tcPr>
          <w:p w14:paraId="1ACCC03A"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w:t>
            </w:r>
          </w:p>
        </w:tc>
        <w:tc>
          <w:tcPr>
            <w:tcW w:w="900" w:type="dxa"/>
          </w:tcPr>
          <w:p w14:paraId="3BF72F56"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1.459</w:t>
            </w:r>
          </w:p>
        </w:tc>
        <w:tc>
          <w:tcPr>
            <w:tcW w:w="720" w:type="dxa"/>
          </w:tcPr>
          <w:p w14:paraId="14DFCDE9"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.17</w:t>
            </w:r>
          </w:p>
          <w:p w14:paraId="68EB2B0D"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5111C" w:rsidRPr="0025111C" w14:paraId="02537045"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36C69E22" w14:textId="77777777" w:rsidR="0025111C" w:rsidRPr="0025111C" w:rsidRDefault="0025111C" w:rsidP="00E303BE">
            <w:pPr>
              <w:rPr>
                <w:rFonts w:ascii="Arial" w:hAnsi="Arial" w:cs="Arial"/>
                <w:sz w:val="18"/>
                <w:szCs w:val="18"/>
              </w:rPr>
            </w:pPr>
            <w:r w:rsidRPr="0025111C">
              <w:rPr>
                <w:rFonts w:ascii="Arial" w:hAnsi="Arial" w:cs="Arial"/>
                <w:sz w:val="18"/>
                <w:szCs w:val="18"/>
              </w:rPr>
              <w:t>MMP Expansion</w:t>
            </w:r>
          </w:p>
          <w:p w14:paraId="7CAD3D23" w14:textId="77777777" w:rsidR="0025111C" w:rsidRPr="0025111C" w:rsidRDefault="0025111C" w:rsidP="00E303BE">
            <w:pPr>
              <w:rPr>
                <w:rFonts w:ascii="Arial" w:hAnsi="Arial" w:cs="Arial"/>
                <w:sz w:val="18"/>
                <w:szCs w:val="18"/>
              </w:rPr>
            </w:pPr>
          </w:p>
        </w:tc>
        <w:tc>
          <w:tcPr>
            <w:tcW w:w="672" w:type="dxa"/>
          </w:tcPr>
          <w:p w14:paraId="1D0F7029"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.555</w:t>
            </w:r>
          </w:p>
        </w:tc>
        <w:tc>
          <w:tcPr>
            <w:tcW w:w="614" w:type="dxa"/>
          </w:tcPr>
          <w:p w14:paraId="744EA5E4"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.214</w:t>
            </w:r>
          </w:p>
        </w:tc>
        <w:tc>
          <w:tcPr>
            <w:tcW w:w="623" w:type="dxa"/>
          </w:tcPr>
          <w:p w14:paraId="083F033C"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.431</w:t>
            </w:r>
          </w:p>
        </w:tc>
        <w:tc>
          <w:tcPr>
            <w:tcW w:w="692" w:type="dxa"/>
          </w:tcPr>
          <w:p w14:paraId="746BBB62"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2.596</w:t>
            </w:r>
          </w:p>
        </w:tc>
        <w:tc>
          <w:tcPr>
            <w:tcW w:w="543" w:type="dxa"/>
          </w:tcPr>
          <w:p w14:paraId="64008D58"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.01</w:t>
            </w:r>
          </w:p>
        </w:tc>
        <w:tc>
          <w:tcPr>
            <w:tcW w:w="733" w:type="dxa"/>
          </w:tcPr>
          <w:p w14:paraId="043B54A5"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.041</w:t>
            </w:r>
          </w:p>
        </w:tc>
        <w:tc>
          <w:tcPr>
            <w:tcW w:w="732" w:type="dxa"/>
          </w:tcPr>
          <w:p w14:paraId="732AF217"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.264</w:t>
            </w:r>
          </w:p>
        </w:tc>
        <w:tc>
          <w:tcPr>
            <w:tcW w:w="775" w:type="dxa"/>
          </w:tcPr>
          <w:p w14:paraId="51964661"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.032</w:t>
            </w:r>
          </w:p>
        </w:tc>
        <w:tc>
          <w:tcPr>
            <w:tcW w:w="900" w:type="dxa"/>
          </w:tcPr>
          <w:p w14:paraId="0D16D1FB"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.156</w:t>
            </w:r>
          </w:p>
        </w:tc>
        <w:tc>
          <w:tcPr>
            <w:tcW w:w="720" w:type="dxa"/>
          </w:tcPr>
          <w:p w14:paraId="3F823C63"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.87</w:t>
            </w:r>
          </w:p>
        </w:tc>
      </w:tr>
      <w:tr w:rsidR="0025111C" w:rsidRPr="0025111C" w14:paraId="3ECA3C60"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5606B36C" w14:textId="77777777" w:rsidR="0025111C" w:rsidRPr="0025111C" w:rsidRDefault="0025111C" w:rsidP="00E303BE">
            <w:pPr>
              <w:rPr>
                <w:rFonts w:ascii="Arial" w:hAnsi="Arial" w:cs="Arial"/>
                <w:sz w:val="18"/>
                <w:szCs w:val="18"/>
              </w:rPr>
            </w:pPr>
            <w:r w:rsidRPr="0025111C">
              <w:rPr>
                <w:rFonts w:ascii="Arial" w:hAnsi="Arial" w:cs="Arial"/>
                <w:sz w:val="18"/>
                <w:szCs w:val="18"/>
              </w:rPr>
              <w:t xml:space="preserve">Attitude towards psilocybin and CAM </w:t>
            </w:r>
          </w:p>
          <w:p w14:paraId="5A1E2474" w14:textId="77777777" w:rsidR="0025111C" w:rsidRPr="0025111C" w:rsidRDefault="0025111C" w:rsidP="00E303BE">
            <w:pPr>
              <w:rPr>
                <w:rFonts w:ascii="Arial" w:hAnsi="Arial" w:cs="Arial"/>
                <w:sz w:val="18"/>
                <w:szCs w:val="18"/>
                <w:highlight w:val="green"/>
              </w:rPr>
            </w:pPr>
          </w:p>
        </w:tc>
        <w:tc>
          <w:tcPr>
            <w:tcW w:w="672" w:type="dxa"/>
          </w:tcPr>
          <w:p w14:paraId="51696E66"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.125</w:t>
            </w:r>
          </w:p>
        </w:tc>
        <w:tc>
          <w:tcPr>
            <w:tcW w:w="614" w:type="dxa"/>
          </w:tcPr>
          <w:p w14:paraId="54BD2D59"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.150</w:t>
            </w:r>
          </w:p>
        </w:tc>
        <w:tc>
          <w:tcPr>
            <w:tcW w:w="623" w:type="dxa"/>
          </w:tcPr>
          <w:p w14:paraId="7881978E"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.188</w:t>
            </w:r>
          </w:p>
        </w:tc>
        <w:tc>
          <w:tcPr>
            <w:tcW w:w="692" w:type="dxa"/>
          </w:tcPr>
          <w:p w14:paraId="1EA015D4"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.830</w:t>
            </w:r>
          </w:p>
        </w:tc>
        <w:tc>
          <w:tcPr>
            <w:tcW w:w="543" w:type="dxa"/>
          </w:tcPr>
          <w:p w14:paraId="7E72276D"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.41</w:t>
            </w:r>
          </w:p>
        </w:tc>
        <w:tc>
          <w:tcPr>
            <w:tcW w:w="733" w:type="dxa"/>
          </w:tcPr>
          <w:p w14:paraId="7C5F7063"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-.152</w:t>
            </w:r>
          </w:p>
        </w:tc>
        <w:tc>
          <w:tcPr>
            <w:tcW w:w="732" w:type="dxa"/>
          </w:tcPr>
          <w:p w14:paraId="74678677"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.174</w:t>
            </w:r>
          </w:p>
        </w:tc>
        <w:tc>
          <w:tcPr>
            <w:tcW w:w="775" w:type="dxa"/>
          </w:tcPr>
          <w:p w14:paraId="429E70DA"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-.230</w:t>
            </w:r>
          </w:p>
        </w:tc>
        <w:tc>
          <w:tcPr>
            <w:tcW w:w="900" w:type="dxa"/>
          </w:tcPr>
          <w:p w14:paraId="535C2B25"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-.874</w:t>
            </w:r>
          </w:p>
        </w:tc>
        <w:tc>
          <w:tcPr>
            <w:tcW w:w="720" w:type="dxa"/>
          </w:tcPr>
          <w:p w14:paraId="11EFFD04"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.40</w:t>
            </w:r>
          </w:p>
        </w:tc>
      </w:tr>
      <w:tr w:rsidR="0025111C" w:rsidRPr="0025111C" w14:paraId="407C5613"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6F7AF202" w14:textId="77777777" w:rsidR="0025111C" w:rsidRPr="0025111C" w:rsidRDefault="0025111C" w:rsidP="00E303BE">
            <w:pPr>
              <w:rPr>
                <w:rFonts w:ascii="Arial" w:hAnsi="Arial" w:cs="Arial"/>
                <w:sz w:val="18"/>
                <w:szCs w:val="18"/>
              </w:rPr>
            </w:pPr>
            <w:r w:rsidRPr="0025111C">
              <w:rPr>
                <w:rFonts w:ascii="Arial" w:hAnsi="Arial" w:cs="Arial"/>
                <w:sz w:val="18"/>
                <w:szCs w:val="18"/>
              </w:rPr>
              <w:t>General Knowledge</w:t>
            </w:r>
          </w:p>
        </w:tc>
        <w:tc>
          <w:tcPr>
            <w:tcW w:w="672" w:type="dxa"/>
          </w:tcPr>
          <w:p w14:paraId="5AA32D56"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.052</w:t>
            </w:r>
          </w:p>
        </w:tc>
        <w:tc>
          <w:tcPr>
            <w:tcW w:w="614" w:type="dxa"/>
          </w:tcPr>
          <w:p w14:paraId="410F2AC3"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.147</w:t>
            </w:r>
          </w:p>
        </w:tc>
        <w:tc>
          <w:tcPr>
            <w:tcW w:w="623" w:type="dxa"/>
          </w:tcPr>
          <w:p w14:paraId="7DE8519A"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.080</w:t>
            </w:r>
          </w:p>
        </w:tc>
        <w:tc>
          <w:tcPr>
            <w:tcW w:w="692" w:type="dxa"/>
          </w:tcPr>
          <w:p w14:paraId="548F8E2F"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.350</w:t>
            </w:r>
          </w:p>
        </w:tc>
        <w:tc>
          <w:tcPr>
            <w:tcW w:w="543" w:type="dxa"/>
          </w:tcPr>
          <w:p w14:paraId="224E8A0D"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.72</w:t>
            </w:r>
          </w:p>
        </w:tc>
        <w:tc>
          <w:tcPr>
            <w:tcW w:w="733" w:type="dxa"/>
          </w:tcPr>
          <w:p w14:paraId="3A12DA8E"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.155</w:t>
            </w:r>
          </w:p>
        </w:tc>
        <w:tc>
          <w:tcPr>
            <w:tcW w:w="732" w:type="dxa"/>
          </w:tcPr>
          <w:p w14:paraId="00575E85"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.137</w:t>
            </w:r>
          </w:p>
        </w:tc>
        <w:tc>
          <w:tcPr>
            <w:tcW w:w="775" w:type="dxa"/>
          </w:tcPr>
          <w:p w14:paraId="32D1BB21"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.239</w:t>
            </w:r>
          </w:p>
        </w:tc>
        <w:tc>
          <w:tcPr>
            <w:tcW w:w="900" w:type="dxa"/>
          </w:tcPr>
          <w:p w14:paraId="3304BE47"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1.132</w:t>
            </w:r>
          </w:p>
        </w:tc>
        <w:tc>
          <w:tcPr>
            <w:tcW w:w="720" w:type="dxa"/>
          </w:tcPr>
          <w:p w14:paraId="58047120"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.28</w:t>
            </w:r>
          </w:p>
          <w:p w14:paraId="3D74AF78"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5111C" w:rsidRPr="0025111C" w14:paraId="7B9769F2"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7CFEFBAD" w14:textId="77777777" w:rsidR="0025111C" w:rsidRPr="0025111C" w:rsidRDefault="0025111C" w:rsidP="00E303BE">
            <w:pPr>
              <w:rPr>
                <w:rFonts w:ascii="Arial" w:hAnsi="Arial" w:cs="Arial"/>
                <w:sz w:val="18"/>
                <w:szCs w:val="18"/>
              </w:rPr>
            </w:pPr>
            <w:r w:rsidRPr="0025111C">
              <w:rPr>
                <w:rFonts w:ascii="Arial" w:hAnsi="Arial" w:cs="Arial"/>
                <w:sz w:val="18"/>
                <w:szCs w:val="18"/>
              </w:rPr>
              <w:t>Perceived Severity</w:t>
            </w:r>
          </w:p>
        </w:tc>
        <w:tc>
          <w:tcPr>
            <w:tcW w:w="672" w:type="dxa"/>
          </w:tcPr>
          <w:p w14:paraId="5D0A27D0"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14" w:type="dxa"/>
          </w:tcPr>
          <w:p w14:paraId="69A63C17"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23" w:type="dxa"/>
          </w:tcPr>
          <w:p w14:paraId="295C1CEB"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92" w:type="dxa"/>
          </w:tcPr>
          <w:p w14:paraId="4DCE1FB0"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543" w:type="dxa"/>
          </w:tcPr>
          <w:p w14:paraId="77A2853E"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33" w:type="dxa"/>
          </w:tcPr>
          <w:p w14:paraId="30DE815A"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-.067</w:t>
            </w:r>
          </w:p>
        </w:tc>
        <w:tc>
          <w:tcPr>
            <w:tcW w:w="732" w:type="dxa"/>
          </w:tcPr>
          <w:p w14:paraId="63152DD7"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.115</w:t>
            </w:r>
          </w:p>
        </w:tc>
        <w:tc>
          <w:tcPr>
            <w:tcW w:w="775" w:type="dxa"/>
          </w:tcPr>
          <w:p w14:paraId="3E8C6A45"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-.101</w:t>
            </w:r>
          </w:p>
        </w:tc>
        <w:tc>
          <w:tcPr>
            <w:tcW w:w="900" w:type="dxa"/>
          </w:tcPr>
          <w:p w14:paraId="2BD5B8C0"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-.577</w:t>
            </w:r>
          </w:p>
        </w:tc>
        <w:tc>
          <w:tcPr>
            <w:tcW w:w="720" w:type="dxa"/>
          </w:tcPr>
          <w:p w14:paraId="411D75DE"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.57</w:t>
            </w:r>
          </w:p>
          <w:p w14:paraId="223F9081"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5111C" w:rsidRPr="0025111C" w14:paraId="5D4D0D04"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7AC854E2" w14:textId="77777777" w:rsidR="0025111C" w:rsidRPr="0025111C" w:rsidRDefault="0025111C" w:rsidP="00E303BE">
            <w:pPr>
              <w:rPr>
                <w:rFonts w:ascii="Arial" w:hAnsi="Arial" w:cs="Arial"/>
                <w:sz w:val="18"/>
                <w:szCs w:val="18"/>
              </w:rPr>
            </w:pPr>
            <w:r w:rsidRPr="0025111C">
              <w:rPr>
                <w:rFonts w:ascii="Arial" w:hAnsi="Arial" w:cs="Arial"/>
                <w:sz w:val="18"/>
                <w:szCs w:val="18"/>
              </w:rPr>
              <w:t>Perceived Benefit</w:t>
            </w:r>
          </w:p>
        </w:tc>
        <w:tc>
          <w:tcPr>
            <w:tcW w:w="672" w:type="dxa"/>
          </w:tcPr>
          <w:p w14:paraId="726D588F"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14" w:type="dxa"/>
          </w:tcPr>
          <w:p w14:paraId="67EB6CE5"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23" w:type="dxa"/>
          </w:tcPr>
          <w:p w14:paraId="4DBD6C46"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92" w:type="dxa"/>
          </w:tcPr>
          <w:p w14:paraId="76EFA686"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543" w:type="dxa"/>
          </w:tcPr>
          <w:p w14:paraId="62D44E80"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33" w:type="dxa"/>
          </w:tcPr>
          <w:p w14:paraId="05D46D07"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.506</w:t>
            </w:r>
          </w:p>
        </w:tc>
        <w:tc>
          <w:tcPr>
            <w:tcW w:w="732" w:type="dxa"/>
          </w:tcPr>
          <w:p w14:paraId="416767EE"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.150</w:t>
            </w:r>
          </w:p>
        </w:tc>
        <w:tc>
          <w:tcPr>
            <w:tcW w:w="775" w:type="dxa"/>
          </w:tcPr>
          <w:p w14:paraId="370AECC1"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.584</w:t>
            </w:r>
          </w:p>
        </w:tc>
        <w:tc>
          <w:tcPr>
            <w:tcW w:w="900" w:type="dxa"/>
          </w:tcPr>
          <w:p w14:paraId="3929730B"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3.374</w:t>
            </w:r>
          </w:p>
        </w:tc>
        <w:tc>
          <w:tcPr>
            <w:tcW w:w="720" w:type="dxa"/>
          </w:tcPr>
          <w:p w14:paraId="062F390D"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.006</w:t>
            </w:r>
          </w:p>
          <w:p w14:paraId="5CAC6935"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5111C" w:rsidRPr="0025111C" w14:paraId="335C6BA2"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6FF92878" w14:textId="77777777" w:rsidR="0025111C" w:rsidRPr="0025111C" w:rsidRDefault="0025111C" w:rsidP="00E303BE">
            <w:pPr>
              <w:rPr>
                <w:rFonts w:ascii="Arial" w:hAnsi="Arial" w:cs="Arial"/>
                <w:sz w:val="18"/>
                <w:szCs w:val="18"/>
              </w:rPr>
            </w:pPr>
            <w:r w:rsidRPr="0025111C">
              <w:rPr>
                <w:rFonts w:ascii="Arial" w:hAnsi="Arial" w:cs="Arial"/>
                <w:sz w:val="18"/>
                <w:szCs w:val="18"/>
              </w:rPr>
              <w:t>CA 1- Healthcare Recommendations</w:t>
            </w:r>
          </w:p>
          <w:p w14:paraId="44927183" w14:textId="77777777" w:rsidR="0025111C" w:rsidRPr="0025111C" w:rsidRDefault="0025111C" w:rsidP="00E303BE">
            <w:pPr>
              <w:rPr>
                <w:rFonts w:ascii="Arial" w:hAnsi="Arial" w:cs="Arial"/>
                <w:sz w:val="18"/>
                <w:szCs w:val="18"/>
              </w:rPr>
            </w:pPr>
          </w:p>
        </w:tc>
        <w:tc>
          <w:tcPr>
            <w:tcW w:w="672" w:type="dxa"/>
          </w:tcPr>
          <w:p w14:paraId="41199A69"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14" w:type="dxa"/>
          </w:tcPr>
          <w:p w14:paraId="0E459699"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23" w:type="dxa"/>
          </w:tcPr>
          <w:p w14:paraId="1EAF2701"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92" w:type="dxa"/>
          </w:tcPr>
          <w:p w14:paraId="4078066A"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543" w:type="dxa"/>
          </w:tcPr>
          <w:p w14:paraId="579ADB0F"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33" w:type="dxa"/>
          </w:tcPr>
          <w:p w14:paraId="6AD2C462"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.326</w:t>
            </w:r>
          </w:p>
        </w:tc>
        <w:tc>
          <w:tcPr>
            <w:tcW w:w="732" w:type="dxa"/>
          </w:tcPr>
          <w:p w14:paraId="32C4E00F"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.348</w:t>
            </w:r>
          </w:p>
        </w:tc>
        <w:tc>
          <w:tcPr>
            <w:tcW w:w="775" w:type="dxa"/>
          </w:tcPr>
          <w:p w14:paraId="45D46E0D"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.251</w:t>
            </w:r>
          </w:p>
        </w:tc>
        <w:tc>
          <w:tcPr>
            <w:tcW w:w="900" w:type="dxa"/>
          </w:tcPr>
          <w:p w14:paraId="018EB0F5"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.938</w:t>
            </w:r>
          </w:p>
        </w:tc>
        <w:tc>
          <w:tcPr>
            <w:tcW w:w="720" w:type="dxa"/>
          </w:tcPr>
          <w:p w14:paraId="5A275E60"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.36</w:t>
            </w:r>
          </w:p>
        </w:tc>
      </w:tr>
      <w:tr w:rsidR="0025111C" w:rsidRPr="0025111C" w14:paraId="67126C44"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7B99F439" w14:textId="77777777" w:rsidR="0025111C" w:rsidRPr="0025111C" w:rsidRDefault="0025111C" w:rsidP="00E303BE">
            <w:pPr>
              <w:rPr>
                <w:rFonts w:ascii="Arial" w:hAnsi="Arial" w:cs="Arial"/>
                <w:sz w:val="18"/>
                <w:szCs w:val="18"/>
              </w:rPr>
            </w:pPr>
            <w:r w:rsidRPr="0025111C">
              <w:rPr>
                <w:rFonts w:ascii="Arial" w:hAnsi="Arial" w:cs="Arial"/>
                <w:sz w:val="18"/>
                <w:szCs w:val="18"/>
              </w:rPr>
              <w:t xml:space="preserve">CA 2- Positive Testimonies of </w:t>
            </w:r>
            <w:r w:rsidRPr="0025111C">
              <w:rPr>
                <w:rFonts w:ascii="Arial" w:hAnsi="Arial" w:cs="Arial"/>
                <w:sz w:val="18"/>
                <w:szCs w:val="18"/>
              </w:rPr>
              <w:lastRenderedPageBreak/>
              <w:t xml:space="preserve">former psilocybin users </w:t>
            </w:r>
          </w:p>
          <w:p w14:paraId="5C3B2EC2" w14:textId="77777777" w:rsidR="0025111C" w:rsidRPr="0025111C" w:rsidRDefault="0025111C" w:rsidP="00E303BE">
            <w:pPr>
              <w:rPr>
                <w:rFonts w:ascii="Arial" w:hAnsi="Arial" w:cs="Arial"/>
                <w:sz w:val="18"/>
                <w:szCs w:val="18"/>
              </w:rPr>
            </w:pPr>
          </w:p>
        </w:tc>
        <w:tc>
          <w:tcPr>
            <w:tcW w:w="672" w:type="dxa"/>
          </w:tcPr>
          <w:p w14:paraId="657DB2A6"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14" w:type="dxa"/>
          </w:tcPr>
          <w:p w14:paraId="223B72E8"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23" w:type="dxa"/>
          </w:tcPr>
          <w:p w14:paraId="5DB3F7A2"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92" w:type="dxa"/>
          </w:tcPr>
          <w:p w14:paraId="5C2FFB62"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543" w:type="dxa"/>
          </w:tcPr>
          <w:p w14:paraId="37CBD045"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33" w:type="dxa"/>
          </w:tcPr>
          <w:p w14:paraId="2101AF99"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.480</w:t>
            </w:r>
          </w:p>
        </w:tc>
        <w:tc>
          <w:tcPr>
            <w:tcW w:w="732" w:type="dxa"/>
          </w:tcPr>
          <w:p w14:paraId="58BA53D4"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.257</w:t>
            </w:r>
          </w:p>
        </w:tc>
        <w:tc>
          <w:tcPr>
            <w:tcW w:w="775" w:type="dxa"/>
          </w:tcPr>
          <w:p w14:paraId="7F2EBE49"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.359</w:t>
            </w:r>
          </w:p>
        </w:tc>
        <w:tc>
          <w:tcPr>
            <w:tcW w:w="900" w:type="dxa"/>
          </w:tcPr>
          <w:p w14:paraId="3F46E14B"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1.873</w:t>
            </w:r>
          </w:p>
        </w:tc>
        <w:tc>
          <w:tcPr>
            <w:tcW w:w="720" w:type="dxa"/>
          </w:tcPr>
          <w:p w14:paraId="1D3DCDF2"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.08</w:t>
            </w:r>
          </w:p>
        </w:tc>
      </w:tr>
      <w:tr w:rsidR="0025111C" w:rsidRPr="0025111C" w14:paraId="2977F0C7"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48D0651D" w14:textId="77777777" w:rsidR="0025111C" w:rsidRPr="0025111C" w:rsidRDefault="0025111C" w:rsidP="00E303BE">
            <w:pPr>
              <w:rPr>
                <w:rFonts w:ascii="Arial" w:hAnsi="Arial" w:cs="Arial"/>
                <w:sz w:val="18"/>
                <w:szCs w:val="18"/>
              </w:rPr>
            </w:pPr>
            <w:r w:rsidRPr="0025111C">
              <w:rPr>
                <w:rFonts w:ascii="Arial" w:hAnsi="Arial" w:cs="Arial"/>
                <w:sz w:val="18"/>
                <w:szCs w:val="18"/>
              </w:rPr>
              <w:t>CA 3- FDA Approval</w:t>
            </w:r>
          </w:p>
        </w:tc>
        <w:tc>
          <w:tcPr>
            <w:tcW w:w="672" w:type="dxa"/>
          </w:tcPr>
          <w:p w14:paraId="7DC3DF66"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14" w:type="dxa"/>
          </w:tcPr>
          <w:p w14:paraId="5E5E5266"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23" w:type="dxa"/>
          </w:tcPr>
          <w:p w14:paraId="638C071E"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92" w:type="dxa"/>
          </w:tcPr>
          <w:p w14:paraId="0DF9F19A"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543" w:type="dxa"/>
          </w:tcPr>
          <w:p w14:paraId="48B66368"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33" w:type="dxa"/>
          </w:tcPr>
          <w:p w14:paraId="18106B0B"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.124</w:t>
            </w:r>
          </w:p>
        </w:tc>
        <w:tc>
          <w:tcPr>
            <w:tcW w:w="732" w:type="dxa"/>
          </w:tcPr>
          <w:p w14:paraId="48E74BCE"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.270</w:t>
            </w:r>
          </w:p>
        </w:tc>
        <w:tc>
          <w:tcPr>
            <w:tcW w:w="775" w:type="dxa"/>
          </w:tcPr>
          <w:p w14:paraId="6C53EA43"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.094</w:t>
            </w:r>
          </w:p>
        </w:tc>
        <w:tc>
          <w:tcPr>
            <w:tcW w:w="900" w:type="dxa"/>
          </w:tcPr>
          <w:p w14:paraId="6A4EF0AB"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.459</w:t>
            </w:r>
          </w:p>
        </w:tc>
        <w:tc>
          <w:tcPr>
            <w:tcW w:w="720" w:type="dxa"/>
          </w:tcPr>
          <w:p w14:paraId="7173B259"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.65</w:t>
            </w:r>
          </w:p>
          <w:p w14:paraId="7E8E058D"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5111C" w:rsidRPr="0025111C" w14:paraId="3CD89E50"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795CD430" w14:textId="77777777" w:rsidR="0025111C" w:rsidRPr="0025111C" w:rsidRDefault="0025111C" w:rsidP="00E303BE">
            <w:pPr>
              <w:rPr>
                <w:rFonts w:ascii="Arial" w:hAnsi="Arial" w:cs="Arial"/>
                <w:sz w:val="18"/>
                <w:szCs w:val="18"/>
              </w:rPr>
            </w:pPr>
            <w:r w:rsidRPr="0025111C">
              <w:rPr>
                <w:rFonts w:ascii="Arial" w:hAnsi="Arial" w:cs="Arial"/>
                <w:sz w:val="18"/>
                <w:szCs w:val="18"/>
              </w:rPr>
              <w:t>CA 4-Positive Peer Experiences</w:t>
            </w:r>
          </w:p>
          <w:p w14:paraId="794523BB" w14:textId="77777777" w:rsidR="0025111C" w:rsidRPr="0025111C" w:rsidRDefault="0025111C" w:rsidP="00E303BE">
            <w:pPr>
              <w:rPr>
                <w:rFonts w:ascii="Arial" w:hAnsi="Arial" w:cs="Arial"/>
                <w:sz w:val="18"/>
                <w:szCs w:val="18"/>
              </w:rPr>
            </w:pPr>
          </w:p>
        </w:tc>
        <w:tc>
          <w:tcPr>
            <w:tcW w:w="672" w:type="dxa"/>
          </w:tcPr>
          <w:p w14:paraId="6C78A528"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14" w:type="dxa"/>
          </w:tcPr>
          <w:p w14:paraId="6B64E2D8"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23" w:type="dxa"/>
          </w:tcPr>
          <w:p w14:paraId="185F674A"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92" w:type="dxa"/>
          </w:tcPr>
          <w:p w14:paraId="1F0A4E3D"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543" w:type="dxa"/>
          </w:tcPr>
          <w:p w14:paraId="69683128"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33" w:type="dxa"/>
          </w:tcPr>
          <w:p w14:paraId="5D32B1CF"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-.148</w:t>
            </w:r>
          </w:p>
        </w:tc>
        <w:tc>
          <w:tcPr>
            <w:tcW w:w="732" w:type="dxa"/>
          </w:tcPr>
          <w:p w14:paraId="7CDC29B6"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.408</w:t>
            </w:r>
          </w:p>
        </w:tc>
        <w:tc>
          <w:tcPr>
            <w:tcW w:w="775" w:type="dxa"/>
          </w:tcPr>
          <w:p w14:paraId="25393151"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-.111</w:t>
            </w:r>
          </w:p>
        </w:tc>
        <w:tc>
          <w:tcPr>
            <w:tcW w:w="900" w:type="dxa"/>
          </w:tcPr>
          <w:p w14:paraId="1E25B031"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-.364</w:t>
            </w:r>
          </w:p>
        </w:tc>
        <w:tc>
          <w:tcPr>
            <w:tcW w:w="720" w:type="dxa"/>
          </w:tcPr>
          <w:p w14:paraId="26E51162"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.72</w:t>
            </w:r>
          </w:p>
        </w:tc>
      </w:tr>
      <w:tr w:rsidR="0025111C" w:rsidRPr="0025111C" w14:paraId="2949658B"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5D3E485D" w14:textId="77777777" w:rsidR="0025111C" w:rsidRPr="0025111C" w:rsidRDefault="0025111C" w:rsidP="00E303BE">
            <w:pPr>
              <w:rPr>
                <w:rFonts w:ascii="Arial" w:hAnsi="Arial" w:cs="Arial"/>
                <w:sz w:val="18"/>
                <w:szCs w:val="18"/>
              </w:rPr>
            </w:pPr>
            <w:r w:rsidRPr="0025111C">
              <w:rPr>
                <w:rFonts w:ascii="Arial" w:hAnsi="Arial" w:cs="Arial"/>
                <w:sz w:val="18"/>
                <w:szCs w:val="18"/>
              </w:rPr>
              <w:t xml:space="preserve">CA 5- Family Support </w:t>
            </w:r>
          </w:p>
        </w:tc>
        <w:tc>
          <w:tcPr>
            <w:tcW w:w="672" w:type="dxa"/>
          </w:tcPr>
          <w:p w14:paraId="396B07CE"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14" w:type="dxa"/>
          </w:tcPr>
          <w:p w14:paraId="5A173284"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23" w:type="dxa"/>
          </w:tcPr>
          <w:p w14:paraId="46F9D323"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92" w:type="dxa"/>
          </w:tcPr>
          <w:p w14:paraId="7925AFBE"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543" w:type="dxa"/>
          </w:tcPr>
          <w:p w14:paraId="35D3F78C"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33" w:type="dxa"/>
          </w:tcPr>
          <w:p w14:paraId="1FCC8283"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-.901</w:t>
            </w:r>
          </w:p>
        </w:tc>
        <w:tc>
          <w:tcPr>
            <w:tcW w:w="732" w:type="dxa"/>
          </w:tcPr>
          <w:p w14:paraId="03B7AE77"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.725</w:t>
            </w:r>
          </w:p>
        </w:tc>
        <w:tc>
          <w:tcPr>
            <w:tcW w:w="775" w:type="dxa"/>
          </w:tcPr>
          <w:p w14:paraId="38ACBAA9"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-.518</w:t>
            </w:r>
          </w:p>
        </w:tc>
        <w:tc>
          <w:tcPr>
            <w:tcW w:w="900" w:type="dxa"/>
          </w:tcPr>
          <w:p w14:paraId="5581BE69"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-1.243</w:t>
            </w:r>
          </w:p>
        </w:tc>
        <w:tc>
          <w:tcPr>
            <w:tcW w:w="720" w:type="dxa"/>
          </w:tcPr>
          <w:p w14:paraId="6D7293E4"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.24</w:t>
            </w:r>
          </w:p>
          <w:p w14:paraId="5FA0722F"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5111C" w:rsidRPr="0025111C" w14:paraId="7BF4065A"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7FC9519F" w14:textId="77777777" w:rsidR="0025111C" w:rsidRPr="0025111C" w:rsidRDefault="0025111C" w:rsidP="00E303BE">
            <w:pPr>
              <w:rPr>
                <w:rFonts w:ascii="Arial" w:hAnsi="Arial" w:cs="Arial"/>
                <w:sz w:val="18"/>
                <w:szCs w:val="18"/>
              </w:rPr>
            </w:pPr>
            <w:r w:rsidRPr="0025111C">
              <w:rPr>
                <w:rFonts w:ascii="Arial" w:hAnsi="Arial" w:cs="Arial"/>
                <w:sz w:val="18"/>
                <w:szCs w:val="18"/>
              </w:rPr>
              <w:t xml:space="preserve">CA 6- Nothing </w:t>
            </w:r>
          </w:p>
        </w:tc>
        <w:tc>
          <w:tcPr>
            <w:tcW w:w="672" w:type="dxa"/>
          </w:tcPr>
          <w:p w14:paraId="694D2F94"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14" w:type="dxa"/>
          </w:tcPr>
          <w:p w14:paraId="5127337B"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23" w:type="dxa"/>
          </w:tcPr>
          <w:p w14:paraId="67EED30B"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92" w:type="dxa"/>
          </w:tcPr>
          <w:p w14:paraId="50233346"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543" w:type="dxa"/>
          </w:tcPr>
          <w:p w14:paraId="7172DBF1"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33" w:type="dxa"/>
          </w:tcPr>
          <w:p w14:paraId="5E6CB2BF"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-.385</w:t>
            </w:r>
          </w:p>
        </w:tc>
        <w:tc>
          <w:tcPr>
            <w:tcW w:w="732" w:type="dxa"/>
          </w:tcPr>
          <w:p w14:paraId="0B122F84"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.592</w:t>
            </w:r>
          </w:p>
        </w:tc>
        <w:tc>
          <w:tcPr>
            <w:tcW w:w="775" w:type="dxa"/>
          </w:tcPr>
          <w:p w14:paraId="53B5A488"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-.178</w:t>
            </w:r>
          </w:p>
        </w:tc>
        <w:tc>
          <w:tcPr>
            <w:tcW w:w="900" w:type="dxa"/>
          </w:tcPr>
          <w:p w14:paraId="7A75DD7A"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-.650</w:t>
            </w:r>
          </w:p>
        </w:tc>
        <w:tc>
          <w:tcPr>
            <w:tcW w:w="720" w:type="dxa"/>
          </w:tcPr>
          <w:p w14:paraId="16BE9CFD"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.52</w:t>
            </w:r>
          </w:p>
          <w:p w14:paraId="29995F91"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5111C" w:rsidRPr="0025111C" w14:paraId="255A892B"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5BA4B23D" w14:textId="77777777" w:rsidR="0025111C" w:rsidRPr="0025111C" w:rsidRDefault="0025111C" w:rsidP="00E303BE">
            <w:pPr>
              <w:rPr>
                <w:rFonts w:ascii="Arial" w:hAnsi="Arial" w:cs="Arial"/>
                <w:sz w:val="18"/>
                <w:szCs w:val="18"/>
              </w:rPr>
            </w:pPr>
            <w:r w:rsidRPr="0025111C">
              <w:rPr>
                <w:rFonts w:ascii="Arial" w:hAnsi="Arial" w:cs="Arial"/>
                <w:sz w:val="18"/>
                <w:szCs w:val="18"/>
              </w:rPr>
              <w:t>Barrier 1- Legality Concerns</w:t>
            </w:r>
          </w:p>
          <w:p w14:paraId="5856BEA0" w14:textId="77777777" w:rsidR="0025111C" w:rsidRPr="0025111C" w:rsidRDefault="0025111C" w:rsidP="00E303BE">
            <w:pPr>
              <w:rPr>
                <w:rFonts w:ascii="Arial" w:hAnsi="Arial" w:cs="Arial"/>
                <w:sz w:val="18"/>
                <w:szCs w:val="18"/>
              </w:rPr>
            </w:pPr>
          </w:p>
        </w:tc>
        <w:tc>
          <w:tcPr>
            <w:tcW w:w="672" w:type="dxa"/>
          </w:tcPr>
          <w:p w14:paraId="12DBF29E"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14" w:type="dxa"/>
          </w:tcPr>
          <w:p w14:paraId="1AF75FDB"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23" w:type="dxa"/>
          </w:tcPr>
          <w:p w14:paraId="1F2520D7"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92" w:type="dxa"/>
          </w:tcPr>
          <w:p w14:paraId="6E698822"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543" w:type="dxa"/>
          </w:tcPr>
          <w:p w14:paraId="61986ABF"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33" w:type="dxa"/>
          </w:tcPr>
          <w:p w14:paraId="2F441EE5"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.480</w:t>
            </w:r>
          </w:p>
        </w:tc>
        <w:tc>
          <w:tcPr>
            <w:tcW w:w="732" w:type="dxa"/>
          </w:tcPr>
          <w:p w14:paraId="6361F42E"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.250</w:t>
            </w:r>
          </w:p>
        </w:tc>
        <w:tc>
          <w:tcPr>
            <w:tcW w:w="775" w:type="dxa"/>
          </w:tcPr>
          <w:p w14:paraId="3FE1835E"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.373</w:t>
            </w:r>
          </w:p>
        </w:tc>
        <w:tc>
          <w:tcPr>
            <w:tcW w:w="900" w:type="dxa"/>
          </w:tcPr>
          <w:p w14:paraId="49799440"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1.920</w:t>
            </w:r>
          </w:p>
        </w:tc>
        <w:tc>
          <w:tcPr>
            <w:tcW w:w="720" w:type="dxa"/>
          </w:tcPr>
          <w:p w14:paraId="583932B1"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.08</w:t>
            </w:r>
          </w:p>
        </w:tc>
      </w:tr>
      <w:tr w:rsidR="0025111C" w:rsidRPr="0025111C" w14:paraId="6D7E5327"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1D4CFA6F" w14:textId="77777777" w:rsidR="0025111C" w:rsidRPr="0025111C" w:rsidRDefault="0025111C" w:rsidP="00E303BE">
            <w:pPr>
              <w:rPr>
                <w:rFonts w:ascii="Arial" w:hAnsi="Arial" w:cs="Arial"/>
                <w:sz w:val="18"/>
                <w:szCs w:val="18"/>
              </w:rPr>
            </w:pPr>
            <w:r w:rsidRPr="0025111C">
              <w:rPr>
                <w:rFonts w:ascii="Arial" w:hAnsi="Arial" w:cs="Arial"/>
                <w:sz w:val="18"/>
                <w:szCs w:val="18"/>
              </w:rPr>
              <w:t>Barrier 2- Side Effects/Risks</w:t>
            </w:r>
          </w:p>
        </w:tc>
        <w:tc>
          <w:tcPr>
            <w:tcW w:w="672" w:type="dxa"/>
          </w:tcPr>
          <w:p w14:paraId="2D303690"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14" w:type="dxa"/>
          </w:tcPr>
          <w:p w14:paraId="2DA9FBAB"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23" w:type="dxa"/>
          </w:tcPr>
          <w:p w14:paraId="6D28A24A"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92" w:type="dxa"/>
          </w:tcPr>
          <w:p w14:paraId="4AE6E28C"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543" w:type="dxa"/>
          </w:tcPr>
          <w:p w14:paraId="168E03D5"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33" w:type="dxa"/>
          </w:tcPr>
          <w:p w14:paraId="6135B63A"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-.532</w:t>
            </w:r>
          </w:p>
        </w:tc>
        <w:tc>
          <w:tcPr>
            <w:tcW w:w="732" w:type="dxa"/>
          </w:tcPr>
          <w:p w14:paraId="649CC395"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.283</w:t>
            </w:r>
          </w:p>
        </w:tc>
        <w:tc>
          <w:tcPr>
            <w:tcW w:w="775" w:type="dxa"/>
          </w:tcPr>
          <w:p w14:paraId="6D081646"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-.410</w:t>
            </w:r>
          </w:p>
        </w:tc>
        <w:tc>
          <w:tcPr>
            <w:tcW w:w="900" w:type="dxa"/>
          </w:tcPr>
          <w:p w14:paraId="6A4B71E4"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-1.876</w:t>
            </w:r>
          </w:p>
        </w:tc>
        <w:tc>
          <w:tcPr>
            <w:tcW w:w="720" w:type="dxa"/>
          </w:tcPr>
          <w:p w14:paraId="6B5D1869"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.08</w:t>
            </w:r>
          </w:p>
        </w:tc>
      </w:tr>
      <w:tr w:rsidR="0025111C" w:rsidRPr="0025111C" w14:paraId="7A211483"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2248E54C" w14:textId="77777777" w:rsidR="0025111C" w:rsidRPr="0025111C" w:rsidRDefault="0025111C" w:rsidP="00E303BE">
            <w:pPr>
              <w:rPr>
                <w:rFonts w:ascii="Arial" w:hAnsi="Arial" w:cs="Arial"/>
                <w:sz w:val="18"/>
                <w:szCs w:val="18"/>
              </w:rPr>
            </w:pPr>
            <w:r w:rsidRPr="0025111C">
              <w:rPr>
                <w:rFonts w:ascii="Arial" w:hAnsi="Arial" w:cs="Arial"/>
                <w:sz w:val="18"/>
                <w:szCs w:val="18"/>
              </w:rPr>
              <w:t>Barrier 3- Lack of Information</w:t>
            </w:r>
          </w:p>
          <w:p w14:paraId="61915E43" w14:textId="77777777" w:rsidR="0025111C" w:rsidRPr="0025111C" w:rsidRDefault="0025111C" w:rsidP="00E303BE">
            <w:pPr>
              <w:rPr>
                <w:rFonts w:ascii="Arial" w:hAnsi="Arial" w:cs="Arial"/>
                <w:sz w:val="18"/>
                <w:szCs w:val="18"/>
              </w:rPr>
            </w:pPr>
          </w:p>
        </w:tc>
        <w:tc>
          <w:tcPr>
            <w:tcW w:w="672" w:type="dxa"/>
          </w:tcPr>
          <w:p w14:paraId="20DA1F63"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14" w:type="dxa"/>
          </w:tcPr>
          <w:p w14:paraId="6AF2D3C8"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23" w:type="dxa"/>
          </w:tcPr>
          <w:p w14:paraId="00B3900E"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92" w:type="dxa"/>
          </w:tcPr>
          <w:p w14:paraId="03AA07E3"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543" w:type="dxa"/>
          </w:tcPr>
          <w:p w14:paraId="2CFD35AE"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33" w:type="dxa"/>
          </w:tcPr>
          <w:p w14:paraId="09012B9E"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-.031</w:t>
            </w:r>
          </w:p>
        </w:tc>
        <w:tc>
          <w:tcPr>
            <w:tcW w:w="732" w:type="dxa"/>
          </w:tcPr>
          <w:p w14:paraId="0CF30E9A"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.293</w:t>
            </w:r>
          </w:p>
        </w:tc>
        <w:tc>
          <w:tcPr>
            <w:tcW w:w="775" w:type="dxa"/>
          </w:tcPr>
          <w:p w14:paraId="6383DCA2"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-.023</w:t>
            </w:r>
          </w:p>
        </w:tc>
        <w:tc>
          <w:tcPr>
            <w:tcW w:w="900" w:type="dxa"/>
          </w:tcPr>
          <w:p w14:paraId="54B41B43"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-.104</w:t>
            </w:r>
          </w:p>
        </w:tc>
        <w:tc>
          <w:tcPr>
            <w:tcW w:w="720" w:type="dxa"/>
          </w:tcPr>
          <w:p w14:paraId="1C86CADC"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.91</w:t>
            </w:r>
          </w:p>
        </w:tc>
      </w:tr>
      <w:tr w:rsidR="0025111C" w:rsidRPr="0025111C" w14:paraId="2A670E68" w14:textId="77777777" w:rsidTr="00E303B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34" w:type="dxa"/>
          </w:tcPr>
          <w:p w14:paraId="621CE770" w14:textId="77777777" w:rsidR="0025111C" w:rsidRPr="0025111C" w:rsidRDefault="0025111C" w:rsidP="00E303BE">
            <w:pPr>
              <w:rPr>
                <w:rFonts w:ascii="Arial" w:hAnsi="Arial" w:cs="Arial"/>
                <w:sz w:val="18"/>
                <w:szCs w:val="18"/>
              </w:rPr>
            </w:pPr>
            <w:r w:rsidRPr="0025111C">
              <w:rPr>
                <w:rFonts w:ascii="Arial" w:hAnsi="Arial" w:cs="Arial"/>
                <w:sz w:val="18"/>
                <w:szCs w:val="18"/>
              </w:rPr>
              <w:t xml:space="preserve">Barrier 4- Negative Testimonies </w:t>
            </w:r>
          </w:p>
          <w:p w14:paraId="09E7ABA7" w14:textId="77777777" w:rsidR="0025111C" w:rsidRPr="0025111C" w:rsidRDefault="0025111C" w:rsidP="00E303BE">
            <w:pPr>
              <w:rPr>
                <w:rFonts w:ascii="Arial" w:hAnsi="Arial" w:cs="Arial"/>
                <w:sz w:val="18"/>
                <w:szCs w:val="18"/>
              </w:rPr>
            </w:pPr>
          </w:p>
        </w:tc>
        <w:tc>
          <w:tcPr>
            <w:tcW w:w="672" w:type="dxa"/>
          </w:tcPr>
          <w:p w14:paraId="17B0D1BB"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14" w:type="dxa"/>
          </w:tcPr>
          <w:p w14:paraId="756A9EEA"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23" w:type="dxa"/>
          </w:tcPr>
          <w:p w14:paraId="165F68C0"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92" w:type="dxa"/>
          </w:tcPr>
          <w:p w14:paraId="65425D3F"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543" w:type="dxa"/>
          </w:tcPr>
          <w:p w14:paraId="3E002F60"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33" w:type="dxa"/>
          </w:tcPr>
          <w:p w14:paraId="28264886"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.134</w:t>
            </w:r>
          </w:p>
        </w:tc>
        <w:tc>
          <w:tcPr>
            <w:tcW w:w="732" w:type="dxa"/>
          </w:tcPr>
          <w:p w14:paraId="5FB8FD91"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.684</w:t>
            </w:r>
          </w:p>
        </w:tc>
        <w:tc>
          <w:tcPr>
            <w:tcW w:w="775" w:type="dxa"/>
          </w:tcPr>
          <w:p w14:paraId="56E4890D"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.070</w:t>
            </w:r>
          </w:p>
        </w:tc>
        <w:tc>
          <w:tcPr>
            <w:tcW w:w="900" w:type="dxa"/>
          </w:tcPr>
          <w:p w14:paraId="186AAEB6"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.196</w:t>
            </w:r>
          </w:p>
        </w:tc>
        <w:tc>
          <w:tcPr>
            <w:tcW w:w="720" w:type="dxa"/>
          </w:tcPr>
          <w:p w14:paraId="4FBD40AD"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.84</w:t>
            </w:r>
          </w:p>
        </w:tc>
      </w:tr>
      <w:tr w:rsidR="0025111C" w:rsidRPr="0025111C" w14:paraId="2775C431"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4EA0724A" w14:textId="77777777" w:rsidR="0025111C" w:rsidRPr="0025111C" w:rsidRDefault="0025111C" w:rsidP="00E303BE">
            <w:pPr>
              <w:rPr>
                <w:rFonts w:ascii="Arial" w:hAnsi="Arial" w:cs="Arial"/>
                <w:sz w:val="18"/>
                <w:szCs w:val="18"/>
              </w:rPr>
            </w:pPr>
            <w:r w:rsidRPr="0025111C">
              <w:rPr>
                <w:rFonts w:ascii="Arial" w:hAnsi="Arial" w:cs="Arial"/>
                <w:sz w:val="18"/>
                <w:szCs w:val="18"/>
              </w:rPr>
              <w:t xml:space="preserve">Barrier 5- Judgement </w:t>
            </w:r>
          </w:p>
        </w:tc>
        <w:tc>
          <w:tcPr>
            <w:tcW w:w="672" w:type="dxa"/>
          </w:tcPr>
          <w:p w14:paraId="7C4D57CC"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14" w:type="dxa"/>
          </w:tcPr>
          <w:p w14:paraId="3E2E21EC"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23" w:type="dxa"/>
          </w:tcPr>
          <w:p w14:paraId="0AD83B78"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92" w:type="dxa"/>
          </w:tcPr>
          <w:p w14:paraId="246E312E"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543" w:type="dxa"/>
          </w:tcPr>
          <w:p w14:paraId="3261693C"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33" w:type="dxa"/>
          </w:tcPr>
          <w:p w14:paraId="5E0EED20"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.541</w:t>
            </w:r>
          </w:p>
        </w:tc>
        <w:tc>
          <w:tcPr>
            <w:tcW w:w="732" w:type="dxa"/>
          </w:tcPr>
          <w:p w14:paraId="7DABC5A7"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1.172</w:t>
            </w:r>
          </w:p>
        </w:tc>
        <w:tc>
          <w:tcPr>
            <w:tcW w:w="775" w:type="dxa"/>
          </w:tcPr>
          <w:p w14:paraId="41CAA07D"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.250</w:t>
            </w:r>
          </w:p>
        </w:tc>
        <w:tc>
          <w:tcPr>
            <w:tcW w:w="900" w:type="dxa"/>
          </w:tcPr>
          <w:p w14:paraId="157BA8D0"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.462</w:t>
            </w:r>
          </w:p>
        </w:tc>
        <w:tc>
          <w:tcPr>
            <w:tcW w:w="720" w:type="dxa"/>
          </w:tcPr>
          <w:p w14:paraId="4407FF64"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.65</w:t>
            </w:r>
          </w:p>
          <w:p w14:paraId="01DD7247"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5111C" w:rsidRPr="0025111C" w14:paraId="01D84CBA"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6BF460B2" w14:textId="77777777" w:rsidR="0025111C" w:rsidRPr="0025111C" w:rsidRDefault="0025111C" w:rsidP="00E303BE">
            <w:pPr>
              <w:rPr>
                <w:rFonts w:ascii="Arial" w:hAnsi="Arial" w:cs="Arial"/>
                <w:sz w:val="18"/>
                <w:szCs w:val="18"/>
              </w:rPr>
            </w:pPr>
            <w:r w:rsidRPr="0025111C">
              <w:rPr>
                <w:rFonts w:ascii="Arial" w:hAnsi="Arial" w:cs="Arial"/>
                <w:sz w:val="18"/>
                <w:szCs w:val="18"/>
              </w:rPr>
              <w:t xml:space="preserve">Barrier 6- Accessibility  </w:t>
            </w:r>
          </w:p>
        </w:tc>
        <w:tc>
          <w:tcPr>
            <w:tcW w:w="672" w:type="dxa"/>
          </w:tcPr>
          <w:p w14:paraId="192E75CB"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14" w:type="dxa"/>
          </w:tcPr>
          <w:p w14:paraId="26699A3B"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23" w:type="dxa"/>
          </w:tcPr>
          <w:p w14:paraId="3C4E86BA"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92" w:type="dxa"/>
          </w:tcPr>
          <w:p w14:paraId="2B935760"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543" w:type="dxa"/>
          </w:tcPr>
          <w:p w14:paraId="4E8BD47E"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33" w:type="dxa"/>
          </w:tcPr>
          <w:p w14:paraId="6563BEB6"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-.593</w:t>
            </w:r>
          </w:p>
        </w:tc>
        <w:tc>
          <w:tcPr>
            <w:tcW w:w="732" w:type="dxa"/>
          </w:tcPr>
          <w:p w14:paraId="3E983D42"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.510</w:t>
            </w:r>
          </w:p>
        </w:tc>
        <w:tc>
          <w:tcPr>
            <w:tcW w:w="775" w:type="dxa"/>
          </w:tcPr>
          <w:p w14:paraId="7172F174"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-.340</w:t>
            </w:r>
          </w:p>
        </w:tc>
        <w:tc>
          <w:tcPr>
            <w:tcW w:w="900" w:type="dxa"/>
          </w:tcPr>
          <w:p w14:paraId="61A5DF3B"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-1.162</w:t>
            </w:r>
          </w:p>
        </w:tc>
        <w:tc>
          <w:tcPr>
            <w:tcW w:w="720" w:type="dxa"/>
          </w:tcPr>
          <w:p w14:paraId="3371D072"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.27</w:t>
            </w:r>
          </w:p>
          <w:p w14:paraId="3056827A"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5111C" w:rsidRPr="0025111C" w14:paraId="5158832C"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62043D35" w14:textId="77777777" w:rsidR="0025111C" w:rsidRPr="0025111C" w:rsidRDefault="0025111C" w:rsidP="00E303BE">
            <w:pPr>
              <w:rPr>
                <w:rFonts w:ascii="Arial" w:hAnsi="Arial" w:cs="Arial"/>
                <w:b w:val="0"/>
                <w:bCs w:val="0"/>
                <w:sz w:val="18"/>
                <w:szCs w:val="18"/>
              </w:rPr>
            </w:pPr>
          </w:p>
          <w:p w14:paraId="57ACF897" w14:textId="77777777" w:rsidR="0025111C" w:rsidRPr="0025111C" w:rsidRDefault="0025111C" w:rsidP="00E303BE">
            <w:pPr>
              <w:rPr>
                <w:rFonts w:ascii="Arial" w:hAnsi="Arial" w:cs="Arial"/>
                <w:sz w:val="18"/>
                <w:szCs w:val="18"/>
              </w:rPr>
            </w:pPr>
            <w:r w:rsidRPr="0025111C">
              <w:rPr>
                <w:rFonts w:ascii="Arial" w:hAnsi="Arial" w:cs="Arial"/>
                <w:sz w:val="18"/>
                <w:szCs w:val="18"/>
              </w:rPr>
              <w:t>Barrier 7- Insufficient Health Insurance</w:t>
            </w:r>
          </w:p>
          <w:p w14:paraId="21C99DA3" w14:textId="77777777" w:rsidR="0025111C" w:rsidRPr="0025111C" w:rsidRDefault="0025111C" w:rsidP="00E303BE">
            <w:pPr>
              <w:rPr>
                <w:rFonts w:ascii="Arial" w:hAnsi="Arial" w:cs="Arial"/>
                <w:sz w:val="18"/>
                <w:szCs w:val="18"/>
              </w:rPr>
            </w:pPr>
          </w:p>
        </w:tc>
        <w:tc>
          <w:tcPr>
            <w:tcW w:w="672" w:type="dxa"/>
          </w:tcPr>
          <w:p w14:paraId="4EB13574"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14" w:type="dxa"/>
          </w:tcPr>
          <w:p w14:paraId="7F5C88AA"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23" w:type="dxa"/>
          </w:tcPr>
          <w:p w14:paraId="1BF3E6AF"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692" w:type="dxa"/>
          </w:tcPr>
          <w:p w14:paraId="76E583E3"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543" w:type="dxa"/>
          </w:tcPr>
          <w:p w14:paraId="5E01A422"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33" w:type="dxa"/>
          </w:tcPr>
          <w:p w14:paraId="0002922F"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1.081</w:t>
            </w:r>
          </w:p>
        </w:tc>
        <w:tc>
          <w:tcPr>
            <w:tcW w:w="732" w:type="dxa"/>
          </w:tcPr>
          <w:p w14:paraId="7DAEC2C7"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.933</w:t>
            </w:r>
          </w:p>
        </w:tc>
        <w:tc>
          <w:tcPr>
            <w:tcW w:w="775" w:type="dxa"/>
          </w:tcPr>
          <w:p w14:paraId="347344DB"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.415</w:t>
            </w:r>
          </w:p>
        </w:tc>
        <w:tc>
          <w:tcPr>
            <w:tcW w:w="900" w:type="dxa"/>
          </w:tcPr>
          <w:p w14:paraId="452550DD"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1.158</w:t>
            </w:r>
          </w:p>
        </w:tc>
        <w:tc>
          <w:tcPr>
            <w:tcW w:w="720" w:type="dxa"/>
          </w:tcPr>
          <w:p w14:paraId="439BF6D1"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.27</w:t>
            </w:r>
          </w:p>
        </w:tc>
      </w:tr>
      <w:tr w:rsidR="0025111C" w:rsidRPr="0025111C" w14:paraId="29E78547"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4BAD0141" w14:textId="77777777" w:rsidR="0025111C" w:rsidRPr="0025111C" w:rsidRDefault="0025111C" w:rsidP="00E303BE">
            <w:pPr>
              <w:rPr>
                <w:rFonts w:ascii="Arial" w:hAnsi="Arial" w:cs="Arial"/>
                <w:sz w:val="18"/>
                <w:szCs w:val="18"/>
              </w:rPr>
            </w:pPr>
            <w:r w:rsidRPr="0025111C">
              <w:rPr>
                <w:rFonts w:ascii="Arial" w:hAnsi="Arial" w:cs="Arial"/>
                <w:sz w:val="18"/>
                <w:szCs w:val="18"/>
              </w:rPr>
              <w:t xml:space="preserve">Barrier 8- Other </w:t>
            </w:r>
          </w:p>
        </w:tc>
        <w:tc>
          <w:tcPr>
            <w:tcW w:w="672" w:type="dxa"/>
          </w:tcPr>
          <w:p w14:paraId="47160563"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14" w:type="dxa"/>
          </w:tcPr>
          <w:p w14:paraId="32D97A96"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23" w:type="dxa"/>
          </w:tcPr>
          <w:p w14:paraId="5C409B3E"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692" w:type="dxa"/>
          </w:tcPr>
          <w:p w14:paraId="35906FB1"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543" w:type="dxa"/>
          </w:tcPr>
          <w:p w14:paraId="0119AECC"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33" w:type="dxa"/>
          </w:tcPr>
          <w:p w14:paraId="51538540"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-.293</w:t>
            </w:r>
          </w:p>
        </w:tc>
        <w:tc>
          <w:tcPr>
            <w:tcW w:w="732" w:type="dxa"/>
          </w:tcPr>
          <w:p w14:paraId="0C2BCA7C"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.480</w:t>
            </w:r>
          </w:p>
        </w:tc>
        <w:tc>
          <w:tcPr>
            <w:tcW w:w="775" w:type="dxa"/>
          </w:tcPr>
          <w:p w14:paraId="0703BB03"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-.135</w:t>
            </w:r>
          </w:p>
        </w:tc>
        <w:tc>
          <w:tcPr>
            <w:tcW w:w="900" w:type="dxa"/>
          </w:tcPr>
          <w:p w14:paraId="352A0BE7"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-.610</w:t>
            </w:r>
          </w:p>
        </w:tc>
        <w:tc>
          <w:tcPr>
            <w:tcW w:w="720" w:type="dxa"/>
          </w:tcPr>
          <w:p w14:paraId="29175E08"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.55</w:t>
            </w:r>
          </w:p>
          <w:p w14:paraId="007F2CD5"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5111C" w:rsidRPr="0025111C" w14:paraId="6E639C56" w14:textId="77777777" w:rsidTr="00E303BE">
        <w:trPr>
          <w:trHeight w:val="576"/>
        </w:trPr>
        <w:tc>
          <w:tcPr>
            <w:cnfStyle w:val="001000000000" w:firstRow="0" w:lastRow="0" w:firstColumn="1" w:lastColumn="0" w:oddVBand="0" w:evenVBand="0" w:oddHBand="0" w:evenHBand="0" w:firstRowFirstColumn="0" w:firstRowLastColumn="0" w:lastRowFirstColumn="0" w:lastRowLastColumn="0"/>
            <w:tcW w:w="1834" w:type="dxa"/>
          </w:tcPr>
          <w:p w14:paraId="31F0BA7B" w14:textId="77777777" w:rsidR="0025111C" w:rsidRPr="0025111C" w:rsidRDefault="0025111C" w:rsidP="00E303BE">
            <w:pPr>
              <w:jc w:val="center"/>
              <w:rPr>
                <w:rFonts w:ascii="Arial" w:hAnsi="Arial" w:cs="Arial"/>
                <w:b w:val="0"/>
                <w:bCs w:val="0"/>
                <w:sz w:val="18"/>
                <w:szCs w:val="18"/>
              </w:rPr>
            </w:pPr>
            <w:r w:rsidRPr="0025111C">
              <w:rPr>
                <w:rFonts w:ascii="Arial" w:hAnsi="Arial" w:cs="Arial"/>
                <w:sz w:val="18"/>
                <w:szCs w:val="18"/>
              </w:rPr>
              <w:t>R</w:t>
            </w:r>
          </w:p>
        </w:tc>
        <w:tc>
          <w:tcPr>
            <w:tcW w:w="672" w:type="dxa"/>
          </w:tcPr>
          <w:p w14:paraId="7B2EBCCF"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.506</w:t>
            </w:r>
          </w:p>
        </w:tc>
        <w:tc>
          <w:tcPr>
            <w:tcW w:w="614" w:type="dxa"/>
          </w:tcPr>
          <w:p w14:paraId="4B0E5BA1"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623" w:type="dxa"/>
          </w:tcPr>
          <w:p w14:paraId="00DE0C7A"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692" w:type="dxa"/>
          </w:tcPr>
          <w:p w14:paraId="619167C1"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43" w:type="dxa"/>
          </w:tcPr>
          <w:p w14:paraId="2246433D"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33" w:type="dxa"/>
          </w:tcPr>
          <w:p w14:paraId="7C8E3E38"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.916</w:t>
            </w:r>
          </w:p>
        </w:tc>
        <w:tc>
          <w:tcPr>
            <w:tcW w:w="732" w:type="dxa"/>
          </w:tcPr>
          <w:p w14:paraId="77F5D9FC"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75" w:type="dxa"/>
          </w:tcPr>
          <w:p w14:paraId="2DB88B1D"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00" w:type="dxa"/>
          </w:tcPr>
          <w:p w14:paraId="1BBDA709"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20" w:type="dxa"/>
          </w:tcPr>
          <w:p w14:paraId="55BDD365"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25111C" w:rsidRPr="0025111C" w14:paraId="1B7CAAA8" w14:textId="77777777" w:rsidTr="00E303B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834" w:type="dxa"/>
          </w:tcPr>
          <w:p w14:paraId="7E71767D" w14:textId="77777777" w:rsidR="0025111C" w:rsidRPr="0025111C" w:rsidRDefault="0025111C" w:rsidP="00E303BE">
            <w:pPr>
              <w:jc w:val="center"/>
              <w:rPr>
                <w:rFonts w:ascii="Arial" w:hAnsi="Arial" w:cs="Arial"/>
                <w:b w:val="0"/>
                <w:bCs w:val="0"/>
                <w:sz w:val="18"/>
                <w:szCs w:val="18"/>
              </w:rPr>
            </w:pPr>
            <w:r w:rsidRPr="0025111C">
              <w:rPr>
                <w:rFonts w:ascii="Arial" w:hAnsi="Arial" w:cs="Arial"/>
                <w:color w:val="222222"/>
                <w:sz w:val="18"/>
                <w:szCs w:val="18"/>
                <w:shd w:val="clear" w:color="auto" w:fill="FFFFFF"/>
              </w:rPr>
              <w:t>R</w:t>
            </w:r>
            <w:r w:rsidRPr="0025111C">
              <w:rPr>
                <w:rFonts w:ascii="Arial" w:hAnsi="Arial" w:cs="Arial"/>
                <w:color w:val="222222"/>
                <w:sz w:val="18"/>
                <w:szCs w:val="18"/>
                <w:shd w:val="clear" w:color="auto" w:fill="FFFFFF"/>
                <w:vertAlign w:val="superscript"/>
              </w:rPr>
              <w:t>2</w:t>
            </w:r>
          </w:p>
        </w:tc>
        <w:tc>
          <w:tcPr>
            <w:tcW w:w="672" w:type="dxa"/>
          </w:tcPr>
          <w:p w14:paraId="61DBA526"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.256</w:t>
            </w:r>
          </w:p>
        </w:tc>
        <w:tc>
          <w:tcPr>
            <w:tcW w:w="614" w:type="dxa"/>
          </w:tcPr>
          <w:p w14:paraId="425B99DE"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23" w:type="dxa"/>
          </w:tcPr>
          <w:p w14:paraId="4F2AA52D"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2" w:type="dxa"/>
          </w:tcPr>
          <w:p w14:paraId="320F8CC9"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43" w:type="dxa"/>
          </w:tcPr>
          <w:p w14:paraId="1998C1E8"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33" w:type="dxa"/>
          </w:tcPr>
          <w:p w14:paraId="14538E51"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.839</w:t>
            </w:r>
          </w:p>
        </w:tc>
        <w:tc>
          <w:tcPr>
            <w:tcW w:w="732" w:type="dxa"/>
          </w:tcPr>
          <w:p w14:paraId="64877345"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75" w:type="dxa"/>
          </w:tcPr>
          <w:p w14:paraId="3B5E0099"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00" w:type="dxa"/>
          </w:tcPr>
          <w:p w14:paraId="2049C1F4"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20" w:type="dxa"/>
          </w:tcPr>
          <w:p w14:paraId="48A27559"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25111C" w:rsidRPr="0025111C" w14:paraId="7D4922F8" w14:textId="77777777" w:rsidTr="00E303BE">
        <w:trPr>
          <w:trHeight w:val="576"/>
        </w:trPr>
        <w:tc>
          <w:tcPr>
            <w:cnfStyle w:val="001000000000" w:firstRow="0" w:lastRow="0" w:firstColumn="1" w:lastColumn="0" w:oddVBand="0" w:evenVBand="0" w:oddHBand="0" w:evenHBand="0" w:firstRowFirstColumn="0" w:firstRowLastColumn="0" w:lastRowFirstColumn="0" w:lastRowLastColumn="0"/>
            <w:tcW w:w="1834" w:type="dxa"/>
          </w:tcPr>
          <w:p w14:paraId="18ABA1E9" w14:textId="77777777" w:rsidR="0025111C" w:rsidRPr="0025111C" w:rsidRDefault="0025111C" w:rsidP="00E303BE">
            <w:pPr>
              <w:jc w:val="center"/>
              <w:rPr>
                <w:rFonts w:ascii="Arial" w:hAnsi="Arial" w:cs="Arial"/>
                <w:b w:val="0"/>
                <w:bCs w:val="0"/>
                <w:color w:val="222222"/>
                <w:sz w:val="18"/>
                <w:szCs w:val="18"/>
                <w:shd w:val="clear" w:color="auto" w:fill="FFFFFF"/>
              </w:rPr>
            </w:pPr>
            <w:r w:rsidRPr="0025111C">
              <w:rPr>
                <w:rFonts w:ascii="Arial" w:hAnsi="Arial" w:cs="Arial"/>
                <w:color w:val="222222"/>
                <w:sz w:val="18"/>
                <w:szCs w:val="18"/>
                <w:shd w:val="clear" w:color="auto" w:fill="FFFFFF"/>
              </w:rPr>
              <w:t>R</w:t>
            </w:r>
            <w:r w:rsidRPr="0025111C">
              <w:rPr>
                <w:rFonts w:ascii="Arial" w:hAnsi="Arial" w:cs="Arial"/>
                <w:color w:val="222222"/>
                <w:sz w:val="18"/>
                <w:szCs w:val="18"/>
                <w:shd w:val="clear" w:color="auto" w:fill="FFFFFF"/>
                <w:vertAlign w:val="superscript"/>
              </w:rPr>
              <w:t xml:space="preserve">2 </w:t>
            </w:r>
            <w:r w:rsidRPr="0025111C">
              <w:rPr>
                <w:rFonts w:ascii="Arial" w:hAnsi="Arial" w:cs="Arial"/>
                <w:color w:val="222222"/>
                <w:sz w:val="18"/>
                <w:szCs w:val="18"/>
                <w:shd w:val="clear" w:color="auto" w:fill="FFFFFF"/>
              </w:rPr>
              <w:t>Adjusted</w:t>
            </w:r>
          </w:p>
        </w:tc>
        <w:tc>
          <w:tcPr>
            <w:tcW w:w="672" w:type="dxa"/>
          </w:tcPr>
          <w:p w14:paraId="0B6F27F0"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.174</w:t>
            </w:r>
          </w:p>
        </w:tc>
        <w:tc>
          <w:tcPr>
            <w:tcW w:w="614" w:type="dxa"/>
          </w:tcPr>
          <w:p w14:paraId="425BCFD2"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623" w:type="dxa"/>
          </w:tcPr>
          <w:p w14:paraId="57407684"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692" w:type="dxa"/>
          </w:tcPr>
          <w:p w14:paraId="5F0F8DE1"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43" w:type="dxa"/>
          </w:tcPr>
          <w:p w14:paraId="72C2C81A"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33" w:type="dxa"/>
          </w:tcPr>
          <w:p w14:paraId="358385B5"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.560</w:t>
            </w:r>
          </w:p>
        </w:tc>
        <w:tc>
          <w:tcPr>
            <w:tcW w:w="732" w:type="dxa"/>
          </w:tcPr>
          <w:p w14:paraId="11AD38C3"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75" w:type="dxa"/>
          </w:tcPr>
          <w:p w14:paraId="3D6759AC"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00" w:type="dxa"/>
          </w:tcPr>
          <w:p w14:paraId="40E7E43D"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20" w:type="dxa"/>
          </w:tcPr>
          <w:p w14:paraId="1B2BE050"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25111C" w:rsidRPr="0025111C" w14:paraId="1E418DFD" w14:textId="77777777" w:rsidTr="00E303B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834" w:type="dxa"/>
          </w:tcPr>
          <w:p w14:paraId="79CF6FFD" w14:textId="77777777" w:rsidR="0025111C" w:rsidRPr="0025111C" w:rsidRDefault="0025111C" w:rsidP="00E303BE">
            <w:pPr>
              <w:jc w:val="center"/>
              <w:rPr>
                <w:rFonts w:ascii="Arial" w:hAnsi="Arial" w:cs="Arial"/>
                <w:b w:val="0"/>
                <w:bCs w:val="0"/>
                <w:color w:val="222222"/>
                <w:sz w:val="18"/>
                <w:szCs w:val="18"/>
                <w:shd w:val="clear" w:color="auto" w:fill="FFFFFF"/>
              </w:rPr>
            </w:pPr>
            <w:r w:rsidRPr="0025111C">
              <w:rPr>
                <w:rFonts w:ascii="Arial" w:hAnsi="Arial" w:cs="Arial"/>
                <w:noProof/>
                <w:sz w:val="18"/>
                <w:szCs w:val="18"/>
              </w:rPr>
              <mc:AlternateContent>
                <mc:Choice Requires="wps">
                  <w:drawing>
                    <wp:anchor distT="0" distB="0" distL="114300" distR="114300" simplePos="0" relativeHeight="251659264" behindDoc="0" locked="0" layoutInCell="1" allowOverlap="1" wp14:anchorId="553A7D58" wp14:editId="3FE770C9">
                      <wp:simplePos x="0" y="0"/>
                      <wp:positionH relativeFrom="column">
                        <wp:posOffset>194310</wp:posOffset>
                      </wp:positionH>
                      <wp:positionV relativeFrom="paragraph">
                        <wp:posOffset>23495</wp:posOffset>
                      </wp:positionV>
                      <wp:extent cx="110490" cy="105410"/>
                      <wp:effectExtent l="0" t="0" r="3810" b="8890"/>
                      <wp:wrapNone/>
                      <wp:docPr id="88866809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 cy="105410"/>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03C5E4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5.3pt;margin-top:1.85pt;width:8.7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" fillcolor="#156082 [3204]" strokecolor="#030e13 [484]" strokeweight="1pt">
                      <v:path arrowok="t"/>
                    </v:shape>
                  </w:pict>
                </mc:Fallback>
              </mc:AlternateContent>
            </w:r>
            <w:r w:rsidRPr="0025111C">
              <w:rPr>
                <w:rFonts w:ascii="Arial" w:hAnsi="Arial" w:cs="Arial"/>
                <w:color w:val="222222"/>
                <w:sz w:val="18"/>
                <w:szCs w:val="18"/>
                <w:shd w:val="clear" w:color="auto" w:fill="FFFFFF"/>
              </w:rPr>
              <w:t>R</w:t>
            </w:r>
            <w:r w:rsidRPr="0025111C">
              <w:rPr>
                <w:rFonts w:ascii="Arial" w:hAnsi="Arial" w:cs="Arial"/>
                <w:color w:val="222222"/>
                <w:sz w:val="18"/>
                <w:szCs w:val="18"/>
                <w:shd w:val="clear" w:color="auto" w:fill="FFFFFF"/>
                <w:vertAlign w:val="superscript"/>
              </w:rPr>
              <w:t>2</w:t>
            </w:r>
          </w:p>
        </w:tc>
        <w:tc>
          <w:tcPr>
            <w:tcW w:w="672" w:type="dxa"/>
          </w:tcPr>
          <w:p w14:paraId="26082C55"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.256</w:t>
            </w:r>
          </w:p>
        </w:tc>
        <w:tc>
          <w:tcPr>
            <w:tcW w:w="614" w:type="dxa"/>
          </w:tcPr>
          <w:p w14:paraId="22997041"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23" w:type="dxa"/>
          </w:tcPr>
          <w:p w14:paraId="73742A01"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2" w:type="dxa"/>
          </w:tcPr>
          <w:p w14:paraId="4A7C51A3"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43" w:type="dxa"/>
          </w:tcPr>
          <w:p w14:paraId="1E54BC00"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33" w:type="dxa"/>
          </w:tcPr>
          <w:p w14:paraId="33BD010D"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.582</w:t>
            </w:r>
          </w:p>
        </w:tc>
        <w:tc>
          <w:tcPr>
            <w:tcW w:w="732" w:type="dxa"/>
          </w:tcPr>
          <w:p w14:paraId="74DE1A46"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75" w:type="dxa"/>
          </w:tcPr>
          <w:p w14:paraId="07A2E55F"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00" w:type="dxa"/>
          </w:tcPr>
          <w:p w14:paraId="0F461D3F"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20" w:type="dxa"/>
          </w:tcPr>
          <w:p w14:paraId="0FDCA20D"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25111C" w:rsidRPr="0025111C" w14:paraId="473EB59B" w14:textId="77777777" w:rsidTr="00E303BE">
        <w:trPr>
          <w:trHeight w:val="576"/>
        </w:trPr>
        <w:tc>
          <w:tcPr>
            <w:cnfStyle w:val="001000000000" w:firstRow="0" w:lastRow="0" w:firstColumn="1" w:lastColumn="0" w:oddVBand="0" w:evenVBand="0" w:oddHBand="0" w:evenHBand="0" w:firstRowFirstColumn="0" w:firstRowLastColumn="0" w:lastRowFirstColumn="0" w:lastRowLastColumn="0"/>
            <w:tcW w:w="1834" w:type="dxa"/>
          </w:tcPr>
          <w:p w14:paraId="53F0DE67" w14:textId="77777777" w:rsidR="0025111C" w:rsidRPr="0025111C" w:rsidRDefault="0025111C" w:rsidP="00E303BE">
            <w:pPr>
              <w:jc w:val="center"/>
              <w:rPr>
                <w:rFonts w:ascii="Arial" w:hAnsi="Arial" w:cs="Arial"/>
                <w:b w:val="0"/>
                <w:bCs w:val="0"/>
                <w:color w:val="222222"/>
                <w:sz w:val="18"/>
                <w:szCs w:val="18"/>
                <w:shd w:val="clear" w:color="auto" w:fill="FFFFFF"/>
              </w:rPr>
            </w:pPr>
            <w:r w:rsidRPr="0025111C">
              <w:rPr>
                <w:rFonts w:ascii="Arial" w:hAnsi="Arial" w:cs="Arial"/>
                <w:color w:val="222222"/>
                <w:sz w:val="18"/>
                <w:szCs w:val="18"/>
                <w:shd w:val="clear" w:color="auto" w:fill="FFFFFF"/>
              </w:rPr>
              <w:t>F</w:t>
            </w:r>
          </w:p>
        </w:tc>
        <w:tc>
          <w:tcPr>
            <w:tcW w:w="672" w:type="dxa"/>
          </w:tcPr>
          <w:p w14:paraId="5A90F7CC"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3.104</w:t>
            </w:r>
          </w:p>
        </w:tc>
        <w:tc>
          <w:tcPr>
            <w:tcW w:w="614" w:type="dxa"/>
          </w:tcPr>
          <w:p w14:paraId="067F39E9"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623" w:type="dxa"/>
          </w:tcPr>
          <w:p w14:paraId="59DD493A"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692" w:type="dxa"/>
          </w:tcPr>
          <w:p w14:paraId="194F2F02"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43" w:type="dxa"/>
          </w:tcPr>
          <w:p w14:paraId="0DCB19A6"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33" w:type="dxa"/>
          </w:tcPr>
          <w:p w14:paraId="43A3B871" w14:textId="77777777" w:rsidR="0025111C" w:rsidRPr="0025111C"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111C">
              <w:rPr>
                <w:rFonts w:ascii="Arial" w:hAnsi="Arial" w:cs="Arial"/>
                <w:sz w:val="18"/>
                <w:szCs w:val="18"/>
              </w:rPr>
              <w:t>3.010</w:t>
            </w:r>
          </w:p>
        </w:tc>
        <w:tc>
          <w:tcPr>
            <w:tcW w:w="732" w:type="dxa"/>
          </w:tcPr>
          <w:p w14:paraId="7AE7974C"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75" w:type="dxa"/>
          </w:tcPr>
          <w:p w14:paraId="21A42D0E"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00" w:type="dxa"/>
          </w:tcPr>
          <w:p w14:paraId="326141E3"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20" w:type="dxa"/>
          </w:tcPr>
          <w:p w14:paraId="58296619" w14:textId="77777777" w:rsidR="0025111C" w:rsidRPr="0025111C"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25111C" w:rsidRPr="0025111C" w14:paraId="59CE09FA" w14:textId="77777777" w:rsidTr="00E303B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834" w:type="dxa"/>
          </w:tcPr>
          <w:p w14:paraId="4BC9E40F" w14:textId="77777777" w:rsidR="0025111C" w:rsidRPr="0025111C" w:rsidRDefault="0025111C" w:rsidP="00E303BE">
            <w:pPr>
              <w:jc w:val="center"/>
              <w:rPr>
                <w:rFonts w:ascii="Arial" w:hAnsi="Arial" w:cs="Arial"/>
                <w:b w:val="0"/>
                <w:bCs w:val="0"/>
                <w:i/>
                <w:iCs/>
                <w:color w:val="222222"/>
                <w:sz w:val="18"/>
                <w:szCs w:val="18"/>
                <w:shd w:val="clear" w:color="auto" w:fill="FFFFFF"/>
              </w:rPr>
            </w:pPr>
            <w:r w:rsidRPr="0025111C">
              <w:rPr>
                <w:rFonts w:ascii="Arial" w:hAnsi="Arial" w:cs="Arial"/>
                <w:i/>
                <w:iCs/>
                <w:color w:val="222222"/>
                <w:sz w:val="18"/>
                <w:szCs w:val="18"/>
                <w:shd w:val="clear" w:color="auto" w:fill="FFFFFF"/>
              </w:rPr>
              <w:t>P</w:t>
            </w:r>
          </w:p>
        </w:tc>
        <w:tc>
          <w:tcPr>
            <w:tcW w:w="672" w:type="dxa"/>
          </w:tcPr>
          <w:p w14:paraId="1B3EEABE"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.04</w:t>
            </w:r>
          </w:p>
        </w:tc>
        <w:tc>
          <w:tcPr>
            <w:tcW w:w="614" w:type="dxa"/>
          </w:tcPr>
          <w:p w14:paraId="57C045F3"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23" w:type="dxa"/>
          </w:tcPr>
          <w:p w14:paraId="06486DB2"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2" w:type="dxa"/>
          </w:tcPr>
          <w:p w14:paraId="23A50727"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43" w:type="dxa"/>
          </w:tcPr>
          <w:p w14:paraId="0D103392"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33" w:type="dxa"/>
          </w:tcPr>
          <w:p w14:paraId="419717B2" w14:textId="77777777" w:rsidR="0025111C" w:rsidRPr="0025111C"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111C">
              <w:rPr>
                <w:rFonts w:ascii="Arial" w:hAnsi="Arial" w:cs="Arial"/>
                <w:sz w:val="18"/>
                <w:szCs w:val="18"/>
              </w:rPr>
              <w:t>.03</w:t>
            </w:r>
          </w:p>
        </w:tc>
        <w:tc>
          <w:tcPr>
            <w:tcW w:w="732" w:type="dxa"/>
          </w:tcPr>
          <w:p w14:paraId="5C74CF38"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75" w:type="dxa"/>
          </w:tcPr>
          <w:p w14:paraId="083E8318"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900" w:type="dxa"/>
          </w:tcPr>
          <w:p w14:paraId="6137EAD6"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720" w:type="dxa"/>
          </w:tcPr>
          <w:p w14:paraId="3938F9A5" w14:textId="77777777" w:rsidR="0025111C" w:rsidRPr="0025111C"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bl>
    <w:p w14:paraId="5061B042" w14:textId="77777777" w:rsidR="0025111C" w:rsidRPr="0025111C" w:rsidRDefault="0025111C" w:rsidP="0025111C">
      <w:pPr>
        <w:shd w:val="clear" w:color="auto" w:fill="FFFFFF"/>
        <w:textAlignment w:val="baseline"/>
        <w:rPr>
          <w:rFonts w:ascii="Arial" w:hAnsi="Arial" w:cs="Arial"/>
          <w:sz w:val="16"/>
          <w:szCs w:val="16"/>
        </w:rPr>
      </w:pPr>
      <w:r w:rsidRPr="0025111C">
        <w:rPr>
          <w:rFonts w:ascii="Arial" w:hAnsi="Arial" w:cs="Arial"/>
          <w:b/>
          <w:bCs/>
          <w:i/>
          <w:iCs/>
          <w:sz w:val="16"/>
          <w:szCs w:val="16"/>
        </w:rPr>
        <w:t>Note.</w:t>
      </w:r>
      <w:r w:rsidRPr="0025111C">
        <w:rPr>
          <w:rFonts w:ascii="Arial" w:hAnsi="Arial" w:cs="Arial"/>
          <w:b/>
          <w:bCs/>
          <w:sz w:val="16"/>
          <w:szCs w:val="16"/>
        </w:rPr>
        <w:t xml:space="preserve"> </w:t>
      </w:r>
      <w:r w:rsidRPr="0025111C">
        <w:rPr>
          <w:rFonts w:ascii="Arial" w:hAnsi="Arial" w:cs="Arial"/>
          <w:sz w:val="16"/>
          <w:szCs w:val="16"/>
        </w:rPr>
        <w:t>CA - Cues to Action, MMP=Medical Marijuana Program, CAM=Complementary and Alternative Medicine</w:t>
      </w:r>
    </w:p>
    <w:p w14:paraId="4EB3B828" w14:textId="77777777" w:rsidR="0025111C" w:rsidRPr="0025111C" w:rsidRDefault="0025111C" w:rsidP="0025111C">
      <w:pPr>
        <w:pStyle w:val="Body"/>
        <w:spacing w:after="0"/>
        <w:rPr>
          <w:rFonts w:ascii="Arial" w:hAnsi="Arial" w:cs="Arial"/>
        </w:rPr>
      </w:pPr>
    </w:p>
    <w:p w14:paraId="5FACAAC0" w14:textId="77777777" w:rsidR="0025111C" w:rsidRPr="0025111C" w:rsidRDefault="0025111C" w:rsidP="0025111C">
      <w:pPr>
        <w:pStyle w:val="Body"/>
        <w:spacing w:after="0"/>
        <w:rPr>
          <w:rFonts w:ascii="Arial" w:hAnsi="Arial" w:cs="Arial"/>
        </w:rPr>
      </w:pPr>
    </w:p>
    <w:p w14:paraId="7E1F67E1" w14:textId="77777777" w:rsidR="0025111C" w:rsidRPr="0025111C" w:rsidRDefault="0025111C" w:rsidP="0025111C">
      <w:pPr>
        <w:pStyle w:val="ConcHead"/>
        <w:spacing w:after="0"/>
        <w:jc w:val="both"/>
        <w:rPr>
          <w:rFonts w:ascii="Arial" w:hAnsi="Arial" w:cs="Arial"/>
        </w:rPr>
      </w:pPr>
      <w:r w:rsidRPr="0025111C">
        <w:rPr>
          <w:rFonts w:ascii="Arial" w:hAnsi="Arial" w:cs="Arial"/>
        </w:rPr>
        <w:t>4. Discussion</w:t>
      </w:r>
    </w:p>
    <w:p w14:paraId="15E124AB" w14:textId="77777777" w:rsidR="0025111C" w:rsidRPr="0025111C" w:rsidRDefault="0025111C" w:rsidP="0025111C">
      <w:pPr>
        <w:pStyle w:val="ConcHead"/>
        <w:spacing w:after="0"/>
        <w:jc w:val="both"/>
        <w:rPr>
          <w:rFonts w:ascii="Arial" w:hAnsi="Arial" w:cs="Arial"/>
        </w:rPr>
      </w:pPr>
    </w:p>
    <w:p w14:paraId="7948663F" w14:textId="2FBB10B9" w:rsidR="0025111C" w:rsidRPr="0025111C" w:rsidRDefault="0025111C" w:rsidP="0025111C">
      <w:pPr>
        <w:ind w:firstLine="720"/>
        <w:jc w:val="both"/>
        <w:rPr>
          <w:rFonts w:ascii="Arial" w:hAnsi="Arial" w:cs="Arial"/>
        </w:rPr>
      </w:pPr>
      <w:r w:rsidRPr="0025111C">
        <w:rPr>
          <w:rFonts w:ascii="Arial" w:hAnsi="Arial" w:cs="Arial"/>
        </w:rPr>
        <w:t>Grounded in the Health Belief Model (HBM), this study used a combination of bivariate co-efficient correlations and hierarchical regression to examine factors influencing psilocybin-assisted therapy acceptance (PATA). The</w:t>
      </w:r>
      <w:r w:rsidR="005346E7">
        <w:rPr>
          <w:rFonts w:ascii="Arial" w:hAnsi="Arial" w:cs="Arial"/>
        </w:rPr>
        <w:t xml:space="preserve"> study </w:t>
      </w:r>
      <w:r w:rsidRPr="0025111C">
        <w:rPr>
          <w:rFonts w:ascii="Arial" w:hAnsi="Arial" w:cs="Arial"/>
        </w:rPr>
        <w:t xml:space="preserve">findings contribute to the emerging literature on the integration of psychedelic assisted therapies to </w:t>
      </w:r>
      <w:r w:rsidR="005346E7">
        <w:rPr>
          <w:rFonts w:ascii="Arial" w:hAnsi="Arial" w:cs="Arial"/>
        </w:rPr>
        <w:t>treat major depressive disorder</w:t>
      </w:r>
      <w:r w:rsidRPr="0025111C">
        <w:rPr>
          <w:rFonts w:ascii="Arial" w:hAnsi="Arial" w:cs="Arial"/>
        </w:rPr>
        <w:t xml:space="preserve"> and inform clinical strategies and policy for expanding access to complementary and alternative medicine modalities</w:t>
      </w:r>
      <w:r w:rsidR="000F5D46">
        <w:rPr>
          <w:rStyle w:val="EndnoteReference"/>
          <w:rFonts w:ascii="Arial" w:hAnsi="Arial" w:cs="Arial"/>
        </w:rPr>
        <w:endnoteReference w:customMarkFollows="1" w:id="59"/>
        <w:t>54</w:t>
      </w:r>
      <w:r w:rsidR="000F5D46" w:rsidRPr="0025111C">
        <w:rPr>
          <w:rFonts w:ascii="Arial" w:hAnsi="Arial" w:cs="Arial"/>
        </w:rPr>
        <w:t xml:space="preserve"> </w:t>
      </w:r>
      <w:r w:rsidR="000F5D46">
        <w:rPr>
          <w:rFonts w:ascii="Arial" w:hAnsi="Arial" w:cs="Arial"/>
        </w:rPr>
        <w:t>(</w:t>
      </w:r>
      <w:r w:rsidRPr="0025111C">
        <w:rPr>
          <w:rFonts w:ascii="Arial" w:hAnsi="Arial" w:cs="Arial"/>
        </w:rPr>
        <w:t>Reiff et al., 2020). Contrary to the assumptions, demographic and clinical variables were not significantly associated with PATA (</w:t>
      </w:r>
      <w:r w:rsidRPr="00D00F69">
        <w:rPr>
          <w:rFonts w:ascii="Arial" w:hAnsi="Arial" w:cs="Arial"/>
        </w:rPr>
        <w:t xml:space="preserve">all </w:t>
      </w:r>
      <w:r w:rsidR="00D00F69">
        <w:rPr>
          <w:rFonts w:ascii="Arial" w:hAnsi="Arial" w:cs="Arial"/>
          <w:i/>
          <w:iCs/>
        </w:rPr>
        <w:t>P</w:t>
      </w:r>
      <w:r w:rsidRPr="00D00F69">
        <w:rPr>
          <w:rFonts w:ascii="Arial" w:hAnsi="Arial" w:cs="Arial"/>
        </w:rPr>
        <w:t>&gt;.10).</w:t>
      </w:r>
      <w:r w:rsidRPr="0025111C">
        <w:rPr>
          <w:rFonts w:ascii="Arial" w:hAnsi="Arial" w:cs="Arial"/>
        </w:rPr>
        <w:t xml:space="preserve"> Age showed a weak negative correlation with PATA, suggesting older participants may be less accepting of psilocybin-assisted therapy (PAT). Similarly, race/ethnicity and income indicated non-significant trends. </w:t>
      </w:r>
      <w:r w:rsidRPr="000F5D46">
        <w:rPr>
          <w:rFonts w:ascii="Arial" w:hAnsi="Arial" w:cs="Arial"/>
        </w:rPr>
        <w:t xml:space="preserve">These findings are supported by Irrmischer et al. (2025) study, which </w:t>
      </w:r>
      <w:r w:rsidR="000F5D46">
        <w:rPr>
          <w:rFonts w:ascii="Arial" w:hAnsi="Arial" w:cs="Arial"/>
        </w:rPr>
        <w:t xml:space="preserve">found </w:t>
      </w:r>
      <w:r w:rsidRPr="000F5D46">
        <w:rPr>
          <w:rFonts w:ascii="Arial" w:hAnsi="Arial" w:cs="Arial"/>
        </w:rPr>
        <w:t xml:space="preserve">subjective experiences </w:t>
      </w:r>
      <w:r w:rsidR="000F5D46">
        <w:rPr>
          <w:rFonts w:ascii="Arial" w:hAnsi="Arial" w:cs="Arial"/>
        </w:rPr>
        <w:t>as</w:t>
      </w:r>
      <w:r w:rsidRPr="000F5D46">
        <w:rPr>
          <w:rFonts w:ascii="Arial" w:hAnsi="Arial" w:cs="Arial"/>
        </w:rPr>
        <w:t xml:space="preserve"> stronger predictors of psychedelic-related therapeutic outcomes </w:t>
      </w:r>
      <w:r w:rsidR="000F5D46">
        <w:rPr>
          <w:rFonts w:ascii="Arial" w:hAnsi="Arial" w:cs="Arial"/>
        </w:rPr>
        <w:t>compared to</w:t>
      </w:r>
      <w:r w:rsidRPr="000F5D46">
        <w:rPr>
          <w:rFonts w:ascii="Arial" w:hAnsi="Arial" w:cs="Arial"/>
        </w:rPr>
        <w:t xml:space="preserve"> demographic characteristics</w:t>
      </w:r>
      <w:r w:rsidR="000F5D46" w:rsidRPr="000F5D46">
        <w:rPr>
          <w:rStyle w:val="EndnoteReference"/>
          <w:rFonts w:ascii="Arial" w:hAnsi="Arial" w:cs="Arial"/>
        </w:rPr>
        <w:endnoteReference w:customMarkFollows="1" w:id="60"/>
        <w:t>55</w:t>
      </w:r>
      <w:r w:rsidRPr="000F5D46">
        <w:rPr>
          <w:rFonts w:ascii="Arial" w:hAnsi="Arial" w:cs="Arial"/>
        </w:rPr>
        <w:t xml:space="preserve">. </w:t>
      </w:r>
      <w:r w:rsidR="000F5D46">
        <w:rPr>
          <w:rFonts w:ascii="Arial" w:hAnsi="Arial" w:cs="Arial"/>
        </w:rPr>
        <w:t>The present study</w:t>
      </w:r>
      <w:r w:rsidRPr="000F5D46">
        <w:rPr>
          <w:rFonts w:ascii="Arial" w:hAnsi="Arial" w:cs="Arial"/>
        </w:rPr>
        <w:t xml:space="preserve"> revealed that </w:t>
      </w:r>
      <w:r w:rsidRPr="000F5D46">
        <w:rPr>
          <w:rStyle w:val="Strong"/>
          <w:rFonts w:ascii="Arial" w:eastAsiaTheme="majorEastAsia" w:hAnsi="Arial" w:cs="Arial"/>
          <w:b w:val="0"/>
          <w:bCs w:val="0"/>
        </w:rPr>
        <w:t xml:space="preserve">employment was </w:t>
      </w:r>
      <w:r w:rsidRPr="000F5D46">
        <w:rPr>
          <w:rStyle w:val="Strong"/>
          <w:rFonts w:ascii="Arial" w:eastAsiaTheme="majorEastAsia" w:hAnsi="Arial" w:cs="Arial"/>
          <w:b w:val="0"/>
          <w:bCs w:val="0"/>
        </w:rPr>
        <w:lastRenderedPageBreak/>
        <w:t>positively correlated with income</w:t>
      </w:r>
      <w:r w:rsidRPr="000F5D46">
        <w:rPr>
          <w:rStyle w:val="Strong"/>
          <w:rFonts w:ascii="Arial" w:eastAsiaTheme="majorEastAsia" w:hAnsi="Arial" w:cs="Arial"/>
        </w:rPr>
        <w:t xml:space="preserve"> </w:t>
      </w:r>
      <w:r w:rsidRPr="000F5D46">
        <w:rPr>
          <w:rFonts w:ascii="Arial" w:hAnsi="Arial" w:cs="Arial"/>
        </w:rPr>
        <w:t>and inversely associated with length of MDD diagnosis and number of existing antidepressants taken</w:t>
      </w:r>
      <w:r w:rsidR="005730E8">
        <w:rPr>
          <w:rFonts w:ascii="Arial" w:hAnsi="Arial" w:cs="Arial"/>
        </w:rPr>
        <w:t xml:space="preserve">- </w:t>
      </w:r>
      <w:r w:rsidRPr="000F5D46">
        <w:rPr>
          <w:rFonts w:ascii="Arial" w:hAnsi="Arial" w:cs="Arial"/>
        </w:rPr>
        <w:t>suggesting that participants with longer illness duration and higher medication burden may experience greater socioeconomic challenges</w:t>
      </w:r>
      <w:r w:rsidRPr="004B2FA5">
        <w:rPr>
          <w:rFonts w:ascii="Arial" w:hAnsi="Arial" w:cs="Arial"/>
        </w:rPr>
        <w:t xml:space="preserve">. This corroborates findings from a study by Grazier (2019) that </w:t>
      </w:r>
      <w:r w:rsidR="005730E8" w:rsidRPr="004B2FA5">
        <w:rPr>
          <w:rFonts w:ascii="Arial" w:hAnsi="Arial" w:cs="Arial"/>
        </w:rPr>
        <w:t>uncovered</w:t>
      </w:r>
      <w:r w:rsidRPr="004B2FA5">
        <w:rPr>
          <w:rFonts w:ascii="Arial" w:hAnsi="Arial" w:cs="Arial"/>
        </w:rPr>
        <w:t xml:space="preserve"> individuals with severe psychological distress were more likely to encounter issues with affording prescriptions and doctor’s visits</w:t>
      </w:r>
      <w:r w:rsidR="000F5D46" w:rsidRPr="004B2FA5">
        <w:rPr>
          <w:rStyle w:val="EndnoteReference"/>
          <w:rFonts w:ascii="Arial" w:hAnsi="Arial" w:cs="Arial"/>
        </w:rPr>
        <w:endnoteReference w:customMarkFollows="1" w:id="61"/>
        <w:t>56</w:t>
      </w:r>
      <w:r w:rsidR="00D00F69" w:rsidRPr="004B2FA5">
        <w:rPr>
          <w:rFonts w:ascii="Arial" w:hAnsi="Arial" w:cs="Arial"/>
        </w:rPr>
        <w:t xml:space="preserve">. </w:t>
      </w:r>
      <w:r w:rsidRPr="004B2FA5">
        <w:rPr>
          <w:rFonts w:ascii="Arial" w:hAnsi="Arial" w:cs="Arial"/>
        </w:rPr>
        <w:t xml:space="preserve">Therefore, it can be concluded from the present study that </w:t>
      </w:r>
      <w:r w:rsidR="004B2FA5" w:rsidRPr="004B2FA5">
        <w:rPr>
          <w:rFonts w:ascii="Arial" w:hAnsi="Arial" w:cs="Arial"/>
        </w:rPr>
        <w:t xml:space="preserve">accepting of psilocybin-assisted therapy </w:t>
      </w:r>
      <w:r w:rsidRPr="004B2FA5">
        <w:rPr>
          <w:rFonts w:ascii="Arial" w:hAnsi="Arial" w:cs="Arial"/>
        </w:rPr>
        <w:t>is not primarily driven by demographic</w:t>
      </w:r>
      <w:r w:rsidR="004B2FA5" w:rsidRPr="004B2FA5">
        <w:rPr>
          <w:rFonts w:ascii="Arial" w:hAnsi="Arial" w:cs="Arial"/>
        </w:rPr>
        <w:t>al</w:t>
      </w:r>
      <w:r w:rsidRPr="004B2FA5">
        <w:rPr>
          <w:rFonts w:ascii="Arial" w:hAnsi="Arial" w:cs="Arial"/>
        </w:rPr>
        <w:t xml:space="preserve"> or clinical factors</w:t>
      </w:r>
      <w:r w:rsidR="00C23EB3" w:rsidRPr="004B2FA5">
        <w:rPr>
          <w:rFonts w:ascii="Arial" w:hAnsi="Arial" w:cs="Arial"/>
        </w:rPr>
        <w:t>.</w:t>
      </w:r>
      <w:r w:rsidR="00C23EB3">
        <w:rPr>
          <w:rFonts w:ascii="Arial" w:hAnsi="Arial" w:cs="Arial"/>
        </w:rPr>
        <w:t xml:space="preserve"> </w:t>
      </w:r>
    </w:p>
    <w:p w14:paraId="69876C94" w14:textId="77777777" w:rsidR="0025111C" w:rsidRPr="0025111C" w:rsidRDefault="0025111C" w:rsidP="0025111C">
      <w:pPr>
        <w:jc w:val="both"/>
        <w:rPr>
          <w:rFonts w:ascii="Arial" w:hAnsi="Arial" w:cs="Arial"/>
        </w:rPr>
      </w:pPr>
    </w:p>
    <w:p w14:paraId="0B5D66F9" w14:textId="5CEE8BCC" w:rsidR="0025111C" w:rsidRPr="0025111C" w:rsidRDefault="0025111C" w:rsidP="00113EA1">
      <w:pPr>
        <w:ind w:firstLine="720"/>
        <w:jc w:val="both"/>
        <w:rPr>
          <w:rFonts w:ascii="Arial" w:hAnsi="Arial" w:cs="Arial"/>
        </w:rPr>
      </w:pPr>
      <w:r w:rsidRPr="0025111C">
        <w:rPr>
          <w:rFonts w:ascii="Arial" w:hAnsi="Arial" w:cs="Arial"/>
        </w:rPr>
        <w:t>The</w:t>
      </w:r>
      <w:r w:rsidR="005730E8">
        <w:rPr>
          <w:rFonts w:ascii="Arial" w:hAnsi="Arial" w:cs="Arial"/>
        </w:rPr>
        <w:t xml:space="preserve"> </w:t>
      </w:r>
      <w:r w:rsidR="00550CF4">
        <w:rPr>
          <w:rFonts w:ascii="Arial" w:hAnsi="Arial" w:cs="Arial"/>
        </w:rPr>
        <w:t>current</w:t>
      </w:r>
      <w:r w:rsidR="005730E8">
        <w:rPr>
          <w:rFonts w:ascii="Arial" w:hAnsi="Arial" w:cs="Arial"/>
        </w:rPr>
        <w:t xml:space="preserve"> </w:t>
      </w:r>
      <w:r w:rsidRPr="0025111C">
        <w:rPr>
          <w:rFonts w:ascii="Arial" w:hAnsi="Arial" w:cs="Arial"/>
        </w:rPr>
        <w:t xml:space="preserve">study revealed a statistically significant positive correlation between MMP Expansion and PATA, suggesting that policy support may serve as a key factor of acceptance. However, the MMP expansion variable in Model 1 was significantly reduced in Model 2, </w:t>
      </w:r>
      <w:r w:rsidR="00850A85">
        <w:rPr>
          <w:rFonts w:ascii="Arial" w:hAnsi="Arial" w:cs="Arial"/>
        </w:rPr>
        <w:t>proposing</w:t>
      </w:r>
      <w:r w:rsidRPr="0025111C">
        <w:rPr>
          <w:rFonts w:ascii="Arial" w:hAnsi="Arial" w:cs="Arial"/>
        </w:rPr>
        <w:t xml:space="preserve"> that perceived benefits may have mediated the relationship between policy attitudes and PATA. While positive attitudes about MMP expansion initially predicted PATA, its strength diminished when participants’ beliefs about therapeutic efficacy were considered. </w:t>
      </w:r>
      <w:r w:rsidR="009A6A40">
        <w:rPr>
          <w:rFonts w:ascii="Arial" w:hAnsi="Arial" w:cs="Arial"/>
        </w:rPr>
        <w:t>Consistent with the decriminalization model, this finding suggest psilocybin provides a well range of evidence-based therapeutic benefits</w:t>
      </w:r>
      <w:r w:rsidR="000A732C">
        <w:rPr>
          <w:rFonts w:ascii="Arial" w:hAnsi="Arial" w:cs="Arial"/>
        </w:rPr>
        <w:t xml:space="preserve"> and that- </w:t>
      </w:r>
      <w:r w:rsidR="006E2970">
        <w:rPr>
          <w:rFonts w:ascii="Arial" w:hAnsi="Arial" w:cs="Arial"/>
        </w:rPr>
        <w:t xml:space="preserve">psychedelic reform may occur more rapidly than cannabis due to FDA </w:t>
      </w:r>
      <w:r w:rsidR="006E2970" w:rsidRPr="00975BBE">
        <w:rPr>
          <w:rFonts w:ascii="Arial" w:hAnsi="Arial" w:cs="Arial"/>
        </w:rPr>
        <w:t>approval</w:t>
      </w:r>
      <w:r w:rsidR="00332B22">
        <w:rPr>
          <w:rStyle w:val="EndnoteReference"/>
          <w:rFonts w:ascii="Arial" w:hAnsi="Arial" w:cs="Arial"/>
        </w:rPr>
        <w:endnoteReference w:customMarkFollows="1" w:id="62"/>
        <w:t>57</w:t>
      </w:r>
      <w:r w:rsidR="006E2970" w:rsidRPr="00975BBE">
        <w:rPr>
          <w:rFonts w:ascii="Arial" w:hAnsi="Arial" w:cs="Arial"/>
        </w:rPr>
        <w:t xml:space="preserve"> (Siegel et al., 2023).</w:t>
      </w:r>
      <w:r w:rsidR="006E2970">
        <w:rPr>
          <w:rFonts w:ascii="Arial" w:hAnsi="Arial" w:cs="Arial"/>
        </w:rPr>
        <w:t xml:space="preserve"> </w:t>
      </w:r>
      <w:r w:rsidR="000A732C">
        <w:rPr>
          <w:rFonts w:ascii="Arial" w:hAnsi="Arial" w:cs="Arial"/>
        </w:rPr>
        <w:t>Less than 10 years ago,</w:t>
      </w:r>
      <w:r w:rsidR="000F2F9E">
        <w:rPr>
          <w:rFonts w:ascii="Arial" w:hAnsi="Arial" w:cs="Arial"/>
        </w:rPr>
        <w:t xml:space="preserve"> some researchers and policymakers advocated to keep psychedelics as a Schedule I drug due to the lack of controlled</w:t>
      </w:r>
      <w:r w:rsidR="005346E7">
        <w:rPr>
          <w:rFonts w:ascii="Arial" w:hAnsi="Arial" w:cs="Arial"/>
        </w:rPr>
        <w:t xml:space="preserve"> </w:t>
      </w:r>
      <w:r w:rsidR="000F2F9E">
        <w:rPr>
          <w:rFonts w:ascii="Arial" w:hAnsi="Arial" w:cs="Arial"/>
        </w:rPr>
        <w:t>environment to minimize risks for patients using psychedelics for therapeutic reasons</w:t>
      </w:r>
      <w:r w:rsidR="00332B22">
        <w:rPr>
          <w:rStyle w:val="EndnoteReference"/>
          <w:rFonts w:ascii="Arial" w:hAnsi="Arial" w:cs="Arial"/>
        </w:rPr>
        <w:endnoteReference w:customMarkFollows="1" w:id="63"/>
        <w:t>58</w:t>
      </w:r>
      <w:r w:rsidR="000F2F9E">
        <w:rPr>
          <w:rFonts w:ascii="Arial" w:hAnsi="Arial" w:cs="Arial"/>
        </w:rPr>
        <w:t xml:space="preserve"> </w:t>
      </w:r>
      <w:r w:rsidR="000F2F9E" w:rsidRPr="00975BBE">
        <w:rPr>
          <w:rFonts w:ascii="Arial" w:hAnsi="Arial" w:cs="Arial"/>
        </w:rPr>
        <w:t>(Frinton &amp; Robinson, 2025).</w:t>
      </w:r>
      <w:r w:rsidR="000F2F9E">
        <w:rPr>
          <w:rFonts w:ascii="Arial" w:hAnsi="Arial" w:cs="Arial"/>
        </w:rPr>
        <w:t xml:space="preserve"> Fast forward</w:t>
      </w:r>
      <w:r w:rsidR="00113EA1">
        <w:rPr>
          <w:rFonts w:ascii="Arial" w:hAnsi="Arial" w:cs="Arial"/>
        </w:rPr>
        <w:t xml:space="preserve"> to current</w:t>
      </w:r>
      <w:r w:rsidR="000A732C">
        <w:rPr>
          <w:rFonts w:ascii="Arial" w:hAnsi="Arial" w:cs="Arial"/>
        </w:rPr>
        <w:t xml:space="preserve"> times</w:t>
      </w:r>
      <w:r w:rsidR="00113EA1">
        <w:rPr>
          <w:rFonts w:ascii="Arial" w:hAnsi="Arial" w:cs="Arial"/>
        </w:rPr>
        <w:t>, the FDA has approved a handful of psilocybin medications that are strictly administered in controlled, supervised environments. As a result, current bills calling for decriminalization coincides within the regulatory framework, to ensure effective and safe use of psychedelics</w:t>
      </w:r>
      <w:r w:rsidR="00332B22">
        <w:rPr>
          <w:rStyle w:val="EndnoteReference"/>
          <w:rFonts w:ascii="Arial" w:hAnsi="Arial" w:cs="Arial"/>
        </w:rPr>
        <w:endnoteReference w:customMarkFollows="1" w:id="64"/>
        <w:t>57</w:t>
      </w:r>
      <w:r w:rsidR="00113EA1">
        <w:rPr>
          <w:rFonts w:ascii="Arial" w:hAnsi="Arial" w:cs="Arial"/>
        </w:rPr>
        <w:t xml:space="preserve"> </w:t>
      </w:r>
      <w:r w:rsidR="00113EA1" w:rsidRPr="00975BBE">
        <w:rPr>
          <w:rFonts w:ascii="Arial" w:hAnsi="Arial" w:cs="Arial"/>
        </w:rPr>
        <w:t>(Siegel et al., 2023).</w:t>
      </w:r>
      <w:r w:rsidR="00113EA1">
        <w:rPr>
          <w:rFonts w:ascii="Arial" w:hAnsi="Arial" w:cs="Arial"/>
        </w:rPr>
        <w:t xml:space="preserve"> </w:t>
      </w:r>
      <w:r w:rsidR="007F3B7D">
        <w:rPr>
          <w:rFonts w:ascii="Arial" w:hAnsi="Arial" w:cs="Arial"/>
        </w:rPr>
        <w:t>Therefore, h</w:t>
      </w:r>
      <w:r w:rsidR="00113EA1">
        <w:rPr>
          <w:rFonts w:ascii="Arial" w:hAnsi="Arial" w:cs="Arial"/>
        </w:rPr>
        <w:t xml:space="preserve">ealth education </w:t>
      </w:r>
      <w:r w:rsidRPr="0025111C">
        <w:rPr>
          <w:rFonts w:ascii="Arial" w:hAnsi="Arial" w:cs="Arial"/>
        </w:rPr>
        <w:t xml:space="preserve">interventions aimed at increasing acceptance of psilocybin should include communication strategies </w:t>
      </w:r>
      <w:r w:rsidR="007F3B7D">
        <w:rPr>
          <w:rFonts w:ascii="Arial" w:hAnsi="Arial" w:cs="Arial"/>
        </w:rPr>
        <w:t xml:space="preserve">emphasizing clinical </w:t>
      </w:r>
      <w:r w:rsidRPr="0025111C">
        <w:rPr>
          <w:rFonts w:ascii="Arial" w:hAnsi="Arial" w:cs="Arial"/>
        </w:rPr>
        <w:t>outcomes</w:t>
      </w:r>
      <w:r w:rsidR="007F3B7D">
        <w:rPr>
          <w:rFonts w:ascii="Arial" w:hAnsi="Arial" w:cs="Arial"/>
        </w:rPr>
        <w:t xml:space="preserve">, safety regulation and administration, and surveillance. </w:t>
      </w:r>
      <w:r w:rsidRPr="0025111C">
        <w:rPr>
          <w:rFonts w:ascii="Arial" w:hAnsi="Arial" w:cs="Arial"/>
        </w:rPr>
        <w:t xml:space="preserve">Regarding other predictors, the </w:t>
      </w:r>
      <w:r w:rsidR="00850A85">
        <w:rPr>
          <w:rFonts w:ascii="Arial" w:hAnsi="Arial" w:cs="Arial"/>
        </w:rPr>
        <w:t xml:space="preserve">present </w:t>
      </w:r>
      <w:r w:rsidRPr="0025111C">
        <w:rPr>
          <w:rFonts w:ascii="Arial" w:hAnsi="Arial" w:cs="Arial"/>
        </w:rPr>
        <w:t xml:space="preserve">study discovered a positive </w:t>
      </w:r>
      <w:r w:rsidR="00850A85">
        <w:rPr>
          <w:rFonts w:ascii="Arial" w:hAnsi="Arial" w:cs="Arial"/>
        </w:rPr>
        <w:t>correlation between</w:t>
      </w:r>
      <w:r w:rsidR="00850A85" w:rsidRPr="0025111C">
        <w:rPr>
          <w:rFonts w:ascii="Arial" w:hAnsi="Arial" w:cs="Arial"/>
        </w:rPr>
        <w:t xml:space="preserve"> </w:t>
      </w:r>
      <w:r w:rsidR="00850A85" w:rsidRPr="0025111C">
        <w:rPr>
          <w:rFonts w:ascii="Arial" w:eastAsiaTheme="majorEastAsia" w:hAnsi="Arial" w:cs="Arial"/>
        </w:rPr>
        <w:t xml:space="preserve">attitudes toward </w:t>
      </w:r>
      <w:r w:rsidR="00850A85">
        <w:rPr>
          <w:rFonts w:ascii="Arial" w:eastAsiaTheme="majorEastAsia" w:hAnsi="Arial" w:cs="Arial"/>
        </w:rPr>
        <w:t xml:space="preserve">psilocybin as </w:t>
      </w:r>
      <w:r w:rsidR="00850A85" w:rsidRPr="0025111C">
        <w:rPr>
          <w:rFonts w:ascii="Arial" w:eastAsiaTheme="majorEastAsia" w:hAnsi="Arial" w:cs="Arial"/>
        </w:rPr>
        <w:t xml:space="preserve">potential </w:t>
      </w:r>
      <w:r w:rsidR="00850A85">
        <w:rPr>
          <w:rFonts w:ascii="Arial" w:eastAsiaTheme="majorEastAsia" w:hAnsi="Arial" w:cs="Arial"/>
        </w:rPr>
        <w:t>CAM modality and PATA</w:t>
      </w:r>
      <w:r w:rsidR="00850A85">
        <w:rPr>
          <w:rFonts w:ascii="Arial" w:hAnsi="Arial" w:cs="Arial"/>
        </w:rPr>
        <w:t xml:space="preserve">. </w:t>
      </w:r>
      <w:r w:rsidRPr="0025111C">
        <w:rPr>
          <w:rFonts w:ascii="Arial" w:hAnsi="Arial" w:cs="Arial"/>
        </w:rPr>
        <w:t>This finding is supported by Corrigan et al. (2022) study, which found mental health service users with positive attitude score towards psilocybin were more likely to support its branding as CAM modality</w:t>
      </w:r>
      <w:r w:rsidR="00332B22">
        <w:rPr>
          <w:rStyle w:val="EndnoteReference"/>
          <w:rFonts w:ascii="Arial" w:hAnsi="Arial" w:cs="Arial"/>
        </w:rPr>
        <w:endnoteReference w:customMarkFollows="1" w:id="65"/>
        <w:t>59</w:t>
      </w:r>
      <w:r w:rsidRPr="0025111C">
        <w:rPr>
          <w:rFonts w:ascii="Arial" w:hAnsi="Arial" w:cs="Arial"/>
        </w:rPr>
        <w:t xml:space="preserve">. </w:t>
      </w:r>
    </w:p>
    <w:p w14:paraId="194425F1" w14:textId="4CE9ACDD" w:rsidR="0025111C" w:rsidRPr="0025111C" w:rsidRDefault="0025111C" w:rsidP="0025111C">
      <w:pPr>
        <w:jc w:val="both"/>
        <w:rPr>
          <w:rFonts w:ascii="Arial" w:hAnsi="Arial" w:cs="Arial"/>
        </w:rPr>
      </w:pPr>
    </w:p>
    <w:p w14:paraId="66704CF7" w14:textId="291DD449" w:rsidR="0025111C" w:rsidRPr="00332B22" w:rsidRDefault="0025111C" w:rsidP="0025111C">
      <w:pPr>
        <w:ind w:firstLine="720"/>
        <w:jc w:val="both"/>
        <w:rPr>
          <w:rFonts w:ascii="Arial" w:hAnsi="Arial" w:cs="Arial"/>
        </w:rPr>
      </w:pPr>
      <w:r w:rsidRPr="00332B22">
        <w:rPr>
          <w:rFonts w:ascii="Arial" w:hAnsi="Arial" w:cs="Arial"/>
          <w:color w:val="000000" w:themeColor="text1"/>
        </w:rPr>
        <w:t>P</w:t>
      </w:r>
      <w:r w:rsidRPr="00332B22">
        <w:rPr>
          <w:rStyle w:val="Strong"/>
          <w:rFonts w:ascii="Arial" w:eastAsiaTheme="majorEastAsia" w:hAnsi="Arial" w:cs="Arial"/>
          <w:b w:val="0"/>
          <w:bCs w:val="0"/>
          <w:color w:val="000000" w:themeColor="text1"/>
        </w:rPr>
        <w:t xml:space="preserve">erceived benefits emerged as the strongest factor influencing </w:t>
      </w:r>
      <w:r w:rsidR="005C4E55" w:rsidRPr="00332B22">
        <w:rPr>
          <w:rStyle w:val="Strong"/>
          <w:rFonts w:ascii="Arial" w:eastAsiaTheme="majorEastAsia" w:hAnsi="Arial" w:cs="Arial"/>
          <w:b w:val="0"/>
          <w:bCs w:val="0"/>
          <w:color w:val="000000" w:themeColor="text1"/>
        </w:rPr>
        <w:t xml:space="preserve">PATA, </w:t>
      </w:r>
      <w:r w:rsidRPr="00332B22">
        <w:rPr>
          <w:rFonts w:ascii="Arial" w:hAnsi="Arial" w:cs="Arial"/>
          <w:color w:val="000000" w:themeColor="text1"/>
        </w:rPr>
        <w:t>indicating that individuals who believe in the efficacy of psilocybin-assisted therapy, were more likely to adopt its use</w:t>
      </w:r>
      <w:r w:rsidR="005C4E55" w:rsidRPr="00332B22">
        <w:rPr>
          <w:rFonts w:ascii="Arial" w:hAnsi="Arial" w:cs="Arial"/>
          <w:color w:val="000000" w:themeColor="text1"/>
        </w:rPr>
        <w:t xml:space="preserve"> to treat </w:t>
      </w:r>
      <w:r w:rsidR="00550CF4" w:rsidRPr="00332B22">
        <w:rPr>
          <w:rFonts w:ascii="Arial" w:hAnsi="Arial" w:cs="Arial"/>
          <w:color w:val="000000" w:themeColor="text1"/>
        </w:rPr>
        <w:t xml:space="preserve">their </w:t>
      </w:r>
      <w:r w:rsidR="005C4E55" w:rsidRPr="00332B22">
        <w:rPr>
          <w:rFonts w:ascii="Arial" w:hAnsi="Arial" w:cs="Arial"/>
          <w:color w:val="000000" w:themeColor="text1"/>
        </w:rPr>
        <w:t xml:space="preserve">depressive symptoms. </w:t>
      </w:r>
      <w:r w:rsidRPr="00332B22">
        <w:rPr>
          <w:rFonts w:ascii="Arial" w:hAnsi="Arial" w:cs="Arial"/>
          <w:color w:val="000000" w:themeColor="text1"/>
        </w:rPr>
        <w:t xml:space="preserve"> This outcome is plausible because when advantages of therapeutic efficacy outweigh barriers, individuals tend to adopt </w:t>
      </w:r>
      <w:r w:rsidR="005C4E55" w:rsidRPr="00332B22">
        <w:rPr>
          <w:rFonts w:ascii="Arial" w:hAnsi="Arial" w:cs="Arial"/>
          <w:color w:val="000000" w:themeColor="text1"/>
        </w:rPr>
        <w:t>modalities</w:t>
      </w:r>
      <w:r w:rsidRPr="00332B22">
        <w:rPr>
          <w:rFonts w:ascii="Arial" w:hAnsi="Arial" w:cs="Arial"/>
          <w:color w:val="000000" w:themeColor="text1"/>
        </w:rPr>
        <w:t xml:space="preserve"> to reduce and</w:t>
      </w:r>
      <w:r w:rsidR="00550CF4" w:rsidRPr="00332B22">
        <w:rPr>
          <w:rFonts w:ascii="Arial" w:hAnsi="Arial" w:cs="Arial"/>
          <w:color w:val="000000" w:themeColor="text1"/>
        </w:rPr>
        <w:t>/or</w:t>
      </w:r>
      <w:r w:rsidRPr="00332B22">
        <w:rPr>
          <w:rFonts w:ascii="Arial" w:hAnsi="Arial" w:cs="Arial"/>
          <w:color w:val="000000" w:themeColor="text1"/>
        </w:rPr>
        <w:t xml:space="preserve"> manage symptoms and prevent the potential development of psychiatric- related comorbidities. </w:t>
      </w:r>
      <w:r w:rsidRPr="00332B22">
        <w:rPr>
          <w:rFonts w:ascii="Arial" w:hAnsi="Arial" w:cs="Arial"/>
        </w:rPr>
        <w:t>This study finding is consistent with previous studies that postulates perceived benefits as strong predictors of health behaviors across diverse contexts</w:t>
      </w:r>
      <w:r w:rsidR="00332B22" w:rsidRPr="00332B22">
        <w:rPr>
          <w:rStyle w:val="EndnoteReference"/>
          <w:rFonts w:ascii="Arial" w:hAnsi="Arial" w:cs="Arial"/>
        </w:rPr>
        <w:endnoteReference w:customMarkFollows="1" w:id="66"/>
        <w:t>60</w:t>
      </w:r>
      <w:r w:rsidR="009E319C" w:rsidRPr="00332B22">
        <w:rPr>
          <w:rFonts w:ascii="Arial" w:hAnsi="Arial" w:cs="Arial"/>
        </w:rPr>
        <w:t xml:space="preserve"> </w:t>
      </w:r>
      <w:r w:rsidR="00332B22" w:rsidRPr="00332B22">
        <w:rPr>
          <w:rStyle w:val="EndnoteReference"/>
          <w:rFonts w:ascii="Arial" w:hAnsi="Arial" w:cs="Arial"/>
        </w:rPr>
        <w:endnoteReference w:customMarkFollows="1" w:id="67"/>
        <w:t>61</w:t>
      </w:r>
      <w:r w:rsidRPr="00332B22">
        <w:rPr>
          <w:rFonts w:ascii="Arial" w:hAnsi="Arial" w:cs="Arial"/>
        </w:rPr>
        <w:t xml:space="preserve"> (Luger, 2013; Tanner-Smith &amp; Brown, 2010). </w:t>
      </w:r>
      <w:r w:rsidRPr="00332B22">
        <w:rPr>
          <w:rFonts w:ascii="Arial" w:hAnsi="Arial" w:cs="Arial"/>
          <w:color w:val="000000" w:themeColor="text1"/>
        </w:rPr>
        <w:t>Researchers have also reported similar results in their studies on vaccine acceptance and preventive behaviors based on the health belief model.  For example,</w:t>
      </w:r>
      <w:r w:rsidRPr="00332B22">
        <w:rPr>
          <w:rFonts w:ascii="Arial" w:hAnsi="Arial" w:cs="Arial"/>
        </w:rPr>
        <w:t xml:space="preserve"> Subedi et al. (2023) study showed a positive correlation between mask wearing and COVID-19 vaccine acceptance</w:t>
      </w:r>
      <w:r w:rsidR="00332B22" w:rsidRPr="00332B22">
        <w:rPr>
          <w:rStyle w:val="EndnoteReference"/>
          <w:rFonts w:ascii="Arial" w:hAnsi="Arial" w:cs="Arial"/>
        </w:rPr>
        <w:endnoteReference w:customMarkFollows="1" w:id="68"/>
        <w:t>62</w:t>
      </w:r>
      <w:r w:rsidRPr="00332B22">
        <w:rPr>
          <w:rFonts w:ascii="Arial" w:hAnsi="Arial" w:cs="Arial"/>
        </w:rPr>
        <w:t xml:space="preserve">. Another study by Wong et al. (2021) examined factors associated with </w:t>
      </w:r>
      <w:r w:rsidR="004F064A" w:rsidRPr="00332B22">
        <w:rPr>
          <w:rFonts w:ascii="Arial" w:hAnsi="Arial" w:cs="Arial"/>
        </w:rPr>
        <w:t xml:space="preserve">uptake of </w:t>
      </w:r>
      <w:r w:rsidRPr="00332B22">
        <w:rPr>
          <w:rFonts w:ascii="Arial" w:hAnsi="Arial" w:cs="Arial"/>
        </w:rPr>
        <w:t xml:space="preserve">COVID-19 </w:t>
      </w:r>
      <w:r w:rsidR="004F064A" w:rsidRPr="00332B22">
        <w:rPr>
          <w:rFonts w:ascii="Arial" w:hAnsi="Arial" w:cs="Arial"/>
        </w:rPr>
        <w:t>vaccination</w:t>
      </w:r>
      <w:r w:rsidRPr="00332B22">
        <w:rPr>
          <w:rFonts w:ascii="Arial" w:hAnsi="Arial" w:cs="Arial"/>
        </w:rPr>
        <w:t xml:space="preserve"> and found respondents with higher perceived benefit scores were more likely to indicate acceptance</w:t>
      </w:r>
      <w:r w:rsidR="00332B22" w:rsidRPr="00332B22">
        <w:rPr>
          <w:rStyle w:val="EndnoteReference"/>
          <w:rFonts w:ascii="Arial" w:hAnsi="Arial" w:cs="Arial"/>
        </w:rPr>
        <w:endnoteReference w:customMarkFollows="1" w:id="69"/>
        <w:t>63</w:t>
      </w:r>
      <w:r w:rsidRPr="00332B22">
        <w:rPr>
          <w:rFonts w:ascii="Arial" w:hAnsi="Arial" w:cs="Arial"/>
        </w:rPr>
        <w:t xml:space="preserve">. </w:t>
      </w:r>
      <w:r w:rsidR="007873FF" w:rsidRPr="00332B22">
        <w:rPr>
          <w:rFonts w:ascii="Arial" w:hAnsi="Arial" w:cs="Arial"/>
        </w:rPr>
        <w:t>P</w:t>
      </w:r>
      <w:r w:rsidR="004E0FC4" w:rsidRPr="00332B22">
        <w:rPr>
          <w:rFonts w:ascii="Arial" w:hAnsi="Arial" w:cs="Arial"/>
        </w:rPr>
        <w:t>erception</w:t>
      </w:r>
      <w:r w:rsidR="004F064A" w:rsidRPr="00332B22">
        <w:rPr>
          <w:rFonts w:ascii="Arial" w:hAnsi="Arial" w:cs="Arial"/>
        </w:rPr>
        <w:t>s</w:t>
      </w:r>
      <w:r w:rsidR="004E0FC4" w:rsidRPr="00332B22">
        <w:rPr>
          <w:rFonts w:ascii="Arial" w:hAnsi="Arial" w:cs="Arial"/>
        </w:rPr>
        <w:t xml:space="preserve"> </w:t>
      </w:r>
      <w:r w:rsidR="004F064A" w:rsidRPr="00332B22">
        <w:rPr>
          <w:rFonts w:ascii="Arial" w:hAnsi="Arial" w:cs="Arial"/>
        </w:rPr>
        <w:t>about health</w:t>
      </w:r>
      <w:r w:rsidR="004E0FC4" w:rsidRPr="00332B22">
        <w:rPr>
          <w:rFonts w:ascii="Arial" w:hAnsi="Arial" w:cs="Arial"/>
        </w:rPr>
        <w:t xml:space="preserve"> benefit</w:t>
      </w:r>
      <w:r w:rsidR="004F064A" w:rsidRPr="00332B22">
        <w:rPr>
          <w:rFonts w:ascii="Arial" w:hAnsi="Arial" w:cs="Arial"/>
        </w:rPr>
        <w:t>s</w:t>
      </w:r>
      <w:r w:rsidR="004E0FC4" w:rsidRPr="00332B22">
        <w:rPr>
          <w:rFonts w:ascii="Arial" w:hAnsi="Arial" w:cs="Arial"/>
        </w:rPr>
        <w:t xml:space="preserve"> </w:t>
      </w:r>
      <w:r w:rsidR="004F064A" w:rsidRPr="00332B22">
        <w:rPr>
          <w:rFonts w:ascii="Arial" w:hAnsi="Arial" w:cs="Arial"/>
        </w:rPr>
        <w:t>are</w:t>
      </w:r>
      <w:r w:rsidR="004E0FC4" w:rsidRPr="00332B22">
        <w:rPr>
          <w:rFonts w:ascii="Arial" w:hAnsi="Arial" w:cs="Arial"/>
        </w:rPr>
        <w:t xml:space="preserve"> often linked to other factors, such as perceived effectiveness of a specific behavior</w:t>
      </w:r>
      <w:r w:rsidR="00332B22" w:rsidRPr="00332B22">
        <w:rPr>
          <w:rStyle w:val="EndnoteReference"/>
          <w:rFonts w:ascii="Arial" w:hAnsi="Arial" w:cs="Arial"/>
        </w:rPr>
        <w:endnoteReference w:customMarkFollows="1" w:id="70"/>
        <w:t>64</w:t>
      </w:r>
      <w:r w:rsidR="004E0FC4" w:rsidRPr="00332B22">
        <w:rPr>
          <w:rFonts w:ascii="Arial" w:hAnsi="Arial" w:cs="Arial"/>
        </w:rPr>
        <w:t xml:space="preserve">. </w:t>
      </w:r>
      <w:r w:rsidR="007873FF" w:rsidRPr="00332B22">
        <w:rPr>
          <w:rFonts w:ascii="Arial" w:hAnsi="Arial" w:cs="Arial"/>
        </w:rPr>
        <w:t>Therefore, in the present study, participants who believed psilocybi</w:t>
      </w:r>
      <w:r w:rsidR="00163568">
        <w:rPr>
          <w:rFonts w:ascii="Arial" w:hAnsi="Arial" w:cs="Arial"/>
        </w:rPr>
        <w:t>n</w:t>
      </w:r>
      <w:r w:rsidR="007873FF" w:rsidRPr="00332B22">
        <w:rPr>
          <w:rFonts w:ascii="Arial" w:hAnsi="Arial" w:cs="Arial"/>
        </w:rPr>
        <w:t xml:space="preserve"> could alleviate their depressive symptoms and improve their daily functioning,</w:t>
      </w:r>
      <w:r w:rsidR="00E01458" w:rsidRPr="00332B22">
        <w:rPr>
          <w:rFonts w:ascii="Arial" w:hAnsi="Arial" w:cs="Arial"/>
        </w:rPr>
        <w:t xml:space="preserve"> are more likely to seek physician recommendation for psilocybin- </w:t>
      </w:r>
      <w:r w:rsidR="00163568">
        <w:rPr>
          <w:rFonts w:ascii="Arial" w:hAnsi="Arial" w:cs="Arial"/>
        </w:rPr>
        <w:t xml:space="preserve">assistance </w:t>
      </w:r>
      <w:r w:rsidR="00E01458" w:rsidRPr="00332B22">
        <w:rPr>
          <w:rFonts w:ascii="Arial" w:hAnsi="Arial" w:cs="Arial"/>
        </w:rPr>
        <w:t>therapy</w:t>
      </w:r>
      <w:r w:rsidR="00AF4E06" w:rsidRPr="00332B22">
        <w:rPr>
          <w:rFonts w:ascii="Arial" w:hAnsi="Arial" w:cs="Arial"/>
        </w:rPr>
        <w:t xml:space="preserve">. </w:t>
      </w:r>
      <w:r w:rsidR="00E01458" w:rsidRPr="00332B22">
        <w:rPr>
          <w:rFonts w:ascii="Arial" w:hAnsi="Arial" w:cs="Arial"/>
        </w:rPr>
        <w:t xml:space="preserve"> </w:t>
      </w:r>
    </w:p>
    <w:p w14:paraId="20A8BB3C" w14:textId="748054AA" w:rsidR="0025111C" w:rsidRPr="007A39A7" w:rsidRDefault="0025111C" w:rsidP="007A39A7">
      <w:pPr>
        <w:pStyle w:val="NormalWeb"/>
        <w:ind w:firstLine="720"/>
        <w:jc w:val="both"/>
        <w:rPr>
          <w:rFonts w:ascii="Arial" w:hAnsi="Arial" w:cs="Arial"/>
          <w:sz w:val="20"/>
          <w:szCs w:val="20"/>
        </w:rPr>
      </w:pPr>
      <w:r w:rsidRPr="00332B22">
        <w:rPr>
          <w:rFonts w:ascii="Arial" w:hAnsi="Arial" w:cs="Arial"/>
          <w:sz w:val="20"/>
          <w:szCs w:val="20"/>
        </w:rPr>
        <w:t xml:space="preserve">The </w:t>
      </w:r>
      <w:r w:rsidR="00645069" w:rsidRPr="00332B22">
        <w:rPr>
          <w:rFonts w:ascii="Arial" w:hAnsi="Arial" w:cs="Arial"/>
          <w:sz w:val="20"/>
          <w:szCs w:val="20"/>
        </w:rPr>
        <w:t xml:space="preserve">current </w:t>
      </w:r>
      <w:r w:rsidRPr="00332B22">
        <w:rPr>
          <w:rFonts w:ascii="Arial" w:hAnsi="Arial" w:cs="Arial"/>
          <w:sz w:val="20"/>
          <w:szCs w:val="20"/>
        </w:rPr>
        <w:t>study revealed variables that approached significance</w:t>
      </w:r>
      <w:r w:rsidRPr="0025111C">
        <w:rPr>
          <w:rFonts w:ascii="Arial" w:hAnsi="Arial" w:cs="Arial"/>
          <w:sz w:val="20"/>
          <w:szCs w:val="20"/>
        </w:rPr>
        <w:t xml:space="preserve"> including perceived barrier 1 (e.g., legality concerns) and cue to action 2 (e.g., positive testimonies),</w:t>
      </w:r>
      <w:r w:rsidR="007A39A7">
        <w:rPr>
          <w:rFonts w:ascii="Arial" w:hAnsi="Arial" w:cs="Arial"/>
          <w:sz w:val="20"/>
          <w:szCs w:val="20"/>
        </w:rPr>
        <w:t xml:space="preserve"> which revealed</w:t>
      </w:r>
      <w:r w:rsidR="004E5121">
        <w:rPr>
          <w:rFonts w:ascii="Arial" w:hAnsi="Arial" w:cs="Arial"/>
          <w:sz w:val="20"/>
          <w:szCs w:val="20"/>
        </w:rPr>
        <w:t xml:space="preserve"> </w:t>
      </w:r>
      <w:r w:rsidRPr="0025111C">
        <w:rPr>
          <w:rFonts w:ascii="Arial" w:hAnsi="Arial" w:cs="Arial"/>
          <w:sz w:val="20"/>
          <w:szCs w:val="20"/>
        </w:rPr>
        <w:t xml:space="preserve">concerns about the </w:t>
      </w:r>
      <w:r w:rsidR="00645069">
        <w:rPr>
          <w:rFonts w:ascii="Arial" w:hAnsi="Arial" w:cs="Arial"/>
          <w:sz w:val="20"/>
          <w:szCs w:val="20"/>
        </w:rPr>
        <w:t xml:space="preserve">statewide </w:t>
      </w:r>
      <w:r w:rsidRPr="0025111C">
        <w:rPr>
          <w:rFonts w:ascii="Arial" w:hAnsi="Arial" w:cs="Arial"/>
          <w:sz w:val="20"/>
          <w:szCs w:val="20"/>
        </w:rPr>
        <w:t>legal</w:t>
      </w:r>
      <w:r w:rsidR="00645069">
        <w:rPr>
          <w:rFonts w:ascii="Arial" w:hAnsi="Arial" w:cs="Arial"/>
          <w:sz w:val="20"/>
          <w:szCs w:val="20"/>
        </w:rPr>
        <w:t xml:space="preserve"> status </w:t>
      </w:r>
      <w:r w:rsidRPr="0025111C">
        <w:rPr>
          <w:rFonts w:ascii="Arial" w:hAnsi="Arial" w:cs="Arial"/>
          <w:sz w:val="20"/>
          <w:szCs w:val="20"/>
        </w:rPr>
        <w:t xml:space="preserve">and positive testimonies from former psilocybin users plays a small, but important role in shaping PATA. Perceived barriers often deter adoption of novel therapies; therefore, communication campaigns </w:t>
      </w:r>
      <w:r w:rsidR="001F7B15">
        <w:rPr>
          <w:rFonts w:ascii="Arial" w:hAnsi="Arial" w:cs="Arial"/>
          <w:sz w:val="20"/>
          <w:szCs w:val="20"/>
        </w:rPr>
        <w:t xml:space="preserve">should include </w:t>
      </w:r>
      <w:r w:rsidR="004E5121">
        <w:rPr>
          <w:rFonts w:ascii="Arial" w:hAnsi="Arial" w:cs="Arial"/>
          <w:sz w:val="20"/>
          <w:szCs w:val="20"/>
        </w:rPr>
        <w:t xml:space="preserve">patient testimonies and other </w:t>
      </w:r>
      <w:r w:rsidRPr="0025111C">
        <w:rPr>
          <w:rFonts w:ascii="Arial" w:hAnsi="Arial" w:cs="Arial"/>
          <w:sz w:val="20"/>
          <w:szCs w:val="20"/>
        </w:rPr>
        <w:t xml:space="preserve">health informatics </w:t>
      </w:r>
      <w:r w:rsidR="001F7B15">
        <w:rPr>
          <w:rFonts w:ascii="Arial" w:hAnsi="Arial" w:cs="Arial"/>
          <w:sz w:val="20"/>
          <w:szCs w:val="20"/>
        </w:rPr>
        <w:t xml:space="preserve">such as </w:t>
      </w:r>
      <w:r w:rsidRPr="0025111C">
        <w:rPr>
          <w:rFonts w:ascii="Arial" w:hAnsi="Arial" w:cs="Arial"/>
          <w:sz w:val="20"/>
          <w:szCs w:val="20"/>
        </w:rPr>
        <w:t xml:space="preserve">comparisons </w:t>
      </w:r>
      <w:r w:rsidR="001F7B15">
        <w:rPr>
          <w:rFonts w:ascii="Arial" w:hAnsi="Arial" w:cs="Arial"/>
          <w:sz w:val="20"/>
          <w:szCs w:val="20"/>
        </w:rPr>
        <w:t>of evidence-based clinical</w:t>
      </w:r>
      <w:r w:rsidRPr="0025111C">
        <w:rPr>
          <w:rFonts w:ascii="Arial" w:hAnsi="Arial" w:cs="Arial"/>
          <w:sz w:val="20"/>
          <w:szCs w:val="20"/>
        </w:rPr>
        <w:t xml:space="preserve"> outcomes with standard psychiatric treatments</w:t>
      </w:r>
      <w:r w:rsidR="001F7B15">
        <w:rPr>
          <w:rFonts w:ascii="Arial" w:hAnsi="Arial" w:cs="Arial"/>
          <w:sz w:val="20"/>
          <w:szCs w:val="20"/>
        </w:rPr>
        <w:t xml:space="preserve">. </w:t>
      </w:r>
      <w:r w:rsidRPr="0025111C">
        <w:rPr>
          <w:rFonts w:ascii="Arial" w:hAnsi="Arial" w:cs="Arial"/>
          <w:sz w:val="20"/>
          <w:szCs w:val="20"/>
        </w:rPr>
        <w:t xml:space="preserve">Other cues of action variables such as healthcare recommendations and FDA approval showed a positive but weak effect on predicting </w:t>
      </w:r>
      <w:r w:rsidR="001F7B15">
        <w:rPr>
          <w:rFonts w:ascii="Arial" w:hAnsi="Arial" w:cs="Arial"/>
          <w:sz w:val="20"/>
          <w:szCs w:val="20"/>
        </w:rPr>
        <w:t xml:space="preserve">PATA. </w:t>
      </w:r>
      <w:r w:rsidRPr="0025111C">
        <w:rPr>
          <w:rFonts w:ascii="Arial" w:hAnsi="Arial" w:cs="Arial"/>
          <w:sz w:val="20"/>
          <w:szCs w:val="20"/>
        </w:rPr>
        <w:t>This small non-significant effect is consistent with other HBM applications of the construct. For example, Catalano et al. (2024) found, when independently measured, cues to action influenced booster vaccination intentions; however, the effect size was smaller than perceived benefits</w:t>
      </w:r>
      <w:r w:rsidR="00332B22">
        <w:rPr>
          <w:rStyle w:val="EndnoteReference"/>
          <w:rFonts w:ascii="Arial" w:hAnsi="Arial" w:cs="Arial"/>
          <w:sz w:val="20"/>
          <w:szCs w:val="20"/>
        </w:rPr>
        <w:endnoteReference w:customMarkFollows="1" w:id="71"/>
        <w:t>65</w:t>
      </w:r>
      <w:r w:rsidRPr="0025111C">
        <w:rPr>
          <w:rFonts w:ascii="Arial" w:hAnsi="Arial" w:cs="Arial"/>
          <w:sz w:val="20"/>
          <w:szCs w:val="20"/>
        </w:rPr>
        <w:t>. Similarly, Shitu et al. (2022) study examined predictive power of HBM constructs on Covid-19 preventive behaviors among university students in Ethiopia</w:t>
      </w:r>
      <w:r w:rsidR="00332B22">
        <w:rPr>
          <w:rStyle w:val="EndnoteReference"/>
          <w:rFonts w:ascii="Arial" w:hAnsi="Arial" w:cs="Arial"/>
          <w:sz w:val="20"/>
          <w:szCs w:val="20"/>
        </w:rPr>
        <w:endnoteReference w:customMarkFollows="1" w:id="72"/>
        <w:t>66</w:t>
      </w:r>
      <w:r w:rsidRPr="0025111C">
        <w:rPr>
          <w:rFonts w:ascii="Arial" w:hAnsi="Arial" w:cs="Arial"/>
          <w:sz w:val="20"/>
          <w:szCs w:val="20"/>
        </w:rPr>
        <w:t xml:space="preserve">. Researchers revealed a small, non-significant effect from cues to action to behavioral adoption- suggesting that cues such as media exposure may heighten awareness, but it does not influence behavioral change without strong perceived benefits. This finding corroborates with the present study findings, where cues like </w:t>
      </w:r>
      <w:r w:rsidR="00645069" w:rsidRPr="0025111C">
        <w:rPr>
          <w:rFonts w:ascii="Arial" w:hAnsi="Arial" w:cs="Arial"/>
          <w:sz w:val="20"/>
          <w:szCs w:val="20"/>
        </w:rPr>
        <w:t xml:space="preserve">healthcare recommendations and FDA approval </w:t>
      </w:r>
      <w:r w:rsidRPr="0025111C">
        <w:rPr>
          <w:rFonts w:ascii="Arial" w:hAnsi="Arial" w:cs="Arial"/>
          <w:sz w:val="20"/>
          <w:szCs w:val="20"/>
        </w:rPr>
        <w:t>may appear to influence the direction of acceptance, but lacked sufficient strength to</w:t>
      </w:r>
      <w:r w:rsidR="00645069">
        <w:rPr>
          <w:rFonts w:ascii="Arial" w:hAnsi="Arial" w:cs="Arial"/>
          <w:sz w:val="20"/>
          <w:szCs w:val="20"/>
        </w:rPr>
        <w:t xml:space="preserve"> </w:t>
      </w:r>
      <w:r w:rsidR="005346E7">
        <w:rPr>
          <w:rFonts w:ascii="Arial" w:hAnsi="Arial" w:cs="Arial"/>
          <w:sz w:val="20"/>
          <w:szCs w:val="20"/>
        </w:rPr>
        <w:t>predict</w:t>
      </w:r>
      <w:r w:rsidRPr="0025111C">
        <w:rPr>
          <w:rFonts w:ascii="Arial" w:hAnsi="Arial" w:cs="Arial"/>
          <w:sz w:val="20"/>
          <w:szCs w:val="20"/>
        </w:rPr>
        <w:t xml:space="preserve"> </w:t>
      </w:r>
      <w:r w:rsidR="00645069">
        <w:rPr>
          <w:rFonts w:ascii="Arial" w:hAnsi="Arial" w:cs="Arial"/>
          <w:sz w:val="20"/>
          <w:szCs w:val="20"/>
        </w:rPr>
        <w:t>PATA</w:t>
      </w:r>
      <w:r w:rsidR="005346E7">
        <w:rPr>
          <w:rFonts w:ascii="Arial" w:hAnsi="Arial" w:cs="Arial"/>
          <w:sz w:val="20"/>
          <w:szCs w:val="20"/>
        </w:rPr>
        <w:t xml:space="preserve">. </w:t>
      </w:r>
      <w:r w:rsidRPr="0025111C">
        <w:rPr>
          <w:rFonts w:ascii="Arial" w:hAnsi="Arial" w:cs="Arial"/>
          <w:sz w:val="20"/>
          <w:szCs w:val="20"/>
        </w:rPr>
        <w:t xml:space="preserve">Together, these findings suggest that even though cues to action in the present study model did not reach statistical significance, the directional effect may validate its theoretical relevance as facilitators of </w:t>
      </w:r>
      <w:r w:rsidR="005346E7">
        <w:rPr>
          <w:rFonts w:ascii="Arial" w:hAnsi="Arial" w:cs="Arial"/>
          <w:sz w:val="20"/>
          <w:szCs w:val="20"/>
        </w:rPr>
        <w:t>PATA</w:t>
      </w:r>
      <w:r w:rsidR="00645069">
        <w:rPr>
          <w:rFonts w:ascii="Arial" w:hAnsi="Arial" w:cs="Arial"/>
          <w:sz w:val="20"/>
          <w:szCs w:val="20"/>
        </w:rPr>
        <w:t xml:space="preserve">. </w:t>
      </w:r>
      <w:r w:rsidRPr="0025111C">
        <w:rPr>
          <w:rFonts w:ascii="Arial" w:hAnsi="Arial" w:cs="Arial"/>
          <w:sz w:val="20"/>
          <w:szCs w:val="20"/>
        </w:rPr>
        <w:t xml:space="preserve">Because cues to action serve as motivators, mental health interventions should incorporate peer-support, healthcare recommendations, and patient narratives to </w:t>
      </w:r>
      <w:r w:rsidR="007A39A7" w:rsidRPr="0025111C">
        <w:rPr>
          <w:rFonts w:ascii="Arial" w:hAnsi="Arial" w:cs="Arial"/>
          <w:sz w:val="20"/>
          <w:szCs w:val="20"/>
        </w:rPr>
        <w:t xml:space="preserve">normalize psilocybin within CAM </w:t>
      </w:r>
      <w:r w:rsidR="007A39A7">
        <w:rPr>
          <w:rFonts w:ascii="Arial" w:hAnsi="Arial" w:cs="Arial"/>
          <w:sz w:val="20"/>
          <w:szCs w:val="20"/>
        </w:rPr>
        <w:t xml:space="preserve">research </w:t>
      </w:r>
      <w:r w:rsidR="007A39A7" w:rsidRPr="0025111C">
        <w:rPr>
          <w:rFonts w:ascii="Arial" w:hAnsi="Arial" w:cs="Arial"/>
          <w:sz w:val="20"/>
          <w:szCs w:val="20"/>
        </w:rPr>
        <w:t xml:space="preserve">framework </w:t>
      </w:r>
      <w:r w:rsidR="007A39A7">
        <w:rPr>
          <w:rFonts w:ascii="Arial" w:hAnsi="Arial" w:cs="Arial"/>
          <w:sz w:val="20"/>
          <w:szCs w:val="20"/>
        </w:rPr>
        <w:t xml:space="preserve">and </w:t>
      </w:r>
      <w:r w:rsidRPr="0025111C">
        <w:rPr>
          <w:rFonts w:ascii="Arial" w:hAnsi="Arial" w:cs="Arial"/>
          <w:sz w:val="20"/>
          <w:szCs w:val="20"/>
        </w:rPr>
        <w:t xml:space="preserve">reduce stigma and increase social legitimacy. </w:t>
      </w:r>
    </w:p>
    <w:p w14:paraId="0423AB97" w14:textId="5AB81F34" w:rsidR="0025111C" w:rsidRPr="0025111C" w:rsidRDefault="0025111C" w:rsidP="0025111C">
      <w:pPr>
        <w:ind w:firstLine="720"/>
        <w:jc w:val="both"/>
        <w:rPr>
          <w:rFonts w:ascii="Arial" w:hAnsi="Arial" w:cs="Arial"/>
        </w:rPr>
      </w:pPr>
      <w:r w:rsidRPr="0025111C">
        <w:rPr>
          <w:rFonts w:ascii="Arial" w:hAnsi="Arial" w:cs="Arial"/>
        </w:rPr>
        <w:t xml:space="preserve">Surprisingly, perceived severity demonstrated a weak, non-significant effect suggesting that even though participants recognized </w:t>
      </w:r>
      <w:r w:rsidR="00831DF6">
        <w:rPr>
          <w:rFonts w:ascii="Arial" w:hAnsi="Arial" w:cs="Arial"/>
        </w:rPr>
        <w:t>severe depression</w:t>
      </w:r>
      <w:r w:rsidRPr="0025111C">
        <w:rPr>
          <w:rFonts w:ascii="Arial" w:hAnsi="Arial" w:cs="Arial"/>
        </w:rPr>
        <w:t xml:space="preserve"> is a serious condition, it was a weak predictor of PATA. This finding is further </w:t>
      </w:r>
      <w:r w:rsidRPr="0025111C">
        <w:rPr>
          <w:rFonts w:ascii="Arial" w:hAnsi="Arial" w:cs="Arial"/>
        </w:rPr>
        <w:lastRenderedPageBreak/>
        <w:t>supported by Tang et al. (2023) study revealed perceived severity increased individuals’ sense of threat but lacked strong predictive power to comparted to other HBM constructs</w:t>
      </w:r>
      <w:r w:rsidR="00332B22">
        <w:rPr>
          <w:rStyle w:val="EndnoteReference"/>
          <w:rFonts w:ascii="Arial" w:hAnsi="Arial" w:cs="Arial"/>
        </w:rPr>
        <w:endnoteReference w:customMarkFollows="1" w:id="73"/>
        <w:t>67</w:t>
      </w:r>
      <w:r w:rsidRPr="0025111C">
        <w:rPr>
          <w:rFonts w:ascii="Arial" w:hAnsi="Arial" w:cs="Arial"/>
        </w:rPr>
        <w:t xml:space="preserve">. This was an unexpected outcome from the present study because people who holds strong beliefs about their symptoms possibly worsening are more likely to adopt the recommended interventions to avoid </w:t>
      </w:r>
      <w:r w:rsidR="00831DF6">
        <w:rPr>
          <w:rFonts w:ascii="Arial" w:hAnsi="Arial" w:cs="Arial"/>
        </w:rPr>
        <w:t>adverse</w:t>
      </w:r>
      <w:r w:rsidRPr="0025111C">
        <w:rPr>
          <w:rFonts w:ascii="Arial" w:hAnsi="Arial" w:cs="Arial"/>
        </w:rPr>
        <w:t xml:space="preserve"> health threats. However, researchers have reported countering findings where perceived severity only influence medication compliance when paired with perceived benefits and low barriers</w:t>
      </w:r>
      <w:r w:rsidR="007B3E74">
        <w:rPr>
          <w:rStyle w:val="EndnoteReference"/>
          <w:rFonts w:ascii="Arial" w:hAnsi="Arial" w:cs="Arial"/>
        </w:rPr>
        <w:endnoteReference w:customMarkFollows="1" w:id="74"/>
        <w:t xml:space="preserve">62 </w:t>
      </w:r>
      <w:r w:rsidRPr="0025111C">
        <w:rPr>
          <w:rFonts w:ascii="Arial" w:hAnsi="Arial" w:cs="Arial"/>
        </w:rPr>
        <w:t xml:space="preserve">(Subedi et al., 2023). This signifies that young adults may acknowledge the seriousness of MDD related symptoms but remain hesitant to use psilocybin due to stigma, uncertainty about side effects or legal concerns. </w:t>
      </w:r>
    </w:p>
    <w:p w14:paraId="677A7B92" w14:textId="77777777" w:rsidR="0025111C" w:rsidRPr="0025111C" w:rsidRDefault="0025111C" w:rsidP="0025111C">
      <w:pPr>
        <w:pStyle w:val="Heading3"/>
        <w:jc w:val="both"/>
        <w:rPr>
          <w:rFonts w:ascii="Arial" w:hAnsi="Arial" w:cs="Arial"/>
          <w:sz w:val="20"/>
          <w:szCs w:val="20"/>
        </w:rPr>
      </w:pPr>
      <w:r w:rsidRPr="0025111C">
        <w:rPr>
          <w:rFonts w:ascii="Arial" w:hAnsi="Arial" w:cs="Arial"/>
          <w:sz w:val="20"/>
          <w:szCs w:val="20"/>
        </w:rPr>
        <w:t xml:space="preserve"> </w:t>
      </w:r>
    </w:p>
    <w:p w14:paraId="60E38753" w14:textId="77777777" w:rsidR="0025111C" w:rsidRPr="0025111C" w:rsidRDefault="0025111C" w:rsidP="0025111C">
      <w:pPr>
        <w:pStyle w:val="Heading3"/>
        <w:jc w:val="both"/>
        <w:rPr>
          <w:rFonts w:ascii="Arial" w:hAnsi="Arial" w:cs="Arial"/>
          <w:b/>
          <w:bCs/>
          <w:color w:val="000000" w:themeColor="text1"/>
          <w:sz w:val="20"/>
          <w:szCs w:val="20"/>
        </w:rPr>
      </w:pPr>
      <w:r w:rsidRPr="0025111C">
        <w:rPr>
          <w:rFonts w:ascii="Arial" w:hAnsi="Arial" w:cs="Arial"/>
          <w:b/>
          <w:bCs/>
          <w:color w:val="000000" w:themeColor="text1"/>
          <w:sz w:val="20"/>
          <w:szCs w:val="20"/>
        </w:rPr>
        <w:t xml:space="preserve">4.1. Limitations and Recommendations for Future Research </w:t>
      </w:r>
    </w:p>
    <w:p w14:paraId="13CB5B97" w14:textId="7BECFD3F" w:rsidR="0025111C" w:rsidRPr="0025111C" w:rsidRDefault="0025111C" w:rsidP="0025111C">
      <w:pPr>
        <w:pStyle w:val="NormalWeb"/>
        <w:ind w:firstLine="720"/>
        <w:jc w:val="both"/>
        <w:rPr>
          <w:rFonts w:ascii="Arial" w:hAnsi="Arial" w:cs="Arial"/>
          <w:sz w:val="20"/>
          <w:szCs w:val="20"/>
        </w:rPr>
      </w:pPr>
      <w:r w:rsidRPr="0025111C">
        <w:rPr>
          <w:rFonts w:ascii="Arial" w:hAnsi="Arial" w:cs="Arial"/>
          <w:sz w:val="20"/>
          <w:szCs w:val="20"/>
        </w:rPr>
        <w:t>To our knowledge, the present study provides the first preliminary quantitative exploration of psilocybin-assisted therapy acceptance in young adults with self-reported diagnosis of major depressive disorder using the health belief model framework. Despite the meaningful insights from the findings, several weaknesses warrant consideration. First, the sample size was small and demographically narrow, primarily consisting of young, Black/African American females, which limited generalizability</w:t>
      </w:r>
      <w:r w:rsidR="001953DB">
        <w:rPr>
          <w:rFonts w:ascii="Arial" w:hAnsi="Arial" w:cs="Arial"/>
          <w:sz w:val="20"/>
          <w:szCs w:val="20"/>
        </w:rPr>
        <w:t xml:space="preserve">. However, the homogeneity within </w:t>
      </w:r>
      <w:r w:rsidRPr="0025111C">
        <w:rPr>
          <w:rFonts w:ascii="Arial" w:hAnsi="Arial" w:cs="Arial"/>
          <w:sz w:val="20"/>
          <w:szCs w:val="20"/>
        </w:rPr>
        <w:t>th</w:t>
      </w:r>
      <w:r w:rsidR="001953DB">
        <w:rPr>
          <w:rFonts w:ascii="Arial" w:hAnsi="Arial" w:cs="Arial"/>
          <w:sz w:val="20"/>
          <w:szCs w:val="20"/>
        </w:rPr>
        <w:t xml:space="preserve">e </w:t>
      </w:r>
      <w:r w:rsidRPr="0025111C">
        <w:rPr>
          <w:rFonts w:ascii="Arial" w:hAnsi="Arial" w:cs="Arial"/>
          <w:sz w:val="20"/>
          <w:szCs w:val="20"/>
        </w:rPr>
        <w:t>population represented a strength of the present study. As research has shown, African American/Black women are disproportionately affected by mental health disparities and often underrepresented in psychedelic research</w:t>
      </w:r>
      <w:r w:rsidR="007B3E74">
        <w:rPr>
          <w:rStyle w:val="EndnoteReference"/>
          <w:rFonts w:ascii="Arial" w:hAnsi="Arial" w:cs="Arial"/>
          <w:sz w:val="20"/>
          <w:szCs w:val="20"/>
        </w:rPr>
        <w:endnoteReference w:customMarkFollows="1" w:id="75"/>
        <w:t>68</w:t>
      </w:r>
      <w:r w:rsidR="001953DB">
        <w:rPr>
          <w:rFonts w:ascii="Arial" w:hAnsi="Arial" w:cs="Arial"/>
          <w:sz w:val="20"/>
          <w:szCs w:val="20"/>
        </w:rPr>
        <w:t xml:space="preserve"> </w:t>
      </w:r>
      <w:r w:rsidR="001953DB" w:rsidRPr="0025111C">
        <w:rPr>
          <w:rFonts w:ascii="Arial" w:hAnsi="Arial" w:cs="Arial"/>
          <w:sz w:val="20"/>
          <w:szCs w:val="20"/>
        </w:rPr>
        <w:t>(Williams et al., 2014)</w:t>
      </w:r>
      <w:r w:rsidR="001953DB">
        <w:rPr>
          <w:rFonts w:ascii="Arial" w:hAnsi="Arial" w:cs="Arial"/>
          <w:sz w:val="20"/>
          <w:szCs w:val="20"/>
        </w:rPr>
        <w:t xml:space="preserve">. </w:t>
      </w:r>
      <w:r w:rsidRPr="0025111C">
        <w:rPr>
          <w:rFonts w:ascii="Arial" w:hAnsi="Arial" w:cs="Arial"/>
          <w:sz w:val="20"/>
          <w:szCs w:val="20"/>
        </w:rPr>
        <w:t>Secondly, the cross-sectional design restricted the ability to infer causality. Several predictors such as general knowledge and perceived severity were not statistically significant, which may reflect sample variability</w:t>
      </w:r>
      <w:r w:rsidR="004A3811">
        <w:rPr>
          <w:rFonts w:ascii="Arial" w:hAnsi="Arial" w:cs="Arial"/>
          <w:sz w:val="20"/>
          <w:szCs w:val="20"/>
        </w:rPr>
        <w:t xml:space="preserve"> due to the small sample size. </w:t>
      </w:r>
      <w:r w:rsidRPr="0025111C">
        <w:rPr>
          <w:rFonts w:ascii="Arial" w:hAnsi="Arial" w:cs="Arial"/>
          <w:sz w:val="20"/>
          <w:szCs w:val="20"/>
        </w:rPr>
        <w:t xml:space="preserve">Thirdly, the reliance on self-reported data may have introduce recall inaccuracies. Even though the questionnaire items were developed following a review of relevant studies of health belief model and medication acceptance, validated scales specifically designed for psilocybin research may have improved reliability in the </w:t>
      </w:r>
      <w:r w:rsidR="00ED0466">
        <w:rPr>
          <w:rFonts w:ascii="Arial" w:hAnsi="Arial" w:cs="Arial"/>
          <w:sz w:val="20"/>
          <w:szCs w:val="20"/>
        </w:rPr>
        <w:t xml:space="preserve">study </w:t>
      </w:r>
      <w:r w:rsidRPr="0025111C">
        <w:rPr>
          <w:rFonts w:ascii="Arial" w:hAnsi="Arial" w:cs="Arial"/>
          <w:sz w:val="20"/>
          <w:szCs w:val="20"/>
        </w:rPr>
        <w:t xml:space="preserve">results. Future research should recruit larger and diverse sample to enhance generalizability in results and consider a longitudinal study design to determine whether changes in the HBM constructs could lead to acceptance over time, or whether acceptance itself influence individual perceptions. </w:t>
      </w:r>
    </w:p>
    <w:p w14:paraId="7B855A90" w14:textId="77777777" w:rsidR="0025111C" w:rsidRPr="0025111C" w:rsidRDefault="0025111C" w:rsidP="0025111C">
      <w:pPr>
        <w:pStyle w:val="ConcHead"/>
        <w:spacing w:after="0"/>
        <w:jc w:val="both"/>
        <w:rPr>
          <w:rFonts w:ascii="Arial" w:hAnsi="Arial" w:cs="Arial"/>
        </w:rPr>
      </w:pPr>
      <w:r w:rsidRPr="0025111C">
        <w:rPr>
          <w:rFonts w:ascii="Arial" w:hAnsi="Arial" w:cs="Arial"/>
        </w:rPr>
        <w:t>5.Conclusion</w:t>
      </w:r>
    </w:p>
    <w:p w14:paraId="45F034AF" w14:textId="77777777" w:rsidR="0025111C" w:rsidRPr="0025111C" w:rsidRDefault="0025111C" w:rsidP="0025111C">
      <w:pPr>
        <w:pStyle w:val="ConcHead"/>
        <w:spacing w:after="0"/>
        <w:jc w:val="both"/>
        <w:rPr>
          <w:rFonts w:ascii="Arial" w:hAnsi="Arial" w:cs="Arial"/>
        </w:rPr>
      </w:pPr>
    </w:p>
    <w:p w14:paraId="1216378F" w14:textId="59D83F60" w:rsidR="007D3372" w:rsidRPr="004969E2" w:rsidRDefault="0025111C" w:rsidP="000D24F0">
      <w:pPr>
        <w:ind w:firstLine="720"/>
        <w:rPr>
          <w:rFonts w:ascii="Arial" w:hAnsi="Arial" w:cs="Arial"/>
          <w:color w:val="000000" w:themeColor="text1"/>
        </w:rPr>
      </w:pPr>
      <w:r w:rsidRPr="004969E2">
        <w:rPr>
          <w:rFonts w:ascii="Arial" w:hAnsi="Arial" w:cs="Arial"/>
          <w:color w:val="000000" w:themeColor="text1"/>
        </w:rPr>
        <w:t xml:space="preserve">The purpose of this study was to explore behavioral determinants of individuals’ decision to use psilocybin- assisted therapy to improve severe depressive symptoms. To meet this goal, a research framework was developed based on </w:t>
      </w:r>
      <w:r w:rsidR="004B2FA5" w:rsidRPr="004969E2">
        <w:rPr>
          <w:rFonts w:ascii="Arial" w:hAnsi="Arial" w:cs="Arial"/>
          <w:color w:val="000000" w:themeColor="text1"/>
        </w:rPr>
        <w:t xml:space="preserve">Health Belief Model </w:t>
      </w:r>
      <w:r w:rsidRPr="004969E2">
        <w:rPr>
          <w:rFonts w:ascii="Arial" w:hAnsi="Arial" w:cs="Arial"/>
          <w:color w:val="000000" w:themeColor="text1"/>
        </w:rPr>
        <w:t>among 33 individuals with major depressive disorder. By using co-efficient and hierarchical regression analysis</w:t>
      </w:r>
      <w:r w:rsidR="001D3964" w:rsidRPr="004969E2">
        <w:rPr>
          <w:rFonts w:ascii="Arial" w:hAnsi="Arial" w:cs="Arial"/>
          <w:color w:val="000000" w:themeColor="text1"/>
        </w:rPr>
        <w:t>,</w:t>
      </w:r>
      <w:r w:rsidRPr="004969E2">
        <w:rPr>
          <w:rFonts w:ascii="Arial" w:hAnsi="Arial" w:cs="Arial"/>
          <w:color w:val="000000" w:themeColor="text1"/>
        </w:rPr>
        <w:t xml:space="preserve"> the present study demonstrated </w:t>
      </w:r>
      <w:r w:rsidR="00F6619E" w:rsidRPr="004969E2">
        <w:rPr>
          <w:rFonts w:ascii="Arial" w:hAnsi="Arial" w:cs="Arial"/>
          <w:color w:val="000000" w:themeColor="text1"/>
        </w:rPr>
        <w:t xml:space="preserve">the utility of the Health Belief Model, as </w:t>
      </w:r>
      <w:r w:rsidRPr="004969E2">
        <w:rPr>
          <w:rFonts w:ascii="Arial" w:hAnsi="Arial" w:cs="Arial"/>
          <w:color w:val="000000" w:themeColor="text1"/>
        </w:rPr>
        <w:t xml:space="preserve">perceived benefit </w:t>
      </w:r>
      <w:r w:rsidR="00F6619E" w:rsidRPr="004969E2">
        <w:rPr>
          <w:rFonts w:ascii="Arial" w:hAnsi="Arial" w:cs="Arial"/>
          <w:color w:val="000000" w:themeColor="text1"/>
        </w:rPr>
        <w:t>emerged as the</w:t>
      </w:r>
      <w:r w:rsidRPr="004969E2">
        <w:rPr>
          <w:rFonts w:ascii="Arial" w:hAnsi="Arial" w:cs="Arial"/>
          <w:color w:val="000000" w:themeColor="text1"/>
        </w:rPr>
        <w:t xml:space="preserve"> strongest antecedent of psilocybin- assisted therapy acceptance</w:t>
      </w:r>
      <w:r w:rsidR="00F6619E" w:rsidRPr="004969E2">
        <w:rPr>
          <w:rFonts w:ascii="Arial" w:hAnsi="Arial" w:cs="Arial"/>
          <w:color w:val="000000" w:themeColor="text1"/>
        </w:rPr>
        <w:t xml:space="preserve">- suggesting that acceptance or adoption can be increased through targeted interventions. It is important </w:t>
      </w:r>
      <w:r w:rsidR="00405CB6" w:rsidRPr="004969E2">
        <w:rPr>
          <w:rFonts w:ascii="Arial" w:hAnsi="Arial" w:cs="Arial"/>
          <w:color w:val="000000" w:themeColor="text1"/>
        </w:rPr>
        <w:t>that</w:t>
      </w:r>
      <w:r w:rsidR="003560F0" w:rsidRPr="004969E2">
        <w:rPr>
          <w:rFonts w:ascii="Arial" w:hAnsi="Arial" w:cs="Arial"/>
          <w:color w:val="000000" w:themeColor="text1"/>
        </w:rPr>
        <w:t xml:space="preserve"> health care providers</w:t>
      </w:r>
      <w:r w:rsidR="000D24F0" w:rsidRPr="004969E2">
        <w:rPr>
          <w:rFonts w:ascii="Arial" w:hAnsi="Arial" w:cs="Arial"/>
          <w:color w:val="000000" w:themeColor="text1"/>
        </w:rPr>
        <w:t xml:space="preserve">, </w:t>
      </w:r>
      <w:r w:rsidR="003560F0" w:rsidRPr="004969E2">
        <w:rPr>
          <w:rFonts w:ascii="Arial" w:hAnsi="Arial" w:cs="Arial"/>
          <w:color w:val="000000" w:themeColor="text1"/>
        </w:rPr>
        <w:t>policymakers</w:t>
      </w:r>
      <w:r w:rsidR="000D24F0" w:rsidRPr="004969E2">
        <w:rPr>
          <w:rFonts w:ascii="Arial" w:hAnsi="Arial" w:cs="Arial"/>
          <w:color w:val="000000" w:themeColor="text1"/>
        </w:rPr>
        <w:t>, and public health practitioners</w:t>
      </w:r>
      <w:r w:rsidR="003560F0" w:rsidRPr="004969E2">
        <w:rPr>
          <w:rFonts w:ascii="Arial" w:hAnsi="Arial" w:cs="Arial"/>
          <w:color w:val="000000" w:themeColor="text1"/>
        </w:rPr>
        <w:t xml:space="preserve"> </w:t>
      </w:r>
      <w:r w:rsidR="00405CB6" w:rsidRPr="004969E2">
        <w:rPr>
          <w:rFonts w:ascii="Arial" w:hAnsi="Arial" w:cs="Arial"/>
          <w:color w:val="000000" w:themeColor="text1"/>
        </w:rPr>
        <w:t>are aware about</w:t>
      </w:r>
      <w:r w:rsidR="003560F0" w:rsidRPr="004969E2">
        <w:rPr>
          <w:rFonts w:ascii="Arial" w:hAnsi="Arial" w:cs="Arial"/>
          <w:color w:val="000000" w:themeColor="text1"/>
        </w:rPr>
        <w:t xml:space="preserve"> factors influencing psilocybin use </w:t>
      </w:r>
      <w:r w:rsidR="00405CB6" w:rsidRPr="004969E2">
        <w:rPr>
          <w:rFonts w:ascii="Arial" w:hAnsi="Arial" w:cs="Arial"/>
          <w:color w:val="000000" w:themeColor="text1"/>
        </w:rPr>
        <w:t>among individuals</w:t>
      </w:r>
      <w:r w:rsidR="003560F0" w:rsidRPr="004969E2">
        <w:rPr>
          <w:rFonts w:ascii="Arial" w:hAnsi="Arial" w:cs="Arial"/>
          <w:color w:val="000000" w:themeColor="text1"/>
        </w:rPr>
        <w:t xml:space="preserve"> with major depressive disorder</w:t>
      </w:r>
      <w:r w:rsidR="006A0030" w:rsidRPr="004969E2">
        <w:rPr>
          <w:rFonts w:ascii="Arial" w:hAnsi="Arial" w:cs="Arial"/>
          <w:color w:val="000000" w:themeColor="text1"/>
        </w:rPr>
        <w:t xml:space="preserve">, especially when tailoring interventions that fall outside of conventional medical treatments. </w:t>
      </w:r>
    </w:p>
    <w:p w14:paraId="29F9CCE8" w14:textId="77777777" w:rsidR="000D24F0" w:rsidRPr="004969E2" w:rsidRDefault="000D24F0" w:rsidP="000D24F0">
      <w:pPr>
        <w:ind w:firstLine="720"/>
        <w:rPr>
          <w:rFonts w:ascii="Arial" w:hAnsi="Arial" w:cs="Arial"/>
          <w:color w:val="000000" w:themeColor="text1"/>
        </w:rPr>
      </w:pPr>
    </w:p>
    <w:p w14:paraId="0AD89009" w14:textId="4FEC1D9E" w:rsidR="000D24F0" w:rsidRPr="004969E2" w:rsidRDefault="000D24F0" w:rsidP="000D24F0">
      <w:pPr>
        <w:ind w:firstLine="720"/>
        <w:rPr>
          <w:rFonts w:ascii="Arial" w:hAnsi="Arial" w:cs="Arial"/>
          <w:color w:val="000000" w:themeColor="text1"/>
        </w:rPr>
      </w:pPr>
      <w:r w:rsidRPr="004969E2">
        <w:rPr>
          <w:rFonts w:ascii="Arial" w:hAnsi="Arial" w:cs="Arial"/>
          <w:color w:val="000000" w:themeColor="text1"/>
        </w:rPr>
        <w:t xml:space="preserve">Psilocybin, a transformative novel modality represents a paradigm movement with great potential to redefine mental health care. </w:t>
      </w:r>
      <w:r w:rsidR="00405CB6" w:rsidRPr="004969E2">
        <w:rPr>
          <w:rFonts w:ascii="Arial" w:hAnsi="Arial" w:cs="Arial"/>
          <w:color w:val="000000" w:themeColor="text1"/>
        </w:rPr>
        <w:t xml:space="preserve">The data collected demonstrated evidence that indicates promising therapeutic benefits of psilocybin for </w:t>
      </w:r>
      <w:r w:rsidRPr="004969E2">
        <w:rPr>
          <w:rFonts w:ascii="Arial" w:hAnsi="Arial" w:cs="Arial"/>
          <w:color w:val="000000" w:themeColor="text1"/>
        </w:rPr>
        <w:t>severe depression</w:t>
      </w:r>
      <w:r w:rsidR="00405CB6" w:rsidRPr="004969E2">
        <w:rPr>
          <w:rFonts w:ascii="Arial" w:hAnsi="Arial" w:cs="Arial"/>
          <w:color w:val="000000" w:themeColor="text1"/>
        </w:rPr>
        <w:t xml:space="preserve">. It also underscores further studies </w:t>
      </w:r>
      <w:r w:rsidRPr="004969E2">
        <w:rPr>
          <w:rFonts w:ascii="Arial" w:hAnsi="Arial" w:cs="Arial"/>
          <w:color w:val="000000" w:themeColor="text1"/>
        </w:rPr>
        <w:t xml:space="preserve">to fully understand psilocybin long-term effects, dosing, route of administration, and safety in diverse populations. The study makes an important contribution to a growing </w:t>
      </w:r>
      <w:r w:rsidR="004969E2" w:rsidRPr="004969E2">
        <w:rPr>
          <w:rFonts w:ascii="Arial" w:hAnsi="Arial" w:cs="Arial"/>
          <w:color w:val="000000" w:themeColor="text1"/>
        </w:rPr>
        <w:t xml:space="preserve">body of </w:t>
      </w:r>
      <w:r w:rsidRPr="004969E2">
        <w:rPr>
          <w:rFonts w:ascii="Arial" w:hAnsi="Arial" w:cs="Arial"/>
          <w:color w:val="000000" w:themeColor="text1"/>
        </w:rPr>
        <w:t xml:space="preserve">literature </w:t>
      </w:r>
      <w:r w:rsidR="004969E2" w:rsidRPr="004969E2">
        <w:rPr>
          <w:rFonts w:ascii="Arial" w:hAnsi="Arial" w:cs="Arial"/>
          <w:color w:val="000000" w:themeColor="text1"/>
        </w:rPr>
        <w:t xml:space="preserve">on </w:t>
      </w:r>
      <w:r w:rsidRPr="004969E2">
        <w:rPr>
          <w:rFonts w:ascii="Arial" w:hAnsi="Arial" w:cs="Arial"/>
          <w:color w:val="000000" w:themeColor="text1"/>
        </w:rPr>
        <w:t>psychedelic therapy acceptance and marks a</w:t>
      </w:r>
      <w:r w:rsidR="004D5F69">
        <w:rPr>
          <w:rFonts w:ascii="Arial" w:hAnsi="Arial" w:cs="Arial"/>
          <w:color w:val="000000" w:themeColor="text1"/>
        </w:rPr>
        <w:t xml:space="preserve"> monumental</w:t>
      </w:r>
      <w:r w:rsidRPr="004969E2">
        <w:rPr>
          <w:rFonts w:ascii="Arial" w:hAnsi="Arial" w:cs="Arial"/>
          <w:color w:val="000000" w:themeColor="text1"/>
        </w:rPr>
        <w:t xml:space="preserve"> step towards revolutionizing treatment </w:t>
      </w:r>
      <w:r w:rsidR="008203AA">
        <w:rPr>
          <w:rFonts w:ascii="Arial" w:hAnsi="Arial" w:cs="Arial"/>
          <w:color w:val="000000" w:themeColor="text1"/>
        </w:rPr>
        <w:t>for</w:t>
      </w:r>
      <w:r w:rsidRPr="004969E2">
        <w:rPr>
          <w:rFonts w:ascii="Arial" w:hAnsi="Arial" w:cs="Arial"/>
          <w:color w:val="000000" w:themeColor="text1"/>
        </w:rPr>
        <w:t xml:space="preserve"> major depressive disorder, particularly in individuals where traditional </w:t>
      </w:r>
      <w:r w:rsidR="004969E2" w:rsidRPr="004969E2">
        <w:rPr>
          <w:rFonts w:ascii="Arial" w:hAnsi="Arial" w:cs="Arial"/>
          <w:color w:val="000000" w:themeColor="text1"/>
        </w:rPr>
        <w:t>treatments</w:t>
      </w:r>
      <w:r w:rsidRPr="004969E2">
        <w:rPr>
          <w:rFonts w:ascii="Arial" w:hAnsi="Arial" w:cs="Arial"/>
          <w:color w:val="000000" w:themeColor="text1"/>
        </w:rPr>
        <w:t xml:space="preserve"> have been ineffective. </w:t>
      </w:r>
    </w:p>
    <w:p w14:paraId="7820D78C" w14:textId="77777777" w:rsidR="000D24F0" w:rsidRPr="004969E2" w:rsidRDefault="000D24F0" w:rsidP="000D24F0">
      <w:pPr>
        <w:ind w:firstLine="720"/>
        <w:rPr>
          <w:rFonts w:ascii="Arial" w:hAnsi="Arial" w:cs="Arial"/>
          <w:color w:val="000000" w:themeColor="text1"/>
        </w:rPr>
      </w:pPr>
    </w:p>
    <w:p w14:paraId="7B8371AD" w14:textId="77777777" w:rsidR="000D24F0" w:rsidRDefault="000D24F0" w:rsidP="000D24F0">
      <w:pPr>
        <w:ind w:firstLine="720"/>
        <w:rPr>
          <w:rFonts w:ascii="Arial" w:hAnsi="Arial" w:cs="Arial"/>
        </w:rPr>
      </w:pPr>
    </w:p>
    <w:p w14:paraId="7679E391" w14:textId="77777777" w:rsidR="000D24F0" w:rsidRDefault="000D24F0" w:rsidP="000D24F0">
      <w:pPr>
        <w:rPr>
          <w:rFonts w:ascii="Arial" w:hAnsi="Arial" w:cs="Arial"/>
        </w:rPr>
      </w:pPr>
    </w:p>
    <w:p w14:paraId="0231D89F" w14:textId="6A22C26D" w:rsidR="002C146B" w:rsidRDefault="002C146B">
      <w:pPr>
        <w:spacing w:after="160" w:line="278" w:lineRule="auto"/>
        <w:rPr>
          <w:rFonts w:ascii="Arial" w:hAnsi="Arial" w:cs="Arial"/>
        </w:rPr>
      </w:pPr>
      <w:r>
        <w:rPr>
          <w:rFonts w:ascii="Arial" w:hAnsi="Arial" w:cs="Arial"/>
        </w:rPr>
        <w:br w:type="page"/>
      </w:r>
    </w:p>
    <w:p w14:paraId="5289BFC4" w14:textId="77777777" w:rsidR="00405CB6" w:rsidRDefault="00405CB6" w:rsidP="00F6619E">
      <w:pPr>
        <w:rPr>
          <w:rFonts w:ascii="Arial" w:hAnsi="Arial" w:cs="Arial"/>
        </w:rPr>
      </w:pPr>
    </w:p>
    <w:p w14:paraId="70F7945B" w14:textId="77777777" w:rsidR="003560F0" w:rsidRDefault="003560F0" w:rsidP="0025111C">
      <w:pPr>
        <w:ind w:firstLine="720"/>
        <w:rPr>
          <w:rFonts w:ascii="Arial" w:hAnsi="Arial" w:cs="Arial"/>
        </w:rPr>
      </w:pPr>
    </w:p>
    <w:p w14:paraId="171595D0" w14:textId="77777777" w:rsidR="0025111C" w:rsidRPr="0025111C" w:rsidRDefault="0025111C" w:rsidP="0025111C">
      <w:pPr>
        <w:ind w:firstLine="720"/>
        <w:rPr>
          <w:rFonts w:ascii="Arial" w:hAnsi="Arial" w:cs="Arial"/>
        </w:rPr>
      </w:pPr>
    </w:p>
    <w:p w14:paraId="322112D9" w14:textId="77777777" w:rsidR="0025111C" w:rsidRPr="0025111C" w:rsidRDefault="0025111C" w:rsidP="0025111C">
      <w:pPr>
        <w:pStyle w:val="Body"/>
        <w:spacing w:after="0"/>
        <w:rPr>
          <w:rFonts w:ascii="Arial" w:hAnsi="Arial" w:cs="Arial"/>
        </w:rPr>
      </w:pPr>
    </w:p>
    <w:p w14:paraId="0B9E8FFF" w14:textId="77777777" w:rsidR="0025111C" w:rsidRPr="0025111C" w:rsidRDefault="0025111C" w:rsidP="0025111C">
      <w:pPr>
        <w:pStyle w:val="ReferHead"/>
        <w:spacing w:after="0"/>
        <w:jc w:val="both"/>
        <w:rPr>
          <w:rFonts w:ascii="Arial" w:hAnsi="Arial" w:cs="Arial"/>
          <w:bCs/>
        </w:rPr>
      </w:pPr>
      <w:bookmarkStart w:id="4" w:name="_GoBack"/>
      <w:bookmarkEnd w:id="4"/>
      <w:r w:rsidRPr="0025111C">
        <w:rPr>
          <w:rFonts w:ascii="Arial" w:hAnsi="Arial" w:cs="Arial"/>
          <w:bCs/>
        </w:rPr>
        <w:t>Competing interests</w:t>
      </w:r>
    </w:p>
    <w:p w14:paraId="5D06CFEC" w14:textId="77777777" w:rsidR="0025111C" w:rsidRPr="0025111C" w:rsidRDefault="0025111C" w:rsidP="0025111C">
      <w:pPr>
        <w:pStyle w:val="ReferHead"/>
        <w:spacing w:after="0"/>
        <w:jc w:val="both"/>
        <w:rPr>
          <w:rFonts w:ascii="Arial" w:hAnsi="Arial" w:cs="Arial"/>
        </w:rPr>
      </w:pPr>
    </w:p>
    <w:p w14:paraId="696389F7" w14:textId="77777777" w:rsidR="0025111C" w:rsidRPr="0025111C" w:rsidRDefault="0025111C" w:rsidP="0025111C">
      <w:pPr>
        <w:pStyle w:val="ReferHead"/>
        <w:spacing w:after="0"/>
        <w:jc w:val="both"/>
        <w:rPr>
          <w:rFonts w:ascii="Arial" w:hAnsi="Arial" w:cs="Arial"/>
          <w:b w:val="0"/>
          <w:caps w:val="0"/>
          <w:sz w:val="20"/>
        </w:rPr>
      </w:pPr>
      <w:r w:rsidRPr="0025111C">
        <w:rPr>
          <w:rFonts w:ascii="Arial" w:hAnsi="Arial" w:cs="Arial"/>
          <w:b w:val="0"/>
          <w:caps w:val="0"/>
          <w:sz w:val="20"/>
        </w:rPr>
        <w:t>Authors have declared that no competing interests exist.</w:t>
      </w:r>
    </w:p>
    <w:p w14:paraId="2AB0C4E3" w14:textId="77777777" w:rsidR="0025111C" w:rsidRPr="0025111C" w:rsidRDefault="0025111C" w:rsidP="0025111C">
      <w:pPr>
        <w:pStyle w:val="ReferHead"/>
        <w:spacing w:after="0"/>
        <w:jc w:val="both"/>
        <w:rPr>
          <w:rFonts w:ascii="Arial" w:hAnsi="Arial" w:cs="Arial"/>
          <w:b w:val="0"/>
          <w:caps w:val="0"/>
          <w:sz w:val="20"/>
        </w:rPr>
      </w:pPr>
    </w:p>
    <w:p w14:paraId="5A7E117A" w14:textId="77777777" w:rsidR="0025111C" w:rsidRPr="0025111C" w:rsidRDefault="0025111C" w:rsidP="0025111C">
      <w:pPr>
        <w:pStyle w:val="ReferHead"/>
        <w:spacing w:after="0"/>
        <w:jc w:val="both"/>
        <w:rPr>
          <w:rFonts w:ascii="Arial" w:hAnsi="Arial" w:cs="Arial"/>
          <w:b w:val="0"/>
          <w:caps w:val="0"/>
          <w:sz w:val="20"/>
        </w:rPr>
      </w:pPr>
    </w:p>
    <w:p w14:paraId="31716D6E" w14:textId="77777777" w:rsidR="0025111C" w:rsidRPr="0025111C" w:rsidRDefault="0025111C" w:rsidP="0025111C">
      <w:pPr>
        <w:pStyle w:val="ReferHead"/>
        <w:spacing w:after="0"/>
        <w:jc w:val="both"/>
        <w:rPr>
          <w:rFonts w:ascii="Arial" w:hAnsi="Arial" w:cs="Arial"/>
          <w:bCs/>
        </w:rPr>
      </w:pPr>
      <w:r w:rsidRPr="0025111C">
        <w:rPr>
          <w:rFonts w:ascii="Arial" w:hAnsi="Arial" w:cs="Arial"/>
          <w:bCs/>
        </w:rPr>
        <w:t>Consent</w:t>
      </w:r>
    </w:p>
    <w:p w14:paraId="677FF551" w14:textId="77777777" w:rsidR="0025111C" w:rsidRPr="0025111C" w:rsidRDefault="0025111C" w:rsidP="0025111C">
      <w:pPr>
        <w:pStyle w:val="ReferHead"/>
        <w:spacing w:after="0"/>
        <w:jc w:val="both"/>
        <w:rPr>
          <w:rFonts w:ascii="Arial" w:hAnsi="Arial" w:cs="Arial"/>
          <w:bCs/>
        </w:rPr>
      </w:pPr>
    </w:p>
    <w:p w14:paraId="32F314E5" w14:textId="27887DED" w:rsidR="0025111C" w:rsidRPr="0025111C" w:rsidRDefault="0025111C" w:rsidP="0025111C">
      <w:pPr>
        <w:pStyle w:val="ReferHead"/>
        <w:spacing w:after="0"/>
        <w:jc w:val="both"/>
        <w:rPr>
          <w:rFonts w:ascii="Arial" w:hAnsi="Arial" w:cs="Arial"/>
          <w:b w:val="0"/>
          <w:caps w:val="0"/>
          <w:sz w:val="20"/>
        </w:rPr>
      </w:pPr>
      <w:r w:rsidRPr="0025111C">
        <w:rPr>
          <w:rFonts w:ascii="Arial" w:hAnsi="Arial" w:cs="Arial"/>
          <w:b w:val="0"/>
          <w:caps w:val="0"/>
          <w:sz w:val="20"/>
        </w:rPr>
        <w:t xml:space="preserve">All authors declare that ‘written informed consent was obtained from the participants (or other approved parties) for publication of this </w:t>
      </w:r>
      <w:r w:rsidR="009E19E9">
        <w:rPr>
          <w:rFonts w:ascii="Arial" w:hAnsi="Arial" w:cs="Arial"/>
          <w:b w:val="0"/>
          <w:caps w:val="0"/>
          <w:sz w:val="20"/>
        </w:rPr>
        <w:t>study</w:t>
      </w:r>
      <w:r w:rsidRPr="0025111C">
        <w:rPr>
          <w:rFonts w:ascii="Arial" w:hAnsi="Arial" w:cs="Arial"/>
          <w:b w:val="0"/>
          <w:caps w:val="0"/>
          <w:sz w:val="20"/>
        </w:rPr>
        <w:t xml:space="preserve"> and accompanying images. A copy of the written consent is available for review by the Editorial office/Chief Editor/Editorial Board members of this journal.</w:t>
      </w:r>
    </w:p>
    <w:p w14:paraId="32756152" w14:textId="77777777" w:rsidR="0025111C" w:rsidRPr="0025111C" w:rsidRDefault="0025111C" w:rsidP="0025111C">
      <w:pPr>
        <w:pStyle w:val="ReferHead"/>
        <w:spacing w:after="0"/>
        <w:jc w:val="both"/>
        <w:rPr>
          <w:rFonts w:ascii="Arial" w:hAnsi="Arial" w:cs="Arial"/>
          <w:b w:val="0"/>
          <w:caps w:val="0"/>
          <w:sz w:val="20"/>
        </w:rPr>
      </w:pPr>
    </w:p>
    <w:p w14:paraId="5C234F3E" w14:textId="77777777" w:rsidR="0025111C" w:rsidRPr="0025111C" w:rsidRDefault="0025111C" w:rsidP="0025111C">
      <w:pPr>
        <w:pStyle w:val="ReferHead"/>
        <w:spacing w:after="0"/>
        <w:jc w:val="both"/>
        <w:rPr>
          <w:rFonts w:ascii="Arial" w:hAnsi="Arial" w:cs="Arial"/>
          <w:b w:val="0"/>
          <w:caps w:val="0"/>
          <w:sz w:val="20"/>
        </w:rPr>
      </w:pPr>
    </w:p>
    <w:p w14:paraId="51A3F02A" w14:textId="77777777" w:rsidR="0025111C" w:rsidRPr="0025111C" w:rsidRDefault="0025111C" w:rsidP="0025111C">
      <w:pPr>
        <w:pStyle w:val="ReferHead"/>
        <w:spacing w:after="0"/>
        <w:jc w:val="both"/>
        <w:rPr>
          <w:rFonts w:ascii="Arial" w:hAnsi="Arial" w:cs="Arial"/>
          <w:bCs/>
        </w:rPr>
      </w:pPr>
      <w:r w:rsidRPr="0025111C">
        <w:rPr>
          <w:rFonts w:ascii="Arial" w:hAnsi="Arial" w:cs="Arial"/>
          <w:bCs/>
        </w:rPr>
        <w:t>Ethical approval</w:t>
      </w:r>
    </w:p>
    <w:p w14:paraId="194151A7" w14:textId="77777777" w:rsidR="0025111C" w:rsidRPr="0025111C" w:rsidRDefault="0025111C" w:rsidP="0025111C">
      <w:pPr>
        <w:pStyle w:val="ReferHead"/>
        <w:spacing w:after="0"/>
        <w:jc w:val="both"/>
        <w:rPr>
          <w:rFonts w:ascii="Arial" w:hAnsi="Arial" w:cs="Arial"/>
          <w:bCs/>
        </w:rPr>
      </w:pPr>
    </w:p>
    <w:p w14:paraId="29F131FE" w14:textId="77777777" w:rsidR="00076245" w:rsidRDefault="0025111C" w:rsidP="0025111C">
      <w:pPr>
        <w:rPr>
          <w:rFonts w:ascii="Arial" w:hAnsi="Arial" w:cs="Arial"/>
        </w:rPr>
      </w:pPr>
      <w:r w:rsidRPr="0025111C">
        <w:rPr>
          <w:rFonts w:ascii="Arial" w:hAnsi="Arial" w:cs="Arial"/>
        </w:rPr>
        <w:t xml:space="preserve">All authors hereby declare that all experiments have been examined and approved </w:t>
      </w:r>
      <w:r w:rsidRPr="0025111C">
        <w:rPr>
          <w:rFonts w:ascii="Arial" w:hAnsi="Arial" w:cs="Arial"/>
          <w:color w:val="000000" w:themeColor="text1"/>
        </w:rPr>
        <w:t xml:space="preserve">by </w:t>
      </w:r>
      <w:r w:rsidRPr="0025111C">
        <w:rPr>
          <w:rFonts w:ascii="Arial" w:hAnsi="Arial" w:cs="Arial"/>
        </w:rPr>
        <w:t>the </w:t>
      </w:r>
      <w:r w:rsidRPr="0025111C">
        <w:rPr>
          <w:rFonts w:ascii="Arial" w:eastAsiaTheme="majorEastAsia" w:hAnsi="Arial" w:cs="Arial"/>
        </w:rPr>
        <w:t xml:space="preserve">Institutional Review Board </w:t>
      </w:r>
      <w:r w:rsidRPr="0025111C">
        <w:rPr>
          <w:rFonts w:ascii="Arial" w:hAnsi="Arial" w:cs="Arial"/>
        </w:rPr>
        <w:t>at Florida A&amp;M University (IRB No. 2270186-1).</w:t>
      </w:r>
      <w:r w:rsidRPr="0025111C">
        <w:rPr>
          <w:rFonts w:ascii="Arial" w:hAnsi="Arial" w:cs="Arial"/>
          <w:color w:val="000000" w:themeColor="text1"/>
        </w:rPr>
        <w:t xml:space="preserve"> </w:t>
      </w:r>
      <w:r w:rsidRPr="0025111C">
        <w:rPr>
          <w:rFonts w:ascii="Arial" w:hAnsi="Arial" w:cs="Arial"/>
        </w:rPr>
        <w:t xml:space="preserve"> </w:t>
      </w:r>
    </w:p>
    <w:p w14:paraId="114641CE" w14:textId="77777777" w:rsidR="00076245" w:rsidRDefault="00076245" w:rsidP="0025111C">
      <w:pPr>
        <w:rPr>
          <w:rFonts w:ascii="Arial" w:hAnsi="Arial" w:cs="Arial"/>
        </w:rPr>
      </w:pPr>
    </w:p>
    <w:p w14:paraId="7F3E02D6" w14:textId="77777777" w:rsidR="00076245" w:rsidRPr="00076245" w:rsidRDefault="00076245" w:rsidP="00076245">
      <w:pPr>
        <w:rPr>
          <w:rFonts w:ascii="Arial" w:hAnsi="Arial" w:cs="Arial"/>
          <w:lang w:val="en-GB"/>
        </w:rPr>
      </w:pPr>
      <w:r w:rsidRPr="00076245">
        <w:rPr>
          <w:rFonts w:ascii="Arial" w:hAnsi="Arial" w:cs="Arial"/>
          <w:b/>
          <w:bCs/>
          <w:lang w:val="en-GB"/>
        </w:rPr>
        <w:t>COMPETING INTERESTS DISCLAIMER:</w:t>
      </w:r>
    </w:p>
    <w:p w14:paraId="08FFD893" w14:textId="77777777" w:rsidR="00076245" w:rsidRPr="00076245" w:rsidRDefault="00076245" w:rsidP="00076245">
      <w:pPr>
        <w:rPr>
          <w:rFonts w:ascii="Arial" w:hAnsi="Arial" w:cs="Arial"/>
          <w:lang w:val="en-GB"/>
        </w:rPr>
      </w:pPr>
      <w:r w:rsidRPr="00076245">
        <w:rPr>
          <w:rFonts w:ascii="Arial" w:hAnsi="Arial" w:cs="Arial"/>
          <w:lang w:val="en-GB"/>
        </w:rPr>
        <w:t>Authors have declared that they have no known competing financial interests OR non-financial interests OR personal relationships that could have appeared to influence the work reported in this paper.</w:t>
      </w:r>
    </w:p>
    <w:p w14:paraId="79E637B3" w14:textId="20A5BCBC" w:rsidR="0025111C" w:rsidRPr="0025111C" w:rsidRDefault="0025111C" w:rsidP="0025111C">
      <w:pPr>
        <w:rPr>
          <w:rFonts w:ascii="Arial" w:hAnsi="Arial" w:cs="Arial"/>
        </w:rPr>
      </w:pPr>
      <w:r w:rsidRPr="0025111C">
        <w:rPr>
          <w:rFonts w:ascii="Arial" w:hAnsi="Arial" w:cs="Arial"/>
        </w:rPr>
        <w:br w:type="page"/>
      </w:r>
    </w:p>
    <w:p w14:paraId="0FF3CB89" w14:textId="7302D964" w:rsidR="0025111C" w:rsidRPr="002B21D9" w:rsidRDefault="002B21D9" w:rsidP="002B21D9">
      <w:pPr>
        <w:pStyle w:val="Appendix"/>
        <w:spacing w:after="0"/>
        <w:jc w:val="center"/>
        <w:rPr>
          <w:rFonts w:ascii="Arial" w:hAnsi="Arial" w:cs="Arial"/>
          <w:bCs/>
        </w:rPr>
      </w:pPr>
      <w:r w:rsidRPr="002B21D9">
        <w:rPr>
          <w:rFonts w:ascii="Arial" w:hAnsi="Arial" w:cs="Arial"/>
          <w:bCs/>
        </w:rPr>
        <w:lastRenderedPageBreak/>
        <w:t>R</w:t>
      </w:r>
      <w:r w:rsidR="00D64254">
        <w:rPr>
          <w:rFonts w:ascii="Arial" w:hAnsi="Arial" w:cs="Arial"/>
          <w:bCs/>
        </w:rPr>
        <w:t>eferences</w:t>
      </w:r>
      <w:r w:rsidR="00DB26BC">
        <w:rPr>
          <w:rFonts w:ascii="Arial" w:hAnsi="Arial" w:cs="Arial"/>
          <w:bCs/>
        </w:rPr>
        <w:t xml:space="preserve"> </w:t>
      </w:r>
    </w:p>
    <w:p w14:paraId="4B1D8647" w14:textId="77777777" w:rsidR="00EE618E" w:rsidRPr="0025111C" w:rsidRDefault="00EE618E">
      <w:pPr>
        <w:rPr>
          <w:rFonts w:ascii="Arial" w:hAnsi="Arial" w:cs="Arial"/>
        </w:rPr>
      </w:pPr>
    </w:p>
    <w:p w14:paraId="13D45E62" w14:textId="77777777" w:rsidR="0025111C" w:rsidRPr="0025111C" w:rsidRDefault="0025111C">
      <w:pPr>
        <w:rPr>
          <w:rFonts w:ascii="Arial" w:hAnsi="Arial" w:cs="Arial"/>
        </w:rPr>
      </w:pPr>
    </w:p>
    <w:sectPr w:rsidR="0025111C" w:rsidRPr="0025111C" w:rsidSect="001F65CF">
      <w:headerReference w:type="even" r:id="rId13"/>
      <w:headerReference w:type="default" r:id="rId14"/>
      <w:footerReference w:type="default" r:id="rId15"/>
      <w:headerReference w:type="first" r:id="rId16"/>
      <w:endnotePr>
        <w:numFmt w:val="decimal"/>
      </w:endnotePr>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7A9D2" w14:textId="77777777" w:rsidR="007A2EFC" w:rsidRDefault="007A2EFC" w:rsidP="0025111C">
      <w:r>
        <w:separator/>
      </w:r>
    </w:p>
  </w:endnote>
  <w:endnote w:type="continuationSeparator" w:id="0">
    <w:p w14:paraId="409D64F1" w14:textId="77777777" w:rsidR="007A2EFC" w:rsidRDefault="007A2EFC" w:rsidP="0025111C">
      <w:r>
        <w:continuationSeparator/>
      </w:r>
    </w:p>
  </w:endnote>
  <w:endnote w:id="1">
    <w:p w14:paraId="2CDEA45D" w14:textId="47CC59F5" w:rsidR="00E303BE" w:rsidRDefault="00E303BE" w:rsidP="00A6745F">
      <w:pPr>
        <w:pStyle w:val="EndnoteText"/>
        <w:numPr>
          <w:ilvl w:val="0"/>
          <w:numId w:val="33"/>
        </w:numPr>
        <w:rPr>
          <w:rFonts w:ascii="Arial" w:hAnsi="Arial" w:cs="Arial"/>
        </w:rPr>
      </w:pPr>
      <w:r>
        <w:rPr>
          <w:rStyle w:val="EndnoteReference"/>
        </w:rPr>
        <w:endnoteRef/>
      </w:r>
      <w:r w:rsidRPr="00DD1E1D">
        <w:rPr>
          <w:rFonts w:ascii="Arial" w:hAnsi="Arial" w:cs="Arial"/>
        </w:rPr>
        <w:t xml:space="preserve">National Institute of Mental Health. (2023, July). Major Depression. National Institute of Mental Health; National Institute of Mental Health. </w:t>
      </w:r>
      <w:hyperlink r:id="rId1" w:history="1">
        <w:r w:rsidRPr="000E44AF">
          <w:rPr>
            <w:rStyle w:val="Hyperlink"/>
          </w:rPr>
          <w:t>https://www.nimh.nih.gov/health/statistics/major-depression</w:t>
        </w:r>
      </w:hyperlink>
      <w:r>
        <w:t xml:space="preserve"> </w:t>
      </w:r>
    </w:p>
    <w:p w14:paraId="7454595A" w14:textId="77777777" w:rsidR="00E303BE" w:rsidRDefault="00E303BE" w:rsidP="0025111C">
      <w:pPr>
        <w:pStyle w:val="EndnoteText"/>
        <w:ind w:left="720" w:hanging="720"/>
      </w:pPr>
    </w:p>
  </w:endnote>
  <w:endnote w:id="2">
    <w:p w14:paraId="62F4BC2B" w14:textId="6BCF3850" w:rsidR="00E303BE" w:rsidRPr="00DD1E1D" w:rsidRDefault="00E303BE" w:rsidP="00A6745F">
      <w:pPr>
        <w:pStyle w:val="EndnoteText"/>
        <w:numPr>
          <w:ilvl w:val="0"/>
          <w:numId w:val="33"/>
        </w:numPr>
        <w:rPr>
          <w:rFonts w:ascii="Arial" w:hAnsi="Arial" w:cs="Arial"/>
        </w:rPr>
      </w:pPr>
      <w:r w:rsidRPr="00DD1E1D">
        <w:rPr>
          <w:rStyle w:val="EndnoteReference"/>
          <w:rFonts w:ascii="Arial" w:hAnsi="Arial" w:cs="Arial"/>
        </w:rPr>
        <w:endnoteRef/>
      </w:r>
      <w:r w:rsidRPr="00DD1E1D">
        <w:rPr>
          <w:rFonts w:ascii="Arial" w:hAnsi="Arial" w:cs="Arial"/>
        </w:rPr>
        <w:t xml:space="preserve"> Centers for Disease Control and Prevention (CDC) Web -based Injury Statistics Query and Reporting System (WISQARS) [Online</w:t>
      </w:r>
      <w:proofErr w:type="gramStart"/>
      <w:r w:rsidRPr="00DD1E1D">
        <w:rPr>
          <w:rFonts w:ascii="Arial" w:hAnsi="Arial" w:cs="Arial"/>
        </w:rPr>
        <w:t>].(</w:t>
      </w:r>
      <w:proofErr w:type="gramEnd"/>
      <w:r w:rsidRPr="00DD1E1D">
        <w:rPr>
          <w:rFonts w:ascii="Arial" w:hAnsi="Arial" w:cs="Arial"/>
        </w:rPr>
        <w:t>2013,2011)</w:t>
      </w:r>
      <w:r>
        <w:rPr>
          <w:rFonts w:ascii="Arial" w:hAnsi="Arial" w:cs="Arial"/>
        </w:rPr>
        <w:t xml:space="preserve"> </w:t>
      </w:r>
      <w:r w:rsidRPr="00DD1E1D">
        <w:rPr>
          <w:rFonts w:ascii="Arial" w:hAnsi="Arial" w:cs="Arial"/>
        </w:rPr>
        <w:t>National Center for Injury Prevention and Control, CDC (producer).</w:t>
      </w:r>
      <w:r>
        <w:rPr>
          <w:rFonts w:ascii="Arial" w:hAnsi="Arial" w:cs="Arial"/>
        </w:rPr>
        <w:t xml:space="preserve"> </w:t>
      </w:r>
      <w:hyperlink r:id="rId2" w:history="1">
        <w:r w:rsidRPr="000E44AF">
          <w:rPr>
            <w:rStyle w:val="Hyperlink"/>
            <w:rFonts w:ascii="Arial" w:hAnsi="Arial" w:cs="Arial"/>
          </w:rPr>
          <w:t>https://www.cdc.gov/injury/wisqars/index.html</w:t>
        </w:r>
      </w:hyperlink>
      <w:r>
        <w:rPr>
          <w:rFonts w:ascii="Arial" w:hAnsi="Arial" w:cs="Arial"/>
        </w:rPr>
        <w:t xml:space="preserve"> </w:t>
      </w:r>
    </w:p>
    <w:p w14:paraId="61E39BCE" w14:textId="77777777" w:rsidR="00E303BE" w:rsidRPr="00DD1E1D" w:rsidRDefault="00E303BE" w:rsidP="0025111C">
      <w:pPr>
        <w:pStyle w:val="EndnoteText"/>
        <w:ind w:left="720" w:hanging="720"/>
        <w:rPr>
          <w:rFonts w:ascii="Arial" w:hAnsi="Arial" w:cs="Arial"/>
        </w:rPr>
      </w:pPr>
    </w:p>
  </w:endnote>
  <w:endnote w:id="3">
    <w:p w14:paraId="73DD1409" w14:textId="70B8DFB1" w:rsidR="00E303BE" w:rsidRPr="00DD1E1D" w:rsidRDefault="00E303BE" w:rsidP="00A6745F">
      <w:pPr>
        <w:pStyle w:val="EndnoteText"/>
        <w:numPr>
          <w:ilvl w:val="0"/>
          <w:numId w:val="33"/>
        </w:numPr>
        <w:rPr>
          <w:rFonts w:ascii="Arial" w:hAnsi="Arial" w:cs="Arial"/>
        </w:rPr>
      </w:pPr>
      <w:r w:rsidRPr="00DD1E1D">
        <w:rPr>
          <w:rStyle w:val="EndnoteReference"/>
          <w:rFonts w:ascii="Arial" w:hAnsi="Arial" w:cs="Arial"/>
        </w:rPr>
        <w:endnoteRef/>
      </w:r>
      <w:r w:rsidRPr="00DD1E1D">
        <w:rPr>
          <w:rFonts w:ascii="Arial" w:hAnsi="Arial" w:cs="Arial"/>
        </w:rPr>
        <w:t xml:space="preserve"> Üstün, T. B., Ayuso-Mateos, J. L., Chatterji, S., Mathers, C., &amp; Murray, C. J. L. (2004). Global burden of depressive disorders in the year 2000. British Journal of Psychiatry, 184(5), 386–392. </w:t>
      </w:r>
      <w:hyperlink r:id="rId3" w:history="1">
        <w:r w:rsidRPr="000E44AF">
          <w:rPr>
            <w:rStyle w:val="Hyperlink"/>
          </w:rPr>
          <w:t>https://doi.org/10.1192/bjp.184.5.386</w:t>
        </w:r>
      </w:hyperlink>
      <w:r>
        <w:t xml:space="preserve"> </w:t>
      </w:r>
    </w:p>
    <w:p w14:paraId="0356942F" w14:textId="77777777" w:rsidR="00E303BE" w:rsidRPr="00DD1E1D" w:rsidRDefault="00E303BE" w:rsidP="0025111C">
      <w:pPr>
        <w:pStyle w:val="EndnoteText"/>
        <w:ind w:left="720" w:hanging="720"/>
        <w:rPr>
          <w:rFonts w:ascii="Arial" w:hAnsi="Arial" w:cs="Arial"/>
        </w:rPr>
      </w:pPr>
    </w:p>
  </w:endnote>
  <w:endnote w:id="4">
    <w:p w14:paraId="2B7F8CBE" w14:textId="0C32CBE6" w:rsidR="00E303BE" w:rsidRPr="00A6745F" w:rsidRDefault="00E303BE" w:rsidP="00A6745F">
      <w:pPr>
        <w:pStyle w:val="ListParagraph"/>
        <w:numPr>
          <w:ilvl w:val="0"/>
          <w:numId w:val="33"/>
        </w:numPr>
        <w:rPr>
          <w:rFonts w:ascii="Arial" w:hAnsi="Arial" w:cs="Arial"/>
        </w:rPr>
      </w:pPr>
      <w:r w:rsidRPr="00DD1E1D">
        <w:rPr>
          <w:rStyle w:val="EndnoteReference"/>
          <w:rFonts w:ascii="Arial" w:hAnsi="Arial" w:cs="Arial"/>
        </w:rPr>
        <w:endnoteRef/>
      </w:r>
      <w:r w:rsidRPr="00A6745F">
        <w:rPr>
          <w:rFonts w:ascii="Arial" w:hAnsi="Arial" w:cs="Arial"/>
        </w:rPr>
        <w:t xml:space="preserve"> Kessler, R. C., Chiu, W. T., Demler, O., &amp; Walters, E. E. (2005). Prevalence, Severity, and Comorbidity of 12-Month DSM-IV Disorders in the National Comorbidity Survey Replication. Archives of General Psychiatry, 62(6), 617–627. </w:t>
      </w:r>
      <w:hyperlink r:id="rId4" w:history="1">
        <w:r w:rsidRPr="000E44AF">
          <w:rPr>
            <w:rStyle w:val="Hyperlink"/>
          </w:rPr>
          <w:t>https://doi.org/10.1001/archpsyc.62.6.617</w:t>
        </w:r>
      </w:hyperlink>
      <w:r>
        <w:t xml:space="preserve"> </w:t>
      </w:r>
    </w:p>
    <w:p w14:paraId="57471B4E" w14:textId="77777777" w:rsidR="00E303BE" w:rsidRPr="00DD1E1D" w:rsidRDefault="00E303BE" w:rsidP="0025111C">
      <w:pPr>
        <w:ind w:left="720" w:hanging="720"/>
        <w:rPr>
          <w:rFonts w:ascii="Arial" w:hAnsi="Arial" w:cs="Arial"/>
        </w:rPr>
      </w:pPr>
    </w:p>
  </w:endnote>
  <w:endnote w:id="5">
    <w:p w14:paraId="5DEF67B6" w14:textId="7FE623B7" w:rsidR="00E303BE" w:rsidRPr="00A6745F" w:rsidRDefault="00E303BE" w:rsidP="00A6745F">
      <w:pPr>
        <w:pStyle w:val="ListParagraph"/>
        <w:numPr>
          <w:ilvl w:val="0"/>
          <w:numId w:val="33"/>
        </w:numPr>
        <w:rPr>
          <w:rFonts w:ascii="Arial" w:hAnsi="Arial" w:cs="Arial"/>
        </w:rPr>
      </w:pPr>
      <w:r w:rsidRPr="00DD1E1D">
        <w:rPr>
          <w:rStyle w:val="EndnoteReference"/>
          <w:rFonts w:ascii="Arial" w:hAnsi="Arial" w:cs="Arial"/>
        </w:rPr>
        <w:endnoteRef/>
      </w:r>
      <w:r w:rsidRPr="00A6745F">
        <w:rPr>
          <w:rFonts w:ascii="Arial" w:hAnsi="Arial" w:cs="Arial"/>
        </w:rPr>
        <w:t xml:space="preserve"> Greenberg, P. E., Fournier, A.-A., Sisitsky, T., Pike, C. T., &amp; Kessler, R. C. (2015). The Economic Burden of Adults </w:t>
      </w:r>
      <w:proofErr w:type="gramStart"/>
      <w:r w:rsidRPr="00A6745F">
        <w:rPr>
          <w:rFonts w:ascii="Arial" w:hAnsi="Arial" w:cs="Arial"/>
        </w:rPr>
        <w:t>With</w:t>
      </w:r>
      <w:proofErr w:type="gramEnd"/>
      <w:r w:rsidRPr="00A6745F">
        <w:rPr>
          <w:rFonts w:ascii="Arial" w:hAnsi="Arial" w:cs="Arial"/>
        </w:rPr>
        <w:t xml:space="preserve"> Major Depressive Disorder in the United States (2005 and 2010). The Journal of Clinical Psychiatry, 76(02), 155–162.</w:t>
      </w:r>
      <w:r w:rsidRPr="00BE6FD7">
        <w:t xml:space="preserve"> </w:t>
      </w:r>
      <w:hyperlink r:id="rId5" w:history="1">
        <w:r w:rsidRPr="000E44AF">
          <w:rPr>
            <w:rStyle w:val="Hyperlink"/>
            <w:rFonts w:ascii="Arial" w:hAnsi="Arial" w:cs="Arial"/>
          </w:rPr>
          <w:t>https://doi.org/10.4088/jcp.14m09298</w:t>
        </w:r>
      </w:hyperlink>
      <w:r>
        <w:rPr>
          <w:rFonts w:ascii="Arial" w:hAnsi="Arial" w:cs="Arial"/>
        </w:rPr>
        <w:t xml:space="preserve"> </w:t>
      </w:r>
    </w:p>
    <w:p w14:paraId="446A8BEE" w14:textId="77777777" w:rsidR="00E303BE" w:rsidRPr="00DD1E1D" w:rsidRDefault="00E303BE" w:rsidP="0025111C">
      <w:pPr>
        <w:ind w:left="720" w:hanging="720"/>
        <w:rPr>
          <w:rFonts w:ascii="Arial" w:hAnsi="Arial" w:cs="Arial"/>
        </w:rPr>
      </w:pPr>
    </w:p>
  </w:endnote>
  <w:endnote w:id="6">
    <w:p w14:paraId="34C589E2" w14:textId="726223B7" w:rsidR="00E303BE" w:rsidRPr="00D64254" w:rsidRDefault="00E303BE" w:rsidP="00A6745F">
      <w:pPr>
        <w:pStyle w:val="EndnoteText"/>
        <w:numPr>
          <w:ilvl w:val="0"/>
          <w:numId w:val="33"/>
        </w:numPr>
      </w:pPr>
      <w:r w:rsidRPr="00DD1E1D">
        <w:rPr>
          <w:rStyle w:val="EndnoteReference"/>
          <w:rFonts w:ascii="Arial" w:hAnsi="Arial" w:cs="Arial"/>
        </w:rPr>
        <w:endnoteRef/>
      </w:r>
      <w:r w:rsidRPr="00DD1E1D">
        <w:rPr>
          <w:rStyle w:val="EndnoteReference"/>
          <w:rFonts w:ascii="Arial" w:hAnsi="Arial" w:cs="Arial"/>
        </w:rPr>
        <w:t xml:space="preserve"> </w:t>
      </w:r>
      <w:r w:rsidRPr="00DD1E1D">
        <w:rPr>
          <w:rFonts w:ascii="Arial" w:hAnsi="Arial" w:cs="Arial"/>
        </w:rPr>
        <w:t xml:space="preserve">Centers for Disease Control and Prevention. (2025). Depression prevalence in adolescents and adults: United States, August 2021–August 2023 (NCHS Data Brief No. 527). </w:t>
      </w:r>
      <w:hyperlink r:id="rId6" w:history="1">
        <w:r w:rsidRPr="000E44AF">
          <w:rPr>
            <w:rStyle w:val="Hyperlink"/>
          </w:rPr>
          <w:t>https://doi.org/10.15620/cdc/174579</w:t>
        </w:r>
      </w:hyperlink>
      <w:r>
        <w:t xml:space="preserve"> </w:t>
      </w:r>
      <w:r>
        <w:tab/>
      </w:r>
    </w:p>
    <w:p w14:paraId="4570E8D1" w14:textId="77777777" w:rsidR="00E303BE" w:rsidRPr="00DD1E1D" w:rsidRDefault="00E303BE" w:rsidP="0025111C">
      <w:pPr>
        <w:pStyle w:val="EndnoteText"/>
        <w:ind w:left="720" w:hanging="720"/>
        <w:rPr>
          <w:rFonts w:ascii="Arial" w:hAnsi="Arial" w:cs="Arial"/>
        </w:rPr>
      </w:pPr>
    </w:p>
  </w:endnote>
  <w:endnote w:id="7">
    <w:p w14:paraId="30E086D0" w14:textId="2A2AA31A" w:rsidR="00E303BE" w:rsidRDefault="00E303BE" w:rsidP="00A6745F">
      <w:pPr>
        <w:pStyle w:val="EndnoteText"/>
        <w:numPr>
          <w:ilvl w:val="0"/>
          <w:numId w:val="33"/>
        </w:numPr>
        <w:rPr>
          <w:rFonts w:ascii="Arial" w:hAnsi="Arial" w:cs="Arial"/>
        </w:rPr>
      </w:pPr>
      <w:r w:rsidRPr="00DD1E1D">
        <w:rPr>
          <w:rStyle w:val="EndnoteReference"/>
          <w:rFonts w:ascii="Arial" w:hAnsi="Arial" w:cs="Arial"/>
        </w:rPr>
        <w:endnoteRef/>
      </w:r>
      <w:r w:rsidRPr="00DD1E1D">
        <w:rPr>
          <w:rStyle w:val="EndnoteReference"/>
          <w:rFonts w:ascii="Arial" w:hAnsi="Arial" w:cs="Arial"/>
        </w:rPr>
        <w:t xml:space="preserve"> </w:t>
      </w:r>
      <w:r w:rsidRPr="00DD1E1D">
        <w:rPr>
          <w:rFonts w:ascii="Arial" w:hAnsi="Arial" w:cs="Arial"/>
        </w:rPr>
        <w:t xml:space="preserve">Marx, W., Penninx, B. W. J. H., Solmi, M., Furukawa, T. A., Firth, J., Carvalho, A. F., &amp; Berk, M. (2023). Major depressive disorder. Nature Reviews Disease Primers, 9(1), 44. </w:t>
      </w:r>
      <w:hyperlink r:id="rId7" w:history="1">
        <w:r w:rsidRPr="000E44AF">
          <w:rPr>
            <w:rStyle w:val="Hyperlink"/>
          </w:rPr>
          <w:t>https://doi.org/10.1038/s41572-023-00454-1</w:t>
        </w:r>
      </w:hyperlink>
      <w:r>
        <w:t xml:space="preserve"> </w:t>
      </w:r>
    </w:p>
    <w:p w14:paraId="00834385" w14:textId="77777777" w:rsidR="00E303BE" w:rsidRPr="00DD1E1D" w:rsidRDefault="00E303BE" w:rsidP="0025111C">
      <w:pPr>
        <w:pStyle w:val="EndnoteText"/>
        <w:ind w:left="720" w:hanging="720"/>
        <w:rPr>
          <w:rFonts w:ascii="Arial" w:hAnsi="Arial" w:cs="Arial"/>
        </w:rPr>
      </w:pPr>
    </w:p>
  </w:endnote>
  <w:endnote w:id="8">
    <w:p w14:paraId="46C1EB9B" w14:textId="5F1A502B" w:rsidR="00E303BE" w:rsidRDefault="00E303BE" w:rsidP="00A6745F">
      <w:pPr>
        <w:pStyle w:val="EndnoteText"/>
        <w:numPr>
          <w:ilvl w:val="0"/>
          <w:numId w:val="33"/>
        </w:numPr>
        <w:rPr>
          <w:rFonts w:ascii="Arial" w:hAnsi="Arial" w:cs="Arial"/>
        </w:rPr>
      </w:pPr>
      <w:r w:rsidRPr="00DD1E1D">
        <w:rPr>
          <w:rStyle w:val="EndnoteReference"/>
          <w:rFonts w:ascii="Arial" w:hAnsi="Arial" w:cs="Arial"/>
        </w:rPr>
        <w:endnoteRef/>
      </w:r>
      <w:r w:rsidRPr="00DD1E1D">
        <w:rPr>
          <w:rFonts w:ascii="Arial" w:hAnsi="Arial" w:cs="Arial"/>
        </w:rPr>
        <w:t xml:space="preserve"> American Psychological Association. (2023). APA Dictionary of Psychology. Dictionary.apa.org. </w:t>
      </w:r>
      <w:hyperlink r:id="rId8" w:history="1">
        <w:r w:rsidRPr="000E44AF">
          <w:rPr>
            <w:rStyle w:val="Hyperlink"/>
          </w:rPr>
          <w:t>https://dictionary.apa.org/major-depressive-disorder</w:t>
        </w:r>
      </w:hyperlink>
      <w:r>
        <w:t xml:space="preserve"> </w:t>
      </w:r>
    </w:p>
    <w:p w14:paraId="18786C2F" w14:textId="77777777" w:rsidR="00E303BE" w:rsidRPr="00DD1E1D" w:rsidRDefault="00E303BE" w:rsidP="0025111C">
      <w:pPr>
        <w:pStyle w:val="EndnoteText"/>
        <w:ind w:left="720" w:hanging="720"/>
        <w:rPr>
          <w:rFonts w:ascii="Arial" w:hAnsi="Arial" w:cs="Arial"/>
        </w:rPr>
      </w:pPr>
    </w:p>
  </w:endnote>
  <w:endnote w:id="9">
    <w:p w14:paraId="5EDB01F7" w14:textId="059B1AD8" w:rsidR="00E303BE" w:rsidRDefault="00E303BE" w:rsidP="00A6745F">
      <w:pPr>
        <w:pStyle w:val="EndnoteText"/>
        <w:numPr>
          <w:ilvl w:val="0"/>
          <w:numId w:val="33"/>
        </w:numPr>
        <w:rPr>
          <w:rFonts w:ascii="Arial" w:hAnsi="Arial" w:cs="Arial"/>
        </w:rPr>
      </w:pPr>
      <w:r w:rsidRPr="00DD1E1D">
        <w:rPr>
          <w:rStyle w:val="EndnoteReference"/>
          <w:rFonts w:ascii="Arial" w:hAnsi="Arial" w:cs="Arial"/>
        </w:rPr>
        <w:endnoteRef/>
      </w:r>
      <w:r w:rsidRPr="00DD1E1D">
        <w:rPr>
          <w:rFonts w:ascii="Arial" w:hAnsi="Arial" w:cs="Arial"/>
        </w:rPr>
        <w:t xml:space="preserve"> O’Connor, E. A., Whitlock, E. P., Gaynes, B., &amp; Beil, T. L. (2019). Primary DSM-IV depression disorders, criteria for adults. Nih.gov; Agency for Healthcare Research and Quality (US). </w:t>
      </w:r>
      <w:hyperlink r:id="rId9" w:history="1">
        <w:r w:rsidRPr="000E44AF">
          <w:rPr>
            <w:rStyle w:val="Hyperlink"/>
          </w:rPr>
          <w:t>https://doi.org/10.7326/0003-4819-151-11-200912010-00007</w:t>
        </w:r>
      </w:hyperlink>
      <w:r>
        <w:t xml:space="preserve"> </w:t>
      </w:r>
    </w:p>
    <w:p w14:paraId="12E75818" w14:textId="77777777" w:rsidR="00E303BE" w:rsidRPr="00DD1E1D" w:rsidRDefault="00E303BE" w:rsidP="0025111C">
      <w:pPr>
        <w:pStyle w:val="EndnoteText"/>
        <w:ind w:left="720" w:hanging="720"/>
        <w:rPr>
          <w:rFonts w:ascii="Arial" w:hAnsi="Arial" w:cs="Arial"/>
        </w:rPr>
      </w:pPr>
    </w:p>
  </w:endnote>
  <w:endnote w:id="10">
    <w:p w14:paraId="28EC4C6E" w14:textId="052AAEC6" w:rsidR="00E303BE" w:rsidRPr="002B0CC4" w:rsidRDefault="00E303BE" w:rsidP="0025111C">
      <w:pPr>
        <w:pStyle w:val="EndnoteText"/>
        <w:numPr>
          <w:ilvl w:val="0"/>
          <w:numId w:val="33"/>
        </w:numPr>
        <w:ind w:hanging="720"/>
        <w:rPr>
          <w:rFonts w:ascii="Arial" w:hAnsi="Arial" w:cs="Arial"/>
        </w:rPr>
      </w:pPr>
      <w:r w:rsidRPr="00DD1E1D">
        <w:rPr>
          <w:rStyle w:val="EndnoteReference"/>
          <w:rFonts w:ascii="Arial" w:hAnsi="Arial" w:cs="Arial"/>
        </w:rPr>
        <w:endnoteRef/>
      </w:r>
      <w:r w:rsidRPr="002B0CC4">
        <w:rPr>
          <w:rStyle w:val="EndnoteReference"/>
          <w:rFonts w:ascii="Arial" w:hAnsi="Arial" w:cs="Arial"/>
        </w:rPr>
        <w:t xml:space="preserve"> </w:t>
      </w:r>
      <w:r w:rsidRPr="002B0CC4">
        <w:rPr>
          <w:rFonts w:ascii="Arial" w:hAnsi="Arial" w:cs="Arial"/>
        </w:rPr>
        <w:t xml:space="preserve">Institute for Health Metrics and Evaluation. (2021). Global burden of disease study. </w:t>
      </w:r>
      <w:hyperlink r:id="rId10" w:history="1">
        <w:r w:rsidRPr="000E44AF">
          <w:rPr>
            <w:rStyle w:val="Hyperlink"/>
          </w:rPr>
          <w:t>https://www.healthdata.org/research-analysis/library/global-burden-disease-2021-findings-gbd-2021-study</w:t>
        </w:r>
      </w:hyperlink>
      <w:r>
        <w:t xml:space="preserve"> </w:t>
      </w:r>
    </w:p>
  </w:endnote>
  <w:endnote w:id="11">
    <w:p w14:paraId="0C3CE058" w14:textId="1BF1ED46" w:rsidR="00E303BE" w:rsidRPr="00DD1E1D" w:rsidRDefault="00E303BE" w:rsidP="00A6745F">
      <w:pPr>
        <w:pStyle w:val="EndnoteText"/>
        <w:numPr>
          <w:ilvl w:val="0"/>
          <w:numId w:val="33"/>
        </w:numPr>
        <w:rPr>
          <w:rFonts w:ascii="Arial" w:hAnsi="Arial" w:cs="Arial"/>
        </w:rPr>
      </w:pPr>
      <w:r w:rsidRPr="00DD1E1D">
        <w:rPr>
          <w:rStyle w:val="EndnoteReference"/>
          <w:rFonts w:ascii="Arial" w:hAnsi="Arial" w:cs="Arial"/>
        </w:rPr>
        <w:endnoteRef/>
      </w:r>
      <w:r w:rsidRPr="00DD1E1D">
        <w:rPr>
          <w:rFonts w:ascii="Arial" w:hAnsi="Arial" w:cs="Arial"/>
        </w:rPr>
        <w:t xml:space="preserve"> American Psychiatric Association. (2022). Diagnostic and statistical manual of mental disorders (5th ed., text rev.; DSM–5–TR). American Psychiatric Association</w:t>
      </w:r>
      <w:r>
        <w:rPr>
          <w:rFonts w:ascii="Arial" w:hAnsi="Arial" w:cs="Arial"/>
        </w:rPr>
        <w:t xml:space="preserve"> </w:t>
      </w:r>
      <w:hyperlink r:id="rId11" w:history="1">
        <w:r w:rsidRPr="000E44AF">
          <w:rPr>
            <w:rStyle w:val="Hyperlink"/>
            <w:rFonts w:ascii="Arial" w:hAnsi="Arial" w:cs="Arial"/>
          </w:rPr>
          <w:t>https://www.psychiatry.org/psychiatrists/practice/dsm/dsm-5-tr</w:t>
        </w:r>
      </w:hyperlink>
      <w:r>
        <w:rPr>
          <w:rFonts w:ascii="Arial" w:hAnsi="Arial" w:cs="Arial"/>
        </w:rPr>
        <w:t xml:space="preserve"> </w:t>
      </w:r>
    </w:p>
    <w:p w14:paraId="16775548" w14:textId="77777777" w:rsidR="00E303BE" w:rsidRPr="00DD1E1D" w:rsidRDefault="00E303BE" w:rsidP="0025111C">
      <w:pPr>
        <w:pStyle w:val="EndnoteText"/>
        <w:ind w:hanging="720"/>
        <w:rPr>
          <w:rFonts w:ascii="Arial" w:hAnsi="Arial" w:cs="Arial"/>
        </w:rPr>
      </w:pPr>
    </w:p>
  </w:endnote>
  <w:endnote w:id="12">
    <w:p w14:paraId="7B0F5F4E" w14:textId="11DC9202" w:rsidR="00E303BE" w:rsidRPr="00A6745F" w:rsidRDefault="00E303BE" w:rsidP="00A6745F">
      <w:pPr>
        <w:pStyle w:val="ListParagraph"/>
        <w:numPr>
          <w:ilvl w:val="0"/>
          <w:numId w:val="33"/>
        </w:numPr>
        <w:rPr>
          <w:rFonts w:ascii="Arial" w:hAnsi="Arial" w:cs="Arial"/>
        </w:rPr>
      </w:pPr>
      <w:r w:rsidRPr="00DD1E1D">
        <w:rPr>
          <w:rStyle w:val="EndnoteReference"/>
          <w:rFonts w:ascii="Arial" w:hAnsi="Arial" w:cs="Arial"/>
        </w:rPr>
        <w:endnoteRef/>
      </w:r>
      <w:r w:rsidRPr="00A6745F">
        <w:rPr>
          <w:rFonts w:ascii="Arial" w:hAnsi="Arial" w:cs="Arial"/>
        </w:rPr>
        <w:t xml:space="preserve"> Cuijpers, P., Karyotaki, E., de Wit, L., &amp; Ebert, D. D. (2021); The effects of combined psychotherapy and pharmacotherapy for depression: A meta-analysis of comparative trials. World Psychiatry, 20(1), 123–134</w:t>
      </w:r>
      <w:r>
        <w:rPr>
          <w:rFonts w:ascii="Arial" w:hAnsi="Arial" w:cs="Arial"/>
        </w:rPr>
        <w:t xml:space="preserve">  </w:t>
      </w:r>
      <w:hyperlink r:id="rId12" w:history="1">
        <w:r w:rsidRPr="000E44AF">
          <w:rPr>
            <w:rStyle w:val="Hyperlink"/>
            <w:rFonts w:ascii="Arial" w:hAnsi="Arial" w:cs="Arial"/>
          </w:rPr>
          <w:t>https://doi.org/10.1016/j.cpr.2021.102068</w:t>
        </w:r>
      </w:hyperlink>
      <w:r>
        <w:rPr>
          <w:rFonts w:ascii="Arial" w:hAnsi="Arial" w:cs="Arial"/>
        </w:rPr>
        <w:t xml:space="preserve"> </w:t>
      </w:r>
    </w:p>
    <w:p w14:paraId="17C81D5D" w14:textId="77777777" w:rsidR="00E303BE" w:rsidRPr="00DD1E1D" w:rsidRDefault="00E303BE" w:rsidP="0025111C">
      <w:pPr>
        <w:pStyle w:val="EndnoteText"/>
        <w:ind w:hanging="720"/>
        <w:rPr>
          <w:rFonts w:ascii="Arial" w:hAnsi="Arial" w:cs="Arial"/>
        </w:rPr>
      </w:pPr>
    </w:p>
  </w:endnote>
  <w:endnote w:id="13">
    <w:p w14:paraId="74A05675" w14:textId="6DBFCA22" w:rsidR="00E303BE" w:rsidRPr="00E845C5" w:rsidRDefault="00E303BE" w:rsidP="0025111C">
      <w:pPr>
        <w:pStyle w:val="ListParagraph"/>
        <w:numPr>
          <w:ilvl w:val="0"/>
          <w:numId w:val="33"/>
        </w:numPr>
        <w:ind w:hanging="720"/>
        <w:rPr>
          <w:rFonts w:ascii="Arial" w:hAnsi="Arial" w:cs="Arial"/>
        </w:rPr>
      </w:pPr>
      <w:r w:rsidRPr="00DD1E1D">
        <w:rPr>
          <w:rStyle w:val="EndnoteReference"/>
          <w:rFonts w:ascii="Arial" w:hAnsi="Arial" w:cs="Arial"/>
        </w:rPr>
        <w:endnoteRef/>
      </w:r>
      <w:r w:rsidRPr="00E845C5">
        <w:rPr>
          <w:rFonts w:ascii="Arial" w:hAnsi="Arial" w:cs="Arial"/>
        </w:rPr>
        <w:t xml:space="preserve"> Ogłodek, E., Szota, A., Just, M., Moś, D., &amp; Araszkiewicz, A. (2014). The role of the neuroendocrine and immune systems in the pathogenesis of depression. Pharmacological Reports, 66(5), 776–781. </w:t>
      </w:r>
      <w:hyperlink r:id="rId13" w:history="1">
        <w:r w:rsidRPr="000E44AF">
          <w:rPr>
            <w:rStyle w:val="Hyperlink"/>
          </w:rPr>
          <w:t>https://doi.org/10.1016/j.pharep.2014.04.009</w:t>
        </w:r>
      </w:hyperlink>
      <w:r>
        <w:t xml:space="preserve"> </w:t>
      </w:r>
    </w:p>
  </w:endnote>
  <w:endnote w:id="14">
    <w:p w14:paraId="4621BB2B" w14:textId="0C174A53" w:rsidR="00E303BE" w:rsidRPr="00A6745F" w:rsidRDefault="00E303BE" w:rsidP="00A6745F">
      <w:pPr>
        <w:pStyle w:val="ListParagraph"/>
        <w:numPr>
          <w:ilvl w:val="0"/>
          <w:numId w:val="33"/>
        </w:numPr>
        <w:rPr>
          <w:rFonts w:ascii="Arial" w:hAnsi="Arial" w:cs="Arial"/>
        </w:rPr>
      </w:pPr>
      <w:r w:rsidRPr="00DD1E1D">
        <w:rPr>
          <w:rStyle w:val="EndnoteReference"/>
          <w:rFonts w:ascii="Arial" w:hAnsi="Arial" w:cs="Arial"/>
        </w:rPr>
        <w:endnoteRef/>
      </w:r>
      <w:r w:rsidRPr="00A6745F">
        <w:rPr>
          <w:rStyle w:val="EndnoteReference"/>
          <w:rFonts w:ascii="Arial" w:hAnsi="Arial" w:cs="Arial"/>
        </w:rPr>
        <w:t xml:space="preserve"> </w:t>
      </w:r>
      <w:r w:rsidRPr="00A6745F">
        <w:rPr>
          <w:rFonts w:ascii="Arial" w:hAnsi="Arial" w:cs="Arial"/>
        </w:rPr>
        <w:t xml:space="preserve">He, S., Chen, J.-X., Yu, X., Lin, H., Wang, Z., Li, X., Zhou, Y., Liu, Y.-S., Zhang, H., Wang, J., An, C., Liu, H., Li, C., Ni, S., &amp; Li, H. (2025). Efficacy and Safety of Ammoxetine in Major Depressive Disorder. JAMA Network Open, 8(9), e2532650–e2532650. </w:t>
      </w:r>
      <w:hyperlink r:id="rId14" w:history="1">
        <w:r w:rsidRPr="000E44AF">
          <w:rPr>
            <w:rStyle w:val="Hyperlink"/>
          </w:rPr>
          <w:t>https://doi.org/10.1001/jamanetworkopen.2025.32650</w:t>
        </w:r>
      </w:hyperlink>
      <w:r>
        <w:t xml:space="preserve"> </w:t>
      </w:r>
    </w:p>
    <w:p w14:paraId="1716336B" w14:textId="77777777" w:rsidR="00E303BE" w:rsidRPr="00DD1E1D" w:rsidRDefault="00E303BE" w:rsidP="0025111C">
      <w:pPr>
        <w:ind w:left="720" w:hanging="720"/>
        <w:rPr>
          <w:rFonts w:ascii="Arial" w:hAnsi="Arial" w:cs="Arial"/>
        </w:rPr>
      </w:pPr>
    </w:p>
  </w:endnote>
  <w:endnote w:id="15">
    <w:p w14:paraId="49BF5EB2" w14:textId="363747CB" w:rsidR="00E303BE" w:rsidRPr="00A6745F" w:rsidRDefault="00E303BE" w:rsidP="00A6745F">
      <w:pPr>
        <w:pStyle w:val="ListParagraph"/>
        <w:numPr>
          <w:ilvl w:val="0"/>
          <w:numId w:val="33"/>
        </w:numPr>
        <w:rPr>
          <w:rFonts w:ascii="Arial" w:hAnsi="Arial" w:cs="Arial"/>
        </w:rPr>
      </w:pPr>
      <w:r w:rsidRPr="00DD1E1D">
        <w:rPr>
          <w:rStyle w:val="EndnoteReference"/>
          <w:rFonts w:ascii="Arial" w:hAnsi="Arial" w:cs="Arial"/>
        </w:rPr>
        <w:endnoteRef/>
      </w:r>
      <w:r w:rsidRPr="00A6745F">
        <w:rPr>
          <w:rFonts w:ascii="Arial" w:hAnsi="Arial" w:cs="Arial"/>
        </w:rPr>
        <w:t xml:space="preserve"> Gaddey, H. L., Mason, B., &amp; Naik, A. (2024). Depression: Managing resistance and partial response to treatment. American Family Physician, 109(5), 410–416. </w:t>
      </w:r>
      <w:hyperlink r:id="rId15" w:history="1">
        <w:r w:rsidRPr="000E44AF">
          <w:rPr>
            <w:rStyle w:val="Hyperlink"/>
          </w:rPr>
          <w:t>https://www.aafp.org/pubs/afp/issues/2024/0500/treatment-resistant-depression.html</w:t>
        </w:r>
      </w:hyperlink>
      <w:r>
        <w:t xml:space="preserve"> </w:t>
      </w:r>
    </w:p>
    <w:p w14:paraId="4DA0AFCD" w14:textId="77777777" w:rsidR="00E303BE" w:rsidRPr="00DD1E1D" w:rsidRDefault="00E303BE" w:rsidP="0025111C">
      <w:pPr>
        <w:pStyle w:val="EndnoteText"/>
        <w:ind w:hanging="720"/>
        <w:rPr>
          <w:rFonts w:ascii="Arial" w:hAnsi="Arial" w:cs="Arial"/>
        </w:rPr>
      </w:pPr>
    </w:p>
  </w:endnote>
  <w:endnote w:id="16">
    <w:p w14:paraId="62A1DEDC" w14:textId="7DE556CF" w:rsidR="00E303BE" w:rsidRPr="00A6745F" w:rsidRDefault="00E303BE" w:rsidP="00A6745F">
      <w:pPr>
        <w:pStyle w:val="ListParagraph"/>
        <w:numPr>
          <w:ilvl w:val="0"/>
          <w:numId w:val="33"/>
        </w:numPr>
        <w:rPr>
          <w:rFonts w:ascii="Arial" w:hAnsi="Arial" w:cs="Arial"/>
        </w:rPr>
      </w:pPr>
      <w:r>
        <w:rPr>
          <w:rStyle w:val="EndnoteReference"/>
        </w:rPr>
        <w:t>16</w:t>
      </w:r>
      <w:r>
        <w:t xml:space="preserve"> </w:t>
      </w:r>
      <w:r w:rsidRPr="00A6745F">
        <w:rPr>
          <w:rFonts w:ascii="Arial" w:hAnsi="Arial" w:cs="Arial"/>
        </w:rPr>
        <w:t xml:space="preserve">Gill, K., Hett, D., Carlish, M., Amos, R., Khatibi, A., Morales-Muñoz, I., &amp; Marwaha, S. (2025). Examining the needs, outcomes and current treatment pathways of 2461 people with treatment-resistant depression: mixed-methods study. The British Journal of Psychiatry, 1–8. </w:t>
      </w:r>
      <w:hyperlink r:id="rId16" w:history="1">
        <w:r w:rsidRPr="000E44AF">
          <w:rPr>
            <w:rStyle w:val="Hyperlink"/>
          </w:rPr>
          <w:t>https://doi.org/10.1192/bjp.2024.275</w:t>
        </w:r>
      </w:hyperlink>
      <w:r>
        <w:t xml:space="preserve"> </w:t>
      </w:r>
    </w:p>
    <w:p w14:paraId="4E9F7882" w14:textId="76EF7A15" w:rsidR="00E303BE" w:rsidRDefault="00E303BE">
      <w:pPr>
        <w:pStyle w:val="EndnoteText"/>
      </w:pPr>
    </w:p>
  </w:endnote>
  <w:endnote w:id="17">
    <w:p w14:paraId="1E3BB5A8" w14:textId="7A76A96B" w:rsidR="00E303BE" w:rsidRPr="00D97490" w:rsidRDefault="00E303BE" w:rsidP="0025111C">
      <w:pPr>
        <w:pStyle w:val="ListParagraph"/>
        <w:numPr>
          <w:ilvl w:val="0"/>
          <w:numId w:val="33"/>
        </w:numPr>
        <w:ind w:hanging="720"/>
        <w:rPr>
          <w:rFonts w:ascii="Arial" w:hAnsi="Arial" w:cs="Arial"/>
        </w:rPr>
      </w:pPr>
      <w:r w:rsidRPr="00D97490">
        <w:rPr>
          <w:rStyle w:val="EndnoteReference"/>
          <w:rFonts w:ascii="Times New Roman" w:hAnsi="Times New Roman"/>
        </w:rPr>
        <w:t>17</w:t>
      </w:r>
      <w:r w:rsidRPr="00D97490">
        <w:rPr>
          <w:rFonts w:ascii="Arial" w:hAnsi="Arial" w:cs="Arial"/>
        </w:rPr>
        <w:t xml:space="preserve"> Rush, A. J., Trivedi, M. H., Wisniewski, S. R., Nierenberg, A. A., Stewart, J. W., Warden, D., Niederehe, G., Thase, M. E., Lavori, P. W., Lebowitz, B. D., McGrath, P. J., Rosenbaum, J. F., Sackeim, H. A., Kupfer, D. J., Luther, J., &amp; Fava, M. (2006). Acute and Longer-Term Outcomes in Depressed Outpatients Requiring One or Several Treatment Steps: A STAR*D Report. American Journal of Psychiatry, 163(11), 1905–1917. </w:t>
      </w:r>
      <w:hyperlink r:id="rId17" w:history="1">
        <w:r w:rsidRPr="000E44AF">
          <w:rPr>
            <w:rStyle w:val="Hyperlink"/>
            <w:rFonts w:ascii="Arial" w:hAnsi="Arial" w:cs="Arial"/>
          </w:rPr>
          <w:t>https://doi.org/10.1176/ajp.2006.163.11.1905</w:t>
        </w:r>
      </w:hyperlink>
      <w:r>
        <w:rPr>
          <w:rFonts w:ascii="Arial" w:hAnsi="Arial" w:cs="Arial"/>
        </w:rPr>
        <w:t xml:space="preserve"> </w:t>
      </w:r>
    </w:p>
    <w:p w14:paraId="02AC6CB5" w14:textId="77777777" w:rsidR="00E303BE" w:rsidRPr="00DD1E1D" w:rsidRDefault="00E303BE" w:rsidP="0025111C">
      <w:pPr>
        <w:pStyle w:val="EndnoteText"/>
        <w:ind w:hanging="720"/>
        <w:rPr>
          <w:rFonts w:ascii="Arial" w:hAnsi="Arial" w:cs="Arial"/>
        </w:rPr>
      </w:pPr>
    </w:p>
  </w:endnote>
  <w:endnote w:id="18">
    <w:p w14:paraId="61464A7F" w14:textId="29459520" w:rsidR="00E303BE" w:rsidRPr="00625CD2" w:rsidRDefault="00E303BE" w:rsidP="0025111C">
      <w:pPr>
        <w:pStyle w:val="ListParagraph"/>
        <w:numPr>
          <w:ilvl w:val="0"/>
          <w:numId w:val="33"/>
        </w:numPr>
        <w:ind w:hanging="720"/>
        <w:rPr>
          <w:rFonts w:ascii="Arial" w:hAnsi="Arial" w:cs="Arial"/>
        </w:rPr>
      </w:pPr>
      <w:r w:rsidRPr="00A6745F">
        <w:rPr>
          <w:rStyle w:val="EndnoteReference"/>
          <w:rFonts w:ascii="Times New Roman" w:hAnsi="Times New Roman"/>
        </w:rPr>
        <w:t>18</w:t>
      </w:r>
      <w:r w:rsidRPr="00625CD2">
        <w:rPr>
          <w:rFonts w:ascii="Arial" w:hAnsi="Arial" w:cs="Arial"/>
        </w:rPr>
        <w:t xml:space="preserve"> Pigott, H. E., Kim, T., Xu, C., &amp; Amsterdam, J. (2024). What </w:t>
      </w:r>
      <w:proofErr w:type="gramStart"/>
      <w:r w:rsidRPr="00625CD2">
        <w:rPr>
          <w:rFonts w:ascii="Arial" w:hAnsi="Arial" w:cs="Arial"/>
        </w:rPr>
        <w:t>are</w:t>
      </w:r>
      <w:proofErr w:type="gramEnd"/>
      <w:r w:rsidRPr="00625CD2">
        <w:rPr>
          <w:rFonts w:ascii="Arial" w:hAnsi="Arial" w:cs="Arial"/>
        </w:rPr>
        <w:t xml:space="preserve"> the treatment remission, response and extent of improvement rates after up to four trials of antidepressant therapies in real-world depressed patients? BMJ Open, 13(7), e063095. </w:t>
      </w:r>
      <w:hyperlink r:id="rId18" w:history="1">
        <w:r w:rsidRPr="000E44AF">
          <w:rPr>
            <w:rStyle w:val="Hyperlink"/>
          </w:rPr>
          <w:t>https://doi.org/10.1136/bmjopen-2022-063095</w:t>
        </w:r>
      </w:hyperlink>
      <w:r>
        <w:t xml:space="preserve"> </w:t>
      </w:r>
    </w:p>
  </w:endnote>
  <w:endnote w:id="19">
    <w:p w14:paraId="30394F78" w14:textId="582ED15D" w:rsidR="00E303BE" w:rsidRPr="00E303BE" w:rsidRDefault="00E303BE" w:rsidP="0025111C">
      <w:pPr>
        <w:pStyle w:val="EndnoteText"/>
        <w:numPr>
          <w:ilvl w:val="0"/>
          <w:numId w:val="33"/>
        </w:numPr>
        <w:ind w:hanging="720"/>
        <w:rPr>
          <w:rFonts w:ascii="Arial" w:hAnsi="Arial" w:cs="Arial"/>
        </w:rPr>
      </w:pPr>
      <w:r>
        <w:rPr>
          <w:rStyle w:val="EndnoteReference"/>
        </w:rPr>
        <w:t>19</w:t>
      </w:r>
      <w:r w:rsidRPr="00E303BE">
        <w:rPr>
          <w:rFonts w:ascii="Arial" w:hAnsi="Arial" w:cs="Arial"/>
        </w:rPr>
        <w:t xml:space="preserve"> National Center for Complementary and Integrative Health. (2024, May). Psilocybin for Mental Health and Addiction: What You Need </w:t>
      </w:r>
      <w:proofErr w:type="gramStart"/>
      <w:r w:rsidRPr="00E303BE">
        <w:rPr>
          <w:rFonts w:ascii="Arial" w:hAnsi="Arial" w:cs="Arial"/>
        </w:rPr>
        <w:t>To</w:t>
      </w:r>
      <w:proofErr w:type="gramEnd"/>
      <w:r w:rsidRPr="00E303BE">
        <w:rPr>
          <w:rFonts w:ascii="Arial" w:hAnsi="Arial" w:cs="Arial"/>
        </w:rPr>
        <w:t xml:space="preserve"> Know. NCCIH</w:t>
      </w:r>
      <w:r>
        <w:rPr>
          <w:rFonts w:ascii="Arial" w:hAnsi="Arial" w:cs="Arial"/>
        </w:rPr>
        <w:t xml:space="preserve"> </w:t>
      </w:r>
      <w:hyperlink r:id="rId19" w:history="1">
        <w:r w:rsidRPr="000E44AF">
          <w:rPr>
            <w:rStyle w:val="Hyperlink"/>
            <w:rFonts w:ascii="Arial" w:hAnsi="Arial" w:cs="Arial"/>
          </w:rPr>
          <w:t>https://www.nccih.nih.gov/health/psilocybin-for-mental-health-and-addiction-what-you-need-to-know</w:t>
        </w:r>
      </w:hyperlink>
      <w:r>
        <w:rPr>
          <w:rFonts w:ascii="Arial" w:hAnsi="Arial" w:cs="Arial"/>
        </w:rPr>
        <w:t xml:space="preserve"> </w:t>
      </w:r>
    </w:p>
  </w:endnote>
  <w:endnote w:id="20">
    <w:p w14:paraId="4964E720" w14:textId="02F77535" w:rsidR="00E303BE" w:rsidRPr="00A6745F" w:rsidRDefault="00E303BE" w:rsidP="00E303BE">
      <w:pPr>
        <w:pStyle w:val="ListParagraph"/>
        <w:numPr>
          <w:ilvl w:val="0"/>
          <w:numId w:val="33"/>
        </w:numPr>
        <w:rPr>
          <w:rFonts w:ascii="Arial" w:hAnsi="Arial" w:cs="Arial"/>
        </w:rPr>
      </w:pPr>
      <w:r w:rsidRPr="00E303BE">
        <w:rPr>
          <w:rStyle w:val="EndnoteReference"/>
          <w:rFonts w:ascii="Times New Roman" w:hAnsi="Times New Roman"/>
        </w:rPr>
        <w:t>20</w:t>
      </w:r>
      <w:r w:rsidRPr="00E303BE">
        <w:rPr>
          <w:rFonts w:ascii="Arial" w:hAnsi="Arial" w:cs="Arial"/>
        </w:rPr>
        <w:t xml:space="preserve"> Research, C. for D. E. and. (2023, June 26). Psychedelic Drugs: Considerations for Clinical Investigations. U.S. Food and Drug Administration. </w:t>
      </w:r>
      <w:hyperlink r:id="rId20" w:history="1">
        <w:r w:rsidRPr="000E44AF">
          <w:rPr>
            <w:rStyle w:val="Hyperlink"/>
            <w:rFonts w:ascii="Arial" w:hAnsi="Arial" w:cs="Arial"/>
          </w:rPr>
          <w:t>https://www.fda.gov/regulatory-information/search-fda-guidance-documents/psychedelic-drugs-considerations-clinical-investigations</w:t>
        </w:r>
      </w:hyperlink>
      <w:r>
        <w:rPr>
          <w:rFonts w:ascii="Arial" w:hAnsi="Arial" w:cs="Arial"/>
        </w:rPr>
        <w:t xml:space="preserve"> </w:t>
      </w:r>
    </w:p>
    <w:p w14:paraId="3F03A418" w14:textId="77777777" w:rsidR="00E303BE" w:rsidRPr="00DD1E1D" w:rsidRDefault="00E303BE" w:rsidP="0025111C">
      <w:pPr>
        <w:pStyle w:val="EndnoteText"/>
        <w:ind w:hanging="720"/>
        <w:rPr>
          <w:rFonts w:ascii="Arial" w:hAnsi="Arial" w:cs="Arial"/>
        </w:rPr>
      </w:pPr>
    </w:p>
  </w:endnote>
  <w:endnote w:id="21">
    <w:p w14:paraId="08D854DF" w14:textId="555B6B56"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21</w:t>
      </w:r>
      <w:r w:rsidRPr="00A6745F">
        <w:rPr>
          <w:rFonts w:ascii="Arial" w:hAnsi="Arial" w:cs="Arial"/>
        </w:rPr>
        <w:t xml:space="preserve"> Teixeira, P. J., Johnson, M. W., Timmermann, C., Watts, R., Erritzoe, D., Douglass, H., Ketner, H., &amp; Carhart-Harris, R. L. (2021). Psychedelics and health behaviour change. Journal of Psychopharmacology, 36(1), 026988112110085. </w:t>
      </w:r>
      <w:hyperlink r:id="rId21" w:history="1">
        <w:r w:rsidR="000E2C95" w:rsidRPr="000E44AF">
          <w:rPr>
            <w:rStyle w:val="Hyperlink"/>
          </w:rPr>
          <w:t>https://doi.org/10.1177/02698811211008554</w:t>
        </w:r>
      </w:hyperlink>
      <w:r w:rsidR="000E2C95">
        <w:t xml:space="preserve"> </w:t>
      </w:r>
    </w:p>
    <w:p w14:paraId="6E3CA4CF" w14:textId="77777777" w:rsidR="00E303BE" w:rsidRPr="00DD1E1D" w:rsidRDefault="00E303BE" w:rsidP="0025111C">
      <w:pPr>
        <w:pStyle w:val="EndnoteText"/>
        <w:ind w:hanging="720"/>
        <w:rPr>
          <w:rFonts w:ascii="Arial" w:hAnsi="Arial" w:cs="Arial"/>
        </w:rPr>
      </w:pPr>
    </w:p>
  </w:endnote>
  <w:endnote w:id="22">
    <w:p w14:paraId="0D19E1A7" w14:textId="272A808A"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22</w:t>
      </w:r>
      <w:r w:rsidRPr="00A6745F">
        <w:rPr>
          <w:rFonts w:ascii="Arial" w:hAnsi="Arial" w:cs="Arial"/>
        </w:rPr>
        <w:t xml:space="preserve"> Wolff, M., Evens, R., Mertens, L. J., Koslowski, M., Betzler, F., Gründer, G., &amp; Jungaberle, H. (2020). Learning to Let Go: A Cognitive-Behavioral Model of How Psychedelic Therapy Promotes Acceptance. Frontiers in Psychiatry, 11. </w:t>
      </w:r>
      <w:hyperlink r:id="rId22" w:history="1">
        <w:r w:rsidR="000E2C95" w:rsidRPr="000E44AF">
          <w:rPr>
            <w:rStyle w:val="Hyperlink"/>
          </w:rPr>
          <w:t>https://doi.org/10.3389/fpsyt.2020.00005</w:t>
        </w:r>
      </w:hyperlink>
      <w:r w:rsidR="000E2C95">
        <w:t xml:space="preserve"> </w:t>
      </w:r>
    </w:p>
    <w:p w14:paraId="34F2830F" w14:textId="77777777" w:rsidR="00E303BE" w:rsidRPr="00DD1E1D" w:rsidRDefault="00E303BE" w:rsidP="0025111C">
      <w:pPr>
        <w:pStyle w:val="EndnoteText"/>
        <w:ind w:hanging="720"/>
        <w:rPr>
          <w:rFonts w:ascii="Arial" w:hAnsi="Arial" w:cs="Arial"/>
        </w:rPr>
      </w:pPr>
    </w:p>
  </w:endnote>
  <w:endnote w:id="23">
    <w:p w14:paraId="1185BE40" w14:textId="0FC5A01A"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23</w:t>
      </w:r>
      <w:r w:rsidRPr="00A6745F">
        <w:rPr>
          <w:rFonts w:ascii="Arial" w:hAnsi="Arial" w:cs="Arial"/>
        </w:rPr>
        <w:t xml:space="preserve"> Louie, E., Towers, E., Morse, A. R., Watt, J., Bryant, Z., Haber, P., &amp; Morley, K. (2025). The Acceptability of Psychedelic</w:t>
      </w:r>
      <w:r w:rsidRPr="00A6745F">
        <w:rPr>
          <w:rFonts w:ascii="Cambria Math" w:hAnsi="Cambria Math" w:cs="Cambria Math"/>
        </w:rPr>
        <w:t>‐</w:t>
      </w:r>
      <w:r w:rsidRPr="00A6745F">
        <w:rPr>
          <w:rFonts w:ascii="Arial" w:hAnsi="Arial" w:cs="Arial"/>
        </w:rPr>
        <w:t xml:space="preserve">Assisted Therapy Amongst Mental Health Consumers: Utilising the Theory of Planned Behaviour. International Journal of Mental Health Nursing, 34(1). </w:t>
      </w:r>
      <w:hyperlink r:id="rId23" w:history="1">
        <w:r w:rsidRPr="00A6745F">
          <w:rPr>
            <w:rStyle w:val="Hyperlink"/>
            <w:rFonts w:ascii="Arial" w:hAnsi="Arial" w:cs="Arial"/>
          </w:rPr>
          <w:t>https://doi.org/10.1111/inm.70010</w:t>
        </w:r>
      </w:hyperlink>
    </w:p>
    <w:p w14:paraId="52E062C8" w14:textId="77777777" w:rsidR="00E303BE" w:rsidRPr="00DD1E1D" w:rsidRDefault="00E303BE" w:rsidP="0025111C">
      <w:pPr>
        <w:pStyle w:val="EndnoteText"/>
        <w:ind w:hanging="720"/>
        <w:rPr>
          <w:rFonts w:ascii="Arial" w:hAnsi="Arial" w:cs="Arial"/>
        </w:rPr>
      </w:pPr>
    </w:p>
  </w:endnote>
  <w:endnote w:id="24">
    <w:p w14:paraId="56EA66E2" w14:textId="559AF9A3" w:rsidR="00E303BE" w:rsidRPr="00DD1E1D" w:rsidRDefault="00E303BE" w:rsidP="00A6745F">
      <w:pPr>
        <w:pStyle w:val="EndnoteText"/>
        <w:numPr>
          <w:ilvl w:val="0"/>
          <w:numId w:val="33"/>
        </w:numPr>
        <w:rPr>
          <w:rFonts w:ascii="Arial" w:hAnsi="Arial" w:cs="Arial"/>
        </w:rPr>
      </w:pPr>
      <w:r>
        <w:rPr>
          <w:rStyle w:val="EndnoteReference"/>
        </w:rPr>
        <w:t>24</w:t>
      </w:r>
      <w:r w:rsidRPr="00DD1E1D">
        <w:rPr>
          <w:rFonts w:ascii="Arial" w:hAnsi="Arial" w:cs="Arial"/>
        </w:rPr>
        <w:t xml:space="preserve"> Quick, B. L., Morrow, E., Wilson, S. R., Chung, M., Hartman, D. E., &amp; Koester, B. D. (2025). Psilocybin legalization in the United States and psychological reactance: A test of evidence uncertainty, controlling language, and an ambiguous call to action. Motivation Science, 11(2), 158–167. </w:t>
      </w:r>
      <w:hyperlink r:id="rId24" w:history="1">
        <w:r w:rsidRPr="00DD1E1D">
          <w:rPr>
            <w:rStyle w:val="Hyperlink"/>
            <w:rFonts w:ascii="Arial" w:hAnsi="Arial" w:cs="Arial"/>
          </w:rPr>
          <w:t>https://doi.org/10.1037/mot0000361</w:t>
        </w:r>
      </w:hyperlink>
    </w:p>
    <w:p w14:paraId="7979CEEE" w14:textId="77777777" w:rsidR="00E303BE" w:rsidRPr="00DD1E1D" w:rsidRDefault="00E303BE" w:rsidP="0025111C">
      <w:pPr>
        <w:pStyle w:val="EndnoteText"/>
        <w:ind w:hanging="720"/>
        <w:rPr>
          <w:rFonts w:ascii="Arial" w:hAnsi="Arial" w:cs="Arial"/>
        </w:rPr>
      </w:pPr>
    </w:p>
  </w:endnote>
  <w:endnote w:id="25">
    <w:p w14:paraId="2B025D4E" w14:textId="0651E0A0"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25</w:t>
      </w:r>
      <w:r w:rsidRPr="00A6745F">
        <w:rPr>
          <w:rFonts w:ascii="Arial" w:hAnsi="Arial" w:cs="Arial"/>
        </w:rPr>
        <w:t xml:space="preserve"> Al</w:t>
      </w:r>
      <w:r w:rsidRPr="00A6745F">
        <w:rPr>
          <w:rFonts w:ascii="Cambria Math" w:hAnsi="Cambria Math" w:cs="Cambria Math"/>
        </w:rPr>
        <w:t>‐</w:t>
      </w:r>
      <w:r w:rsidRPr="00A6745F">
        <w:rPr>
          <w:rFonts w:ascii="Arial" w:hAnsi="Arial" w:cs="Arial"/>
        </w:rPr>
        <w:t>Metwali, B. Z., Al</w:t>
      </w:r>
      <w:r w:rsidRPr="00A6745F">
        <w:rPr>
          <w:rFonts w:ascii="Cambria Math" w:hAnsi="Cambria Math" w:cs="Cambria Math"/>
        </w:rPr>
        <w:t>‐</w:t>
      </w:r>
      <w:r w:rsidRPr="00A6745F">
        <w:rPr>
          <w:rFonts w:ascii="Arial" w:hAnsi="Arial" w:cs="Arial"/>
        </w:rPr>
        <w:t>Jumaili, A. A., Al</w:t>
      </w:r>
      <w:r w:rsidRPr="00A6745F">
        <w:rPr>
          <w:rFonts w:ascii="Cambria Math" w:hAnsi="Cambria Math" w:cs="Cambria Math"/>
        </w:rPr>
        <w:t>‐</w:t>
      </w:r>
      <w:r w:rsidRPr="00A6745F">
        <w:rPr>
          <w:rFonts w:ascii="Arial" w:hAnsi="Arial" w:cs="Arial"/>
        </w:rPr>
        <w:t xml:space="preserve">Alag, Z. A., &amp; Sorofman, B. (2021). Exploring the acceptance of COVID </w:t>
      </w:r>
      <w:r w:rsidRPr="00A6745F">
        <w:rPr>
          <w:rFonts w:ascii="Cambria Math" w:hAnsi="Cambria Math" w:cs="Cambria Math"/>
        </w:rPr>
        <w:t>‐</w:t>
      </w:r>
      <w:r w:rsidRPr="00A6745F">
        <w:rPr>
          <w:rFonts w:ascii="Arial" w:hAnsi="Arial" w:cs="Arial"/>
        </w:rPr>
        <w:t xml:space="preserve">19 vaccine among healthcare workers and general population using health belief model. Journal of Evaluation in Clinical Practice, 27(5). </w:t>
      </w:r>
      <w:hyperlink r:id="rId25" w:history="1">
        <w:r w:rsidRPr="00A6745F">
          <w:rPr>
            <w:rStyle w:val="Hyperlink"/>
            <w:rFonts w:ascii="Arial" w:hAnsi="Arial" w:cs="Arial"/>
          </w:rPr>
          <w:t>https://doi.org/10.1111/jep.13581</w:t>
        </w:r>
      </w:hyperlink>
    </w:p>
    <w:p w14:paraId="14C24C36" w14:textId="77777777" w:rsidR="00E303BE" w:rsidRPr="00DD1E1D" w:rsidRDefault="00E303BE" w:rsidP="0025111C">
      <w:pPr>
        <w:pStyle w:val="EndnoteText"/>
        <w:ind w:hanging="720"/>
        <w:rPr>
          <w:rFonts w:ascii="Arial" w:hAnsi="Arial" w:cs="Arial"/>
        </w:rPr>
      </w:pPr>
    </w:p>
  </w:endnote>
  <w:endnote w:id="26">
    <w:p w14:paraId="110DC677" w14:textId="67A74156"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26</w:t>
      </w:r>
      <w:r w:rsidRPr="00A6745F">
        <w:rPr>
          <w:rFonts w:ascii="Arial" w:hAnsi="Arial" w:cs="Arial"/>
        </w:rPr>
        <w:t xml:space="preserve"> Bonar, E. E., &amp; Rosenberg, H. (2011). Using the health belief model to predict injecting drug users’ intentions to employ harm reduction strategies. Addictive Behaviors, 36(11), 1038–1044. </w:t>
      </w:r>
      <w:hyperlink r:id="rId26" w:history="1">
        <w:r w:rsidRPr="00A6745F">
          <w:rPr>
            <w:rStyle w:val="Hyperlink"/>
            <w:rFonts w:ascii="Arial" w:hAnsi="Arial" w:cs="Arial"/>
          </w:rPr>
          <w:t>https://doi.org/10.1016/j.addbeh.2011.06.01</w:t>
        </w:r>
      </w:hyperlink>
    </w:p>
    <w:p w14:paraId="5883870A" w14:textId="77777777" w:rsidR="00E303BE" w:rsidRPr="00DD1E1D" w:rsidRDefault="00E303BE" w:rsidP="0025111C">
      <w:pPr>
        <w:pStyle w:val="EndnoteText"/>
        <w:ind w:hanging="720"/>
        <w:rPr>
          <w:rFonts w:ascii="Arial" w:hAnsi="Arial" w:cs="Arial"/>
        </w:rPr>
      </w:pPr>
    </w:p>
  </w:endnote>
  <w:endnote w:id="27">
    <w:p w14:paraId="68F3C257" w14:textId="69EF5539"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27</w:t>
      </w:r>
      <w:r w:rsidRPr="00A6745F">
        <w:rPr>
          <w:rFonts w:ascii="Arial" w:hAnsi="Arial" w:cs="Arial"/>
        </w:rPr>
        <w:t xml:space="preserve"> Dillon, P. J., Kedia, S. K., Isehunwa, O. O., &amp; Sharma, M. (2020). Motivations for Treatment Engagement in a Residential Substance Use Disorder Treatment Program: A Qualitative Study. Substance Abuse: Research and Treatment, 14, 117822182094068. </w:t>
      </w:r>
      <w:hyperlink r:id="rId27" w:history="1">
        <w:r w:rsidRPr="00A6745F">
          <w:rPr>
            <w:rStyle w:val="Hyperlink"/>
            <w:rFonts w:ascii="Arial" w:hAnsi="Arial" w:cs="Arial"/>
          </w:rPr>
          <w:t>https://doi.org/10.1177/1178221820940682</w:t>
        </w:r>
      </w:hyperlink>
    </w:p>
    <w:p w14:paraId="6A738348" w14:textId="77777777" w:rsidR="00E303BE" w:rsidRPr="00DD1E1D" w:rsidRDefault="00E303BE" w:rsidP="0025111C">
      <w:pPr>
        <w:pStyle w:val="EndnoteText"/>
        <w:ind w:hanging="720"/>
        <w:rPr>
          <w:rFonts w:ascii="Arial" w:hAnsi="Arial" w:cs="Arial"/>
        </w:rPr>
      </w:pPr>
    </w:p>
  </w:endnote>
  <w:endnote w:id="28">
    <w:p w14:paraId="585C5B05" w14:textId="35652EA0"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28</w:t>
      </w:r>
      <w:r w:rsidRPr="00A6745F">
        <w:rPr>
          <w:rFonts w:ascii="Arial" w:hAnsi="Arial" w:cs="Arial"/>
        </w:rPr>
        <w:t xml:space="preserve"> Fadaei, M. H., Farokhzadian, J., Miri, S., &amp; Goojani, R. (2020). Promoting drug abuse preventive behaviors in adolescent students based on the health belief model. International Journal of Adolescent Medicine and Health, 0(0). </w:t>
      </w:r>
      <w:hyperlink r:id="rId28" w:history="1">
        <w:r w:rsidRPr="00A6745F">
          <w:rPr>
            <w:rStyle w:val="Hyperlink"/>
            <w:rFonts w:ascii="Arial" w:hAnsi="Arial" w:cs="Arial"/>
          </w:rPr>
          <w:t>https://doi.org/10.1515/ijamh-2019-0170</w:t>
        </w:r>
      </w:hyperlink>
    </w:p>
    <w:p w14:paraId="6A1CB757" w14:textId="77777777" w:rsidR="00E303BE" w:rsidRPr="00DD1E1D" w:rsidRDefault="00E303BE" w:rsidP="0025111C">
      <w:pPr>
        <w:pStyle w:val="EndnoteText"/>
        <w:ind w:hanging="720"/>
        <w:rPr>
          <w:rFonts w:ascii="Arial" w:hAnsi="Arial" w:cs="Arial"/>
        </w:rPr>
      </w:pPr>
    </w:p>
  </w:endnote>
  <w:endnote w:id="29">
    <w:p w14:paraId="19A55DDD" w14:textId="0094EB97"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29</w:t>
      </w:r>
      <w:r w:rsidRPr="00A6745F">
        <w:rPr>
          <w:rFonts w:ascii="Arial" w:hAnsi="Arial" w:cs="Arial"/>
        </w:rPr>
        <w:t xml:space="preserve"> Burak, L. J., &amp; Meyer, M. (1997). Using the health belief model to examine and predict college women’s cervical cancer screening beliefs and behavior. Health Care for Women International, 18(3), 251–262. </w:t>
      </w:r>
      <w:hyperlink r:id="rId29" w:history="1">
        <w:r w:rsidRPr="00A6745F">
          <w:rPr>
            <w:rStyle w:val="Hyperlink"/>
            <w:rFonts w:ascii="Arial" w:hAnsi="Arial" w:cs="Arial"/>
          </w:rPr>
          <w:t>https://doi.org/10.1080/07399339709516279</w:t>
        </w:r>
      </w:hyperlink>
    </w:p>
    <w:p w14:paraId="780EB342" w14:textId="77777777" w:rsidR="00E303BE" w:rsidRPr="00DD1E1D" w:rsidRDefault="00E303BE" w:rsidP="0025111C">
      <w:pPr>
        <w:pStyle w:val="EndnoteText"/>
        <w:ind w:hanging="720"/>
        <w:rPr>
          <w:rFonts w:ascii="Arial" w:hAnsi="Arial" w:cs="Arial"/>
        </w:rPr>
      </w:pPr>
    </w:p>
  </w:endnote>
  <w:endnote w:id="30">
    <w:p w14:paraId="3FDFC173" w14:textId="237ED473"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30</w:t>
      </w:r>
      <w:r w:rsidRPr="00A6745F">
        <w:rPr>
          <w:rFonts w:ascii="Arial" w:hAnsi="Arial" w:cs="Arial"/>
        </w:rPr>
        <w:t xml:space="preserve"> Mohammadnabizadeh, S., Najafpoo, A., Vahedian-Shahroodi, M., &amp; Ghavami, V. (2022). Predicting preventive behaviors of cardiovascular disease among oil industry workers based on health belief model. Journal of Education and Health Promotion, 11(1), 346. </w:t>
      </w:r>
      <w:hyperlink r:id="rId30" w:history="1">
        <w:r w:rsidRPr="00A6745F">
          <w:rPr>
            <w:rStyle w:val="Hyperlink"/>
            <w:rFonts w:ascii="Arial" w:hAnsi="Arial" w:cs="Arial"/>
          </w:rPr>
          <w:t>https://doi.org/10.4103/jehp.jehp_158_22</w:t>
        </w:r>
      </w:hyperlink>
    </w:p>
    <w:p w14:paraId="060D36F7" w14:textId="77777777" w:rsidR="00E303BE" w:rsidRPr="00DD1E1D" w:rsidRDefault="00E303BE" w:rsidP="0025111C">
      <w:pPr>
        <w:pStyle w:val="EndnoteText"/>
        <w:ind w:hanging="720"/>
        <w:rPr>
          <w:rFonts w:ascii="Arial" w:hAnsi="Arial" w:cs="Arial"/>
        </w:rPr>
      </w:pPr>
    </w:p>
  </w:endnote>
  <w:endnote w:id="31">
    <w:p w14:paraId="094619D7" w14:textId="23C22010"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31</w:t>
      </w:r>
      <w:r w:rsidRPr="00A6745F">
        <w:rPr>
          <w:rFonts w:ascii="Arial" w:hAnsi="Arial" w:cs="Arial"/>
        </w:rPr>
        <w:t xml:space="preserve"> Rahmati Najarkolaei, F., Tavafian, S. S., Gholami Fesharaki, M., &amp; Jafari, M. R. (2015). Factors Predicting Nutrition and Physical Activity Behaviors Due to Cardiovascular Disease in Tehran University Students: Application of Health Belief Model. Iranian Red Crescent Medical Journal, 17(3). </w:t>
      </w:r>
      <w:hyperlink r:id="rId31" w:history="1">
        <w:r w:rsidRPr="00A6745F">
          <w:rPr>
            <w:rStyle w:val="Hyperlink"/>
            <w:rFonts w:ascii="Arial" w:hAnsi="Arial" w:cs="Arial"/>
          </w:rPr>
          <w:t>https://doi.org/10.5812/ircmj.18879</w:t>
        </w:r>
      </w:hyperlink>
    </w:p>
    <w:p w14:paraId="615A0A05" w14:textId="77777777" w:rsidR="00E303BE" w:rsidRPr="00DD1E1D" w:rsidRDefault="00E303BE" w:rsidP="0025111C">
      <w:pPr>
        <w:pStyle w:val="EndnoteText"/>
        <w:ind w:hanging="720"/>
        <w:rPr>
          <w:rFonts w:ascii="Arial" w:hAnsi="Arial" w:cs="Arial"/>
        </w:rPr>
      </w:pPr>
    </w:p>
  </w:endnote>
  <w:endnote w:id="32">
    <w:p w14:paraId="443301EA" w14:textId="78AD80B4"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32</w:t>
      </w:r>
      <w:r w:rsidRPr="00A6745F">
        <w:rPr>
          <w:rFonts w:ascii="Arial" w:hAnsi="Arial" w:cs="Arial"/>
        </w:rPr>
        <w:t xml:space="preserve"> Muslim, S. H., Al-Jumaili, A. A., &amp; Al-Ani, H. A. (2025). Delving into the elements impacting treatment acceptance among patients with substance use disorder using health belief model: A qualitative study. BMC Psychology, 13, 177. </w:t>
      </w:r>
      <w:r w:rsidR="000E2C95" w:rsidRPr="000E2C95">
        <w:t>https://doi.org/10.1186/s40359-025-02469-7</w:t>
      </w:r>
    </w:p>
    <w:p w14:paraId="73DD3EA1" w14:textId="77777777" w:rsidR="00E303BE" w:rsidRPr="00DD1E1D" w:rsidRDefault="00E303BE" w:rsidP="0025111C">
      <w:pPr>
        <w:pStyle w:val="EndnoteText"/>
        <w:ind w:hanging="720"/>
        <w:rPr>
          <w:rFonts w:ascii="Arial" w:hAnsi="Arial" w:cs="Arial"/>
        </w:rPr>
      </w:pPr>
    </w:p>
  </w:endnote>
  <w:endnote w:id="33">
    <w:p w14:paraId="50E6B026" w14:textId="337BAB4D"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33</w:t>
      </w:r>
      <w:r w:rsidRPr="00A6745F">
        <w:rPr>
          <w:rFonts w:ascii="Arial" w:hAnsi="Arial" w:cs="Arial"/>
        </w:rPr>
        <w:t xml:space="preserve"> Adams, J., &amp; Scott, J. (2000). Predicting medication adherence in severe mental disorders. Acta Psychiatrica Scandinavica, 101(2), 119–124. </w:t>
      </w:r>
      <w:hyperlink r:id="rId32" w:history="1">
        <w:r w:rsidR="000E2C95" w:rsidRPr="000E44AF">
          <w:rPr>
            <w:rStyle w:val="Hyperlink"/>
          </w:rPr>
          <w:t>https://doi.org/10.1034/j.1600-0447.2000.90061.x</w:t>
        </w:r>
      </w:hyperlink>
      <w:r w:rsidR="000E2C95">
        <w:t xml:space="preserve"> </w:t>
      </w:r>
    </w:p>
    <w:p w14:paraId="3D008FE0" w14:textId="77777777" w:rsidR="00E303BE" w:rsidRPr="00DD1E1D" w:rsidRDefault="00E303BE" w:rsidP="0025111C">
      <w:pPr>
        <w:pStyle w:val="EndnoteText"/>
        <w:ind w:hanging="720"/>
        <w:rPr>
          <w:rFonts w:ascii="Arial" w:hAnsi="Arial" w:cs="Arial"/>
        </w:rPr>
      </w:pPr>
    </w:p>
  </w:endnote>
  <w:endnote w:id="34">
    <w:p w14:paraId="3CED121F" w14:textId="4B27171E" w:rsidR="00E303BE" w:rsidRPr="00DD1E1D" w:rsidRDefault="00E303BE" w:rsidP="00A6745F">
      <w:pPr>
        <w:pStyle w:val="EndnoteText"/>
        <w:numPr>
          <w:ilvl w:val="0"/>
          <w:numId w:val="33"/>
        </w:numPr>
        <w:rPr>
          <w:rFonts w:ascii="Arial" w:hAnsi="Arial" w:cs="Arial"/>
        </w:rPr>
      </w:pPr>
      <w:r>
        <w:rPr>
          <w:rStyle w:val="EndnoteReference"/>
        </w:rPr>
        <w:t>34</w:t>
      </w:r>
      <w:r>
        <w:rPr>
          <w:rFonts w:ascii="Arial" w:hAnsi="Arial" w:cs="Arial"/>
        </w:rPr>
        <w:t xml:space="preserve"> </w:t>
      </w:r>
      <w:r w:rsidRPr="00DD1E1D">
        <w:rPr>
          <w:rFonts w:ascii="Arial" w:hAnsi="Arial" w:cs="Arial"/>
        </w:rPr>
        <w:t xml:space="preserve">Jacobson Vann, J. C., Finkle, J., Ammerman, A., Wegner, S., Skinner, A. C., Benjamin, J. T., &amp; Perrin, E. M. (2011). Use of a Tool to Determine Perceived Barriers to Children’s Healthy Eating and Physical Activity and Relationships to Health Behaviors. Journal of Pediatric Nursing, 26(5), 404–415. </w:t>
      </w:r>
      <w:hyperlink r:id="rId33" w:history="1">
        <w:r w:rsidRPr="00DD1E1D">
          <w:rPr>
            <w:rStyle w:val="Hyperlink"/>
            <w:rFonts w:ascii="Arial" w:hAnsi="Arial" w:cs="Arial"/>
          </w:rPr>
          <w:t>https://doi.org/10.1016/j.pedn.2010.10.011</w:t>
        </w:r>
      </w:hyperlink>
    </w:p>
    <w:p w14:paraId="6DDD1430" w14:textId="77777777" w:rsidR="00E303BE" w:rsidRPr="00DD1E1D" w:rsidRDefault="00E303BE" w:rsidP="0025111C">
      <w:pPr>
        <w:pStyle w:val="EndnoteText"/>
        <w:ind w:hanging="720"/>
        <w:rPr>
          <w:rFonts w:ascii="Arial" w:hAnsi="Arial" w:cs="Arial"/>
        </w:rPr>
      </w:pPr>
    </w:p>
  </w:endnote>
  <w:endnote w:id="35">
    <w:p w14:paraId="3CABDE2C" w14:textId="54E25479"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35</w:t>
      </w:r>
      <w:r w:rsidRPr="00A6745F">
        <w:rPr>
          <w:rFonts w:ascii="Arial" w:hAnsi="Arial" w:cs="Arial"/>
        </w:rPr>
        <w:t xml:space="preserve"> Orji, R., Vassileva, J., &amp; Mandryk, R. (2012). Towards an Effective Health Interventions Design: An Extension of the Health Belief Model. Online Journal of Public Health Informatics, 4(3). </w:t>
      </w:r>
      <w:hyperlink r:id="rId34" w:history="1">
        <w:r w:rsidRPr="00A6745F">
          <w:rPr>
            <w:rStyle w:val="Hyperlink"/>
            <w:rFonts w:ascii="Arial" w:hAnsi="Arial" w:cs="Arial"/>
          </w:rPr>
          <w:t>https://doi.org/10.5210/ojphi.v4i3.4321</w:t>
        </w:r>
      </w:hyperlink>
    </w:p>
    <w:p w14:paraId="28772157" w14:textId="77777777" w:rsidR="00E303BE" w:rsidRPr="00DD1E1D" w:rsidRDefault="00E303BE" w:rsidP="0025111C">
      <w:pPr>
        <w:pStyle w:val="EndnoteText"/>
        <w:ind w:hanging="720"/>
        <w:rPr>
          <w:rFonts w:ascii="Arial" w:hAnsi="Arial" w:cs="Arial"/>
        </w:rPr>
      </w:pPr>
    </w:p>
  </w:endnote>
  <w:endnote w:id="36">
    <w:p w14:paraId="1D890B49" w14:textId="77777777" w:rsidR="00E303BE" w:rsidRDefault="00E303BE">
      <w:pPr>
        <w:pStyle w:val="EndnoteText"/>
      </w:pPr>
    </w:p>
  </w:endnote>
  <w:endnote w:id="37">
    <w:p w14:paraId="5452D688" w14:textId="42E185BD" w:rsidR="00E303BE" w:rsidRPr="00DD1E1D" w:rsidRDefault="00E303BE" w:rsidP="00A6745F">
      <w:pPr>
        <w:pStyle w:val="EndnoteText"/>
        <w:numPr>
          <w:ilvl w:val="0"/>
          <w:numId w:val="33"/>
        </w:numPr>
        <w:rPr>
          <w:rFonts w:ascii="Arial" w:hAnsi="Arial" w:cs="Arial"/>
        </w:rPr>
      </w:pPr>
      <w:r>
        <w:rPr>
          <w:rStyle w:val="EndnoteReference"/>
        </w:rPr>
        <w:t>36</w:t>
      </w:r>
      <w:r>
        <w:rPr>
          <w:rFonts w:ascii="Arial" w:hAnsi="Arial" w:cs="Arial"/>
        </w:rPr>
        <w:t xml:space="preserve"> </w:t>
      </w:r>
      <w:r w:rsidRPr="00DD1E1D">
        <w:rPr>
          <w:rFonts w:ascii="Arial" w:hAnsi="Arial" w:cs="Arial"/>
        </w:rPr>
        <w:t xml:space="preserve">Arubuolawe, O. O., Folorunsho, I. L., Busari, A. K., Chidalu Ibeneme, Diala, A. B., Afolabi, V. I., Harry, N. M., Kenechukwu Anona, Obitulata-Ugwu, V. O., Kuye, O. A., &amp; Anugwom, G. O. (2024). Combination of Transcranial Magnetic Stimulation and Ketamine in Treatment-Resistant Depression: A Systematic Review. Cureus. </w:t>
      </w:r>
      <w:hyperlink r:id="rId35" w:history="1">
        <w:r w:rsidRPr="00DD1E1D">
          <w:rPr>
            <w:rStyle w:val="Hyperlink"/>
            <w:rFonts w:ascii="Arial" w:hAnsi="Arial" w:cs="Arial"/>
          </w:rPr>
          <w:t>https://doi.org/10.7759/cureus.64712</w:t>
        </w:r>
      </w:hyperlink>
    </w:p>
    <w:p w14:paraId="08FCF4C1" w14:textId="77777777" w:rsidR="00E303BE" w:rsidRPr="00DD1E1D" w:rsidRDefault="00E303BE" w:rsidP="0025111C">
      <w:pPr>
        <w:pStyle w:val="EndnoteText"/>
        <w:ind w:hanging="720"/>
        <w:rPr>
          <w:rFonts w:ascii="Arial" w:hAnsi="Arial" w:cs="Arial"/>
        </w:rPr>
      </w:pPr>
    </w:p>
  </w:endnote>
  <w:endnote w:id="38">
    <w:p w14:paraId="4A83A515" w14:textId="111B4D64" w:rsidR="00E303BE" w:rsidRPr="00DD1E1D" w:rsidRDefault="00E303BE" w:rsidP="00A6745F">
      <w:pPr>
        <w:pStyle w:val="EndnoteText"/>
        <w:numPr>
          <w:ilvl w:val="0"/>
          <w:numId w:val="33"/>
        </w:numPr>
        <w:rPr>
          <w:rFonts w:ascii="Arial" w:hAnsi="Arial" w:cs="Arial"/>
        </w:rPr>
      </w:pPr>
      <w:r>
        <w:rPr>
          <w:rStyle w:val="EndnoteReference"/>
        </w:rPr>
        <w:t>37</w:t>
      </w:r>
      <w:r>
        <w:rPr>
          <w:rFonts w:ascii="Arial" w:hAnsi="Arial" w:cs="Arial"/>
        </w:rPr>
        <w:t xml:space="preserve"> </w:t>
      </w:r>
      <w:r w:rsidRPr="00DD1E1D">
        <w:rPr>
          <w:rFonts w:ascii="Arial" w:hAnsi="Arial" w:cs="Arial"/>
        </w:rPr>
        <w:t xml:space="preserve">Gálvez, V., Ho, K.-A., Alonzo, A., Martin, D., George, D., &amp; Loo, C. K. (2015). Neuromodulation Therapies for Geriatric Depression. Current Psychiatry Reports, 17(7). </w:t>
      </w:r>
      <w:hyperlink r:id="rId36" w:history="1">
        <w:r w:rsidRPr="00DD1E1D">
          <w:rPr>
            <w:rStyle w:val="Hyperlink"/>
            <w:rFonts w:ascii="Arial" w:hAnsi="Arial" w:cs="Arial"/>
          </w:rPr>
          <w:t>https://doi.org/10.1007/s11920-015-0592-y</w:t>
        </w:r>
      </w:hyperlink>
    </w:p>
    <w:p w14:paraId="3760E591" w14:textId="77777777" w:rsidR="00E303BE" w:rsidRPr="00DD1E1D" w:rsidRDefault="00E303BE" w:rsidP="0025111C">
      <w:pPr>
        <w:pStyle w:val="EndnoteText"/>
        <w:ind w:hanging="720"/>
        <w:rPr>
          <w:rFonts w:ascii="Arial" w:hAnsi="Arial" w:cs="Arial"/>
        </w:rPr>
      </w:pPr>
    </w:p>
  </w:endnote>
  <w:endnote w:id="39">
    <w:p w14:paraId="6F08F7CE" w14:textId="5E816016"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38</w:t>
      </w:r>
      <w:r w:rsidRPr="00A6745F">
        <w:rPr>
          <w:rFonts w:ascii="Arial" w:hAnsi="Arial" w:cs="Arial"/>
        </w:rPr>
        <w:t xml:space="preserve"> Slotema, C. W., Blom, J. D., Hoek, H. W., &amp; Sommer, I. E. (2010). Should we expand the toolbox of psychiatric treatment methods to include repetitive transcranial magnetic stimulation (rTMS)? A meta-analysis of the efficacy of rTMS in psychiatric disorders. The Journal of Clinical Psychiatry, 71(7), 873–884.</w:t>
      </w:r>
      <w:r w:rsidR="000E2C95">
        <w:rPr>
          <w:rFonts w:ascii="Arial" w:hAnsi="Arial" w:cs="Arial"/>
        </w:rPr>
        <w:t xml:space="preserve"> </w:t>
      </w:r>
      <w:hyperlink r:id="rId37" w:history="1">
        <w:r w:rsidR="000E2C95" w:rsidRPr="000E44AF">
          <w:rPr>
            <w:rStyle w:val="Hyperlink"/>
            <w:rFonts w:ascii="Arial" w:hAnsi="Arial" w:cs="Arial"/>
          </w:rPr>
          <w:t>https://doi.org/10.4088/JCP.08m04872gre</w:t>
        </w:r>
      </w:hyperlink>
      <w:r w:rsidR="000E2C95">
        <w:rPr>
          <w:rFonts w:ascii="Arial" w:hAnsi="Arial" w:cs="Arial"/>
        </w:rPr>
        <w:t xml:space="preserve"> </w:t>
      </w:r>
    </w:p>
    <w:p w14:paraId="46177CAB" w14:textId="77777777" w:rsidR="00E303BE" w:rsidRPr="00DD1E1D" w:rsidRDefault="00E303BE" w:rsidP="0025111C">
      <w:pPr>
        <w:pStyle w:val="EndnoteText"/>
        <w:ind w:hanging="720"/>
        <w:rPr>
          <w:rFonts w:ascii="Arial" w:hAnsi="Arial" w:cs="Arial"/>
        </w:rPr>
      </w:pPr>
    </w:p>
  </w:endnote>
  <w:endnote w:id="40">
    <w:p w14:paraId="3FDEC351" w14:textId="0541FA68"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39</w:t>
      </w:r>
      <w:r w:rsidRPr="00A6745F">
        <w:rPr>
          <w:rFonts w:ascii="Arial" w:hAnsi="Arial" w:cs="Arial"/>
        </w:rPr>
        <w:t xml:space="preserve"> Rossi, S., Hallett, M., Rossini, P. M., &amp; Pascual-Leone, A. (2009). Safety, ethical considerations, and application guidelines for the use of transcranial magnetic stimulation in clinical practice and research. Clinical Neurophysiology, 120(12), 2008–2039. </w:t>
      </w:r>
      <w:hyperlink r:id="rId38" w:history="1">
        <w:r w:rsidRPr="00A6745F">
          <w:rPr>
            <w:rStyle w:val="Hyperlink"/>
            <w:rFonts w:ascii="Arial" w:hAnsi="Arial" w:cs="Arial"/>
          </w:rPr>
          <w:t>https://doi.org/10.1016/j.clinph.2009.08.016</w:t>
        </w:r>
      </w:hyperlink>
    </w:p>
    <w:p w14:paraId="5FF7C607" w14:textId="77777777" w:rsidR="00E303BE" w:rsidRPr="00DD1E1D" w:rsidRDefault="00E303BE" w:rsidP="0025111C">
      <w:pPr>
        <w:pStyle w:val="EndnoteText"/>
        <w:ind w:hanging="720"/>
        <w:rPr>
          <w:rFonts w:ascii="Arial" w:hAnsi="Arial" w:cs="Arial"/>
        </w:rPr>
      </w:pPr>
    </w:p>
  </w:endnote>
  <w:endnote w:id="41">
    <w:p w14:paraId="53CC98D5" w14:textId="260D646B" w:rsidR="00E303BE" w:rsidRPr="00DD1E1D" w:rsidRDefault="00E303BE" w:rsidP="00A6745F">
      <w:pPr>
        <w:pStyle w:val="EndnoteText"/>
        <w:numPr>
          <w:ilvl w:val="0"/>
          <w:numId w:val="33"/>
        </w:numPr>
        <w:rPr>
          <w:rFonts w:ascii="Arial" w:hAnsi="Arial" w:cs="Arial"/>
        </w:rPr>
      </w:pPr>
      <w:r>
        <w:rPr>
          <w:rStyle w:val="EndnoteReference"/>
        </w:rPr>
        <w:t>40</w:t>
      </w:r>
      <w:r>
        <w:rPr>
          <w:rFonts w:ascii="Arial" w:hAnsi="Arial" w:cs="Arial"/>
        </w:rPr>
        <w:t xml:space="preserve"> </w:t>
      </w:r>
      <w:r w:rsidRPr="00DD1E1D">
        <w:rPr>
          <w:rFonts w:ascii="Arial" w:hAnsi="Arial" w:cs="Arial"/>
        </w:rPr>
        <w:t>Short, B., Fong, J., Galvez, V., Shelker, W., &amp; Loo, C. K. (2018). Side-effects associated with ketamine use in depression: a systematic review. The Lancet Psychiatry, 5(1), 65–78.</w:t>
      </w:r>
      <w:r w:rsidR="006B54B2">
        <w:rPr>
          <w:rFonts w:ascii="Arial" w:hAnsi="Arial" w:cs="Arial"/>
        </w:rPr>
        <w:t xml:space="preserve"> </w:t>
      </w:r>
      <w:hyperlink r:id="rId39" w:history="1">
        <w:r w:rsidR="006B54B2" w:rsidRPr="000E44AF">
          <w:rPr>
            <w:rStyle w:val="Hyperlink"/>
            <w:rFonts w:ascii="Arial" w:hAnsi="Arial" w:cs="Arial"/>
          </w:rPr>
          <w:t>https://doi.org/10.1016/S2215-0366(17)30272-9</w:t>
        </w:r>
      </w:hyperlink>
      <w:r w:rsidR="006B54B2">
        <w:rPr>
          <w:rFonts w:ascii="Arial" w:hAnsi="Arial" w:cs="Arial"/>
        </w:rPr>
        <w:t xml:space="preserve"> </w:t>
      </w:r>
    </w:p>
    <w:p w14:paraId="6B0FFF8A" w14:textId="393ACF94" w:rsidR="00E303BE" w:rsidRPr="00DD1E1D" w:rsidRDefault="00E303BE" w:rsidP="00A6745F">
      <w:pPr>
        <w:pStyle w:val="EndnoteText"/>
        <w:ind w:hanging="660"/>
        <w:rPr>
          <w:rFonts w:ascii="Arial" w:hAnsi="Arial" w:cs="Arial"/>
        </w:rPr>
      </w:pPr>
    </w:p>
  </w:endnote>
  <w:endnote w:id="42">
    <w:p w14:paraId="65502BFF" w14:textId="51F936A0"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41</w:t>
      </w:r>
      <w:r w:rsidRPr="00A6745F">
        <w:rPr>
          <w:rFonts w:ascii="Arial" w:hAnsi="Arial" w:cs="Arial"/>
        </w:rPr>
        <w:t xml:space="preserve"> Weronika Dębowska, Więdłocha, M., Dębowska, M., Zuzanna Kownacka, Piotr Marcinowicz, &amp; Szulc, A. (2023). Transcranial magnetic stimulation and ketamine: implications for combined treatment in depression. Frontiers in Neuroscience, 17. </w:t>
      </w:r>
      <w:hyperlink r:id="rId40" w:history="1">
        <w:r w:rsidRPr="00A6745F">
          <w:rPr>
            <w:rStyle w:val="Hyperlink"/>
            <w:rFonts w:ascii="Arial" w:hAnsi="Arial" w:cs="Arial"/>
          </w:rPr>
          <w:t>https://doi.org/10.3389/fnins.2023.1267647</w:t>
        </w:r>
      </w:hyperlink>
    </w:p>
    <w:p w14:paraId="4FB4C641" w14:textId="77777777" w:rsidR="00E303BE" w:rsidRPr="00DD1E1D" w:rsidRDefault="00E303BE" w:rsidP="0025111C">
      <w:pPr>
        <w:pStyle w:val="EndnoteText"/>
        <w:ind w:hanging="720"/>
        <w:rPr>
          <w:rFonts w:ascii="Arial" w:hAnsi="Arial" w:cs="Arial"/>
        </w:rPr>
      </w:pPr>
    </w:p>
  </w:endnote>
  <w:endnote w:id="43">
    <w:p w14:paraId="74A2F6EB" w14:textId="4BDF0B5A" w:rsidR="00E303BE" w:rsidRPr="00DD1E1D" w:rsidRDefault="00E303BE" w:rsidP="00A6745F">
      <w:pPr>
        <w:pStyle w:val="EndnoteText"/>
        <w:numPr>
          <w:ilvl w:val="0"/>
          <w:numId w:val="33"/>
        </w:numPr>
        <w:rPr>
          <w:rFonts w:ascii="Arial" w:hAnsi="Arial" w:cs="Arial"/>
        </w:rPr>
      </w:pPr>
      <w:r>
        <w:rPr>
          <w:rStyle w:val="EndnoteReference"/>
        </w:rPr>
        <w:t>42</w:t>
      </w:r>
      <w:r>
        <w:rPr>
          <w:rFonts w:ascii="Arial" w:hAnsi="Arial" w:cs="Arial"/>
        </w:rPr>
        <w:t xml:space="preserve"> </w:t>
      </w:r>
      <w:r w:rsidRPr="00DD1E1D">
        <w:rPr>
          <w:rFonts w:ascii="Arial" w:hAnsi="Arial" w:cs="Arial"/>
        </w:rPr>
        <w:t xml:space="preserve">Lucido, M. J., &amp; Dunlop, B. W. (2025). Emerging Medications for Treatment-Resistant Depression: A Review with Perspective on Mechanisms and Challenges. Brain Sciences, 15(2), 161–161. </w:t>
      </w:r>
      <w:hyperlink r:id="rId41" w:history="1">
        <w:r w:rsidRPr="00DD1E1D">
          <w:rPr>
            <w:rStyle w:val="Hyperlink"/>
            <w:rFonts w:ascii="Arial" w:hAnsi="Arial" w:cs="Arial"/>
          </w:rPr>
          <w:t>https://doi.org/10.3390/brainsci15020161</w:t>
        </w:r>
      </w:hyperlink>
    </w:p>
    <w:p w14:paraId="2AE78A7C" w14:textId="77777777" w:rsidR="00E303BE" w:rsidRPr="00DD1E1D" w:rsidRDefault="00E303BE" w:rsidP="0025111C">
      <w:pPr>
        <w:pStyle w:val="EndnoteText"/>
        <w:ind w:hanging="720"/>
        <w:rPr>
          <w:rFonts w:ascii="Arial" w:hAnsi="Arial" w:cs="Arial"/>
        </w:rPr>
      </w:pPr>
    </w:p>
  </w:endnote>
  <w:endnote w:id="44">
    <w:p w14:paraId="6AC5EEDF" w14:textId="235674F8" w:rsidR="00E303BE" w:rsidRPr="00DD1E1D" w:rsidRDefault="00E303BE" w:rsidP="00A6745F">
      <w:pPr>
        <w:pStyle w:val="EndnoteText"/>
        <w:numPr>
          <w:ilvl w:val="0"/>
          <w:numId w:val="33"/>
        </w:numPr>
        <w:rPr>
          <w:rFonts w:ascii="Arial" w:hAnsi="Arial" w:cs="Arial"/>
        </w:rPr>
      </w:pPr>
      <w:r>
        <w:rPr>
          <w:rStyle w:val="EndnoteReference"/>
        </w:rPr>
        <w:t>43</w:t>
      </w:r>
      <w:r w:rsidRPr="00DD1E1D">
        <w:rPr>
          <w:rFonts w:ascii="Arial" w:hAnsi="Arial" w:cs="Arial"/>
        </w:rPr>
        <w:t xml:space="preserve"> Nichols, D. E. (2016). Psychedelics. Pharmacological Reviews, 68(2), 264–355. </w:t>
      </w:r>
      <w:hyperlink r:id="rId42" w:history="1">
        <w:r w:rsidRPr="00DD1E1D">
          <w:rPr>
            <w:rStyle w:val="Hyperlink"/>
            <w:rFonts w:ascii="Arial" w:hAnsi="Arial" w:cs="Arial"/>
          </w:rPr>
          <w:t>https://doi.org/10.1124/pr.115.011478</w:t>
        </w:r>
      </w:hyperlink>
    </w:p>
    <w:p w14:paraId="4669DBD2" w14:textId="77777777" w:rsidR="00E303BE" w:rsidRPr="00DD1E1D" w:rsidRDefault="00E303BE" w:rsidP="0025111C">
      <w:pPr>
        <w:pStyle w:val="EndnoteText"/>
        <w:ind w:hanging="720"/>
        <w:rPr>
          <w:rFonts w:ascii="Arial" w:hAnsi="Arial" w:cs="Arial"/>
        </w:rPr>
      </w:pPr>
    </w:p>
  </w:endnote>
  <w:endnote w:id="45">
    <w:p w14:paraId="47BE1D02" w14:textId="17C08C2E" w:rsidR="00E303BE" w:rsidRPr="00DD1E1D" w:rsidRDefault="00E303BE" w:rsidP="00A6745F">
      <w:pPr>
        <w:pStyle w:val="EndnoteText"/>
        <w:numPr>
          <w:ilvl w:val="0"/>
          <w:numId w:val="33"/>
        </w:numPr>
        <w:rPr>
          <w:rFonts w:ascii="Arial" w:hAnsi="Arial" w:cs="Arial"/>
        </w:rPr>
      </w:pPr>
      <w:r>
        <w:rPr>
          <w:rStyle w:val="EndnoteReference"/>
        </w:rPr>
        <w:t>44</w:t>
      </w:r>
      <w:r w:rsidRPr="00DD1E1D">
        <w:rPr>
          <w:rFonts w:ascii="Arial" w:hAnsi="Arial" w:cs="Arial"/>
        </w:rPr>
        <w:t xml:space="preserve"> Carhart-Harris, R. L., Bolstridge, M., Rucker, J., Day, C. M. J., Erritzoe, D., Kaelen, M., Bloomfield, M., Rickard, J. A., Forbes, B., Feilding, A., Taylor, D., Pilling, S., Curran, H. V., &amp; Nutt, D. J. (2016). Psilocybin with psychological support for treatment-resistant depression: An open-label feasibility study. The Lancet Psychiatry, 3(7), 619–627. </w:t>
      </w:r>
      <w:hyperlink r:id="rId43" w:history="1">
        <w:r w:rsidRPr="00DD1E1D">
          <w:rPr>
            <w:rStyle w:val="Hyperlink"/>
            <w:rFonts w:ascii="Arial" w:hAnsi="Arial" w:cs="Arial"/>
          </w:rPr>
          <w:t>https://doi.org/10.1016/S2215-0366(16)30065-7</w:t>
        </w:r>
      </w:hyperlink>
    </w:p>
    <w:p w14:paraId="636BB389" w14:textId="77777777" w:rsidR="00E303BE" w:rsidRPr="00DD1E1D" w:rsidRDefault="00E303BE" w:rsidP="0025111C">
      <w:pPr>
        <w:pStyle w:val="EndnoteText"/>
        <w:ind w:hanging="720"/>
        <w:rPr>
          <w:rFonts w:ascii="Arial" w:hAnsi="Arial" w:cs="Arial"/>
        </w:rPr>
      </w:pPr>
    </w:p>
  </w:endnote>
  <w:endnote w:id="46">
    <w:p w14:paraId="00ECF224" w14:textId="2AA00EC9" w:rsidR="00E303BE" w:rsidRDefault="00E303BE">
      <w:pPr>
        <w:pStyle w:val="EndnoteText"/>
      </w:pPr>
    </w:p>
  </w:endnote>
  <w:endnote w:id="47">
    <w:p w14:paraId="7F06D661" w14:textId="54F89ED3" w:rsidR="00E303BE" w:rsidRPr="00DD1E1D" w:rsidRDefault="00E303BE" w:rsidP="00A6745F">
      <w:pPr>
        <w:pStyle w:val="EndnoteText"/>
        <w:numPr>
          <w:ilvl w:val="0"/>
          <w:numId w:val="33"/>
        </w:numPr>
        <w:rPr>
          <w:rFonts w:ascii="Arial" w:hAnsi="Arial" w:cs="Arial"/>
        </w:rPr>
      </w:pPr>
      <w:r>
        <w:rPr>
          <w:rStyle w:val="EndnoteReference"/>
        </w:rPr>
        <w:t>45</w:t>
      </w:r>
      <w:r w:rsidRPr="00DD1E1D">
        <w:rPr>
          <w:rFonts w:ascii="Arial" w:hAnsi="Arial" w:cs="Arial"/>
        </w:rPr>
        <w:t xml:space="preserve"> Carhart-Harris, R. L., Bolstridge, M., Day, C. M. J., Rucker, J., Watts, R., Erritzoe, D. E., Kaelen, M., Giribaldi, B., Bloomfield, M., Pilling, S., Rickard, J. A., Forbes, B., Feilding, A., Taylor, D., Curran, H. V., &amp; Nutt, D. J. (2018). Psilocybin with psychological support for treatment-resistant depression: Six-month follow-up. Psychopharmacology</w:t>
      </w:r>
      <w:r w:rsidRPr="00DD1E1D">
        <w:rPr>
          <w:rFonts w:ascii="Arial" w:hAnsi="Arial" w:cs="Arial"/>
          <w:i/>
          <w:iCs/>
        </w:rPr>
        <w:t>, 235</w:t>
      </w:r>
      <w:r w:rsidRPr="00DD1E1D">
        <w:rPr>
          <w:rFonts w:ascii="Arial" w:hAnsi="Arial" w:cs="Arial"/>
        </w:rPr>
        <w:t xml:space="preserve">(2), 399–408. </w:t>
      </w:r>
      <w:hyperlink r:id="rId44" w:tgtFrame="_new" w:history="1">
        <w:r w:rsidRPr="00DD1E1D">
          <w:rPr>
            <w:rStyle w:val="Hyperlink"/>
            <w:rFonts w:ascii="Arial" w:hAnsi="Arial" w:cs="Arial"/>
          </w:rPr>
          <w:t>https://doi.org/10.1007/s00213-017-4771-x</w:t>
        </w:r>
      </w:hyperlink>
    </w:p>
    <w:p w14:paraId="445B4019" w14:textId="77777777" w:rsidR="00E303BE" w:rsidRPr="00DD1E1D" w:rsidRDefault="00E303BE" w:rsidP="0025111C">
      <w:pPr>
        <w:pStyle w:val="EndnoteText"/>
        <w:ind w:hanging="720"/>
        <w:rPr>
          <w:rFonts w:ascii="Arial" w:hAnsi="Arial" w:cs="Arial"/>
        </w:rPr>
      </w:pPr>
    </w:p>
  </w:endnote>
  <w:endnote w:id="48">
    <w:p w14:paraId="432734B5" w14:textId="30C260D7" w:rsidR="00E303BE" w:rsidRDefault="00E303BE">
      <w:pPr>
        <w:pStyle w:val="EndnoteText"/>
      </w:pPr>
    </w:p>
  </w:endnote>
  <w:endnote w:id="49">
    <w:p w14:paraId="0363AC6A" w14:textId="78F79D35"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46</w:t>
      </w:r>
      <w:r w:rsidRPr="00A6745F">
        <w:rPr>
          <w:rFonts w:ascii="Arial" w:hAnsi="Arial" w:cs="Arial"/>
        </w:rPr>
        <w:t xml:space="preserve"> Davis, A. K., Barrett, F. S., May, D. G., Cosimano, M. P., Sepeda, N. D., Johnson, M. W., Finan, P. H., &amp; Griffiths, R. R. (2020). Effects of psilocybin-assisted therapy on major depressive disorder. JAMA Psychiatry, 78(5), 481–489. </w:t>
      </w:r>
      <w:hyperlink r:id="rId45" w:history="1">
        <w:r w:rsidRPr="00A6745F">
          <w:rPr>
            <w:rStyle w:val="Hyperlink"/>
            <w:rFonts w:ascii="Arial" w:hAnsi="Arial" w:cs="Arial"/>
          </w:rPr>
          <w:t>https://doi.org/10.1001/jamapsychiatry.2020.3285</w:t>
        </w:r>
      </w:hyperlink>
    </w:p>
    <w:p w14:paraId="21DA0EEA" w14:textId="77777777" w:rsidR="00E303BE" w:rsidRPr="00DD1E1D" w:rsidRDefault="00E303BE" w:rsidP="0025111C">
      <w:pPr>
        <w:pStyle w:val="EndnoteText"/>
        <w:ind w:hanging="720"/>
        <w:rPr>
          <w:rFonts w:ascii="Arial" w:hAnsi="Arial" w:cs="Arial"/>
        </w:rPr>
      </w:pPr>
    </w:p>
  </w:endnote>
  <w:endnote w:id="50">
    <w:p w14:paraId="602B8771" w14:textId="15B2FDA8" w:rsidR="00E303BE" w:rsidRPr="00DD1E1D" w:rsidRDefault="00E303BE" w:rsidP="00A6745F">
      <w:pPr>
        <w:pStyle w:val="EndnoteText"/>
        <w:numPr>
          <w:ilvl w:val="0"/>
          <w:numId w:val="33"/>
        </w:numPr>
        <w:rPr>
          <w:rFonts w:ascii="Arial" w:hAnsi="Arial" w:cs="Arial"/>
        </w:rPr>
      </w:pPr>
      <w:r>
        <w:rPr>
          <w:rStyle w:val="EndnoteReference"/>
        </w:rPr>
        <w:t>47</w:t>
      </w:r>
      <w:r>
        <w:rPr>
          <w:rFonts w:ascii="Arial" w:hAnsi="Arial" w:cs="Arial"/>
        </w:rPr>
        <w:t xml:space="preserve"> </w:t>
      </w:r>
      <w:r w:rsidRPr="00DD1E1D">
        <w:rPr>
          <w:rFonts w:ascii="Arial" w:hAnsi="Arial" w:cs="Arial"/>
        </w:rPr>
        <w:t xml:space="preserve">Carhart-Harris, R., Giribaldi, B., Watts, R., Baker-Jones, M., Murphy-Beiner, A., Murphy, R., Martell, J., Blemings, A., Erritzoe, D., &amp; Nutt, D. J. (2021). </w:t>
      </w:r>
      <w:r w:rsidRPr="00DD1E1D">
        <w:rPr>
          <w:rFonts w:ascii="Arial" w:hAnsi="Arial" w:cs="Arial"/>
          <w:i/>
          <w:iCs/>
        </w:rPr>
        <w:t>Trial of psilocybin versus escitalopram for depression.</w:t>
      </w:r>
      <w:r w:rsidRPr="00DD1E1D">
        <w:rPr>
          <w:rFonts w:ascii="Arial" w:hAnsi="Arial" w:cs="Arial"/>
        </w:rPr>
        <w:t xml:space="preserve"> </w:t>
      </w:r>
      <w:r w:rsidRPr="00DD1E1D">
        <w:rPr>
          <w:rFonts w:ascii="Arial" w:hAnsi="Arial" w:cs="Arial"/>
          <w:i/>
          <w:iCs/>
        </w:rPr>
        <w:t>New England Journal of Medicine, 384</w:t>
      </w:r>
      <w:r w:rsidRPr="00DD1E1D">
        <w:rPr>
          <w:rFonts w:ascii="Arial" w:hAnsi="Arial" w:cs="Arial"/>
        </w:rPr>
        <w:t xml:space="preserve">(15), 1402–1411. </w:t>
      </w:r>
      <w:hyperlink r:id="rId46" w:history="1">
        <w:r w:rsidRPr="00DD1E1D">
          <w:rPr>
            <w:rStyle w:val="Hyperlink"/>
            <w:rFonts w:ascii="Arial" w:hAnsi="Arial" w:cs="Arial"/>
          </w:rPr>
          <w:t>https://doi.org/10.1056/NEJMoa2032994</w:t>
        </w:r>
      </w:hyperlink>
    </w:p>
    <w:p w14:paraId="00F7F29D" w14:textId="77777777" w:rsidR="00E303BE" w:rsidRPr="00DD1E1D" w:rsidRDefault="00E303BE" w:rsidP="0025111C">
      <w:pPr>
        <w:pStyle w:val="EndnoteText"/>
        <w:ind w:hanging="720"/>
        <w:rPr>
          <w:rFonts w:ascii="Arial" w:hAnsi="Arial" w:cs="Arial"/>
        </w:rPr>
      </w:pPr>
    </w:p>
  </w:endnote>
  <w:endnote w:id="51">
    <w:p w14:paraId="275D8EA5" w14:textId="738F969A" w:rsidR="00E303BE" w:rsidRDefault="00E303BE">
      <w:pPr>
        <w:pStyle w:val="EndnoteText"/>
      </w:pPr>
    </w:p>
  </w:endnote>
  <w:endnote w:id="52">
    <w:p w14:paraId="35BCD5AC" w14:textId="737E4113"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48</w:t>
      </w:r>
      <w:r w:rsidRPr="00A6745F">
        <w:rPr>
          <w:rFonts w:ascii="Arial" w:hAnsi="Arial" w:cs="Arial"/>
        </w:rPr>
        <w:t xml:space="preserve"> Studerus, E., Kometer, M., Hasler, F., &amp; Vollenweider, F. X. (2011). Acute, subacute and long-term subjective effects of psilocybin in healthy humans: a pooled analysis of experimental studies. Journal of Psychopharmacology, 25(11), 1434–1452. </w:t>
      </w:r>
      <w:hyperlink r:id="rId47" w:history="1">
        <w:r w:rsidRPr="00A6745F">
          <w:rPr>
            <w:rStyle w:val="Hyperlink"/>
            <w:rFonts w:ascii="Arial" w:hAnsi="Arial" w:cs="Arial"/>
          </w:rPr>
          <w:t>https://doi.org/10.1177/0269881110382466</w:t>
        </w:r>
      </w:hyperlink>
    </w:p>
    <w:p w14:paraId="285DF809" w14:textId="77777777" w:rsidR="00E303BE" w:rsidRPr="00DD1E1D" w:rsidRDefault="00E303BE" w:rsidP="0025111C">
      <w:pPr>
        <w:pStyle w:val="EndnoteText"/>
        <w:ind w:hanging="720"/>
        <w:rPr>
          <w:rFonts w:ascii="Arial" w:hAnsi="Arial" w:cs="Arial"/>
        </w:rPr>
      </w:pPr>
    </w:p>
  </w:endnote>
  <w:endnote w:id="53">
    <w:p w14:paraId="1E7D51D9" w14:textId="24F7731B"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49</w:t>
      </w:r>
      <w:r w:rsidRPr="00A6745F">
        <w:rPr>
          <w:rFonts w:ascii="Arial" w:hAnsi="Arial" w:cs="Arial"/>
        </w:rPr>
        <w:t xml:space="preserve"> Johnson, M. W., Richards, W. A., &amp; Griffiths, R. R. (2008). Human hallucinogen research: Guidelines for safety. Journal of Psychopharmacology, 22(6), 603–620. </w:t>
      </w:r>
      <w:hyperlink r:id="rId48" w:history="1">
        <w:r w:rsidRPr="00A6745F">
          <w:rPr>
            <w:rStyle w:val="Hyperlink"/>
            <w:rFonts w:ascii="Arial" w:hAnsi="Arial" w:cs="Arial"/>
          </w:rPr>
          <w:t>https://doi.org/10.1177/0269881108093587</w:t>
        </w:r>
      </w:hyperlink>
    </w:p>
    <w:p w14:paraId="48B9C4B4" w14:textId="77777777" w:rsidR="00E303BE" w:rsidRPr="00DD1E1D" w:rsidRDefault="00E303BE" w:rsidP="0025111C">
      <w:pPr>
        <w:pStyle w:val="EndnoteText"/>
        <w:ind w:hanging="720"/>
        <w:rPr>
          <w:rFonts w:ascii="Arial" w:hAnsi="Arial" w:cs="Arial"/>
        </w:rPr>
      </w:pPr>
    </w:p>
  </w:endnote>
  <w:endnote w:id="54">
    <w:p w14:paraId="105BE04B" w14:textId="77777777" w:rsidR="00E303BE" w:rsidRPr="00A6745F" w:rsidRDefault="00E303BE" w:rsidP="00A6745F">
      <w:pPr>
        <w:pStyle w:val="ListParagraph"/>
        <w:numPr>
          <w:ilvl w:val="0"/>
          <w:numId w:val="33"/>
        </w:numPr>
        <w:rPr>
          <w:rFonts w:ascii="Arial" w:hAnsi="Arial" w:cs="Arial"/>
        </w:rPr>
      </w:pPr>
      <w:r>
        <w:rPr>
          <w:rStyle w:val="EndnoteReference"/>
        </w:rPr>
        <w:t>50</w:t>
      </w:r>
      <w:r>
        <w:t xml:space="preserve"> </w:t>
      </w:r>
      <w:r w:rsidRPr="00A6745F">
        <w:rPr>
          <w:rFonts w:ascii="Arial" w:hAnsi="Arial" w:cs="Arial"/>
        </w:rPr>
        <w:t xml:space="preserve">  Fai, E. K., Anderson, C., &amp; Ferreros, V. (2017). Role of attitudes and intentions in predicting adherence to oral diabetes medications. Endocrine connections, 6(2), 63–70. </w:t>
      </w:r>
      <w:hyperlink r:id="rId49" w:history="1">
        <w:r w:rsidRPr="00A6745F">
          <w:rPr>
            <w:rStyle w:val="Hyperlink"/>
            <w:rFonts w:ascii="Arial" w:hAnsi="Arial" w:cs="Arial"/>
          </w:rPr>
          <w:t>https://doi.org/10.1530/EC-16-0093</w:t>
        </w:r>
      </w:hyperlink>
      <w:r w:rsidRPr="00A6745F">
        <w:rPr>
          <w:rFonts w:ascii="Arial" w:hAnsi="Arial" w:cs="Arial"/>
        </w:rPr>
        <w:t xml:space="preserve"> </w:t>
      </w:r>
    </w:p>
    <w:p w14:paraId="2228F6FA" w14:textId="2FB846FC" w:rsidR="00E303BE" w:rsidRDefault="00E303BE">
      <w:pPr>
        <w:pStyle w:val="EndnoteText"/>
      </w:pPr>
    </w:p>
  </w:endnote>
  <w:endnote w:id="55">
    <w:p w14:paraId="605303C5" w14:textId="665202DB" w:rsidR="00E303BE" w:rsidRPr="00DD1E1D" w:rsidRDefault="00E303BE" w:rsidP="00A6745F">
      <w:pPr>
        <w:pStyle w:val="EndnoteText"/>
        <w:numPr>
          <w:ilvl w:val="0"/>
          <w:numId w:val="33"/>
        </w:numPr>
        <w:rPr>
          <w:rFonts w:ascii="Arial" w:hAnsi="Arial" w:cs="Arial"/>
        </w:rPr>
      </w:pPr>
      <w:r>
        <w:rPr>
          <w:rStyle w:val="EndnoteReference"/>
        </w:rPr>
        <w:t>51</w:t>
      </w:r>
      <w:r>
        <w:rPr>
          <w:rFonts w:ascii="Arial" w:hAnsi="Arial" w:cs="Arial"/>
        </w:rPr>
        <w:t xml:space="preserve"> </w:t>
      </w:r>
      <w:r w:rsidRPr="00DD1E1D">
        <w:rPr>
          <w:rFonts w:ascii="Arial" w:hAnsi="Arial" w:cs="Arial"/>
        </w:rPr>
        <w:t xml:space="preserve">Jones, C. L., Jensen, J. D., Scherr, C. L., Brown, N. R., Christy, K., &amp; Weaver, J. (2014). The Health Belief Model as an Explanatory Framework in Communication Research: Exploring Parallel, Serial, and Moderated Mediation. Health Communication, 30(6), 566–576. </w:t>
      </w:r>
      <w:hyperlink r:id="rId50" w:history="1">
        <w:r w:rsidRPr="00DD1E1D">
          <w:rPr>
            <w:rStyle w:val="Hyperlink"/>
            <w:rFonts w:ascii="Arial" w:hAnsi="Arial" w:cs="Arial"/>
          </w:rPr>
          <w:t>https://doi.org/10.1080/10410236.2013.873363</w:t>
        </w:r>
      </w:hyperlink>
    </w:p>
    <w:p w14:paraId="6BC48AC9" w14:textId="77777777" w:rsidR="00E303BE" w:rsidRPr="00DD1E1D" w:rsidRDefault="00E303BE" w:rsidP="0025111C">
      <w:pPr>
        <w:pStyle w:val="EndnoteText"/>
        <w:ind w:hanging="720"/>
        <w:rPr>
          <w:rFonts w:ascii="Arial" w:hAnsi="Arial" w:cs="Arial"/>
        </w:rPr>
      </w:pPr>
    </w:p>
  </w:endnote>
  <w:endnote w:id="56">
    <w:p w14:paraId="04569EA4" w14:textId="331EC9B0" w:rsidR="00E303BE" w:rsidRPr="00DD1E1D" w:rsidRDefault="00E303BE" w:rsidP="00A6745F">
      <w:pPr>
        <w:pStyle w:val="EndnoteText"/>
        <w:numPr>
          <w:ilvl w:val="0"/>
          <w:numId w:val="33"/>
        </w:numPr>
        <w:rPr>
          <w:rFonts w:ascii="Arial" w:hAnsi="Arial" w:cs="Arial"/>
        </w:rPr>
      </w:pPr>
      <w:r>
        <w:rPr>
          <w:rStyle w:val="EndnoteReference"/>
        </w:rPr>
        <w:t>52</w:t>
      </w:r>
      <w:r>
        <w:rPr>
          <w:rFonts w:ascii="Arial" w:hAnsi="Arial" w:cs="Arial"/>
        </w:rPr>
        <w:t xml:space="preserve"> </w:t>
      </w:r>
      <w:r w:rsidRPr="00DD1E1D">
        <w:rPr>
          <w:rFonts w:ascii="Arial" w:hAnsi="Arial" w:cs="Arial"/>
        </w:rPr>
        <w:t xml:space="preserve">Rohayah Adiman, Razak, N. A., &amp; Muhammad, M. (2024). Cues to Action and Self-Efficacy in the Health Belief Model: Perceived Risk as Mediating Roles Towards Enhancing Customer Engagement. Information Management and Business Review, 16(4(I)), 128–138. </w:t>
      </w:r>
      <w:hyperlink r:id="rId51" w:history="1">
        <w:r w:rsidRPr="00DD1E1D">
          <w:rPr>
            <w:rStyle w:val="Hyperlink"/>
            <w:rFonts w:ascii="Arial" w:hAnsi="Arial" w:cs="Arial"/>
          </w:rPr>
          <w:t>https://doi.org/10.22610/imbr.v16i4(i).4283</w:t>
        </w:r>
      </w:hyperlink>
    </w:p>
    <w:p w14:paraId="0A10BD9E" w14:textId="77777777" w:rsidR="00E303BE" w:rsidRPr="00DD1E1D" w:rsidRDefault="00E303BE" w:rsidP="0025111C">
      <w:pPr>
        <w:pStyle w:val="EndnoteText"/>
        <w:ind w:hanging="720"/>
        <w:rPr>
          <w:rFonts w:ascii="Arial" w:hAnsi="Arial" w:cs="Arial"/>
        </w:rPr>
      </w:pPr>
    </w:p>
  </w:endnote>
  <w:endnote w:id="57">
    <w:p w14:paraId="4C3E8D33" w14:textId="0D41454A"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53</w:t>
      </w:r>
      <w:r w:rsidRPr="00A6745F">
        <w:rPr>
          <w:rFonts w:ascii="Arial" w:hAnsi="Arial" w:cs="Arial"/>
        </w:rPr>
        <w:t xml:space="preserve"> Bishop, A. C., Baker, G. R., Boyle, T. A., &amp; MacKinnon, N. J. (2015). Using the Health Belief Model to explain patient involvement in patient safety. Health Expectations, 18(6), 3019–3033. </w:t>
      </w:r>
      <w:r w:rsidR="00E579F6">
        <w:rPr>
          <w:rFonts w:ascii="Arial" w:hAnsi="Arial" w:cs="Arial"/>
        </w:rPr>
        <w:t xml:space="preserve"> </w:t>
      </w:r>
      <w:hyperlink r:id="rId52" w:history="1">
        <w:r w:rsidR="00E579F6" w:rsidRPr="000E44AF">
          <w:rPr>
            <w:rStyle w:val="Hyperlink"/>
            <w:rFonts w:ascii="Arial" w:hAnsi="Arial" w:cs="Arial"/>
          </w:rPr>
          <w:t>https://doi.org/10.1111/hex.12286</w:t>
        </w:r>
      </w:hyperlink>
      <w:r w:rsidR="00E579F6">
        <w:rPr>
          <w:rFonts w:ascii="Arial" w:hAnsi="Arial" w:cs="Arial"/>
        </w:rPr>
        <w:t xml:space="preserve"> </w:t>
      </w:r>
    </w:p>
    <w:p w14:paraId="16BBAB3B" w14:textId="77777777" w:rsidR="00E303BE" w:rsidRPr="00DD1E1D" w:rsidRDefault="00E303BE" w:rsidP="0025111C">
      <w:pPr>
        <w:pStyle w:val="EndnoteText"/>
        <w:ind w:hanging="720"/>
        <w:rPr>
          <w:rFonts w:ascii="Arial" w:hAnsi="Arial" w:cs="Arial"/>
        </w:rPr>
      </w:pPr>
    </w:p>
  </w:endnote>
  <w:endnote w:id="58">
    <w:p w14:paraId="31A6AA0F" w14:textId="07EFCE57" w:rsidR="00E303BE" w:rsidRDefault="00E303BE">
      <w:pPr>
        <w:pStyle w:val="EndnoteText"/>
      </w:pPr>
    </w:p>
  </w:endnote>
  <w:endnote w:id="59">
    <w:p w14:paraId="2E401AA1" w14:textId="7848510E" w:rsidR="00E303BE" w:rsidRDefault="00E303BE" w:rsidP="00A6745F">
      <w:pPr>
        <w:pStyle w:val="EndnoteText"/>
        <w:numPr>
          <w:ilvl w:val="0"/>
          <w:numId w:val="33"/>
        </w:numPr>
      </w:pPr>
      <w:r>
        <w:rPr>
          <w:rStyle w:val="EndnoteReference"/>
        </w:rPr>
        <w:t>54</w:t>
      </w:r>
      <w:r>
        <w:t xml:space="preserve"> </w:t>
      </w:r>
      <w:r w:rsidRPr="00DD1E1D">
        <w:rPr>
          <w:rFonts w:ascii="Arial" w:hAnsi="Arial" w:cs="Arial"/>
        </w:rPr>
        <w:t xml:space="preserve">Reiff, C. M., Richman, E. E., Nemeroff, C. B., Carpenter, L. L., Widge, A. S., Rodriguez, C. I., Kalin, N. H., &amp; McDonald, W. M. (2020). Psychedelics and psychedelic-assisted psychotherapy. American Journal of Psychiatry, 177(5), 391–410. </w:t>
      </w:r>
      <w:hyperlink r:id="rId53" w:history="1">
        <w:r w:rsidRPr="00DD1E1D">
          <w:rPr>
            <w:rStyle w:val="Hyperlink"/>
            <w:rFonts w:ascii="Arial" w:hAnsi="Arial" w:cs="Arial"/>
          </w:rPr>
          <w:t>https://doi.org/10.1176/appi.ajp.2019.19010035</w:t>
        </w:r>
      </w:hyperlink>
    </w:p>
    <w:p w14:paraId="784D9883" w14:textId="77777777" w:rsidR="00E303BE" w:rsidRDefault="00E303BE">
      <w:pPr>
        <w:pStyle w:val="EndnoteText"/>
      </w:pPr>
    </w:p>
  </w:endnote>
  <w:endnote w:id="60">
    <w:p w14:paraId="3AAECBF0" w14:textId="2EA3B2BE" w:rsidR="00E303BE" w:rsidRPr="00DD1E1D" w:rsidRDefault="00E303BE" w:rsidP="00A6745F">
      <w:pPr>
        <w:pStyle w:val="EndnoteText"/>
        <w:numPr>
          <w:ilvl w:val="0"/>
          <w:numId w:val="33"/>
        </w:numPr>
        <w:rPr>
          <w:rFonts w:ascii="Arial" w:hAnsi="Arial" w:cs="Arial"/>
        </w:rPr>
      </w:pPr>
      <w:r>
        <w:rPr>
          <w:rStyle w:val="EndnoteReference"/>
        </w:rPr>
        <w:t>55</w:t>
      </w:r>
      <w:r>
        <w:rPr>
          <w:rFonts w:ascii="Arial" w:hAnsi="Arial" w:cs="Arial"/>
        </w:rPr>
        <w:t xml:space="preserve"> </w:t>
      </w:r>
      <w:r w:rsidRPr="00DD1E1D">
        <w:rPr>
          <w:rFonts w:ascii="Arial" w:hAnsi="Arial" w:cs="Arial"/>
        </w:rPr>
        <w:t xml:space="preserve">Irrmischer, M., Puxty, D., Yıldırım, B. O., Deijen, J. B., &amp; Engelbregt, H. (2025). Moderating factors in psilocybin-assisted treatment affecting mood and personality: A naturalistic, open-label investigation. Psychopharmacology. </w:t>
      </w:r>
      <w:hyperlink r:id="rId54" w:history="1">
        <w:r w:rsidRPr="00DD1E1D">
          <w:rPr>
            <w:rStyle w:val="Hyperlink"/>
            <w:rFonts w:ascii="Arial" w:hAnsi="Arial" w:cs="Arial"/>
          </w:rPr>
          <w:t>https://doi.org/10.1007/s00213-024-06733-3</w:t>
        </w:r>
      </w:hyperlink>
    </w:p>
    <w:p w14:paraId="5ED29592" w14:textId="77777777" w:rsidR="00E303BE" w:rsidRPr="00DD1E1D" w:rsidRDefault="00E303BE" w:rsidP="0025111C">
      <w:pPr>
        <w:pStyle w:val="EndnoteText"/>
        <w:ind w:hanging="720"/>
        <w:rPr>
          <w:rFonts w:ascii="Arial" w:hAnsi="Arial" w:cs="Arial"/>
        </w:rPr>
      </w:pPr>
    </w:p>
  </w:endnote>
  <w:endnote w:id="61">
    <w:p w14:paraId="1A441CE7" w14:textId="6BC4458A" w:rsidR="00E303BE" w:rsidRDefault="00E303BE" w:rsidP="00A6745F">
      <w:pPr>
        <w:pStyle w:val="FootnoteText"/>
        <w:numPr>
          <w:ilvl w:val="0"/>
          <w:numId w:val="33"/>
        </w:numPr>
      </w:pPr>
      <w:r>
        <w:rPr>
          <w:rStyle w:val="EndnoteReference"/>
          <w:rFonts w:ascii="Times New Roman" w:hAnsi="Times New Roman"/>
        </w:rPr>
        <w:t>56</w:t>
      </w:r>
      <w:r>
        <w:t xml:space="preserve"> </w:t>
      </w:r>
      <w:r w:rsidRPr="00DD1E1D">
        <w:rPr>
          <w:rFonts w:ascii="Arial" w:hAnsi="Arial" w:cs="Arial"/>
        </w:rPr>
        <w:t xml:space="preserve">Grazier, K. L. (2019). Mental health parity and access to care: A federal update. Psychiatric Services, 70(5), 393–395. </w:t>
      </w:r>
      <w:hyperlink r:id="rId55" w:history="1">
        <w:r w:rsidRPr="00DD1E1D">
          <w:rPr>
            <w:rStyle w:val="Hyperlink"/>
            <w:rFonts w:ascii="Arial" w:hAnsi="Arial" w:cs="Arial"/>
          </w:rPr>
          <w:t>https://doi.org/10.1176/appi.ps.201800570</w:t>
        </w:r>
      </w:hyperlink>
    </w:p>
    <w:p w14:paraId="4215771A" w14:textId="77777777" w:rsidR="00E303BE" w:rsidRDefault="00E303BE" w:rsidP="00DC73CE">
      <w:pPr>
        <w:pStyle w:val="EndnoteText"/>
        <w:ind w:left="720" w:hanging="720"/>
      </w:pPr>
    </w:p>
  </w:endnote>
  <w:endnote w:id="62">
    <w:p w14:paraId="58BF1608" w14:textId="512D0199" w:rsidR="00E303BE" w:rsidRPr="00332B22" w:rsidRDefault="00E303BE" w:rsidP="00A6745F">
      <w:pPr>
        <w:pStyle w:val="NormalWeb"/>
        <w:numPr>
          <w:ilvl w:val="0"/>
          <w:numId w:val="33"/>
        </w:numPr>
        <w:spacing w:before="0" w:beforeAutospacing="0" w:after="0" w:afterAutospacing="0"/>
        <w:rPr>
          <w:rFonts w:ascii="Arial" w:hAnsi="Arial" w:cs="Arial"/>
          <w:color w:val="000000"/>
          <w:sz w:val="20"/>
          <w:szCs w:val="20"/>
        </w:rPr>
      </w:pPr>
      <w:r>
        <w:rPr>
          <w:rStyle w:val="EndnoteReference"/>
          <w:sz w:val="20"/>
          <w:szCs w:val="20"/>
        </w:rPr>
        <w:t>57</w:t>
      </w:r>
      <w:r>
        <w:t xml:space="preserve"> </w:t>
      </w:r>
      <w:r w:rsidRPr="00332B22">
        <w:rPr>
          <w:rFonts w:ascii="Arial" w:hAnsi="Arial" w:cs="Arial"/>
          <w:color w:val="000000"/>
          <w:sz w:val="20"/>
          <w:szCs w:val="20"/>
        </w:rPr>
        <w:t>Siegel, J. S., Daily, J. E., Perry, D. A., &amp; Nicol, G. E. (2023). Psychedelic Drug Legislative Reform and Legalization in the US. </w:t>
      </w:r>
      <w:r w:rsidRPr="00332B22">
        <w:rPr>
          <w:rFonts w:ascii="Arial" w:hAnsi="Arial" w:cs="Arial"/>
          <w:i/>
          <w:iCs/>
          <w:color w:val="000000"/>
          <w:sz w:val="20"/>
          <w:szCs w:val="20"/>
        </w:rPr>
        <w:t>JAMA Psychiatry</w:t>
      </w:r>
      <w:r w:rsidRPr="00332B22">
        <w:rPr>
          <w:rFonts w:ascii="Arial" w:hAnsi="Arial" w:cs="Arial"/>
          <w:color w:val="000000"/>
          <w:sz w:val="20"/>
          <w:szCs w:val="20"/>
        </w:rPr>
        <w:t>, </w:t>
      </w:r>
      <w:r w:rsidRPr="00332B22">
        <w:rPr>
          <w:rFonts w:ascii="Arial" w:hAnsi="Arial" w:cs="Arial"/>
          <w:i/>
          <w:iCs/>
          <w:color w:val="000000"/>
          <w:sz w:val="20"/>
          <w:szCs w:val="20"/>
        </w:rPr>
        <w:t>80</w:t>
      </w:r>
      <w:r w:rsidRPr="00332B22">
        <w:rPr>
          <w:rFonts w:ascii="Arial" w:hAnsi="Arial" w:cs="Arial"/>
          <w:color w:val="000000"/>
          <w:sz w:val="20"/>
          <w:szCs w:val="20"/>
        </w:rPr>
        <w:t xml:space="preserve">(1), 77. </w:t>
      </w:r>
      <w:hyperlink r:id="rId56" w:history="1">
        <w:r w:rsidR="00E579F6" w:rsidRPr="000E44AF">
          <w:rPr>
            <w:rStyle w:val="Hyperlink"/>
            <w:rFonts w:ascii="Arial" w:hAnsi="Arial" w:cs="Arial"/>
            <w:sz w:val="20"/>
            <w:szCs w:val="20"/>
          </w:rPr>
          <w:t>https://doi.org/10.1001/jamapsychiatry.2022.4101</w:t>
        </w:r>
      </w:hyperlink>
      <w:r w:rsidR="00E579F6">
        <w:rPr>
          <w:rFonts w:ascii="Arial" w:hAnsi="Arial" w:cs="Arial"/>
          <w:color w:val="000000"/>
          <w:sz w:val="20"/>
          <w:szCs w:val="20"/>
        </w:rPr>
        <w:t xml:space="preserve"> </w:t>
      </w:r>
    </w:p>
    <w:p w14:paraId="35BD0D4B" w14:textId="77777777" w:rsidR="00E303BE" w:rsidRPr="00332B22" w:rsidRDefault="00E303BE">
      <w:pPr>
        <w:pStyle w:val="EndnoteText"/>
        <w:rPr>
          <w:rFonts w:ascii="Arial" w:hAnsi="Arial" w:cs="Arial"/>
        </w:rPr>
      </w:pPr>
    </w:p>
  </w:endnote>
  <w:endnote w:id="63">
    <w:p w14:paraId="30B321EE" w14:textId="0D82B162" w:rsidR="00E303BE" w:rsidRPr="00332B22" w:rsidRDefault="00E303BE" w:rsidP="00A6745F">
      <w:pPr>
        <w:pStyle w:val="NormalWeb"/>
        <w:numPr>
          <w:ilvl w:val="0"/>
          <w:numId w:val="33"/>
        </w:numPr>
        <w:spacing w:before="0" w:beforeAutospacing="0" w:after="0" w:afterAutospacing="0"/>
        <w:rPr>
          <w:rFonts w:ascii="Arial" w:hAnsi="Arial" w:cs="Arial"/>
          <w:color w:val="000000"/>
          <w:sz w:val="20"/>
          <w:szCs w:val="20"/>
        </w:rPr>
      </w:pPr>
      <w:r>
        <w:rPr>
          <w:rStyle w:val="EndnoteReference"/>
          <w:sz w:val="20"/>
          <w:szCs w:val="20"/>
        </w:rPr>
        <w:t>58</w:t>
      </w:r>
      <w:r w:rsidRPr="00332B22">
        <w:rPr>
          <w:rFonts w:ascii="Arial" w:hAnsi="Arial" w:cs="Arial"/>
          <w:sz w:val="20"/>
          <w:szCs w:val="20"/>
        </w:rPr>
        <w:t xml:space="preserve"> </w:t>
      </w:r>
      <w:r w:rsidRPr="00332B22">
        <w:rPr>
          <w:rFonts w:ascii="Arial" w:hAnsi="Arial" w:cs="Arial"/>
          <w:color w:val="000000"/>
          <w:sz w:val="20"/>
          <w:szCs w:val="20"/>
        </w:rPr>
        <w:t>Frinton, S., &amp; Robinson, J. (2025). University Students’ Motives for Psilocybin Use: A Mixed-Methods Analysis. </w:t>
      </w:r>
      <w:r w:rsidRPr="00332B22">
        <w:rPr>
          <w:rFonts w:ascii="Arial" w:hAnsi="Arial" w:cs="Arial"/>
          <w:i/>
          <w:iCs/>
          <w:color w:val="000000"/>
          <w:sz w:val="20"/>
          <w:szCs w:val="20"/>
        </w:rPr>
        <w:t>Journal of Drug Issues</w:t>
      </w:r>
      <w:r w:rsidRPr="00332B22">
        <w:rPr>
          <w:rFonts w:ascii="Arial" w:hAnsi="Arial" w:cs="Arial"/>
          <w:color w:val="000000"/>
          <w:sz w:val="20"/>
          <w:szCs w:val="20"/>
        </w:rPr>
        <w:t xml:space="preserve">. </w:t>
      </w:r>
      <w:hyperlink r:id="rId57" w:history="1">
        <w:r w:rsidR="00E579F6" w:rsidRPr="000E44AF">
          <w:rPr>
            <w:rStyle w:val="Hyperlink"/>
            <w:rFonts w:ascii="Arial" w:hAnsi="Arial" w:cs="Arial"/>
            <w:sz w:val="20"/>
            <w:szCs w:val="20"/>
          </w:rPr>
          <w:t>https://doi.org/10.1177/00220426251338187</w:t>
        </w:r>
      </w:hyperlink>
      <w:r w:rsidR="00E579F6">
        <w:rPr>
          <w:rFonts w:ascii="Arial" w:hAnsi="Arial" w:cs="Arial"/>
          <w:color w:val="000000"/>
          <w:sz w:val="20"/>
          <w:szCs w:val="20"/>
        </w:rPr>
        <w:t xml:space="preserve"> </w:t>
      </w:r>
    </w:p>
  </w:endnote>
  <w:endnote w:id="64">
    <w:p w14:paraId="4236A1F7" w14:textId="395AB6D1" w:rsidR="00E303BE" w:rsidRDefault="00E303BE">
      <w:pPr>
        <w:pStyle w:val="EndnoteText"/>
      </w:pPr>
    </w:p>
  </w:endnote>
  <w:endnote w:id="65">
    <w:p w14:paraId="5911882E" w14:textId="7676707B" w:rsidR="00E303BE" w:rsidRPr="00332B22" w:rsidRDefault="00E303BE" w:rsidP="00A6745F">
      <w:pPr>
        <w:pStyle w:val="EndnoteText"/>
        <w:numPr>
          <w:ilvl w:val="0"/>
          <w:numId w:val="33"/>
        </w:numPr>
        <w:rPr>
          <w:rFonts w:ascii="Arial" w:hAnsi="Arial" w:cs="Arial"/>
        </w:rPr>
      </w:pPr>
      <w:r>
        <w:rPr>
          <w:rStyle w:val="EndnoteReference"/>
        </w:rPr>
        <w:t>59</w:t>
      </w:r>
      <w:r>
        <w:t xml:space="preserve"> </w:t>
      </w:r>
      <w:r w:rsidRPr="00332B22">
        <w:rPr>
          <w:rFonts w:ascii="Arial" w:hAnsi="Arial" w:cs="Arial"/>
        </w:rPr>
        <w:t xml:space="preserve">Corrigan, K., Haran, M., McCandliss, C., McManus, R., Cleary, S., Trant, R., Kelly, Y., Ledden, K., Rush, G., O’Keane, V., &amp; Kelly, J. R. (2021). Psychedelic perceptions: mental health service user attitudes to psilocybin therapy. Irish Journal of Medical Science, 191(3), 1–13. </w:t>
      </w:r>
      <w:hyperlink r:id="rId58" w:history="1">
        <w:r w:rsidRPr="00332B22">
          <w:rPr>
            <w:rStyle w:val="Hyperlink"/>
            <w:rFonts w:ascii="Arial" w:hAnsi="Arial" w:cs="Arial"/>
          </w:rPr>
          <w:t>https://doi.org/10.1007/s11845-021-02668-2</w:t>
        </w:r>
      </w:hyperlink>
    </w:p>
    <w:p w14:paraId="10A21F36" w14:textId="77777777" w:rsidR="00E303BE" w:rsidRDefault="00E303BE">
      <w:pPr>
        <w:pStyle w:val="EndnoteText"/>
      </w:pPr>
    </w:p>
  </w:endnote>
  <w:endnote w:id="66">
    <w:p w14:paraId="1478ECE5" w14:textId="75F9D0BE"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60</w:t>
      </w:r>
      <w:r>
        <w:t xml:space="preserve"> </w:t>
      </w:r>
      <w:r w:rsidRPr="00A6745F">
        <w:rPr>
          <w:rFonts w:ascii="Arial" w:hAnsi="Arial" w:cs="Arial"/>
        </w:rPr>
        <w:t xml:space="preserve">  Luger, T. M. (2013). Health Beliefs/Health Belief Model. Encyclopedia of Behavioral Medicine, 907–908. Springer. </w:t>
      </w:r>
      <w:hyperlink r:id="rId59" w:history="1">
        <w:r w:rsidRPr="00A6745F">
          <w:rPr>
            <w:rStyle w:val="Hyperlink"/>
            <w:rFonts w:ascii="Arial" w:hAnsi="Arial" w:cs="Arial"/>
          </w:rPr>
          <w:t>https://doi.org/10.1007/978-1-4419-1005-9_1227</w:t>
        </w:r>
      </w:hyperlink>
    </w:p>
    <w:p w14:paraId="7E24C456" w14:textId="77777777" w:rsidR="00E303BE" w:rsidRDefault="00E303BE">
      <w:pPr>
        <w:pStyle w:val="EndnoteText"/>
      </w:pPr>
    </w:p>
  </w:endnote>
  <w:endnote w:id="67">
    <w:p w14:paraId="2C5771B7" w14:textId="5142189A"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61</w:t>
      </w:r>
      <w:r>
        <w:t xml:space="preserve"> </w:t>
      </w:r>
      <w:r w:rsidRPr="00A6745F">
        <w:rPr>
          <w:rFonts w:ascii="Arial" w:hAnsi="Arial" w:cs="Arial"/>
        </w:rPr>
        <w:t xml:space="preserve">Tanner-Smith, E. E., &amp; Brown, T. N. (2010). Evaluating the Health Belief Model: A critical review of studies predicting mammographic and pap screening. Social Theory &amp; Health, 8(1), 95–125. </w:t>
      </w:r>
      <w:hyperlink r:id="rId60" w:history="1">
        <w:r w:rsidR="00E579F6" w:rsidRPr="000E44AF">
          <w:rPr>
            <w:rStyle w:val="Hyperlink"/>
            <w:rFonts w:ascii="Arial" w:hAnsi="Arial" w:cs="Arial"/>
          </w:rPr>
          <w:t>https://doi.org/10.1057/sth.2009.23</w:t>
        </w:r>
      </w:hyperlink>
      <w:r w:rsidR="00E579F6">
        <w:rPr>
          <w:rFonts w:ascii="Arial" w:hAnsi="Arial" w:cs="Arial"/>
        </w:rPr>
        <w:t xml:space="preserve"> </w:t>
      </w:r>
    </w:p>
    <w:p w14:paraId="31B2545F" w14:textId="77777777" w:rsidR="00E303BE" w:rsidRDefault="00E303BE">
      <w:pPr>
        <w:pStyle w:val="EndnoteText"/>
      </w:pPr>
    </w:p>
  </w:endnote>
  <w:endnote w:id="68">
    <w:p w14:paraId="6865383F" w14:textId="061E88A6"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62</w:t>
      </w:r>
      <w:r w:rsidRPr="00A6745F">
        <w:rPr>
          <w:rFonts w:ascii="Arial" w:hAnsi="Arial" w:cs="Arial"/>
        </w:rPr>
        <w:t xml:space="preserve"> Subedi, R., et al. (2023). Health Belief Model and COVID-19 preventive behaviors: A systematic review. Journal of Public Health Research, 12(1), 112–124. </w:t>
      </w:r>
      <w:hyperlink r:id="rId61" w:history="1">
        <w:r w:rsidRPr="00A6745F">
          <w:rPr>
            <w:rStyle w:val="Hyperlink"/>
            <w:rFonts w:ascii="Arial" w:hAnsi="Arial" w:cs="Arial"/>
          </w:rPr>
          <w:t>https://doi.org/10.4081/jphr.2023.112</w:t>
        </w:r>
      </w:hyperlink>
    </w:p>
    <w:p w14:paraId="0E2BA86C" w14:textId="77777777" w:rsidR="00E303BE" w:rsidRPr="00DD1E1D" w:rsidRDefault="00E303BE" w:rsidP="0025111C">
      <w:pPr>
        <w:pStyle w:val="EndnoteText"/>
        <w:ind w:hanging="720"/>
        <w:rPr>
          <w:rFonts w:ascii="Arial" w:hAnsi="Arial" w:cs="Arial"/>
        </w:rPr>
      </w:pPr>
    </w:p>
  </w:endnote>
  <w:endnote w:id="69">
    <w:p w14:paraId="70343994" w14:textId="16381526"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63</w:t>
      </w:r>
      <w:r w:rsidRPr="00A6745F">
        <w:rPr>
          <w:rFonts w:ascii="Arial" w:hAnsi="Arial" w:cs="Arial"/>
        </w:rPr>
        <w:t xml:space="preserve"> Wong, M. C. S., Wong, E. L. Y., Huang, J., Cheung, A. W. L., Law, K., Chong, M. K. C., Ng, R. W. Y., Lai, C. K. C., Boon, S. S., Lau, J. T. F., Chen, Z., &amp; Chan, P. K. S. (2021). Acceptance of the COVID-19 vaccine based on the Health Belief Model: A population-based survey in Hong Kong. Vaccine, 39(7), 1148–1156. </w:t>
      </w:r>
      <w:hyperlink r:id="rId62" w:history="1">
        <w:r w:rsidRPr="00A6745F">
          <w:rPr>
            <w:rStyle w:val="Hyperlink"/>
            <w:rFonts w:ascii="Arial" w:hAnsi="Arial" w:cs="Arial"/>
          </w:rPr>
          <w:t>https://doi.org/10.1016/j.vaccine.2020.12.083</w:t>
        </w:r>
      </w:hyperlink>
    </w:p>
    <w:p w14:paraId="1E91E345" w14:textId="77777777" w:rsidR="00E303BE" w:rsidRPr="00DD1E1D" w:rsidRDefault="00E303BE" w:rsidP="0025111C">
      <w:pPr>
        <w:pStyle w:val="EndnoteText"/>
        <w:ind w:hanging="720"/>
        <w:rPr>
          <w:rFonts w:ascii="Arial" w:hAnsi="Arial" w:cs="Arial"/>
        </w:rPr>
      </w:pPr>
    </w:p>
  </w:endnote>
  <w:endnote w:id="70">
    <w:p w14:paraId="40567275" w14:textId="6EC46B29" w:rsidR="00E303BE" w:rsidRDefault="00E303BE" w:rsidP="00A6745F">
      <w:pPr>
        <w:pStyle w:val="NormalWeb"/>
        <w:numPr>
          <w:ilvl w:val="0"/>
          <w:numId w:val="33"/>
        </w:numPr>
        <w:spacing w:before="0" w:beforeAutospacing="0" w:after="0" w:afterAutospacing="0"/>
        <w:rPr>
          <w:rFonts w:ascii="Arial" w:hAnsi="Arial" w:cs="Arial"/>
          <w:color w:val="000000"/>
          <w:sz w:val="20"/>
          <w:szCs w:val="20"/>
        </w:rPr>
      </w:pPr>
      <w:r>
        <w:rPr>
          <w:rStyle w:val="EndnoteReference"/>
          <w:sz w:val="20"/>
          <w:szCs w:val="20"/>
        </w:rPr>
        <w:t>64</w:t>
      </w:r>
      <w:r w:rsidRPr="00332B22">
        <w:rPr>
          <w:rFonts w:ascii="Arial" w:hAnsi="Arial" w:cs="Arial"/>
          <w:sz w:val="20"/>
          <w:szCs w:val="20"/>
        </w:rPr>
        <w:t xml:space="preserve"> </w:t>
      </w:r>
      <w:r w:rsidRPr="00332B22">
        <w:rPr>
          <w:rFonts w:ascii="Arial" w:hAnsi="Arial" w:cs="Arial"/>
          <w:color w:val="000000"/>
          <w:sz w:val="20"/>
          <w:szCs w:val="20"/>
        </w:rPr>
        <w:t>Champion, V. (2020, September 24). </w:t>
      </w:r>
      <w:r w:rsidRPr="00332B22">
        <w:rPr>
          <w:rFonts w:ascii="Arial" w:hAnsi="Arial" w:cs="Arial"/>
          <w:i/>
          <w:iCs/>
          <w:color w:val="000000"/>
          <w:sz w:val="20"/>
          <w:szCs w:val="20"/>
        </w:rPr>
        <w:t>Perceived Benefits | Division of Cancer Control and Population Sciences (DCCPS)</w:t>
      </w:r>
      <w:r w:rsidRPr="00332B22">
        <w:rPr>
          <w:rFonts w:ascii="Arial" w:hAnsi="Arial" w:cs="Arial"/>
          <w:color w:val="000000"/>
          <w:sz w:val="20"/>
          <w:szCs w:val="20"/>
        </w:rPr>
        <w:t>. Cancercontrol.cancer.gov</w:t>
      </w:r>
      <w:r w:rsidR="00BA22EB" w:rsidRPr="00BA22EB">
        <w:t xml:space="preserve"> </w:t>
      </w:r>
      <w:hyperlink r:id="rId63" w:history="1">
        <w:r w:rsidR="00BA22EB" w:rsidRPr="000E44AF">
          <w:rPr>
            <w:rStyle w:val="Hyperlink"/>
            <w:rFonts w:ascii="Arial" w:hAnsi="Arial" w:cs="Arial"/>
            <w:sz w:val="20"/>
            <w:szCs w:val="20"/>
          </w:rPr>
          <w:t>https://cancercontrol.cancer.gov/brp/research/constructs/perceived-benefits</w:t>
        </w:r>
      </w:hyperlink>
      <w:r w:rsidR="00BA22EB">
        <w:rPr>
          <w:rFonts w:ascii="Arial" w:hAnsi="Arial" w:cs="Arial"/>
          <w:color w:val="000000"/>
          <w:sz w:val="20"/>
          <w:szCs w:val="20"/>
        </w:rPr>
        <w:t xml:space="preserve"> </w:t>
      </w:r>
    </w:p>
    <w:p w14:paraId="4F71D99B" w14:textId="77777777" w:rsidR="00E303BE" w:rsidRPr="00332B22" w:rsidRDefault="00E303BE" w:rsidP="00332B22">
      <w:pPr>
        <w:pStyle w:val="NormalWeb"/>
        <w:spacing w:before="0" w:beforeAutospacing="0" w:after="0" w:afterAutospacing="0"/>
        <w:ind w:left="720" w:hanging="720"/>
        <w:rPr>
          <w:rFonts w:ascii="Arial" w:hAnsi="Arial" w:cs="Arial"/>
          <w:color w:val="000000"/>
          <w:sz w:val="20"/>
          <w:szCs w:val="20"/>
        </w:rPr>
      </w:pPr>
    </w:p>
  </w:endnote>
  <w:endnote w:id="71">
    <w:p w14:paraId="0628823B" w14:textId="76AD5821"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65</w:t>
      </w:r>
      <w:r w:rsidRPr="00A6745F">
        <w:rPr>
          <w:rFonts w:ascii="Arial" w:hAnsi="Arial" w:cs="Arial"/>
        </w:rPr>
        <w:t xml:space="preserve"> Catalano, H. P., Christofora, J., Richards, K., Hyatt Hawkins Shaw, K., &amp; Kiser, K. (2024). Predicting COVID-19 booster intentions among college students using the health belief model: Advancing health promotion strategies for uptake. Frontiers in Public Health, 12, Article 1395941. </w:t>
      </w:r>
      <w:hyperlink r:id="rId64" w:history="1">
        <w:r w:rsidRPr="00A6745F">
          <w:rPr>
            <w:rStyle w:val="Hyperlink"/>
            <w:rFonts w:ascii="Arial" w:hAnsi="Arial" w:cs="Arial"/>
          </w:rPr>
          <w:t>https://doi.org/10.3389/fpubh.2024.1395941</w:t>
        </w:r>
      </w:hyperlink>
      <w:r w:rsidRPr="00A6745F">
        <w:rPr>
          <w:rFonts w:ascii="Arial" w:hAnsi="Arial" w:cs="Arial"/>
        </w:rPr>
        <w:t xml:space="preserve"> </w:t>
      </w:r>
    </w:p>
    <w:p w14:paraId="5B18CF40" w14:textId="77777777" w:rsidR="00E303BE" w:rsidRPr="00DD1E1D" w:rsidRDefault="00E303BE" w:rsidP="0025111C">
      <w:pPr>
        <w:pStyle w:val="EndnoteText"/>
        <w:ind w:hanging="720"/>
        <w:rPr>
          <w:rFonts w:ascii="Arial" w:hAnsi="Arial" w:cs="Arial"/>
        </w:rPr>
      </w:pPr>
    </w:p>
  </w:endnote>
  <w:endnote w:id="72">
    <w:p w14:paraId="40AD6C94" w14:textId="46AE6C22"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66</w:t>
      </w:r>
      <w:r w:rsidRPr="00A6745F">
        <w:rPr>
          <w:rFonts w:ascii="Arial" w:hAnsi="Arial" w:cs="Arial"/>
        </w:rPr>
        <w:t xml:space="preserve"> Shitu, K., Adugna, A., Kassie, A., &amp; Handebo, S. (2022). Application of the Health Belief Model for the assessment of COVID-19 preventive behavior among students. PLoS ONE, 17(3), e0263568. </w:t>
      </w:r>
      <w:hyperlink r:id="rId65" w:history="1">
        <w:r w:rsidRPr="00A6745F">
          <w:rPr>
            <w:rStyle w:val="Hyperlink"/>
            <w:rFonts w:ascii="Arial" w:hAnsi="Arial" w:cs="Arial"/>
          </w:rPr>
          <w:t>https://doi.org/10.1371/journal.pone.0263568</w:t>
        </w:r>
      </w:hyperlink>
    </w:p>
    <w:p w14:paraId="582B4BEC" w14:textId="77777777" w:rsidR="00E303BE" w:rsidRPr="00DD1E1D" w:rsidRDefault="00E303BE" w:rsidP="0025111C">
      <w:pPr>
        <w:pStyle w:val="EndnoteText"/>
        <w:ind w:hanging="720"/>
        <w:rPr>
          <w:rFonts w:ascii="Arial" w:hAnsi="Arial" w:cs="Arial"/>
        </w:rPr>
      </w:pPr>
    </w:p>
  </w:endnote>
  <w:endnote w:id="73">
    <w:p w14:paraId="0D805742" w14:textId="6D350776"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67</w:t>
      </w:r>
      <w:r w:rsidRPr="00A6745F">
        <w:rPr>
          <w:rFonts w:ascii="Arial" w:hAnsi="Arial" w:cs="Arial"/>
        </w:rPr>
        <w:t xml:space="preserve"> Tang, C.-C., Chen, H., Tsai, S.-Y., &amp; Wu, W.-W. (2023). Factors Associated </w:t>
      </w:r>
      <w:proofErr w:type="gramStart"/>
      <w:r w:rsidRPr="00A6745F">
        <w:rPr>
          <w:rFonts w:ascii="Arial" w:hAnsi="Arial" w:cs="Arial"/>
        </w:rPr>
        <w:t>With</w:t>
      </w:r>
      <w:proofErr w:type="gramEnd"/>
      <w:r w:rsidRPr="00A6745F">
        <w:rPr>
          <w:rFonts w:ascii="Arial" w:hAnsi="Arial" w:cs="Arial"/>
        </w:rPr>
        <w:t xml:space="preserve"> Levels of Public Engagement in Protective Behaviors During the Early COVID-19 Pandemic: Causal-Comparative Study Based on the Health Belief Model. JMIR Human Factors, 10, e49687–e49687. </w:t>
      </w:r>
      <w:hyperlink r:id="rId66" w:history="1">
        <w:r w:rsidR="00BA22EB" w:rsidRPr="000E44AF">
          <w:rPr>
            <w:rStyle w:val="Hyperlink"/>
          </w:rPr>
          <w:t>https://doi.org/10.2196/49687</w:t>
        </w:r>
      </w:hyperlink>
      <w:r w:rsidR="00BA22EB">
        <w:t xml:space="preserve"> </w:t>
      </w:r>
    </w:p>
    <w:p w14:paraId="0FA03DC5" w14:textId="77777777" w:rsidR="00E303BE" w:rsidRPr="00DD1E1D" w:rsidRDefault="00E303BE" w:rsidP="0025111C">
      <w:pPr>
        <w:pStyle w:val="EndnoteText"/>
        <w:ind w:hanging="720"/>
        <w:rPr>
          <w:rFonts w:ascii="Arial" w:hAnsi="Arial" w:cs="Arial"/>
        </w:rPr>
      </w:pPr>
    </w:p>
  </w:endnote>
  <w:endnote w:id="74">
    <w:p w14:paraId="1B66EC1A" w14:textId="4BD5DAED" w:rsidR="00E303BE" w:rsidRDefault="00E303BE">
      <w:pPr>
        <w:pStyle w:val="EndnoteText"/>
      </w:pPr>
    </w:p>
  </w:endnote>
  <w:endnote w:id="75">
    <w:p w14:paraId="3A914008" w14:textId="546430E6"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68</w:t>
      </w:r>
      <w:r w:rsidRPr="00A6745F">
        <w:rPr>
          <w:rFonts w:ascii="Arial" w:hAnsi="Arial" w:cs="Arial"/>
        </w:rPr>
        <w:t xml:space="preserve"> Williams, M. T., Metzger, I. W., Leins, C., &amp; DeLapp, R. C. T. (2014). Incorporating racial and ethnic diversity in trauma treatment. Psychological Trauma: Theory, Research, Practice, and Policy, 6(6), 761–770. </w:t>
      </w:r>
      <w:hyperlink r:id="rId67" w:history="1">
        <w:r w:rsidRPr="00A6745F">
          <w:rPr>
            <w:rStyle w:val="Hyperlink"/>
            <w:rFonts w:ascii="Arial" w:hAnsi="Arial" w:cs="Arial"/>
          </w:rPr>
          <w:t>https://doi.org/10.1037/a0035730</w:t>
        </w:r>
      </w:hyperlink>
    </w:p>
    <w:p w14:paraId="7152342B" w14:textId="77777777" w:rsidR="00E303BE" w:rsidRDefault="00E303BE" w:rsidP="0025111C">
      <w:pPr>
        <w:pStyle w:val="EndnoteText"/>
        <w:ind w:hanging="720"/>
        <w:rPr>
          <w:rFonts w:ascii="Arial" w:hAnsi="Arial" w:cs="Arial"/>
        </w:rPr>
      </w:pPr>
    </w:p>
    <w:p w14:paraId="12196979" w14:textId="77777777" w:rsidR="00E303BE" w:rsidRDefault="00E303BE" w:rsidP="0025111C">
      <w:pPr>
        <w:pStyle w:val="EndnoteText"/>
        <w:ind w:hanging="720"/>
        <w:rPr>
          <w:rFonts w:ascii="Arial" w:hAnsi="Arial" w:cs="Arial"/>
        </w:rPr>
      </w:pPr>
    </w:p>
    <w:p w14:paraId="064ABFB3" w14:textId="23A860D4" w:rsidR="00E303BE" w:rsidRDefault="00E303BE" w:rsidP="00A6745F">
      <w:pPr>
        <w:pStyle w:val="ListParagraph"/>
        <w:numPr>
          <w:ilvl w:val="0"/>
          <w:numId w:val="33"/>
        </w:numPr>
      </w:pPr>
      <w:r w:rsidRPr="00A6745F">
        <w:rPr>
          <w:rFonts w:ascii="Arial" w:hAnsi="Arial" w:cs="Arial"/>
        </w:rPr>
        <w:t xml:space="preserve">Adams, J., &amp; Scott, J. (2000). Predicting medication adherence in severe mental disorders. Acta Psychiatrica Scandinavica, 101(2), 119–124. </w:t>
      </w:r>
      <w:hyperlink r:id="rId68" w:history="1">
        <w:r w:rsidRPr="00A6745F">
          <w:rPr>
            <w:rStyle w:val="Hyperlink"/>
            <w:rFonts w:ascii="Arial" w:hAnsi="Arial" w:cs="Arial"/>
          </w:rPr>
          <w:t>https://doi.org/10.1034/j.1600-0447.2000.90061.x</w:t>
        </w:r>
      </w:hyperlink>
    </w:p>
    <w:p w14:paraId="7CA8DFAF" w14:textId="77777777" w:rsidR="00E303BE" w:rsidRPr="00DD1E1D" w:rsidRDefault="00E303BE" w:rsidP="004D5F69">
      <w:pPr>
        <w:ind w:left="720" w:hanging="720"/>
        <w:rPr>
          <w:rFonts w:ascii="Arial" w:hAnsi="Arial" w:cs="Arial"/>
        </w:rPr>
      </w:pPr>
    </w:p>
    <w:p w14:paraId="759A3C79" w14:textId="50C0CC15" w:rsidR="00E303BE" w:rsidRDefault="00E303BE" w:rsidP="00A6745F">
      <w:pPr>
        <w:pStyle w:val="ListParagraph"/>
        <w:numPr>
          <w:ilvl w:val="0"/>
          <w:numId w:val="33"/>
        </w:numPr>
      </w:pPr>
      <w:r w:rsidRPr="00A6745F">
        <w:rPr>
          <w:rFonts w:ascii="Arial" w:hAnsi="Arial" w:cs="Arial"/>
        </w:rPr>
        <w:t>Al</w:t>
      </w:r>
      <w:r w:rsidRPr="00A6745F">
        <w:rPr>
          <w:rFonts w:ascii="Cambria Math" w:hAnsi="Cambria Math" w:cs="Cambria Math"/>
        </w:rPr>
        <w:t>‐</w:t>
      </w:r>
      <w:proofErr w:type="spellStart"/>
      <w:r w:rsidRPr="00A6745F">
        <w:rPr>
          <w:rFonts w:ascii="Arial" w:hAnsi="Arial" w:cs="Arial"/>
        </w:rPr>
        <w:t>Metwali</w:t>
      </w:r>
      <w:proofErr w:type="spellEnd"/>
      <w:r w:rsidRPr="00A6745F">
        <w:rPr>
          <w:rFonts w:ascii="Arial" w:hAnsi="Arial" w:cs="Arial"/>
        </w:rPr>
        <w:t>, B. Z., Al</w:t>
      </w:r>
      <w:r w:rsidRPr="00A6745F">
        <w:rPr>
          <w:rFonts w:ascii="Cambria Math" w:hAnsi="Cambria Math" w:cs="Cambria Math"/>
        </w:rPr>
        <w:t>‐</w:t>
      </w:r>
      <w:r w:rsidRPr="00A6745F">
        <w:rPr>
          <w:rFonts w:ascii="Arial" w:hAnsi="Arial" w:cs="Arial"/>
        </w:rPr>
        <w:t>Jumaili, A. A., Al</w:t>
      </w:r>
      <w:r w:rsidRPr="00A6745F">
        <w:rPr>
          <w:rFonts w:ascii="Cambria Math" w:hAnsi="Cambria Math" w:cs="Cambria Math"/>
        </w:rPr>
        <w:t>‐</w:t>
      </w:r>
      <w:r w:rsidRPr="00A6745F">
        <w:rPr>
          <w:rFonts w:ascii="Arial" w:hAnsi="Arial" w:cs="Arial"/>
        </w:rPr>
        <w:t xml:space="preserve">Alag, Z. A., &amp; Sorofman, B. (2021). Exploring the acceptance of COVID </w:t>
      </w:r>
      <w:r w:rsidRPr="00A6745F">
        <w:rPr>
          <w:rFonts w:ascii="Cambria Math" w:hAnsi="Cambria Math" w:cs="Cambria Math"/>
        </w:rPr>
        <w:t>‐</w:t>
      </w:r>
      <w:r w:rsidRPr="00A6745F">
        <w:rPr>
          <w:rFonts w:ascii="Arial" w:hAnsi="Arial" w:cs="Arial"/>
        </w:rPr>
        <w:t xml:space="preserve">19 vaccine among healthcare workers and general population using health belief model. Journal of Evaluation in Clinical Practice, 27(5). </w:t>
      </w:r>
      <w:hyperlink r:id="rId69" w:history="1">
        <w:r w:rsidRPr="00A6745F">
          <w:rPr>
            <w:rStyle w:val="Hyperlink"/>
            <w:rFonts w:ascii="Arial" w:hAnsi="Arial" w:cs="Arial"/>
          </w:rPr>
          <w:t>https://doi.org/10.1111/jep.13581</w:t>
        </w:r>
      </w:hyperlink>
    </w:p>
    <w:p w14:paraId="390EF08F" w14:textId="77777777" w:rsidR="00E303BE" w:rsidRPr="00DD1E1D" w:rsidRDefault="00E303BE" w:rsidP="004D5F69">
      <w:pPr>
        <w:ind w:left="720" w:hanging="720"/>
        <w:rPr>
          <w:rFonts w:ascii="Arial" w:hAnsi="Arial" w:cs="Arial"/>
        </w:rPr>
      </w:pPr>
    </w:p>
    <w:p w14:paraId="0D2F6882" w14:textId="6672EDB9" w:rsidR="00E303BE" w:rsidRDefault="00E303BE" w:rsidP="00A6745F">
      <w:pPr>
        <w:pStyle w:val="EndnoteText"/>
        <w:numPr>
          <w:ilvl w:val="0"/>
          <w:numId w:val="33"/>
        </w:numPr>
        <w:rPr>
          <w:rFonts w:ascii="Arial" w:hAnsi="Arial" w:cs="Arial"/>
        </w:rPr>
      </w:pPr>
      <w:r w:rsidRPr="00DD1E1D">
        <w:rPr>
          <w:rFonts w:ascii="Arial" w:hAnsi="Arial" w:cs="Arial"/>
        </w:rPr>
        <w:t>American Psychiatric Association. (2022). Diagnostic and statistical manual of mental disorders (5th ed., text rev.; DSM–5–TR). American Psychiatric Association</w:t>
      </w:r>
      <w:r w:rsidR="00BA22EB">
        <w:rPr>
          <w:rFonts w:ascii="Arial" w:hAnsi="Arial" w:cs="Arial"/>
        </w:rPr>
        <w:t xml:space="preserve"> </w:t>
      </w:r>
      <w:hyperlink r:id="rId70" w:history="1">
        <w:r w:rsidR="00BA22EB" w:rsidRPr="000E44AF">
          <w:rPr>
            <w:rStyle w:val="Hyperlink"/>
            <w:rFonts w:ascii="Arial" w:hAnsi="Arial" w:cs="Arial"/>
          </w:rPr>
          <w:t>https://doi.org/10.1176/appi.books.9780890425787</w:t>
        </w:r>
      </w:hyperlink>
      <w:r w:rsidR="00BA22EB">
        <w:rPr>
          <w:rFonts w:ascii="Arial" w:hAnsi="Arial" w:cs="Arial"/>
        </w:rPr>
        <w:t xml:space="preserve"> </w:t>
      </w:r>
    </w:p>
    <w:p w14:paraId="6EC8EC6F" w14:textId="77777777" w:rsidR="00E303BE" w:rsidRDefault="00E303BE" w:rsidP="004D5F69">
      <w:pPr>
        <w:pStyle w:val="EndnoteText"/>
        <w:rPr>
          <w:rFonts w:ascii="Arial" w:hAnsi="Arial" w:cs="Arial"/>
        </w:rPr>
      </w:pPr>
    </w:p>
    <w:p w14:paraId="2D235AC8" w14:textId="6295299B" w:rsidR="00E303BE" w:rsidRDefault="00E303BE" w:rsidP="00A6745F">
      <w:pPr>
        <w:pStyle w:val="EndnoteText"/>
        <w:numPr>
          <w:ilvl w:val="0"/>
          <w:numId w:val="33"/>
        </w:numPr>
      </w:pPr>
      <w:r w:rsidRPr="00DD1E1D">
        <w:rPr>
          <w:rFonts w:ascii="Arial" w:hAnsi="Arial" w:cs="Arial"/>
        </w:rPr>
        <w:t xml:space="preserve">American Psychological Association. (2023). APA Dictionary of Psychology. Dictionary.apa.org. </w:t>
      </w:r>
      <w:hyperlink r:id="rId71" w:history="1">
        <w:r w:rsidRPr="00DD1E1D">
          <w:rPr>
            <w:rFonts w:ascii="Arial" w:hAnsi="Arial" w:cs="Arial"/>
          </w:rPr>
          <w:t>https://dictionary.apa.org/major-depressive-disorder</w:t>
        </w:r>
      </w:hyperlink>
      <w:r w:rsidR="00BA22EB">
        <w:rPr>
          <w:rFonts w:ascii="Arial" w:hAnsi="Arial" w:cs="Arial"/>
        </w:rPr>
        <w:t xml:space="preserve"> </w:t>
      </w:r>
      <w:hyperlink r:id="rId72" w:history="1">
        <w:r w:rsidR="00BA22EB" w:rsidRPr="000E44AF">
          <w:rPr>
            <w:rStyle w:val="Hyperlink"/>
            <w:rFonts w:ascii="Arial" w:hAnsi="Arial" w:cs="Arial"/>
          </w:rPr>
          <w:t>https://dictionary.apa.org/major-depressive-disorder</w:t>
        </w:r>
      </w:hyperlink>
      <w:r w:rsidR="00BA22EB">
        <w:rPr>
          <w:rFonts w:ascii="Arial" w:hAnsi="Arial" w:cs="Arial"/>
        </w:rPr>
        <w:t xml:space="preserve"> </w:t>
      </w:r>
    </w:p>
    <w:p w14:paraId="405E7942" w14:textId="6216BA48" w:rsidR="00E303BE" w:rsidRDefault="00BA22EB" w:rsidP="004D5F69">
      <w:pPr>
        <w:pStyle w:val="EndnoteText"/>
        <w:ind w:left="720" w:hanging="720"/>
      </w:pPr>
      <w:r>
        <w:t xml:space="preserve"> </w:t>
      </w:r>
    </w:p>
    <w:p w14:paraId="035EA136" w14:textId="0C31B4EB" w:rsidR="00E303BE" w:rsidRDefault="00E303BE" w:rsidP="00A6745F">
      <w:pPr>
        <w:pStyle w:val="EndnoteText"/>
        <w:numPr>
          <w:ilvl w:val="0"/>
          <w:numId w:val="33"/>
        </w:numPr>
      </w:pPr>
      <w:proofErr w:type="spellStart"/>
      <w:r w:rsidRPr="00DD1E1D">
        <w:rPr>
          <w:rFonts w:ascii="Arial" w:hAnsi="Arial" w:cs="Arial"/>
        </w:rPr>
        <w:t>Arubuolawe</w:t>
      </w:r>
      <w:proofErr w:type="spellEnd"/>
      <w:r w:rsidRPr="00DD1E1D">
        <w:rPr>
          <w:rFonts w:ascii="Arial" w:hAnsi="Arial" w:cs="Arial"/>
        </w:rPr>
        <w:t xml:space="preserve">, O. O., Folorunsho, I. L., Busari, A. K., Chidalu Ibeneme, Diala, A. B., Afolabi, V. I., Harry, N. M., Kenechukwu Anona, Obitulata-Ugwu, V. O., Kuye, O. A., &amp; Anugwom, G. O. (2024). Combination of Transcranial Magnetic Stimulation and Ketamine in Treatment-Resistant Depression: A Systematic Review. Cureus. </w:t>
      </w:r>
      <w:hyperlink r:id="rId73" w:history="1">
        <w:r w:rsidRPr="00DD1E1D">
          <w:rPr>
            <w:rStyle w:val="Hyperlink"/>
            <w:rFonts w:ascii="Arial" w:hAnsi="Arial" w:cs="Arial"/>
          </w:rPr>
          <w:t>https://doi.org/10.7759/cureus.64712</w:t>
        </w:r>
      </w:hyperlink>
    </w:p>
    <w:p w14:paraId="605B4BFD" w14:textId="77777777" w:rsidR="00E303BE" w:rsidRPr="00DD1E1D" w:rsidRDefault="00E303BE" w:rsidP="004D5F69">
      <w:pPr>
        <w:pStyle w:val="EndnoteText"/>
        <w:ind w:left="720" w:hanging="720"/>
        <w:rPr>
          <w:rFonts w:ascii="Arial" w:hAnsi="Arial" w:cs="Arial"/>
        </w:rPr>
      </w:pPr>
    </w:p>
    <w:p w14:paraId="297F0BAB" w14:textId="55489163" w:rsidR="00E303BE" w:rsidRPr="00A6745F" w:rsidRDefault="00E303BE" w:rsidP="00A6745F">
      <w:pPr>
        <w:pStyle w:val="ListParagraph"/>
        <w:numPr>
          <w:ilvl w:val="0"/>
          <w:numId w:val="33"/>
        </w:numPr>
        <w:rPr>
          <w:rFonts w:ascii="Arial" w:hAnsi="Arial" w:cs="Arial"/>
        </w:rPr>
      </w:pPr>
      <w:r w:rsidRPr="00A6745F">
        <w:rPr>
          <w:rFonts w:ascii="Arial" w:hAnsi="Arial" w:cs="Arial"/>
        </w:rPr>
        <w:t xml:space="preserve">Bishop, A. C., Baker, G. R., Boyle, T. A., &amp; MacKinnon, N. J. (2015). Using the Health Belief Model to explain patient involvement in patient safety. Health Expectations, 18(6), 3019–3033. </w:t>
      </w:r>
      <w:r w:rsidR="00BA22EB">
        <w:rPr>
          <w:rFonts w:ascii="Arial" w:hAnsi="Arial" w:cs="Arial"/>
        </w:rPr>
        <w:t xml:space="preserve"> </w:t>
      </w:r>
      <w:hyperlink r:id="rId74" w:history="1">
        <w:r w:rsidR="00BA22EB" w:rsidRPr="000E44AF">
          <w:rPr>
            <w:rStyle w:val="Hyperlink"/>
            <w:rFonts w:ascii="Arial" w:hAnsi="Arial" w:cs="Arial"/>
          </w:rPr>
          <w:t>https://doi.org/10.1111/hex.12286</w:t>
        </w:r>
      </w:hyperlink>
      <w:r w:rsidR="00BA22EB">
        <w:rPr>
          <w:rFonts w:ascii="Arial" w:hAnsi="Arial" w:cs="Arial"/>
        </w:rPr>
        <w:t xml:space="preserve"> </w:t>
      </w:r>
    </w:p>
    <w:p w14:paraId="09EF6209" w14:textId="77777777" w:rsidR="00E303BE" w:rsidRPr="00DD1E1D" w:rsidRDefault="00E303BE" w:rsidP="004D5F69">
      <w:pPr>
        <w:ind w:left="720" w:hanging="720"/>
        <w:rPr>
          <w:rFonts w:ascii="Arial" w:hAnsi="Arial" w:cs="Arial"/>
        </w:rPr>
      </w:pPr>
    </w:p>
    <w:p w14:paraId="3F90AE9D" w14:textId="19765C68" w:rsidR="00E303BE" w:rsidRDefault="00E303BE" w:rsidP="00A6745F">
      <w:pPr>
        <w:pStyle w:val="ListParagraph"/>
        <w:numPr>
          <w:ilvl w:val="0"/>
          <w:numId w:val="33"/>
        </w:numPr>
      </w:pPr>
      <w:r w:rsidRPr="00A6745F">
        <w:rPr>
          <w:rFonts w:ascii="Arial" w:hAnsi="Arial" w:cs="Arial"/>
        </w:rPr>
        <w:t xml:space="preserve">Bonar, E. E., &amp; Rosenberg, H. (2011). Using the health belief model to predict injecting drug users’ intentions to employ harm reduction strategies. Addictive Behaviors, 36(11), 1038–1044. </w:t>
      </w:r>
      <w:hyperlink r:id="rId75" w:history="1">
        <w:r w:rsidRPr="00A6745F">
          <w:rPr>
            <w:rStyle w:val="Hyperlink"/>
            <w:rFonts w:ascii="Arial" w:hAnsi="Arial" w:cs="Arial"/>
          </w:rPr>
          <w:t>https://doi.org/10.1016/j.addbeh.2011.06.01</w:t>
        </w:r>
      </w:hyperlink>
    </w:p>
    <w:p w14:paraId="2C87917B" w14:textId="77777777" w:rsidR="00E303BE" w:rsidRPr="00DD1E1D" w:rsidRDefault="00E303BE" w:rsidP="004D5F69">
      <w:pPr>
        <w:ind w:left="720" w:hanging="720"/>
        <w:rPr>
          <w:rFonts w:ascii="Arial" w:hAnsi="Arial" w:cs="Arial"/>
        </w:rPr>
      </w:pPr>
    </w:p>
    <w:p w14:paraId="67E4EA5B" w14:textId="10CDA47B" w:rsidR="00E303BE" w:rsidRDefault="00E303BE" w:rsidP="00A6745F">
      <w:pPr>
        <w:pStyle w:val="ListParagraph"/>
        <w:numPr>
          <w:ilvl w:val="0"/>
          <w:numId w:val="33"/>
        </w:numPr>
      </w:pPr>
      <w:proofErr w:type="spellStart"/>
      <w:r w:rsidRPr="00A6745F">
        <w:rPr>
          <w:rFonts w:ascii="Arial" w:hAnsi="Arial" w:cs="Arial"/>
        </w:rPr>
        <w:t>Burak</w:t>
      </w:r>
      <w:proofErr w:type="spellEnd"/>
      <w:r w:rsidRPr="00A6745F">
        <w:rPr>
          <w:rFonts w:ascii="Arial" w:hAnsi="Arial" w:cs="Arial"/>
        </w:rPr>
        <w:t xml:space="preserve">, L. J., &amp; Meyer, M. (1997). Using the health belief model to examine and predict college women’s cervical cancer screening beliefs and behavior. Health Care for Women International, 18(3), 251–262. </w:t>
      </w:r>
      <w:hyperlink r:id="rId76" w:history="1">
        <w:r w:rsidRPr="00A6745F">
          <w:rPr>
            <w:rStyle w:val="Hyperlink"/>
            <w:rFonts w:ascii="Arial" w:hAnsi="Arial" w:cs="Arial"/>
          </w:rPr>
          <w:t>https://doi.org/10.1080/07399339709516279</w:t>
        </w:r>
      </w:hyperlink>
    </w:p>
    <w:p w14:paraId="53FF9A9F" w14:textId="77777777" w:rsidR="00E303BE" w:rsidRPr="00DD1E1D" w:rsidRDefault="00E303BE" w:rsidP="004D5F69">
      <w:pPr>
        <w:ind w:left="720" w:hanging="720"/>
        <w:rPr>
          <w:rFonts w:ascii="Arial" w:hAnsi="Arial" w:cs="Arial"/>
        </w:rPr>
      </w:pPr>
    </w:p>
    <w:p w14:paraId="0FDB9F61" w14:textId="6932F095" w:rsidR="00E303BE" w:rsidRDefault="00E303BE" w:rsidP="00A6745F">
      <w:pPr>
        <w:pStyle w:val="EndnoteText"/>
        <w:numPr>
          <w:ilvl w:val="0"/>
          <w:numId w:val="33"/>
        </w:numPr>
      </w:pPr>
      <w:r w:rsidRPr="00DD1E1D">
        <w:rPr>
          <w:rFonts w:ascii="Arial" w:hAnsi="Arial" w:cs="Arial"/>
        </w:rPr>
        <w:t>Carhart-Harris, R. L., Bolstridge, M., Day, C. M. J., Rucker, J., Watts, R., Erritzoe, D. E., Kaelen, M., Giribaldi, B., Bloomfield, M., Pilling, S., Rickard, J. A., Forbes, B., Feilding, A., Taylor, D., Curran, H. V., &amp; Nutt, D. J. (2018). Psilocybin with psychological support for treatment-resistant depression: Six-month follow-up. Psychopharmacology</w:t>
      </w:r>
      <w:r w:rsidRPr="00DD1E1D">
        <w:rPr>
          <w:rFonts w:ascii="Arial" w:hAnsi="Arial" w:cs="Arial"/>
          <w:i/>
          <w:iCs/>
        </w:rPr>
        <w:t>, 235</w:t>
      </w:r>
      <w:r w:rsidRPr="00DD1E1D">
        <w:rPr>
          <w:rFonts w:ascii="Arial" w:hAnsi="Arial" w:cs="Arial"/>
        </w:rPr>
        <w:t xml:space="preserve">(2), 399–408. </w:t>
      </w:r>
      <w:hyperlink r:id="rId77" w:tgtFrame="_new" w:history="1">
        <w:r w:rsidRPr="00DD1E1D">
          <w:rPr>
            <w:rStyle w:val="Hyperlink"/>
            <w:rFonts w:ascii="Arial" w:hAnsi="Arial" w:cs="Arial"/>
          </w:rPr>
          <w:t>https://doi.org/10.1007/s00213-017-4771-x</w:t>
        </w:r>
      </w:hyperlink>
    </w:p>
    <w:p w14:paraId="777E0901" w14:textId="77777777" w:rsidR="00E303BE" w:rsidRPr="00DD1E1D" w:rsidRDefault="00E303BE" w:rsidP="004D5F69">
      <w:pPr>
        <w:pStyle w:val="EndnoteText"/>
        <w:ind w:left="720" w:hanging="720"/>
        <w:rPr>
          <w:rFonts w:ascii="Arial" w:hAnsi="Arial" w:cs="Arial"/>
        </w:rPr>
      </w:pPr>
    </w:p>
    <w:p w14:paraId="392C511E" w14:textId="62446263" w:rsidR="00E303BE" w:rsidRDefault="00E303BE" w:rsidP="00A6745F">
      <w:pPr>
        <w:pStyle w:val="EndnoteText"/>
        <w:numPr>
          <w:ilvl w:val="0"/>
          <w:numId w:val="33"/>
        </w:numPr>
      </w:pPr>
      <w:r w:rsidRPr="00DD1E1D">
        <w:rPr>
          <w:rFonts w:ascii="Arial" w:hAnsi="Arial" w:cs="Arial"/>
        </w:rPr>
        <w:t xml:space="preserve">Carhart-Harris, R. L., Bolstridge, M., Rucker, J., Day, C. M. J., Erritzoe, D., Kaelen, M., Bloomfield, M., Rickard, J. A., Forbes, B., Feilding, A., Taylor, D., Pilling, S., Curran, H. V., &amp; Nutt, D. J. (2016). Psilocybin with psychological support for treatment-resistant depression: An open-label feasibility study. The Lancet Psychiatry, 3(7), 619–627. </w:t>
      </w:r>
      <w:hyperlink r:id="rId78" w:history="1">
        <w:r w:rsidRPr="00DD1E1D">
          <w:rPr>
            <w:rStyle w:val="Hyperlink"/>
            <w:rFonts w:ascii="Arial" w:hAnsi="Arial" w:cs="Arial"/>
          </w:rPr>
          <w:t>https://doi.org/10.1016/S2215-0366(16)30065-7</w:t>
        </w:r>
      </w:hyperlink>
    </w:p>
    <w:p w14:paraId="7430B8FF" w14:textId="77777777" w:rsidR="00E303BE" w:rsidRPr="00DD1E1D" w:rsidRDefault="00E303BE" w:rsidP="004D5F69">
      <w:pPr>
        <w:pStyle w:val="EndnoteText"/>
        <w:ind w:left="720" w:hanging="720"/>
        <w:rPr>
          <w:rFonts w:ascii="Arial" w:hAnsi="Arial" w:cs="Arial"/>
        </w:rPr>
      </w:pPr>
    </w:p>
    <w:p w14:paraId="0C360B52" w14:textId="747F5D22" w:rsidR="00E303BE" w:rsidRPr="00DD1E1D" w:rsidRDefault="00E303BE" w:rsidP="00A6745F">
      <w:pPr>
        <w:pStyle w:val="EndnoteText"/>
        <w:numPr>
          <w:ilvl w:val="0"/>
          <w:numId w:val="33"/>
        </w:numPr>
        <w:rPr>
          <w:rFonts w:ascii="Arial" w:hAnsi="Arial" w:cs="Arial"/>
        </w:rPr>
      </w:pPr>
      <w:r w:rsidRPr="00DD1E1D">
        <w:rPr>
          <w:rFonts w:ascii="Arial" w:hAnsi="Arial" w:cs="Arial"/>
        </w:rPr>
        <w:t xml:space="preserve">Carhart-Harris, R., Giribaldi, B., Watts, R., Baker-Jones, M., Murphy-Beiner, A., Murphy, R., Martell, J., Blemings, A., Erritzoe, D., &amp; Nutt, D. J. (2021). </w:t>
      </w:r>
      <w:r w:rsidRPr="00DD1E1D">
        <w:rPr>
          <w:rFonts w:ascii="Arial" w:hAnsi="Arial" w:cs="Arial"/>
          <w:i/>
          <w:iCs/>
        </w:rPr>
        <w:t>Trial of psilocybin versus escitalopram for depression.</w:t>
      </w:r>
      <w:r w:rsidRPr="00DD1E1D">
        <w:rPr>
          <w:rFonts w:ascii="Arial" w:hAnsi="Arial" w:cs="Arial"/>
        </w:rPr>
        <w:t xml:space="preserve"> </w:t>
      </w:r>
      <w:r w:rsidRPr="00DD1E1D">
        <w:rPr>
          <w:rFonts w:ascii="Arial" w:hAnsi="Arial" w:cs="Arial"/>
          <w:i/>
          <w:iCs/>
        </w:rPr>
        <w:t>New England Journal of Medicine, 384</w:t>
      </w:r>
      <w:r w:rsidRPr="00DD1E1D">
        <w:rPr>
          <w:rFonts w:ascii="Arial" w:hAnsi="Arial" w:cs="Arial"/>
        </w:rPr>
        <w:t xml:space="preserve">(15), 1402–1411. </w:t>
      </w:r>
      <w:hyperlink r:id="rId79" w:history="1">
        <w:r w:rsidRPr="00DD1E1D">
          <w:rPr>
            <w:rStyle w:val="Hyperlink"/>
            <w:rFonts w:ascii="Arial" w:hAnsi="Arial" w:cs="Arial"/>
          </w:rPr>
          <w:t>https://doi.org/10.1056/NEJMoa2032994</w:t>
        </w:r>
      </w:hyperlink>
    </w:p>
    <w:p w14:paraId="105D05DC" w14:textId="5524D424" w:rsidR="00E303BE" w:rsidRPr="00A6745F" w:rsidRDefault="00E303BE" w:rsidP="00A6745F">
      <w:pPr>
        <w:pStyle w:val="ListParagraph"/>
        <w:numPr>
          <w:ilvl w:val="0"/>
          <w:numId w:val="33"/>
        </w:numPr>
        <w:rPr>
          <w:rFonts w:ascii="Arial" w:hAnsi="Arial" w:cs="Arial"/>
        </w:rPr>
      </w:pPr>
      <w:r w:rsidRPr="00A6745F">
        <w:rPr>
          <w:rFonts w:ascii="Arial" w:hAnsi="Arial" w:cs="Arial"/>
        </w:rPr>
        <w:t xml:space="preserve">Catalano, H. P., Christofora, J., Richards, K., Hyatt Hawkins Shaw, K., &amp; Kiser, K. (2024). Predicting COVID-19 booster intentions among college students using the health belief model: Advancing health promotion strategies for uptake. Frontiers in Public Health, 12, Article 1395941. </w:t>
      </w:r>
      <w:hyperlink r:id="rId80" w:history="1">
        <w:r w:rsidRPr="00A6745F">
          <w:rPr>
            <w:rStyle w:val="Hyperlink"/>
            <w:rFonts w:ascii="Arial" w:hAnsi="Arial" w:cs="Arial"/>
          </w:rPr>
          <w:t>https://doi.org/10.3389/fpubh.2024.1395941</w:t>
        </w:r>
      </w:hyperlink>
      <w:r w:rsidRPr="00A6745F">
        <w:rPr>
          <w:rFonts w:ascii="Arial" w:hAnsi="Arial" w:cs="Arial"/>
        </w:rPr>
        <w:t xml:space="preserve"> </w:t>
      </w:r>
    </w:p>
    <w:p w14:paraId="5BB67DD2" w14:textId="77777777" w:rsidR="00E303BE" w:rsidRPr="00DD1E1D" w:rsidRDefault="00E303BE" w:rsidP="004D5F69">
      <w:pPr>
        <w:ind w:left="720" w:hanging="720"/>
        <w:rPr>
          <w:rFonts w:ascii="Arial" w:hAnsi="Arial" w:cs="Arial"/>
        </w:rPr>
      </w:pPr>
    </w:p>
    <w:p w14:paraId="0305C446" w14:textId="3095A9B9" w:rsidR="00E303BE" w:rsidRDefault="00E303BE" w:rsidP="00A6745F">
      <w:pPr>
        <w:pStyle w:val="EndnoteText"/>
        <w:numPr>
          <w:ilvl w:val="0"/>
          <w:numId w:val="33"/>
        </w:numPr>
        <w:rPr>
          <w:rFonts w:ascii="Arial" w:hAnsi="Arial" w:cs="Arial"/>
        </w:rPr>
      </w:pPr>
      <w:r w:rsidRPr="00DD1E1D">
        <w:rPr>
          <w:rFonts w:ascii="Arial" w:hAnsi="Arial" w:cs="Arial"/>
        </w:rPr>
        <w:t>Centers for Disease Control and Prevention (CDC) Web -based Injury Statistics Query and Reporting System (WISQARS) [Online</w:t>
      </w:r>
      <w:proofErr w:type="gramStart"/>
      <w:r w:rsidRPr="00DD1E1D">
        <w:rPr>
          <w:rFonts w:ascii="Arial" w:hAnsi="Arial" w:cs="Arial"/>
        </w:rPr>
        <w:t>].(</w:t>
      </w:r>
      <w:proofErr w:type="gramEnd"/>
      <w:r w:rsidRPr="00DD1E1D">
        <w:rPr>
          <w:rFonts w:ascii="Arial" w:hAnsi="Arial" w:cs="Arial"/>
        </w:rPr>
        <w:t>2013,2011)</w:t>
      </w:r>
      <w:r>
        <w:rPr>
          <w:rFonts w:ascii="Arial" w:hAnsi="Arial" w:cs="Arial"/>
        </w:rPr>
        <w:t xml:space="preserve"> </w:t>
      </w:r>
      <w:r w:rsidRPr="00DD1E1D">
        <w:rPr>
          <w:rFonts w:ascii="Arial" w:hAnsi="Arial" w:cs="Arial"/>
        </w:rPr>
        <w:t>National Center for Injury Prevention and Control, CDC (producer).</w:t>
      </w:r>
      <w:r>
        <w:rPr>
          <w:rFonts w:ascii="Arial" w:hAnsi="Arial" w:cs="Arial"/>
        </w:rPr>
        <w:t xml:space="preserve"> </w:t>
      </w:r>
      <w:hyperlink r:id="rId81" w:history="1">
        <w:r w:rsidR="00BA22EB" w:rsidRPr="000E44AF">
          <w:rPr>
            <w:rStyle w:val="Hyperlink"/>
          </w:rPr>
          <w:t>https://www.cdc.gov/injury/wisqars/index.html</w:t>
        </w:r>
      </w:hyperlink>
      <w:r w:rsidR="00BA22EB">
        <w:t xml:space="preserve"> </w:t>
      </w:r>
    </w:p>
    <w:p w14:paraId="0F4762E3" w14:textId="77777777" w:rsidR="00E303BE" w:rsidRPr="00DD1E1D" w:rsidRDefault="00E303BE" w:rsidP="004D5F69">
      <w:pPr>
        <w:pStyle w:val="EndnoteText"/>
        <w:ind w:left="720" w:hanging="720"/>
        <w:rPr>
          <w:rFonts w:ascii="Arial" w:hAnsi="Arial" w:cs="Arial"/>
        </w:rPr>
      </w:pPr>
    </w:p>
    <w:p w14:paraId="40A94D73" w14:textId="78CD0697" w:rsidR="00E303BE" w:rsidRDefault="00E303BE" w:rsidP="00A6745F">
      <w:pPr>
        <w:pStyle w:val="EndnoteText"/>
        <w:numPr>
          <w:ilvl w:val="0"/>
          <w:numId w:val="33"/>
        </w:numPr>
      </w:pPr>
      <w:r w:rsidRPr="00DD1E1D">
        <w:rPr>
          <w:rFonts w:ascii="Arial" w:hAnsi="Arial" w:cs="Arial"/>
        </w:rPr>
        <w:t xml:space="preserve">Centers for Disease Control and Prevention. (2025). Depression prevalence in adolescents and adults: United States, August 2021–August 2023 (NCHS Data Brief No. 527). </w:t>
      </w:r>
      <w:hyperlink r:id="rId82" w:history="1">
        <w:r w:rsidR="00BA22EB" w:rsidRPr="000E44AF">
          <w:rPr>
            <w:rStyle w:val="Hyperlink"/>
          </w:rPr>
          <w:t>https://doi.org/10.15620/cdc/174579</w:t>
        </w:r>
      </w:hyperlink>
      <w:r w:rsidR="00BA22EB">
        <w:t xml:space="preserve"> </w:t>
      </w:r>
    </w:p>
    <w:p w14:paraId="3A0CFAFC" w14:textId="77777777" w:rsidR="00E303BE" w:rsidRPr="00DD1E1D" w:rsidRDefault="00E303BE" w:rsidP="004D5F69">
      <w:pPr>
        <w:pStyle w:val="EndnoteText"/>
        <w:ind w:left="720" w:hanging="720"/>
        <w:rPr>
          <w:rFonts w:ascii="Arial" w:hAnsi="Arial" w:cs="Arial"/>
        </w:rPr>
      </w:pPr>
    </w:p>
    <w:p w14:paraId="1F0576F5" w14:textId="76C4DDF3" w:rsidR="00E303BE" w:rsidRDefault="00E303BE" w:rsidP="00A6745F">
      <w:pPr>
        <w:pStyle w:val="NormalWeb"/>
        <w:numPr>
          <w:ilvl w:val="0"/>
          <w:numId w:val="33"/>
        </w:numPr>
        <w:spacing w:before="0" w:beforeAutospacing="0" w:after="0" w:afterAutospacing="0"/>
        <w:rPr>
          <w:rFonts w:ascii="Arial" w:hAnsi="Arial" w:cs="Arial"/>
          <w:color w:val="000000"/>
          <w:sz w:val="20"/>
          <w:szCs w:val="20"/>
        </w:rPr>
      </w:pPr>
      <w:r w:rsidRPr="00332B22">
        <w:rPr>
          <w:rFonts w:ascii="Arial" w:hAnsi="Arial" w:cs="Arial"/>
          <w:color w:val="000000"/>
          <w:sz w:val="20"/>
          <w:szCs w:val="20"/>
        </w:rPr>
        <w:t>Champion, V. (2020, September 24). </w:t>
      </w:r>
      <w:r w:rsidRPr="00332B22">
        <w:rPr>
          <w:rFonts w:ascii="Arial" w:hAnsi="Arial" w:cs="Arial"/>
          <w:i/>
          <w:iCs/>
          <w:color w:val="000000"/>
          <w:sz w:val="20"/>
          <w:szCs w:val="20"/>
        </w:rPr>
        <w:t>Perceived Benefits | Division of Cancer Control and Population Sciences (DCCPS)</w:t>
      </w:r>
      <w:r w:rsidRPr="00332B22">
        <w:rPr>
          <w:rFonts w:ascii="Arial" w:hAnsi="Arial" w:cs="Arial"/>
          <w:color w:val="000000"/>
          <w:sz w:val="20"/>
          <w:szCs w:val="20"/>
        </w:rPr>
        <w:t xml:space="preserve">. Cancercontrol.cancer.gov. </w:t>
      </w:r>
      <w:hyperlink r:id="rId83" w:history="1">
        <w:r w:rsidR="00BA22EB" w:rsidRPr="000E44AF">
          <w:rPr>
            <w:rStyle w:val="Hyperlink"/>
          </w:rPr>
          <w:t>https://cancercontrol.cancer.gov/brp/research/constructs/perceived-benefits</w:t>
        </w:r>
      </w:hyperlink>
      <w:r w:rsidR="00BA22EB">
        <w:t xml:space="preserve"> </w:t>
      </w:r>
    </w:p>
    <w:p w14:paraId="2FB14D93" w14:textId="77777777" w:rsidR="00E303BE" w:rsidRDefault="00E303BE" w:rsidP="004D5F69">
      <w:pPr>
        <w:pStyle w:val="NormalWeb"/>
        <w:spacing w:before="0" w:beforeAutospacing="0" w:after="0" w:afterAutospacing="0"/>
        <w:ind w:left="720" w:hanging="720"/>
        <w:rPr>
          <w:rFonts w:ascii="Arial" w:hAnsi="Arial" w:cs="Arial"/>
          <w:color w:val="000000"/>
          <w:sz w:val="20"/>
          <w:szCs w:val="20"/>
        </w:rPr>
      </w:pPr>
    </w:p>
    <w:p w14:paraId="3FF9DF90" w14:textId="77777777" w:rsidR="00E303BE" w:rsidRDefault="00E303BE" w:rsidP="00A6745F">
      <w:pPr>
        <w:pStyle w:val="EndnoteText"/>
        <w:numPr>
          <w:ilvl w:val="0"/>
          <w:numId w:val="33"/>
        </w:numPr>
        <w:rPr>
          <w:rFonts w:ascii="Arial" w:hAnsi="Arial" w:cs="Arial"/>
        </w:rPr>
      </w:pPr>
      <w:r w:rsidRPr="00332B22">
        <w:rPr>
          <w:rFonts w:ascii="Arial" w:hAnsi="Arial" w:cs="Arial"/>
        </w:rPr>
        <w:t xml:space="preserve">Corrigan, K., Haran, M., McCandliss, C., McManus, R., Cleary, S., Trant, R., Kelly, Y., Ledden, K., Rush, G., O’Keane, V., &amp; Kelly, J. R. (2021). Psychedelic perceptions: mental health service user attitudes to psilocybin therapy. Irish Journal of Medical Science, 191(3), 1–13. </w:t>
      </w:r>
      <w:hyperlink r:id="rId84" w:history="1">
        <w:r w:rsidRPr="00332B22">
          <w:rPr>
            <w:rStyle w:val="Hyperlink"/>
            <w:rFonts w:ascii="Arial" w:hAnsi="Arial" w:cs="Arial"/>
          </w:rPr>
          <w:t>https://doi.org/10.1007/s11845-021-02668-2</w:t>
        </w:r>
      </w:hyperlink>
    </w:p>
    <w:p w14:paraId="70026503" w14:textId="77777777" w:rsidR="00E303BE" w:rsidRPr="00332B22" w:rsidRDefault="00E303BE" w:rsidP="004D5F69">
      <w:pPr>
        <w:pStyle w:val="EndnoteText"/>
        <w:ind w:left="720" w:hanging="720"/>
        <w:rPr>
          <w:rFonts w:ascii="Arial" w:hAnsi="Arial" w:cs="Arial"/>
        </w:rPr>
      </w:pPr>
    </w:p>
    <w:p w14:paraId="26EA0BCB" w14:textId="22167860" w:rsidR="00E303BE" w:rsidRPr="00A6745F" w:rsidRDefault="00E303BE" w:rsidP="00A6745F">
      <w:pPr>
        <w:pStyle w:val="ListParagraph"/>
        <w:numPr>
          <w:ilvl w:val="0"/>
          <w:numId w:val="33"/>
        </w:numPr>
        <w:rPr>
          <w:rFonts w:ascii="Arial" w:hAnsi="Arial" w:cs="Arial"/>
        </w:rPr>
      </w:pPr>
      <w:proofErr w:type="spellStart"/>
      <w:r w:rsidRPr="00A6745F">
        <w:rPr>
          <w:rFonts w:ascii="Arial" w:hAnsi="Arial" w:cs="Arial"/>
        </w:rPr>
        <w:t>Cuijpers</w:t>
      </w:r>
      <w:proofErr w:type="spellEnd"/>
      <w:r w:rsidRPr="00A6745F">
        <w:rPr>
          <w:rFonts w:ascii="Arial" w:hAnsi="Arial" w:cs="Arial"/>
        </w:rPr>
        <w:t>, P., Karyotaki, E., de Wit, L., &amp; Ebert, D. D. (2021); The effects of combined psychotherapy and pharmacotherapy for depression: A meta-analysis of comparative trials. World Psychiatry, 20(1), 123–134</w:t>
      </w:r>
    </w:p>
    <w:p w14:paraId="7BD32D34" w14:textId="77777777" w:rsidR="00E303BE" w:rsidRPr="00DD1E1D" w:rsidRDefault="00E303BE" w:rsidP="004D5F69">
      <w:pPr>
        <w:ind w:left="720" w:hanging="720"/>
        <w:rPr>
          <w:rFonts w:ascii="Arial" w:hAnsi="Arial" w:cs="Arial"/>
        </w:rPr>
      </w:pPr>
    </w:p>
    <w:p w14:paraId="6F7A2883" w14:textId="714FFE0D" w:rsidR="00E303BE" w:rsidRDefault="00E303BE" w:rsidP="00A6745F">
      <w:pPr>
        <w:pStyle w:val="ListParagraph"/>
        <w:numPr>
          <w:ilvl w:val="0"/>
          <w:numId w:val="33"/>
        </w:numPr>
      </w:pPr>
      <w:r w:rsidRPr="00A6745F">
        <w:rPr>
          <w:rFonts w:ascii="Arial" w:hAnsi="Arial" w:cs="Arial"/>
        </w:rPr>
        <w:t xml:space="preserve">Davis, A. K., Barrett, F. S., May, D. G., Cosimano, M. P., Sepeda, N. D., Johnson, M. W., Finan, P. H., &amp; Griffiths, R. R. (2020). Effects of psilocybin-assisted therapy on major depressive disorder. JAMA Psychiatry, 78(5), 481–489. </w:t>
      </w:r>
      <w:hyperlink r:id="rId85" w:history="1">
        <w:r w:rsidRPr="00A6745F">
          <w:rPr>
            <w:rStyle w:val="Hyperlink"/>
            <w:rFonts w:ascii="Arial" w:hAnsi="Arial" w:cs="Arial"/>
          </w:rPr>
          <w:t>https://doi.org/10.1001/jamapsychiatry.2020.3285</w:t>
        </w:r>
      </w:hyperlink>
    </w:p>
    <w:p w14:paraId="3C7116C3" w14:textId="77777777" w:rsidR="00E303BE" w:rsidRPr="00DD1E1D" w:rsidRDefault="00E303BE" w:rsidP="004D5F69">
      <w:pPr>
        <w:ind w:left="720" w:hanging="720"/>
        <w:rPr>
          <w:rFonts w:ascii="Arial" w:hAnsi="Arial" w:cs="Arial"/>
        </w:rPr>
      </w:pPr>
    </w:p>
    <w:p w14:paraId="59830357" w14:textId="676C0F1D" w:rsidR="00E303BE" w:rsidRDefault="00E303BE" w:rsidP="00A6745F">
      <w:pPr>
        <w:pStyle w:val="ListParagraph"/>
        <w:numPr>
          <w:ilvl w:val="0"/>
          <w:numId w:val="33"/>
        </w:numPr>
      </w:pPr>
      <w:r w:rsidRPr="00A6745F">
        <w:rPr>
          <w:rFonts w:ascii="Arial" w:hAnsi="Arial" w:cs="Arial"/>
        </w:rPr>
        <w:t xml:space="preserve">Dillon, P. J., Kedia, S. K., Isehunwa, O. O., &amp; Sharma, M. (2020). Motivations for Treatment Engagement in a Residential Substance Use Disorder Treatment Program: A Qualitative Study. Substance Abuse: Research and Treatment, 14, 117822182094068. </w:t>
      </w:r>
      <w:hyperlink r:id="rId86" w:history="1">
        <w:r w:rsidRPr="00A6745F">
          <w:rPr>
            <w:rStyle w:val="Hyperlink"/>
            <w:rFonts w:ascii="Arial" w:hAnsi="Arial" w:cs="Arial"/>
          </w:rPr>
          <w:t>https://doi.org/10.1177/1178221820940682</w:t>
        </w:r>
      </w:hyperlink>
    </w:p>
    <w:p w14:paraId="12240BE8" w14:textId="77777777" w:rsidR="00E303BE" w:rsidRPr="00DD1E1D" w:rsidRDefault="00E303BE" w:rsidP="004D5F69">
      <w:pPr>
        <w:ind w:left="720" w:hanging="720"/>
        <w:rPr>
          <w:rFonts w:ascii="Arial" w:hAnsi="Arial" w:cs="Arial"/>
        </w:rPr>
      </w:pPr>
    </w:p>
    <w:p w14:paraId="0BE97AF5" w14:textId="498EC88B" w:rsidR="00E303BE" w:rsidRDefault="00E303BE" w:rsidP="00A6745F">
      <w:pPr>
        <w:pStyle w:val="ListParagraph"/>
        <w:numPr>
          <w:ilvl w:val="0"/>
          <w:numId w:val="33"/>
        </w:numPr>
      </w:pPr>
      <w:proofErr w:type="spellStart"/>
      <w:r w:rsidRPr="00A6745F">
        <w:rPr>
          <w:rFonts w:ascii="Arial" w:hAnsi="Arial" w:cs="Arial"/>
        </w:rPr>
        <w:t>Fadaei</w:t>
      </w:r>
      <w:proofErr w:type="spellEnd"/>
      <w:r w:rsidRPr="00A6745F">
        <w:rPr>
          <w:rFonts w:ascii="Arial" w:hAnsi="Arial" w:cs="Arial"/>
        </w:rPr>
        <w:t xml:space="preserve">, M. H., Farokhzadian, J., Miri, S., &amp; Goojani, R. (2020). Promoting drug abuse preventive behaviors in adolescent students based on the health belief model. International Journal of Adolescent Medicine and Health, 0(0). </w:t>
      </w:r>
      <w:hyperlink r:id="rId87" w:history="1">
        <w:r w:rsidRPr="00A6745F">
          <w:rPr>
            <w:rStyle w:val="Hyperlink"/>
            <w:rFonts w:ascii="Arial" w:hAnsi="Arial" w:cs="Arial"/>
          </w:rPr>
          <w:t>https://doi.org/10.1515/ijamh-2019-0170</w:t>
        </w:r>
      </w:hyperlink>
    </w:p>
    <w:p w14:paraId="171EBAE9" w14:textId="77777777" w:rsidR="00E303BE" w:rsidRPr="00DD1E1D" w:rsidRDefault="00E303BE" w:rsidP="004D5F69">
      <w:pPr>
        <w:ind w:left="720" w:hanging="720"/>
        <w:rPr>
          <w:rFonts w:ascii="Arial" w:hAnsi="Arial" w:cs="Arial"/>
        </w:rPr>
      </w:pPr>
    </w:p>
    <w:p w14:paraId="10F52F13" w14:textId="13EEA23A" w:rsidR="00E303BE" w:rsidRPr="00A6745F" w:rsidRDefault="00E303BE" w:rsidP="00A6745F">
      <w:pPr>
        <w:pStyle w:val="ListParagraph"/>
        <w:numPr>
          <w:ilvl w:val="0"/>
          <w:numId w:val="33"/>
        </w:numPr>
        <w:rPr>
          <w:rFonts w:ascii="Arial" w:hAnsi="Arial" w:cs="Arial"/>
        </w:rPr>
      </w:pPr>
      <w:r w:rsidRPr="00A6745F">
        <w:rPr>
          <w:rFonts w:ascii="Arial" w:hAnsi="Arial" w:cs="Arial"/>
        </w:rPr>
        <w:t xml:space="preserve">Fai, E. K., Anderson, C., &amp; Ferreros, V. (2017). Role of attitudes and intentions in predicting adherence to oral diabetes medications. Endocrine connections, 6(2), 63–70. </w:t>
      </w:r>
      <w:hyperlink r:id="rId88" w:history="1">
        <w:r w:rsidRPr="00A6745F">
          <w:rPr>
            <w:rStyle w:val="Hyperlink"/>
            <w:rFonts w:ascii="Arial" w:hAnsi="Arial" w:cs="Arial"/>
          </w:rPr>
          <w:t>https://doi.org/10.1530/EC-16-0093</w:t>
        </w:r>
      </w:hyperlink>
      <w:r w:rsidRPr="00A6745F">
        <w:rPr>
          <w:rFonts w:ascii="Arial" w:hAnsi="Arial" w:cs="Arial"/>
        </w:rPr>
        <w:t xml:space="preserve"> </w:t>
      </w:r>
    </w:p>
    <w:p w14:paraId="291BA8BF" w14:textId="77777777" w:rsidR="00E303BE" w:rsidRDefault="00E303BE" w:rsidP="004D5F69">
      <w:pPr>
        <w:ind w:left="720" w:hanging="720"/>
        <w:rPr>
          <w:rFonts w:ascii="Arial" w:hAnsi="Arial" w:cs="Arial"/>
        </w:rPr>
      </w:pPr>
    </w:p>
    <w:p w14:paraId="25256DBF" w14:textId="77777777" w:rsidR="00E303BE" w:rsidRDefault="00E303BE" w:rsidP="00A6745F">
      <w:pPr>
        <w:pStyle w:val="NormalWeb"/>
        <w:numPr>
          <w:ilvl w:val="0"/>
          <w:numId w:val="33"/>
        </w:numPr>
        <w:spacing w:before="0" w:beforeAutospacing="0" w:after="0" w:afterAutospacing="0"/>
        <w:rPr>
          <w:rFonts w:ascii="Arial" w:hAnsi="Arial" w:cs="Arial"/>
          <w:color w:val="000000"/>
          <w:sz w:val="20"/>
          <w:szCs w:val="20"/>
        </w:rPr>
      </w:pPr>
      <w:r w:rsidRPr="00332B22">
        <w:rPr>
          <w:rFonts w:ascii="Arial" w:hAnsi="Arial" w:cs="Arial"/>
          <w:color w:val="000000"/>
          <w:sz w:val="20"/>
          <w:szCs w:val="20"/>
        </w:rPr>
        <w:t>Frinton, S., &amp; Robinson, J. (2025). University Students’ Motives for Psilocybin Use: A Mixed-Methods Analysis. </w:t>
      </w:r>
      <w:r w:rsidRPr="00332B22">
        <w:rPr>
          <w:rFonts w:ascii="Arial" w:hAnsi="Arial" w:cs="Arial"/>
          <w:i/>
          <w:iCs/>
          <w:color w:val="000000"/>
          <w:sz w:val="20"/>
          <w:szCs w:val="20"/>
        </w:rPr>
        <w:t>Journal of Drug Issues</w:t>
      </w:r>
      <w:r w:rsidRPr="00332B22">
        <w:rPr>
          <w:rFonts w:ascii="Arial" w:hAnsi="Arial" w:cs="Arial"/>
          <w:color w:val="000000"/>
          <w:sz w:val="20"/>
          <w:szCs w:val="20"/>
        </w:rPr>
        <w:t xml:space="preserve">. </w:t>
      </w:r>
      <w:hyperlink r:id="rId89" w:history="1">
        <w:r w:rsidRPr="004111A7">
          <w:rPr>
            <w:rStyle w:val="Hyperlink"/>
            <w:rFonts w:ascii="Arial" w:hAnsi="Arial" w:cs="Arial"/>
            <w:sz w:val="20"/>
            <w:szCs w:val="20"/>
          </w:rPr>
          <w:t>https://doi.org/10.1177/00220426251338187</w:t>
        </w:r>
      </w:hyperlink>
    </w:p>
    <w:p w14:paraId="27F0015E" w14:textId="77777777" w:rsidR="00E303BE" w:rsidRPr="00332B22" w:rsidRDefault="00E303BE" w:rsidP="004D5F69">
      <w:pPr>
        <w:pStyle w:val="NormalWeb"/>
        <w:spacing w:before="0" w:beforeAutospacing="0" w:after="0" w:afterAutospacing="0"/>
        <w:ind w:left="720" w:hanging="720"/>
        <w:rPr>
          <w:rFonts w:ascii="Arial" w:hAnsi="Arial" w:cs="Arial"/>
          <w:color w:val="000000"/>
          <w:sz w:val="20"/>
          <w:szCs w:val="20"/>
        </w:rPr>
      </w:pPr>
    </w:p>
    <w:p w14:paraId="3D7149D7" w14:textId="71094753" w:rsidR="00E303BE" w:rsidRDefault="00E303BE" w:rsidP="00A6745F">
      <w:pPr>
        <w:pStyle w:val="ListParagraph"/>
        <w:numPr>
          <w:ilvl w:val="0"/>
          <w:numId w:val="33"/>
        </w:numPr>
      </w:pPr>
      <w:proofErr w:type="spellStart"/>
      <w:r w:rsidRPr="00A6745F">
        <w:rPr>
          <w:rFonts w:ascii="Arial" w:hAnsi="Arial" w:cs="Arial"/>
        </w:rPr>
        <w:t>Gaddey</w:t>
      </w:r>
      <w:proofErr w:type="spellEnd"/>
      <w:r w:rsidRPr="00A6745F">
        <w:rPr>
          <w:rFonts w:ascii="Arial" w:hAnsi="Arial" w:cs="Arial"/>
        </w:rPr>
        <w:t xml:space="preserve">, H. L., Mason, B., &amp; Naik, A. (2024). Depression: Managing resistance and partial response to treatment. American Family Physician, 109(5), 410–416. </w:t>
      </w:r>
      <w:hyperlink r:id="rId90" w:history="1">
        <w:r w:rsidR="00BA22EB" w:rsidRPr="000E44AF">
          <w:rPr>
            <w:rStyle w:val="Hyperlink"/>
          </w:rPr>
          <w:t>https://www.aafp.org/pubs/afp/issues/2024/0500/treatment-resistant-depression.html</w:t>
        </w:r>
      </w:hyperlink>
      <w:r w:rsidR="00BA22EB">
        <w:t xml:space="preserve"> </w:t>
      </w:r>
    </w:p>
    <w:p w14:paraId="3E2A9D04" w14:textId="77777777" w:rsidR="00E303BE" w:rsidRPr="00DD1E1D" w:rsidRDefault="00E303BE" w:rsidP="004D5F69">
      <w:pPr>
        <w:ind w:left="720" w:hanging="720"/>
        <w:rPr>
          <w:rFonts w:ascii="Arial" w:hAnsi="Arial" w:cs="Arial"/>
        </w:rPr>
      </w:pPr>
    </w:p>
    <w:p w14:paraId="03D6691D" w14:textId="2376BC44" w:rsidR="00E303BE" w:rsidRDefault="00E303BE" w:rsidP="00A6745F">
      <w:pPr>
        <w:pStyle w:val="EndnoteText"/>
        <w:numPr>
          <w:ilvl w:val="0"/>
          <w:numId w:val="33"/>
        </w:numPr>
      </w:pPr>
      <w:proofErr w:type="spellStart"/>
      <w:r w:rsidRPr="00DD1E1D">
        <w:rPr>
          <w:rFonts w:ascii="Arial" w:hAnsi="Arial" w:cs="Arial"/>
        </w:rPr>
        <w:t>Gálvez</w:t>
      </w:r>
      <w:proofErr w:type="spellEnd"/>
      <w:r w:rsidRPr="00DD1E1D">
        <w:rPr>
          <w:rFonts w:ascii="Arial" w:hAnsi="Arial" w:cs="Arial"/>
        </w:rPr>
        <w:t xml:space="preserve">, V., Ho, K.-A., Alonzo, A., Martin, D., George, D., &amp; Loo, C. K. (2015). Neuromodulation Therapies for Geriatric Depression. Current Psychiatry Reports, 17(7). </w:t>
      </w:r>
      <w:hyperlink r:id="rId91" w:history="1">
        <w:r w:rsidRPr="00DD1E1D">
          <w:rPr>
            <w:rStyle w:val="Hyperlink"/>
            <w:rFonts w:ascii="Arial" w:hAnsi="Arial" w:cs="Arial"/>
          </w:rPr>
          <w:t>https://doi.org/10.1007/s11920-015-0592-y</w:t>
        </w:r>
      </w:hyperlink>
    </w:p>
    <w:p w14:paraId="538B3C06" w14:textId="77777777" w:rsidR="00E303BE" w:rsidRDefault="00E303BE" w:rsidP="004D5F69">
      <w:pPr>
        <w:pStyle w:val="EndnoteText"/>
        <w:ind w:left="720" w:hanging="720"/>
      </w:pPr>
    </w:p>
    <w:p w14:paraId="1F8A9EC1" w14:textId="77777777" w:rsidR="00E303BE" w:rsidRPr="00DD1E1D" w:rsidRDefault="00E303BE" w:rsidP="004D5F69">
      <w:pPr>
        <w:pStyle w:val="EndnoteText"/>
        <w:ind w:left="720" w:hanging="720"/>
        <w:rPr>
          <w:rFonts w:ascii="Arial" w:hAnsi="Arial" w:cs="Arial"/>
        </w:rPr>
      </w:pPr>
    </w:p>
    <w:p w14:paraId="23F90D29" w14:textId="77777777" w:rsidR="00E303BE" w:rsidRDefault="00E303BE" w:rsidP="00A6745F">
      <w:pPr>
        <w:pStyle w:val="ListParagraph"/>
        <w:numPr>
          <w:ilvl w:val="0"/>
          <w:numId w:val="33"/>
        </w:numPr>
      </w:pPr>
      <w:r w:rsidRPr="00A6745F">
        <w:rPr>
          <w:rFonts w:ascii="Arial" w:hAnsi="Arial" w:cs="Arial"/>
        </w:rPr>
        <w:t xml:space="preserve">Gill, K., Hett, D., Carlish, M., Amos, R., Khatibi, A., Morales-Muñoz, I., &amp; Marwaha, S. (2025). Examining the needs, outcomes and current treatment pathways of 2461 people with treatment-resistant depression: mixed-methods study. The British Journal of Psychiatry, 1–8. </w:t>
      </w:r>
      <w:hyperlink r:id="rId92" w:history="1">
        <w:r w:rsidRPr="00A6745F">
          <w:rPr>
            <w:rStyle w:val="Hyperlink"/>
            <w:rFonts w:ascii="Arial" w:hAnsi="Arial" w:cs="Arial"/>
          </w:rPr>
          <w:t>https://doi.org/10.1192/bjp.2024.275</w:t>
        </w:r>
      </w:hyperlink>
    </w:p>
    <w:p w14:paraId="247A9678" w14:textId="77777777" w:rsidR="00E303BE" w:rsidRPr="00DD1E1D" w:rsidRDefault="00E303BE" w:rsidP="004D5F69">
      <w:pPr>
        <w:ind w:left="720" w:hanging="720"/>
        <w:rPr>
          <w:rFonts w:ascii="Arial" w:hAnsi="Arial" w:cs="Arial"/>
        </w:rPr>
      </w:pPr>
    </w:p>
    <w:p w14:paraId="0DEB3265" w14:textId="4DBCBA87" w:rsidR="00E303BE" w:rsidRDefault="00E303BE" w:rsidP="00A6745F">
      <w:pPr>
        <w:pStyle w:val="FootnoteText"/>
        <w:numPr>
          <w:ilvl w:val="0"/>
          <w:numId w:val="33"/>
        </w:numPr>
      </w:pPr>
      <w:proofErr w:type="spellStart"/>
      <w:r w:rsidRPr="00DD1E1D">
        <w:rPr>
          <w:rFonts w:ascii="Arial" w:hAnsi="Arial" w:cs="Arial"/>
        </w:rPr>
        <w:t>Grazier</w:t>
      </w:r>
      <w:proofErr w:type="spellEnd"/>
      <w:r w:rsidRPr="00DD1E1D">
        <w:rPr>
          <w:rFonts w:ascii="Arial" w:hAnsi="Arial" w:cs="Arial"/>
        </w:rPr>
        <w:t xml:space="preserve">, K. L. (2019). Mental health parity and access to care: A federal update. Psychiatric Services, 70(5), 393–395. </w:t>
      </w:r>
      <w:hyperlink r:id="rId93" w:history="1">
        <w:r w:rsidRPr="00DD1E1D">
          <w:rPr>
            <w:rStyle w:val="Hyperlink"/>
            <w:rFonts w:ascii="Arial" w:hAnsi="Arial" w:cs="Arial"/>
          </w:rPr>
          <w:t>https://doi.org/10.1176/appi.ps.201800570</w:t>
        </w:r>
      </w:hyperlink>
    </w:p>
    <w:p w14:paraId="12F8F408" w14:textId="77777777" w:rsidR="00E303BE" w:rsidRDefault="00E303BE" w:rsidP="004D5F69">
      <w:pPr>
        <w:pStyle w:val="FootnoteText"/>
      </w:pPr>
    </w:p>
    <w:p w14:paraId="73B6983E" w14:textId="5C4C9B31" w:rsidR="00E303BE" w:rsidRDefault="00E303BE" w:rsidP="00A6745F">
      <w:pPr>
        <w:pStyle w:val="ListParagraph"/>
        <w:numPr>
          <w:ilvl w:val="0"/>
          <w:numId w:val="33"/>
        </w:numPr>
      </w:pPr>
      <w:r w:rsidRPr="00A6745F">
        <w:rPr>
          <w:rFonts w:ascii="Arial" w:hAnsi="Arial" w:cs="Arial"/>
        </w:rPr>
        <w:t xml:space="preserve">Greenberg, P. E., Fournier, A.-A., Sisitsky, T., Pike, C. T., &amp; Kessler, R. C. (2015). The Economic Burden of Adults </w:t>
      </w:r>
      <w:proofErr w:type="gramStart"/>
      <w:r w:rsidRPr="00A6745F">
        <w:rPr>
          <w:rFonts w:ascii="Arial" w:hAnsi="Arial" w:cs="Arial"/>
        </w:rPr>
        <w:t>With</w:t>
      </w:r>
      <w:proofErr w:type="gramEnd"/>
      <w:r w:rsidRPr="00A6745F">
        <w:rPr>
          <w:rFonts w:ascii="Arial" w:hAnsi="Arial" w:cs="Arial"/>
        </w:rPr>
        <w:t xml:space="preserve"> Major Depressive Disorder in the United States (2005 and 2010). The Journal of Clinical Psychiatry, 76(02), 155–162. </w:t>
      </w:r>
      <w:hyperlink r:id="rId94" w:history="1">
        <w:r w:rsidRPr="00A6745F">
          <w:rPr>
            <w:rStyle w:val="Hyperlink"/>
            <w:rFonts w:ascii="Arial" w:hAnsi="Arial" w:cs="Arial"/>
          </w:rPr>
          <w:t>https://doi.org/10.4088/jcp.14m09298</w:t>
        </w:r>
      </w:hyperlink>
    </w:p>
    <w:p w14:paraId="3EFB6B59" w14:textId="77777777" w:rsidR="00E303BE" w:rsidRPr="00DD1E1D" w:rsidRDefault="00E303BE" w:rsidP="004D5F69">
      <w:pPr>
        <w:ind w:left="720" w:hanging="720"/>
        <w:rPr>
          <w:rFonts w:ascii="Arial" w:hAnsi="Arial" w:cs="Arial"/>
        </w:rPr>
      </w:pPr>
    </w:p>
    <w:p w14:paraId="4E5213AB" w14:textId="76A0F3D7" w:rsidR="00E303BE" w:rsidRDefault="00E303BE" w:rsidP="00A6745F">
      <w:pPr>
        <w:pStyle w:val="ListParagraph"/>
        <w:numPr>
          <w:ilvl w:val="0"/>
          <w:numId w:val="33"/>
        </w:numPr>
      </w:pPr>
      <w:r w:rsidRPr="00A6745F">
        <w:rPr>
          <w:rFonts w:ascii="Arial" w:hAnsi="Arial" w:cs="Arial"/>
        </w:rPr>
        <w:t xml:space="preserve">He, S., Chen, J.-X., Yu, X., Lin, H., Wang, Z., Li, X., Zhou, Y., Liu, Y.-S., Zhang, H., Wang, J., An, C., Liu, H., Li, C., Ni, S., &amp; Li, H. (2025). Efficacy and Safety of Ammoxetine in Major Depressive Disorder. JAMA Network Open, 8(9), e2532650–e2532650. </w:t>
      </w:r>
      <w:hyperlink r:id="rId95" w:history="1">
        <w:r w:rsidR="00BA22EB" w:rsidRPr="000E44AF">
          <w:rPr>
            <w:rStyle w:val="Hyperlink"/>
          </w:rPr>
          <w:t>https://doi.org/10.1001/jamanetworkopen.2025.32650</w:t>
        </w:r>
      </w:hyperlink>
      <w:r w:rsidR="00BA22EB">
        <w:t xml:space="preserve"> </w:t>
      </w:r>
    </w:p>
    <w:p w14:paraId="3DC954E6" w14:textId="77777777" w:rsidR="00E303BE" w:rsidRPr="00DD1E1D" w:rsidRDefault="00E303BE" w:rsidP="004D5F69">
      <w:pPr>
        <w:ind w:left="720" w:hanging="720"/>
        <w:rPr>
          <w:rFonts w:ascii="Arial" w:hAnsi="Arial" w:cs="Arial"/>
        </w:rPr>
      </w:pPr>
    </w:p>
    <w:p w14:paraId="6FCAC3DC" w14:textId="4C7B3235" w:rsidR="00E303BE" w:rsidRDefault="00E303BE" w:rsidP="00A6745F">
      <w:pPr>
        <w:pStyle w:val="EndnoteText"/>
        <w:numPr>
          <w:ilvl w:val="0"/>
          <w:numId w:val="33"/>
        </w:numPr>
      </w:pPr>
      <w:r w:rsidRPr="00DD1E1D">
        <w:rPr>
          <w:rFonts w:ascii="Arial" w:hAnsi="Arial" w:cs="Arial"/>
        </w:rPr>
        <w:t xml:space="preserve">Institute for Health Metrics and Evaluation. (2021). Global burden of disease study. </w:t>
      </w:r>
      <w:hyperlink r:id="rId96" w:history="1">
        <w:r w:rsidRPr="00EC152F">
          <w:rPr>
            <w:rStyle w:val="Hyperlink"/>
            <w:rFonts w:ascii="Arial" w:hAnsi="Arial" w:cs="Arial"/>
          </w:rPr>
          <w:t>https://vizhub.healthdata.org/gbd-compare/</w:t>
        </w:r>
      </w:hyperlink>
    </w:p>
    <w:p w14:paraId="50C8B3A0" w14:textId="77777777" w:rsidR="00E303BE" w:rsidRDefault="00E303BE" w:rsidP="004D5F69">
      <w:pPr>
        <w:pStyle w:val="EndnoteText"/>
        <w:ind w:left="720" w:hanging="720"/>
        <w:rPr>
          <w:rFonts w:ascii="Arial" w:hAnsi="Arial" w:cs="Arial"/>
        </w:rPr>
      </w:pPr>
    </w:p>
    <w:p w14:paraId="3E9FDFC3" w14:textId="2D41F864" w:rsidR="00E303BE" w:rsidRDefault="00E303BE" w:rsidP="00A6745F">
      <w:pPr>
        <w:pStyle w:val="EndnoteText"/>
        <w:numPr>
          <w:ilvl w:val="0"/>
          <w:numId w:val="33"/>
        </w:numPr>
      </w:pPr>
      <w:proofErr w:type="spellStart"/>
      <w:r w:rsidRPr="00DD1E1D">
        <w:rPr>
          <w:rFonts w:ascii="Arial" w:hAnsi="Arial" w:cs="Arial"/>
        </w:rPr>
        <w:t>Irrmischer</w:t>
      </w:r>
      <w:proofErr w:type="spellEnd"/>
      <w:r w:rsidRPr="00DD1E1D">
        <w:rPr>
          <w:rFonts w:ascii="Arial" w:hAnsi="Arial" w:cs="Arial"/>
        </w:rPr>
        <w:t xml:space="preserve">, M., Puxty, D., Yıldırım, B. O., Deijen, J. B., &amp; Engelbregt, H. (2025). Moderating factors in psilocybin-assisted treatment affecting mood and personality: A naturalistic, open-label investigation. Psychopharmacology. </w:t>
      </w:r>
      <w:hyperlink r:id="rId97" w:history="1">
        <w:r w:rsidRPr="00DD1E1D">
          <w:rPr>
            <w:rStyle w:val="Hyperlink"/>
            <w:rFonts w:ascii="Arial" w:hAnsi="Arial" w:cs="Arial"/>
          </w:rPr>
          <w:t>https://doi.org/10.1007/s00213-024-06733-3</w:t>
        </w:r>
      </w:hyperlink>
    </w:p>
    <w:p w14:paraId="1657FF21" w14:textId="77777777" w:rsidR="00E303BE" w:rsidRPr="00DD1E1D" w:rsidRDefault="00E303BE" w:rsidP="004D5F69">
      <w:pPr>
        <w:pStyle w:val="EndnoteText"/>
        <w:ind w:left="720" w:hanging="720"/>
        <w:rPr>
          <w:rFonts w:ascii="Arial" w:hAnsi="Arial" w:cs="Arial"/>
        </w:rPr>
      </w:pPr>
    </w:p>
    <w:p w14:paraId="48E34CCF" w14:textId="77777777" w:rsidR="00E303BE" w:rsidRDefault="00E303BE" w:rsidP="00A6745F">
      <w:pPr>
        <w:pStyle w:val="EndnoteText"/>
        <w:numPr>
          <w:ilvl w:val="0"/>
          <w:numId w:val="33"/>
        </w:numPr>
      </w:pPr>
      <w:r w:rsidRPr="00DD1E1D">
        <w:rPr>
          <w:rFonts w:ascii="Arial" w:hAnsi="Arial" w:cs="Arial"/>
        </w:rPr>
        <w:t xml:space="preserve">Jacobson Vann, J. C., Finkle, J., Ammerman, A., Wegner, S., Skinner, A. C., Benjamin, J. T., &amp; Perrin, E. M. (2011). Use of a Tool to Determine Perceived Barriers to Children’s Healthy Eating and Physical Activity and Relationships to Health Behaviors. Journal of Pediatric Nursing, 26(5), 404–415. </w:t>
      </w:r>
      <w:hyperlink r:id="rId98" w:history="1">
        <w:r w:rsidRPr="00DD1E1D">
          <w:rPr>
            <w:rStyle w:val="Hyperlink"/>
            <w:rFonts w:ascii="Arial" w:hAnsi="Arial" w:cs="Arial"/>
          </w:rPr>
          <w:t>https://doi.org/10.1016/j.pedn.2010.10.011</w:t>
        </w:r>
      </w:hyperlink>
    </w:p>
    <w:p w14:paraId="53068767" w14:textId="77777777" w:rsidR="00E303BE" w:rsidRPr="00DD1E1D" w:rsidRDefault="00E303BE" w:rsidP="004D5F69">
      <w:pPr>
        <w:pStyle w:val="EndnoteText"/>
        <w:ind w:left="720" w:hanging="720"/>
        <w:rPr>
          <w:rFonts w:ascii="Arial" w:hAnsi="Arial" w:cs="Arial"/>
        </w:rPr>
      </w:pPr>
    </w:p>
    <w:p w14:paraId="3C854AF7" w14:textId="77777777" w:rsidR="00E303BE" w:rsidRDefault="00E303BE" w:rsidP="00A6745F">
      <w:pPr>
        <w:pStyle w:val="ListParagraph"/>
        <w:numPr>
          <w:ilvl w:val="0"/>
          <w:numId w:val="33"/>
        </w:numPr>
      </w:pPr>
      <w:r w:rsidRPr="00A6745F">
        <w:rPr>
          <w:rFonts w:ascii="Arial" w:hAnsi="Arial" w:cs="Arial"/>
        </w:rPr>
        <w:t xml:space="preserve">Johnson, M. W., Richards, W. A., &amp; Griffiths, R. R. (2008). Human hallucinogen research: Guidelines for safety. Journal of Psychopharmacology, 22(6), 603–620. </w:t>
      </w:r>
      <w:hyperlink r:id="rId99" w:history="1">
        <w:r w:rsidRPr="00A6745F">
          <w:rPr>
            <w:rStyle w:val="Hyperlink"/>
            <w:rFonts w:ascii="Arial" w:hAnsi="Arial" w:cs="Arial"/>
          </w:rPr>
          <w:t>https://doi.org/10.1177/0269881108093587</w:t>
        </w:r>
      </w:hyperlink>
    </w:p>
    <w:p w14:paraId="6099C9AF" w14:textId="77777777" w:rsidR="00E303BE" w:rsidRPr="00DD1E1D" w:rsidRDefault="00E303BE" w:rsidP="004D5F69">
      <w:pPr>
        <w:ind w:left="720" w:hanging="720"/>
        <w:rPr>
          <w:rFonts w:ascii="Arial" w:hAnsi="Arial" w:cs="Arial"/>
        </w:rPr>
      </w:pPr>
    </w:p>
    <w:p w14:paraId="06DB2441" w14:textId="4B735E41" w:rsidR="00E303BE" w:rsidRDefault="00E303BE" w:rsidP="00A6745F">
      <w:pPr>
        <w:pStyle w:val="EndnoteText"/>
        <w:numPr>
          <w:ilvl w:val="0"/>
          <w:numId w:val="33"/>
        </w:numPr>
      </w:pPr>
      <w:r w:rsidRPr="00DD1E1D">
        <w:rPr>
          <w:rFonts w:ascii="Arial" w:hAnsi="Arial" w:cs="Arial"/>
        </w:rPr>
        <w:t xml:space="preserve">Jones, C. L., Jensen, J. D., Scherr, C. L., Brown, N. R., Christy, K., &amp; Weaver, J. (2014). The Health Belief Model as an Explanatory Framework in Communication Research: Exploring Parallel, Serial, and Moderated Mediation. Health Communication, 30(6), 566–576. </w:t>
      </w:r>
      <w:hyperlink r:id="rId100" w:history="1">
        <w:r w:rsidRPr="00DD1E1D">
          <w:rPr>
            <w:rStyle w:val="Hyperlink"/>
            <w:rFonts w:ascii="Arial" w:hAnsi="Arial" w:cs="Arial"/>
          </w:rPr>
          <w:t>https://doi.org/10.1080/10410236.2013.873363</w:t>
        </w:r>
      </w:hyperlink>
    </w:p>
    <w:p w14:paraId="200A97C0" w14:textId="77777777" w:rsidR="00E303BE" w:rsidRPr="00DD1E1D" w:rsidRDefault="00E303BE" w:rsidP="004D5F69">
      <w:pPr>
        <w:pStyle w:val="EndnoteText"/>
        <w:ind w:left="720" w:hanging="720"/>
        <w:rPr>
          <w:rFonts w:ascii="Arial" w:hAnsi="Arial" w:cs="Arial"/>
        </w:rPr>
      </w:pPr>
    </w:p>
    <w:p w14:paraId="516C54D3" w14:textId="23F3D2E2" w:rsidR="00E303BE" w:rsidRDefault="00E303BE" w:rsidP="00A6745F">
      <w:pPr>
        <w:pStyle w:val="ListParagraph"/>
        <w:numPr>
          <w:ilvl w:val="0"/>
          <w:numId w:val="33"/>
        </w:numPr>
      </w:pPr>
      <w:r w:rsidRPr="00A6745F">
        <w:rPr>
          <w:rFonts w:ascii="Arial" w:hAnsi="Arial" w:cs="Arial"/>
        </w:rPr>
        <w:t xml:space="preserve">Kessler, R. C., Chiu, W. T., Demler, O., &amp; Walters, E. E. (2005). Prevalence, Severity, and Comorbidity of 12-Month DSM-IV Disorders in the National Comorbidity Survey Replication. Archives of General Psychiatry, 62(6), 617–627. </w:t>
      </w:r>
      <w:hyperlink r:id="rId101" w:history="1">
        <w:r w:rsidRPr="00A6745F">
          <w:rPr>
            <w:rStyle w:val="Hyperlink"/>
            <w:rFonts w:ascii="Arial" w:hAnsi="Arial" w:cs="Arial"/>
          </w:rPr>
          <w:t>https://doi.org/10.1001/archpsyc.62.6.617</w:t>
        </w:r>
      </w:hyperlink>
    </w:p>
    <w:p w14:paraId="43FF05B5" w14:textId="77777777" w:rsidR="00E303BE" w:rsidRPr="00DD1E1D" w:rsidRDefault="00E303BE" w:rsidP="004D5F69">
      <w:pPr>
        <w:ind w:left="720" w:hanging="720"/>
        <w:rPr>
          <w:rFonts w:ascii="Arial" w:hAnsi="Arial" w:cs="Arial"/>
        </w:rPr>
      </w:pPr>
    </w:p>
    <w:p w14:paraId="298ACF8A" w14:textId="170174C0" w:rsidR="00E303BE" w:rsidRDefault="00E303BE" w:rsidP="00A6745F">
      <w:pPr>
        <w:pStyle w:val="ListParagraph"/>
        <w:numPr>
          <w:ilvl w:val="0"/>
          <w:numId w:val="33"/>
        </w:numPr>
      </w:pPr>
      <w:r w:rsidRPr="00A6745F">
        <w:rPr>
          <w:rFonts w:ascii="Arial" w:hAnsi="Arial" w:cs="Arial"/>
        </w:rPr>
        <w:t>Louie, E., Towers, E., Morse, A. R., Watt, J., Bryant, Z., Haber, P., &amp; Morley, K. (2025). The Acceptability of Psychedelic</w:t>
      </w:r>
      <w:r w:rsidRPr="00A6745F">
        <w:rPr>
          <w:rFonts w:ascii="Cambria Math" w:hAnsi="Cambria Math" w:cs="Cambria Math"/>
        </w:rPr>
        <w:t>‐</w:t>
      </w:r>
      <w:r w:rsidRPr="00A6745F">
        <w:rPr>
          <w:rFonts w:ascii="Arial" w:hAnsi="Arial" w:cs="Arial"/>
        </w:rPr>
        <w:t xml:space="preserve">Assisted Therapy Amongst Mental Health Consumers: Utilising the Theory of Planned Behaviour. International Journal of Mental Health Nursing, 34(1). </w:t>
      </w:r>
      <w:hyperlink r:id="rId102" w:history="1">
        <w:r w:rsidRPr="00A6745F">
          <w:rPr>
            <w:rStyle w:val="Hyperlink"/>
            <w:rFonts w:ascii="Arial" w:hAnsi="Arial" w:cs="Arial"/>
          </w:rPr>
          <w:t>https://doi.org/10.1111/inm.70010</w:t>
        </w:r>
      </w:hyperlink>
    </w:p>
    <w:p w14:paraId="4D48B25B" w14:textId="77777777" w:rsidR="00E303BE" w:rsidRPr="00DD1E1D" w:rsidRDefault="00E303BE" w:rsidP="004D5F69">
      <w:pPr>
        <w:ind w:left="720" w:hanging="720"/>
        <w:rPr>
          <w:rFonts w:ascii="Arial" w:hAnsi="Arial" w:cs="Arial"/>
        </w:rPr>
      </w:pPr>
    </w:p>
    <w:p w14:paraId="78EF2300" w14:textId="79A14C59" w:rsidR="00E303BE" w:rsidRDefault="00E303BE" w:rsidP="00A6745F">
      <w:pPr>
        <w:pStyle w:val="EndnoteText"/>
        <w:numPr>
          <w:ilvl w:val="0"/>
          <w:numId w:val="33"/>
        </w:numPr>
      </w:pPr>
      <w:proofErr w:type="spellStart"/>
      <w:r w:rsidRPr="00DD1E1D">
        <w:rPr>
          <w:rFonts w:ascii="Arial" w:hAnsi="Arial" w:cs="Arial"/>
        </w:rPr>
        <w:t>Lucido</w:t>
      </w:r>
      <w:proofErr w:type="spellEnd"/>
      <w:r w:rsidRPr="00DD1E1D">
        <w:rPr>
          <w:rFonts w:ascii="Arial" w:hAnsi="Arial" w:cs="Arial"/>
        </w:rPr>
        <w:t xml:space="preserve">, M. J., &amp; Dunlop, B. W. (2025). Emerging Medications for Treatment-Resistant Depression: A Review with Perspective on Mechanisms and Challenges. Brain Sciences, 15(2), 161–161. </w:t>
      </w:r>
      <w:hyperlink r:id="rId103" w:history="1">
        <w:r w:rsidRPr="00DD1E1D">
          <w:rPr>
            <w:rStyle w:val="Hyperlink"/>
            <w:rFonts w:ascii="Arial" w:hAnsi="Arial" w:cs="Arial"/>
          </w:rPr>
          <w:t>https://doi.org/10.3390/brainsci15020161</w:t>
        </w:r>
      </w:hyperlink>
    </w:p>
    <w:p w14:paraId="091E9DF5" w14:textId="77777777" w:rsidR="00E303BE" w:rsidRPr="00DD1E1D" w:rsidRDefault="00E303BE" w:rsidP="004D5F69">
      <w:pPr>
        <w:pStyle w:val="EndnoteText"/>
        <w:ind w:left="720" w:hanging="720"/>
        <w:rPr>
          <w:rFonts w:ascii="Arial" w:hAnsi="Arial" w:cs="Arial"/>
        </w:rPr>
      </w:pPr>
    </w:p>
    <w:p w14:paraId="769E6324" w14:textId="3BFAF1B6" w:rsidR="00E303BE" w:rsidRPr="00A6745F" w:rsidRDefault="00E303BE" w:rsidP="00A6745F">
      <w:pPr>
        <w:pStyle w:val="ListParagraph"/>
        <w:numPr>
          <w:ilvl w:val="0"/>
          <w:numId w:val="33"/>
        </w:numPr>
        <w:rPr>
          <w:rFonts w:ascii="Arial" w:hAnsi="Arial" w:cs="Arial"/>
        </w:rPr>
      </w:pPr>
      <w:r w:rsidRPr="00A6745F">
        <w:rPr>
          <w:rFonts w:ascii="Arial" w:hAnsi="Arial" w:cs="Arial"/>
        </w:rPr>
        <w:t xml:space="preserve">Luger, T. M. (2013). Health Beliefs/Health Belief Model. Encyclopedia of Behavioral Medicine, 907–908. Springer. </w:t>
      </w:r>
      <w:hyperlink r:id="rId104" w:history="1">
        <w:r w:rsidRPr="00A6745F">
          <w:rPr>
            <w:rStyle w:val="Hyperlink"/>
            <w:rFonts w:ascii="Arial" w:hAnsi="Arial" w:cs="Arial"/>
          </w:rPr>
          <w:t>https://doi.org/10.1007/978-1-4419-1005-9_1227</w:t>
        </w:r>
      </w:hyperlink>
    </w:p>
    <w:p w14:paraId="354E638D" w14:textId="77777777" w:rsidR="00E303BE" w:rsidRDefault="00E303BE" w:rsidP="004D5F69">
      <w:pPr>
        <w:ind w:left="720" w:hanging="720"/>
        <w:rPr>
          <w:rFonts w:ascii="Arial" w:hAnsi="Arial" w:cs="Arial"/>
        </w:rPr>
      </w:pPr>
    </w:p>
    <w:p w14:paraId="14E248CD" w14:textId="78E1A396" w:rsidR="00E303BE" w:rsidRPr="004877E1" w:rsidRDefault="00E303BE" w:rsidP="004D5F69">
      <w:pPr>
        <w:pStyle w:val="EndnoteText"/>
        <w:numPr>
          <w:ilvl w:val="0"/>
          <w:numId w:val="33"/>
        </w:numPr>
        <w:ind w:hanging="720"/>
        <w:rPr>
          <w:rFonts w:ascii="Arial" w:hAnsi="Arial" w:cs="Arial"/>
        </w:rPr>
      </w:pPr>
      <w:r w:rsidRPr="004877E1">
        <w:rPr>
          <w:rFonts w:ascii="Arial" w:hAnsi="Arial" w:cs="Arial"/>
        </w:rPr>
        <w:t xml:space="preserve">Marx, W., Penninx, B. W. J. H., Solmi, M., Furukawa, T. A., Firth, J., Carvalho, A. F., &amp; Berk, M. (2023). Major depressive disorder. Nature Reviews Disease Primers, 9(1), 44. </w:t>
      </w:r>
      <w:hyperlink r:id="rId105" w:history="1">
        <w:r w:rsidR="004877E1" w:rsidRPr="000E44AF">
          <w:rPr>
            <w:rStyle w:val="Hyperlink"/>
          </w:rPr>
          <w:t>https://doi.org/10.1038/s41572-023-00454-1</w:t>
        </w:r>
      </w:hyperlink>
      <w:r w:rsidR="004877E1">
        <w:t xml:space="preserve"> </w:t>
      </w:r>
    </w:p>
    <w:p w14:paraId="480FACAD" w14:textId="3231EB7E" w:rsidR="00E303BE" w:rsidRDefault="00E303BE" w:rsidP="00A6745F">
      <w:pPr>
        <w:pStyle w:val="ListParagraph"/>
        <w:numPr>
          <w:ilvl w:val="0"/>
          <w:numId w:val="33"/>
        </w:numPr>
      </w:pPr>
      <w:proofErr w:type="spellStart"/>
      <w:r w:rsidRPr="00A6745F">
        <w:rPr>
          <w:rFonts w:ascii="Arial" w:hAnsi="Arial" w:cs="Arial"/>
        </w:rPr>
        <w:t>Mohammadnabizadeh</w:t>
      </w:r>
      <w:proofErr w:type="spellEnd"/>
      <w:r w:rsidRPr="00A6745F">
        <w:rPr>
          <w:rFonts w:ascii="Arial" w:hAnsi="Arial" w:cs="Arial"/>
        </w:rPr>
        <w:t xml:space="preserve">, S., Najafpoo, A., Vahedian-Shahroodi, M., &amp; Ghavami, V. (2022). Predicting preventive behaviors of cardiovascular disease among oil industry workers based on health belief model. Journal of Education and Health Promotion, 11(1), 346. </w:t>
      </w:r>
      <w:hyperlink r:id="rId106" w:history="1">
        <w:r w:rsidRPr="00A6745F">
          <w:rPr>
            <w:rStyle w:val="Hyperlink"/>
            <w:rFonts w:ascii="Arial" w:hAnsi="Arial" w:cs="Arial"/>
          </w:rPr>
          <w:t>https://doi.org/10.4103/jehp.jehp_158_22</w:t>
        </w:r>
      </w:hyperlink>
    </w:p>
    <w:p w14:paraId="1C603846" w14:textId="77777777" w:rsidR="00E303BE" w:rsidRPr="00DD1E1D" w:rsidRDefault="00E303BE" w:rsidP="004D5F69">
      <w:pPr>
        <w:ind w:left="720" w:hanging="720"/>
        <w:rPr>
          <w:rFonts w:ascii="Arial" w:hAnsi="Arial" w:cs="Arial"/>
        </w:rPr>
      </w:pPr>
    </w:p>
    <w:p w14:paraId="325B9D96" w14:textId="69CEB672" w:rsidR="00E303BE" w:rsidRDefault="00E303BE" w:rsidP="00A6745F">
      <w:pPr>
        <w:pStyle w:val="ListParagraph"/>
        <w:numPr>
          <w:ilvl w:val="0"/>
          <w:numId w:val="33"/>
        </w:numPr>
      </w:pPr>
      <w:r w:rsidRPr="00A6745F">
        <w:rPr>
          <w:rFonts w:ascii="Arial" w:hAnsi="Arial" w:cs="Arial"/>
        </w:rPr>
        <w:t xml:space="preserve">Muslim, S. H., Al-Jumaili, A. A., &amp; Al-Ani, H. A. (2025). Delving into the elements impacting treatment acceptance among patients with substance use disorder using health belief model: A qualitative study. BMC Psychology, 13, 177. </w:t>
      </w:r>
      <w:hyperlink r:id="rId107" w:history="1">
        <w:r w:rsidRPr="00A6745F">
          <w:rPr>
            <w:rStyle w:val="Hyperlink"/>
            <w:rFonts w:ascii="Arial" w:hAnsi="Arial" w:cs="Arial"/>
          </w:rPr>
          <w:t>https://doi.org/10.1186/s40359-025-01946-8</w:t>
        </w:r>
      </w:hyperlink>
    </w:p>
    <w:p w14:paraId="7FB95A41" w14:textId="77777777" w:rsidR="00E303BE" w:rsidRPr="00DD1E1D" w:rsidRDefault="00E303BE" w:rsidP="004D5F69">
      <w:pPr>
        <w:ind w:left="720" w:hanging="720"/>
        <w:rPr>
          <w:rFonts w:ascii="Arial" w:hAnsi="Arial" w:cs="Arial"/>
        </w:rPr>
      </w:pPr>
    </w:p>
    <w:p w14:paraId="04C87CDB" w14:textId="782D51D3" w:rsidR="00E303BE" w:rsidRDefault="00E303BE" w:rsidP="00A6745F">
      <w:pPr>
        <w:pStyle w:val="EndnoteText"/>
        <w:numPr>
          <w:ilvl w:val="0"/>
          <w:numId w:val="33"/>
        </w:numPr>
      </w:pPr>
      <w:r w:rsidRPr="00DD1E1D">
        <w:rPr>
          <w:rFonts w:ascii="Arial" w:hAnsi="Arial" w:cs="Arial"/>
        </w:rPr>
        <w:t xml:space="preserve">National Center for Complementary and Integrative Health. (2024, May). Psilocybin for Mental Health and Addiction: What You Need </w:t>
      </w:r>
      <w:proofErr w:type="gramStart"/>
      <w:r w:rsidRPr="00DD1E1D">
        <w:rPr>
          <w:rFonts w:ascii="Arial" w:hAnsi="Arial" w:cs="Arial"/>
        </w:rPr>
        <w:t>To</w:t>
      </w:r>
      <w:proofErr w:type="gramEnd"/>
      <w:r w:rsidRPr="00DD1E1D">
        <w:rPr>
          <w:rFonts w:ascii="Arial" w:hAnsi="Arial" w:cs="Arial"/>
        </w:rPr>
        <w:t xml:space="preserve"> Know. NCCIH. </w:t>
      </w:r>
      <w:hyperlink r:id="rId108" w:history="1">
        <w:r w:rsidR="004877E1" w:rsidRPr="000E44AF">
          <w:rPr>
            <w:rStyle w:val="Hyperlink"/>
          </w:rPr>
          <w:t>https://www.nccih.nih.gov/health/psilocybin-for-mental-health-and-addiction-what-you-need-to-know</w:t>
        </w:r>
      </w:hyperlink>
      <w:r w:rsidR="004877E1">
        <w:t xml:space="preserve"> </w:t>
      </w:r>
    </w:p>
    <w:p w14:paraId="1A6AA02C" w14:textId="77777777" w:rsidR="00E303BE" w:rsidRDefault="00E303BE" w:rsidP="004D5F69">
      <w:pPr>
        <w:pStyle w:val="EndnoteText"/>
        <w:ind w:left="720" w:hanging="720"/>
        <w:rPr>
          <w:rFonts w:ascii="Arial" w:hAnsi="Arial" w:cs="Arial"/>
        </w:rPr>
      </w:pPr>
    </w:p>
    <w:p w14:paraId="078F7DD2" w14:textId="51C30497" w:rsidR="00E303BE" w:rsidRDefault="00E303BE" w:rsidP="00A6745F">
      <w:pPr>
        <w:pStyle w:val="EndnoteText"/>
        <w:numPr>
          <w:ilvl w:val="0"/>
          <w:numId w:val="33"/>
        </w:numPr>
      </w:pPr>
      <w:r w:rsidRPr="00DD1E1D">
        <w:rPr>
          <w:rFonts w:ascii="Arial" w:hAnsi="Arial" w:cs="Arial"/>
        </w:rPr>
        <w:t xml:space="preserve">National Institute of Mental Health. (2023, July). Major Depression. National Institute of Mental Health; National Institute of Mental Health. </w:t>
      </w:r>
      <w:hyperlink r:id="rId109" w:history="1">
        <w:r w:rsidR="004877E1" w:rsidRPr="000E44AF">
          <w:rPr>
            <w:rStyle w:val="Hyperlink"/>
          </w:rPr>
          <w:t>https://www.nimh.nih.gov/health/statistics/major-depression</w:t>
        </w:r>
      </w:hyperlink>
      <w:r w:rsidR="004877E1">
        <w:t xml:space="preserve"> </w:t>
      </w:r>
    </w:p>
    <w:p w14:paraId="26DA9FDB" w14:textId="77777777" w:rsidR="00E303BE" w:rsidRDefault="00E303BE" w:rsidP="004D5F69">
      <w:pPr>
        <w:pStyle w:val="EndnoteText"/>
        <w:ind w:left="720" w:hanging="720"/>
        <w:rPr>
          <w:rFonts w:ascii="Arial" w:hAnsi="Arial" w:cs="Arial"/>
        </w:rPr>
      </w:pPr>
    </w:p>
    <w:p w14:paraId="2C3361BC" w14:textId="2D05682C" w:rsidR="00E303BE" w:rsidRDefault="00E303BE" w:rsidP="00A6745F">
      <w:pPr>
        <w:pStyle w:val="EndnoteText"/>
        <w:numPr>
          <w:ilvl w:val="0"/>
          <w:numId w:val="33"/>
        </w:numPr>
      </w:pPr>
      <w:r w:rsidRPr="00DD1E1D">
        <w:rPr>
          <w:rFonts w:ascii="Arial" w:hAnsi="Arial" w:cs="Arial"/>
        </w:rPr>
        <w:t xml:space="preserve">Nichols, D. E. (2016). Psychedelics. Pharmacological Reviews, 68(2), 264–355. </w:t>
      </w:r>
      <w:hyperlink r:id="rId110" w:history="1">
        <w:r w:rsidRPr="00DD1E1D">
          <w:rPr>
            <w:rStyle w:val="Hyperlink"/>
            <w:rFonts w:ascii="Arial" w:hAnsi="Arial" w:cs="Arial"/>
          </w:rPr>
          <w:t>https://doi.org/10.1124/pr.115.011478</w:t>
        </w:r>
      </w:hyperlink>
    </w:p>
    <w:p w14:paraId="4A394695" w14:textId="77777777" w:rsidR="00E303BE" w:rsidRPr="00DD1E1D" w:rsidRDefault="00E303BE" w:rsidP="004D5F69">
      <w:pPr>
        <w:pStyle w:val="EndnoteText"/>
        <w:rPr>
          <w:rFonts w:ascii="Arial" w:hAnsi="Arial" w:cs="Arial"/>
        </w:rPr>
      </w:pPr>
    </w:p>
    <w:p w14:paraId="1255A171" w14:textId="437A3CAC" w:rsidR="00E303BE" w:rsidRDefault="00E303BE" w:rsidP="00A6745F">
      <w:pPr>
        <w:pStyle w:val="EndnoteText"/>
        <w:numPr>
          <w:ilvl w:val="0"/>
          <w:numId w:val="33"/>
        </w:numPr>
      </w:pPr>
      <w:r w:rsidRPr="00DD1E1D">
        <w:rPr>
          <w:rFonts w:ascii="Arial" w:hAnsi="Arial" w:cs="Arial"/>
        </w:rPr>
        <w:t xml:space="preserve">O’Connor, E. A., Whitlock, E. P., Gaynes, B., &amp; Beil, T. L. (2019). Primary DSM-IV depression disorders, criteria for adults. Nih.gov; Agency for Healthcare Research and Quality (US). </w:t>
      </w:r>
      <w:hyperlink r:id="rId111" w:history="1">
        <w:r w:rsidRPr="00EC152F">
          <w:rPr>
            <w:rStyle w:val="Hyperlink"/>
            <w:rFonts w:ascii="Arial" w:hAnsi="Arial" w:cs="Arial"/>
          </w:rPr>
          <w:t>https://www.ncbi.nlm.nih.gov/books/NBK36406/table/ch1.t1/</w:t>
        </w:r>
      </w:hyperlink>
    </w:p>
    <w:p w14:paraId="7A1F2152" w14:textId="77777777" w:rsidR="00E303BE" w:rsidRDefault="00E303BE" w:rsidP="004D5F69">
      <w:pPr>
        <w:pStyle w:val="EndnoteText"/>
        <w:ind w:left="720" w:hanging="720"/>
        <w:rPr>
          <w:rFonts w:ascii="Arial" w:hAnsi="Arial" w:cs="Arial"/>
        </w:rPr>
      </w:pPr>
    </w:p>
    <w:p w14:paraId="174E4C9D" w14:textId="43766069" w:rsidR="00E303BE" w:rsidRDefault="00E303BE" w:rsidP="00A6745F">
      <w:pPr>
        <w:pStyle w:val="ListParagraph"/>
        <w:numPr>
          <w:ilvl w:val="0"/>
          <w:numId w:val="33"/>
        </w:numPr>
      </w:pPr>
      <w:proofErr w:type="spellStart"/>
      <w:r w:rsidRPr="00A6745F">
        <w:rPr>
          <w:rFonts w:ascii="Arial" w:hAnsi="Arial" w:cs="Arial"/>
        </w:rPr>
        <w:t>Ogłodek</w:t>
      </w:r>
      <w:proofErr w:type="spellEnd"/>
      <w:r w:rsidRPr="00A6745F">
        <w:rPr>
          <w:rFonts w:ascii="Arial" w:hAnsi="Arial" w:cs="Arial"/>
        </w:rPr>
        <w:t xml:space="preserve">, E., Szota, A., Just, M., Moś, D., &amp; Araszkiewicz, A. (2014). The role of the neuroendocrine and immune systems in the pathogenesis of depression. Pharmacological Reports, 66(5), 776–781. </w:t>
      </w:r>
      <w:hyperlink r:id="rId112" w:history="1">
        <w:r w:rsidRPr="00A6745F">
          <w:rPr>
            <w:rStyle w:val="Hyperlink"/>
            <w:rFonts w:ascii="Arial" w:hAnsi="Arial" w:cs="Arial"/>
          </w:rPr>
          <w:t>https://doi.org/10.1016/j.pharep.2014.04.009</w:t>
        </w:r>
      </w:hyperlink>
    </w:p>
    <w:p w14:paraId="31DDE63F" w14:textId="77777777" w:rsidR="00E303BE" w:rsidRPr="00DD1E1D" w:rsidRDefault="00E303BE" w:rsidP="004D5F69">
      <w:pPr>
        <w:ind w:left="720" w:hanging="720"/>
        <w:rPr>
          <w:rFonts w:ascii="Arial" w:hAnsi="Arial" w:cs="Arial"/>
        </w:rPr>
      </w:pPr>
    </w:p>
    <w:p w14:paraId="28D6D61B" w14:textId="77777777" w:rsidR="00E303BE" w:rsidRDefault="00E303BE" w:rsidP="00A6745F">
      <w:pPr>
        <w:pStyle w:val="ListParagraph"/>
        <w:numPr>
          <w:ilvl w:val="0"/>
          <w:numId w:val="33"/>
        </w:numPr>
      </w:pPr>
      <w:r w:rsidRPr="00A6745F">
        <w:rPr>
          <w:rFonts w:ascii="Arial" w:hAnsi="Arial" w:cs="Arial"/>
        </w:rPr>
        <w:t xml:space="preserve">Orji, R., Vassileva, J., &amp; Mandryk, R. (2012). Towards an Effective Health Interventions Design: An Extension of the Health Belief Model. Online Journal of Public Health Informatics, 4(3). </w:t>
      </w:r>
      <w:hyperlink r:id="rId113" w:history="1">
        <w:r w:rsidRPr="00A6745F">
          <w:rPr>
            <w:rStyle w:val="Hyperlink"/>
            <w:rFonts w:ascii="Arial" w:hAnsi="Arial" w:cs="Arial"/>
          </w:rPr>
          <w:t>https://doi.org/10.5210/ojphi.v4i3.4321</w:t>
        </w:r>
      </w:hyperlink>
    </w:p>
    <w:p w14:paraId="54E08DC5" w14:textId="77777777" w:rsidR="00E303BE" w:rsidRPr="00DD1E1D" w:rsidRDefault="00E303BE" w:rsidP="004D5F69">
      <w:pPr>
        <w:ind w:left="720" w:hanging="720"/>
        <w:rPr>
          <w:rFonts w:ascii="Arial" w:hAnsi="Arial" w:cs="Arial"/>
        </w:rPr>
      </w:pPr>
    </w:p>
    <w:p w14:paraId="45AB8EBD" w14:textId="5C42831A" w:rsidR="00E303BE" w:rsidRDefault="00E303BE" w:rsidP="00A6745F">
      <w:pPr>
        <w:pStyle w:val="ListParagraph"/>
        <w:numPr>
          <w:ilvl w:val="0"/>
          <w:numId w:val="33"/>
        </w:numPr>
      </w:pPr>
      <w:r w:rsidRPr="00A6745F">
        <w:rPr>
          <w:rFonts w:ascii="Arial" w:hAnsi="Arial" w:cs="Arial"/>
        </w:rPr>
        <w:t xml:space="preserve">Pigott, H. E., Kim, T., Xu, C., &amp; Amsterdam, J. (2024). What </w:t>
      </w:r>
      <w:proofErr w:type="gramStart"/>
      <w:r w:rsidRPr="00A6745F">
        <w:rPr>
          <w:rFonts w:ascii="Arial" w:hAnsi="Arial" w:cs="Arial"/>
        </w:rPr>
        <w:t>are</w:t>
      </w:r>
      <w:proofErr w:type="gramEnd"/>
      <w:r w:rsidRPr="00A6745F">
        <w:rPr>
          <w:rFonts w:ascii="Arial" w:hAnsi="Arial" w:cs="Arial"/>
        </w:rPr>
        <w:t xml:space="preserve"> the treatment remission, response and extent of improvement rates after up to four trials of antidepressant therapies in real-world depressed patients? BMJ Open, 13(7), e063095. </w:t>
      </w:r>
      <w:hyperlink r:id="rId114" w:history="1">
        <w:r w:rsidRPr="00A6745F">
          <w:rPr>
            <w:rStyle w:val="Hyperlink"/>
            <w:rFonts w:ascii="Arial" w:hAnsi="Arial" w:cs="Arial"/>
          </w:rPr>
          <w:t>https://doi.org/10.1136/bmjopen-2022-063095</w:t>
        </w:r>
      </w:hyperlink>
    </w:p>
    <w:p w14:paraId="618FD022" w14:textId="77777777" w:rsidR="00E303BE" w:rsidRPr="00DD1E1D" w:rsidRDefault="00E303BE" w:rsidP="004D5F69">
      <w:pPr>
        <w:ind w:left="720" w:hanging="720"/>
        <w:rPr>
          <w:rFonts w:ascii="Arial" w:hAnsi="Arial" w:cs="Arial"/>
        </w:rPr>
      </w:pPr>
    </w:p>
    <w:p w14:paraId="6530A2A2" w14:textId="498C2013" w:rsidR="00E303BE" w:rsidRDefault="00E303BE" w:rsidP="00A6745F">
      <w:pPr>
        <w:pStyle w:val="EndnoteText"/>
        <w:numPr>
          <w:ilvl w:val="0"/>
          <w:numId w:val="33"/>
        </w:numPr>
      </w:pPr>
      <w:r w:rsidRPr="00DD1E1D">
        <w:rPr>
          <w:rFonts w:ascii="Arial" w:hAnsi="Arial" w:cs="Arial"/>
        </w:rPr>
        <w:t xml:space="preserve">Quick, B. L., Morrow, E., Wilson, S. R., Chung, M., Hartman, D. E., &amp; Koester, B. D. (2025). Psilocybin legalization in the United States and psychological reactance: A test of evidence uncertainty, controlling language, and an ambiguous call to action. Motivation Science, 11(2), 158–167. </w:t>
      </w:r>
      <w:hyperlink r:id="rId115" w:history="1">
        <w:r w:rsidRPr="00DD1E1D">
          <w:rPr>
            <w:rStyle w:val="Hyperlink"/>
            <w:rFonts w:ascii="Arial" w:hAnsi="Arial" w:cs="Arial"/>
          </w:rPr>
          <w:t>https://doi.org/10.1037/mot0000361</w:t>
        </w:r>
      </w:hyperlink>
    </w:p>
    <w:p w14:paraId="15DC0B7A" w14:textId="77777777" w:rsidR="00E303BE" w:rsidRPr="00DD1E1D" w:rsidRDefault="00E303BE" w:rsidP="004D5F69">
      <w:pPr>
        <w:pStyle w:val="EndnoteText"/>
        <w:ind w:left="720" w:hanging="720"/>
        <w:rPr>
          <w:rFonts w:ascii="Arial" w:hAnsi="Arial" w:cs="Arial"/>
        </w:rPr>
      </w:pPr>
    </w:p>
    <w:p w14:paraId="35B10D01" w14:textId="77777777" w:rsidR="00E303BE" w:rsidRDefault="00E303BE" w:rsidP="00A6745F">
      <w:pPr>
        <w:pStyle w:val="ListParagraph"/>
        <w:numPr>
          <w:ilvl w:val="0"/>
          <w:numId w:val="33"/>
        </w:numPr>
      </w:pPr>
      <w:r w:rsidRPr="00A6745F">
        <w:rPr>
          <w:rFonts w:ascii="Arial" w:hAnsi="Arial" w:cs="Arial"/>
        </w:rPr>
        <w:t xml:space="preserve">Rahmati Najarkolaei, F., Tavafian, S. S., Gholami Fesharaki, M., &amp; Jafari, M. R. (2015). Factors Predicting Nutrition and Physical Activity Behaviors Due to Cardiovascular Disease in Tehran University Students: Application of Health Belief Model. Iranian Red Crescent Medical Journal, 17(3). </w:t>
      </w:r>
      <w:hyperlink r:id="rId116" w:history="1">
        <w:r w:rsidRPr="00A6745F">
          <w:rPr>
            <w:rStyle w:val="Hyperlink"/>
            <w:rFonts w:ascii="Arial" w:hAnsi="Arial" w:cs="Arial"/>
          </w:rPr>
          <w:t>https://doi.org/10.5812/ircmj.18879</w:t>
        </w:r>
      </w:hyperlink>
    </w:p>
    <w:p w14:paraId="644CB65A" w14:textId="77777777" w:rsidR="00E303BE" w:rsidRPr="00DD1E1D" w:rsidRDefault="00E303BE" w:rsidP="004D5F69">
      <w:pPr>
        <w:ind w:left="720" w:hanging="720"/>
        <w:rPr>
          <w:rFonts w:ascii="Arial" w:hAnsi="Arial" w:cs="Arial"/>
        </w:rPr>
      </w:pPr>
    </w:p>
    <w:p w14:paraId="6DFC9679" w14:textId="77777777" w:rsidR="00E303BE" w:rsidRDefault="00E303BE" w:rsidP="00A6745F">
      <w:pPr>
        <w:pStyle w:val="EndnoteText"/>
        <w:numPr>
          <w:ilvl w:val="0"/>
          <w:numId w:val="33"/>
        </w:numPr>
      </w:pPr>
      <w:r w:rsidRPr="00DD1E1D">
        <w:rPr>
          <w:rFonts w:ascii="Arial" w:hAnsi="Arial" w:cs="Arial"/>
        </w:rPr>
        <w:t xml:space="preserve">Reiff, C. M., Richman, E. E., Nemeroff, C. B., Carpenter, L. L., Widge, A. S., Rodriguez, C. I., Kalin, N. H., &amp; McDonald, W. M. (2020). Psychedelics and psychedelic-assisted psychotherapy. American Journal of Psychiatry, 177(5), 391–410. </w:t>
      </w:r>
      <w:hyperlink r:id="rId117" w:history="1">
        <w:r w:rsidRPr="00DD1E1D">
          <w:rPr>
            <w:rStyle w:val="Hyperlink"/>
            <w:rFonts w:ascii="Arial" w:hAnsi="Arial" w:cs="Arial"/>
          </w:rPr>
          <w:t>https://doi.org/10.1176/appi.ajp.2019.19010035</w:t>
        </w:r>
      </w:hyperlink>
    </w:p>
    <w:p w14:paraId="0E25A2DC" w14:textId="77777777" w:rsidR="00E303BE" w:rsidRDefault="00E303BE" w:rsidP="004D5F69">
      <w:pPr>
        <w:pStyle w:val="EndnoteText"/>
      </w:pPr>
    </w:p>
    <w:p w14:paraId="54E591FC" w14:textId="77777777" w:rsidR="00E303BE" w:rsidRDefault="00E303BE" w:rsidP="004D5F69">
      <w:pPr>
        <w:ind w:left="720" w:hanging="720"/>
        <w:rPr>
          <w:rFonts w:ascii="Arial" w:hAnsi="Arial" w:cs="Arial"/>
        </w:rPr>
      </w:pPr>
    </w:p>
    <w:p w14:paraId="061E5601" w14:textId="77777777" w:rsidR="00E303BE" w:rsidRDefault="00E303BE" w:rsidP="004D5F69">
      <w:pPr>
        <w:ind w:left="720" w:hanging="720"/>
        <w:rPr>
          <w:rFonts w:ascii="Arial" w:hAnsi="Arial" w:cs="Arial"/>
        </w:rPr>
      </w:pPr>
    </w:p>
    <w:p w14:paraId="54D61597" w14:textId="2B54DEF0" w:rsidR="00E303BE" w:rsidRDefault="00E303BE" w:rsidP="00A6745F">
      <w:pPr>
        <w:pStyle w:val="ListParagraph"/>
        <w:numPr>
          <w:ilvl w:val="0"/>
          <w:numId w:val="33"/>
        </w:numPr>
      </w:pPr>
      <w:r w:rsidRPr="00A6745F">
        <w:rPr>
          <w:rFonts w:ascii="Arial" w:hAnsi="Arial" w:cs="Arial"/>
        </w:rPr>
        <w:t xml:space="preserve">Research, C. for D. E. and. (2023, June 26). Psychedelic Drugs: Considerations for Clinical Investigations. U.S. Food and Drug Administration. </w:t>
      </w:r>
      <w:hyperlink r:id="rId118" w:history="1">
        <w:r w:rsidR="004877E1" w:rsidRPr="000E44AF">
          <w:rPr>
            <w:rStyle w:val="Hyperlink"/>
          </w:rPr>
          <w:t>https://www.fda.gov/regulatory-information/search-fda-guidance-documents/psychedelic-drugs-considerations-clinical-investigations</w:t>
        </w:r>
      </w:hyperlink>
      <w:r w:rsidR="004877E1">
        <w:t xml:space="preserve"> </w:t>
      </w:r>
    </w:p>
    <w:p w14:paraId="340728A8" w14:textId="77777777" w:rsidR="00E303BE" w:rsidRPr="00DD1E1D" w:rsidRDefault="00E303BE" w:rsidP="004D5F69">
      <w:pPr>
        <w:ind w:left="720" w:hanging="720"/>
        <w:rPr>
          <w:rFonts w:ascii="Arial" w:hAnsi="Arial" w:cs="Arial"/>
        </w:rPr>
      </w:pPr>
    </w:p>
    <w:p w14:paraId="11AF96F7" w14:textId="10B2C6CB" w:rsidR="00E303BE" w:rsidRDefault="00E303BE" w:rsidP="00A6745F">
      <w:pPr>
        <w:pStyle w:val="EndnoteText"/>
        <w:numPr>
          <w:ilvl w:val="0"/>
          <w:numId w:val="33"/>
        </w:numPr>
      </w:pPr>
      <w:proofErr w:type="spellStart"/>
      <w:r w:rsidRPr="00DD1E1D">
        <w:rPr>
          <w:rFonts w:ascii="Arial" w:hAnsi="Arial" w:cs="Arial"/>
        </w:rPr>
        <w:t>Rohayah</w:t>
      </w:r>
      <w:proofErr w:type="spellEnd"/>
      <w:r w:rsidRPr="00DD1E1D">
        <w:rPr>
          <w:rFonts w:ascii="Arial" w:hAnsi="Arial" w:cs="Arial"/>
        </w:rPr>
        <w:t xml:space="preserve"> </w:t>
      </w:r>
      <w:proofErr w:type="spellStart"/>
      <w:r w:rsidRPr="00DD1E1D">
        <w:rPr>
          <w:rFonts w:ascii="Arial" w:hAnsi="Arial" w:cs="Arial"/>
        </w:rPr>
        <w:t>Adiman</w:t>
      </w:r>
      <w:proofErr w:type="spellEnd"/>
      <w:r w:rsidRPr="00DD1E1D">
        <w:rPr>
          <w:rFonts w:ascii="Arial" w:hAnsi="Arial" w:cs="Arial"/>
        </w:rPr>
        <w:t xml:space="preserve">, </w:t>
      </w:r>
      <w:proofErr w:type="spellStart"/>
      <w:r w:rsidRPr="00DD1E1D">
        <w:rPr>
          <w:rFonts w:ascii="Arial" w:hAnsi="Arial" w:cs="Arial"/>
        </w:rPr>
        <w:t>Razak</w:t>
      </w:r>
      <w:proofErr w:type="spellEnd"/>
      <w:r w:rsidRPr="00DD1E1D">
        <w:rPr>
          <w:rFonts w:ascii="Arial" w:hAnsi="Arial" w:cs="Arial"/>
        </w:rPr>
        <w:t xml:space="preserve">, N. A., &amp; Muhammad, M. (2024). Cues to Action and Self-Efficacy in the Health Belief Model: Perceived Risk as Mediating Roles Towards Enhancing Customer Engagement. Information Management and Business Review, 16(4(I)), 128–138. </w:t>
      </w:r>
      <w:hyperlink r:id="rId119" w:history="1">
        <w:r w:rsidRPr="00DD1E1D">
          <w:rPr>
            <w:rStyle w:val="Hyperlink"/>
            <w:rFonts w:ascii="Arial" w:hAnsi="Arial" w:cs="Arial"/>
          </w:rPr>
          <w:t>https://doi.org/10.22610/imbr.v16i4(i).4283</w:t>
        </w:r>
      </w:hyperlink>
    </w:p>
    <w:p w14:paraId="183F44B8" w14:textId="77777777" w:rsidR="00E303BE" w:rsidRPr="00DD1E1D" w:rsidRDefault="00E303BE" w:rsidP="004D5F69">
      <w:pPr>
        <w:pStyle w:val="EndnoteText"/>
        <w:ind w:left="720" w:hanging="720"/>
        <w:rPr>
          <w:rFonts w:ascii="Arial" w:hAnsi="Arial" w:cs="Arial"/>
        </w:rPr>
      </w:pPr>
    </w:p>
    <w:p w14:paraId="4E3C0928" w14:textId="35810548" w:rsidR="00E303BE" w:rsidRDefault="00E303BE" w:rsidP="00A6745F">
      <w:pPr>
        <w:pStyle w:val="ListParagraph"/>
        <w:numPr>
          <w:ilvl w:val="0"/>
          <w:numId w:val="33"/>
        </w:numPr>
      </w:pPr>
      <w:r w:rsidRPr="00A6745F">
        <w:rPr>
          <w:rFonts w:ascii="Arial" w:hAnsi="Arial" w:cs="Arial"/>
        </w:rPr>
        <w:t xml:space="preserve">Rossi, S., Hallett, M., Rossini, P. M., &amp; Pascual-Leone, A. (2009). Safety, ethical considerations, and application guidelines for the use of transcranial magnetic stimulation in clinical practice and research. Clinical Neurophysiology, 120(12), 2008–2039. </w:t>
      </w:r>
      <w:hyperlink r:id="rId120" w:history="1">
        <w:r w:rsidRPr="00A6745F">
          <w:rPr>
            <w:rStyle w:val="Hyperlink"/>
            <w:rFonts w:ascii="Arial" w:hAnsi="Arial" w:cs="Arial"/>
          </w:rPr>
          <w:t>https://doi.org/10.1016/j.clinph.2009.08.016</w:t>
        </w:r>
      </w:hyperlink>
    </w:p>
    <w:p w14:paraId="703813DA" w14:textId="77777777" w:rsidR="00E303BE" w:rsidRPr="00DD1E1D" w:rsidRDefault="00E303BE" w:rsidP="004D5F69">
      <w:pPr>
        <w:ind w:left="720" w:hanging="720"/>
        <w:rPr>
          <w:rFonts w:ascii="Arial" w:hAnsi="Arial" w:cs="Arial"/>
        </w:rPr>
      </w:pPr>
    </w:p>
    <w:p w14:paraId="325E879C" w14:textId="70BDE638" w:rsidR="00E303BE" w:rsidRPr="00A6745F" w:rsidRDefault="00E303BE" w:rsidP="00A6745F">
      <w:pPr>
        <w:pStyle w:val="ListParagraph"/>
        <w:numPr>
          <w:ilvl w:val="0"/>
          <w:numId w:val="33"/>
        </w:numPr>
        <w:rPr>
          <w:rFonts w:ascii="Arial" w:hAnsi="Arial" w:cs="Arial"/>
        </w:rPr>
      </w:pPr>
      <w:r w:rsidRPr="00A6745F">
        <w:rPr>
          <w:rFonts w:ascii="Arial" w:hAnsi="Arial" w:cs="Arial"/>
        </w:rPr>
        <w:t xml:space="preserve">Rush, A. J., Trivedi, M. H., Wisniewski, S. R., Nierenberg, A. A., Stewart, J. W., Warden, D., Niederehe, G., Thase, M. E., Lavori, P. W., Lebowitz, B. D., McGrath, P. J., Rosenbaum, J. F., Sackeim, H. A., Kupfer, D. J., Luther, J., &amp; Fava, M. (2006). Acute and Longer-Term Outcomes in Depressed Outpatients Requiring One or Several Treatment Steps: A STAR*D Report. American Journal of Psychiatry, 163(11), 1905–1917. </w:t>
      </w:r>
      <w:hyperlink r:id="rId121" w:history="1">
        <w:r w:rsidRPr="00A6745F">
          <w:rPr>
            <w:rStyle w:val="Hyperlink"/>
            <w:rFonts w:ascii="Arial" w:hAnsi="Arial" w:cs="Arial"/>
          </w:rPr>
          <w:t>https://doi.org/10.1176/ajp.2006.163.11.1905</w:t>
        </w:r>
      </w:hyperlink>
    </w:p>
    <w:p w14:paraId="6F85376C" w14:textId="77777777" w:rsidR="00E303BE" w:rsidRPr="00DD1E1D" w:rsidRDefault="00E303BE" w:rsidP="004D5F69">
      <w:pPr>
        <w:ind w:left="720" w:hanging="720"/>
        <w:rPr>
          <w:rFonts w:ascii="Arial" w:hAnsi="Arial" w:cs="Arial"/>
        </w:rPr>
      </w:pPr>
    </w:p>
    <w:p w14:paraId="64AC1C93" w14:textId="19A8ADC2" w:rsidR="00E303BE" w:rsidRDefault="00E303BE" w:rsidP="00A6745F">
      <w:pPr>
        <w:pStyle w:val="ListParagraph"/>
        <w:numPr>
          <w:ilvl w:val="0"/>
          <w:numId w:val="33"/>
        </w:numPr>
      </w:pPr>
      <w:proofErr w:type="spellStart"/>
      <w:r w:rsidRPr="00A6745F">
        <w:rPr>
          <w:rFonts w:ascii="Arial" w:hAnsi="Arial" w:cs="Arial"/>
        </w:rPr>
        <w:t>Shitu</w:t>
      </w:r>
      <w:proofErr w:type="spellEnd"/>
      <w:r w:rsidRPr="00A6745F">
        <w:rPr>
          <w:rFonts w:ascii="Arial" w:hAnsi="Arial" w:cs="Arial"/>
        </w:rPr>
        <w:t xml:space="preserve">, K., Adugna, A., Kassie, A., &amp; Handebo, S. (2022). Application of the Health Belief Model for the assessment of COVID-19 preventive behavior among students. PLoS ONE, 17(3), e0263568. </w:t>
      </w:r>
      <w:hyperlink r:id="rId122" w:history="1">
        <w:r w:rsidRPr="00A6745F">
          <w:rPr>
            <w:rStyle w:val="Hyperlink"/>
            <w:rFonts w:ascii="Arial" w:hAnsi="Arial" w:cs="Arial"/>
          </w:rPr>
          <w:t>https://doi.org/10.1371/journal.pone.0263568</w:t>
        </w:r>
      </w:hyperlink>
    </w:p>
    <w:p w14:paraId="39D11449" w14:textId="77777777" w:rsidR="00E303BE" w:rsidRPr="00DD1E1D" w:rsidRDefault="00E303BE" w:rsidP="004D5F69">
      <w:pPr>
        <w:ind w:left="720" w:hanging="720"/>
        <w:rPr>
          <w:rFonts w:ascii="Arial" w:hAnsi="Arial" w:cs="Arial"/>
        </w:rPr>
      </w:pPr>
    </w:p>
    <w:p w14:paraId="2504090A" w14:textId="02A98700" w:rsidR="00E303BE" w:rsidRDefault="00E303BE" w:rsidP="00A6745F">
      <w:pPr>
        <w:pStyle w:val="EndnoteText"/>
        <w:numPr>
          <w:ilvl w:val="0"/>
          <w:numId w:val="33"/>
        </w:numPr>
        <w:rPr>
          <w:rFonts w:ascii="Arial" w:hAnsi="Arial" w:cs="Arial"/>
        </w:rPr>
      </w:pPr>
      <w:r w:rsidRPr="00DD1E1D">
        <w:rPr>
          <w:rFonts w:ascii="Arial" w:hAnsi="Arial" w:cs="Arial"/>
        </w:rPr>
        <w:t>Short, B., Fong, J., Galvez, V., Shelker, W., &amp; Loo, C. K. (2018). Side-effects associated with ketamine use in depression: a systematic review. The Lancet Psychiatry, 5(1), 65–78.</w:t>
      </w:r>
      <w:r w:rsidR="008644B2">
        <w:rPr>
          <w:rFonts w:ascii="Arial" w:hAnsi="Arial" w:cs="Arial"/>
        </w:rPr>
        <w:t xml:space="preserve"> </w:t>
      </w:r>
      <w:hyperlink r:id="rId123" w:history="1">
        <w:r w:rsidR="008644B2" w:rsidRPr="000E44AF">
          <w:rPr>
            <w:rStyle w:val="Hyperlink"/>
            <w:rFonts w:ascii="Arial" w:hAnsi="Arial" w:cs="Arial"/>
          </w:rPr>
          <w:t>https://doi.org/10.1016/S2215-0366(17)30272-9</w:t>
        </w:r>
      </w:hyperlink>
      <w:r w:rsidR="008644B2">
        <w:rPr>
          <w:rFonts w:ascii="Arial" w:hAnsi="Arial" w:cs="Arial"/>
        </w:rPr>
        <w:t xml:space="preserve"> </w:t>
      </w:r>
    </w:p>
    <w:p w14:paraId="26DB9A47" w14:textId="77777777" w:rsidR="00E303BE" w:rsidRPr="00DD1E1D" w:rsidRDefault="00E303BE" w:rsidP="004D5F69">
      <w:pPr>
        <w:pStyle w:val="EndnoteText"/>
        <w:ind w:left="720" w:hanging="720"/>
        <w:rPr>
          <w:rFonts w:ascii="Arial" w:hAnsi="Arial" w:cs="Arial"/>
        </w:rPr>
      </w:pPr>
    </w:p>
    <w:p w14:paraId="51BA60DF" w14:textId="77777777" w:rsidR="00E303BE" w:rsidRDefault="00E303BE" w:rsidP="00A6745F">
      <w:pPr>
        <w:pStyle w:val="NormalWeb"/>
        <w:numPr>
          <w:ilvl w:val="0"/>
          <w:numId w:val="33"/>
        </w:numPr>
        <w:spacing w:before="0" w:beforeAutospacing="0" w:after="0" w:afterAutospacing="0"/>
        <w:rPr>
          <w:rFonts w:ascii="Arial" w:hAnsi="Arial" w:cs="Arial"/>
          <w:color w:val="000000"/>
          <w:sz w:val="20"/>
          <w:szCs w:val="20"/>
        </w:rPr>
      </w:pPr>
      <w:r w:rsidRPr="00332B22">
        <w:rPr>
          <w:rFonts w:ascii="Arial" w:hAnsi="Arial" w:cs="Arial"/>
          <w:color w:val="000000"/>
          <w:sz w:val="20"/>
          <w:szCs w:val="20"/>
        </w:rPr>
        <w:t>Siegel, J. S., Daily, J. E., Perry, D. A., &amp; Nicol, G. E. (2023). Psychedelic Drug Legislative Reform and Legalization in the US. </w:t>
      </w:r>
      <w:r w:rsidRPr="00332B22">
        <w:rPr>
          <w:rFonts w:ascii="Arial" w:hAnsi="Arial" w:cs="Arial"/>
          <w:i/>
          <w:iCs/>
          <w:color w:val="000000"/>
          <w:sz w:val="20"/>
          <w:szCs w:val="20"/>
        </w:rPr>
        <w:t>JAMA Psychiatry</w:t>
      </w:r>
      <w:r w:rsidRPr="00332B22">
        <w:rPr>
          <w:rFonts w:ascii="Arial" w:hAnsi="Arial" w:cs="Arial"/>
          <w:color w:val="000000"/>
          <w:sz w:val="20"/>
          <w:szCs w:val="20"/>
        </w:rPr>
        <w:t>, </w:t>
      </w:r>
      <w:r w:rsidRPr="00332B22">
        <w:rPr>
          <w:rFonts w:ascii="Arial" w:hAnsi="Arial" w:cs="Arial"/>
          <w:i/>
          <w:iCs/>
          <w:color w:val="000000"/>
          <w:sz w:val="20"/>
          <w:szCs w:val="20"/>
        </w:rPr>
        <w:t>80</w:t>
      </w:r>
      <w:r w:rsidRPr="00332B22">
        <w:rPr>
          <w:rFonts w:ascii="Arial" w:hAnsi="Arial" w:cs="Arial"/>
          <w:color w:val="000000"/>
          <w:sz w:val="20"/>
          <w:szCs w:val="20"/>
        </w:rPr>
        <w:t xml:space="preserve">(1), 77. </w:t>
      </w:r>
      <w:hyperlink r:id="rId124" w:history="1">
        <w:r w:rsidRPr="004111A7">
          <w:rPr>
            <w:rStyle w:val="Hyperlink"/>
            <w:rFonts w:ascii="Arial" w:hAnsi="Arial" w:cs="Arial"/>
            <w:sz w:val="20"/>
            <w:szCs w:val="20"/>
          </w:rPr>
          <w:t>https://doi.org/10.1001/jamapsychiatry.2022.4101</w:t>
        </w:r>
      </w:hyperlink>
    </w:p>
    <w:p w14:paraId="762324FF" w14:textId="77777777" w:rsidR="00E303BE" w:rsidRPr="00332B22" w:rsidRDefault="00E303BE" w:rsidP="004D5F69">
      <w:pPr>
        <w:pStyle w:val="NormalWeb"/>
        <w:spacing w:before="0" w:beforeAutospacing="0" w:after="0" w:afterAutospacing="0"/>
        <w:ind w:left="720" w:hanging="720"/>
        <w:rPr>
          <w:rFonts w:ascii="Arial" w:hAnsi="Arial" w:cs="Arial"/>
          <w:color w:val="000000"/>
          <w:sz w:val="20"/>
          <w:szCs w:val="20"/>
        </w:rPr>
      </w:pPr>
    </w:p>
    <w:p w14:paraId="3D4F509C" w14:textId="4B4F35C9" w:rsidR="00E303BE" w:rsidRPr="00A6745F" w:rsidRDefault="00E303BE" w:rsidP="00A6745F">
      <w:pPr>
        <w:pStyle w:val="ListParagraph"/>
        <w:numPr>
          <w:ilvl w:val="0"/>
          <w:numId w:val="33"/>
        </w:numPr>
        <w:rPr>
          <w:rFonts w:ascii="Arial" w:hAnsi="Arial" w:cs="Arial"/>
        </w:rPr>
      </w:pPr>
      <w:proofErr w:type="spellStart"/>
      <w:r w:rsidRPr="00A6745F">
        <w:rPr>
          <w:rFonts w:ascii="Arial" w:hAnsi="Arial" w:cs="Arial"/>
        </w:rPr>
        <w:t>Slotema</w:t>
      </w:r>
      <w:proofErr w:type="spellEnd"/>
      <w:r w:rsidRPr="00A6745F">
        <w:rPr>
          <w:rFonts w:ascii="Arial" w:hAnsi="Arial" w:cs="Arial"/>
        </w:rPr>
        <w:t>, C. W., Blom, J. D., Hoek, H. W., &amp; Sommer, I. E. (2010). Should we expand the toolbox of psychiatric treatment methods to include repetitive transcranial magnetic stimulation (rTMS)? A meta-analysis of the efficacy of rTMS in psychiatric disorders. The Journal of Clinical Psychiatry, 71(7), 873–884.</w:t>
      </w:r>
      <w:r w:rsidR="008644B2">
        <w:rPr>
          <w:rFonts w:ascii="Arial" w:hAnsi="Arial" w:cs="Arial"/>
        </w:rPr>
        <w:t xml:space="preserve"> </w:t>
      </w:r>
      <w:hyperlink r:id="rId125" w:history="1">
        <w:r w:rsidR="008644B2" w:rsidRPr="000E44AF">
          <w:rPr>
            <w:rStyle w:val="Hyperlink"/>
            <w:rFonts w:ascii="Arial" w:hAnsi="Arial" w:cs="Arial"/>
          </w:rPr>
          <w:t>https://doi.org/10.4088/JCP.08m04872gre</w:t>
        </w:r>
      </w:hyperlink>
      <w:r w:rsidR="008644B2">
        <w:rPr>
          <w:rFonts w:ascii="Arial" w:hAnsi="Arial" w:cs="Arial"/>
        </w:rPr>
        <w:t xml:space="preserve"> </w:t>
      </w:r>
    </w:p>
    <w:p w14:paraId="26D441D2" w14:textId="77777777" w:rsidR="00E303BE" w:rsidRPr="00DD1E1D" w:rsidRDefault="00E303BE" w:rsidP="004D5F69">
      <w:pPr>
        <w:ind w:left="720" w:hanging="720"/>
        <w:rPr>
          <w:rFonts w:ascii="Arial" w:hAnsi="Arial" w:cs="Arial"/>
        </w:rPr>
      </w:pPr>
    </w:p>
    <w:p w14:paraId="37EDE444" w14:textId="0B2C2DBB" w:rsidR="00E303BE" w:rsidRDefault="00E303BE" w:rsidP="00A6745F">
      <w:pPr>
        <w:pStyle w:val="ListParagraph"/>
        <w:numPr>
          <w:ilvl w:val="0"/>
          <w:numId w:val="33"/>
        </w:numPr>
      </w:pPr>
      <w:proofErr w:type="spellStart"/>
      <w:r w:rsidRPr="00A6745F">
        <w:rPr>
          <w:rFonts w:ascii="Arial" w:hAnsi="Arial" w:cs="Arial"/>
        </w:rPr>
        <w:t>Studerus</w:t>
      </w:r>
      <w:proofErr w:type="spellEnd"/>
      <w:r w:rsidRPr="00A6745F">
        <w:rPr>
          <w:rFonts w:ascii="Arial" w:hAnsi="Arial" w:cs="Arial"/>
        </w:rPr>
        <w:t xml:space="preserve">, E., Kometer, M., Hasler, F., &amp; Vollenweider, F. X. (2011). Acute, subacute and long-term subjective effects of psilocybin in healthy humans: a pooled analysis of experimental studies. Journal of Psychopharmacology, 25(11), 1434–1452. </w:t>
      </w:r>
      <w:hyperlink r:id="rId126" w:history="1">
        <w:r w:rsidRPr="00A6745F">
          <w:rPr>
            <w:rStyle w:val="Hyperlink"/>
            <w:rFonts w:ascii="Arial" w:hAnsi="Arial" w:cs="Arial"/>
          </w:rPr>
          <w:t>https://doi.org/10.1177/0269881110382466</w:t>
        </w:r>
      </w:hyperlink>
    </w:p>
    <w:p w14:paraId="3C5AC96A" w14:textId="77777777" w:rsidR="00E303BE" w:rsidRPr="00DD1E1D" w:rsidRDefault="00E303BE" w:rsidP="004D5F69">
      <w:pPr>
        <w:ind w:left="720" w:hanging="720"/>
        <w:rPr>
          <w:rFonts w:ascii="Arial" w:hAnsi="Arial" w:cs="Arial"/>
        </w:rPr>
      </w:pPr>
    </w:p>
    <w:p w14:paraId="01EDB0A4" w14:textId="77777777" w:rsidR="00E303BE" w:rsidRDefault="00E303BE" w:rsidP="00A6745F">
      <w:pPr>
        <w:pStyle w:val="ListParagraph"/>
        <w:numPr>
          <w:ilvl w:val="0"/>
          <w:numId w:val="33"/>
        </w:numPr>
      </w:pPr>
      <w:r w:rsidRPr="00A6745F">
        <w:rPr>
          <w:rFonts w:ascii="Arial" w:hAnsi="Arial" w:cs="Arial"/>
        </w:rPr>
        <w:t xml:space="preserve">Subedi, R., et al. (2023). Health Belief Model and COVID-19 preventive behaviors: A systematic review. Journal of Public Health Research, 12(1), 112–124. </w:t>
      </w:r>
      <w:hyperlink r:id="rId127" w:history="1">
        <w:r w:rsidRPr="00A6745F">
          <w:rPr>
            <w:rStyle w:val="Hyperlink"/>
            <w:rFonts w:ascii="Arial" w:hAnsi="Arial" w:cs="Arial"/>
          </w:rPr>
          <w:t>https://doi.org/10.4081/jphr.2023.112</w:t>
        </w:r>
      </w:hyperlink>
    </w:p>
    <w:p w14:paraId="169E41D9" w14:textId="77777777" w:rsidR="00E303BE" w:rsidRPr="00DD1E1D" w:rsidRDefault="00E303BE" w:rsidP="004D5F69">
      <w:pPr>
        <w:ind w:left="720" w:hanging="720"/>
        <w:rPr>
          <w:rFonts w:ascii="Arial" w:hAnsi="Arial" w:cs="Arial"/>
        </w:rPr>
      </w:pPr>
    </w:p>
    <w:p w14:paraId="5050D323" w14:textId="77777777" w:rsidR="00E303BE" w:rsidRDefault="00E303BE" w:rsidP="00A6745F">
      <w:pPr>
        <w:pStyle w:val="ListParagraph"/>
        <w:numPr>
          <w:ilvl w:val="0"/>
          <w:numId w:val="33"/>
        </w:numPr>
      </w:pPr>
      <w:r w:rsidRPr="00A6745F">
        <w:rPr>
          <w:rFonts w:ascii="Arial" w:hAnsi="Arial" w:cs="Arial"/>
        </w:rPr>
        <w:t xml:space="preserve">Tang, C.-C., Chen, H., Tsai, S.-Y., &amp; Wu, W.-W. (2023). Factors Associated </w:t>
      </w:r>
      <w:proofErr w:type="gramStart"/>
      <w:r w:rsidRPr="00A6745F">
        <w:rPr>
          <w:rFonts w:ascii="Arial" w:hAnsi="Arial" w:cs="Arial"/>
        </w:rPr>
        <w:t>With</w:t>
      </w:r>
      <w:proofErr w:type="gramEnd"/>
      <w:r w:rsidRPr="00A6745F">
        <w:rPr>
          <w:rFonts w:ascii="Arial" w:hAnsi="Arial" w:cs="Arial"/>
        </w:rPr>
        <w:t xml:space="preserve"> Levels of Public Engagement in Protective Behaviors During the Early COVID-19 Pandemic: Causal-Comparative Study Based on the Health Belief Model. JMIR Human Factors, 10, e49687–e49687. </w:t>
      </w:r>
      <w:hyperlink r:id="rId128" w:history="1">
        <w:r w:rsidRPr="00A6745F">
          <w:rPr>
            <w:rStyle w:val="Hyperlink"/>
            <w:rFonts w:ascii="Arial" w:hAnsi="Arial" w:cs="Arial"/>
          </w:rPr>
          <w:t>https://doi.org/10.2196/4968</w:t>
        </w:r>
      </w:hyperlink>
    </w:p>
    <w:p w14:paraId="47C0C420" w14:textId="77777777" w:rsidR="00E303BE" w:rsidRPr="00DD1E1D" w:rsidRDefault="00E303BE" w:rsidP="004D5F69">
      <w:pPr>
        <w:ind w:left="720" w:hanging="720"/>
        <w:rPr>
          <w:rFonts w:ascii="Arial" w:hAnsi="Arial" w:cs="Arial"/>
        </w:rPr>
      </w:pPr>
    </w:p>
    <w:p w14:paraId="4930D45E" w14:textId="68ECA225" w:rsidR="00E303BE" w:rsidRPr="00A6745F" w:rsidRDefault="00E303BE" w:rsidP="00A6745F">
      <w:pPr>
        <w:pStyle w:val="ListParagraph"/>
        <w:numPr>
          <w:ilvl w:val="0"/>
          <w:numId w:val="33"/>
        </w:numPr>
        <w:rPr>
          <w:rFonts w:ascii="Arial" w:hAnsi="Arial" w:cs="Arial"/>
        </w:rPr>
      </w:pPr>
      <w:r w:rsidRPr="00A6745F">
        <w:rPr>
          <w:rFonts w:ascii="Arial" w:hAnsi="Arial" w:cs="Arial"/>
        </w:rPr>
        <w:t xml:space="preserve">Tanner-Smith, E. E., &amp; Brown, T. N. (2010). Evaluating the Health Belief Model: A critical review of studies predicting mammographic and pap screening. Social Theory &amp; Health, 8(1), 95–125. </w:t>
      </w:r>
      <w:hyperlink r:id="rId129" w:history="1">
        <w:r w:rsidRPr="00A6745F">
          <w:rPr>
            <w:rStyle w:val="Hyperlink"/>
            <w:rFonts w:ascii="Arial" w:hAnsi="Arial" w:cs="Arial"/>
          </w:rPr>
          <w:t>https://doi.org/10.1057/sth.2009.23</w:t>
        </w:r>
      </w:hyperlink>
    </w:p>
    <w:p w14:paraId="715004B2" w14:textId="77777777" w:rsidR="00E303BE" w:rsidRPr="00A16E42" w:rsidRDefault="00E303BE" w:rsidP="004D5F69">
      <w:pPr>
        <w:ind w:left="720" w:hanging="720"/>
        <w:rPr>
          <w:rFonts w:ascii="Arial" w:hAnsi="Arial" w:cs="Arial"/>
        </w:rPr>
      </w:pPr>
    </w:p>
    <w:p w14:paraId="25D105BF" w14:textId="716604A4" w:rsidR="00E303BE" w:rsidRPr="00A6745F" w:rsidRDefault="00E303BE" w:rsidP="00A6745F">
      <w:pPr>
        <w:pStyle w:val="ListParagraph"/>
        <w:numPr>
          <w:ilvl w:val="0"/>
          <w:numId w:val="33"/>
        </w:numPr>
        <w:rPr>
          <w:rFonts w:ascii="Arial" w:hAnsi="Arial" w:cs="Arial"/>
        </w:rPr>
      </w:pPr>
      <w:r w:rsidRPr="00A6745F">
        <w:rPr>
          <w:rFonts w:ascii="Arial" w:hAnsi="Arial" w:cs="Arial"/>
        </w:rPr>
        <w:t xml:space="preserve">Teixeira, P. J., Johnson, M. W., Timmermann, C., Watts, R., Erritzoe, D., Douglass, H., Ketner, H., &amp; Carhart-Harris, R. L. (2021). Psychedelics and health behaviour change. Journal of Psychopharmacology, 36(1), 026988112110085. </w:t>
      </w:r>
      <w:hyperlink r:id="rId130" w:history="1">
        <w:r w:rsidRPr="00A6745F">
          <w:rPr>
            <w:rStyle w:val="Hyperlink"/>
            <w:rFonts w:ascii="Arial" w:hAnsi="Arial" w:cs="Arial"/>
          </w:rPr>
          <w:t>https://doi.org/10.1177/02698811211008554</w:t>
        </w:r>
      </w:hyperlink>
    </w:p>
    <w:p w14:paraId="5ED62536" w14:textId="0790B3C3" w:rsidR="00E303BE" w:rsidRDefault="00E303BE" w:rsidP="00A6745F">
      <w:pPr>
        <w:pStyle w:val="EndnoteText"/>
        <w:numPr>
          <w:ilvl w:val="0"/>
          <w:numId w:val="33"/>
        </w:numPr>
      </w:pPr>
      <w:proofErr w:type="spellStart"/>
      <w:r w:rsidRPr="00DD1E1D">
        <w:rPr>
          <w:rFonts w:ascii="Arial" w:hAnsi="Arial" w:cs="Arial"/>
        </w:rPr>
        <w:t>Üstün</w:t>
      </w:r>
      <w:proofErr w:type="spellEnd"/>
      <w:r w:rsidRPr="00DD1E1D">
        <w:rPr>
          <w:rFonts w:ascii="Arial" w:hAnsi="Arial" w:cs="Arial"/>
        </w:rPr>
        <w:t xml:space="preserve">, T. B., Ayuso-Mateos, J. L., Chatterji, S., Mathers, C., &amp; Murray, C. J. L. (2004). Global burden of depressive disorders in the year 2000. British Journal of Psychiatry, 184(5), 386–392. </w:t>
      </w:r>
      <w:hyperlink r:id="rId131" w:history="1">
        <w:r w:rsidRPr="00DD1E1D">
          <w:rPr>
            <w:rStyle w:val="Hyperlink"/>
            <w:rFonts w:ascii="Arial" w:hAnsi="Arial" w:cs="Arial"/>
          </w:rPr>
          <w:t>https://doi.org/10.1192/bjp.184.5.386</w:t>
        </w:r>
      </w:hyperlink>
    </w:p>
    <w:p w14:paraId="585E64A1" w14:textId="77777777" w:rsidR="00E303BE" w:rsidRPr="00DD1E1D" w:rsidRDefault="00E303BE" w:rsidP="004D5F69">
      <w:pPr>
        <w:pStyle w:val="EndnoteText"/>
        <w:ind w:left="720" w:hanging="720"/>
        <w:rPr>
          <w:rFonts w:ascii="Arial" w:hAnsi="Arial" w:cs="Arial"/>
        </w:rPr>
      </w:pPr>
    </w:p>
    <w:p w14:paraId="3847506D" w14:textId="554CECF0" w:rsidR="00E303BE" w:rsidRDefault="00E303BE" w:rsidP="00A6745F">
      <w:pPr>
        <w:pStyle w:val="ListParagraph"/>
        <w:numPr>
          <w:ilvl w:val="0"/>
          <w:numId w:val="33"/>
        </w:numPr>
      </w:pPr>
      <w:proofErr w:type="spellStart"/>
      <w:r w:rsidRPr="00A6745F">
        <w:rPr>
          <w:rFonts w:ascii="Arial" w:hAnsi="Arial" w:cs="Arial"/>
        </w:rPr>
        <w:t>Weronika</w:t>
      </w:r>
      <w:proofErr w:type="spellEnd"/>
      <w:r w:rsidRPr="00A6745F">
        <w:rPr>
          <w:rFonts w:ascii="Arial" w:hAnsi="Arial" w:cs="Arial"/>
        </w:rPr>
        <w:t xml:space="preserve"> </w:t>
      </w:r>
      <w:proofErr w:type="spellStart"/>
      <w:r w:rsidRPr="00A6745F">
        <w:rPr>
          <w:rFonts w:ascii="Arial" w:hAnsi="Arial" w:cs="Arial"/>
        </w:rPr>
        <w:t>Dębowska</w:t>
      </w:r>
      <w:proofErr w:type="spellEnd"/>
      <w:r w:rsidRPr="00A6745F">
        <w:rPr>
          <w:rFonts w:ascii="Arial" w:hAnsi="Arial" w:cs="Arial"/>
        </w:rPr>
        <w:t xml:space="preserve">, </w:t>
      </w:r>
      <w:proofErr w:type="spellStart"/>
      <w:r w:rsidRPr="00A6745F">
        <w:rPr>
          <w:rFonts w:ascii="Arial" w:hAnsi="Arial" w:cs="Arial"/>
        </w:rPr>
        <w:t>Więdłocha</w:t>
      </w:r>
      <w:proofErr w:type="spellEnd"/>
      <w:r w:rsidRPr="00A6745F">
        <w:rPr>
          <w:rFonts w:ascii="Arial" w:hAnsi="Arial" w:cs="Arial"/>
        </w:rPr>
        <w:t xml:space="preserve">, M., Dębowska, M., Zuzanna Kownacka, Piotr Marcinowicz, &amp; Szulc, A. (2023). Transcranial magnetic stimulation and ketamine: implications for combined treatment in depression. Frontiers in Neuroscience, 17. </w:t>
      </w:r>
      <w:hyperlink r:id="rId132" w:history="1">
        <w:r w:rsidRPr="00A6745F">
          <w:rPr>
            <w:rStyle w:val="Hyperlink"/>
            <w:rFonts w:ascii="Arial" w:hAnsi="Arial" w:cs="Arial"/>
          </w:rPr>
          <w:t>https://doi.org/10.3389/fnins.2023.1267647</w:t>
        </w:r>
      </w:hyperlink>
    </w:p>
    <w:p w14:paraId="22E53A92" w14:textId="77777777" w:rsidR="00E303BE" w:rsidRPr="00DD1E1D" w:rsidRDefault="00E303BE" w:rsidP="004D5F69">
      <w:pPr>
        <w:ind w:left="720" w:hanging="720"/>
        <w:rPr>
          <w:rFonts w:ascii="Arial" w:hAnsi="Arial" w:cs="Arial"/>
        </w:rPr>
      </w:pPr>
    </w:p>
    <w:p w14:paraId="4F04A5C4" w14:textId="77777777" w:rsidR="00E303BE" w:rsidRDefault="00E303BE" w:rsidP="00A6745F">
      <w:pPr>
        <w:pStyle w:val="ListParagraph"/>
        <w:numPr>
          <w:ilvl w:val="0"/>
          <w:numId w:val="33"/>
        </w:numPr>
      </w:pPr>
      <w:r w:rsidRPr="00A6745F">
        <w:rPr>
          <w:rFonts w:ascii="Arial" w:hAnsi="Arial" w:cs="Arial"/>
        </w:rPr>
        <w:t xml:space="preserve">Williams, M. T., Metzger, I. W., Leins, C., &amp; DeLapp, R. C. T. (2014). Incorporating racial and ethnic diversity in trauma treatment. Psychological Trauma: Theory, Research, Practice, and Policy, 6(6), 761–770. </w:t>
      </w:r>
      <w:hyperlink r:id="rId133" w:history="1">
        <w:r w:rsidRPr="00A6745F">
          <w:rPr>
            <w:rStyle w:val="Hyperlink"/>
            <w:rFonts w:ascii="Arial" w:hAnsi="Arial" w:cs="Arial"/>
          </w:rPr>
          <w:t>https://doi.org/10.1037/a0035730</w:t>
        </w:r>
      </w:hyperlink>
    </w:p>
    <w:p w14:paraId="005828EC" w14:textId="77777777" w:rsidR="00E303BE" w:rsidRPr="00DD1E1D" w:rsidRDefault="00E303BE" w:rsidP="004D5F69">
      <w:pPr>
        <w:ind w:left="720" w:hanging="720"/>
        <w:rPr>
          <w:rFonts w:ascii="Arial" w:hAnsi="Arial" w:cs="Arial"/>
        </w:rPr>
      </w:pPr>
    </w:p>
    <w:p w14:paraId="51269B9B" w14:textId="34B82095" w:rsidR="00E303BE" w:rsidRDefault="00E303BE" w:rsidP="00A6745F">
      <w:pPr>
        <w:pStyle w:val="ListParagraph"/>
        <w:numPr>
          <w:ilvl w:val="0"/>
          <w:numId w:val="33"/>
        </w:numPr>
      </w:pPr>
      <w:r w:rsidRPr="00A6745F">
        <w:rPr>
          <w:rFonts w:ascii="Arial" w:hAnsi="Arial" w:cs="Arial"/>
        </w:rPr>
        <w:t xml:space="preserve">Wolff, M., Evens, R., Mertens, L. J., Koslowski, M., Betzler, F., Gründer, G., &amp; Jungaberle, H. (2020). Learning to Let Go: A Cognitive-Behavioral Model of How Psychedelic Therapy Promotes Acceptance. Frontiers in Psychiatry, 11. </w:t>
      </w:r>
      <w:hyperlink r:id="rId134" w:history="1">
        <w:r w:rsidRPr="00A6745F">
          <w:rPr>
            <w:rStyle w:val="Hyperlink"/>
            <w:rFonts w:ascii="Arial" w:hAnsi="Arial" w:cs="Arial"/>
          </w:rPr>
          <w:t>https://doi.org/10.3389/fpsyt.2020.00005</w:t>
        </w:r>
      </w:hyperlink>
    </w:p>
    <w:p w14:paraId="512C7A27" w14:textId="77777777" w:rsidR="00E303BE" w:rsidRPr="00DD1E1D" w:rsidRDefault="00E303BE" w:rsidP="004D5F69">
      <w:pPr>
        <w:ind w:left="720" w:hanging="720"/>
        <w:rPr>
          <w:rFonts w:ascii="Arial" w:hAnsi="Arial" w:cs="Arial"/>
        </w:rPr>
      </w:pPr>
    </w:p>
    <w:p w14:paraId="32570129" w14:textId="73CF78D8" w:rsidR="00E303BE" w:rsidRPr="00A6745F" w:rsidRDefault="00E303BE" w:rsidP="00A6745F">
      <w:pPr>
        <w:pStyle w:val="ListParagraph"/>
        <w:numPr>
          <w:ilvl w:val="0"/>
          <w:numId w:val="33"/>
        </w:numPr>
        <w:rPr>
          <w:rFonts w:ascii="Arial" w:hAnsi="Arial" w:cs="Arial"/>
        </w:rPr>
      </w:pPr>
      <w:r w:rsidRPr="00A6745F">
        <w:rPr>
          <w:rFonts w:ascii="Arial" w:hAnsi="Arial" w:cs="Arial"/>
        </w:rPr>
        <w:t xml:space="preserve">Wong, M. C. S., Wong, E. L. Y., Huang, J., Cheung, A. W. L., Law, K., Chong, M. K. C., Ng, R. W. Y., Lai, C. K. C., Boon, S. S., Lau, J. T. F., Chen, Z., &amp; Chan, P. K. S. (2021). Acceptance of the COVID-19 vaccine based on the Health Belief Model: A population-based survey in Hong Kong. Vaccine, 39(7), 1148–1156. </w:t>
      </w:r>
      <w:hyperlink r:id="rId135" w:history="1">
        <w:r w:rsidRPr="00A6745F">
          <w:rPr>
            <w:rStyle w:val="Hyperlink"/>
            <w:rFonts w:ascii="Arial" w:hAnsi="Arial" w:cs="Arial"/>
          </w:rPr>
          <w:t>https://doi.org/10.1016/j.vaccine.2020.12.083</w:t>
        </w:r>
      </w:hyperlink>
    </w:p>
    <w:p w14:paraId="7FB7BBD5" w14:textId="77777777" w:rsidR="00E303BE" w:rsidRDefault="00E303BE" w:rsidP="0025111C">
      <w:pPr>
        <w:pStyle w:val="EndnoteText"/>
        <w:ind w:hanging="720"/>
        <w:rPr>
          <w:rFonts w:ascii="Arial" w:hAnsi="Arial" w:cs="Arial"/>
        </w:rPr>
      </w:pPr>
    </w:p>
    <w:p w14:paraId="16179E58" w14:textId="77777777" w:rsidR="00E303BE" w:rsidRDefault="00E303BE" w:rsidP="0025111C">
      <w:pPr>
        <w:pStyle w:val="EndnoteText"/>
        <w:ind w:hanging="720"/>
        <w:rPr>
          <w:rFonts w:ascii="Arial" w:hAnsi="Arial" w:cs="Arial"/>
        </w:rPr>
      </w:pPr>
    </w:p>
    <w:p w14:paraId="7884A842" w14:textId="77777777" w:rsidR="00E303BE" w:rsidRDefault="00E303BE" w:rsidP="0025111C">
      <w:pPr>
        <w:pStyle w:val="EndnoteText"/>
        <w:ind w:hanging="720"/>
        <w:rPr>
          <w:rFonts w:ascii="Arial" w:hAnsi="Arial" w:cs="Arial"/>
        </w:rPr>
      </w:pPr>
    </w:p>
    <w:p w14:paraId="41C282FE" w14:textId="77777777" w:rsidR="00E303BE" w:rsidRDefault="00E303BE" w:rsidP="0025111C">
      <w:pPr>
        <w:pStyle w:val="EndnoteText"/>
        <w:ind w:hanging="720"/>
        <w:rPr>
          <w:rFonts w:ascii="Arial" w:hAnsi="Arial" w:cs="Arial"/>
        </w:rPr>
      </w:pPr>
    </w:p>
    <w:p w14:paraId="462C10A1" w14:textId="77777777" w:rsidR="00E303BE" w:rsidRDefault="00E303BE" w:rsidP="0025111C">
      <w:pPr>
        <w:pStyle w:val="EndnoteText"/>
        <w:ind w:hanging="720"/>
        <w:rPr>
          <w:rFonts w:ascii="Arial" w:hAnsi="Arial" w:cs="Arial"/>
        </w:rPr>
      </w:pPr>
    </w:p>
    <w:p w14:paraId="03607D76" w14:textId="77777777" w:rsidR="00E303BE" w:rsidRPr="007E2FEE" w:rsidRDefault="00E303BE" w:rsidP="0025111C">
      <w:pPr>
        <w:pStyle w:val="EndnoteText"/>
        <w:ind w:hanging="720"/>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ADC0F" w14:textId="77777777" w:rsidR="001F65CF" w:rsidRDefault="001F6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08FB1" w14:textId="6BD062E5" w:rsidR="00E303BE" w:rsidRPr="00A54F1E" w:rsidRDefault="00E303BE" w:rsidP="00A54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DB588" w14:textId="77777777" w:rsidR="00E303BE" w:rsidRDefault="00E303BE">
    <w:pPr>
      <w:pStyle w:val="Footer"/>
      <w:rPr>
        <w:rFonts w:ascii="Arial" w:hAnsi="Arial" w:cs="Arial"/>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D876C" w14:textId="77777777" w:rsidR="00E303BE" w:rsidRPr="00C37E61" w:rsidRDefault="00E303BE" w:rsidP="00E30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D0484" w14:textId="77777777" w:rsidR="007A2EFC" w:rsidRDefault="007A2EFC" w:rsidP="0025111C">
      <w:r>
        <w:separator/>
      </w:r>
    </w:p>
  </w:footnote>
  <w:footnote w:type="continuationSeparator" w:id="0">
    <w:p w14:paraId="679FC155" w14:textId="77777777" w:rsidR="007A2EFC" w:rsidRDefault="007A2EFC" w:rsidP="00251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8D3C7" w14:textId="0A2577A1" w:rsidR="001F65CF" w:rsidRDefault="001F65CF">
    <w:pPr>
      <w:pStyle w:val="Header"/>
    </w:pPr>
    <w:r>
      <w:rPr>
        <w:noProof/>
      </w:rPr>
      <w:pict w14:anchorId="5FF30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5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DDC33" w14:textId="082FAF72" w:rsidR="001F65CF" w:rsidRDefault="001F65CF">
    <w:pPr>
      <w:pStyle w:val="Header"/>
    </w:pPr>
    <w:r>
      <w:rPr>
        <w:noProof/>
      </w:rPr>
      <w:pict w14:anchorId="487D4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5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7BB2" w14:textId="3494ED40" w:rsidR="00E303BE" w:rsidRPr="00296529" w:rsidRDefault="001F65CF" w:rsidP="00E303BE">
    <w:pPr>
      <w:ind w:left="2160"/>
      <w:jc w:val="center"/>
      <w:rPr>
        <w:rFonts w:ascii="Times New Roman" w:eastAsia="Calibri" w:hAnsi="Times New Roman"/>
        <w:i/>
        <w:sz w:val="18"/>
        <w:szCs w:val="22"/>
      </w:rPr>
    </w:pPr>
    <w:r>
      <w:rPr>
        <w:noProof/>
      </w:rPr>
      <w:pict w14:anchorId="53CE8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5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1404684" w14:textId="77777777" w:rsidR="00E303BE" w:rsidRPr="00296529" w:rsidRDefault="00E303BE" w:rsidP="00E303BE">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9DDEA2E" w14:textId="77777777" w:rsidR="00E303BE" w:rsidRPr="00296529" w:rsidRDefault="00E303BE" w:rsidP="00E303BE">
    <w:pPr>
      <w:jc w:val="center"/>
      <w:rPr>
        <w:rFonts w:ascii="Times New Roman" w:eastAsia="Calibri" w:hAnsi="Times New Roman"/>
        <w:i/>
        <w:sz w:val="18"/>
        <w:szCs w:val="22"/>
      </w:rPr>
    </w:pPr>
    <w:r>
      <w:rPr>
        <w:rFonts w:ascii="Times New Roman" w:eastAsia="Calibri" w:hAnsi="Times New Roman"/>
        <w:i/>
        <w:sz w:val="18"/>
        <w:szCs w:val="22"/>
      </w:rPr>
      <w:t>.</w:t>
    </w:r>
  </w:p>
  <w:p w14:paraId="116DB158" w14:textId="77777777" w:rsidR="00E303BE" w:rsidRPr="00296529" w:rsidRDefault="00E303BE" w:rsidP="00E303BE">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392D26" w14:textId="77777777" w:rsidR="00E303BE" w:rsidRDefault="00E303BE" w:rsidP="00E303BE">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85DCC8" w14:textId="77777777" w:rsidR="00E303BE" w:rsidRDefault="00E303BE" w:rsidP="00E303B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E738D32" w14:textId="77777777" w:rsidR="00E303BE" w:rsidRDefault="00E303B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9A1C2" w14:textId="723ADA82" w:rsidR="001F65CF" w:rsidRDefault="001F65CF">
    <w:pPr>
      <w:pStyle w:val="Header"/>
    </w:pPr>
    <w:r>
      <w:rPr>
        <w:noProof/>
      </w:rPr>
      <w:pict w14:anchorId="5819D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6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2237A" w14:textId="7F18355E" w:rsidR="001F65CF" w:rsidRDefault="001F65CF">
    <w:pPr>
      <w:pStyle w:val="Header"/>
    </w:pPr>
    <w:r>
      <w:rPr>
        <w:noProof/>
      </w:rPr>
      <w:pict w14:anchorId="7E1B7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6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2455" w14:textId="3BD5A19E" w:rsidR="001F65CF" w:rsidRDefault="001F65CF">
    <w:pPr>
      <w:pStyle w:val="Header"/>
    </w:pPr>
    <w:r>
      <w:rPr>
        <w:noProof/>
      </w:rPr>
      <w:pict w14:anchorId="5F117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5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880CDC"/>
    <w:multiLevelType w:val="hybridMultilevel"/>
    <w:tmpl w:val="2D64B9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B60FE"/>
    <w:multiLevelType w:val="hybridMultilevel"/>
    <w:tmpl w:val="9D38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7556251"/>
    <w:multiLevelType w:val="hybridMultilevel"/>
    <w:tmpl w:val="AE12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0"/>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20"/>
  </w:num>
  <w:num w:numId="32">
    <w:abstractNumId w:val="1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1C"/>
    <w:rsid w:val="000116DF"/>
    <w:rsid w:val="00024FC8"/>
    <w:rsid w:val="00076245"/>
    <w:rsid w:val="000822FA"/>
    <w:rsid w:val="00095A6B"/>
    <w:rsid w:val="000A732C"/>
    <w:rsid w:val="000C4CD6"/>
    <w:rsid w:val="000D24F0"/>
    <w:rsid w:val="000E2C95"/>
    <w:rsid w:val="000F2F9E"/>
    <w:rsid w:val="000F5D46"/>
    <w:rsid w:val="00113EA1"/>
    <w:rsid w:val="001277AB"/>
    <w:rsid w:val="00132935"/>
    <w:rsid w:val="00163568"/>
    <w:rsid w:val="00173258"/>
    <w:rsid w:val="00194C3A"/>
    <w:rsid w:val="001953DB"/>
    <w:rsid w:val="001A3BD0"/>
    <w:rsid w:val="001D18AA"/>
    <w:rsid w:val="001D29F4"/>
    <w:rsid w:val="001D3964"/>
    <w:rsid w:val="001F65CF"/>
    <w:rsid w:val="001F7B15"/>
    <w:rsid w:val="00227437"/>
    <w:rsid w:val="002411B2"/>
    <w:rsid w:val="0025111C"/>
    <w:rsid w:val="00251DE6"/>
    <w:rsid w:val="002560C3"/>
    <w:rsid w:val="00263C09"/>
    <w:rsid w:val="0029483A"/>
    <w:rsid w:val="002B0CC4"/>
    <w:rsid w:val="002B21D9"/>
    <w:rsid w:val="002C146B"/>
    <w:rsid w:val="002C7B0F"/>
    <w:rsid w:val="002E6EF2"/>
    <w:rsid w:val="0030588F"/>
    <w:rsid w:val="00322737"/>
    <w:rsid w:val="00332B22"/>
    <w:rsid w:val="00337288"/>
    <w:rsid w:val="00340B01"/>
    <w:rsid w:val="003560F0"/>
    <w:rsid w:val="00361C49"/>
    <w:rsid w:val="0036310C"/>
    <w:rsid w:val="0038450D"/>
    <w:rsid w:val="00392B04"/>
    <w:rsid w:val="00393021"/>
    <w:rsid w:val="003C1A1F"/>
    <w:rsid w:val="003C7EEA"/>
    <w:rsid w:val="003D1D32"/>
    <w:rsid w:val="00405CB6"/>
    <w:rsid w:val="00453B94"/>
    <w:rsid w:val="00465B44"/>
    <w:rsid w:val="004712C2"/>
    <w:rsid w:val="00472898"/>
    <w:rsid w:val="00477389"/>
    <w:rsid w:val="004877E1"/>
    <w:rsid w:val="004969E2"/>
    <w:rsid w:val="004A3811"/>
    <w:rsid w:val="004A6FAC"/>
    <w:rsid w:val="004B2FA5"/>
    <w:rsid w:val="004C366B"/>
    <w:rsid w:val="004D5F69"/>
    <w:rsid w:val="004E0FC4"/>
    <w:rsid w:val="004E5121"/>
    <w:rsid w:val="004F064A"/>
    <w:rsid w:val="004F1AC0"/>
    <w:rsid w:val="004F6106"/>
    <w:rsid w:val="00501245"/>
    <w:rsid w:val="00515DA9"/>
    <w:rsid w:val="00525A2A"/>
    <w:rsid w:val="00530E15"/>
    <w:rsid w:val="005346E7"/>
    <w:rsid w:val="0053559E"/>
    <w:rsid w:val="00547FCD"/>
    <w:rsid w:val="00550CF4"/>
    <w:rsid w:val="00567E07"/>
    <w:rsid w:val="005726BA"/>
    <w:rsid w:val="005730E8"/>
    <w:rsid w:val="005823D5"/>
    <w:rsid w:val="00583733"/>
    <w:rsid w:val="005A07D4"/>
    <w:rsid w:val="005B475D"/>
    <w:rsid w:val="005C291B"/>
    <w:rsid w:val="005C4E55"/>
    <w:rsid w:val="0061103F"/>
    <w:rsid w:val="00613098"/>
    <w:rsid w:val="00625CD2"/>
    <w:rsid w:val="00645069"/>
    <w:rsid w:val="006519F7"/>
    <w:rsid w:val="0065518E"/>
    <w:rsid w:val="0065616B"/>
    <w:rsid w:val="00671F24"/>
    <w:rsid w:val="00674CB1"/>
    <w:rsid w:val="006755B9"/>
    <w:rsid w:val="00677DD3"/>
    <w:rsid w:val="00684D20"/>
    <w:rsid w:val="006A0030"/>
    <w:rsid w:val="006A1037"/>
    <w:rsid w:val="006B54B2"/>
    <w:rsid w:val="006C7FCC"/>
    <w:rsid w:val="006E2970"/>
    <w:rsid w:val="006F76C3"/>
    <w:rsid w:val="00705BC8"/>
    <w:rsid w:val="00711CFA"/>
    <w:rsid w:val="00724F31"/>
    <w:rsid w:val="00730ED4"/>
    <w:rsid w:val="00743F68"/>
    <w:rsid w:val="007671B7"/>
    <w:rsid w:val="007873FF"/>
    <w:rsid w:val="007A2EFC"/>
    <w:rsid w:val="007A39A7"/>
    <w:rsid w:val="007B1C68"/>
    <w:rsid w:val="007B3E74"/>
    <w:rsid w:val="007C50F9"/>
    <w:rsid w:val="007C53BF"/>
    <w:rsid w:val="007D3372"/>
    <w:rsid w:val="007E056C"/>
    <w:rsid w:val="007E3B7B"/>
    <w:rsid w:val="007E6903"/>
    <w:rsid w:val="007F0133"/>
    <w:rsid w:val="007F35C8"/>
    <w:rsid w:val="007F3B7D"/>
    <w:rsid w:val="0080701A"/>
    <w:rsid w:val="008203AA"/>
    <w:rsid w:val="00831DF6"/>
    <w:rsid w:val="00850A85"/>
    <w:rsid w:val="008644B2"/>
    <w:rsid w:val="00865CE7"/>
    <w:rsid w:val="00890D20"/>
    <w:rsid w:val="008B6442"/>
    <w:rsid w:val="008E5E6B"/>
    <w:rsid w:val="009126B1"/>
    <w:rsid w:val="009305EE"/>
    <w:rsid w:val="009339E0"/>
    <w:rsid w:val="00975BBE"/>
    <w:rsid w:val="00981291"/>
    <w:rsid w:val="009A6A40"/>
    <w:rsid w:val="009D5F69"/>
    <w:rsid w:val="009E19E9"/>
    <w:rsid w:val="009E319C"/>
    <w:rsid w:val="00A43FBD"/>
    <w:rsid w:val="00A54F1E"/>
    <w:rsid w:val="00A64462"/>
    <w:rsid w:val="00A6745F"/>
    <w:rsid w:val="00A71328"/>
    <w:rsid w:val="00A7539B"/>
    <w:rsid w:val="00A76614"/>
    <w:rsid w:val="00A906F1"/>
    <w:rsid w:val="00AA013A"/>
    <w:rsid w:val="00AC04E0"/>
    <w:rsid w:val="00AF4E06"/>
    <w:rsid w:val="00B37CC2"/>
    <w:rsid w:val="00B40C8F"/>
    <w:rsid w:val="00B46185"/>
    <w:rsid w:val="00B50437"/>
    <w:rsid w:val="00B95722"/>
    <w:rsid w:val="00BA22EB"/>
    <w:rsid w:val="00BB3152"/>
    <w:rsid w:val="00BC33BA"/>
    <w:rsid w:val="00BD4F4F"/>
    <w:rsid w:val="00BD7763"/>
    <w:rsid w:val="00BE6FD7"/>
    <w:rsid w:val="00C23EB3"/>
    <w:rsid w:val="00C3086E"/>
    <w:rsid w:val="00C43714"/>
    <w:rsid w:val="00C44D41"/>
    <w:rsid w:val="00C51319"/>
    <w:rsid w:val="00C51D9E"/>
    <w:rsid w:val="00C70551"/>
    <w:rsid w:val="00C71134"/>
    <w:rsid w:val="00CA622F"/>
    <w:rsid w:val="00CA62F7"/>
    <w:rsid w:val="00CD4A79"/>
    <w:rsid w:val="00CE52D7"/>
    <w:rsid w:val="00D00F69"/>
    <w:rsid w:val="00D21E03"/>
    <w:rsid w:val="00D43E38"/>
    <w:rsid w:val="00D62049"/>
    <w:rsid w:val="00D64254"/>
    <w:rsid w:val="00D66268"/>
    <w:rsid w:val="00D823BC"/>
    <w:rsid w:val="00D86696"/>
    <w:rsid w:val="00D97490"/>
    <w:rsid w:val="00DB26BC"/>
    <w:rsid w:val="00DC2761"/>
    <w:rsid w:val="00DC73CE"/>
    <w:rsid w:val="00DF6D3C"/>
    <w:rsid w:val="00E01458"/>
    <w:rsid w:val="00E1565D"/>
    <w:rsid w:val="00E303BE"/>
    <w:rsid w:val="00E34244"/>
    <w:rsid w:val="00E44EBB"/>
    <w:rsid w:val="00E579F6"/>
    <w:rsid w:val="00E7612F"/>
    <w:rsid w:val="00E845C5"/>
    <w:rsid w:val="00E907E5"/>
    <w:rsid w:val="00EB039B"/>
    <w:rsid w:val="00EC341A"/>
    <w:rsid w:val="00ED0466"/>
    <w:rsid w:val="00EE618E"/>
    <w:rsid w:val="00F02AFA"/>
    <w:rsid w:val="00F0429F"/>
    <w:rsid w:val="00F04B56"/>
    <w:rsid w:val="00F129C8"/>
    <w:rsid w:val="00F40FD1"/>
    <w:rsid w:val="00F43CB4"/>
    <w:rsid w:val="00F6619E"/>
    <w:rsid w:val="00F8181A"/>
    <w:rsid w:val="00F87120"/>
    <w:rsid w:val="00FB71A3"/>
    <w:rsid w:val="00FC6AFE"/>
    <w:rsid w:val="00FE46C2"/>
    <w:rsid w:val="00FE46D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776E1C0"/>
  <w15:chartTrackingRefBased/>
  <w15:docId w15:val="{D933BFC4-4A89-564B-989E-04C8A55E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11C"/>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qFormat/>
    <w:rsid w:val="00251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11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1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1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1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1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1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1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1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11C"/>
    <w:rPr>
      <w:rFonts w:eastAsiaTheme="majorEastAsia" w:cstheme="majorBidi"/>
      <w:color w:val="272727" w:themeColor="text1" w:themeTint="D8"/>
    </w:rPr>
  </w:style>
  <w:style w:type="paragraph" w:styleId="Title">
    <w:name w:val="Title"/>
    <w:basedOn w:val="Normal"/>
    <w:next w:val="Normal"/>
    <w:link w:val="TitleChar"/>
    <w:qFormat/>
    <w:rsid w:val="002511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1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11C"/>
    <w:pPr>
      <w:spacing w:before="160"/>
      <w:jc w:val="center"/>
    </w:pPr>
    <w:rPr>
      <w:i/>
      <w:iCs/>
      <w:color w:val="404040" w:themeColor="text1" w:themeTint="BF"/>
    </w:rPr>
  </w:style>
  <w:style w:type="character" w:customStyle="1" w:styleId="QuoteChar">
    <w:name w:val="Quote Char"/>
    <w:basedOn w:val="DefaultParagraphFont"/>
    <w:link w:val="Quote"/>
    <w:uiPriority w:val="29"/>
    <w:rsid w:val="0025111C"/>
    <w:rPr>
      <w:i/>
      <w:iCs/>
      <w:color w:val="404040" w:themeColor="text1" w:themeTint="BF"/>
    </w:rPr>
  </w:style>
  <w:style w:type="paragraph" w:styleId="ListParagraph">
    <w:name w:val="List Paragraph"/>
    <w:basedOn w:val="Normal"/>
    <w:uiPriority w:val="34"/>
    <w:qFormat/>
    <w:rsid w:val="0025111C"/>
    <w:pPr>
      <w:ind w:left="720"/>
      <w:contextualSpacing/>
    </w:pPr>
  </w:style>
  <w:style w:type="character" w:styleId="IntenseEmphasis">
    <w:name w:val="Intense Emphasis"/>
    <w:basedOn w:val="DefaultParagraphFont"/>
    <w:uiPriority w:val="21"/>
    <w:qFormat/>
    <w:rsid w:val="0025111C"/>
    <w:rPr>
      <w:i/>
      <w:iCs/>
      <w:color w:val="0F4761" w:themeColor="accent1" w:themeShade="BF"/>
    </w:rPr>
  </w:style>
  <w:style w:type="paragraph" w:styleId="IntenseQuote">
    <w:name w:val="Intense Quote"/>
    <w:basedOn w:val="Normal"/>
    <w:next w:val="Normal"/>
    <w:link w:val="IntenseQuoteChar"/>
    <w:uiPriority w:val="30"/>
    <w:qFormat/>
    <w:rsid w:val="00251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11C"/>
    <w:rPr>
      <w:i/>
      <w:iCs/>
      <w:color w:val="0F4761" w:themeColor="accent1" w:themeShade="BF"/>
    </w:rPr>
  </w:style>
  <w:style w:type="character" w:styleId="IntenseReference">
    <w:name w:val="Intense Reference"/>
    <w:basedOn w:val="DefaultParagraphFont"/>
    <w:uiPriority w:val="32"/>
    <w:qFormat/>
    <w:rsid w:val="0025111C"/>
    <w:rPr>
      <w:b/>
      <w:bCs/>
      <w:smallCaps/>
      <w:color w:val="0F4761" w:themeColor="accent1" w:themeShade="BF"/>
      <w:spacing w:val="5"/>
    </w:rPr>
  </w:style>
  <w:style w:type="paragraph" w:customStyle="1" w:styleId="Author">
    <w:name w:val="Author"/>
    <w:basedOn w:val="Normal"/>
    <w:rsid w:val="0025111C"/>
    <w:pPr>
      <w:spacing w:line="280" w:lineRule="exact"/>
      <w:jc w:val="right"/>
    </w:pPr>
    <w:rPr>
      <w:b/>
      <w:sz w:val="24"/>
    </w:rPr>
  </w:style>
  <w:style w:type="paragraph" w:customStyle="1" w:styleId="Affiliation">
    <w:name w:val="Affiliation"/>
    <w:basedOn w:val="Normal"/>
    <w:rsid w:val="0025111C"/>
    <w:pPr>
      <w:spacing w:after="240" w:line="240" w:lineRule="exact"/>
      <w:jc w:val="right"/>
    </w:pPr>
  </w:style>
  <w:style w:type="paragraph" w:customStyle="1" w:styleId="Body">
    <w:name w:val="Body"/>
    <w:basedOn w:val="Normal"/>
    <w:rsid w:val="0025111C"/>
    <w:pPr>
      <w:spacing w:after="240"/>
      <w:jc w:val="both"/>
    </w:pPr>
  </w:style>
  <w:style w:type="paragraph" w:customStyle="1" w:styleId="AbstHead">
    <w:name w:val="Abst Head"/>
    <w:basedOn w:val="MainHead"/>
    <w:rsid w:val="0025111C"/>
    <w:rPr>
      <w:sz w:val="22"/>
    </w:rPr>
  </w:style>
  <w:style w:type="paragraph" w:customStyle="1" w:styleId="IntroHead">
    <w:name w:val="Intro Head"/>
    <w:basedOn w:val="MainHead"/>
    <w:rsid w:val="0025111C"/>
    <w:rPr>
      <w:sz w:val="22"/>
    </w:rPr>
  </w:style>
  <w:style w:type="paragraph" w:customStyle="1" w:styleId="PaperNumber">
    <w:name w:val="Paper Number"/>
    <w:basedOn w:val="Normal"/>
    <w:rsid w:val="0025111C"/>
    <w:pPr>
      <w:spacing w:after="280" w:line="280" w:lineRule="exact"/>
      <w:jc w:val="right"/>
    </w:pPr>
    <w:rPr>
      <w:b/>
      <w:sz w:val="28"/>
    </w:rPr>
  </w:style>
  <w:style w:type="paragraph" w:customStyle="1" w:styleId="ConcHead">
    <w:name w:val="Conc Head"/>
    <w:basedOn w:val="MainHead"/>
    <w:rsid w:val="0025111C"/>
    <w:rPr>
      <w:sz w:val="22"/>
    </w:rPr>
  </w:style>
  <w:style w:type="paragraph" w:customStyle="1" w:styleId="AcknHead">
    <w:name w:val="Ackn Head"/>
    <w:basedOn w:val="MainHead"/>
    <w:rsid w:val="0025111C"/>
    <w:rPr>
      <w:sz w:val="22"/>
    </w:rPr>
  </w:style>
  <w:style w:type="paragraph" w:customStyle="1" w:styleId="ReferHead">
    <w:name w:val="Refer Head"/>
    <w:basedOn w:val="MainHead"/>
    <w:rsid w:val="0025111C"/>
    <w:rPr>
      <w:sz w:val="22"/>
    </w:rPr>
  </w:style>
  <w:style w:type="paragraph" w:customStyle="1" w:styleId="AddSrcHead">
    <w:name w:val="AddSrc Head"/>
    <w:basedOn w:val="MainHead"/>
    <w:rsid w:val="0025111C"/>
    <w:rPr>
      <w:sz w:val="22"/>
    </w:rPr>
  </w:style>
  <w:style w:type="paragraph" w:customStyle="1" w:styleId="DefAcrHead">
    <w:name w:val="DefAcrHead"/>
    <w:basedOn w:val="MainHead"/>
    <w:rsid w:val="0025111C"/>
    <w:rPr>
      <w:sz w:val="22"/>
    </w:rPr>
  </w:style>
  <w:style w:type="paragraph" w:customStyle="1" w:styleId="Copyright">
    <w:name w:val="Copyright"/>
    <w:basedOn w:val="Normal"/>
    <w:rsid w:val="0025111C"/>
    <w:pPr>
      <w:spacing w:after="960" w:line="200" w:lineRule="exact"/>
    </w:pPr>
    <w:rPr>
      <w:sz w:val="16"/>
    </w:rPr>
  </w:style>
  <w:style w:type="paragraph" w:customStyle="1" w:styleId="Reference">
    <w:name w:val="Reference"/>
    <w:basedOn w:val="Body"/>
    <w:rsid w:val="0025111C"/>
    <w:pPr>
      <w:numPr>
        <w:numId w:val="23"/>
      </w:numPr>
      <w:spacing w:after="0" w:line="240" w:lineRule="exact"/>
    </w:pPr>
  </w:style>
  <w:style w:type="paragraph" w:customStyle="1" w:styleId="Head1">
    <w:name w:val="Head1"/>
    <w:basedOn w:val="MainHead"/>
    <w:rsid w:val="0025111C"/>
    <w:rPr>
      <w:sz w:val="22"/>
    </w:rPr>
  </w:style>
  <w:style w:type="paragraph" w:customStyle="1" w:styleId="ContactHead">
    <w:name w:val="Contact Head"/>
    <w:basedOn w:val="MainHead"/>
    <w:rsid w:val="0025111C"/>
    <w:rPr>
      <w:sz w:val="22"/>
    </w:rPr>
  </w:style>
  <w:style w:type="paragraph" w:customStyle="1" w:styleId="Head3">
    <w:name w:val="Head3"/>
    <w:basedOn w:val="Head2"/>
    <w:rsid w:val="0025111C"/>
    <w:rPr>
      <w:caps w:val="0"/>
      <w:u w:val="single"/>
    </w:rPr>
  </w:style>
  <w:style w:type="paragraph" w:customStyle="1" w:styleId="Head4">
    <w:name w:val="Head4"/>
    <w:basedOn w:val="Head3"/>
    <w:rsid w:val="0025111C"/>
    <w:rPr>
      <w:u w:val="none"/>
    </w:rPr>
  </w:style>
  <w:style w:type="paragraph" w:customStyle="1" w:styleId="UnordList">
    <w:name w:val="Unord List"/>
    <w:basedOn w:val="Body"/>
    <w:rsid w:val="0025111C"/>
    <w:pPr>
      <w:spacing w:after="0"/>
      <w:ind w:left="360" w:hanging="360"/>
    </w:pPr>
  </w:style>
  <w:style w:type="paragraph" w:customStyle="1" w:styleId="OrdList">
    <w:name w:val="Ord List"/>
    <w:basedOn w:val="UnordList"/>
    <w:rsid w:val="0025111C"/>
    <w:pPr>
      <w:jc w:val="left"/>
    </w:pPr>
  </w:style>
  <w:style w:type="paragraph" w:customStyle="1" w:styleId="Appendix">
    <w:name w:val="Appendix"/>
    <w:basedOn w:val="MainHead"/>
    <w:rsid w:val="0025111C"/>
    <w:rPr>
      <w:sz w:val="22"/>
    </w:rPr>
  </w:style>
  <w:style w:type="paragraph" w:customStyle="1" w:styleId="Term">
    <w:name w:val="Term"/>
    <w:basedOn w:val="Body"/>
    <w:rsid w:val="0025111C"/>
    <w:pPr>
      <w:spacing w:after="0"/>
    </w:pPr>
    <w:rPr>
      <w:b/>
    </w:rPr>
  </w:style>
  <w:style w:type="paragraph" w:customStyle="1" w:styleId="Definition">
    <w:name w:val="Definition"/>
    <w:basedOn w:val="Body"/>
    <w:rsid w:val="0025111C"/>
  </w:style>
  <w:style w:type="paragraph" w:customStyle="1" w:styleId="Head2">
    <w:name w:val="Head2"/>
    <w:basedOn w:val="Normal"/>
    <w:next w:val="Body"/>
    <w:rsid w:val="0025111C"/>
    <w:pPr>
      <w:keepNext/>
      <w:spacing w:after="240"/>
    </w:pPr>
    <w:rPr>
      <w:caps/>
    </w:rPr>
  </w:style>
  <w:style w:type="character" w:customStyle="1" w:styleId="Bold">
    <w:name w:val="Bold"/>
    <w:rsid w:val="0025111C"/>
    <w:rPr>
      <w:b/>
    </w:rPr>
  </w:style>
  <w:style w:type="character" w:customStyle="1" w:styleId="Italic">
    <w:name w:val="Italic"/>
    <w:rsid w:val="0025111C"/>
    <w:rPr>
      <w:i/>
    </w:rPr>
  </w:style>
  <w:style w:type="character" w:customStyle="1" w:styleId="Underline">
    <w:name w:val="Underline"/>
    <w:rsid w:val="0025111C"/>
    <w:rPr>
      <w:u w:val="single"/>
    </w:rPr>
  </w:style>
  <w:style w:type="paragraph" w:customStyle="1" w:styleId="MainHead">
    <w:name w:val="Main Head"/>
    <w:basedOn w:val="Normal"/>
    <w:rsid w:val="0025111C"/>
    <w:pPr>
      <w:keepNext/>
      <w:spacing w:after="240"/>
    </w:pPr>
    <w:rPr>
      <w:b/>
      <w:caps/>
    </w:rPr>
  </w:style>
  <w:style w:type="paragraph" w:customStyle="1" w:styleId="Equation">
    <w:name w:val="Equation"/>
    <w:basedOn w:val="Body"/>
    <w:rsid w:val="0025111C"/>
  </w:style>
  <w:style w:type="paragraph" w:customStyle="1" w:styleId="Figure">
    <w:name w:val="Figure"/>
    <w:basedOn w:val="Copyright"/>
    <w:rsid w:val="0025111C"/>
    <w:pPr>
      <w:spacing w:after="240"/>
    </w:pPr>
    <w:rPr>
      <w:sz w:val="20"/>
    </w:rPr>
  </w:style>
  <w:style w:type="paragraph" w:styleId="Footer">
    <w:name w:val="footer"/>
    <w:basedOn w:val="Normal"/>
    <w:link w:val="FooterChar"/>
    <w:rsid w:val="0025111C"/>
    <w:pPr>
      <w:tabs>
        <w:tab w:val="center" w:pos="4320"/>
        <w:tab w:val="right" w:pos="8640"/>
      </w:tabs>
    </w:pPr>
  </w:style>
  <w:style w:type="character" w:customStyle="1" w:styleId="FooterChar">
    <w:name w:val="Footer Char"/>
    <w:basedOn w:val="DefaultParagraphFont"/>
    <w:link w:val="Footer"/>
    <w:rsid w:val="0025111C"/>
    <w:rPr>
      <w:rFonts w:ascii="Helvetica" w:eastAsia="Times New Roman" w:hAnsi="Helvetica" w:cs="Times New Roman"/>
      <w:kern w:val="0"/>
      <w:sz w:val="20"/>
      <w:szCs w:val="20"/>
      <w14:ligatures w14:val="none"/>
    </w:rPr>
  </w:style>
  <w:style w:type="paragraph" w:customStyle="1" w:styleId="Head40">
    <w:name w:val="Head 4"/>
    <w:basedOn w:val="Head3"/>
    <w:rsid w:val="0025111C"/>
    <w:rPr>
      <w:u w:val="none"/>
    </w:rPr>
  </w:style>
  <w:style w:type="paragraph" w:styleId="Header">
    <w:name w:val="header"/>
    <w:basedOn w:val="Normal"/>
    <w:link w:val="HeaderChar"/>
    <w:rsid w:val="0025111C"/>
    <w:pPr>
      <w:tabs>
        <w:tab w:val="center" w:pos="4320"/>
        <w:tab w:val="right" w:pos="8640"/>
      </w:tabs>
    </w:pPr>
  </w:style>
  <w:style w:type="character" w:customStyle="1" w:styleId="HeaderChar">
    <w:name w:val="Header Char"/>
    <w:basedOn w:val="DefaultParagraphFont"/>
    <w:link w:val="Header"/>
    <w:rsid w:val="0025111C"/>
    <w:rPr>
      <w:rFonts w:ascii="Helvetica" w:eastAsia="Times New Roman" w:hAnsi="Helvetica" w:cs="Times New Roman"/>
      <w:kern w:val="0"/>
      <w:sz w:val="20"/>
      <w:szCs w:val="20"/>
      <w14:ligatures w14:val="none"/>
    </w:rPr>
  </w:style>
  <w:style w:type="paragraph" w:customStyle="1" w:styleId="Paper">
    <w:name w:val="Paper"/>
    <w:basedOn w:val="Normal"/>
    <w:rsid w:val="0025111C"/>
    <w:pPr>
      <w:spacing w:after="360" w:line="440" w:lineRule="exact"/>
      <w:jc w:val="right"/>
    </w:pPr>
    <w:rPr>
      <w:b/>
      <w:sz w:val="36"/>
    </w:rPr>
  </w:style>
  <w:style w:type="paragraph" w:styleId="Signature">
    <w:name w:val="Signature"/>
    <w:basedOn w:val="Normal"/>
    <w:link w:val="SignatureChar"/>
    <w:rsid w:val="0025111C"/>
    <w:pPr>
      <w:ind w:left="4320"/>
    </w:pPr>
  </w:style>
  <w:style w:type="character" w:customStyle="1" w:styleId="SignatureChar">
    <w:name w:val="Signature Char"/>
    <w:basedOn w:val="DefaultParagraphFont"/>
    <w:link w:val="Signature"/>
    <w:rsid w:val="0025111C"/>
    <w:rPr>
      <w:rFonts w:ascii="Helvetica" w:eastAsia="Times New Roman" w:hAnsi="Helvetica" w:cs="Times New Roman"/>
      <w:kern w:val="0"/>
      <w:sz w:val="20"/>
      <w:szCs w:val="20"/>
      <w14:ligatures w14:val="none"/>
    </w:rPr>
  </w:style>
  <w:style w:type="character" w:customStyle="1" w:styleId="Subscript">
    <w:name w:val="Subscript"/>
    <w:rsid w:val="0025111C"/>
    <w:rPr>
      <w:vertAlign w:val="subscript"/>
    </w:rPr>
  </w:style>
  <w:style w:type="character" w:customStyle="1" w:styleId="Superscript">
    <w:name w:val="Superscript"/>
    <w:rsid w:val="0025111C"/>
    <w:rPr>
      <w:vertAlign w:val="superscript"/>
    </w:rPr>
  </w:style>
  <w:style w:type="character" w:customStyle="1" w:styleId="Symbol">
    <w:name w:val="Symbol"/>
    <w:rsid w:val="0025111C"/>
    <w:rPr>
      <w:rFonts w:ascii="Symbol" w:hAnsi="Symbol"/>
    </w:rPr>
  </w:style>
  <w:style w:type="paragraph" w:customStyle="1" w:styleId="SymbolP">
    <w:name w:val="Symbol P"/>
    <w:basedOn w:val="Body"/>
    <w:rsid w:val="0025111C"/>
    <w:pPr>
      <w:tabs>
        <w:tab w:val="left" w:pos="720"/>
        <w:tab w:val="left" w:pos="3780"/>
      </w:tabs>
      <w:spacing w:after="0"/>
    </w:pPr>
    <w:rPr>
      <w:sz w:val="24"/>
    </w:rPr>
  </w:style>
  <w:style w:type="character" w:customStyle="1" w:styleId="BoldItal">
    <w:name w:val="BoldItal"/>
    <w:basedOn w:val="DefaultParagraphFont"/>
    <w:rsid w:val="0025111C"/>
    <w:rPr>
      <w:b/>
      <w:i/>
    </w:rPr>
  </w:style>
  <w:style w:type="character" w:customStyle="1" w:styleId="SubItal">
    <w:name w:val="SubItal"/>
    <w:rsid w:val="0025111C"/>
    <w:rPr>
      <w:i/>
      <w:vertAlign w:val="subscript"/>
    </w:rPr>
  </w:style>
  <w:style w:type="character" w:customStyle="1" w:styleId="SuperItal">
    <w:name w:val="SuperItal"/>
    <w:rsid w:val="0025111C"/>
    <w:rPr>
      <w:i/>
      <w:vertAlign w:val="superscript"/>
    </w:rPr>
  </w:style>
  <w:style w:type="character" w:customStyle="1" w:styleId="SymItal">
    <w:name w:val="SymItal"/>
    <w:rsid w:val="0025111C"/>
    <w:rPr>
      <w:rFonts w:ascii="Symbol" w:hAnsi="Symbol"/>
      <w:i/>
    </w:rPr>
  </w:style>
  <w:style w:type="character" w:styleId="Hyperlink">
    <w:name w:val="Hyperlink"/>
    <w:basedOn w:val="DefaultParagraphFont"/>
    <w:rsid w:val="0025111C"/>
    <w:rPr>
      <w:color w:val="FF0080"/>
      <w:u w:val="single"/>
    </w:rPr>
  </w:style>
  <w:style w:type="character" w:styleId="FollowedHyperlink">
    <w:name w:val="FollowedHyperlink"/>
    <w:basedOn w:val="DefaultParagraphFont"/>
    <w:rsid w:val="0025111C"/>
    <w:rPr>
      <w:color w:val="800080"/>
      <w:u w:val="single"/>
    </w:rPr>
  </w:style>
  <w:style w:type="table" w:styleId="TableGrid">
    <w:name w:val="Table Grid"/>
    <w:basedOn w:val="TableNormal"/>
    <w:uiPriority w:val="59"/>
    <w:rsid w:val="0025111C"/>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25111C"/>
    <w:pPr>
      <w:spacing w:after="120" w:line="480" w:lineRule="auto"/>
    </w:pPr>
  </w:style>
  <w:style w:type="character" w:customStyle="1" w:styleId="BodyText2Char">
    <w:name w:val="Body Text 2 Char"/>
    <w:basedOn w:val="DefaultParagraphFont"/>
    <w:link w:val="BodyText2"/>
    <w:rsid w:val="0025111C"/>
    <w:rPr>
      <w:rFonts w:ascii="Helvetica" w:eastAsia="Times New Roman" w:hAnsi="Helvetica" w:cs="Times New Roman"/>
      <w:kern w:val="0"/>
      <w:sz w:val="20"/>
      <w:szCs w:val="20"/>
      <w14:ligatures w14:val="none"/>
    </w:rPr>
  </w:style>
  <w:style w:type="character" w:styleId="CommentReference">
    <w:name w:val="annotation reference"/>
    <w:basedOn w:val="DefaultParagraphFont"/>
    <w:uiPriority w:val="99"/>
    <w:unhideWhenUsed/>
    <w:rsid w:val="0025111C"/>
    <w:rPr>
      <w:sz w:val="16"/>
      <w:szCs w:val="16"/>
    </w:rPr>
  </w:style>
  <w:style w:type="paragraph" w:styleId="CommentText">
    <w:name w:val="annotation text"/>
    <w:basedOn w:val="Normal"/>
    <w:link w:val="CommentTextChar"/>
    <w:uiPriority w:val="99"/>
    <w:unhideWhenUsed/>
    <w:rsid w:val="0025111C"/>
    <w:rPr>
      <w:rFonts w:ascii="Times New Roman" w:hAnsi="Times New Roman"/>
      <w:lang w:val="nb-NO" w:eastAsia="nb-NO"/>
    </w:rPr>
  </w:style>
  <w:style w:type="character" w:customStyle="1" w:styleId="CommentTextChar">
    <w:name w:val="Comment Text Char"/>
    <w:basedOn w:val="DefaultParagraphFont"/>
    <w:link w:val="CommentText"/>
    <w:uiPriority w:val="99"/>
    <w:rsid w:val="0025111C"/>
    <w:rPr>
      <w:rFonts w:ascii="Times New Roman" w:eastAsia="Times New Roman" w:hAnsi="Times New Roman" w:cs="Times New Roman"/>
      <w:kern w:val="0"/>
      <w:sz w:val="20"/>
      <w:szCs w:val="20"/>
      <w:lang w:val="nb-NO" w:eastAsia="nb-NO"/>
      <w14:ligatures w14:val="none"/>
    </w:rPr>
  </w:style>
  <w:style w:type="paragraph" w:styleId="BalloonText">
    <w:name w:val="Balloon Text"/>
    <w:basedOn w:val="Normal"/>
    <w:link w:val="BalloonTextChar"/>
    <w:rsid w:val="0025111C"/>
    <w:rPr>
      <w:rFonts w:ascii="Tahoma" w:hAnsi="Tahoma" w:cs="Tahoma"/>
      <w:sz w:val="16"/>
      <w:szCs w:val="16"/>
    </w:rPr>
  </w:style>
  <w:style w:type="character" w:customStyle="1" w:styleId="BalloonTextChar">
    <w:name w:val="Balloon Text Char"/>
    <w:basedOn w:val="DefaultParagraphFont"/>
    <w:link w:val="BalloonText"/>
    <w:rsid w:val="0025111C"/>
    <w:rPr>
      <w:rFonts w:ascii="Tahoma" w:eastAsia="Times New Roman" w:hAnsi="Tahoma" w:cs="Tahoma"/>
      <w:kern w:val="0"/>
      <w:sz w:val="16"/>
      <w:szCs w:val="16"/>
      <w14:ligatures w14:val="none"/>
    </w:rPr>
  </w:style>
  <w:style w:type="paragraph" w:styleId="BodyText3">
    <w:name w:val="Body Text 3"/>
    <w:basedOn w:val="Normal"/>
    <w:link w:val="BodyText3Char"/>
    <w:rsid w:val="0025111C"/>
    <w:pPr>
      <w:spacing w:after="120"/>
    </w:pPr>
    <w:rPr>
      <w:sz w:val="16"/>
      <w:szCs w:val="16"/>
    </w:rPr>
  </w:style>
  <w:style w:type="character" w:customStyle="1" w:styleId="BodyText3Char">
    <w:name w:val="Body Text 3 Char"/>
    <w:basedOn w:val="DefaultParagraphFont"/>
    <w:link w:val="BodyText3"/>
    <w:rsid w:val="0025111C"/>
    <w:rPr>
      <w:rFonts w:ascii="Helvetica" w:eastAsia="Times New Roman" w:hAnsi="Helvetica" w:cs="Times New Roman"/>
      <w:kern w:val="0"/>
      <w:sz w:val="16"/>
      <w:szCs w:val="16"/>
      <w14:ligatures w14:val="none"/>
    </w:rPr>
  </w:style>
  <w:style w:type="character" w:styleId="LineNumber">
    <w:name w:val="line number"/>
    <w:basedOn w:val="DefaultParagraphFont"/>
    <w:rsid w:val="0025111C"/>
  </w:style>
  <w:style w:type="character" w:styleId="Emphasis">
    <w:name w:val="Emphasis"/>
    <w:basedOn w:val="DefaultParagraphFont"/>
    <w:uiPriority w:val="20"/>
    <w:qFormat/>
    <w:rsid w:val="0025111C"/>
    <w:rPr>
      <w:i/>
      <w:iCs/>
    </w:rPr>
  </w:style>
  <w:style w:type="character" w:styleId="UnresolvedMention">
    <w:name w:val="Unresolved Mention"/>
    <w:basedOn w:val="DefaultParagraphFont"/>
    <w:uiPriority w:val="99"/>
    <w:semiHidden/>
    <w:unhideWhenUsed/>
    <w:rsid w:val="0025111C"/>
    <w:rPr>
      <w:color w:val="605E5C"/>
      <w:shd w:val="clear" w:color="auto" w:fill="E1DFDD"/>
    </w:rPr>
  </w:style>
  <w:style w:type="paragraph" w:styleId="EndnoteText">
    <w:name w:val="endnote text"/>
    <w:basedOn w:val="Normal"/>
    <w:link w:val="EndnoteTextChar"/>
    <w:uiPriority w:val="99"/>
    <w:semiHidden/>
    <w:unhideWhenUsed/>
    <w:rsid w:val="0025111C"/>
    <w:rPr>
      <w:rFonts w:ascii="Times New Roman" w:hAnsi="Times New Roman"/>
    </w:rPr>
  </w:style>
  <w:style w:type="character" w:customStyle="1" w:styleId="EndnoteTextChar">
    <w:name w:val="Endnote Text Char"/>
    <w:basedOn w:val="DefaultParagraphFont"/>
    <w:link w:val="EndnoteText"/>
    <w:uiPriority w:val="99"/>
    <w:semiHidden/>
    <w:rsid w:val="0025111C"/>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unhideWhenUsed/>
    <w:rsid w:val="0025111C"/>
    <w:rPr>
      <w:vertAlign w:val="superscript"/>
    </w:rPr>
  </w:style>
  <w:style w:type="paragraph" w:styleId="NoSpacing">
    <w:name w:val="No Spacing"/>
    <w:uiPriority w:val="1"/>
    <w:qFormat/>
    <w:rsid w:val="0025111C"/>
    <w:pPr>
      <w:spacing w:after="0" w:line="240" w:lineRule="auto"/>
    </w:pPr>
    <w:rPr>
      <w:kern w:val="0"/>
      <w:sz w:val="22"/>
      <w:szCs w:val="22"/>
      <w14:ligatures w14:val="none"/>
    </w:rPr>
  </w:style>
  <w:style w:type="character" w:styleId="Strong">
    <w:name w:val="Strong"/>
    <w:basedOn w:val="DefaultParagraphFont"/>
    <w:uiPriority w:val="22"/>
    <w:qFormat/>
    <w:rsid w:val="0025111C"/>
    <w:rPr>
      <w:b/>
      <w:bCs/>
    </w:rPr>
  </w:style>
  <w:style w:type="paragraph" w:styleId="NormalWeb">
    <w:name w:val="Normal (Web)"/>
    <w:basedOn w:val="Normal"/>
    <w:uiPriority w:val="99"/>
    <w:unhideWhenUsed/>
    <w:rsid w:val="0025111C"/>
    <w:pPr>
      <w:spacing w:before="100" w:beforeAutospacing="1" w:after="100" w:afterAutospacing="1"/>
    </w:pPr>
    <w:rPr>
      <w:rFonts w:ascii="Times New Roman" w:hAnsi="Times New Roman"/>
      <w:sz w:val="24"/>
      <w:szCs w:val="24"/>
    </w:rPr>
  </w:style>
  <w:style w:type="table" w:customStyle="1" w:styleId="NormalGrid">
    <w:name w:val="Normal Grid"/>
    <w:basedOn w:val="TableNormal"/>
    <w:uiPriority w:val="39"/>
    <w:rsid w:val="0025111C"/>
    <w:pPr>
      <w:spacing w:after="0" w:line="240" w:lineRule="auto"/>
    </w:pPr>
    <w:rPr>
      <w:rFonts w:ascii="Georgia"/>
      <w:kern w:val="0"/>
      <w:sz w:val="21"/>
      <w:szCs w:val="22"/>
      <w14:ligatures w14:val="none"/>
    </w:rPr>
    <w:tblPr>
      <w:tblCellMar>
        <w:top w:w="80" w:type="dxa"/>
        <w:left w:w="160" w:type="dxa"/>
        <w:bottom w:w="80" w:type="dxa"/>
        <w:right w:w="160" w:type="dxa"/>
      </w:tblCellMar>
    </w:tblPr>
  </w:style>
  <w:style w:type="table" w:styleId="PlainTable5">
    <w:name w:val="Plain Table 5"/>
    <w:basedOn w:val="TableNormal"/>
    <w:uiPriority w:val="45"/>
    <w:rsid w:val="0025111C"/>
    <w:pPr>
      <w:spacing w:after="0" w:line="240" w:lineRule="auto"/>
    </w:pPr>
    <w:rPr>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25111C"/>
    <w:pPr>
      <w:spacing w:after="0" w:line="240" w:lineRule="auto"/>
    </w:pPr>
    <w:rPr>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semiHidden/>
    <w:unhideWhenUsed/>
    <w:rsid w:val="0025111C"/>
    <w:rPr>
      <w:rFonts w:ascii="Helvetica" w:hAnsi="Helvetica"/>
      <w:b/>
      <w:bCs/>
      <w:lang w:val="en-US" w:eastAsia="en-US"/>
    </w:rPr>
  </w:style>
  <w:style w:type="character" w:customStyle="1" w:styleId="CommentSubjectChar">
    <w:name w:val="Comment Subject Char"/>
    <w:basedOn w:val="CommentTextChar"/>
    <w:link w:val="CommentSubject"/>
    <w:semiHidden/>
    <w:rsid w:val="0025111C"/>
    <w:rPr>
      <w:rFonts w:ascii="Helvetica" w:eastAsia="Times New Roman" w:hAnsi="Helvetica" w:cs="Times New Roman"/>
      <w:b/>
      <w:bCs/>
      <w:kern w:val="0"/>
      <w:sz w:val="20"/>
      <w:szCs w:val="20"/>
      <w:lang w:val="nb-NO" w:eastAsia="nb-NO"/>
      <w14:ligatures w14:val="none"/>
    </w:rPr>
  </w:style>
  <w:style w:type="paragraph" w:styleId="FootnoteText">
    <w:name w:val="footnote text"/>
    <w:basedOn w:val="Normal"/>
    <w:link w:val="FootnoteTextChar"/>
    <w:semiHidden/>
    <w:unhideWhenUsed/>
    <w:rsid w:val="0025111C"/>
  </w:style>
  <w:style w:type="character" w:customStyle="1" w:styleId="FootnoteTextChar">
    <w:name w:val="Footnote Text Char"/>
    <w:basedOn w:val="DefaultParagraphFont"/>
    <w:link w:val="FootnoteText"/>
    <w:semiHidden/>
    <w:rsid w:val="0025111C"/>
    <w:rPr>
      <w:rFonts w:ascii="Helvetica" w:eastAsia="Times New Roman" w:hAnsi="Helvetica" w:cs="Times New Roman"/>
      <w:kern w:val="0"/>
      <w:sz w:val="20"/>
      <w:szCs w:val="20"/>
      <w14:ligatures w14:val="none"/>
    </w:rPr>
  </w:style>
  <w:style w:type="character" w:styleId="FootnoteReference">
    <w:name w:val="footnote reference"/>
    <w:basedOn w:val="DefaultParagraphFont"/>
    <w:unhideWhenUsed/>
    <w:rsid w:val="002511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endnotes.xml.rels><?xml version="1.0" encoding="UTF-8" standalone="yes"?>
<Relationships xmlns="http://schemas.openxmlformats.org/package/2006/relationships"><Relationship Id="rId117" Type="http://schemas.openxmlformats.org/officeDocument/2006/relationships/hyperlink" Target="https://doi.org/10.1176/appi.ajp.2019.19010035" TargetMode="External"/><Relationship Id="rId21" Type="http://schemas.openxmlformats.org/officeDocument/2006/relationships/hyperlink" Target="https://doi.org/10.1177/02698811211008554" TargetMode="External"/><Relationship Id="rId42" Type="http://schemas.openxmlformats.org/officeDocument/2006/relationships/hyperlink" Target="https://doi.org/10.1124/pr.115.011478" TargetMode="External"/><Relationship Id="rId63" Type="http://schemas.openxmlformats.org/officeDocument/2006/relationships/hyperlink" Target="https://cancercontrol.cancer.gov/brp/research/constructs/perceived-benefits" TargetMode="External"/><Relationship Id="rId84" Type="http://schemas.openxmlformats.org/officeDocument/2006/relationships/hyperlink" Target="https://doi.org/10.1007/s11845-021-02668-2" TargetMode="External"/><Relationship Id="rId16" Type="http://schemas.openxmlformats.org/officeDocument/2006/relationships/hyperlink" Target="https://doi.org/10.1192/bjp.2024.275" TargetMode="External"/><Relationship Id="rId107" Type="http://schemas.openxmlformats.org/officeDocument/2006/relationships/hyperlink" Target="https://doi.org/10.1186/s40359-025-01946-8" TargetMode="External"/><Relationship Id="rId11" Type="http://schemas.openxmlformats.org/officeDocument/2006/relationships/hyperlink" Target="https://www.psychiatry.org/psychiatrists/practice/dsm/dsm-5-tr" TargetMode="External"/><Relationship Id="rId32" Type="http://schemas.openxmlformats.org/officeDocument/2006/relationships/hyperlink" Target="https://doi.org/10.1034/j.1600-0447.2000.90061.x" TargetMode="External"/><Relationship Id="rId37" Type="http://schemas.openxmlformats.org/officeDocument/2006/relationships/hyperlink" Target="https://doi.org/10.4088/JCP.08m04872gre" TargetMode="External"/><Relationship Id="rId53" Type="http://schemas.openxmlformats.org/officeDocument/2006/relationships/hyperlink" Target="https://doi.org/10.1176/appi.ajp.2019.19010035" TargetMode="External"/><Relationship Id="rId58" Type="http://schemas.openxmlformats.org/officeDocument/2006/relationships/hyperlink" Target="https://doi.org/10.1007/s11845-021-02668-2" TargetMode="External"/><Relationship Id="rId74" Type="http://schemas.openxmlformats.org/officeDocument/2006/relationships/hyperlink" Target="https://doi.org/10.1111/hex.12286" TargetMode="External"/><Relationship Id="rId79" Type="http://schemas.openxmlformats.org/officeDocument/2006/relationships/hyperlink" Target="https://doi.org/10.1056/NEJMoa2032994" TargetMode="External"/><Relationship Id="rId102" Type="http://schemas.openxmlformats.org/officeDocument/2006/relationships/hyperlink" Target="https://doi.org/10.1111/inm.70010" TargetMode="External"/><Relationship Id="rId123" Type="http://schemas.openxmlformats.org/officeDocument/2006/relationships/hyperlink" Target="https://doi.org/10.1016/S2215-0366(17)30272-9" TargetMode="External"/><Relationship Id="rId128" Type="http://schemas.openxmlformats.org/officeDocument/2006/relationships/hyperlink" Target="https://doi.org/10.2196/4968" TargetMode="External"/><Relationship Id="rId5" Type="http://schemas.openxmlformats.org/officeDocument/2006/relationships/hyperlink" Target="https://doi.org/10.4088/jcp.14m09298" TargetMode="External"/><Relationship Id="rId90" Type="http://schemas.openxmlformats.org/officeDocument/2006/relationships/hyperlink" Target="https://www.aafp.org/pubs/afp/issues/2024/0500/treatment-resistant-depression.html" TargetMode="External"/><Relationship Id="rId95" Type="http://schemas.openxmlformats.org/officeDocument/2006/relationships/hyperlink" Target="https://doi.org/10.1001/jamanetworkopen.2025.32650" TargetMode="External"/><Relationship Id="rId22" Type="http://schemas.openxmlformats.org/officeDocument/2006/relationships/hyperlink" Target="https://doi.org/10.3389/fpsyt.2020.00005" TargetMode="External"/><Relationship Id="rId27" Type="http://schemas.openxmlformats.org/officeDocument/2006/relationships/hyperlink" Target="https://doi.org/10.1177/1178221820940682" TargetMode="External"/><Relationship Id="rId43" Type="http://schemas.openxmlformats.org/officeDocument/2006/relationships/hyperlink" Target="https://doi.org/10.1016/S2215-0366(16)30065-7" TargetMode="External"/><Relationship Id="rId48" Type="http://schemas.openxmlformats.org/officeDocument/2006/relationships/hyperlink" Target="https://doi.org/10.1177/0269881108093587" TargetMode="External"/><Relationship Id="rId64" Type="http://schemas.openxmlformats.org/officeDocument/2006/relationships/hyperlink" Target="https://doi.org/10.3389/fpubh.2024.1395941" TargetMode="External"/><Relationship Id="rId69" Type="http://schemas.openxmlformats.org/officeDocument/2006/relationships/hyperlink" Target="https://doi.org/10.1111/jep.13581" TargetMode="External"/><Relationship Id="rId113" Type="http://schemas.openxmlformats.org/officeDocument/2006/relationships/hyperlink" Target="https://doi.org/10.5210/ojphi.v4i3.4321" TargetMode="External"/><Relationship Id="rId118" Type="http://schemas.openxmlformats.org/officeDocument/2006/relationships/hyperlink" Target="https://www.fda.gov/regulatory-information/search-fda-guidance-documents/psychedelic-drugs-considerations-clinical-investigations" TargetMode="External"/><Relationship Id="rId134" Type="http://schemas.openxmlformats.org/officeDocument/2006/relationships/hyperlink" Target="https://doi.org/10.3389/fpsyt.2020.00005" TargetMode="External"/><Relationship Id="rId80" Type="http://schemas.openxmlformats.org/officeDocument/2006/relationships/hyperlink" Target="https://doi.org/10.3389/fpubh.2024.1395941" TargetMode="External"/><Relationship Id="rId85" Type="http://schemas.openxmlformats.org/officeDocument/2006/relationships/hyperlink" Target="https://doi.org/10.1001/jamapsychiatry.2020.3285" TargetMode="External"/><Relationship Id="rId12" Type="http://schemas.openxmlformats.org/officeDocument/2006/relationships/hyperlink" Target="https://doi.org/10.1016/j.cpr.2021.102068" TargetMode="External"/><Relationship Id="rId17" Type="http://schemas.openxmlformats.org/officeDocument/2006/relationships/hyperlink" Target="https://doi.org/10.1176/ajp.2006.163.11.1905" TargetMode="External"/><Relationship Id="rId33" Type="http://schemas.openxmlformats.org/officeDocument/2006/relationships/hyperlink" Target="https://doi.org/10.1016/j.pedn.2010.10.011" TargetMode="External"/><Relationship Id="rId38" Type="http://schemas.openxmlformats.org/officeDocument/2006/relationships/hyperlink" Target="https://doi.org/10.1016/j.clinph.2009.08.016" TargetMode="External"/><Relationship Id="rId59" Type="http://schemas.openxmlformats.org/officeDocument/2006/relationships/hyperlink" Target="https://doi.org/10.1007/978-1-4419-1005-9_1227" TargetMode="External"/><Relationship Id="rId103" Type="http://schemas.openxmlformats.org/officeDocument/2006/relationships/hyperlink" Target="https://doi.org/10.3390/brainsci15020161" TargetMode="External"/><Relationship Id="rId108" Type="http://schemas.openxmlformats.org/officeDocument/2006/relationships/hyperlink" Target="https://www.nccih.nih.gov/health/psilocybin-for-mental-health-and-addiction-what-you-need-to-know" TargetMode="External"/><Relationship Id="rId124" Type="http://schemas.openxmlformats.org/officeDocument/2006/relationships/hyperlink" Target="https://doi.org/10.1001/jamapsychiatry.2022.4101" TargetMode="External"/><Relationship Id="rId129" Type="http://schemas.openxmlformats.org/officeDocument/2006/relationships/hyperlink" Target="https://doi.org/10.1057/sth.2009.23" TargetMode="External"/><Relationship Id="rId54" Type="http://schemas.openxmlformats.org/officeDocument/2006/relationships/hyperlink" Target="https://doi.org/10.1007/s00213-024-06733-3" TargetMode="External"/><Relationship Id="rId70" Type="http://schemas.openxmlformats.org/officeDocument/2006/relationships/hyperlink" Target="https://doi.org/10.1176/appi.books.9780890425787" TargetMode="External"/><Relationship Id="rId75" Type="http://schemas.openxmlformats.org/officeDocument/2006/relationships/hyperlink" Target="https://doi.org/10.1016/j.addbeh.2011.06.01" TargetMode="External"/><Relationship Id="rId91" Type="http://schemas.openxmlformats.org/officeDocument/2006/relationships/hyperlink" Target="https://doi.org/10.1007/s11920-015-0592-y" TargetMode="External"/><Relationship Id="rId96" Type="http://schemas.openxmlformats.org/officeDocument/2006/relationships/hyperlink" Target="https://vizhub.healthdata.org/gbd-compare/" TargetMode="External"/><Relationship Id="rId1" Type="http://schemas.openxmlformats.org/officeDocument/2006/relationships/hyperlink" Target="https://www.nimh.nih.gov/health/statistics/major-depression" TargetMode="External"/><Relationship Id="rId6" Type="http://schemas.openxmlformats.org/officeDocument/2006/relationships/hyperlink" Target="https://doi.org/10.15620/cdc/174579" TargetMode="External"/><Relationship Id="rId23" Type="http://schemas.openxmlformats.org/officeDocument/2006/relationships/hyperlink" Target="https://doi.org/10.1111/inm.70010" TargetMode="External"/><Relationship Id="rId28" Type="http://schemas.openxmlformats.org/officeDocument/2006/relationships/hyperlink" Target="https://doi.org/10.1515/ijamh-2019-0170" TargetMode="External"/><Relationship Id="rId49" Type="http://schemas.openxmlformats.org/officeDocument/2006/relationships/hyperlink" Target="https://doi.org/10.1530/EC-16-0093" TargetMode="External"/><Relationship Id="rId114" Type="http://schemas.openxmlformats.org/officeDocument/2006/relationships/hyperlink" Target="https://doi.org/10.1136/bmjopen-2022-063095" TargetMode="External"/><Relationship Id="rId119" Type="http://schemas.openxmlformats.org/officeDocument/2006/relationships/hyperlink" Target="https://doi.org/10.22610/imbr.v16i4(i).4283" TargetMode="External"/><Relationship Id="rId44" Type="http://schemas.openxmlformats.org/officeDocument/2006/relationships/hyperlink" Target="https://doi.org/10.1007/s00213-017-4771-x" TargetMode="External"/><Relationship Id="rId60" Type="http://schemas.openxmlformats.org/officeDocument/2006/relationships/hyperlink" Target="https://doi.org/10.1057/sth.2009.23" TargetMode="External"/><Relationship Id="rId65" Type="http://schemas.openxmlformats.org/officeDocument/2006/relationships/hyperlink" Target="https://doi.org/10.1371/journal.pone.0263568" TargetMode="External"/><Relationship Id="rId81" Type="http://schemas.openxmlformats.org/officeDocument/2006/relationships/hyperlink" Target="https://www.cdc.gov/injury/wisqars/index.html" TargetMode="External"/><Relationship Id="rId86" Type="http://schemas.openxmlformats.org/officeDocument/2006/relationships/hyperlink" Target="https://doi.org/10.1177/1178221820940682" TargetMode="External"/><Relationship Id="rId130" Type="http://schemas.openxmlformats.org/officeDocument/2006/relationships/hyperlink" Target="https://doi.org/10.1177/02698811211008554" TargetMode="External"/><Relationship Id="rId135" Type="http://schemas.openxmlformats.org/officeDocument/2006/relationships/hyperlink" Target="https://doi.org/10.1016/j.vaccine.2020.12.083" TargetMode="External"/><Relationship Id="rId13" Type="http://schemas.openxmlformats.org/officeDocument/2006/relationships/hyperlink" Target="https://doi.org/10.1016/j.pharep.2014.04.009" TargetMode="External"/><Relationship Id="rId18" Type="http://schemas.openxmlformats.org/officeDocument/2006/relationships/hyperlink" Target="https://doi.org/10.1136/bmjopen-2022-063095" TargetMode="External"/><Relationship Id="rId39" Type="http://schemas.openxmlformats.org/officeDocument/2006/relationships/hyperlink" Target="https://doi.org/10.1016/S2215-0366(17)30272-9" TargetMode="External"/><Relationship Id="rId109" Type="http://schemas.openxmlformats.org/officeDocument/2006/relationships/hyperlink" Target="https://www.nimh.nih.gov/health/statistics/major-depression" TargetMode="External"/><Relationship Id="rId34" Type="http://schemas.openxmlformats.org/officeDocument/2006/relationships/hyperlink" Target="https://doi.org/10.5210/ojphi.v4i3.4321" TargetMode="External"/><Relationship Id="rId50" Type="http://schemas.openxmlformats.org/officeDocument/2006/relationships/hyperlink" Target="https://doi.org/10.1080/10410236.2013.873363" TargetMode="External"/><Relationship Id="rId55" Type="http://schemas.openxmlformats.org/officeDocument/2006/relationships/hyperlink" Target="https://doi.org/10.1176/appi.ps.201800570" TargetMode="External"/><Relationship Id="rId76" Type="http://schemas.openxmlformats.org/officeDocument/2006/relationships/hyperlink" Target="https://doi.org/10.1080/07399339709516279" TargetMode="External"/><Relationship Id="rId97" Type="http://schemas.openxmlformats.org/officeDocument/2006/relationships/hyperlink" Target="https://doi.org/10.1007/s00213-024-06733-3" TargetMode="External"/><Relationship Id="rId104" Type="http://schemas.openxmlformats.org/officeDocument/2006/relationships/hyperlink" Target="https://doi.org/10.1007/978-1-4419-1005-9_1227" TargetMode="External"/><Relationship Id="rId120" Type="http://schemas.openxmlformats.org/officeDocument/2006/relationships/hyperlink" Target="https://doi.org/10.1016/j.clinph.2009.08.016" TargetMode="External"/><Relationship Id="rId125" Type="http://schemas.openxmlformats.org/officeDocument/2006/relationships/hyperlink" Target="https://doi.org/10.4088/JCP.08m04872gre" TargetMode="External"/><Relationship Id="rId7" Type="http://schemas.openxmlformats.org/officeDocument/2006/relationships/hyperlink" Target="https://doi.org/10.1038/s41572-023-00454-1" TargetMode="External"/><Relationship Id="rId71" Type="http://schemas.openxmlformats.org/officeDocument/2006/relationships/hyperlink" Target="https://dictionary.apa.org/major-depressive-disorder" TargetMode="External"/><Relationship Id="rId92" Type="http://schemas.openxmlformats.org/officeDocument/2006/relationships/hyperlink" Target="https://doi.org/10.1192/bjp.2024.275" TargetMode="External"/><Relationship Id="rId2" Type="http://schemas.openxmlformats.org/officeDocument/2006/relationships/hyperlink" Target="https://www.cdc.gov/injury/wisqars/index.html" TargetMode="External"/><Relationship Id="rId29" Type="http://schemas.openxmlformats.org/officeDocument/2006/relationships/hyperlink" Target="https://doi.org/10.1080/07399339709516279" TargetMode="External"/><Relationship Id="rId24" Type="http://schemas.openxmlformats.org/officeDocument/2006/relationships/hyperlink" Target="https://doi.org/10.1037/mot0000361" TargetMode="External"/><Relationship Id="rId40" Type="http://schemas.openxmlformats.org/officeDocument/2006/relationships/hyperlink" Target="https://doi.org/10.3389/fnins.2023.1267647" TargetMode="External"/><Relationship Id="rId45" Type="http://schemas.openxmlformats.org/officeDocument/2006/relationships/hyperlink" Target="https://doi.org/10.1001/jamapsychiatry.2020.3285" TargetMode="External"/><Relationship Id="rId66" Type="http://schemas.openxmlformats.org/officeDocument/2006/relationships/hyperlink" Target="https://doi.org/10.2196/49687" TargetMode="External"/><Relationship Id="rId87" Type="http://schemas.openxmlformats.org/officeDocument/2006/relationships/hyperlink" Target="https://doi.org/10.1515/ijamh-2019-0170" TargetMode="External"/><Relationship Id="rId110" Type="http://schemas.openxmlformats.org/officeDocument/2006/relationships/hyperlink" Target="https://doi.org/10.1124/pr.115.011478" TargetMode="External"/><Relationship Id="rId115" Type="http://schemas.openxmlformats.org/officeDocument/2006/relationships/hyperlink" Target="https://doi.org/10.1037/mot0000361" TargetMode="External"/><Relationship Id="rId131" Type="http://schemas.openxmlformats.org/officeDocument/2006/relationships/hyperlink" Target="https://doi.org/10.1192/bjp.184.5.386" TargetMode="External"/><Relationship Id="rId61" Type="http://schemas.openxmlformats.org/officeDocument/2006/relationships/hyperlink" Target="https://doi.org/10.4081/jphr.2023.112" TargetMode="External"/><Relationship Id="rId82" Type="http://schemas.openxmlformats.org/officeDocument/2006/relationships/hyperlink" Target="https://doi.org/10.15620/cdc/174579" TargetMode="External"/><Relationship Id="rId19" Type="http://schemas.openxmlformats.org/officeDocument/2006/relationships/hyperlink" Target="https://www.nccih.nih.gov/health/psilocybin-for-mental-health-and-addiction-what-you-need-to-know" TargetMode="External"/><Relationship Id="rId14" Type="http://schemas.openxmlformats.org/officeDocument/2006/relationships/hyperlink" Target="https://doi.org/10.1001/jamanetworkopen.2025.32650" TargetMode="External"/><Relationship Id="rId30" Type="http://schemas.openxmlformats.org/officeDocument/2006/relationships/hyperlink" Target="https://doi.org/10.4103/jehp.jehp_158_22" TargetMode="External"/><Relationship Id="rId35" Type="http://schemas.openxmlformats.org/officeDocument/2006/relationships/hyperlink" Target="https://doi.org/10.7759/cureus.64712" TargetMode="External"/><Relationship Id="rId56" Type="http://schemas.openxmlformats.org/officeDocument/2006/relationships/hyperlink" Target="https://doi.org/10.1001/jamapsychiatry.2022.4101" TargetMode="External"/><Relationship Id="rId77" Type="http://schemas.openxmlformats.org/officeDocument/2006/relationships/hyperlink" Target="https://doi.org/10.1007/s00213-017-4771-x" TargetMode="External"/><Relationship Id="rId100" Type="http://schemas.openxmlformats.org/officeDocument/2006/relationships/hyperlink" Target="https://doi.org/10.1080/10410236.2013.873363" TargetMode="External"/><Relationship Id="rId105" Type="http://schemas.openxmlformats.org/officeDocument/2006/relationships/hyperlink" Target="https://doi.org/10.1038/s41572-023-00454-1" TargetMode="External"/><Relationship Id="rId126" Type="http://schemas.openxmlformats.org/officeDocument/2006/relationships/hyperlink" Target="https://doi.org/10.1177/0269881110382466" TargetMode="External"/><Relationship Id="rId8" Type="http://schemas.openxmlformats.org/officeDocument/2006/relationships/hyperlink" Target="https://dictionary.apa.org/major-depressive-disorder" TargetMode="External"/><Relationship Id="rId51" Type="http://schemas.openxmlformats.org/officeDocument/2006/relationships/hyperlink" Target="https://doi.org/10.22610/imbr.v16i4(i).4283" TargetMode="External"/><Relationship Id="rId72" Type="http://schemas.openxmlformats.org/officeDocument/2006/relationships/hyperlink" Target="https://dictionary.apa.org/major-depressive-disorder" TargetMode="External"/><Relationship Id="rId93" Type="http://schemas.openxmlformats.org/officeDocument/2006/relationships/hyperlink" Target="https://doi.org/10.1176/appi.ps.201800570" TargetMode="External"/><Relationship Id="rId98" Type="http://schemas.openxmlformats.org/officeDocument/2006/relationships/hyperlink" Target="https://doi.org/10.1016/j.pedn.2010.10.011" TargetMode="External"/><Relationship Id="rId121" Type="http://schemas.openxmlformats.org/officeDocument/2006/relationships/hyperlink" Target="https://doi.org/10.1176/ajp.2006.163.11.1905" TargetMode="External"/><Relationship Id="rId3" Type="http://schemas.openxmlformats.org/officeDocument/2006/relationships/hyperlink" Target="https://doi.org/10.1192/bjp.184.5.386" TargetMode="External"/><Relationship Id="rId25" Type="http://schemas.openxmlformats.org/officeDocument/2006/relationships/hyperlink" Target="https://doi.org/10.1111/jep.13581" TargetMode="External"/><Relationship Id="rId46" Type="http://schemas.openxmlformats.org/officeDocument/2006/relationships/hyperlink" Target="https://doi.org/10.1056/NEJMoa2032994" TargetMode="External"/><Relationship Id="rId67" Type="http://schemas.openxmlformats.org/officeDocument/2006/relationships/hyperlink" Target="https://doi.org/10.1037/a0035730" TargetMode="External"/><Relationship Id="rId116" Type="http://schemas.openxmlformats.org/officeDocument/2006/relationships/hyperlink" Target="https://doi.org/10.5812/ircmj.18879" TargetMode="External"/><Relationship Id="rId20" Type="http://schemas.openxmlformats.org/officeDocument/2006/relationships/hyperlink" Target="https://www.fda.gov/regulatory-information/search-fda-guidance-documents/psychedelic-drugs-considerations-clinical-investigations" TargetMode="External"/><Relationship Id="rId41" Type="http://schemas.openxmlformats.org/officeDocument/2006/relationships/hyperlink" Target="https://doi.org/10.3390/brainsci15020161" TargetMode="External"/><Relationship Id="rId62" Type="http://schemas.openxmlformats.org/officeDocument/2006/relationships/hyperlink" Target="https://doi.org/10.1016/j.vaccine.2020.12.083" TargetMode="External"/><Relationship Id="rId83" Type="http://schemas.openxmlformats.org/officeDocument/2006/relationships/hyperlink" Target="https://cancercontrol.cancer.gov/brp/research/constructs/perceived-benefits" TargetMode="External"/><Relationship Id="rId88" Type="http://schemas.openxmlformats.org/officeDocument/2006/relationships/hyperlink" Target="https://doi.org/10.1530/EC-16-0093" TargetMode="External"/><Relationship Id="rId111" Type="http://schemas.openxmlformats.org/officeDocument/2006/relationships/hyperlink" Target="https://www.ncbi.nlm.nih.gov/books/NBK36406/table/ch1.t1/" TargetMode="External"/><Relationship Id="rId132" Type="http://schemas.openxmlformats.org/officeDocument/2006/relationships/hyperlink" Target="https://doi.org/10.3389/fnins.2023.1267647" TargetMode="External"/><Relationship Id="rId15" Type="http://schemas.openxmlformats.org/officeDocument/2006/relationships/hyperlink" Target="https://www.aafp.org/pubs/afp/issues/2024/0500/treatment-resistant-depression.html" TargetMode="External"/><Relationship Id="rId36" Type="http://schemas.openxmlformats.org/officeDocument/2006/relationships/hyperlink" Target="https://doi.org/10.1007/s11920-015-0592-y" TargetMode="External"/><Relationship Id="rId57" Type="http://schemas.openxmlformats.org/officeDocument/2006/relationships/hyperlink" Target="https://doi.org/10.1177/00220426251338187" TargetMode="External"/><Relationship Id="rId106" Type="http://schemas.openxmlformats.org/officeDocument/2006/relationships/hyperlink" Target="https://doi.org/10.4103/jehp.jehp_158_22" TargetMode="External"/><Relationship Id="rId127" Type="http://schemas.openxmlformats.org/officeDocument/2006/relationships/hyperlink" Target="https://doi.org/10.4081/jphr.2023.112" TargetMode="External"/><Relationship Id="rId10" Type="http://schemas.openxmlformats.org/officeDocument/2006/relationships/hyperlink" Target="https://www.healthdata.org/research-analysis/library/global-burden-disease-2021-findings-gbd-2021-study" TargetMode="External"/><Relationship Id="rId31" Type="http://schemas.openxmlformats.org/officeDocument/2006/relationships/hyperlink" Target="https://doi.org/10.5812/ircmj.18879" TargetMode="External"/><Relationship Id="rId52" Type="http://schemas.openxmlformats.org/officeDocument/2006/relationships/hyperlink" Target="https://doi.org/10.1111/hex.12286" TargetMode="External"/><Relationship Id="rId73" Type="http://schemas.openxmlformats.org/officeDocument/2006/relationships/hyperlink" Target="https://doi.org/10.7759/cureus.64712" TargetMode="External"/><Relationship Id="rId78" Type="http://schemas.openxmlformats.org/officeDocument/2006/relationships/hyperlink" Target="https://doi.org/10.1016/S2215-0366(16)30065-7" TargetMode="External"/><Relationship Id="rId94" Type="http://schemas.openxmlformats.org/officeDocument/2006/relationships/hyperlink" Target="https://doi.org/10.4088/jcp.14m09298" TargetMode="External"/><Relationship Id="rId99" Type="http://schemas.openxmlformats.org/officeDocument/2006/relationships/hyperlink" Target="https://doi.org/10.1177/0269881108093587" TargetMode="External"/><Relationship Id="rId101" Type="http://schemas.openxmlformats.org/officeDocument/2006/relationships/hyperlink" Target="https://doi.org/10.1001/archpsyc.62.6.617" TargetMode="External"/><Relationship Id="rId122" Type="http://schemas.openxmlformats.org/officeDocument/2006/relationships/hyperlink" Target="https://doi.org/10.1371/journal.pone.0263568" TargetMode="External"/><Relationship Id="rId4" Type="http://schemas.openxmlformats.org/officeDocument/2006/relationships/hyperlink" Target="https://doi.org/10.1001/archpsyc.62.6.617" TargetMode="External"/><Relationship Id="rId9" Type="http://schemas.openxmlformats.org/officeDocument/2006/relationships/hyperlink" Target="https://doi.org/10.7326/0003-4819-151-11-200912010-00007" TargetMode="External"/><Relationship Id="rId26" Type="http://schemas.openxmlformats.org/officeDocument/2006/relationships/hyperlink" Target="https://doi.org/10.1016/j.addbeh.2011.06.01" TargetMode="External"/><Relationship Id="rId47" Type="http://schemas.openxmlformats.org/officeDocument/2006/relationships/hyperlink" Target="https://doi.org/10.1177/0269881110382466" TargetMode="External"/><Relationship Id="rId68" Type="http://schemas.openxmlformats.org/officeDocument/2006/relationships/hyperlink" Target="https://doi.org/10.1034/j.1600-0447.2000.90061.x" TargetMode="External"/><Relationship Id="rId89" Type="http://schemas.openxmlformats.org/officeDocument/2006/relationships/hyperlink" Target="https://doi.org/10.1177/00220426251338187" TargetMode="External"/><Relationship Id="rId112" Type="http://schemas.openxmlformats.org/officeDocument/2006/relationships/hyperlink" Target="https://doi.org/10.1016/j.pharep.2014.04.009" TargetMode="External"/><Relationship Id="rId133" Type="http://schemas.openxmlformats.org/officeDocument/2006/relationships/hyperlink" Target="https://doi.org/10.1037/a0035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23</Pages>
  <Words>7254</Words>
  <Characters>41352</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Antoine-Hardy, Shannon</dc:creator>
  <cp:keywords/>
  <dc:description/>
  <cp:lastModifiedBy>SDI 1084</cp:lastModifiedBy>
  <cp:revision>51</cp:revision>
  <cp:lastPrinted>2025-11-25T20:10:00Z</cp:lastPrinted>
  <dcterms:created xsi:type="dcterms:W3CDTF">2025-11-25T20:42:00Z</dcterms:created>
  <dcterms:modified xsi:type="dcterms:W3CDTF">2025-11-27T12:41:00Z</dcterms:modified>
</cp:coreProperties>
</file>