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EDE2E" w14:textId="637BAA2D" w:rsidR="00754C9A" w:rsidRDefault="00592CDC" w:rsidP="00441B6F">
      <w:pPr>
        <w:pStyle w:val="Title"/>
        <w:spacing w:after="0"/>
        <w:jc w:val="both"/>
        <w:rPr>
          <w:rFonts w:ascii="Arial" w:hAnsi="Arial" w:cs="Arial"/>
        </w:rPr>
      </w:pPr>
      <w:r w:rsidRPr="00592CDC">
        <w:rPr>
          <w:rFonts w:ascii="Arial" w:hAnsi="Arial" w:cs="Arial"/>
        </w:rPr>
        <w:t>Method Article</w:t>
      </w:r>
    </w:p>
    <w:p w14:paraId="383C484A" w14:textId="77777777" w:rsidR="00592CDC" w:rsidRDefault="00592CDC" w:rsidP="00441B6F">
      <w:pPr>
        <w:pStyle w:val="Title"/>
        <w:spacing w:after="0"/>
        <w:jc w:val="both"/>
        <w:rPr>
          <w:rFonts w:ascii="Arial" w:hAnsi="Arial" w:cs="Arial"/>
        </w:rPr>
      </w:pPr>
    </w:p>
    <w:p w14:paraId="462DE12D" w14:textId="77777777" w:rsidR="00592CDC" w:rsidRDefault="00592CDC" w:rsidP="00441B6F">
      <w:pPr>
        <w:pStyle w:val="Title"/>
        <w:spacing w:after="0"/>
        <w:jc w:val="both"/>
        <w:rPr>
          <w:rFonts w:ascii="Arial" w:hAnsi="Arial" w:cs="Arial"/>
        </w:rPr>
      </w:pPr>
    </w:p>
    <w:p w14:paraId="6C349560" w14:textId="77777777" w:rsidR="003911DB" w:rsidRPr="003911DB" w:rsidRDefault="003911DB" w:rsidP="003911DB">
      <w:pPr>
        <w:pStyle w:val="Author"/>
        <w:spacing w:line="240" w:lineRule="auto"/>
        <w:jc w:val="both"/>
        <w:rPr>
          <w:rFonts w:ascii="Arial" w:hAnsi="Arial" w:cs="Arial"/>
          <w:bCs/>
          <w:iCs/>
          <w:kern w:val="28"/>
          <w:sz w:val="36"/>
        </w:rPr>
      </w:pPr>
      <w:r w:rsidRPr="003911DB">
        <w:rPr>
          <w:rFonts w:ascii="Arial" w:hAnsi="Arial" w:cs="Arial"/>
          <w:bCs/>
          <w:iCs/>
          <w:kern w:val="28"/>
          <w:sz w:val="36"/>
        </w:rPr>
        <w:t>HYDROGEN PRODUCTION A CASE STUDY: ELECTROLYSIS AND GASEIFICATION LCA ASSESSEMENT</w:t>
      </w:r>
    </w:p>
    <w:p w14:paraId="361CA00B" w14:textId="77777777" w:rsidR="00A258C3" w:rsidRPr="00790ADA" w:rsidRDefault="00A258C3" w:rsidP="00441B6F">
      <w:pPr>
        <w:pStyle w:val="Author"/>
        <w:spacing w:line="240" w:lineRule="auto"/>
        <w:jc w:val="both"/>
        <w:rPr>
          <w:rFonts w:ascii="Arial" w:hAnsi="Arial" w:cs="Arial"/>
          <w:sz w:val="36"/>
        </w:rPr>
      </w:pPr>
    </w:p>
    <w:p w14:paraId="2F587ACA" w14:textId="77777777" w:rsidR="002C57D2" w:rsidRPr="00FB3A86" w:rsidRDefault="002C57D2" w:rsidP="00441B6F">
      <w:pPr>
        <w:pStyle w:val="Affiliation"/>
        <w:spacing w:after="0" w:line="240" w:lineRule="auto"/>
        <w:jc w:val="both"/>
        <w:rPr>
          <w:rFonts w:ascii="Arial" w:hAnsi="Arial" w:cs="Arial"/>
        </w:rPr>
      </w:pPr>
    </w:p>
    <w:p w14:paraId="706B6DEC" w14:textId="77777777" w:rsidR="00B01FCD" w:rsidRPr="00FB3A86" w:rsidRDefault="007E1AD8" w:rsidP="00441B6F">
      <w:pPr>
        <w:pStyle w:val="Copyright"/>
        <w:spacing w:after="0" w:line="240" w:lineRule="auto"/>
        <w:jc w:val="both"/>
        <w:rPr>
          <w:rFonts w:ascii="Arial" w:hAnsi="Arial" w:cs="Arial"/>
        </w:rPr>
        <w:sectPr w:rsidR="00B01FCD" w:rsidRPr="00FB3A86" w:rsidSect="00D427B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42162B2">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464EF11" w14:textId="65166B5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F34547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847C07E" w14:textId="77777777" w:rsidTr="001E44FE">
        <w:tc>
          <w:tcPr>
            <w:tcW w:w="9576" w:type="dxa"/>
            <w:shd w:val="clear" w:color="auto" w:fill="F2F2F2"/>
          </w:tcPr>
          <w:p w14:paraId="28BBE5DD" w14:textId="77777777" w:rsidR="003911DB" w:rsidRDefault="003911DB" w:rsidP="003911DB">
            <w:pPr>
              <w:jc w:val="both"/>
            </w:pPr>
            <w:r w:rsidRPr="004B4AB5">
              <w:rPr>
                <w:b/>
                <w:bCs/>
              </w:rPr>
              <w:t>Aims:</w:t>
            </w:r>
            <w:r w:rsidRPr="004B4AB5">
              <w:t xml:space="preserve"> </w:t>
            </w:r>
            <w:r w:rsidRPr="000D5259">
              <w:t>The goal of this study will be developing a life cycle assessment model and evaluate the</w:t>
            </w:r>
            <w:r>
              <w:t xml:space="preserve"> </w:t>
            </w:r>
            <w:r w:rsidRPr="000D5259">
              <w:t xml:space="preserve">environmental impacts of the hydrogen production systems </w:t>
            </w:r>
            <w:r>
              <w:t xml:space="preserve">based on both technologies, Electrolysis and Gasification, carrying out sensitive analysis and Monte Carlo simulations focused on the impact category Global Warming. </w:t>
            </w:r>
            <w:r w:rsidRPr="004B4AB5">
              <w:rPr>
                <w:b/>
                <w:bCs/>
              </w:rPr>
              <w:t>Background:</w:t>
            </w:r>
            <w:r w:rsidRPr="004B4AB5">
              <w:t xml:space="preserve"> </w:t>
            </w:r>
            <w:r w:rsidRPr="004B61D1">
              <w:t>Climate change and renewable processes, solutions and the</w:t>
            </w:r>
            <w:r>
              <w:t>ir</w:t>
            </w:r>
            <w:r w:rsidRPr="004B61D1">
              <w:t xml:space="preserve"> products and materials evolved in this chain have been discussed since the past decade.</w:t>
            </w:r>
            <w:r>
              <w:t xml:space="preserve"> The international pressure to adapt the countries industrial environmental to more sustainable practices have taken place in many areas around the world. One of the strategic areas to translate into this move are the fuel, chemicals and energy production, transportation, storage and usage. </w:t>
            </w:r>
            <w:r w:rsidRPr="00C04C8C">
              <w:t>Hydrogen is one of the leading options for storing energy from renewables and looks promising to be a lowest-cost option</w:t>
            </w:r>
            <w:r>
              <w:t xml:space="preserve">. </w:t>
            </w:r>
            <w:r w:rsidRPr="004B4AB5">
              <w:rPr>
                <w:b/>
                <w:bCs/>
              </w:rPr>
              <w:t>Study design:</w:t>
            </w:r>
            <w:r w:rsidRPr="004B4AB5">
              <w:t xml:space="preserve"> </w:t>
            </w:r>
            <w:r>
              <w:t xml:space="preserve">The software </w:t>
            </w:r>
            <w:proofErr w:type="spellStart"/>
            <w:r w:rsidRPr="00442EA3">
              <w:t>openLCA</w:t>
            </w:r>
            <w:proofErr w:type="spellEnd"/>
            <w:r w:rsidRPr="00442EA3">
              <w:t xml:space="preserve"> Nexus is linked with the open source, and freely available, </w:t>
            </w:r>
            <w:proofErr w:type="spellStart"/>
            <w:r w:rsidRPr="00442EA3">
              <w:t>openLCA</w:t>
            </w:r>
            <w:proofErr w:type="spellEnd"/>
            <w:r w:rsidRPr="00442EA3">
              <w:t xml:space="preserve"> LCA software</w:t>
            </w:r>
            <w:r>
              <w:t xml:space="preserve">. </w:t>
            </w:r>
            <w:r w:rsidRPr="004B4AB5">
              <w:rPr>
                <w:rFonts w:eastAsia="Calibri"/>
                <w:b/>
                <w:bCs/>
              </w:rPr>
              <w:t>Place and Duration of Study</w:t>
            </w:r>
            <w:r>
              <w:rPr>
                <w:b/>
                <w:bCs/>
              </w:rPr>
              <w:t xml:space="preserve">: </w:t>
            </w:r>
            <w:r>
              <w:t xml:space="preserve">Department of Chemical Engineering, </w:t>
            </w:r>
            <w:r w:rsidRPr="005C5240">
              <w:t>SUNY College of Environmental Science and Forestry</w:t>
            </w:r>
            <w:r>
              <w:t xml:space="preserve">, Syracuse, New York, USA from October to November 2025. </w:t>
            </w:r>
            <w:r w:rsidRPr="004B4AB5">
              <w:rPr>
                <w:b/>
                <w:bCs/>
              </w:rPr>
              <w:t>Methodology:</w:t>
            </w:r>
            <w:r w:rsidRPr="004B4AB5">
              <w:t xml:space="preserve"> </w:t>
            </w:r>
            <w:proofErr w:type="spellStart"/>
            <w:r w:rsidRPr="00442EA3">
              <w:t>OpenLCA</w:t>
            </w:r>
            <w:proofErr w:type="spellEnd"/>
            <w:r w:rsidRPr="00442EA3">
              <w:t xml:space="preserve"> was used to perform a Life Cycle Assessment (LCA)</w:t>
            </w:r>
            <w:r>
              <w:t xml:space="preserve">. </w:t>
            </w:r>
            <w:r w:rsidRPr="004B4AB5">
              <w:rPr>
                <w:b/>
                <w:bCs/>
              </w:rPr>
              <w:t>Results</w:t>
            </w:r>
            <w:r>
              <w:rPr>
                <w:b/>
                <w:bCs/>
              </w:rPr>
              <w:t>:</w:t>
            </w:r>
            <w:r w:rsidRPr="004B4AB5">
              <w:t xml:space="preserve"> </w:t>
            </w:r>
            <w:r w:rsidRPr="002627D6">
              <w:t>Electrolysis and Gasification are viable processes to produce hydrogen</w:t>
            </w:r>
            <w:r>
              <w:t xml:space="preserve"> and the e</w:t>
            </w:r>
            <w:r w:rsidRPr="002627D6">
              <w:t>nergy source as the type of electricity modal have a significative impact for hydrogen production</w:t>
            </w:r>
            <w:r>
              <w:t xml:space="preserve">. </w:t>
            </w:r>
            <w:r w:rsidRPr="002627D6">
              <w:t>The following processes have the higher to the lower impacts in the global warming category: Electrolysis (Hydropower) &lt; Gasification (Hydropower) &lt; Electrolysis (Wind) &lt; Electrolysis (Grid mix)</w:t>
            </w:r>
            <w:r>
              <w:t xml:space="preserve">. </w:t>
            </w:r>
            <w:r>
              <w:rPr>
                <w:b/>
                <w:bCs/>
              </w:rPr>
              <w:t>Conclusions:</w:t>
            </w:r>
            <w:r w:rsidRPr="004B4AB5">
              <w:t xml:space="preserve"> </w:t>
            </w:r>
            <w:r>
              <w:t>Finally, e</w:t>
            </w:r>
            <w:r w:rsidRPr="002627D6">
              <w:t xml:space="preserve">nergy supplied from </w:t>
            </w:r>
            <w:r>
              <w:t>h</w:t>
            </w:r>
            <w:r w:rsidRPr="002627D6">
              <w:t>ydropower are significative CO2 input in the processes studied.</w:t>
            </w:r>
            <w:r>
              <w:t xml:space="preserve"> It is recommended for the next studies include transportation in the processes that evolves raw materials for each technology as their investments to build the producer facility. Also increase the number of runs in a hundred factor.</w:t>
            </w:r>
          </w:p>
          <w:p w14:paraId="3D5F9E46" w14:textId="1E6BCD9E" w:rsidR="00505F06" w:rsidRPr="00BA1B01" w:rsidRDefault="00505F06" w:rsidP="00441B6F">
            <w:pPr>
              <w:pStyle w:val="Body"/>
              <w:spacing w:after="0"/>
              <w:rPr>
                <w:rFonts w:ascii="Arial" w:eastAsia="Calibri" w:hAnsi="Arial" w:cs="Arial"/>
                <w:szCs w:val="22"/>
              </w:rPr>
            </w:pPr>
          </w:p>
        </w:tc>
      </w:tr>
    </w:tbl>
    <w:p w14:paraId="13B06C2E" w14:textId="77777777" w:rsidR="00636EB2" w:rsidRDefault="00636EB2" w:rsidP="00441B6F">
      <w:pPr>
        <w:pStyle w:val="Body"/>
        <w:spacing w:after="0"/>
        <w:rPr>
          <w:rFonts w:ascii="Arial" w:hAnsi="Arial" w:cs="Arial"/>
          <w:i/>
        </w:rPr>
      </w:pPr>
    </w:p>
    <w:p w14:paraId="7232E258" w14:textId="6C57D50A" w:rsidR="00A24E7E" w:rsidRDefault="00A24E7E" w:rsidP="00441B6F">
      <w:pPr>
        <w:pStyle w:val="Body"/>
        <w:spacing w:after="0"/>
        <w:rPr>
          <w:rFonts w:ascii="Arial" w:hAnsi="Arial" w:cs="Arial"/>
          <w:i/>
        </w:rPr>
      </w:pPr>
      <w:r>
        <w:rPr>
          <w:rFonts w:ascii="Arial" w:hAnsi="Arial" w:cs="Arial"/>
          <w:i/>
        </w:rPr>
        <w:t>Keywords:</w:t>
      </w:r>
      <w:r w:rsidRPr="003911DB">
        <w:rPr>
          <w:rFonts w:ascii="Arial" w:hAnsi="Arial" w:cs="Arial"/>
          <w:i/>
        </w:rPr>
        <w:t xml:space="preserve"> [</w:t>
      </w:r>
      <w:r w:rsidR="003911DB" w:rsidRPr="003911DB">
        <w:rPr>
          <w:i/>
        </w:rPr>
        <w:t>Green hydrogen, LCA, Electrolysis, Gasification, Wood]</w:t>
      </w:r>
    </w:p>
    <w:p w14:paraId="01137580" w14:textId="77777777" w:rsidR="00505F06" w:rsidRPr="00A24E7E" w:rsidRDefault="00505F06" w:rsidP="00441B6F">
      <w:pPr>
        <w:pStyle w:val="Body"/>
        <w:spacing w:after="0"/>
        <w:rPr>
          <w:rFonts w:ascii="Arial" w:hAnsi="Arial" w:cs="Arial"/>
          <w:i/>
        </w:rPr>
      </w:pPr>
    </w:p>
    <w:p w14:paraId="628F52B7" w14:textId="41FC8A1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F651E8F" w14:textId="77777777" w:rsidR="00790ADA" w:rsidRPr="00FB3A86" w:rsidRDefault="00790ADA" w:rsidP="00441B6F">
      <w:pPr>
        <w:pStyle w:val="AbstHead"/>
        <w:spacing w:after="0"/>
        <w:jc w:val="both"/>
        <w:rPr>
          <w:rFonts w:ascii="Arial" w:hAnsi="Arial" w:cs="Arial"/>
        </w:rPr>
      </w:pPr>
    </w:p>
    <w:p w14:paraId="5C65DDA5" w14:textId="77777777" w:rsidR="00307EB2" w:rsidRPr="00307EB2" w:rsidRDefault="00307EB2" w:rsidP="00307EB2">
      <w:pPr>
        <w:pStyle w:val="Body"/>
        <w:rPr>
          <w:rFonts w:ascii="Arial" w:hAnsi="Arial" w:cs="Arial"/>
        </w:rPr>
      </w:pPr>
      <w:r w:rsidRPr="00307EB2">
        <w:rPr>
          <w:rFonts w:ascii="Arial" w:hAnsi="Arial" w:cs="Arial"/>
        </w:rPr>
        <w:t xml:space="preserve">The global transition toward sustainable energy systems has positioned hydrogen as a critical energy carrier for achieving carbon neutrality goals [7,11]. Climate change and renewable processes, solutions and their products and materials evolved in this chain have been discussed since the past decade. The international pressure to adapt the countries industrial environmental to more sustainable practices have taken place in many areas around the world. One of the strategic areas to translate into this move are the fuel, chemicals and energy production, transportation, storage and usage. </w:t>
      </w:r>
    </w:p>
    <w:p w14:paraId="4AF4FB47" w14:textId="77777777" w:rsidR="00307EB2" w:rsidRPr="00307EB2" w:rsidRDefault="00307EB2" w:rsidP="00307EB2">
      <w:pPr>
        <w:pStyle w:val="Body"/>
        <w:rPr>
          <w:rFonts w:ascii="Arial" w:hAnsi="Arial" w:cs="Arial"/>
        </w:rPr>
      </w:pPr>
      <w:r w:rsidRPr="00307EB2">
        <w:rPr>
          <w:rFonts w:ascii="Arial" w:hAnsi="Arial" w:cs="Arial"/>
        </w:rPr>
        <w:lastRenderedPageBreak/>
        <w:t>The time is right to tap into hydrogen’s potential to play a key role in a clean, secure, and affordable energy future. Hydrogen can help tackle various critical energy challenges. It offers ways to decarbonize a range of sectors – including long-haul transport, chemicals, and iron and steel – where it is proving difficult to meaningfully reduce emissions. It can also help improve air quality and strengthen energy security. Hydrogen can enable renewables to provide an even greater contribution. It has the potential to help with variable output from renewables, like solar photovoltaics (PV) and wind, whose availability is not always well matched with demand. Hydrogen is one of the leading options for storing energy from renewables and looks promising to be a lowest-cost option for storing electricity over days, weeks or even months [1].</w:t>
      </w:r>
    </w:p>
    <w:p w14:paraId="3358A1B2" w14:textId="77777777" w:rsidR="00307EB2" w:rsidRPr="00307EB2" w:rsidRDefault="00307EB2" w:rsidP="00307EB2">
      <w:pPr>
        <w:pStyle w:val="Body"/>
        <w:rPr>
          <w:rFonts w:ascii="Arial" w:hAnsi="Arial" w:cs="Arial"/>
        </w:rPr>
      </w:pPr>
      <w:r w:rsidRPr="00307EB2">
        <w:rPr>
          <w:rFonts w:ascii="Arial" w:hAnsi="Arial" w:cs="Arial"/>
        </w:rPr>
        <w:t>Green hydrogen is gaining global recognition as a clean energy solution, but its true potential lies in understanding the underlying science that makes it a viable alternative to fossil fuels. As a chemical element, hydrogen is the most abundant substance in the universe, yet it is rarely found in its free form on Earth. Instead, it is bound to other elements in compounds such as water and hydrocarbons. Extracting hydrogen efficiently and sustainably requires advanced scientific processes, the most prominent of which is electrolysis, powered by renewable energy sources. However, challenges remain in terms of efficiency, production costs, and storage technologies [10]. Also, biomass gasification represents a thermochemical conversion process that transforms organic matter into a combustible gas mixture (syngas) primarily composed of hydrogen, carbon monoxide, carbon dioxide, and methane [7,12]. The process occurs at elevated temperatures (700–1000 ◦C) in a controlled atmosphere with limited oxygen supply, enabling the breakdown of complex biomass structures into simpler gaseous compounds [7,13]. The hydrogen-rich syngas can be further processed through water–gas shift reactions and purification steps to produce high-purity hydrogen suitable for various applications, including fuel cells, industrial processes, and energy storage [7,13,14].</w:t>
      </w:r>
    </w:p>
    <w:p w14:paraId="6A3FE767" w14:textId="52CB6129" w:rsidR="00307EB2" w:rsidRPr="00307EB2" w:rsidRDefault="00307EB2" w:rsidP="00307EB2">
      <w:pPr>
        <w:pStyle w:val="Body"/>
        <w:rPr>
          <w:rFonts w:ascii="Arial" w:hAnsi="Arial" w:cs="Arial"/>
        </w:rPr>
      </w:pPr>
      <w:r w:rsidRPr="00307EB2">
        <w:rPr>
          <w:rFonts w:ascii="Arial" w:hAnsi="Arial" w:cs="Arial"/>
        </w:rPr>
        <w:t xml:space="preserve">Table 1 [7,9,10] shows the overview of technology, their processes </w:t>
      </w:r>
      <w:proofErr w:type="gramStart"/>
      <w:r w:rsidRPr="00307EB2">
        <w:rPr>
          <w:rFonts w:ascii="Arial" w:hAnsi="Arial" w:cs="Arial"/>
        </w:rPr>
        <w:t>an</w:t>
      </w:r>
      <w:proofErr w:type="gramEnd"/>
      <w:r w:rsidRPr="00307EB2">
        <w:rPr>
          <w:rFonts w:ascii="Arial" w:hAnsi="Arial" w:cs="Arial"/>
        </w:rPr>
        <w:t xml:space="preserve"> classification for hydrogen production considering both discussed technologies as Electrolysis and Gasification. The gasification process can be represented by several key reactions that determine the final syngas composition. The primary reactions include the </w:t>
      </w:r>
      <w:proofErr w:type="spellStart"/>
      <w:r w:rsidRPr="00307EB2">
        <w:rPr>
          <w:rFonts w:ascii="Arial" w:hAnsi="Arial" w:cs="Arial"/>
        </w:rPr>
        <w:t>Boudouard</w:t>
      </w:r>
      <w:proofErr w:type="spellEnd"/>
      <w:r w:rsidRPr="00307EB2">
        <w:rPr>
          <w:rFonts w:ascii="Arial" w:hAnsi="Arial" w:cs="Arial"/>
        </w:rPr>
        <w:t xml:space="preserve"> reaction (C + CO2 </w:t>
      </w:r>
      <w:r w:rsidRPr="00307EB2">
        <w:rPr>
          <w:rFonts w:ascii="Cambria Math" w:hAnsi="Cambria Math" w:cs="Cambria Math"/>
        </w:rPr>
        <w:t>⇌</w:t>
      </w:r>
      <w:r w:rsidRPr="00307EB2">
        <w:rPr>
          <w:rFonts w:ascii="Arial" w:hAnsi="Arial" w:cs="Arial"/>
        </w:rPr>
        <w:t xml:space="preserve"> 2CO), the water–gas reaction (C + H2O </w:t>
      </w:r>
      <w:r w:rsidRPr="00307EB2">
        <w:rPr>
          <w:rFonts w:ascii="Cambria Math" w:hAnsi="Cambria Math" w:cs="Cambria Math"/>
        </w:rPr>
        <w:t>⇌</w:t>
      </w:r>
      <w:r w:rsidRPr="00307EB2">
        <w:rPr>
          <w:rFonts w:ascii="Arial" w:hAnsi="Arial" w:cs="Arial"/>
        </w:rPr>
        <w:t xml:space="preserve"> CO + H2), and the methanation reaction (C + 2H2 </w:t>
      </w:r>
      <w:r w:rsidRPr="00307EB2">
        <w:rPr>
          <w:rFonts w:ascii="Cambria Math" w:hAnsi="Cambria Math" w:cs="Cambria Math"/>
        </w:rPr>
        <w:t>⇌</w:t>
      </w:r>
      <w:r w:rsidRPr="00307EB2">
        <w:rPr>
          <w:rFonts w:ascii="Arial" w:hAnsi="Arial" w:cs="Arial"/>
        </w:rPr>
        <w:t xml:space="preserve">CH4). These reactions are influenced by temperature, pressure, residence time, and the gasifying agent used. The equilibrium composition of syngas depends on thermodynamic conditions, with higher temperatures generally favoring hydrogen and carbon monoxide production over methane [7, 15-17]. The theoretical hydrogen yield from biomass gasification depends on the biomass composition and process conditions. Stoichiometric calculations based on ultimate analysis data provide upper limits for hydrogen production, typically ranging from 80 to 150 kg H2 per ton of dry biomass [7,18–23]. Nevertheless, the most environmentally friendly method of hydrogen production is electrolysis, a process that uses electricity to split water molecules (H2O) into hydrogen (H2) and oxygen (O2). The general reaction for electrolysis is: (2H2O + </w:t>
      </w:r>
      <w:proofErr w:type="gramStart"/>
      <w:r w:rsidRPr="00307EB2">
        <w:rPr>
          <w:rFonts w:ascii="Arial" w:hAnsi="Arial" w:cs="Arial"/>
        </w:rPr>
        <w:t xml:space="preserve">electricity  </w:t>
      </w:r>
      <w:r w:rsidRPr="00307EB2">
        <w:rPr>
          <w:rFonts w:ascii="Cambria Math" w:hAnsi="Cambria Math" w:cs="Cambria Math"/>
        </w:rPr>
        <w:t>⇌</w:t>
      </w:r>
      <w:proofErr w:type="gramEnd"/>
      <w:r w:rsidRPr="00307EB2">
        <w:rPr>
          <w:rFonts w:ascii="Arial" w:hAnsi="Arial" w:cs="Arial"/>
        </w:rPr>
        <w:t xml:space="preserve"> 2H2 + O2) and finally for electrolysis to be classified as green, the electricity used must come from renewable sources, such as solar, wind, or hydropower [10].</w:t>
      </w:r>
    </w:p>
    <w:p w14:paraId="309D4E09" w14:textId="77777777" w:rsidR="00307EB2" w:rsidRDefault="00307EB2" w:rsidP="00307EB2">
      <w:pPr>
        <w:pStyle w:val="Body"/>
        <w:rPr>
          <w:rFonts w:ascii="Arial" w:hAnsi="Arial" w:cs="Arial"/>
          <w:b/>
          <w:bCs/>
        </w:rPr>
      </w:pPr>
    </w:p>
    <w:p w14:paraId="14CA3F87" w14:textId="77777777" w:rsidR="00307EB2" w:rsidRPr="00307EB2" w:rsidRDefault="00307EB2" w:rsidP="00307EB2">
      <w:pPr>
        <w:pStyle w:val="Body"/>
        <w:rPr>
          <w:rFonts w:ascii="Arial" w:hAnsi="Arial" w:cs="Arial"/>
          <w:b/>
          <w:bCs/>
        </w:rPr>
      </w:pPr>
    </w:p>
    <w:p w14:paraId="1DC76D2A" w14:textId="77777777" w:rsidR="00307EB2" w:rsidRPr="00F97918" w:rsidRDefault="00307EB2" w:rsidP="00307EB2">
      <w:pPr>
        <w:pStyle w:val="Body"/>
        <w:rPr>
          <w:rFonts w:ascii="Arial" w:hAnsi="Arial" w:cs="Arial"/>
          <w:b/>
          <w:bCs/>
        </w:rPr>
      </w:pPr>
      <w:r w:rsidRPr="00F97918">
        <w:rPr>
          <w:rFonts w:ascii="Arial" w:hAnsi="Arial" w:cs="Arial"/>
          <w:b/>
          <w:bCs/>
        </w:rPr>
        <w:t>Table 1. Overview of technology, their processes and classification for hydrogen production</w:t>
      </w:r>
    </w:p>
    <w:tbl>
      <w:tblPr>
        <w:tblW w:w="11362" w:type="dxa"/>
        <w:jc w:val="center"/>
        <w:tblLook w:val="04A0" w:firstRow="1" w:lastRow="0" w:firstColumn="1" w:lastColumn="0" w:noHBand="0" w:noVBand="1"/>
      </w:tblPr>
      <w:tblGrid>
        <w:gridCol w:w="1418"/>
        <w:gridCol w:w="1695"/>
        <w:gridCol w:w="4395"/>
        <w:gridCol w:w="1559"/>
        <w:gridCol w:w="1517"/>
        <w:gridCol w:w="1184"/>
      </w:tblGrid>
      <w:tr w:rsidR="00307EB2" w:rsidRPr="00307EB2" w14:paraId="330496A4" w14:textId="77777777" w:rsidTr="003D2E1F">
        <w:trPr>
          <w:trHeight w:val="640"/>
          <w:jc w:val="center"/>
        </w:trPr>
        <w:tc>
          <w:tcPr>
            <w:tcW w:w="11362" w:type="dxa"/>
            <w:gridSpan w:val="6"/>
            <w:tcBorders>
              <w:top w:val="single" w:sz="4" w:space="0" w:color="auto"/>
              <w:left w:val="single" w:sz="4" w:space="0" w:color="auto"/>
              <w:bottom w:val="single" w:sz="4" w:space="0" w:color="auto"/>
              <w:right w:val="single" w:sz="4" w:space="0" w:color="auto"/>
            </w:tcBorders>
            <w:shd w:val="clear" w:color="000000" w:fill="0D0D0D"/>
            <w:noWrap/>
            <w:vAlign w:val="center"/>
            <w:hideMark/>
          </w:tcPr>
          <w:p w14:paraId="06B39916" w14:textId="77777777" w:rsidR="00307EB2" w:rsidRPr="00307EB2" w:rsidRDefault="00307EB2" w:rsidP="00307EB2">
            <w:pPr>
              <w:pStyle w:val="Body"/>
              <w:rPr>
                <w:rFonts w:ascii="Arial" w:hAnsi="Arial" w:cs="Arial"/>
                <w:b/>
                <w:bCs/>
              </w:rPr>
            </w:pPr>
            <w:r w:rsidRPr="00307EB2">
              <w:rPr>
                <w:rFonts w:ascii="Arial" w:hAnsi="Arial" w:cs="Arial"/>
                <w:b/>
                <w:bCs/>
              </w:rPr>
              <w:lastRenderedPageBreak/>
              <w:t>Technology for hydrogen production</w:t>
            </w:r>
          </w:p>
        </w:tc>
      </w:tr>
      <w:tr w:rsidR="00307EB2" w:rsidRPr="00307EB2" w14:paraId="67E7FA04" w14:textId="77777777" w:rsidTr="003D2E1F">
        <w:trPr>
          <w:trHeight w:val="620"/>
          <w:jc w:val="center"/>
        </w:trPr>
        <w:tc>
          <w:tcPr>
            <w:tcW w:w="1418" w:type="dxa"/>
            <w:tcBorders>
              <w:top w:val="nil"/>
              <w:left w:val="single" w:sz="4" w:space="0" w:color="auto"/>
              <w:bottom w:val="single" w:sz="4" w:space="0" w:color="auto"/>
              <w:right w:val="single" w:sz="4" w:space="0" w:color="auto"/>
            </w:tcBorders>
            <w:shd w:val="clear" w:color="000000" w:fill="D9D9D9"/>
            <w:noWrap/>
            <w:vAlign w:val="center"/>
            <w:hideMark/>
          </w:tcPr>
          <w:p w14:paraId="5213ED84" w14:textId="77777777" w:rsidR="00307EB2" w:rsidRPr="00307EB2" w:rsidRDefault="00307EB2" w:rsidP="00307EB2">
            <w:pPr>
              <w:pStyle w:val="Body"/>
              <w:rPr>
                <w:rFonts w:ascii="Arial" w:hAnsi="Arial" w:cs="Arial"/>
                <w:b/>
                <w:bCs/>
              </w:rPr>
            </w:pPr>
            <w:r w:rsidRPr="00307EB2">
              <w:rPr>
                <w:rFonts w:ascii="Arial" w:hAnsi="Arial" w:cs="Arial"/>
                <w:b/>
                <w:bCs/>
              </w:rPr>
              <w:t>Thecnology</w:t>
            </w:r>
          </w:p>
        </w:tc>
        <w:tc>
          <w:tcPr>
            <w:tcW w:w="1559" w:type="dxa"/>
            <w:tcBorders>
              <w:top w:val="nil"/>
              <w:left w:val="nil"/>
              <w:bottom w:val="single" w:sz="4" w:space="0" w:color="auto"/>
              <w:right w:val="single" w:sz="4" w:space="0" w:color="auto"/>
            </w:tcBorders>
            <w:shd w:val="clear" w:color="000000" w:fill="D9D9D9"/>
            <w:noWrap/>
            <w:vAlign w:val="center"/>
            <w:hideMark/>
          </w:tcPr>
          <w:p w14:paraId="618BB5EC" w14:textId="77777777" w:rsidR="00307EB2" w:rsidRPr="00307EB2" w:rsidRDefault="00307EB2" w:rsidP="00307EB2">
            <w:pPr>
              <w:pStyle w:val="Body"/>
              <w:rPr>
                <w:rFonts w:ascii="Arial" w:hAnsi="Arial" w:cs="Arial"/>
                <w:b/>
                <w:bCs/>
              </w:rPr>
            </w:pPr>
            <w:r w:rsidRPr="00307EB2">
              <w:rPr>
                <w:rFonts w:ascii="Arial" w:hAnsi="Arial" w:cs="Arial"/>
                <w:b/>
                <w:bCs/>
              </w:rPr>
              <w:t>Processes</w:t>
            </w:r>
          </w:p>
        </w:tc>
        <w:tc>
          <w:tcPr>
            <w:tcW w:w="4395" w:type="dxa"/>
            <w:tcBorders>
              <w:top w:val="nil"/>
              <w:left w:val="nil"/>
              <w:bottom w:val="single" w:sz="4" w:space="0" w:color="auto"/>
              <w:right w:val="single" w:sz="4" w:space="0" w:color="auto"/>
            </w:tcBorders>
            <w:shd w:val="clear" w:color="000000" w:fill="D9D9D9"/>
            <w:noWrap/>
            <w:vAlign w:val="center"/>
            <w:hideMark/>
          </w:tcPr>
          <w:p w14:paraId="47CEF7D3" w14:textId="77777777" w:rsidR="00307EB2" w:rsidRPr="00307EB2" w:rsidRDefault="00307EB2" w:rsidP="00307EB2">
            <w:pPr>
              <w:pStyle w:val="Body"/>
              <w:rPr>
                <w:rFonts w:ascii="Arial" w:hAnsi="Arial" w:cs="Arial"/>
                <w:b/>
                <w:bCs/>
              </w:rPr>
            </w:pPr>
            <w:r w:rsidRPr="00307EB2">
              <w:rPr>
                <w:rFonts w:ascii="Arial" w:hAnsi="Arial" w:cs="Arial"/>
                <w:b/>
                <w:bCs/>
              </w:rPr>
              <w:t>Description</w:t>
            </w:r>
          </w:p>
        </w:tc>
        <w:tc>
          <w:tcPr>
            <w:tcW w:w="1559" w:type="dxa"/>
            <w:tcBorders>
              <w:top w:val="nil"/>
              <w:left w:val="nil"/>
              <w:bottom w:val="single" w:sz="4" w:space="0" w:color="auto"/>
              <w:right w:val="single" w:sz="4" w:space="0" w:color="auto"/>
            </w:tcBorders>
            <w:shd w:val="clear" w:color="000000" w:fill="D9D9D9"/>
            <w:noWrap/>
            <w:vAlign w:val="center"/>
            <w:hideMark/>
          </w:tcPr>
          <w:p w14:paraId="6A06325D" w14:textId="77777777" w:rsidR="00307EB2" w:rsidRPr="00307EB2" w:rsidRDefault="00307EB2" w:rsidP="00307EB2">
            <w:pPr>
              <w:pStyle w:val="Body"/>
              <w:rPr>
                <w:rFonts w:ascii="Arial" w:hAnsi="Arial" w:cs="Arial"/>
                <w:b/>
                <w:bCs/>
              </w:rPr>
            </w:pPr>
            <w:r w:rsidRPr="00307EB2">
              <w:rPr>
                <w:rFonts w:ascii="Arial" w:hAnsi="Arial" w:cs="Arial"/>
                <w:b/>
                <w:bCs/>
              </w:rPr>
              <w:t>Comon Source of Energy</w:t>
            </w:r>
          </w:p>
        </w:tc>
        <w:tc>
          <w:tcPr>
            <w:tcW w:w="1364" w:type="dxa"/>
            <w:tcBorders>
              <w:top w:val="nil"/>
              <w:left w:val="nil"/>
              <w:bottom w:val="single" w:sz="4" w:space="0" w:color="auto"/>
              <w:right w:val="single" w:sz="4" w:space="0" w:color="auto"/>
            </w:tcBorders>
            <w:shd w:val="clear" w:color="000000" w:fill="D9D9D9"/>
            <w:noWrap/>
            <w:vAlign w:val="center"/>
            <w:hideMark/>
          </w:tcPr>
          <w:p w14:paraId="0AC71C64" w14:textId="77777777" w:rsidR="00307EB2" w:rsidRPr="00307EB2" w:rsidRDefault="00307EB2" w:rsidP="00307EB2">
            <w:pPr>
              <w:pStyle w:val="Body"/>
              <w:rPr>
                <w:rFonts w:ascii="Arial" w:hAnsi="Arial" w:cs="Arial"/>
                <w:b/>
                <w:bCs/>
              </w:rPr>
            </w:pPr>
            <w:r w:rsidRPr="00307EB2">
              <w:rPr>
                <w:rFonts w:ascii="Arial" w:hAnsi="Arial" w:cs="Arial"/>
                <w:b/>
                <w:bCs/>
              </w:rPr>
              <w:t xml:space="preserve">Classification </w:t>
            </w:r>
          </w:p>
        </w:tc>
        <w:tc>
          <w:tcPr>
            <w:tcW w:w="1067" w:type="dxa"/>
            <w:tcBorders>
              <w:top w:val="nil"/>
              <w:left w:val="nil"/>
              <w:bottom w:val="single" w:sz="4" w:space="0" w:color="auto"/>
              <w:right w:val="single" w:sz="4" w:space="0" w:color="auto"/>
            </w:tcBorders>
            <w:shd w:val="clear" w:color="000000" w:fill="D9D9D9"/>
            <w:noWrap/>
            <w:vAlign w:val="center"/>
            <w:hideMark/>
          </w:tcPr>
          <w:p w14:paraId="1398CC72" w14:textId="77777777" w:rsidR="00307EB2" w:rsidRPr="00307EB2" w:rsidRDefault="00307EB2" w:rsidP="00307EB2">
            <w:pPr>
              <w:pStyle w:val="Body"/>
              <w:rPr>
                <w:rFonts w:ascii="Arial" w:hAnsi="Arial" w:cs="Arial"/>
                <w:b/>
                <w:bCs/>
              </w:rPr>
            </w:pPr>
            <w:r w:rsidRPr="00307EB2">
              <w:rPr>
                <w:rFonts w:ascii="Arial" w:hAnsi="Arial" w:cs="Arial"/>
                <w:b/>
                <w:bCs/>
              </w:rPr>
              <w:t>Reference</w:t>
            </w:r>
          </w:p>
        </w:tc>
      </w:tr>
      <w:tr w:rsidR="00307EB2" w:rsidRPr="00307EB2" w14:paraId="184C64DA" w14:textId="77777777" w:rsidTr="003D2E1F">
        <w:trPr>
          <w:trHeight w:val="2380"/>
          <w:jc w:val="center"/>
        </w:trPr>
        <w:tc>
          <w:tcPr>
            <w:tcW w:w="1418" w:type="dxa"/>
            <w:vMerge w:val="restart"/>
            <w:tcBorders>
              <w:top w:val="nil"/>
              <w:left w:val="single" w:sz="4" w:space="0" w:color="auto"/>
              <w:bottom w:val="single" w:sz="4" w:space="0" w:color="000000"/>
              <w:right w:val="single" w:sz="4" w:space="0" w:color="auto"/>
            </w:tcBorders>
            <w:noWrap/>
            <w:vAlign w:val="center"/>
            <w:hideMark/>
          </w:tcPr>
          <w:p w14:paraId="496F6C08" w14:textId="77777777" w:rsidR="00307EB2" w:rsidRPr="00307EB2" w:rsidRDefault="00307EB2" w:rsidP="00307EB2">
            <w:pPr>
              <w:pStyle w:val="Body"/>
              <w:rPr>
                <w:rFonts w:ascii="Arial" w:hAnsi="Arial" w:cs="Arial"/>
              </w:rPr>
            </w:pPr>
            <w:r w:rsidRPr="00307EB2">
              <w:rPr>
                <w:rFonts w:ascii="Arial" w:hAnsi="Arial" w:cs="Arial"/>
              </w:rPr>
              <w:t>Electrolysis</w:t>
            </w:r>
          </w:p>
        </w:tc>
        <w:tc>
          <w:tcPr>
            <w:tcW w:w="1559" w:type="dxa"/>
            <w:tcBorders>
              <w:top w:val="nil"/>
              <w:left w:val="nil"/>
              <w:bottom w:val="single" w:sz="4" w:space="0" w:color="auto"/>
              <w:right w:val="single" w:sz="4" w:space="0" w:color="auto"/>
            </w:tcBorders>
            <w:vAlign w:val="center"/>
            <w:hideMark/>
          </w:tcPr>
          <w:p w14:paraId="52903D0E" w14:textId="77777777" w:rsidR="00307EB2" w:rsidRPr="00307EB2" w:rsidRDefault="00307EB2" w:rsidP="00307EB2">
            <w:pPr>
              <w:pStyle w:val="Body"/>
              <w:rPr>
                <w:rFonts w:ascii="Arial" w:hAnsi="Arial" w:cs="Arial"/>
              </w:rPr>
            </w:pPr>
            <w:r w:rsidRPr="00307EB2">
              <w:rPr>
                <w:rFonts w:ascii="Arial" w:hAnsi="Arial" w:cs="Arial"/>
              </w:rPr>
              <w:t>Alkaline electrolysis (AEL)</w:t>
            </w:r>
          </w:p>
        </w:tc>
        <w:tc>
          <w:tcPr>
            <w:tcW w:w="4395" w:type="dxa"/>
            <w:tcBorders>
              <w:top w:val="nil"/>
              <w:left w:val="nil"/>
              <w:bottom w:val="single" w:sz="4" w:space="0" w:color="auto"/>
              <w:right w:val="single" w:sz="4" w:space="0" w:color="auto"/>
            </w:tcBorders>
            <w:vAlign w:val="center"/>
            <w:hideMark/>
          </w:tcPr>
          <w:p w14:paraId="02832D3D" w14:textId="77777777" w:rsidR="00307EB2" w:rsidRPr="00307EB2" w:rsidRDefault="00307EB2" w:rsidP="00307EB2">
            <w:pPr>
              <w:pStyle w:val="Body"/>
              <w:rPr>
                <w:rFonts w:ascii="Arial" w:hAnsi="Arial" w:cs="Arial"/>
              </w:rPr>
            </w:pPr>
            <w:r w:rsidRPr="00307EB2">
              <w:rPr>
                <w:rFonts w:ascii="Arial" w:hAnsi="Arial" w:cs="Arial"/>
              </w:rPr>
              <w:t>AEL is a well established method using liquid alkaline electrolytes (KOH/NaOH). It offers 60-80% efficiency and cost-effective nickel-based catalysts. Ideal for large-scale hydrogen production but requires a stable power supply. Challenges include gas crossover and limited adaptability to renewable energy fuctuations.</w:t>
            </w:r>
          </w:p>
        </w:tc>
        <w:tc>
          <w:tcPr>
            <w:tcW w:w="1559" w:type="dxa"/>
            <w:vMerge w:val="restart"/>
            <w:tcBorders>
              <w:top w:val="nil"/>
              <w:left w:val="single" w:sz="4" w:space="0" w:color="auto"/>
              <w:bottom w:val="single" w:sz="4" w:space="0" w:color="auto"/>
              <w:right w:val="single" w:sz="4" w:space="0" w:color="auto"/>
            </w:tcBorders>
            <w:vAlign w:val="center"/>
            <w:hideMark/>
          </w:tcPr>
          <w:p w14:paraId="7D6B26E4" w14:textId="77777777" w:rsidR="00307EB2" w:rsidRPr="00307EB2" w:rsidRDefault="00307EB2" w:rsidP="00307EB2">
            <w:pPr>
              <w:pStyle w:val="Body"/>
              <w:rPr>
                <w:rFonts w:ascii="Arial" w:hAnsi="Arial" w:cs="Arial"/>
              </w:rPr>
            </w:pPr>
            <w:r w:rsidRPr="00307EB2">
              <w:rPr>
                <w:rFonts w:ascii="Arial" w:hAnsi="Arial" w:cs="Arial"/>
              </w:rPr>
              <w:t>Wind,  solar and hydropower</w:t>
            </w:r>
          </w:p>
        </w:tc>
        <w:tc>
          <w:tcPr>
            <w:tcW w:w="1364" w:type="dxa"/>
            <w:tcBorders>
              <w:top w:val="nil"/>
              <w:left w:val="nil"/>
              <w:bottom w:val="single" w:sz="4" w:space="0" w:color="auto"/>
              <w:right w:val="single" w:sz="4" w:space="0" w:color="auto"/>
            </w:tcBorders>
            <w:vAlign w:val="center"/>
            <w:hideMark/>
          </w:tcPr>
          <w:p w14:paraId="12BFFFB4" w14:textId="77777777" w:rsidR="00307EB2" w:rsidRPr="00307EB2" w:rsidRDefault="00307EB2" w:rsidP="00307EB2">
            <w:pPr>
              <w:pStyle w:val="Body"/>
              <w:rPr>
                <w:rFonts w:ascii="Arial" w:hAnsi="Arial" w:cs="Arial"/>
              </w:rPr>
            </w:pPr>
            <w:r w:rsidRPr="00307EB2">
              <w:rPr>
                <w:rFonts w:ascii="Arial" w:hAnsi="Arial" w:cs="Arial"/>
              </w:rPr>
              <w:t>Carbon-free</w:t>
            </w:r>
          </w:p>
        </w:tc>
        <w:tc>
          <w:tcPr>
            <w:tcW w:w="1067" w:type="dxa"/>
            <w:tcBorders>
              <w:top w:val="nil"/>
              <w:left w:val="nil"/>
              <w:bottom w:val="single" w:sz="4" w:space="0" w:color="auto"/>
              <w:right w:val="single" w:sz="4" w:space="0" w:color="auto"/>
            </w:tcBorders>
            <w:noWrap/>
            <w:vAlign w:val="center"/>
            <w:hideMark/>
          </w:tcPr>
          <w:p w14:paraId="6AC164FE" w14:textId="77777777" w:rsidR="00307EB2" w:rsidRPr="00307EB2" w:rsidRDefault="00307EB2" w:rsidP="00307EB2">
            <w:pPr>
              <w:pStyle w:val="Body"/>
              <w:rPr>
                <w:rFonts w:ascii="Arial" w:hAnsi="Arial" w:cs="Arial"/>
              </w:rPr>
            </w:pPr>
            <w:r w:rsidRPr="00307EB2">
              <w:rPr>
                <w:rFonts w:ascii="Arial" w:hAnsi="Arial" w:cs="Arial"/>
              </w:rPr>
              <w:t>[10]</w:t>
            </w:r>
          </w:p>
        </w:tc>
      </w:tr>
      <w:tr w:rsidR="00307EB2" w:rsidRPr="00307EB2" w14:paraId="29847208" w14:textId="77777777" w:rsidTr="003D2E1F">
        <w:trPr>
          <w:trHeight w:val="2380"/>
          <w:jc w:val="center"/>
        </w:trPr>
        <w:tc>
          <w:tcPr>
            <w:tcW w:w="1418" w:type="dxa"/>
            <w:vMerge/>
            <w:tcBorders>
              <w:top w:val="nil"/>
              <w:left w:val="single" w:sz="4" w:space="0" w:color="auto"/>
              <w:bottom w:val="single" w:sz="4" w:space="0" w:color="000000"/>
              <w:right w:val="single" w:sz="4" w:space="0" w:color="auto"/>
            </w:tcBorders>
            <w:vAlign w:val="center"/>
            <w:hideMark/>
          </w:tcPr>
          <w:p w14:paraId="45C5CD58" w14:textId="77777777" w:rsidR="00307EB2" w:rsidRPr="00307EB2" w:rsidRDefault="00307EB2" w:rsidP="00307EB2">
            <w:pPr>
              <w:pStyle w:val="Body"/>
              <w:rPr>
                <w:rFonts w:ascii="Arial" w:hAnsi="Arial" w:cs="Arial"/>
              </w:rPr>
            </w:pPr>
          </w:p>
        </w:tc>
        <w:tc>
          <w:tcPr>
            <w:tcW w:w="1559" w:type="dxa"/>
            <w:tcBorders>
              <w:top w:val="nil"/>
              <w:left w:val="nil"/>
              <w:bottom w:val="single" w:sz="4" w:space="0" w:color="auto"/>
              <w:right w:val="single" w:sz="4" w:space="0" w:color="auto"/>
            </w:tcBorders>
            <w:vAlign w:val="center"/>
            <w:hideMark/>
          </w:tcPr>
          <w:p w14:paraId="5063941E" w14:textId="77777777" w:rsidR="00307EB2" w:rsidRPr="00307EB2" w:rsidRDefault="00307EB2" w:rsidP="00307EB2">
            <w:pPr>
              <w:pStyle w:val="Body"/>
              <w:rPr>
                <w:rFonts w:ascii="Arial" w:hAnsi="Arial" w:cs="Arial"/>
              </w:rPr>
            </w:pPr>
            <w:r w:rsidRPr="00307EB2">
              <w:rPr>
                <w:rFonts w:ascii="Arial" w:hAnsi="Arial" w:cs="Arial"/>
              </w:rPr>
              <w:t>Proton exchange membrane electrolysis (PEM)</w:t>
            </w:r>
          </w:p>
        </w:tc>
        <w:tc>
          <w:tcPr>
            <w:tcW w:w="4395" w:type="dxa"/>
            <w:tcBorders>
              <w:top w:val="nil"/>
              <w:left w:val="nil"/>
              <w:bottom w:val="single" w:sz="4" w:space="0" w:color="auto"/>
              <w:right w:val="single" w:sz="4" w:space="0" w:color="auto"/>
            </w:tcBorders>
            <w:vAlign w:val="center"/>
            <w:hideMark/>
          </w:tcPr>
          <w:p w14:paraId="17361300" w14:textId="77777777" w:rsidR="00307EB2" w:rsidRPr="00307EB2" w:rsidRDefault="00307EB2" w:rsidP="00307EB2">
            <w:pPr>
              <w:pStyle w:val="Body"/>
              <w:rPr>
                <w:rFonts w:ascii="Arial" w:hAnsi="Arial" w:cs="Arial"/>
              </w:rPr>
            </w:pPr>
            <w:r w:rsidRPr="00307EB2">
              <w:rPr>
                <w:rFonts w:ascii="Arial" w:hAnsi="Arial" w:cs="Arial"/>
              </w:rPr>
              <w:t>Uses a solid polymer membranefor higher-purity hydrogen production. Highly responsive to renewable energy variaion but relies on costly materials like platinum and iridium. Research focuses on cost reduction and improve membrane durability.</w:t>
            </w:r>
          </w:p>
        </w:tc>
        <w:tc>
          <w:tcPr>
            <w:tcW w:w="1559" w:type="dxa"/>
            <w:vMerge/>
            <w:tcBorders>
              <w:top w:val="nil"/>
              <w:left w:val="single" w:sz="4" w:space="0" w:color="auto"/>
              <w:bottom w:val="single" w:sz="4" w:space="0" w:color="auto"/>
              <w:right w:val="single" w:sz="4" w:space="0" w:color="auto"/>
            </w:tcBorders>
            <w:vAlign w:val="center"/>
            <w:hideMark/>
          </w:tcPr>
          <w:p w14:paraId="1083A126" w14:textId="77777777" w:rsidR="00307EB2" w:rsidRPr="00307EB2" w:rsidRDefault="00307EB2" w:rsidP="00307EB2">
            <w:pPr>
              <w:pStyle w:val="Body"/>
              <w:rPr>
                <w:rFonts w:ascii="Arial" w:hAnsi="Arial" w:cs="Arial"/>
              </w:rPr>
            </w:pPr>
          </w:p>
        </w:tc>
        <w:tc>
          <w:tcPr>
            <w:tcW w:w="1364" w:type="dxa"/>
            <w:tcBorders>
              <w:top w:val="nil"/>
              <w:left w:val="nil"/>
              <w:bottom w:val="single" w:sz="4" w:space="0" w:color="auto"/>
              <w:right w:val="single" w:sz="4" w:space="0" w:color="auto"/>
            </w:tcBorders>
            <w:vAlign w:val="center"/>
            <w:hideMark/>
          </w:tcPr>
          <w:p w14:paraId="24C9E07C" w14:textId="77777777" w:rsidR="00307EB2" w:rsidRPr="00307EB2" w:rsidRDefault="00307EB2" w:rsidP="00307EB2">
            <w:pPr>
              <w:pStyle w:val="Body"/>
              <w:rPr>
                <w:rFonts w:ascii="Arial" w:hAnsi="Arial" w:cs="Arial"/>
              </w:rPr>
            </w:pPr>
            <w:r w:rsidRPr="00307EB2">
              <w:rPr>
                <w:rFonts w:ascii="Arial" w:hAnsi="Arial" w:cs="Arial"/>
              </w:rPr>
              <w:t>Carbon-free</w:t>
            </w:r>
          </w:p>
        </w:tc>
        <w:tc>
          <w:tcPr>
            <w:tcW w:w="1067" w:type="dxa"/>
            <w:tcBorders>
              <w:top w:val="nil"/>
              <w:left w:val="nil"/>
              <w:bottom w:val="single" w:sz="4" w:space="0" w:color="auto"/>
              <w:right w:val="single" w:sz="4" w:space="0" w:color="auto"/>
            </w:tcBorders>
            <w:noWrap/>
            <w:vAlign w:val="center"/>
            <w:hideMark/>
          </w:tcPr>
          <w:p w14:paraId="6FB5B8EE" w14:textId="77777777" w:rsidR="00307EB2" w:rsidRPr="00307EB2" w:rsidRDefault="00307EB2" w:rsidP="00307EB2">
            <w:pPr>
              <w:pStyle w:val="Body"/>
              <w:rPr>
                <w:rFonts w:ascii="Arial" w:hAnsi="Arial" w:cs="Arial"/>
              </w:rPr>
            </w:pPr>
            <w:r w:rsidRPr="00307EB2">
              <w:rPr>
                <w:rFonts w:ascii="Arial" w:hAnsi="Arial" w:cs="Arial"/>
              </w:rPr>
              <w:t>[10]</w:t>
            </w:r>
          </w:p>
        </w:tc>
      </w:tr>
      <w:tr w:rsidR="00307EB2" w:rsidRPr="00307EB2" w14:paraId="1BEA76C8" w14:textId="77777777" w:rsidTr="003D2E1F">
        <w:trPr>
          <w:trHeight w:val="2380"/>
          <w:jc w:val="center"/>
        </w:trPr>
        <w:tc>
          <w:tcPr>
            <w:tcW w:w="1418" w:type="dxa"/>
            <w:vMerge/>
            <w:tcBorders>
              <w:top w:val="nil"/>
              <w:left w:val="single" w:sz="4" w:space="0" w:color="auto"/>
              <w:bottom w:val="single" w:sz="4" w:space="0" w:color="000000"/>
              <w:right w:val="single" w:sz="4" w:space="0" w:color="auto"/>
            </w:tcBorders>
            <w:vAlign w:val="center"/>
            <w:hideMark/>
          </w:tcPr>
          <w:p w14:paraId="59176237" w14:textId="77777777" w:rsidR="00307EB2" w:rsidRPr="00307EB2" w:rsidRDefault="00307EB2" w:rsidP="00307EB2">
            <w:pPr>
              <w:pStyle w:val="Body"/>
              <w:rPr>
                <w:rFonts w:ascii="Arial" w:hAnsi="Arial" w:cs="Arial"/>
              </w:rPr>
            </w:pPr>
          </w:p>
        </w:tc>
        <w:tc>
          <w:tcPr>
            <w:tcW w:w="1559" w:type="dxa"/>
            <w:tcBorders>
              <w:top w:val="nil"/>
              <w:left w:val="nil"/>
              <w:bottom w:val="single" w:sz="4" w:space="0" w:color="auto"/>
              <w:right w:val="single" w:sz="4" w:space="0" w:color="auto"/>
            </w:tcBorders>
            <w:vAlign w:val="center"/>
            <w:hideMark/>
          </w:tcPr>
          <w:p w14:paraId="711FB27E" w14:textId="77777777" w:rsidR="00307EB2" w:rsidRPr="00307EB2" w:rsidRDefault="00307EB2" w:rsidP="00307EB2">
            <w:pPr>
              <w:pStyle w:val="Body"/>
              <w:rPr>
                <w:rFonts w:ascii="Arial" w:hAnsi="Arial" w:cs="Arial"/>
              </w:rPr>
            </w:pPr>
            <w:r w:rsidRPr="00307EB2">
              <w:rPr>
                <w:rFonts w:ascii="Arial" w:hAnsi="Arial" w:cs="Arial"/>
              </w:rPr>
              <w:t>Solid oxide electrolysis (SOE)</w:t>
            </w:r>
          </w:p>
        </w:tc>
        <w:tc>
          <w:tcPr>
            <w:tcW w:w="4395" w:type="dxa"/>
            <w:tcBorders>
              <w:top w:val="nil"/>
              <w:left w:val="nil"/>
              <w:bottom w:val="single" w:sz="4" w:space="0" w:color="auto"/>
              <w:right w:val="single" w:sz="4" w:space="0" w:color="auto"/>
            </w:tcBorders>
            <w:vAlign w:val="center"/>
            <w:hideMark/>
          </w:tcPr>
          <w:p w14:paraId="680F75CB" w14:textId="77777777" w:rsidR="00307EB2" w:rsidRPr="00307EB2" w:rsidRDefault="00307EB2" w:rsidP="00307EB2">
            <w:pPr>
              <w:pStyle w:val="Body"/>
              <w:rPr>
                <w:rFonts w:ascii="Arial" w:hAnsi="Arial" w:cs="Arial"/>
              </w:rPr>
            </w:pPr>
            <w:r w:rsidRPr="00307EB2">
              <w:rPr>
                <w:rFonts w:ascii="Arial" w:hAnsi="Arial" w:cs="Arial"/>
              </w:rPr>
              <w:t>Operates at high temperatures (700-900 ºC), utilizinf thermal energy for efficiency. Suitable for industrial heat integration  and energy storage but faces material degradation and high costs. Research aims to enhance  durability and scalability.</w:t>
            </w:r>
          </w:p>
        </w:tc>
        <w:tc>
          <w:tcPr>
            <w:tcW w:w="1559" w:type="dxa"/>
            <w:vMerge/>
            <w:tcBorders>
              <w:top w:val="nil"/>
              <w:left w:val="single" w:sz="4" w:space="0" w:color="auto"/>
              <w:bottom w:val="single" w:sz="4" w:space="0" w:color="auto"/>
              <w:right w:val="single" w:sz="4" w:space="0" w:color="auto"/>
            </w:tcBorders>
            <w:vAlign w:val="center"/>
            <w:hideMark/>
          </w:tcPr>
          <w:p w14:paraId="3426EDD9" w14:textId="77777777" w:rsidR="00307EB2" w:rsidRPr="00307EB2" w:rsidRDefault="00307EB2" w:rsidP="00307EB2">
            <w:pPr>
              <w:pStyle w:val="Body"/>
              <w:rPr>
                <w:rFonts w:ascii="Arial" w:hAnsi="Arial" w:cs="Arial"/>
              </w:rPr>
            </w:pPr>
          </w:p>
        </w:tc>
        <w:tc>
          <w:tcPr>
            <w:tcW w:w="1364" w:type="dxa"/>
            <w:tcBorders>
              <w:top w:val="nil"/>
              <w:left w:val="nil"/>
              <w:bottom w:val="single" w:sz="4" w:space="0" w:color="auto"/>
              <w:right w:val="single" w:sz="4" w:space="0" w:color="auto"/>
            </w:tcBorders>
            <w:vAlign w:val="center"/>
            <w:hideMark/>
          </w:tcPr>
          <w:p w14:paraId="547F7665" w14:textId="77777777" w:rsidR="00307EB2" w:rsidRPr="00307EB2" w:rsidRDefault="00307EB2" w:rsidP="00307EB2">
            <w:pPr>
              <w:pStyle w:val="Body"/>
              <w:rPr>
                <w:rFonts w:ascii="Arial" w:hAnsi="Arial" w:cs="Arial"/>
              </w:rPr>
            </w:pPr>
            <w:r w:rsidRPr="00307EB2">
              <w:rPr>
                <w:rFonts w:ascii="Arial" w:hAnsi="Arial" w:cs="Arial"/>
              </w:rPr>
              <w:t>Carbon-free</w:t>
            </w:r>
          </w:p>
        </w:tc>
        <w:tc>
          <w:tcPr>
            <w:tcW w:w="1067" w:type="dxa"/>
            <w:tcBorders>
              <w:top w:val="nil"/>
              <w:left w:val="nil"/>
              <w:bottom w:val="single" w:sz="4" w:space="0" w:color="auto"/>
              <w:right w:val="single" w:sz="4" w:space="0" w:color="auto"/>
            </w:tcBorders>
            <w:noWrap/>
            <w:vAlign w:val="center"/>
            <w:hideMark/>
          </w:tcPr>
          <w:p w14:paraId="38EDF55B" w14:textId="77777777" w:rsidR="00307EB2" w:rsidRPr="00307EB2" w:rsidRDefault="00307EB2" w:rsidP="00307EB2">
            <w:pPr>
              <w:pStyle w:val="Body"/>
              <w:rPr>
                <w:rFonts w:ascii="Arial" w:hAnsi="Arial" w:cs="Arial"/>
              </w:rPr>
            </w:pPr>
            <w:r w:rsidRPr="00307EB2">
              <w:rPr>
                <w:rFonts w:ascii="Arial" w:hAnsi="Arial" w:cs="Arial"/>
              </w:rPr>
              <w:t>[10]</w:t>
            </w:r>
          </w:p>
        </w:tc>
      </w:tr>
      <w:tr w:rsidR="00307EB2" w:rsidRPr="00307EB2" w14:paraId="6F354F93" w14:textId="77777777" w:rsidTr="003D2E1F">
        <w:trPr>
          <w:trHeight w:val="3960"/>
          <w:jc w:val="center"/>
        </w:trPr>
        <w:tc>
          <w:tcPr>
            <w:tcW w:w="1418" w:type="dxa"/>
            <w:tcBorders>
              <w:top w:val="nil"/>
              <w:left w:val="single" w:sz="4" w:space="0" w:color="auto"/>
              <w:bottom w:val="single" w:sz="4" w:space="0" w:color="auto"/>
              <w:right w:val="single" w:sz="4" w:space="0" w:color="auto"/>
            </w:tcBorders>
            <w:noWrap/>
            <w:vAlign w:val="center"/>
            <w:hideMark/>
          </w:tcPr>
          <w:p w14:paraId="0CDB9E84" w14:textId="77777777" w:rsidR="00307EB2" w:rsidRPr="00307EB2" w:rsidRDefault="00307EB2" w:rsidP="00307EB2">
            <w:pPr>
              <w:pStyle w:val="Body"/>
              <w:rPr>
                <w:rFonts w:ascii="Arial" w:hAnsi="Arial" w:cs="Arial"/>
              </w:rPr>
            </w:pPr>
            <w:r w:rsidRPr="00307EB2">
              <w:rPr>
                <w:rFonts w:ascii="Arial" w:hAnsi="Arial" w:cs="Arial"/>
              </w:rPr>
              <w:lastRenderedPageBreak/>
              <w:t>Gasification</w:t>
            </w:r>
          </w:p>
        </w:tc>
        <w:tc>
          <w:tcPr>
            <w:tcW w:w="1559" w:type="dxa"/>
            <w:tcBorders>
              <w:top w:val="nil"/>
              <w:left w:val="nil"/>
              <w:bottom w:val="single" w:sz="4" w:space="0" w:color="auto"/>
              <w:right w:val="single" w:sz="4" w:space="0" w:color="auto"/>
            </w:tcBorders>
            <w:vAlign w:val="center"/>
            <w:hideMark/>
          </w:tcPr>
          <w:p w14:paraId="605CE8D8" w14:textId="77777777" w:rsidR="00307EB2" w:rsidRPr="00307EB2" w:rsidRDefault="00307EB2" w:rsidP="00307EB2">
            <w:pPr>
              <w:pStyle w:val="Body"/>
              <w:rPr>
                <w:rFonts w:ascii="Arial" w:hAnsi="Arial" w:cs="Arial"/>
              </w:rPr>
            </w:pPr>
            <w:r w:rsidRPr="00307EB2">
              <w:rPr>
                <w:rFonts w:ascii="Arial" w:hAnsi="Arial" w:cs="Arial"/>
              </w:rPr>
              <w:t>Thermochemical conversion - Syngas</w:t>
            </w:r>
          </w:p>
        </w:tc>
        <w:tc>
          <w:tcPr>
            <w:tcW w:w="4395" w:type="dxa"/>
            <w:tcBorders>
              <w:top w:val="nil"/>
              <w:left w:val="nil"/>
              <w:bottom w:val="single" w:sz="4" w:space="0" w:color="auto"/>
              <w:right w:val="single" w:sz="4" w:space="0" w:color="auto"/>
            </w:tcBorders>
            <w:vAlign w:val="center"/>
            <w:hideMark/>
          </w:tcPr>
          <w:p w14:paraId="675D9DD4" w14:textId="77777777" w:rsidR="00307EB2" w:rsidRPr="00307EB2" w:rsidRDefault="00307EB2" w:rsidP="00307EB2">
            <w:pPr>
              <w:pStyle w:val="Body"/>
              <w:rPr>
                <w:rFonts w:ascii="Arial" w:hAnsi="Arial" w:cs="Arial"/>
              </w:rPr>
            </w:pPr>
            <w:r w:rsidRPr="00307EB2">
              <w:rPr>
                <w:rFonts w:ascii="Arial" w:hAnsi="Arial" w:cs="Arial"/>
              </w:rPr>
              <w:t>The process involves complex chemical reactions occurring in multiple stages: drying, pyrolysis, oxidation, and reduction. During the initial drying stage, moisture is removed from the biomass at temperatures below 200 ◦C, followed by pyrolysis at 200–500 ◦C where volatile compounds are released, leaving behind char. The oxidation stage occurs at 700–1500 ◦C with limited oxygen supply, producing heat for the endothermic gasification reactions, while the reduction stage involves the conversion of char and volatiles into syngas components. Research aims for reduce costs and improve biomass efficiency.</w:t>
            </w:r>
          </w:p>
        </w:tc>
        <w:tc>
          <w:tcPr>
            <w:tcW w:w="1559" w:type="dxa"/>
            <w:tcBorders>
              <w:top w:val="nil"/>
              <w:left w:val="nil"/>
              <w:bottom w:val="single" w:sz="4" w:space="0" w:color="auto"/>
              <w:right w:val="single" w:sz="4" w:space="0" w:color="auto"/>
            </w:tcBorders>
            <w:noWrap/>
            <w:vAlign w:val="center"/>
            <w:hideMark/>
          </w:tcPr>
          <w:p w14:paraId="0D7CB56C" w14:textId="77777777" w:rsidR="00307EB2" w:rsidRPr="00307EB2" w:rsidRDefault="00307EB2" w:rsidP="00307EB2">
            <w:pPr>
              <w:pStyle w:val="Body"/>
              <w:rPr>
                <w:rFonts w:ascii="Arial" w:hAnsi="Arial" w:cs="Arial"/>
              </w:rPr>
            </w:pPr>
            <w:r w:rsidRPr="00307EB2">
              <w:rPr>
                <w:rFonts w:ascii="Arial" w:hAnsi="Arial" w:cs="Arial"/>
              </w:rPr>
              <w:t>Hydropower</w:t>
            </w:r>
          </w:p>
        </w:tc>
        <w:tc>
          <w:tcPr>
            <w:tcW w:w="1364" w:type="dxa"/>
            <w:tcBorders>
              <w:top w:val="nil"/>
              <w:left w:val="nil"/>
              <w:bottom w:val="single" w:sz="4" w:space="0" w:color="auto"/>
              <w:right w:val="single" w:sz="4" w:space="0" w:color="auto"/>
            </w:tcBorders>
            <w:vAlign w:val="center"/>
            <w:hideMark/>
          </w:tcPr>
          <w:p w14:paraId="044896D4" w14:textId="77777777" w:rsidR="00307EB2" w:rsidRPr="00307EB2" w:rsidRDefault="00307EB2" w:rsidP="00307EB2">
            <w:pPr>
              <w:pStyle w:val="Body"/>
              <w:rPr>
                <w:rFonts w:ascii="Arial" w:hAnsi="Arial" w:cs="Arial"/>
              </w:rPr>
            </w:pPr>
            <w:r w:rsidRPr="00307EB2">
              <w:rPr>
                <w:rFonts w:ascii="Arial" w:hAnsi="Arial" w:cs="Arial"/>
              </w:rPr>
              <w:t>Renewable, non carbon-free</w:t>
            </w:r>
          </w:p>
        </w:tc>
        <w:tc>
          <w:tcPr>
            <w:tcW w:w="1067" w:type="dxa"/>
            <w:tcBorders>
              <w:top w:val="nil"/>
              <w:left w:val="nil"/>
              <w:bottom w:val="single" w:sz="4" w:space="0" w:color="auto"/>
              <w:right w:val="single" w:sz="4" w:space="0" w:color="auto"/>
            </w:tcBorders>
            <w:noWrap/>
            <w:vAlign w:val="center"/>
            <w:hideMark/>
          </w:tcPr>
          <w:p w14:paraId="6FCEE508" w14:textId="77777777" w:rsidR="00307EB2" w:rsidRPr="00307EB2" w:rsidRDefault="00307EB2" w:rsidP="00307EB2">
            <w:pPr>
              <w:pStyle w:val="Body"/>
              <w:rPr>
                <w:rFonts w:ascii="Arial" w:hAnsi="Arial" w:cs="Arial"/>
              </w:rPr>
            </w:pPr>
            <w:r w:rsidRPr="00307EB2">
              <w:rPr>
                <w:rFonts w:ascii="Arial" w:hAnsi="Arial" w:cs="Arial"/>
              </w:rPr>
              <w:t>[7-9]</w:t>
            </w:r>
          </w:p>
        </w:tc>
      </w:tr>
    </w:tbl>
    <w:p w14:paraId="47325CC3" w14:textId="140F819F" w:rsidR="00307EB2" w:rsidRPr="00307EB2" w:rsidRDefault="00307EB2" w:rsidP="00307EB2">
      <w:pPr>
        <w:pStyle w:val="Body"/>
        <w:rPr>
          <w:rFonts w:ascii="Arial" w:hAnsi="Arial" w:cs="Arial"/>
        </w:rPr>
      </w:pPr>
      <w:r w:rsidRPr="00307EB2">
        <w:rPr>
          <w:rFonts w:ascii="Arial" w:hAnsi="Arial" w:cs="Arial"/>
        </w:rPr>
        <w:t>Adapted from Kumar (2025).</w:t>
      </w:r>
    </w:p>
    <w:p w14:paraId="5AC411D5" w14:textId="06AA32ED" w:rsidR="00307EB2" w:rsidRDefault="00307EB2" w:rsidP="00441B6F">
      <w:pPr>
        <w:pStyle w:val="Body"/>
        <w:spacing w:after="0"/>
        <w:rPr>
          <w:rFonts w:ascii="Arial" w:hAnsi="Arial" w:cs="Arial"/>
        </w:rPr>
      </w:pPr>
      <w:r w:rsidRPr="00307EB2">
        <w:rPr>
          <w:rFonts w:ascii="Arial" w:hAnsi="Arial" w:cs="Arial"/>
        </w:rPr>
        <w:t xml:space="preserve"> The goal of this study will be developing a life cycle assessment model and evaluate the environmental impacts of the hydrogen production systems based on both technologies, Electrolysis and Gasification, carrying out sensitive analysis and Monte Carlo simulations focused on the impact category Global Warming.</w:t>
      </w:r>
    </w:p>
    <w:p w14:paraId="42A366C7" w14:textId="77777777" w:rsidR="00790ADA" w:rsidRPr="00FB3A86" w:rsidRDefault="00790ADA" w:rsidP="00441B6F">
      <w:pPr>
        <w:pStyle w:val="Body"/>
        <w:spacing w:after="0"/>
        <w:rPr>
          <w:rFonts w:ascii="Arial" w:hAnsi="Arial" w:cs="Arial"/>
        </w:rPr>
      </w:pPr>
    </w:p>
    <w:p w14:paraId="11AAA89A" w14:textId="4D328B1C" w:rsidR="007F7B32" w:rsidRDefault="00902823" w:rsidP="00441B6F">
      <w:pPr>
        <w:pStyle w:val="AbstHead"/>
        <w:spacing w:after="0"/>
        <w:jc w:val="both"/>
        <w:rPr>
          <w:rFonts w:ascii="Arial" w:hAnsi="Arial" w:cs="Arial"/>
        </w:rPr>
      </w:pPr>
      <w:r>
        <w:rPr>
          <w:rFonts w:ascii="Arial" w:hAnsi="Arial" w:cs="Arial"/>
        </w:rPr>
        <w:t xml:space="preserve">2. </w:t>
      </w:r>
      <w:r w:rsidR="006C1286">
        <w:rPr>
          <w:rFonts w:ascii="Arial" w:hAnsi="Arial" w:cs="Arial"/>
        </w:rPr>
        <w:t>METHODS</w:t>
      </w:r>
    </w:p>
    <w:p w14:paraId="543F1864" w14:textId="77777777" w:rsidR="006C1286" w:rsidRDefault="006C1286" w:rsidP="00441B6F">
      <w:pPr>
        <w:pStyle w:val="Body"/>
        <w:spacing w:after="0"/>
        <w:rPr>
          <w:rFonts w:ascii="Arial" w:hAnsi="Arial" w:cs="Arial"/>
          <w:b/>
          <w:caps/>
          <w:sz w:val="22"/>
        </w:rPr>
      </w:pPr>
    </w:p>
    <w:p w14:paraId="5E0D7ECC" w14:textId="397DE2EF" w:rsidR="00AA74E0" w:rsidRDefault="00AA74E0" w:rsidP="00441B6F">
      <w:pPr>
        <w:pStyle w:val="Body"/>
        <w:spacing w:after="0"/>
        <w:rPr>
          <w:rFonts w:ascii="Arial" w:hAnsi="Arial" w:cs="Arial"/>
        </w:rPr>
      </w:pPr>
      <w:r w:rsidRPr="00C30A0F">
        <w:rPr>
          <w:rFonts w:ascii="Arial" w:hAnsi="Arial" w:cs="Arial"/>
          <w:b/>
          <w:caps/>
          <w:sz w:val="22"/>
        </w:rPr>
        <w:t xml:space="preserve">2.1 </w:t>
      </w:r>
      <w:r w:rsidR="006C1286">
        <w:rPr>
          <w:rFonts w:ascii="Arial" w:hAnsi="Arial" w:cs="Arial"/>
          <w:b/>
          <w:sz w:val="22"/>
        </w:rPr>
        <w:t>Workplan</w:t>
      </w:r>
      <w:r w:rsidRPr="00FB3A86">
        <w:rPr>
          <w:rFonts w:ascii="Arial" w:hAnsi="Arial" w:cs="Arial"/>
        </w:rPr>
        <w:t xml:space="preserve">  </w:t>
      </w:r>
    </w:p>
    <w:p w14:paraId="7BDC439F" w14:textId="77777777" w:rsidR="006C1286" w:rsidRPr="006C1286" w:rsidRDefault="006C1286" w:rsidP="00441B6F">
      <w:pPr>
        <w:pStyle w:val="Body"/>
        <w:spacing w:after="0"/>
        <w:rPr>
          <w:rFonts w:ascii="Arial" w:hAnsi="Arial" w:cs="Arial"/>
        </w:rPr>
      </w:pPr>
    </w:p>
    <w:p w14:paraId="4BC2E5A9" w14:textId="77777777" w:rsidR="006C1286" w:rsidRPr="006C1286" w:rsidRDefault="006C1286" w:rsidP="006C1286">
      <w:pPr>
        <w:jc w:val="both"/>
        <w:rPr>
          <w:rFonts w:ascii="Arial" w:hAnsi="Arial" w:cs="Arial"/>
        </w:rPr>
      </w:pPr>
      <w:r w:rsidRPr="006C1286">
        <w:rPr>
          <w:rFonts w:ascii="Arial" w:hAnsi="Arial" w:cs="Arial"/>
        </w:rPr>
        <w:t>Figure 1 shows the proposed scenarios for green hydrogen production considering the available raw materials and technologies. The first scenario was focused on hydrogen from forest biomass and the second scenario was focused on electrolysis considering hydroelectricity, wind and electricity from the regular grid mix as energy sources for the process.</w:t>
      </w:r>
    </w:p>
    <w:p w14:paraId="0EF15DA3" w14:textId="77777777" w:rsidR="006C1286" w:rsidRPr="006C1286" w:rsidRDefault="006C1286" w:rsidP="006C1286">
      <w:pPr>
        <w:jc w:val="center"/>
        <w:rPr>
          <w:rFonts w:ascii="Arial" w:hAnsi="Arial" w:cs="Arial"/>
        </w:rPr>
      </w:pPr>
      <w:r w:rsidRPr="006C1286">
        <w:rPr>
          <w:rFonts w:ascii="Arial" w:hAnsi="Arial" w:cs="Arial"/>
          <w:noProof/>
        </w:rPr>
        <w:drawing>
          <wp:inline distT="0" distB="0" distL="0" distR="0" wp14:anchorId="1F84D8CB" wp14:editId="467D9559">
            <wp:extent cx="4533900" cy="2860815"/>
            <wp:effectExtent l="0" t="0" r="0" b="0"/>
            <wp:docPr id="1652227701" name="Picture 1" descr="A diagram of a hydrogen prod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7701" name="Picture 1" descr="A diagram of a hydrogen production&#10;&#10;AI-generated content may be incorrect."/>
                    <pic:cNvPicPr/>
                  </pic:nvPicPr>
                  <pic:blipFill>
                    <a:blip r:embed="rId14"/>
                    <a:stretch>
                      <a:fillRect/>
                    </a:stretch>
                  </pic:blipFill>
                  <pic:spPr>
                    <a:xfrm>
                      <a:off x="0" y="0"/>
                      <a:ext cx="4593632" cy="2898505"/>
                    </a:xfrm>
                    <a:prstGeom prst="rect">
                      <a:avLst/>
                    </a:prstGeom>
                  </pic:spPr>
                </pic:pic>
              </a:graphicData>
            </a:graphic>
          </wp:inline>
        </w:drawing>
      </w:r>
    </w:p>
    <w:p w14:paraId="5CA1F680" w14:textId="77777777" w:rsidR="006C1286" w:rsidRPr="00F97918" w:rsidRDefault="006C1286" w:rsidP="006C1286">
      <w:pPr>
        <w:jc w:val="center"/>
        <w:rPr>
          <w:rFonts w:ascii="Arial" w:hAnsi="Arial" w:cs="Arial"/>
          <w:b/>
          <w:bCs/>
        </w:rPr>
      </w:pPr>
      <w:r w:rsidRPr="00F97918">
        <w:rPr>
          <w:rFonts w:ascii="Arial" w:hAnsi="Arial" w:cs="Arial"/>
          <w:b/>
          <w:bCs/>
        </w:rPr>
        <w:lastRenderedPageBreak/>
        <w:t>Figure 1. Scenarios for green hydrogen production and their LCA studies [2].</w:t>
      </w:r>
    </w:p>
    <w:p w14:paraId="4C7A86DC" w14:textId="77777777" w:rsidR="006C1286" w:rsidRPr="006C1286" w:rsidRDefault="006C1286" w:rsidP="006C1286">
      <w:pPr>
        <w:jc w:val="center"/>
        <w:rPr>
          <w:rFonts w:ascii="Arial" w:hAnsi="Arial" w:cs="Arial"/>
        </w:rPr>
      </w:pPr>
    </w:p>
    <w:p w14:paraId="13947127" w14:textId="77777777" w:rsidR="006C1286" w:rsidRPr="006C1286" w:rsidRDefault="006C1286" w:rsidP="006C1286">
      <w:pPr>
        <w:rPr>
          <w:rFonts w:ascii="Arial" w:hAnsi="Arial" w:cs="Arial"/>
          <w:b/>
          <w:bCs/>
        </w:rPr>
      </w:pPr>
      <w:r w:rsidRPr="006C1286">
        <w:rPr>
          <w:rFonts w:ascii="Arial" w:hAnsi="Arial" w:cs="Arial"/>
          <w:b/>
          <w:bCs/>
        </w:rPr>
        <w:t>2.2 Data collection</w:t>
      </w:r>
    </w:p>
    <w:p w14:paraId="40C5A6BB" w14:textId="77777777" w:rsidR="006C1286" w:rsidRPr="006C1286" w:rsidRDefault="006C1286" w:rsidP="006C1286">
      <w:pPr>
        <w:jc w:val="both"/>
        <w:rPr>
          <w:rFonts w:ascii="Arial" w:hAnsi="Arial" w:cs="Arial"/>
        </w:rPr>
      </w:pPr>
      <w:r w:rsidRPr="006C1286">
        <w:rPr>
          <w:rFonts w:ascii="Arial" w:hAnsi="Arial" w:cs="Arial"/>
        </w:rPr>
        <w:t>Input and output information was shared accordingly each project scenario by the professor. In this case the case study 2 was selected considering scenarios for hydrogen production accordingly Figure 2.</w:t>
      </w:r>
    </w:p>
    <w:p w14:paraId="799A2B4C" w14:textId="77777777" w:rsidR="006C1286" w:rsidRPr="006C1286" w:rsidRDefault="006C1286" w:rsidP="006C1286">
      <w:pPr>
        <w:rPr>
          <w:rFonts w:ascii="Arial" w:hAnsi="Arial" w:cs="Arial"/>
        </w:rPr>
      </w:pPr>
      <w:r w:rsidRPr="006C1286">
        <w:rPr>
          <w:rFonts w:ascii="Arial" w:hAnsi="Arial" w:cs="Arial"/>
          <w:noProof/>
        </w:rPr>
        <w:drawing>
          <wp:inline distT="0" distB="0" distL="0" distR="0" wp14:anchorId="5AD75A9C" wp14:editId="12BC065D">
            <wp:extent cx="5943600" cy="2584450"/>
            <wp:effectExtent l="0" t="0" r="0" b="6350"/>
            <wp:docPr id="93226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69471" name=""/>
                    <pic:cNvPicPr/>
                  </pic:nvPicPr>
                  <pic:blipFill>
                    <a:blip r:embed="rId15"/>
                    <a:stretch>
                      <a:fillRect/>
                    </a:stretch>
                  </pic:blipFill>
                  <pic:spPr>
                    <a:xfrm>
                      <a:off x="0" y="0"/>
                      <a:ext cx="5943600" cy="2584450"/>
                    </a:xfrm>
                    <a:prstGeom prst="rect">
                      <a:avLst/>
                    </a:prstGeom>
                  </pic:spPr>
                </pic:pic>
              </a:graphicData>
            </a:graphic>
          </wp:inline>
        </w:drawing>
      </w:r>
    </w:p>
    <w:p w14:paraId="2A7BFADF" w14:textId="77777777" w:rsidR="006C1286" w:rsidRPr="00F97918" w:rsidRDefault="006C1286" w:rsidP="00F97918">
      <w:pPr>
        <w:jc w:val="both"/>
        <w:rPr>
          <w:rFonts w:ascii="Arial" w:hAnsi="Arial" w:cs="Arial"/>
          <w:b/>
          <w:bCs/>
        </w:rPr>
      </w:pPr>
      <w:r w:rsidRPr="00F97918">
        <w:rPr>
          <w:rFonts w:ascii="Arial" w:hAnsi="Arial" w:cs="Arial"/>
          <w:b/>
          <w:bCs/>
        </w:rPr>
        <w:t xml:space="preserve">Figure 2. Input information in the software structure. Adapted from </w:t>
      </w:r>
      <w:proofErr w:type="spellStart"/>
      <w:r w:rsidRPr="00F97918">
        <w:rPr>
          <w:rFonts w:ascii="Arial" w:hAnsi="Arial" w:cs="Arial"/>
          <w:b/>
          <w:bCs/>
        </w:rPr>
        <w:t>openLCA</w:t>
      </w:r>
      <w:proofErr w:type="spellEnd"/>
      <w:r w:rsidRPr="00F97918">
        <w:rPr>
          <w:rFonts w:ascii="Arial" w:hAnsi="Arial" w:cs="Arial"/>
          <w:b/>
          <w:bCs/>
        </w:rPr>
        <w:t xml:space="preserve"> manual [6].</w:t>
      </w:r>
    </w:p>
    <w:p w14:paraId="71540504" w14:textId="77777777" w:rsidR="006C1286" w:rsidRPr="006C1286" w:rsidRDefault="006C1286" w:rsidP="006C1286">
      <w:pPr>
        <w:rPr>
          <w:rFonts w:ascii="Arial" w:hAnsi="Arial" w:cs="Arial"/>
        </w:rPr>
      </w:pPr>
    </w:p>
    <w:p w14:paraId="3F5159A6" w14:textId="77777777" w:rsidR="006C1286" w:rsidRPr="006C1286" w:rsidRDefault="006C1286" w:rsidP="006C1286">
      <w:pPr>
        <w:rPr>
          <w:rFonts w:ascii="Arial" w:hAnsi="Arial" w:cs="Arial"/>
          <w:b/>
          <w:bCs/>
        </w:rPr>
      </w:pPr>
      <w:r w:rsidRPr="006C1286">
        <w:rPr>
          <w:rFonts w:ascii="Arial" w:hAnsi="Arial" w:cs="Arial"/>
          <w:b/>
          <w:bCs/>
        </w:rPr>
        <w:t>2.3 Environmental impacts calculations and databases</w:t>
      </w:r>
    </w:p>
    <w:p w14:paraId="2EE8FE10" w14:textId="77777777" w:rsidR="006C1286" w:rsidRPr="006C1286" w:rsidRDefault="006C1286" w:rsidP="006C1286">
      <w:pPr>
        <w:jc w:val="both"/>
        <w:rPr>
          <w:rFonts w:ascii="Arial" w:hAnsi="Arial" w:cs="Arial"/>
        </w:rPr>
      </w:pPr>
      <w:r w:rsidRPr="006C1286">
        <w:rPr>
          <w:rFonts w:ascii="Arial" w:hAnsi="Arial" w:cs="Arial"/>
        </w:rPr>
        <w:t xml:space="preserve">In this study, we used a practitioner's perspective. TRACI 2.1 was chosen to use as method provided by EPA [3,4] and all impact categories as acidification (kg SO2eq), </w:t>
      </w:r>
      <w:proofErr w:type="spellStart"/>
      <w:r w:rsidRPr="006C1286">
        <w:rPr>
          <w:rFonts w:ascii="Arial" w:hAnsi="Arial" w:cs="Arial"/>
        </w:rPr>
        <w:t>carcinogenics</w:t>
      </w:r>
      <w:proofErr w:type="spellEnd"/>
      <w:r w:rsidRPr="006C1286">
        <w:rPr>
          <w:rFonts w:ascii="Arial" w:hAnsi="Arial" w:cs="Arial"/>
        </w:rPr>
        <w:t xml:space="preserve"> (</w:t>
      </w:r>
      <w:proofErr w:type="spellStart"/>
      <w:r w:rsidRPr="006C1286">
        <w:rPr>
          <w:rFonts w:ascii="Arial" w:hAnsi="Arial" w:cs="Arial"/>
        </w:rPr>
        <w:t>CTUh</w:t>
      </w:r>
      <w:proofErr w:type="spellEnd"/>
      <w:r w:rsidRPr="006C1286">
        <w:rPr>
          <w:rFonts w:ascii="Arial" w:hAnsi="Arial" w:cs="Arial"/>
        </w:rPr>
        <w:t>), ecotoxicity (</w:t>
      </w:r>
      <w:proofErr w:type="spellStart"/>
      <w:r w:rsidRPr="006C1286">
        <w:rPr>
          <w:rFonts w:ascii="Arial" w:hAnsi="Arial" w:cs="Arial"/>
        </w:rPr>
        <w:t>CTUe</w:t>
      </w:r>
      <w:proofErr w:type="spellEnd"/>
      <w:r w:rsidRPr="006C1286">
        <w:rPr>
          <w:rFonts w:ascii="Arial" w:hAnsi="Arial" w:cs="Arial"/>
        </w:rPr>
        <w:t>), eutrophication (</w:t>
      </w:r>
      <w:proofErr w:type="spellStart"/>
      <w:r w:rsidRPr="006C1286">
        <w:rPr>
          <w:rFonts w:ascii="Arial" w:hAnsi="Arial" w:cs="Arial"/>
        </w:rPr>
        <w:t>KgNeq</w:t>
      </w:r>
      <w:proofErr w:type="spellEnd"/>
      <w:r w:rsidRPr="006C1286">
        <w:rPr>
          <w:rFonts w:ascii="Arial" w:hAnsi="Arial" w:cs="Arial"/>
        </w:rPr>
        <w:t xml:space="preserve">), fossil fuel depletion (MJ surplus), global warming (KgCO2eq), non </w:t>
      </w:r>
      <w:proofErr w:type="spellStart"/>
      <w:r w:rsidRPr="006C1286">
        <w:rPr>
          <w:rFonts w:ascii="Arial" w:hAnsi="Arial" w:cs="Arial"/>
        </w:rPr>
        <w:t>carcinogenics</w:t>
      </w:r>
      <w:proofErr w:type="spellEnd"/>
      <w:r w:rsidRPr="006C1286">
        <w:rPr>
          <w:rFonts w:ascii="Arial" w:hAnsi="Arial" w:cs="Arial"/>
        </w:rPr>
        <w:t xml:space="preserve"> (</w:t>
      </w:r>
      <w:proofErr w:type="spellStart"/>
      <w:r w:rsidRPr="006C1286">
        <w:rPr>
          <w:rFonts w:ascii="Arial" w:hAnsi="Arial" w:cs="Arial"/>
        </w:rPr>
        <w:t>CTUh</w:t>
      </w:r>
      <w:proofErr w:type="spellEnd"/>
      <w:r w:rsidRPr="006C1286">
        <w:rPr>
          <w:rFonts w:ascii="Arial" w:hAnsi="Arial" w:cs="Arial"/>
        </w:rPr>
        <w:t xml:space="preserve">), ozone depletion (KgCFC-11eq), respiratory effects (KgPM2.5eq) and smog (KgO3eq) was calculated for the desired conditions according ISO 14040 and ISO 14044, ISO (2025) [24,25]. Also, sensibility analysis and Monte Carlo simulations was carried out. For the sensibility analysis </w:t>
      </w:r>
      <w:proofErr w:type="gramStart"/>
      <w:r w:rsidRPr="006C1286">
        <w:rPr>
          <w:rFonts w:ascii="Arial" w:hAnsi="Arial" w:cs="Arial"/>
        </w:rPr>
        <w:t>an</w:t>
      </w:r>
      <w:proofErr w:type="gramEnd"/>
      <w:r w:rsidRPr="006C1286">
        <w:rPr>
          <w:rFonts w:ascii="Arial" w:hAnsi="Arial" w:cs="Arial"/>
        </w:rPr>
        <w:t xml:space="preserve"> tax of 20 % were considered to calculate minimum and maximum values. Considering Monte Carlo simulations 100 runs was adopted after incorporation into TRACI 2.1 model.</w:t>
      </w:r>
    </w:p>
    <w:p w14:paraId="3B676D9A" w14:textId="77777777" w:rsidR="006C1286" w:rsidRPr="006C1286" w:rsidRDefault="006C1286" w:rsidP="006C1286">
      <w:pPr>
        <w:rPr>
          <w:rFonts w:ascii="Arial" w:hAnsi="Arial" w:cs="Arial"/>
        </w:rPr>
      </w:pPr>
      <w:r w:rsidRPr="006C1286">
        <w:rPr>
          <w:rFonts w:ascii="Arial" w:hAnsi="Arial" w:cs="Arial"/>
          <w:noProof/>
        </w:rPr>
        <w:drawing>
          <wp:inline distT="0" distB="0" distL="0" distR="0" wp14:anchorId="524CE2A5" wp14:editId="6A9FAB01">
            <wp:extent cx="5943600" cy="2254885"/>
            <wp:effectExtent l="0" t="0" r="0" b="5715"/>
            <wp:docPr id="101380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6703" name=""/>
                    <pic:cNvPicPr/>
                  </pic:nvPicPr>
                  <pic:blipFill>
                    <a:blip r:embed="rId16"/>
                    <a:stretch>
                      <a:fillRect/>
                    </a:stretch>
                  </pic:blipFill>
                  <pic:spPr>
                    <a:xfrm>
                      <a:off x="0" y="0"/>
                      <a:ext cx="5943600" cy="2254885"/>
                    </a:xfrm>
                    <a:prstGeom prst="rect">
                      <a:avLst/>
                    </a:prstGeom>
                  </pic:spPr>
                </pic:pic>
              </a:graphicData>
            </a:graphic>
          </wp:inline>
        </w:drawing>
      </w:r>
    </w:p>
    <w:p w14:paraId="09E472DB" w14:textId="77777777" w:rsidR="006C1286" w:rsidRPr="00F97918" w:rsidRDefault="006C1286" w:rsidP="00F97918">
      <w:pPr>
        <w:jc w:val="both"/>
        <w:rPr>
          <w:rFonts w:ascii="Arial" w:hAnsi="Arial" w:cs="Arial"/>
          <w:b/>
          <w:bCs/>
        </w:rPr>
      </w:pPr>
      <w:r w:rsidRPr="00F97918">
        <w:rPr>
          <w:rFonts w:ascii="Arial" w:hAnsi="Arial" w:cs="Arial"/>
          <w:b/>
          <w:bCs/>
        </w:rPr>
        <w:lastRenderedPageBreak/>
        <w:t xml:space="preserve">Figure 3. Calculation method and their structure in the software. Adapted from </w:t>
      </w:r>
      <w:proofErr w:type="spellStart"/>
      <w:r w:rsidRPr="00F97918">
        <w:rPr>
          <w:rFonts w:ascii="Arial" w:hAnsi="Arial" w:cs="Arial"/>
          <w:b/>
          <w:bCs/>
        </w:rPr>
        <w:t>openLCA</w:t>
      </w:r>
      <w:proofErr w:type="spellEnd"/>
      <w:r w:rsidRPr="00F97918">
        <w:rPr>
          <w:rFonts w:ascii="Arial" w:hAnsi="Arial" w:cs="Arial"/>
          <w:b/>
          <w:bCs/>
        </w:rPr>
        <w:t xml:space="preserve"> manual and Traci manual provided by EPA [3,4,6].</w:t>
      </w:r>
    </w:p>
    <w:p w14:paraId="1C170118" w14:textId="77777777" w:rsidR="006C1286" w:rsidRPr="006C1286" w:rsidRDefault="006C1286" w:rsidP="006C1286">
      <w:pPr>
        <w:rPr>
          <w:rFonts w:ascii="Arial" w:hAnsi="Arial" w:cs="Arial"/>
        </w:rPr>
      </w:pPr>
    </w:p>
    <w:p w14:paraId="3991BEC6" w14:textId="77777777" w:rsidR="006C1286" w:rsidRPr="006C1286" w:rsidRDefault="006C1286" w:rsidP="006C1286">
      <w:pPr>
        <w:rPr>
          <w:rFonts w:ascii="Arial" w:hAnsi="Arial" w:cs="Arial"/>
          <w:b/>
          <w:bCs/>
        </w:rPr>
      </w:pPr>
      <w:r w:rsidRPr="006C1286">
        <w:rPr>
          <w:rFonts w:ascii="Arial" w:hAnsi="Arial" w:cs="Arial"/>
          <w:b/>
          <w:bCs/>
        </w:rPr>
        <w:t xml:space="preserve">2.4 LCA software </w:t>
      </w:r>
    </w:p>
    <w:p w14:paraId="27508F98" w14:textId="77777777" w:rsidR="006C1286" w:rsidRPr="006C1286" w:rsidRDefault="006C1286" w:rsidP="006C1286">
      <w:pPr>
        <w:jc w:val="both"/>
        <w:rPr>
          <w:rFonts w:ascii="Arial" w:hAnsi="Arial" w:cs="Arial"/>
        </w:rPr>
      </w:pPr>
      <w:proofErr w:type="spellStart"/>
      <w:r w:rsidRPr="006C1286">
        <w:rPr>
          <w:rFonts w:ascii="Arial" w:hAnsi="Arial" w:cs="Arial"/>
        </w:rPr>
        <w:t>OpenLCA</w:t>
      </w:r>
      <w:proofErr w:type="spellEnd"/>
      <w:r w:rsidRPr="006C1286">
        <w:rPr>
          <w:rFonts w:ascii="Arial" w:hAnsi="Arial" w:cs="Arial"/>
        </w:rPr>
        <w:t xml:space="preserve"> was used to perform a Life Cycle Assessment (LCA). The software </w:t>
      </w:r>
      <w:proofErr w:type="spellStart"/>
      <w:r w:rsidRPr="006C1286">
        <w:rPr>
          <w:rFonts w:ascii="Arial" w:hAnsi="Arial" w:cs="Arial"/>
        </w:rPr>
        <w:t>openLCA</w:t>
      </w:r>
      <w:proofErr w:type="spellEnd"/>
      <w:r w:rsidRPr="006C1286">
        <w:rPr>
          <w:rFonts w:ascii="Arial" w:hAnsi="Arial" w:cs="Arial"/>
        </w:rPr>
        <w:t xml:space="preserve"> Nexus is linked with the open source, and freely available, </w:t>
      </w:r>
      <w:proofErr w:type="spellStart"/>
      <w:r w:rsidRPr="006C1286">
        <w:rPr>
          <w:rFonts w:ascii="Arial" w:hAnsi="Arial" w:cs="Arial"/>
        </w:rPr>
        <w:t>openLCA</w:t>
      </w:r>
      <w:proofErr w:type="spellEnd"/>
      <w:r w:rsidRPr="006C1286">
        <w:rPr>
          <w:rFonts w:ascii="Arial" w:hAnsi="Arial" w:cs="Arial"/>
        </w:rPr>
        <w:t xml:space="preserve"> LCA software [5].</w:t>
      </w:r>
    </w:p>
    <w:p w14:paraId="58A16FA4" w14:textId="77777777" w:rsidR="006C1286" w:rsidRPr="006C1286" w:rsidRDefault="006C1286" w:rsidP="006C1286">
      <w:pPr>
        <w:rPr>
          <w:rFonts w:ascii="Arial" w:hAnsi="Arial" w:cs="Arial"/>
        </w:rPr>
      </w:pPr>
      <w:r w:rsidRPr="006C1286">
        <w:rPr>
          <w:rFonts w:ascii="Arial" w:hAnsi="Arial" w:cs="Arial"/>
          <w:noProof/>
        </w:rPr>
        <w:drawing>
          <wp:inline distT="0" distB="0" distL="0" distR="0" wp14:anchorId="0A70481E" wp14:editId="108B58F4">
            <wp:extent cx="6057900" cy="2356497"/>
            <wp:effectExtent l="0" t="0" r="0" b="0"/>
            <wp:docPr id="25152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21689" name=""/>
                    <pic:cNvPicPr/>
                  </pic:nvPicPr>
                  <pic:blipFill>
                    <a:blip r:embed="rId17"/>
                    <a:stretch>
                      <a:fillRect/>
                    </a:stretch>
                  </pic:blipFill>
                  <pic:spPr>
                    <a:xfrm>
                      <a:off x="0" y="0"/>
                      <a:ext cx="6057993" cy="2356533"/>
                    </a:xfrm>
                    <a:prstGeom prst="rect">
                      <a:avLst/>
                    </a:prstGeom>
                  </pic:spPr>
                </pic:pic>
              </a:graphicData>
            </a:graphic>
          </wp:inline>
        </w:drawing>
      </w:r>
    </w:p>
    <w:p w14:paraId="6756AE4F" w14:textId="4444D3F9" w:rsidR="006C1286" w:rsidRPr="00F97918" w:rsidRDefault="006C1286" w:rsidP="006C1286">
      <w:pPr>
        <w:pStyle w:val="Body"/>
        <w:spacing w:after="0"/>
        <w:rPr>
          <w:rFonts w:ascii="Arial" w:hAnsi="Arial" w:cs="Arial"/>
          <w:b/>
          <w:bCs/>
        </w:rPr>
      </w:pPr>
      <w:r w:rsidRPr="00F97918">
        <w:rPr>
          <w:rFonts w:ascii="Arial" w:hAnsi="Arial" w:cs="Arial"/>
          <w:b/>
          <w:bCs/>
        </w:rPr>
        <w:t xml:space="preserve">Figure 4. Open LCA structure and software enhancement. Adapted from Nexus website and </w:t>
      </w:r>
      <w:proofErr w:type="spellStart"/>
      <w:r w:rsidRPr="00F97918">
        <w:rPr>
          <w:rFonts w:ascii="Arial" w:hAnsi="Arial" w:cs="Arial"/>
          <w:b/>
          <w:bCs/>
        </w:rPr>
        <w:t>openLCA</w:t>
      </w:r>
      <w:proofErr w:type="spellEnd"/>
      <w:r w:rsidRPr="00F97918">
        <w:rPr>
          <w:rFonts w:ascii="Arial" w:hAnsi="Arial" w:cs="Arial"/>
          <w:b/>
          <w:bCs/>
        </w:rPr>
        <w:t xml:space="preserve"> manual [5,6].</w:t>
      </w:r>
    </w:p>
    <w:p w14:paraId="4262662B" w14:textId="77777777" w:rsidR="00790ADA" w:rsidRPr="00FB3A86" w:rsidRDefault="00790ADA" w:rsidP="00441B6F">
      <w:pPr>
        <w:pStyle w:val="Body"/>
        <w:spacing w:after="0"/>
        <w:rPr>
          <w:rFonts w:ascii="Arial" w:hAnsi="Arial" w:cs="Arial"/>
        </w:rPr>
      </w:pPr>
    </w:p>
    <w:p w14:paraId="6AF40E89" w14:textId="3C1F55F8" w:rsidR="00790ADA" w:rsidRDefault="00000F8F" w:rsidP="006C1286">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C91C3F8" w14:textId="77777777" w:rsidR="006C1286" w:rsidRPr="006C1286" w:rsidRDefault="006C1286" w:rsidP="006C1286">
      <w:pPr>
        <w:pStyle w:val="Body"/>
        <w:rPr>
          <w:rFonts w:ascii="Arial" w:hAnsi="Arial" w:cs="Arial"/>
          <w:b/>
          <w:bCs/>
        </w:rPr>
      </w:pPr>
      <w:r w:rsidRPr="006C1286">
        <w:rPr>
          <w:rFonts w:ascii="Arial" w:hAnsi="Arial" w:cs="Arial"/>
          <w:b/>
          <w:bCs/>
        </w:rPr>
        <w:t>3.1 Environmental impact categories</w:t>
      </w:r>
    </w:p>
    <w:p w14:paraId="6F17BBE9" w14:textId="77777777" w:rsidR="006C1286" w:rsidRPr="006C1286" w:rsidRDefault="006C1286" w:rsidP="006C1286">
      <w:pPr>
        <w:pStyle w:val="Body"/>
        <w:rPr>
          <w:rFonts w:ascii="Arial" w:hAnsi="Arial" w:cs="Arial"/>
        </w:rPr>
      </w:pPr>
      <w:r w:rsidRPr="006C1286">
        <w:rPr>
          <w:rFonts w:ascii="Arial" w:hAnsi="Arial" w:cs="Arial"/>
        </w:rPr>
        <w:t>Figure 5 shows the environmental</w:t>
      </w:r>
      <w:r w:rsidRPr="006C1286">
        <w:rPr>
          <w:rFonts w:ascii="Arial" w:hAnsi="Arial" w:cs="Arial"/>
          <w:b/>
          <w:bCs/>
        </w:rPr>
        <w:t xml:space="preserve"> </w:t>
      </w:r>
      <w:r w:rsidRPr="006C1286">
        <w:rPr>
          <w:rFonts w:ascii="Arial" w:hAnsi="Arial" w:cs="Arial"/>
        </w:rPr>
        <w:t>impact categories (kg.CO</w:t>
      </w:r>
      <w:r w:rsidRPr="006C1286">
        <w:rPr>
          <w:rFonts w:ascii="Arial" w:hAnsi="Arial" w:cs="Arial"/>
          <w:vertAlign w:val="subscript"/>
        </w:rPr>
        <w:t>2</w:t>
      </w:r>
      <w:r w:rsidRPr="006C1286">
        <w:rPr>
          <w:rFonts w:ascii="Arial" w:hAnsi="Arial" w:cs="Arial"/>
        </w:rPr>
        <w:t>eq) for hydrogen production for both processes: Gasification (84.4 kg H2) and Electrolysis (8.77 kg H2 considering 3 different electricity sources, wind, hydropower and grid mix) all in USA accordingly model graphs in Figure 6. It is relevant to the mentioned that the proposed scenarios exclude any transportation of biomass in case of gasification. Thus means, for all the impact categories evaluated the input parameters for gasification were: wood chips as biomass; natural gas; electricity from hydropower and water. In case of the electrolysis processes the input, parameters were: deionized or desalinized water and electricity. The electricity sources for electrolysis processes vary from hydropower, wind and grid mix from United States location.</w:t>
      </w:r>
    </w:p>
    <w:p w14:paraId="7C90CA09" w14:textId="77777777" w:rsidR="006C1286" w:rsidRPr="006C1286" w:rsidRDefault="006C1286" w:rsidP="006C1286">
      <w:pPr>
        <w:pStyle w:val="Body"/>
        <w:rPr>
          <w:rFonts w:ascii="Arial" w:hAnsi="Arial" w:cs="Arial"/>
          <w:b/>
          <w:bCs/>
        </w:rPr>
      </w:pPr>
      <w:r w:rsidRPr="006C1286">
        <w:rPr>
          <w:rFonts w:ascii="Arial" w:hAnsi="Arial" w:cs="Arial"/>
          <w:noProof/>
          <w:lang w:val="pt-BR"/>
        </w:rPr>
        <w:lastRenderedPageBreak/>
        <w:drawing>
          <wp:inline distT="0" distB="0" distL="0" distR="0" wp14:anchorId="2D68FE7C" wp14:editId="2FF7AC1F">
            <wp:extent cx="5943600" cy="2863850"/>
            <wp:effectExtent l="0" t="0" r="0" b="0"/>
            <wp:docPr id="1852775090" name="Chart 1">
              <a:extLst xmlns:a="http://schemas.openxmlformats.org/drawingml/2006/main">
                <a:ext uri="{FF2B5EF4-FFF2-40B4-BE49-F238E27FC236}">
                  <a16:creationId xmlns:a16="http://schemas.microsoft.com/office/drawing/2014/main" id="{0C620D1D-BFA9-A3CB-1D47-2F1F05E1F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428665" w14:textId="5C5A708F" w:rsidR="006C1286" w:rsidRPr="00F97918" w:rsidRDefault="006C1286" w:rsidP="006C1286">
      <w:pPr>
        <w:pStyle w:val="Body"/>
        <w:rPr>
          <w:rFonts w:ascii="Arial" w:hAnsi="Arial" w:cs="Arial"/>
          <w:b/>
          <w:bCs/>
        </w:rPr>
      </w:pPr>
      <w:r w:rsidRPr="00F97918">
        <w:rPr>
          <w:rFonts w:ascii="Arial" w:hAnsi="Arial" w:cs="Arial"/>
          <w:b/>
          <w:bCs/>
        </w:rPr>
        <w:t>Figure 5. Environmental impact categories for hydrogen production. Gasification (84.4 kg H2) and Electrolysis (8.77 kg H2 considering 3 different electricity sources, wind, hydropower and grid mix) all in USA.</w:t>
      </w:r>
    </w:p>
    <w:tbl>
      <w:tblPr>
        <w:tblStyle w:val="TableGrid"/>
        <w:tblW w:w="0" w:type="auto"/>
        <w:tblLook w:val="04A0" w:firstRow="1" w:lastRow="0" w:firstColumn="1" w:lastColumn="0" w:noHBand="0" w:noVBand="1"/>
      </w:tblPr>
      <w:tblGrid>
        <w:gridCol w:w="4181"/>
        <w:gridCol w:w="4243"/>
      </w:tblGrid>
      <w:tr w:rsidR="006C1286" w:rsidRPr="006C1286" w14:paraId="353EF516" w14:textId="77777777" w:rsidTr="003D2E1F">
        <w:tc>
          <w:tcPr>
            <w:tcW w:w="4675" w:type="dxa"/>
          </w:tcPr>
          <w:p w14:paraId="712AC9EC" w14:textId="77777777" w:rsidR="006C1286" w:rsidRPr="006C1286" w:rsidRDefault="006C1286" w:rsidP="006C1286">
            <w:pPr>
              <w:pStyle w:val="Body"/>
              <w:spacing w:after="0"/>
              <w:rPr>
                <w:rFonts w:ascii="Arial" w:eastAsia="Times New Roman" w:hAnsi="Arial" w:cs="Arial"/>
              </w:rPr>
            </w:pPr>
            <w:r w:rsidRPr="006C1286">
              <w:rPr>
                <w:rFonts w:ascii="Arial" w:hAnsi="Arial" w:cs="Arial"/>
                <w:noProof/>
                <w:lang w:val="pt-BR"/>
              </w:rPr>
              <w:drawing>
                <wp:inline distT="0" distB="0" distL="0" distR="0" wp14:anchorId="4B92E944" wp14:editId="7BE092E5">
                  <wp:extent cx="2546350" cy="1204075"/>
                  <wp:effectExtent l="0" t="0" r="0" b="0"/>
                  <wp:docPr id="7" name="Picture 6" descr="A screenshot of a computer&#10;&#10;AI-generated content may be incorrect.">
                    <a:extLst xmlns:a="http://schemas.openxmlformats.org/drawingml/2006/main">
                      <a:ext uri="{FF2B5EF4-FFF2-40B4-BE49-F238E27FC236}">
                        <a16:creationId xmlns:a16="http://schemas.microsoft.com/office/drawing/2014/main" id="{4637EB0C-EE80-7A7D-7C38-DDE2DBC5B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4637EB0C-EE80-7A7D-7C38-DDE2DBC5B054}"/>
                              </a:ext>
                            </a:extLst>
                          </pic:cNvPr>
                          <pic:cNvPicPr>
                            <a:picLocks noChangeAspect="1"/>
                          </pic:cNvPicPr>
                        </pic:nvPicPr>
                        <pic:blipFill>
                          <a:blip r:embed="rId19"/>
                          <a:stretch>
                            <a:fillRect/>
                          </a:stretch>
                        </pic:blipFill>
                        <pic:spPr>
                          <a:xfrm>
                            <a:off x="0" y="0"/>
                            <a:ext cx="2617606" cy="1237769"/>
                          </a:xfrm>
                          <a:prstGeom prst="rect">
                            <a:avLst/>
                          </a:prstGeom>
                        </pic:spPr>
                      </pic:pic>
                    </a:graphicData>
                  </a:graphic>
                </wp:inline>
              </w:drawing>
            </w:r>
          </w:p>
        </w:tc>
        <w:tc>
          <w:tcPr>
            <w:tcW w:w="4675" w:type="dxa"/>
          </w:tcPr>
          <w:p w14:paraId="11915EE5" w14:textId="77777777" w:rsidR="006C1286" w:rsidRPr="006C1286" w:rsidRDefault="006C1286" w:rsidP="006C1286">
            <w:pPr>
              <w:pStyle w:val="Body"/>
              <w:spacing w:after="0"/>
              <w:rPr>
                <w:rFonts w:ascii="Arial" w:eastAsia="Times New Roman" w:hAnsi="Arial" w:cs="Arial"/>
              </w:rPr>
            </w:pPr>
          </w:p>
          <w:p w14:paraId="10F229EC" w14:textId="77777777" w:rsidR="006C1286" w:rsidRPr="006C1286" w:rsidRDefault="006C1286" w:rsidP="006C1286">
            <w:pPr>
              <w:pStyle w:val="Body"/>
              <w:spacing w:after="0"/>
              <w:rPr>
                <w:rFonts w:ascii="Arial" w:eastAsia="Times New Roman" w:hAnsi="Arial" w:cs="Arial"/>
              </w:rPr>
            </w:pPr>
            <w:r w:rsidRPr="006C1286">
              <w:rPr>
                <w:rFonts w:ascii="Arial" w:hAnsi="Arial" w:cs="Arial"/>
                <w:noProof/>
                <w:lang w:val="pt-BR"/>
              </w:rPr>
              <w:drawing>
                <wp:inline distT="0" distB="0" distL="0" distR="0" wp14:anchorId="048D7450" wp14:editId="795F9D4C">
                  <wp:extent cx="2504595" cy="825500"/>
                  <wp:effectExtent l="0" t="0" r="0" b="0"/>
                  <wp:docPr id="8" name="Picture 7" descr="A screenshot of a computer&#10;&#10;AI-generated content may be incorrect.">
                    <a:extLst xmlns:a="http://schemas.openxmlformats.org/drawingml/2006/main">
                      <a:ext uri="{FF2B5EF4-FFF2-40B4-BE49-F238E27FC236}">
                        <a16:creationId xmlns:a16="http://schemas.microsoft.com/office/drawing/2014/main" id="{3EE08610-DD4E-7C1D-FCBD-78EE6DA63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AI-generated content may be incorrect.">
                            <a:extLst>
                              <a:ext uri="{FF2B5EF4-FFF2-40B4-BE49-F238E27FC236}">
                                <a16:creationId xmlns:a16="http://schemas.microsoft.com/office/drawing/2014/main" id="{3EE08610-DD4E-7C1D-FCBD-78EE6DA6399A}"/>
                              </a:ext>
                            </a:extLst>
                          </pic:cNvPr>
                          <pic:cNvPicPr>
                            <a:picLocks noChangeAspect="1"/>
                          </pic:cNvPicPr>
                        </pic:nvPicPr>
                        <pic:blipFill>
                          <a:blip r:embed="rId20"/>
                          <a:stretch>
                            <a:fillRect/>
                          </a:stretch>
                        </pic:blipFill>
                        <pic:spPr>
                          <a:xfrm>
                            <a:off x="0" y="0"/>
                            <a:ext cx="2572308" cy="847818"/>
                          </a:xfrm>
                          <a:prstGeom prst="rect">
                            <a:avLst/>
                          </a:prstGeom>
                        </pic:spPr>
                      </pic:pic>
                    </a:graphicData>
                  </a:graphic>
                </wp:inline>
              </w:drawing>
            </w:r>
          </w:p>
        </w:tc>
      </w:tr>
      <w:tr w:rsidR="006C1286" w:rsidRPr="006C1286" w14:paraId="55CB879D" w14:textId="77777777" w:rsidTr="003D2E1F">
        <w:tc>
          <w:tcPr>
            <w:tcW w:w="4675" w:type="dxa"/>
          </w:tcPr>
          <w:p w14:paraId="4B4D293B" w14:textId="77777777" w:rsidR="006C1286" w:rsidRPr="006C1286" w:rsidRDefault="006C1286" w:rsidP="006C1286">
            <w:pPr>
              <w:pStyle w:val="Body"/>
              <w:spacing w:after="0"/>
              <w:rPr>
                <w:rFonts w:ascii="Arial" w:eastAsia="Times New Roman" w:hAnsi="Arial" w:cs="Arial"/>
              </w:rPr>
            </w:pPr>
            <w:r w:rsidRPr="006C1286">
              <w:rPr>
                <w:rFonts w:ascii="Arial" w:hAnsi="Arial" w:cs="Arial"/>
                <w:noProof/>
                <w:lang w:val="pt-BR"/>
              </w:rPr>
              <w:drawing>
                <wp:inline distT="0" distB="0" distL="0" distR="0" wp14:anchorId="2D128B1B" wp14:editId="20B9D293">
                  <wp:extent cx="2546673" cy="787400"/>
                  <wp:effectExtent l="0" t="0" r="0" b="0"/>
                  <wp:docPr id="4" name="Picture 3" descr="A screenshot of a computer&#10;&#10;AI-generated content may be incorrect.">
                    <a:extLst xmlns:a="http://schemas.openxmlformats.org/drawingml/2006/main">
                      <a:ext uri="{FF2B5EF4-FFF2-40B4-BE49-F238E27FC236}">
                        <a16:creationId xmlns:a16="http://schemas.microsoft.com/office/drawing/2014/main" id="{7E91CE17-023E-A6D6-4819-823D733BB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AI-generated content may be incorrect.">
                            <a:extLst>
                              <a:ext uri="{FF2B5EF4-FFF2-40B4-BE49-F238E27FC236}">
                                <a16:creationId xmlns:a16="http://schemas.microsoft.com/office/drawing/2014/main" id="{7E91CE17-023E-A6D6-4819-823D733BB1BA}"/>
                              </a:ext>
                            </a:extLst>
                          </pic:cNvPr>
                          <pic:cNvPicPr>
                            <a:picLocks noChangeAspect="1"/>
                          </pic:cNvPicPr>
                        </pic:nvPicPr>
                        <pic:blipFill>
                          <a:blip r:embed="rId21"/>
                          <a:stretch>
                            <a:fillRect/>
                          </a:stretch>
                        </pic:blipFill>
                        <pic:spPr>
                          <a:xfrm>
                            <a:off x="0" y="0"/>
                            <a:ext cx="2636103" cy="815051"/>
                          </a:xfrm>
                          <a:prstGeom prst="rect">
                            <a:avLst/>
                          </a:prstGeom>
                        </pic:spPr>
                      </pic:pic>
                    </a:graphicData>
                  </a:graphic>
                </wp:inline>
              </w:drawing>
            </w:r>
          </w:p>
        </w:tc>
        <w:tc>
          <w:tcPr>
            <w:tcW w:w="4675" w:type="dxa"/>
          </w:tcPr>
          <w:p w14:paraId="6A3386E9" w14:textId="77777777" w:rsidR="006C1286" w:rsidRPr="006C1286" w:rsidRDefault="006C1286" w:rsidP="006C1286">
            <w:pPr>
              <w:pStyle w:val="Body"/>
              <w:spacing w:after="0"/>
              <w:rPr>
                <w:rFonts w:ascii="Arial" w:eastAsia="Times New Roman" w:hAnsi="Arial" w:cs="Arial"/>
              </w:rPr>
            </w:pPr>
            <w:r w:rsidRPr="006C1286">
              <w:rPr>
                <w:rFonts w:ascii="Arial" w:hAnsi="Arial" w:cs="Arial"/>
                <w:noProof/>
                <w:lang w:val="pt-BR"/>
              </w:rPr>
              <w:drawing>
                <wp:inline distT="0" distB="0" distL="0" distR="0" wp14:anchorId="386A0906" wp14:editId="332D70CE">
                  <wp:extent cx="2585803" cy="876300"/>
                  <wp:effectExtent l="0" t="0" r="0" b="0"/>
                  <wp:docPr id="9" name="Picture 8" descr="A screenshot of a computer&#10;&#10;AI-generated content may be incorrect.">
                    <a:extLst xmlns:a="http://schemas.openxmlformats.org/drawingml/2006/main">
                      <a:ext uri="{FF2B5EF4-FFF2-40B4-BE49-F238E27FC236}">
                        <a16:creationId xmlns:a16="http://schemas.microsoft.com/office/drawing/2014/main" id="{2F1B3790-5B03-D886-C11F-DE40F9FE3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AI-generated content may be incorrect.">
                            <a:extLst>
                              <a:ext uri="{FF2B5EF4-FFF2-40B4-BE49-F238E27FC236}">
                                <a16:creationId xmlns:a16="http://schemas.microsoft.com/office/drawing/2014/main" id="{2F1B3790-5B03-D886-C11F-DE40F9FE3204}"/>
                              </a:ext>
                            </a:extLst>
                          </pic:cNvPr>
                          <pic:cNvPicPr>
                            <a:picLocks noChangeAspect="1"/>
                          </pic:cNvPicPr>
                        </pic:nvPicPr>
                        <pic:blipFill>
                          <a:blip r:embed="rId22"/>
                          <a:stretch>
                            <a:fillRect/>
                          </a:stretch>
                        </pic:blipFill>
                        <pic:spPr>
                          <a:xfrm>
                            <a:off x="0" y="0"/>
                            <a:ext cx="2641960" cy="895331"/>
                          </a:xfrm>
                          <a:prstGeom prst="rect">
                            <a:avLst/>
                          </a:prstGeom>
                        </pic:spPr>
                      </pic:pic>
                    </a:graphicData>
                  </a:graphic>
                </wp:inline>
              </w:drawing>
            </w:r>
          </w:p>
        </w:tc>
      </w:tr>
      <w:tr w:rsidR="006C1286" w:rsidRPr="006C1286" w14:paraId="362BA167" w14:textId="77777777" w:rsidTr="003D2E1F">
        <w:tc>
          <w:tcPr>
            <w:tcW w:w="9350" w:type="dxa"/>
            <w:gridSpan w:val="2"/>
          </w:tcPr>
          <w:p w14:paraId="7C1E6C3F" w14:textId="77777777" w:rsidR="006C1286" w:rsidRPr="00F97918" w:rsidRDefault="006C1286" w:rsidP="006C1286">
            <w:pPr>
              <w:pStyle w:val="Body"/>
              <w:spacing w:after="0"/>
              <w:rPr>
                <w:rFonts w:ascii="Arial" w:eastAsia="Times New Roman" w:hAnsi="Arial" w:cs="Arial"/>
                <w:b/>
                <w:bCs/>
              </w:rPr>
            </w:pPr>
            <w:r w:rsidRPr="00F97918">
              <w:rPr>
                <w:rFonts w:ascii="Arial" w:eastAsia="Times New Roman" w:hAnsi="Arial" w:cs="Arial"/>
                <w:b/>
                <w:bCs/>
                <w:sz w:val="20"/>
                <w:szCs w:val="20"/>
              </w:rPr>
              <w:t>Figure 6. Model graphs of each studied scenario based on Electrolysis and Gasification.</w:t>
            </w:r>
          </w:p>
        </w:tc>
      </w:tr>
    </w:tbl>
    <w:p w14:paraId="42DBB147" w14:textId="77777777" w:rsidR="006C1286" w:rsidRPr="006C1286" w:rsidRDefault="006C1286" w:rsidP="006C1286">
      <w:pPr>
        <w:pStyle w:val="Body"/>
        <w:rPr>
          <w:rFonts w:ascii="Arial" w:hAnsi="Arial" w:cs="Arial"/>
          <w:b/>
          <w:bCs/>
        </w:rPr>
      </w:pPr>
    </w:p>
    <w:p w14:paraId="012CC7DD" w14:textId="14BCCD03" w:rsidR="006C1286" w:rsidRPr="006C1286" w:rsidRDefault="006C1286" w:rsidP="006C1286">
      <w:pPr>
        <w:pStyle w:val="Body"/>
        <w:rPr>
          <w:rFonts w:ascii="Arial" w:hAnsi="Arial" w:cs="Arial"/>
        </w:rPr>
      </w:pPr>
      <w:r w:rsidRPr="006C1286">
        <w:rPr>
          <w:rFonts w:ascii="Arial" w:hAnsi="Arial" w:cs="Arial"/>
        </w:rPr>
        <w:t>Without normalization or balance for the same production yield, the higher values for impact categories were for Ecotoxicity (</w:t>
      </w:r>
      <w:proofErr w:type="spellStart"/>
      <w:r w:rsidRPr="006C1286">
        <w:rPr>
          <w:rFonts w:ascii="Arial" w:hAnsi="Arial" w:cs="Arial"/>
        </w:rPr>
        <w:t>CTUe</w:t>
      </w:r>
      <w:proofErr w:type="spellEnd"/>
      <w:r w:rsidRPr="006C1286">
        <w:rPr>
          <w:rFonts w:ascii="Arial" w:hAnsi="Arial" w:cs="Arial"/>
        </w:rPr>
        <w:t>), Fossil fuel depletion (MJ surplus), Global warming (KgCO2eq) and Smog (KgO3eq) considering Electrolysis and Gasification, both using the energy source from hydropower.</w:t>
      </w:r>
    </w:p>
    <w:p w14:paraId="2DFC1F4F" w14:textId="77777777" w:rsidR="006C1286" w:rsidRPr="006C1286" w:rsidRDefault="006C1286" w:rsidP="006C1286">
      <w:pPr>
        <w:pStyle w:val="Body"/>
        <w:rPr>
          <w:rFonts w:ascii="Arial" w:hAnsi="Arial" w:cs="Arial"/>
          <w:b/>
          <w:bCs/>
        </w:rPr>
      </w:pPr>
      <w:r w:rsidRPr="006C1286">
        <w:rPr>
          <w:rFonts w:ascii="Arial" w:hAnsi="Arial" w:cs="Arial"/>
          <w:noProof/>
          <w:lang w:val="pt-BR"/>
        </w:rPr>
        <w:lastRenderedPageBreak/>
        <w:drawing>
          <wp:inline distT="0" distB="0" distL="0" distR="0" wp14:anchorId="4504FBE5" wp14:editId="6B404739">
            <wp:extent cx="5943600" cy="2907030"/>
            <wp:effectExtent l="0" t="0" r="0" b="1270"/>
            <wp:docPr id="762763474" name="Chart 1">
              <a:extLst xmlns:a="http://schemas.openxmlformats.org/drawingml/2006/main">
                <a:ext uri="{FF2B5EF4-FFF2-40B4-BE49-F238E27FC236}">
                  <a16:creationId xmlns:a16="http://schemas.microsoft.com/office/drawing/2014/main" id="{87337DCE-75CC-3646-8FC4-DFCB802D3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DA34C3" w14:textId="4910E5DA" w:rsidR="006C1286" w:rsidRPr="00F97918" w:rsidRDefault="006C1286" w:rsidP="006C1286">
      <w:pPr>
        <w:pStyle w:val="Body"/>
        <w:rPr>
          <w:rFonts w:ascii="Arial" w:hAnsi="Arial" w:cs="Arial"/>
          <w:b/>
          <w:bCs/>
        </w:rPr>
      </w:pPr>
      <w:r w:rsidRPr="00F97918">
        <w:rPr>
          <w:rFonts w:ascii="Arial" w:hAnsi="Arial" w:cs="Arial"/>
          <w:b/>
          <w:bCs/>
        </w:rPr>
        <w:t xml:space="preserve">Figure </w:t>
      </w:r>
      <w:r w:rsidR="0076003B">
        <w:rPr>
          <w:rFonts w:ascii="Arial" w:hAnsi="Arial" w:cs="Arial"/>
          <w:b/>
          <w:bCs/>
        </w:rPr>
        <w:t>7</w:t>
      </w:r>
      <w:r w:rsidRPr="00F97918">
        <w:rPr>
          <w:rFonts w:ascii="Arial" w:hAnsi="Arial" w:cs="Arial"/>
          <w:b/>
          <w:bCs/>
        </w:rPr>
        <w:t>. Environmental impact categories for 1 kg of hydrogen production accordingly technology and electricity source in USA.</w:t>
      </w:r>
    </w:p>
    <w:p w14:paraId="7D27067C" w14:textId="77777777" w:rsidR="006C1286" w:rsidRPr="006C1286" w:rsidRDefault="006C1286" w:rsidP="006C1286">
      <w:pPr>
        <w:pStyle w:val="Body"/>
        <w:rPr>
          <w:rFonts w:ascii="Arial" w:hAnsi="Arial" w:cs="Arial"/>
        </w:rPr>
      </w:pPr>
      <w:r w:rsidRPr="006C1286">
        <w:rPr>
          <w:rFonts w:ascii="Arial" w:hAnsi="Arial" w:cs="Arial"/>
        </w:rPr>
        <w:t>Figure 7 above shows the environmental</w:t>
      </w:r>
      <w:r w:rsidRPr="006C1286">
        <w:rPr>
          <w:rFonts w:ascii="Arial" w:hAnsi="Arial" w:cs="Arial"/>
          <w:b/>
          <w:bCs/>
        </w:rPr>
        <w:t xml:space="preserve"> </w:t>
      </w:r>
      <w:r w:rsidRPr="006C1286">
        <w:rPr>
          <w:rFonts w:ascii="Arial" w:hAnsi="Arial" w:cs="Arial"/>
        </w:rPr>
        <w:t xml:space="preserve">impact categories for 1 kg of hydrogen production accordingly technology and electricity source in USA. As same case discussed in fig.5, in this case all scenarios for this technology sustainability, risk hazardous and health assessment regarding all impact categories are listed according to ISO 14040 and ISO 14044, ISO (2025) [24,25]. As previously study case Electrolysis and Gasification, both using the energy source from hydropower was present the higher values for impact categories were respectively for Ecotoxicity (79.61 </w:t>
      </w:r>
      <w:proofErr w:type="spellStart"/>
      <w:r w:rsidRPr="006C1286">
        <w:rPr>
          <w:rFonts w:ascii="Arial" w:hAnsi="Arial" w:cs="Arial"/>
        </w:rPr>
        <w:t>CTUe</w:t>
      </w:r>
      <w:proofErr w:type="spellEnd"/>
      <w:r w:rsidRPr="006C1286">
        <w:rPr>
          <w:rFonts w:ascii="Arial" w:hAnsi="Arial" w:cs="Arial"/>
        </w:rPr>
        <w:t xml:space="preserve"> and 1.88 </w:t>
      </w:r>
      <w:proofErr w:type="spellStart"/>
      <w:r w:rsidRPr="006C1286">
        <w:rPr>
          <w:rFonts w:ascii="Arial" w:hAnsi="Arial" w:cs="Arial"/>
        </w:rPr>
        <w:t>CTUe</w:t>
      </w:r>
      <w:proofErr w:type="spellEnd"/>
      <w:r w:rsidRPr="006C1286">
        <w:rPr>
          <w:rFonts w:ascii="Arial" w:hAnsi="Arial" w:cs="Arial"/>
        </w:rPr>
        <w:t xml:space="preserve">), Fossil fuel depletion (222.04 MJ surplus and 12.10 MJ surplus), Global warming ( 153.93 KgCO2eq and 22.08 KgCO2eq) and Smog (3.60 KgO3eq and 0.66 KgO3eq) considering Electrolysis and Gasification, both using the energy source from hydropower. It is relevant to mention that for the normalized production of 1 kg of H2, the Electrolysis processes using energy source from hydropower present the most significative environmental impact compared with all other technologies. </w:t>
      </w:r>
    </w:p>
    <w:p w14:paraId="3365F87F" w14:textId="18C62B95" w:rsidR="006C1286" w:rsidRPr="006C1286" w:rsidRDefault="006C1286" w:rsidP="006C1286">
      <w:pPr>
        <w:pStyle w:val="Body"/>
        <w:rPr>
          <w:rFonts w:ascii="Arial" w:hAnsi="Arial" w:cs="Arial"/>
        </w:rPr>
      </w:pPr>
      <w:r w:rsidRPr="006C1286">
        <w:rPr>
          <w:rFonts w:ascii="Arial" w:hAnsi="Arial" w:cs="Arial"/>
        </w:rPr>
        <w:t>Even classified as carbon-free technology in this case, due to the many effects considering all environmental impact categories to generate pollution throughout the local environmental linked to the facility production, this process is not recommended based on this study and the pollution levels are higher even the non-carbon free processes as gasification. Although, this both case scenarios leaded the pollution considering the studied environmental categories it is very important mentioned that no case study considering all scenarios for energy source regarding Electrolysis and Gasification processes, accordingly the methodology and databases used at these level present carcinogenic effects.</w:t>
      </w:r>
    </w:p>
    <w:p w14:paraId="69FAF7A7" w14:textId="77777777" w:rsidR="006C1286" w:rsidRPr="006C1286" w:rsidRDefault="006C1286" w:rsidP="006C1286">
      <w:pPr>
        <w:pStyle w:val="Body"/>
        <w:rPr>
          <w:rFonts w:ascii="Arial" w:hAnsi="Arial" w:cs="Arial"/>
          <w:b/>
          <w:bCs/>
        </w:rPr>
      </w:pPr>
      <w:r w:rsidRPr="006C1286">
        <w:rPr>
          <w:rFonts w:ascii="Arial" w:hAnsi="Arial" w:cs="Arial"/>
          <w:b/>
          <w:bCs/>
        </w:rPr>
        <w:t>3.2 Sensitivity Analysis</w:t>
      </w:r>
    </w:p>
    <w:p w14:paraId="5BFBA180" w14:textId="164046E6" w:rsidR="006C1286" w:rsidRPr="006C1286" w:rsidRDefault="006C1286" w:rsidP="006C1286">
      <w:pPr>
        <w:pStyle w:val="Body"/>
        <w:rPr>
          <w:rFonts w:ascii="Arial" w:hAnsi="Arial" w:cs="Arial"/>
        </w:rPr>
      </w:pPr>
      <w:r w:rsidRPr="006C1286">
        <w:rPr>
          <w:rFonts w:ascii="Arial" w:hAnsi="Arial" w:cs="Arial"/>
        </w:rPr>
        <w:t>Sensitivity analysis indicates the variable input parameters that most influence Electrolysis and Gasification net emissions in this study. Figure 8 and 9 shows respectively sensitivity analysis for global warming environmental</w:t>
      </w:r>
      <w:r w:rsidRPr="006C1286">
        <w:rPr>
          <w:rFonts w:ascii="Arial" w:hAnsi="Arial" w:cs="Arial"/>
          <w:b/>
          <w:bCs/>
        </w:rPr>
        <w:t xml:space="preserve"> </w:t>
      </w:r>
      <w:r w:rsidRPr="006C1286">
        <w:rPr>
          <w:rFonts w:ascii="Arial" w:hAnsi="Arial" w:cs="Arial"/>
        </w:rPr>
        <w:t xml:space="preserve">impact category of1 kg of hydrogen production via Gasification and Electrolysis processes, applying hydropower in the electrical source of </w:t>
      </w:r>
      <w:r w:rsidRPr="006C1286">
        <w:rPr>
          <w:rFonts w:ascii="Arial" w:hAnsi="Arial" w:cs="Arial"/>
        </w:rPr>
        <w:lastRenderedPageBreak/>
        <w:t>energy, normalized by the higher input contribution value in kg.CO</w:t>
      </w:r>
      <w:r w:rsidRPr="006C1286">
        <w:rPr>
          <w:rFonts w:ascii="Arial" w:hAnsi="Arial" w:cs="Arial"/>
          <w:vertAlign w:val="subscript"/>
        </w:rPr>
        <w:t>2</w:t>
      </w:r>
      <w:r w:rsidRPr="006C1286">
        <w:rPr>
          <w:rFonts w:ascii="Arial" w:hAnsi="Arial" w:cs="Arial"/>
        </w:rPr>
        <w:t>eq/1kg of Hydrogen. In case of electrolysis 3 energy sources were evaluated as previously mentioned, wind, hydropower and from grid mix.</w:t>
      </w:r>
    </w:p>
    <w:tbl>
      <w:tblPr>
        <w:tblStyle w:val="TableGrid"/>
        <w:tblW w:w="0" w:type="auto"/>
        <w:tblLook w:val="04A0" w:firstRow="1" w:lastRow="0" w:firstColumn="1" w:lastColumn="0" w:noHBand="0" w:noVBand="1"/>
      </w:tblPr>
      <w:tblGrid>
        <w:gridCol w:w="4212"/>
        <w:gridCol w:w="4212"/>
      </w:tblGrid>
      <w:tr w:rsidR="006C1286" w:rsidRPr="006C1286" w14:paraId="7F93E55B" w14:textId="77777777" w:rsidTr="003D2E1F">
        <w:tc>
          <w:tcPr>
            <w:tcW w:w="4675" w:type="dxa"/>
          </w:tcPr>
          <w:p w14:paraId="5F6F918D" w14:textId="77777777" w:rsidR="006C1286" w:rsidRPr="006C1286" w:rsidRDefault="006C1286" w:rsidP="006C1286">
            <w:pPr>
              <w:pStyle w:val="Body"/>
              <w:spacing w:after="0"/>
              <w:rPr>
                <w:rFonts w:ascii="Arial" w:eastAsia="Times New Roman" w:hAnsi="Arial" w:cs="Arial"/>
                <w:b/>
                <w:bCs/>
              </w:rPr>
            </w:pPr>
            <w:r w:rsidRPr="006C1286">
              <w:rPr>
                <w:rFonts w:ascii="Arial" w:hAnsi="Arial" w:cs="Arial"/>
                <w:noProof/>
                <w:lang w:val="pt-BR"/>
              </w:rPr>
              <w:drawing>
                <wp:inline distT="0" distB="0" distL="0" distR="0" wp14:anchorId="1BF9370B" wp14:editId="42C152AC">
                  <wp:extent cx="2782110" cy="2393005"/>
                  <wp:effectExtent l="0" t="0" r="0" b="0"/>
                  <wp:docPr id="1689880452" name="Chart 1">
                    <a:extLst xmlns:a="http://schemas.openxmlformats.org/drawingml/2006/main">
                      <a:ext uri="{FF2B5EF4-FFF2-40B4-BE49-F238E27FC236}">
                        <a16:creationId xmlns:a16="http://schemas.microsoft.com/office/drawing/2014/main" id="{95762AE3-2578-C82E-79B8-05AB0C25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75" w:type="dxa"/>
          </w:tcPr>
          <w:p w14:paraId="562FB732" w14:textId="77777777" w:rsidR="006C1286" w:rsidRPr="006C1286" w:rsidRDefault="006C1286" w:rsidP="006C1286">
            <w:pPr>
              <w:pStyle w:val="Body"/>
              <w:spacing w:after="0"/>
              <w:rPr>
                <w:rFonts w:ascii="Arial" w:eastAsia="Times New Roman" w:hAnsi="Arial" w:cs="Arial"/>
                <w:b/>
                <w:bCs/>
              </w:rPr>
            </w:pPr>
            <w:r w:rsidRPr="006C1286">
              <w:rPr>
                <w:rFonts w:ascii="Arial" w:hAnsi="Arial" w:cs="Arial"/>
                <w:noProof/>
                <w:lang w:val="pt-BR"/>
              </w:rPr>
              <w:drawing>
                <wp:inline distT="0" distB="0" distL="0" distR="0" wp14:anchorId="0D8D7ABC" wp14:editId="07AA4781">
                  <wp:extent cx="2782111" cy="2324911"/>
                  <wp:effectExtent l="0" t="0" r="0" b="0"/>
                  <wp:docPr id="455563596" name="Chart 1">
                    <a:extLst xmlns:a="http://schemas.openxmlformats.org/drawingml/2006/main">
                      <a:ext uri="{FF2B5EF4-FFF2-40B4-BE49-F238E27FC236}">
                        <a16:creationId xmlns:a16="http://schemas.microsoft.com/office/drawing/2014/main" id="{BFF3EB8E-0263-6F8F-012C-AC8833C6B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6C1286" w:rsidRPr="006C1286" w14:paraId="6EC7C42A" w14:textId="77777777" w:rsidTr="003D2E1F">
        <w:tc>
          <w:tcPr>
            <w:tcW w:w="4675" w:type="dxa"/>
          </w:tcPr>
          <w:p w14:paraId="67D2DF59" w14:textId="77777777" w:rsidR="006C1286" w:rsidRPr="00F97918" w:rsidRDefault="006C1286" w:rsidP="006C1286">
            <w:pPr>
              <w:pStyle w:val="Body"/>
              <w:spacing w:after="0"/>
              <w:rPr>
                <w:rFonts w:ascii="Arial" w:eastAsia="Times New Roman" w:hAnsi="Arial" w:cs="Arial"/>
                <w:b/>
                <w:bCs/>
              </w:rPr>
            </w:pPr>
            <w:r w:rsidRPr="00F97918">
              <w:rPr>
                <w:rFonts w:ascii="Arial" w:eastAsia="Times New Roman" w:hAnsi="Arial" w:cs="Arial"/>
                <w:b/>
                <w:bCs/>
              </w:rPr>
              <w:t xml:space="preserve">Figure 8. </w:t>
            </w:r>
            <w:bookmarkStart w:id="1" w:name="OLE_LINK1"/>
            <w:r w:rsidRPr="00F97918">
              <w:rPr>
                <w:rFonts w:ascii="Arial" w:eastAsia="Times New Roman" w:hAnsi="Arial" w:cs="Arial"/>
                <w:b/>
                <w:bCs/>
              </w:rPr>
              <w:t>Sensitivity analysis for global warming environmental impact category for 1 kg of hydrogen production via Gasification processes, hydropower in the electrical source of energy, normalized by the higher input contribution value in kg.CO</w:t>
            </w:r>
            <w:r w:rsidRPr="00F97918">
              <w:rPr>
                <w:rFonts w:ascii="Arial" w:eastAsia="Times New Roman" w:hAnsi="Arial" w:cs="Arial"/>
                <w:b/>
                <w:bCs/>
                <w:vertAlign w:val="subscript"/>
              </w:rPr>
              <w:t>2</w:t>
            </w:r>
            <w:r w:rsidRPr="00F97918">
              <w:rPr>
                <w:rFonts w:ascii="Arial" w:eastAsia="Times New Roman" w:hAnsi="Arial" w:cs="Arial"/>
                <w:b/>
                <w:bCs/>
              </w:rPr>
              <w:t>eq/1kg of Hydrogen.</w:t>
            </w:r>
            <w:bookmarkEnd w:id="1"/>
          </w:p>
        </w:tc>
        <w:tc>
          <w:tcPr>
            <w:tcW w:w="4675" w:type="dxa"/>
          </w:tcPr>
          <w:p w14:paraId="1FCF4CF3" w14:textId="77777777" w:rsidR="006C1286" w:rsidRPr="00F97918" w:rsidRDefault="006C1286" w:rsidP="006C1286">
            <w:pPr>
              <w:pStyle w:val="Body"/>
              <w:spacing w:after="0"/>
              <w:rPr>
                <w:rFonts w:ascii="Arial" w:eastAsia="Times New Roman" w:hAnsi="Arial" w:cs="Arial"/>
                <w:b/>
                <w:bCs/>
              </w:rPr>
            </w:pPr>
            <w:r w:rsidRPr="00F97918">
              <w:rPr>
                <w:rFonts w:ascii="Arial" w:eastAsia="Times New Roman" w:hAnsi="Arial" w:cs="Arial"/>
                <w:b/>
                <w:bCs/>
              </w:rPr>
              <w:t>Figure 9. Sensitivity analysis for global warming environmental impact category for 1 kg of hydrogen production via Electrolysis processes, comparing 3 electrical sources of energy, normalized by the higher input contribution value in kg.CO</w:t>
            </w:r>
            <w:r w:rsidRPr="00F97918">
              <w:rPr>
                <w:rFonts w:ascii="Arial" w:eastAsia="Times New Roman" w:hAnsi="Arial" w:cs="Arial"/>
                <w:b/>
                <w:bCs/>
                <w:vertAlign w:val="subscript"/>
              </w:rPr>
              <w:t>2</w:t>
            </w:r>
            <w:r w:rsidRPr="00F97918">
              <w:rPr>
                <w:rFonts w:ascii="Arial" w:eastAsia="Times New Roman" w:hAnsi="Arial" w:cs="Arial"/>
                <w:b/>
                <w:bCs/>
              </w:rPr>
              <w:t>eq/1kg of Hydrogen.</w:t>
            </w:r>
          </w:p>
        </w:tc>
      </w:tr>
    </w:tbl>
    <w:p w14:paraId="0F502CAC" w14:textId="77777777" w:rsidR="006C1286" w:rsidRDefault="006C1286" w:rsidP="006C1286">
      <w:pPr>
        <w:pStyle w:val="Body"/>
        <w:spacing w:after="0"/>
        <w:rPr>
          <w:rFonts w:ascii="Arial" w:hAnsi="Arial" w:cs="Arial"/>
        </w:rPr>
      </w:pPr>
    </w:p>
    <w:p w14:paraId="79B8106C" w14:textId="3CFE94FC" w:rsidR="006C1286" w:rsidRDefault="006C1286" w:rsidP="006C1286">
      <w:pPr>
        <w:pStyle w:val="Body"/>
        <w:spacing w:after="0"/>
        <w:rPr>
          <w:rFonts w:ascii="Arial" w:hAnsi="Arial" w:cs="Arial"/>
        </w:rPr>
      </w:pPr>
      <w:r w:rsidRPr="006C1286">
        <w:rPr>
          <w:rFonts w:ascii="Arial" w:hAnsi="Arial" w:cs="Arial"/>
        </w:rPr>
        <w:t>For both cases the higher values of emissions (kg.CO</w:t>
      </w:r>
      <w:r w:rsidRPr="006C1286">
        <w:rPr>
          <w:rFonts w:ascii="Arial" w:hAnsi="Arial" w:cs="Arial"/>
          <w:vertAlign w:val="subscript"/>
        </w:rPr>
        <w:t>2</w:t>
      </w:r>
      <w:r w:rsidRPr="006C1286">
        <w:rPr>
          <w:rFonts w:ascii="Arial" w:hAnsi="Arial" w:cs="Arial"/>
        </w:rPr>
        <w:t>eq/1kg of Hydrogen) considering impact category as global warming was applied as baseline to normalize the following input parameters for both technologies. For Electrolysis, the emission reference value for hydropower electricity (153.94 kg.CO</w:t>
      </w:r>
      <w:r w:rsidRPr="006C1286">
        <w:rPr>
          <w:rFonts w:ascii="Arial" w:hAnsi="Arial" w:cs="Arial"/>
          <w:vertAlign w:val="subscript"/>
        </w:rPr>
        <w:t>2</w:t>
      </w:r>
      <w:r w:rsidRPr="006C1286">
        <w:rPr>
          <w:rFonts w:ascii="Arial" w:hAnsi="Arial" w:cs="Arial"/>
        </w:rPr>
        <w:t xml:space="preserve">eq/1kg of Hydrogen), and for Gasification, the emissions reference value for steel </w:t>
      </w:r>
      <w:proofErr w:type="spellStart"/>
      <w:r w:rsidRPr="006C1286">
        <w:rPr>
          <w:rFonts w:ascii="Arial" w:hAnsi="Arial" w:cs="Arial"/>
        </w:rPr>
        <w:t>section+recycling</w:t>
      </w:r>
      <w:proofErr w:type="spellEnd"/>
      <w:r w:rsidRPr="006C1286">
        <w:rPr>
          <w:rFonts w:ascii="Arial" w:hAnsi="Arial" w:cs="Arial"/>
        </w:rPr>
        <w:t xml:space="preserve"> (21.13 kg.CO</w:t>
      </w:r>
      <w:r w:rsidRPr="006C1286">
        <w:rPr>
          <w:rFonts w:ascii="Arial" w:hAnsi="Arial" w:cs="Arial"/>
          <w:vertAlign w:val="subscript"/>
        </w:rPr>
        <w:t>2</w:t>
      </w:r>
      <w:r w:rsidRPr="006C1286">
        <w:rPr>
          <w:rFonts w:ascii="Arial" w:hAnsi="Arial" w:cs="Arial"/>
        </w:rPr>
        <w:t xml:space="preserve">eq/1kg of Hydrogen); as this both input parameters were already presented the higher emissions. Considering we assume 20 % of ratio to calculate the minimum and maximum values presented in the figure 8 and 9, the same input categories thus presented the most significative variations as -0.8 to 1.2 for steel </w:t>
      </w:r>
      <w:proofErr w:type="spellStart"/>
      <w:r w:rsidRPr="006C1286">
        <w:rPr>
          <w:rFonts w:ascii="Arial" w:hAnsi="Arial" w:cs="Arial"/>
        </w:rPr>
        <w:t>section+recycling</w:t>
      </w:r>
      <w:proofErr w:type="spellEnd"/>
      <w:r w:rsidRPr="006C1286">
        <w:rPr>
          <w:rFonts w:ascii="Arial" w:hAnsi="Arial" w:cs="Arial"/>
        </w:rPr>
        <w:t xml:space="preserve"> and for hydropower electricity also. Based on this the second highest input parameters contribution for the global warming category was in case of the Gasification, electricity from hydropower, and in case of Electrolysis was electricity from the grid mix both varying -0.0345 to 0.0517 and 0.0639 to -0.0959 respectively. It is relevant to mention that considering that natural gas and water (desalinated, deionized) weren’t present significative contributions and in case of water for the model applied with the assumptions adopted was 0 kg.CO</w:t>
      </w:r>
      <w:r w:rsidRPr="006C1286">
        <w:rPr>
          <w:rFonts w:ascii="Arial" w:hAnsi="Arial" w:cs="Arial"/>
          <w:vertAlign w:val="subscript"/>
        </w:rPr>
        <w:t>2</w:t>
      </w:r>
      <w:r w:rsidRPr="006C1286">
        <w:rPr>
          <w:rFonts w:ascii="Arial" w:hAnsi="Arial" w:cs="Arial"/>
        </w:rPr>
        <w:t>eq/1kg of Hydrogen. The input parameters evaluation in this case study wasn’t selected considering costs.</w:t>
      </w:r>
    </w:p>
    <w:p w14:paraId="4E23D8B6" w14:textId="77777777" w:rsidR="006C1286" w:rsidRPr="006C1286" w:rsidRDefault="006C1286" w:rsidP="006C1286">
      <w:pPr>
        <w:pStyle w:val="Body"/>
        <w:spacing w:after="0"/>
        <w:rPr>
          <w:rFonts w:ascii="Arial" w:hAnsi="Arial" w:cs="Arial"/>
        </w:rPr>
      </w:pPr>
    </w:p>
    <w:p w14:paraId="255B01F2" w14:textId="77777777" w:rsidR="006C1286" w:rsidRPr="006C1286" w:rsidRDefault="006C1286" w:rsidP="006C1286">
      <w:pPr>
        <w:pStyle w:val="Body"/>
        <w:rPr>
          <w:rFonts w:ascii="Arial" w:hAnsi="Arial" w:cs="Arial"/>
          <w:b/>
          <w:bCs/>
        </w:rPr>
      </w:pPr>
      <w:r w:rsidRPr="006C1286">
        <w:rPr>
          <w:rFonts w:ascii="Arial" w:hAnsi="Arial" w:cs="Arial"/>
          <w:b/>
          <w:bCs/>
        </w:rPr>
        <w:t>3.3 Monte Carlo Simulations</w:t>
      </w:r>
    </w:p>
    <w:p w14:paraId="19027018" w14:textId="4976F73C" w:rsidR="006C1286" w:rsidRPr="006C1286" w:rsidRDefault="006C1286" w:rsidP="006C1286">
      <w:pPr>
        <w:pStyle w:val="Body"/>
        <w:rPr>
          <w:rFonts w:ascii="Arial" w:hAnsi="Arial" w:cs="Arial"/>
          <w:b/>
          <w:bCs/>
        </w:rPr>
      </w:pPr>
      <w:r w:rsidRPr="006C1286">
        <w:rPr>
          <w:rFonts w:ascii="Arial" w:hAnsi="Arial" w:cs="Arial"/>
        </w:rPr>
        <w:t xml:space="preserve">The Monte Carlo method, also known as statistical simulation method, is a very precise method of numerical calculation guided by probability statistical theory. It uses random numbers (or more commonly pseudo-random numbers) to solve many calculation problems </w:t>
      </w:r>
      <w:r w:rsidRPr="006C1286">
        <w:rPr>
          <w:rFonts w:ascii="Arial" w:hAnsi="Arial" w:cs="Arial"/>
        </w:rPr>
        <w:lastRenderedPageBreak/>
        <w:t>[26, 27]. This uncertainty analysis was adopted, and Figure 10 shows the Monte Carlo histograms for global warming environmental impact category considering 1 kg of hydrogen produced via Gasification and Electrolysis processes; comparing 3 electrical sources of energy, from hydropower, wind and grid mix in kg.CO</w:t>
      </w:r>
      <w:r w:rsidRPr="006C1286">
        <w:rPr>
          <w:rFonts w:ascii="Arial" w:hAnsi="Arial" w:cs="Arial"/>
          <w:vertAlign w:val="subscript"/>
        </w:rPr>
        <w:t>2</w:t>
      </w:r>
      <w:r w:rsidRPr="006C1286">
        <w:rPr>
          <w:rFonts w:ascii="Arial" w:hAnsi="Arial" w:cs="Arial"/>
        </w:rPr>
        <w:t>eq at USA. Monte Carlo method can randomly sample the values of uncertain variables based on probabilistic analysis, and combine with the pre-determined impact assessment method to simulate, so as to obtain statistically significant environmental impact evaluation results, which can reflect the influence of uncertain factors more accurately [26].</w:t>
      </w:r>
    </w:p>
    <w:tbl>
      <w:tblPr>
        <w:tblStyle w:val="TableGrid"/>
        <w:tblW w:w="0" w:type="auto"/>
        <w:tblLook w:val="04A0" w:firstRow="1" w:lastRow="0" w:firstColumn="1" w:lastColumn="0" w:noHBand="0" w:noVBand="1"/>
      </w:tblPr>
      <w:tblGrid>
        <w:gridCol w:w="4087"/>
        <w:gridCol w:w="4337"/>
      </w:tblGrid>
      <w:tr w:rsidR="006C1286" w:rsidRPr="006C1286" w14:paraId="23390489" w14:textId="77777777" w:rsidTr="003D2E1F">
        <w:tc>
          <w:tcPr>
            <w:tcW w:w="3041" w:type="dxa"/>
          </w:tcPr>
          <w:p w14:paraId="0D9311DA" w14:textId="77777777" w:rsidR="006C1286" w:rsidRPr="006C1286" w:rsidRDefault="006C1286" w:rsidP="006C1286">
            <w:pPr>
              <w:pStyle w:val="Body"/>
              <w:spacing w:after="0"/>
              <w:rPr>
                <w:rFonts w:ascii="Arial" w:eastAsia="Times New Roman" w:hAnsi="Arial" w:cs="Arial"/>
                <w:b/>
                <w:bCs/>
              </w:rPr>
            </w:pPr>
            <w:r w:rsidRPr="006C1286">
              <w:rPr>
                <w:rFonts w:ascii="Arial" w:hAnsi="Arial" w:cs="Arial"/>
                <w:noProof/>
                <w:lang w:val="pt-BR"/>
              </w:rPr>
              <w:drawing>
                <wp:inline distT="0" distB="0" distL="0" distR="0" wp14:anchorId="2A85E519" wp14:editId="6DB2C3A0">
                  <wp:extent cx="2755976" cy="1917700"/>
                  <wp:effectExtent l="0" t="0" r="0" b="0"/>
                  <wp:docPr id="139665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9365" name=""/>
                          <pic:cNvPicPr/>
                        </pic:nvPicPr>
                        <pic:blipFill>
                          <a:blip r:embed="rId26"/>
                          <a:stretch>
                            <a:fillRect/>
                          </a:stretch>
                        </pic:blipFill>
                        <pic:spPr>
                          <a:xfrm>
                            <a:off x="0" y="0"/>
                            <a:ext cx="2783806" cy="1937065"/>
                          </a:xfrm>
                          <a:prstGeom prst="rect">
                            <a:avLst/>
                          </a:prstGeom>
                        </pic:spPr>
                      </pic:pic>
                    </a:graphicData>
                  </a:graphic>
                </wp:inline>
              </w:drawing>
            </w:r>
          </w:p>
        </w:tc>
        <w:tc>
          <w:tcPr>
            <w:tcW w:w="6309" w:type="dxa"/>
          </w:tcPr>
          <w:p w14:paraId="5E209676" w14:textId="77777777" w:rsidR="006C1286" w:rsidRPr="006C1286" w:rsidRDefault="006C1286" w:rsidP="006C1286">
            <w:pPr>
              <w:pStyle w:val="Body"/>
              <w:spacing w:after="0"/>
              <w:rPr>
                <w:rFonts w:ascii="Arial" w:eastAsia="Times New Roman" w:hAnsi="Arial" w:cs="Arial"/>
                <w:b/>
                <w:bCs/>
              </w:rPr>
            </w:pPr>
            <w:r w:rsidRPr="006C1286">
              <w:rPr>
                <w:rFonts w:ascii="Arial" w:hAnsi="Arial" w:cs="Arial"/>
                <w:noProof/>
                <w:lang w:val="pt-BR"/>
              </w:rPr>
              <w:drawing>
                <wp:inline distT="0" distB="0" distL="0" distR="0" wp14:anchorId="7E07BF44" wp14:editId="0A41945C">
                  <wp:extent cx="2900254" cy="1917700"/>
                  <wp:effectExtent l="0" t="0" r="0" b="0"/>
                  <wp:docPr id="23345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56358" name=""/>
                          <pic:cNvPicPr/>
                        </pic:nvPicPr>
                        <pic:blipFill>
                          <a:blip r:embed="rId27"/>
                          <a:stretch>
                            <a:fillRect/>
                          </a:stretch>
                        </pic:blipFill>
                        <pic:spPr>
                          <a:xfrm>
                            <a:off x="0" y="0"/>
                            <a:ext cx="2913590" cy="1926518"/>
                          </a:xfrm>
                          <a:prstGeom prst="rect">
                            <a:avLst/>
                          </a:prstGeom>
                        </pic:spPr>
                      </pic:pic>
                    </a:graphicData>
                  </a:graphic>
                </wp:inline>
              </w:drawing>
            </w:r>
          </w:p>
        </w:tc>
      </w:tr>
      <w:tr w:rsidR="006C1286" w:rsidRPr="006C1286" w14:paraId="3711AF42" w14:textId="77777777" w:rsidTr="003D2E1F">
        <w:tc>
          <w:tcPr>
            <w:tcW w:w="3041" w:type="dxa"/>
          </w:tcPr>
          <w:p w14:paraId="5D6FC32D" w14:textId="77777777" w:rsidR="006C1286" w:rsidRPr="006C1286" w:rsidRDefault="006C1286" w:rsidP="006C1286">
            <w:pPr>
              <w:pStyle w:val="Body"/>
              <w:spacing w:after="0"/>
              <w:rPr>
                <w:rFonts w:ascii="Arial" w:eastAsia="Times New Roman" w:hAnsi="Arial" w:cs="Arial"/>
                <w:b/>
                <w:bCs/>
              </w:rPr>
            </w:pPr>
            <w:r w:rsidRPr="006C1286">
              <w:rPr>
                <w:rFonts w:ascii="Arial" w:hAnsi="Arial" w:cs="Arial"/>
                <w:noProof/>
                <w:lang w:val="pt-BR"/>
              </w:rPr>
              <w:drawing>
                <wp:inline distT="0" distB="0" distL="0" distR="0" wp14:anchorId="10E53C41" wp14:editId="4545513F">
                  <wp:extent cx="2688994" cy="1829435"/>
                  <wp:effectExtent l="0" t="0" r="0" b="0"/>
                  <wp:docPr id="1376062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62879" name=""/>
                          <pic:cNvPicPr/>
                        </pic:nvPicPr>
                        <pic:blipFill>
                          <a:blip r:embed="rId28"/>
                          <a:stretch>
                            <a:fillRect/>
                          </a:stretch>
                        </pic:blipFill>
                        <pic:spPr>
                          <a:xfrm>
                            <a:off x="0" y="0"/>
                            <a:ext cx="2709465" cy="1843362"/>
                          </a:xfrm>
                          <a:prstGeom prst="rect">
                            <a:avLst/>
                          </a:prstGeom>
                        </pic:spPr>
                      </pic:pic>
                    </a:graphicData>
                  </a:graphic>
                </wp:inline>
              </w:drawing>
            </w:r>
          </w:p>
        </w:tc>
        <w:tc>
          <w:tcPr>
            <w:tcW w:w="6309" w:type="dxa"/>
          </w:tcPr>
          <w:p w14:paraId="239F7329" w14:textId="77777777" w:rsidR="006C1286" w:rsidRPr="006C1286" w:rsidRDefault="006C1286" w:rsidP="006C1286">
            <w:pPr>
              <w:pStyle w:val="Body"/>
              <w:spacing w:after="0"/>
              <w:rPr>
                <w:rFonts w:ascii="Arial" w:eastAsia="Times New Roman" w:hAnsi="Arial" w:cs="Arial"/>
                <w:b/>
                <w:bCs/>
              </w:rPr>
            </w:pPr>
            <w:r w:rsidRPr="006C1286">
              <w:rPr>
                <w:rFonts w:ascii="Arial" w:hAnsi="Arial" w:cs="Arial"/>
                <w:noProof/>
                <w:lang w:val="pt-BR"/>
              </w:rPr>
              <w:drawing>
                <wp:inline distT="0" distB="0" distL="0" distR="0" wp14:anchorId="0F4AAA3E" wp14:editId="3E71C385">
                  <wp:extent cx="2933700" cy="1815070"/>
                  <wp:effectExtent l="0" t="0" r="0" b="0"/>
                  <wp:docPr id="120356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850" name=""/>
                          <pic:cNvPicPr/>
                        </pic:nvPicPr>
                        <pic:blipFill>
                          <a:blip r:embed="rId29"/>
                          <a:stretch>
                            <a:fillRect/>
                          </a:stretch>
                        </pic:blipFill>
                        <pic:spPr>
                          <a:xfrm>
                            <a:off x="0" y="0"/>
                            <a:ext cx="2955565" cy="1828598"/>
                          </a:xfrm>
                          <a:prstGeom prst="rect">
                            <a:avLst/>
                          </a:prstGeom>
                        </pic:spPr>
                      </pic:pic>
                    </a:graphicData>
                  </a:graphic>
                </wp:inline>
              </w:drawing>
            </w:r>
          </w:p>
        </w:tc>
      </w:tr>
    </w:tbl>
    <w:p w14:paraId="2A848249" w14:textId="12CB56AC" w:rsidR="006C1286" w:rsidRPr="00F97918" w:rsidRDefault="006C1286" w:rsidP="006C1286">
      <w:pPr>
        <w:pStyle w:val="Body"/>
        <w:rPr>
          <w:rFonts w:ascii="Arial" w:hAnsi="Arial" w:cs="Arial"/>
          <w:b/>
          <w:bCs/>
        </w:rPr>
      </w:pPr>
      <w:r w:rsidRPr="00F97918">
        <w:rPr>
          <w:rFonts w:ascii="Arial" w:hAnsi="Arial" w:cs="Arial"/>
          <w:b/>
          <w:bCs/>
        </w:rPr>
        <w:t>Figure 10. Monte Carlo histograms for global warming environmental impact category considering 1 kg of hydrogen produced via Gasification and Electrolysis processes; comparing 3 electrical sources of energy, from hydropower, wind and grid mix in kg.CO</w:t>
      </w:r>
      <w:r w:rsidRPr="00F97918">
        <w:rPr>
          <w:rFonts w:ascii="Arial" w:hAnsi="Arial" w:cs="Arial"/>
          <w:b/>
          <w:bCs/>
          <w:vertAlign w:val="subscript"/>
        </w:rPr>
        <w:t>2</w:t>
      </w:r>
      <w:r w:rsidRPr="00F97918">
        <w:rPr>
          <w:rFonts w:ascii="Arial" w:hAnsi="Arial" w:cs="Arial"/>
          <w:b/>
          <w:bCs/>
        </w:rPr>
        <w:t>eq at USA.</w:t>
      </w:r>
    </w:p>
    <w:p w14:paraId="21FAD70D" w14:textId="4E18D726" w:rsidR="006C1286" w:rsidRDefault="006C1286" w:rsidP="006C1286">
      <w:pPr>
        <w:pStyle w:val="Body"/>
        <w:spacing w:after="0"/>
        <w:rPr>
          <w:rFonts w:ascii="Arial" w:hAnsi="Arial" w:cs="Arial"/>
        </w:rPr>
      </w:pPr>
      <w:r w:rsidRPr="006C1286">
        <w:rPr>
          <w:rFonts w:ascii="Arial" w:hAnsi="Arial" w:cs="Arial"/>
        </w:rPr>
        <w:t xml:space="preserve">Monte Carlo histograms show visually how the data population are behaving accordingly the assumptions, input parameters and method for calculation used, TRACI 2.1. However, the supplementary data presented in this study support all the tendencies discussed in the items above. Regarding the electrical source only the Electrolysis case that apply wind as energy source present approximated statistical significance (0.0065) and the lower values for standard deviation (0.03314) and sample variance (0.0010) compared with all the other conditions tested. Visually figure 10 for the same case that uses wind as electrical source to supply energy, was the unique that present a similar normal distribution in a small data group. Nevertheless, the electrical input for energy from hydropower supply was the </w:t>
      </w:r>
      <w:proofErr w:type="gramStart"/>
      <w:r w:rsidRPr="006C1286">
        <w:rPr>
          <w:rFonts w:ascii="Arial" w:hAnsi="Arial" w:cs="Arial"/>
        </w:rPr>
        <w:t>worst case</w:t>
      </w:r>
      <w:proofErr w:type="gramEnd"/>
      <w:r w:rsidRPr="006C1286">
        <w:rPr>
          <w:rFonts w:ascii="Arial" w:hAnsi="Arial" w:cs="Arial"/>
        </w:rPr>
        <w:t xml:space="preserve"> scenario for both studied technologies, Electrolysis and Gasification, there was the higher statistical variation presented in this study as statistical significance (4.08), standard deviation (20.5664) and sample variance (422.9800). Also, the presented histograms </w:t>
      </w:r>
      <w:r w:rsidRPr="006C1286">
        <w:rPr>
          <w:rFonts w:ascii="Arial" w:hAnsi="Arial" w:cs="Arial"/>
        </w:rPr>
        <w:lastRenderedPageBreak/>
        <w:t xml:space="preserve">confirm the lack of normal distribution, however this type of energy source was still the </w:t>
      </w:r>
      <w:proofErr w:type="gramStart"/>
      <w:r w:rsidRPr="006C1286">
        <w:rPr>
          <w:rFonts w:ascii="Arial" w:hAnsi="Arial" w:cs="Arial"/>
        </w:rPr>
        <w:t>worst case</w:t>
      </w:r>
      <w:proofErr w:type="gramEnd"/>
      <w:r w:rsidRPr="006C1286">
        <w:rPr>
          <w:rFonts w:ascii="Arial" w:hAnsi="Arial" w:cs="Arial"/>
        </w:rPr>
        <w:t xml:space="preserve"> scenario.</w:t>
      </w:r>
    </w:p>
    <w:p w14:paraId="192EE9BA" w14:textId="77777777" w:rsidR="00790ADA" w:rsidRPr="00FB3A86" w:rsidRDefault="00790ADA" w:rsidP="00441B6F">
      <w:pPr>
        <w:pStyle w:val="Body"/>
        <w:spacing w:after="0"/>
        <w:rPr>
          <w:rFonts w:ascii="Arial" w:hAnsi="Arial" w:cs="Arial"/>
        </w:rPr>
      </w:pPr>
    </w:p>
    <w:p w14:paraId="37C932A7" w14:textId="7A6D73D3"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r w:rsidR="006C1286">
        <w:rPr>
          <w:rFonts w:ascii="Arial" w:hAnsi="Arial" w:cs="Arial"/>
        </w:rPr>
        <w:t xml:space="preserve"> and future outlook</w:t>
      </w:r>
    </w:p>
    <w:p w14:paraId="3CA8FF58" w14:textId="77777777" w:rsidR="00790ADA" w:rsidRPr="00FB3A86" w:rsidRDefault="00790ADA" w:rsidP="00441B6F">
      <w:pPr>
        <w:pStyle w:val="ConcHead"/>
        <w:spacing w:after="0"/>
        <w:jc w:val="both"/>
        <w:rPr>
          <w:rFonts w:ascii="Arial" w:hAnsi="Arial" w:cs="Arial"/>
        </w:rPr>
      </w:pPr>
    </w:p>
    <w:p w14:paraId="7552253B" w14:textId="56B54F21" w:rsidR="00790ADA" w:rsidRPr="00FB3A86" w:rsidRDefault="006C1286" w:rsidP="006C1286">
      <w:pPr>
        <w:pStyle w:val="Body"/>
        <w:rPr>
          <w:rFonts w:ascii="Arial" w:hAnsi="Arial" w:cs="Arial"/>
        </w:rPr>
      </w:pPr>
      <w:r w:rsidRPr="006C1286">
        <w:rPr>
          <w:rFonts w:ascii="Arial" w:hAnsi="Arial" w:cs="Arial"/>
        </w:rPr>
        <w:t>Electrolysis and Gasification are viable processes to produce hydrogen and the energy source as the type of electricity modal have a significative impact for hydrogen production. The following processes have the higher to the lower impacts in the global warming category: Electrolysis (Hydropower) &lt; Gasification (Hydropower) &lt; Electrolysis (Wind) &lt; Electrolysis (Grid mix). Finally, energy supplied from hydropower are significative CO2 input in the processes studied. It is recommended for the next studies include transportation in the processes that evolves raw materials for each technology as their investments to build the producer facility. Also increase the number of runs in a hundred factor.</w:t>
      </w:r>
    </w:p>
    <w:p w14:paraId="093C322C" w14:textId="77777777" w:rsidR="006C1286" w:rsidRPr="00C77E34" w:rsidRDefault="006C1286" w:rsidP="006C1286">
      <w:pPr>
        <w:rPr>
          <w:b/>
          <w:bCs/>
        </w:rPr>
      </w:pPr>
      <w:r w:rsidRPr="00C77E34">
        <w:rPr>
          <w:b/>
          <w:bCs/>
        </w:rPr>
        <w:t>CONSENT AND ETHICAL APPROVAL</w:t>
      </w:r>
    </w:p>
    <w:p w14:paraId="655D7562" w14:textId="77777777" w:rsidR="006C1286" w:rsidRPr="00C77E34" w:rsidRDefault="006C1286" w:rsidP="006C1286">
      <w:r w:rsidRPr="00C77E34">
        <w:t>It is not applicable.</w:t>
      </w:r>
    </w:p>
    <w:p w14:paraId="4D6D21AB" w14:textId="77777777" w:rsidR="006C1286" w:rsidRPr="00C77E34" w:rsidRDefault="006C1286" w:rsidP="006C1286">
      <w:pPr>
        <w:rPr>
          <w:b/>
          <w:bCs/>
        </w:rPr>
      </w:pPr>
    </w:p>
    <w:p w14:paraId="6EB17AA1" w14:textId="77777777" w:rsidR="006C1286" w:rsidRPr="00C77E34" w:rsidRDefault="006C1286" w:rsidP="006C1286">
      <w:pPr>
        <w:rPr>
          <w:b/>
          <w:bCs/>
        </w:rPr>
      </w:pPr>
      <w:r w:rsidRPr="00C77E34">
        <w:rPr>
          <w:b/>
          <w:bCs/>
        </w:rPr>
        <w:t>DISCLAIMER (ARTIFICIAL INTELLIGENCE)</w:t>
      </w:r>
    </w:p>
    <w:p w14:paraId="29BA66B4" w14:textId="77777777" w:rsidR="006C1286" w:rsidRPr="00C77E34" w:rsidRDefault="006C1286" w:rsidP="006C1286">
      <w:pPr>
        <w:jc w:val="both"/>
      </w:pPr>
      <w:r w:rsidRPr="00C77E34">
        <w:t xml:space="preserve">Author(s) hereby declare that generative AI technologies such as Large Language Models, etc. have been used only to generate the Fig. </w:t>
      </w:r>
      <w:r>
        <w:t>1</w:t>
      </w:r>
      <w:r w:rsidRPr="00C77E34">
        <w:t xml:space="preserve"> to support the </w:t>
      </w:r>
      <w:proofErr w:type="spellStart"/>
      <w:r>
        <w:t>Worplan</w:t>
      </w:r>
      <w:proofErr w:type="spellEnd"/>
      <w:r>
        <w:t xml:space="preserve"> of this study</w:t>
      </w:r>
      <w:r w:rsidRPr="00C77E34">
        <w:t xml:space="preserve">. The authors acknowledge the Microsoft Copilot. Copilot. </w:t>
      </w:r>
      <w:r>
        <w:t>Scenarios for green hydrogen production and their LCA studies</w:t>
      </w:r>
      <w:r w:rsidRPr="00C77E34">
        <w:t xml:space="preserve"> [illustration]. Microsoft Copilot; October 2025. Accessed </w:t>
      </w:r>
      <w:r>
        <w:t>November</w:t>
      </w:r>
      <w:r w:rsidRPr="00C77E34">
        <w:t xml:space="preserve"> </w:t>
      </w:r>
      <w:r>
        <w:t>17</w:t>
      </w:r>
      <w:r w:rsidRPr="00C77E34">
        <w:t>, 2025.</w:t>
      </w:r>
    </w:p>
    <w:p w14:paraId="6F02D6BD" w14:textId="77777777" w:rsidR="006C1286" w:rsidRPr="00C77E34" w:rsidRDefault="006C1286" w:rsidP="006C1286">
      <w:pPr>
        <w:rPr>
          <w:b/>
          <w:bCs/>
        </w:rPr>
      </w:pPr>
    </w:p>
    <w:p w14:paraId="5AF4F836" w14:textId="77777777" w:rsidR="006C1286" w:rsidRPr="00C77E34" w:rsidRDefault="006C1286" w:rsidP="006C1286">
      <w:pPr>
        <w:jc w:val="both"/>
        <w:rPr>
          <w:b/>
          <w:bCs/>
        </w:rPr>
      </w:pPr>
      <w:r w:rsidRPr="00C77E34">
        <w:rPr>
          <w:b/>
          <w:bCs/>
        </w:rPr>
        <w:t>Details of the AI usage are given below:</w:t>
      </w:r>
      <w:r>
        <w:rPr>
          <w:b/>
          <w:bCs/>
        </w:rPr>
        <w:t xml:space="preserve"> </w:t>
      </w:r>
      <w:r w:rsidRPr="00C77E34">
        <w:t>Illustration: Fig. 1 generation - Scenarios for green hydrogen production and their LCA studies</w:t>
      </w:r>
    </w:p>
    <w:p w14:paraId="02E30A82" w14:textId="77777777" w:rsidR="006C1286" w:rsidRPr="00C77E34" w:rsidRDefault="006C1286" w:rsidP="006C1286">
      <w:pPr>
        <w:rPr>
          <w:b/>
          <w:bCs/>
        </w:rPr>
      </w:pPr>
    </w:p>
    <w:p w14:paraId="399B4CBA" w14:textId="77777777" w:rsidR="006C1286" w:rsidRPr="00C77E34" w:rsidRDefault="006C1286" w:rsidP="006C1286">
      <w:pPr>
        <w:rPr>
          <w:b/>
          <w:bCs/>
          <w:lang w:val="en-GB"/>
        </w:rPr>
      </w:pPr>
    </w:p>
    <w:p w14:paraId="7F174B8C" w14:textId="77777777" w:rsidR="00860000" w:rsidRDefault="00860000" w:rsidP="00441B6F">
      <w:pPr>
        <w:pStyle w:val="ReferHead"/>
        <w:spacing w:after="0"/>
        <w:jc w:val="both"/>
        <w:rPr>
          <w:rFonts w:ascii="Arial" w:hAnsi="Arial" w:cs="Arial"/>
          <w:lang w:val="en-GB"/>
        </w:rPr>
      </w:pPr>
    </w:p>
    <w:p w14:paraId="50732B11" w14:textId="77777777" w:rsidR="0076003B" w:rsidRDefault="0076003B" w:rsidP="00441B6F">
      <w:pPr>
        <w:pStyle w:val="ReferHead"/>
        <w:spacing w:after="0"/>
        <w:jc w:val="both"/>
        <w:rPr>
          <w:rFonts w:ascii="Arial" w:hAnsi="Arial" w:cs="Arial"/>
          <w:lang w:val="en-GB"/>
        </w:rPr>
      </w:pPr>
    </w:p>
    <w:p w14:paraId="7B289668" w14:textId="77777777" w:rsidR="0076003B" w:rsidRPr="0076003B" w:rsidRDefault="0076003B" w:rsidP="0076003B">
      <w:pPr>
        <w:spacing w:after="200" w:line="276" w:lineRule="auto"/>
        <w:jc w:val="both"/>
        <w:outlineLvl w:val="0"/>
        <w:rPr>
          <w:rFonts w:ascii="Arial" w:eastAsiaTheme="minorEastAsia" w:hAnsi="Arial" w:cs="Arial"/>
          <w:sz w:val="22"/>
          <w:szCs w:val="22"/>
          <w:lang w:val="en-GB" w:eastAsia="en-GB"/>
        </w:rPr>
      </w:pPr>
      <w:r w:rsidRPr="0076003B">
        <w:rPr>
          <w:rFonts w:ascii="Arial" w:eastAsiaTheme="minorEastAsia" w:hAnsi="Arial" w:cs="Arial"/>
          <w:b/>
          <w:bCs/>
          <w:sz w:val="22"/>
          <w:szCs w:val="22"/>
          <w:lang w:val="en-GB" w:eastAsia="en-GB"/>
        </w:rPr>
        <w:t>COMPETING INTERESTS DISCLAIMER:</w:t>
      </w:r>
    </w:p>
    <w:p w14:paraId="5F1F0599" w14:textId="77777777" w:rsidR="0076003B" w:rsidRPr="0076003B" w:rsidRDefault="0076003B" w:rsidP="0076003B">
      <w:pPr>
        <w:spacing w:after="200" w:line="276" w:lineRule="auto"/>
        <w:rPr>
          <w:rFonts w:asciiTheme="minorHAnsi" w:eastAsiaTheme="minorEastAsia" w:hAnsiTheme="minorHAnsi" w:cstheme="minorBidi"/>
          <w:sz w:val="22"/>
          <w:szCs w:val="22"/>
          <w:lang w:val="en-GB" w:eastAsia="en-GB"/>
        </w:rPr>
      </w:pPr>
      <w:r w:rsidRPr="0076003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4269520" w14:textId="77777777" w:rsidR="0076003B" w:rsidRPr="0076003B" w:rsidRDefault="0076003B" w:rsidP="0076003B">
      <w:pPr>
        <w:spacing w:after="200" w:line="276" w:lineRule="auto"/>
        <w:rPr>
          <w:rFonts w:asciiTheme="minorHAnsi" w:eastAsiaTheme="minorEastAsia" w:hAnsiTheme="minorHAnsi" w:cstheme="minorBidi"/>
          <w:sz w:val="22"/>
          <w:szCs w:val="22"/>
          <w:lang w:val="en-GB" w:eastAsia="en-GB"/>
        </w:rPr>
      </w:pPr>
    </w:p>
    <w:p w14:paraId="1733BE99" w14:textId="77777777" w:rsidR="0076003B" w:rsidRPr="0076003B" w:rsidRDefault="0076003B" w:rsidP="0076003B">
      <w:pPr>
        <w:spacing w:after="200" w:line="276" w:lineRule="auto"/>
        <w:rPr>
          <w:rFonts w:asciiTheme="minorHAnsi" w:eastAsiaTheme="minorEastAsia" w:hAnsiTheme="minorHAnsi" w:cstheme="minorBidi"/>
          <w:sz w:val="22"/>
          <w:szCs w:val="22"/>
          <w:lang w:val="en-GB" w:eastAsia="en-GB"/>
        </w:rPr>
      </w:pPr>
    </w:p>
    <w:p w14:paraId="2685450E" w14:textId="77777777" w:rsidR="0076003B" w:rsidRPr="006C1286" w:rsidRDefault="0076003B" w:rsidP="00441B6F">
      <w:pPr>
        <w:pStyle w:val="ReferHead"/>
        <w:spacing w:after="0"/>
        <w:jc w:val="both"/>
        <w:rPr>
          <w:rFonts w:ascii="Arial" w:hAnsi="Arial" w:cs="Arial"/>
          <w:lang w:val="en-GB"/>
        </w:rPr>
      </w:pPr>
    </w:p>
    <w:p w14:paraId="3BBA491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C7148E" w14:textId="77777777" w:rsidR="00790ADA" w:rsidRDefault="00790ADA" w:rsidP="00441B6F">
      <w:pPr>
        <w:pStyle w:val="Body"/>
        <w:spacing w:after="0"/>
        <w:rPr>
          <w:rFonts w:ascii="Arial" w:hAnsi="Arial" w:cs="Arial"/>
        </w:rPr>
      </w:pPr>
    </w:p>
    <w:p w14:paraId="00814AD5" w14:textId="36811794" w:rsidR="006C1286" w:rsidRDefault="006C1286" w:rsidP="006C1286">
      <w:pPr>
        <w:jc w:val="both"/>
      </w:pPr>
      <w:r w:rsidRPr="004C60C1">
        <w:t xml:space="preserve">[1] International Energy Agency. The Future of Hydrogen: Seizing Today’s Opportunities. Paris, France: International Energy Agency; 2019. Accessed November 17, 2025. </w:t>
      </w:r>
      <w:hyperlink r:id="rId30" w:history="1">
        <w:r w:rsidR="00F10CEC" w:rsidRPr="00EC6F24">
          <w:rPr>
            <w:rStyle w:val="Hyperlink"/>
          </w:rPr>
          <w:t>https://doi.org/10.1787/1e0514c4-en</w:t>
        </w:r>
      </w:hyperlink>
      <w:r w:rsidR="00F10CEC">
        <w:t xml:space="preserve"> </w:t>
      </w:r>
    </w:p>
    <w:p w14:paraId="7B208ABE" w14:textId="77777777" w:rsidR="006C1286" w:rsidRPr="004C60C1" w:rsidRDefault="006C1286" w:rsidP="006C1286">
      <w:pPr>
        <w:jc w:val="both"/>
      </w:pPr>
      <w:r>
        <w:t xml:space="preserve">[2] </w:t>
      </w:r>
      <w:r w:rsidRPr="00DE5CE4">
        <w:rPr>
          <w:color w:val="000000"/>
        </w:rPr>
        <w:t>Copilot.</w:t>
      </w:r>
      <w:r w:rsidRPr="00DE5CE4">
        <w:rPr>
          <w:rStyle w:val="apple-converted-space"/>
          <w:color w:val="000000"/>
        </w:rPr>
        <w:t> </w:t>
      </w:r>
      <w:r w:rsidRPr="00DE5CE4">
        <w:rPr>
          <w:color w:val="000000"/>
        </w:rPr>
        <w:t>Hydrogen</w:t>
      </w:r>
      <w:r w:rsidRPr="00DE5CE4">
        <w:rPr>
          <w:rStyle w:val="apple-converted-space"/>
          <w:color w:val="000000"/>
        </w:rPr>
        <w:t> </w:t>
      </w:r>
      <w:r w:rsidRPr="00DE5CE4">
        <w:rPr>
          <w:color w:val="000000"/>
        </w:rPr>
        <w:t>Production</w:t>
      </w:r>
      <w:r w:rsidRPr="00DE5CE4">
        <w:rPr>
          <w:rStyle w:val="apple-converted-space"/>
          <w:color w:val="000000"/>
        </w:rPr>
        <w:t> </w:t>
      </w:r>
      <w:r w:rsidRPr="00DE5CE4">
        <w:rPr>
          <w:color w:val="000000"/>
        </w:rPr>
        <w:t>Pathways</w:t>
      </w:r>
      <w:r w:rsidRPr="00DE5CE4">
        <w:rPr>
          <w:rStyle w:val="apple-converted-space"/>
          <w:color w:val="000000"/>
        </w:rPr>
        <w:t> </w:t>
      </w:r>
      <w:r w:rsidRPr="00DE5CE4">
        <w:rPr>
          <w:color w:val="000000"/>
        </w:rPr>
        <w:t>[Figure].</w:t>
      </w:r>
      <w:r w:rsidRPr="00DE5CE4">
        <w:rPr>
          <w:rStyle w:val="apple-converted-space"/>
          <w:color w:val="000000"/>
        </w:rPr>
        <w:t> </w:t>
      </w:r>
      <w:r w:rsidRPr="006E62D0">
        <w:rPr>
          <w:color w:val="000000"/>
        </w:rPr>
        <w:t>Created</w:t>
      </w:r>
      <w:r w:rsidRPr="006E62D0">
        <w:rPr>
          <w:rStyle w:val="apple-converted-space"/>
          <w:color w:val="000000"/>
        </w:rPr>
        <w:t> </w:t>
      </w:r>
      <w:r w:rsidRPr="006E62D0">
        <w:rPr>
          <w:color w:val="000000"/>
        </w:rPr>
        <w:t>November</w:t>
      </w:r>
      <w:r w:rsidRPr="006E62D0">
        <w:rPr>
          <w:rStyle w:val="apple-converted-space"/>
          <w:color w:val="000000"/>
        </w:rPr>
        <w:t> </w:t>
      </w:r>
      <w:r w:rsidRPr="006E62D0">
        <w:rPr>
          <w:color w:val="000000"/>
        </w:rPr>
        <w:t>17,</w:t>
      </w:r>
      <w:r w:rsidRPr="006E62D0">
        <w:rPr>
          <w:rStyle w:val="apple-converted-space"/>
          <w:color w:val="000000"/>
        </w:rPr>
        <w:t> </w:t>
      </w:r>
      <w:r w:rsidRPr="006E62D0">
        <w:rPr>
          <w:color w:val="000000"/>
        </w:rPr>
        <w:t>2025.</w:t>
      </w:r>
    </w:p>
    <w:p w14:paraId="2A77922A" w14:textId="3250B7B1" w:rsidR="006C1286" w:rsidRPr="001968C5" w:rsidRDefault="006C1286" w:rsidP="006C1286">
      <w:pPr>
        <w:jc w:val="both"/>
      </w:pPr>
      <w:r w:rsidRPr="001968C5">
        <w:t>[3] Henderson, A.D., B. Niblick, H.E. Golden, and J.C. Bare. Modeling spatially resolved characterization factors for eutrophication potential in life cycle assessment. International Journal of Life Cycle Assessment, 2021, 26: 1832 – 1846.</w:t>
      </w:r>
      <w:r w:rsidR="00E17040" w:rsidRPr="00E17040">
        <w:t xml:space="preserve"> </w:t>
      </w:r>
      <w:hyperlink r:id="rId31" w:history="1">
        <w:r w:rsidR="00E17040" w:rsidRPr="00EC6F24">
          <w:rPr>
            <w:rStyle w:val="Hyperlink"/>
          </w:rPr>
          <w:t>https://doi.org/10.1007/s11367-021-01956-4</w:t>
        </w:r>
      </w:hyperlink>
      <w:r w:rsidR="00E17040">
        <w:t xml:space="preserve"> </w:t>
      </w:r>
    </w:p>
    <w:p w14:paraId="482F0CEE" w14:textId="7A6D835C" w:rsidR="006C1286" w:rsidRPr="001968C5" w:rsidRDefault="006C1286" w:rsidP="006C1286">
      <w:pPr>
        <w:jc w:val="both"/>
      </w:pPr>
      <w:r w:rsidRPr="001968C5">
        <w:lastRenderedPageBreak/>
        <w:t>[4] U.S. Environmental Protection Agency. Tool for the Reduction and Assessment of Chemicals and Other Environmental Impacts (TRACI). EPA. Published 2024. Accessed November 19, 2025</w:t>
      </w:r>
      <w:r w:rsidR="00EF47E6">
        <w:t xml:space="preserve">. </w:t>
      </w:r>
      <w:hyperlink r:id="rId32" w:history="1">
        <w:r w:rsidR="00EF47E6" w:rsidRPr="00EC6F24">
          <w:rPr>
            <w:rStyle w:val="Hyperlink"/>
          </w:rPr>
          <w:t>https://www.epa.gov/chemical-research/tool-reduction-and-assessment-chemicals-and-other-environmental-impacts-traci</w:t>
        </w:r>
      </w:hyperlink>
      <w:r w:rsidR="00EF47E6">
        <w:t xml:space="preserve"> </w:t>
      </w:r>
    </w:p>
    <w:p w14:paraId="500FDEBA" w14:textId="0D3167DE" w:rsidR="006C1286" w:rsidRPr="001968C5" w:rsidRDefault="006C1286" w:rsidP="006C1286">
      <w:pPr>
        <w:jc w:val="both"/>
      </w:pPr>
      <w:r w:rsidRPr="006C1286">
        <w:rPr>
          <w:lang w:val="pt-BR"/>
        </w:rPr>
        <w:t xml:space="preserve">[5] GreenDelta. openLCA Nexus. Nexus openLCA. </w:t>
      </w:r>
      <w:r w:rsidRPr="001968C5">
        <w:t xml:space="preserve">Published 2025. Accessed November 19, 2025. </w:t>
      </w:r>
      <w:hyperlink r:id="rId33" w:history="1">
        <w:r w:rsidR="005F6354" w:rsidRPr="00EC6F24">
          <w:rPr>
            <w:rStyle w:val="Hyperlink"/>
          </w:rPr>
          <w:t>https://nexus.openlca.org/</w:t>
        </w:r>
      </w:hyperlink>
      <w:r w:rsidR="005F6354">
        <w:t xml:space="preserve"> </w:t>
      </w:r>
    </w:p>
    <w:p w14:paraId="0BE05E5D" w14:textId="2EA5A6AC" w:rsidR="006C1286" w:rsidRPr="001968C5" w:rsidRDefault="006C1286" w:rsidP="006C1286">
      <w:pPr>
        <w:jc w:val="both"/>
      </w:pPr>
      <w:r w:rsidRPr="001968C5">
        <w:t xml:space="preserve">[6] GreenDelta. openLCA 2 Manual. GreenDelta; 2025. Accessed November 23, 2025. </w:t>
      </w:r>
      <w:hyperlink r:id="rId34" w:history="1">
        <w:r w:rsidR="000156C1" w:rsidRPr="00EC6F24">
          <w:rPr>
            <w:rStyle w:val="Hyperlink"/>
          </w:rPr>
          <w:t>https://greendelta.github.io/openLCA2-manual/print.html</w:t>
        </w:r>
      </w:hyperlink>
      <w:r w:rsidR="000156C1">
        <w:t xml:space="preserve"> </w:t>
      </w:r>
    </w:p>
    <w:p w14:paraId="2BAF6F14" w14:textId="77777777" w:rsidR="006B01E8" w:rsidRDefault="006C1286" w:rsidP="006C1286">
      <w:pPr>
        <w:jc w:val="both"/>
      </w:pPr>
      <w:r w:rsidRPr="001968C5">
        <w:t xml:space="preserve">[7] Nunes, L.J.R. Gasification Processes of Portuguese Biomass: Theoretical Analysis of Hydrogen Production Potential. Energies 2025, 18, 4453. </w:t>
      </w:r>
      <w:hyperlink r:id="rId35" w:history="1">
        <w:r w:rsidR="006B01E8" w:rsidRPr="00EC6F24">
          <w:rPr>
            <w:rStyle w:val="Hyperlink"/>
          </w:rPr>
          <w:t>https://doi.org/10.3390/en18164453</w:t>
        </w:r>
      </w:hyperlink>
      <w:r w:rsidR="006B01E8">
        <w:t xml:space="preserve"> </w:t>
      </w:r>
    </w:p>
    <w:p w14:paraId="03ED30DA" w14:textId="03F6FA2D" w:rsidR="006C1286" w:rsidRPr="001968C5" w:rsidRDefault="006C1286" w:rsidP="006C1286">
      <w:pPr>
        <w:jc w:val="both"/>
      </w:pPr>
      <w:r w:rsidRPr="001968C5">
        <w:t>[8] Wang, X.; Chen, H.; Luo, K.; Shao, J.; Yang, H. The influence of microwave drying on biomass pyrolysis. Energy Fuels 2008, 22, 67–74. [CrossRef]</w:t>
      </w:r>
      <w:r w:rsidR="00941488">
        <w:t xml:space="preserve"> </w:t>
      </w:r>
      <w:hyperlink r:id="rId36" w:history="1">
        <w:r w:rsidR="00941488" w:rsidRPr="00EC6F24">
          <w:rPr>
            <w:rStyle w:val="Hyperlink"/>
          </w:rPr>
          <w:t>https://doi.org/10.1021/ef700300m</w:t>
        </w:r>
      </w:hyperlink>
      <w:r w:rsidR="00941488">
        <w:t xml:space="preserve"> </w:t>
      </w:r>
    </w:p>
    <w:p w14:paraId="3D77BDD0" w14:textId="0B5BC364" w:rsidR="006C1286" w:rsidRDefault="006C1286" w:rsidP="006C1286">
      <w:pPr>
        <w:jc w:val="both"/>
      </w:pPr>
      <w:r w:rsidRPr="001968C5">
        <w:t>[9] Mahamulkar, S.; Yin, K.; Agrawal, P.K.; Davis, R.J.; Jones, C.W.; Malek, A.; Shibata, H. Formation and oxidation/gasification of carbonaceous deposits: A review. Ind. Eng. Chem. Res. 2016, 55, 9760–9818. [CrossRef]</w:t>
      </w:r>
      <w:r w:rsidR="008B4A36">
        <w:t xml:space="preserve"> </w:t>
      </w:r>
      <w:hyperlink r:id="rId37" w:history="1">
        <w:r w:rsidR="008B4A36" w:rsidRPr="00EC6F24">
          <w:rPr>
            <w:rStyle w:val="Hyperlink"/>
          </w:rPr>
          <w:t>https://doi.org/10.1021/acs.iecr.6b02220</w:t>
        </w:r>
      </w:hyperlink>
      <w:r w:rsidR="008B4A36">
        <w:t xml:space="preserve"> </w:t>
      </w:r>
    </w:p>
    <w:p w14:paraId="35B9AB41" w14:textId="756C720D" w:rsidR="006C1286" w:rsidRDefault="006C1286" w:rsidP="006C1286">
      <w:pPr>
        <w:jc w:val="both"/>
      </w:pPr>
      <w:r>
        <w:t xml:space="preserve">[10] </w:t>
      </w:r>
      <w:r w:rsidRPr="000939E6">
        <w:t xml:space="preserve">Kumar, Ashwani &amp; Thangavel, Sivasakthivel &amp; Dwivedi, Gaurav. (2025). Green Hydrogen Production: Storage, Transportation and Applications. </w:t>
      </w:r>
      <w:hyperlink r:id="rId38" w:history="1">
        <w:r w:rsidR="00FF05FC" w:rsidRPr="00EC6F24">
          <w:rPr>
            <w:rStyle w:val="Hyperlink"/>
          </w:rPr>
          <w:t>https://doi.org/10.1201/9781003530633</w:t>
        </w:r>
      </w:hyperlink>
      <w:r w:rsidR="00FF05FC">
        <w:t xml:space="preserve"> </w:t>
      </w:r>
    </w:p>
    <w:p w14:paraId="2EEBBC86" w14:textId="57A2D29F" w:rsidR="006C1286" w:rsidRDefault="006C1286" w:rsidP="006C1286">
      <w:pPr>
        <w:jc w:val="both"/>
      </w:pPr>
      <w:r>
        <w:t xml:space="preserve">[11] </w:t>
      </w:r>
      <w:r w:rsidRPr="006B7031">
        <w:t>Dincer, I.; Aydin, M.I. New paradigms in sustainable energy systems with hydrogen. Energy Convers. Manag. 2023, 283, 116950</w:t>
      </w:r>
      <w:r>
        <w:t xml:space="preserve"> </w:t>
      </w:r>
      <w:r w:rsidRPr="006B7031">
        <w:t>[CrossRef]</w:t>
      </w:r>
      <w:r w:rsidR="00D434FF">
        <w:t xml:space="preserve"> </w:t>
      </w:r>
      <w:hyperlink r:id="rId39" w:history="1">
        <w:r w:rsidR="00D434FF" w:rsidRPr="00EC6F24">
          <w:rPr>
            <w:rStyle w:val="Hyperlink"/>
          </w:rPr>
          <w:t>https://doi.org/10.1016/j.enconman.2023.116950</w:t>
        </w:r>
      </w:hyperlink>
      <w:r w:rsidR="00D434FF">
        <w:t xml:space="preserve"> </w:t>
      </w:r>
    </w:p>
    <w:p w14:paraId="24AC2757" w14:textId="40057F6F" w:rsidR="006C1286" w:rsidRPr="001968C5" w:rsidRDefault="006C1286" w:rsidP="006C1286">
      <w:pPr>
        <w:jc w:val="both"/>
      </w:pPr>
      <w:r>
        <w:t xml:space="preserve">[12] </w:t>
      </w:r>
      <w:r w:rsidRPr="002D07CF">
        <w:t>Alves, C.T.; Onwudili, J.A.; Ghorbannezhad, P.; Kumagai, S. A review of the</w:t>
      </w:r>
      <w:r>
        <w:t xml:space="preserve"> </w:t>
      </w:r>
      <w:r w:rsidRPr="002D07CF">
        <w:t>thermochemistries of biomass gasification and</w:t>
      </w:r>
      <w:r>
        <w:t xml:space="preserve"> </w:t>
      </w:r>
      <w:r w:rsidRPr="002D07CF">
        <w:t>utilisation of gas products. Sustain. Energy Fuels 2023, 7, 3505–3540. [CrossRef]</w:t>
      </w:r>
      <w:r w:rsidR="00157102">
        <w:t xml:space="preserve"> </w:t>
      </w:r>
      <w:hyperlink r:id="rId40" w:history="1">
        <w:r w:rsidR="00157102" w:rsidRPr="00EC6F24">
          <w:rPr>
            <w:rStyle w:val="Hyperlink"/>
          </w:rPr>
          <w:t>https://doi.org/10.1039/D3SE00365E</w:t>
        </w:r>
      </w:hyperlink>
      <w:r w:rsidR="00157102">
        <w:t xml:space="preserve"> </w:t>
      </w:r>
    </w:p>
    <w:p w14:paraId="7B6DF318" w14:textId="62A30F57" w:rsidR="006C1286" w:rsidRPr="0029379E" w:rsidRDefault="006C1286" w:rsidP="006C1286">
      <w:pPr>
        <w:jc w:val="both"/>
      </w:pPr>
      <w:r>
        <w:t xml:space="preserve">[13] </w:t>
      </w:r>
      <w:r w:rsidRPr="0029379E">
        <w:t>Demirba¸s, A. Biomass resource facilities and biomass conversion processing for fuels and chemicals. Energy Convers. Manag. 2001,</w:t>
      </w:r>
      <w:r>
        <w:t xml:space="preserve"> </w:t>
      </w:r>
      <w:r w:rsidRPr="0029379E">
        <w:t>42, 1357–1378. [CrossRef]</w:t>
      </w:r>
      <w:r w:rsidR="00F67CCD">
        <w:t xml:space="preserve"> </w:t>
      </w:r>
      <w:hyperlink r:id="rId41" w:history="1">
        <w:r w:rsidR="00F67CCD" w:rsidRPr="00EC6F24">
          <w:rPr>
            <w:rStyle w:val="Hyperlink"/>
          </w:rPr>
          <w:t>https://doi.org/10.1016/S0196-8904(00)00137-0</w:t>
        </w:r>
      </w:hyperlink>
      <w:r w:rsidR="00F67CCD">
        <w:t xml:space="preserve"> </w:t>
      </w:r>
    </w:p>
    <w:p w14:paraId="5693720D" w14:textId="493BAF0B" w:rsidR="00044958" w:rsidRDefault="006C1286" w:rsidP="006C1286">
      <w:pPr>
        <w:jc w:val="both"/>
      </w:pPr>
      <w:r>
        <w:t>[14</w:t>
      </w:r>
      <w:proofErr w:type="gramStart"/>
      <w:r>
        <w:t xml:space="preserve">] </w:t>
      </w:r>
      <w:r w:rsidRPr="0029379E">
        <w:t xml:space="preserve"> Thijs</w:t>
      </w:r>
      <w:proofErr w:type="gramEnd"/>
      <w:r w:rsidRPr="0029379E">
        <w:t>, B.; Houlleberghs, M.; Hollevoet, L.; Heremans, G.; Rongé, J.; Martens, J.A.</w:t>
      </w:r>
      <w:r w:rsidR="00CA0446" w:rsidRPr="00CA0446">
        <w:t xml:space="preserve"> </w:t>
      </w:r>
      <w:r w:rsidR="00CA0446" w:rsidRPr="0029379E">
        <w:t>Hydrogen, fueling the future: Introduction to</w:t>
      </w:r>
      <w:r w:rsidR="00CA0446">
        <w:t xml:space="preserve"> </w:t>
      </w:r>
      <w:r w:rsidR="00CA0446" w:rsidRPr="0029379E">
        <w:t>hydrogen production and storage</w:t>
      </w:r>
      <w:r w:rsidR="00CA0446">
        <w:t xml:space="preserve"> </w:t>
      </w:r>
      <w:hyperlink r:id="rId42" w:history="1">
        <w:r w:rsidR="004600A6" w:rsidRPr="00EC6F24">
          <w:rPr>
            <w:rStyle w:val="Hyperlink"/>
          </w:rPr>
          <w:t>https://doi.org/10.1515/9783110596281-010</w:t>
        </w:r>
      </w:hyperlink>
      <w:r w:rsidR="007A7792">
        <w:t xml:space="preserve"> </w:t>
      </w:r>
    </w:p>
    <w:p w14:paraId="4691145D" w14:textId="6CC871CA" w:rsidR="006C1286" w:rsidRPr="004C5517" w:rsidRDefault="006C1286" w:rsidP="006C1286">
      <w:pPr>
        <w:jc w:val="both"/>
      </w:pPr>
      <w:r>
        <w:t xml:space="preserve"> [15]</w:t>
      </w:r>
      <w:r w:rsidR="004600A6">
        <w:t xml:space="preserve"> </w:t>
      </w:r>
      <w:proofErr w:type="spellStart"/>
      <w:r w:rsidRPr="004C5517">
        <w:t>Haghighi</w:t>
      </w:r>
      <w:proofErr w:type="spellEnd"/>
      <w:r w:rsidRPr="004C5517">
        <w:t>, M.; Sun, Z.-q.; Wu, J.-h.; Bromly, J.; Wee, H.L.; Ng, E.; Wang, Y.; Zhang, D.-k. On the reaction mechanism of CO2</w:t>
      </w:r>
      <w:r>
        <w:t xml:space="preserve"> </w:t>
      </w:r>
      <w:r w:rsidRPr="004C5517">
        <w:t>reforming of methane over a bed of coal char. Proc. Combust. Inst. 2007, 31, 1983–1990. [CrossRef]</w:t>
      </w:r>
      <w:r w:rsidR="008504EA">
        <w:t xml:space="preserve"> </w:t>
      </w:r>
      <w:hyperlink r:id="rId43" w:history="1">
        <w:r w:rsidR="008504EA" w:rsidRPr="00EC6F24">
          <w:rPr>
            <w:rStyle w:val="Hyperlink"/>
          </w:rPr>
          <w:t>https://doi.org/10.1016/j.proci.2006.07.029</w:t>
        </w:r>
      </w:hyperlink>
      <w:r w:rsidR="008504EA">
        <w:t xml:space="preserve"> </w:t>
      </w:r>
    </w:p>
    <w:p w14:paraId="46C719B0" w14:textId="451526B8" w:rsidR="006C1286" w:rsidRPr="004C5517" w:rsidRDefault="006C1286" w:rsidP="006C1286">
      <w:pPr>
        <w:jc w:val="both"/>
      </w:pPr>
      <w:r>
        <w:t xml:space="preserve">[16] </w:t>
      </w:r>
      <w:r w:rsidRPr="004C5517">
        <w:t>Snoeck, J.-W.; Froment, G.; Fowles, M. Steam/CO2 reforming of methane. Carbon filament formation by the Boudouard reaction</w:t>
      </w:r>
      <w:r>
        <w:t xml:space="preserve"> </w:t>
      </w:r>
      <w:r w:rsidRPr="004C5517">
        <w:t>and gasification by CO2, by H2, and by steam: Kinetic study. Ind. Eng. Chem. Res. 2002, 41, 4252–4265. [CrossRef]</w:t>
      </w:r>
      <w:r w:rsidR="00A8615A">
        <w:t xml:space="preserve"> </w:t>
      </w:r>
      <w:hyperlink r:id="rId44" w:history="1">
        <w:r w:rsidR="00A8615A" w:rsidRPr="00EC6F24">
          <w:rPr>
            <w:rStyle w:val="Hyperlink"/>
          </w:rPr>
          <w:t>https://doi.org/10.1021/ie010777i</w:t>
        </w:r>
      </w:hyperlink>
      <w:r w:rsidR="00A8615A">
        <w:t xml:space="preserve"> </w:t>
      </w:r>
    </w:p>
    <w:p w14:paraId="5F314FF9" w14:textId="6AA13192" w:rsidR="006C1286" w:rsidRDefault="006C1286" w:rsidP="006C1286">
      <w:pPr>
        <w:jc w:val="both"/>
      </w:pPr>
      <w:r>
        <w:t xml:space="preserve">[17] </w:t>
      </w:r>
      <w:r w:rsidRPr="004C5517">
        <w:t>Pen, M.; Gomez, J.; Fierro, J.G. New catalytic routes for syngas and hydrogen production. Appl. Catal. A Gen. 1996, 144, 7–57.</w:t>
      </w:r>
      <w:r>
        <w:t xml:space="preserve"> </w:t>
      </w:r>
      <w:r w:rsidRPr="004C5517">
        <w:t>[CrossRef]</w:t>
      </w:r>
      <w:r w:rsidR="00432126">
        <w:t xml:space="preserve"> </w:t>
      </w:r>
      <w:hyperlink r:id="rId45" w:history="1">
        <w:r w:rsidR="00432126" w:rsidRPr="00EC6F24">
          <w:rPr>
            <w:rStyle w:val="Hyperlink"/>
          </w:rPr>
          <w:t>https://doi.org/10.1016/0926-860X(96)00108-1</w:t>
        </w:r>
      </w:hyperlink>
      <w:r w:rsidR="00432126">
        <w:t xml:space="preserve"> </w:t>
      </w:r>
    </w:p>
    <w:p w14:paraId="01D5F7E6" w14:textId="3B121C89" w:rsidR="006C1286" w:rsidRPr="0018120E" w:rsidRDefault="006C1286" w:rsidP="006C1286">
      <w:pPr>
        <w:jc w:val="both"/>
      </w:pPr>
      <w:r>
        <w:t xml:space="preserve">[18] </w:t>
      </w:r>
      <w:r w:rsidRPr="0018120E">
        <w:t>Shayan, E.; Zare, V.; Mirzaee, I. Hydrogen production from biomass gasification; a theoretical comparison of using different</w:t>
      </w:r>
      <w:r>
        <w:t xml:space="preserve"> </w:t>
      </w:r>
      <w:r w:rsidRPr="0018120E">
        <w:t>gasification agents. Energy Convers. Manag. 2018, 159, 30–41. [CrossRef]</w:t>
      </w:r>
      <w:r w:rsidR="00EE2442">
        <w:t xml:space="preserve"> </w:t>
      </w:r>
      <w:hyperlink r:id="rId46" w:history="1">
        <w:r w:rsidR="00EE2442" w:rsidRPr="00EC6F24">
          <w:rPr>
            <w:rStyle w:val="Hyperlink"/>
          </w:rPr>
          <w:t>https://doi.org/10.1016/j.enconman.2017.12.096</w:t>
        </w:r>
      </w:hyperlink>
      <w:r w:rsidR="00EE2442">
        <w:t xml:space="preserve"> </w:t>
      </w:r>
    </w:p>
    <w:p w14:paraId="0893F060" w14:textId="7F8E13C8" w:rsidR="006C1286" w:rsidRPr="0018120E" w:rsidRDefault="006C1286" w:rsidP="006C1286">
      <w:pPr>
        <w:jc w:val="both"/>
      </w:pPr>
      <w:r>
        <w:t xml:space="preserve">[19] </w:t>
      </w:r>
      <w:r w:rsidRPr="0018120E">
        <w:t>Kalinci, Y.; Hepbasli, A.; Dincer, I. Biomass-based hydrogen production: A review and analysis. Int. J. Hydrogen Energy 2009,</w:t>
      </w:r>
      <w:r>
        <w:t xml:space="preserve"> </w:t>
      </w:r>
      <w:r w:rsidRPr="0018120E">
        <w:t>34, 8799–8817. [CrossRef]</w:t>
      </w:r>
      <w:r w:rsidR="00566557">
        <w:t xml:space="preserve"> </w:t>
      </w:r>
      <w:hyperlink r:id="rId47" w:history="1">
        <w:r w:rsidR="00566557" w:rsidRPr="00EC6F24">
          <w:rPr>
            <w:rStyle w:val="Hyperlink"/>
          </w:rPr>
          <w:t>https://doi.org/10.1016/j.ijhydene.2009.08.078</w:t>
        </w:r>
      </w:hyperlink>
      <w:r w:rsidR="00566557">
        <w:t xml:space="preserve"> </w:t>
      </w:r>
    </w:p>
    <w:p w14:paraId="2E7940BC" w14:textId="6B18CFF4" w:rsidR="006C1286" w:rsidRPr="0018120E" w:rsidRDefault="006C1286" w:rsidP="006C1286">
      <w:pPr>
        <w:jc w:val="both"/>
      </w:pPr>
      <w:r>
        <w:t xml:space="preserve">[20] </w:t>
      </w:r>
      <w:r w:rsidRPr="0018120E">
        <w:t>Kan, T.; Strezov, V. Hydrogen production from biomass. In Renewable Energy Systems from Biomass; CRC Press: Boca Raton, FL,</w:t>
      </w:r>
      <w:r>
        <w:t xml:space="preserve"> </w:t>
      </w:r>
      <w:r w:rsidRPr="0018120E">
        <w:t>USA, 2018; pp. 207–224.</w:t>
      </w:r>
      <w:r w:rsidR="00AF4EEE">
        <w:t xml:space="preserve"> </w:t>
      </w:r>
      <w:hyperlink r:id="rId48" w:history="1">
        <w:r w:rsidR="00AF4EEE" w:rsidRPr="00EC6F24">
          <w:rPr>
            <w:rStyle w:val="Hyperlink"/>
          </w:rPr>
          <w:t>https://doi.org/10.1201/9781315153971</w:t>
        </w:r>
      </w:hyperlink>
      <w:r w:rsidR="00AF4EEE">
        <w:t xml:space="preserve"> </w:t>
      </w:r>
    </w:p>
    <w:p w14:paraId="7CB53D0F" w14:textId="5FA5AA7F" w:rsidR="006C1286" w:rsidRPr="0018120E" w:rsidRDefault="006C1286" w:rsidP="006C1286">
      <w:pPr>
        <w:jc w:val="both"/>
      </w:pPr>
      <w:r>
        <w:lastRenderedPageBreak/>
        <w:t xml:space="preserve">[21] </w:t>
      </w:r>
      <w:r w:rsidRPr="0018120E">
        <w:t>Abuadala, A.; Dincer, I. A review on biomass-based hydrogen production and potential applications. Int. J. Energy Res. 2012,</w:t>
      </w:r>
      <w:r>
        <w:t xml:space="preserve"> </w:t>
      </w:r>
      <w:r w:rsidRPr="0018120E">
        <w:t>36, 415–455. [CrossRef]</w:t>
      </w:r>
      <w:r w:rsidR="00707B31">
        <w:t xml:space="preserve"> </w:t>
      </w:r>
      <w:hyperlink r:id="rId49" w:history="1">
        <w:r w:rsidR="00707B31" w:rsidRPr="00EC6F24">
          <w:rPr>
            <w:rStyle w:val="Hyperlink"/>
          </w:rPr>
          <w:t>https://doi.org/10.1002/er.1939</w:t>
        </w:r>
      </w:hyperlink>
      <w:r w:rsidR="00707B31">
        <w:t xml:space="preserve"> </w:t>
      </w:r>
    </w:p>
    <w:p w14:paraId="4FF4520F" w14:textId="5C8FCCEE" w:rsidR="006C1286" w:rsidRPr="0018120E" w:rsidRDefault="006C1286" w:rsidP="006C1286">
      <w:pPr>
        <w:jc w:val="both"/>
      </w:pPr>
      <w:r>
        <w:t xml:space="preserve">[22] </w:t>
      </w:r>
      <w:r w:rsidRPr="0018120E">
        <w:t>de Jong, W. Sustainable hydrogen production by thermochemical biomass processing. In Hydrogen Fuel; CRC Press: Boca Raton,</w:t>
      </w:r>
      <w:r>
        <w:t xml:space="preserve"> </w:t>
      </w:r>
      <w:r w:rsidRPr="0018120E">
        <w:t>FL, USA, 2008; pp. 197–238.</w:t>
      </w:r>
      <w:r w:rsidR="002C55FE">
        <w:t xml:space="preserve"> </w:t>
      </w:r>
      <w:hyperlink r:id="rId50" w:history="1">
        <w:r w:rsidR="002C55FE" w:rsidRPr="00EC6F24">
          <w:rPr>
            <w:rStyle w:val="Hyperlink"/>
          </w:rPr>
          <w:t>https://doi.org/10.1201/9781420045772</w:t>
        </w:r>
      </w:hyperlink>
      <w:r w:rsidR="002C55FE">
        <w:t xml:space="preserve"> </w:t>
      </w:r>
    </w:p>
    <w:p w14:paraId="6AFCF75E" w14:textId="265739E0" w:rsidR="006C1286" w:rsidRDefault="006C1286" w:rsidP="006C1286">
      <w:pPr>
        <w:jc w:val="both"/>
      </w:pPr>
      <w:r>
        <w:t xml:space="preserve">[23] </w:t>
      </w:r>
      <w:r w:rsidRPr="0018120E">
        <w:t>Mohanty, P.; Pant, K.K.; Mittal, R. Hydrogen generation from biomass materials: Challenges and opportunities. In Advances in</w:t>
      </w:r>
      <w:r>
        <w:t xml:space="preserve"> </w:t>
      </w:r>
      <w:r w:rsidRPr="0018120E">
        <w:t>Bioenergy: The Sustainability Challenge; JohnWiley &amp; Sons: Hoboken, NJ, USA, 2016; pp. 93–108.</w:t>
      </w:r>
      <w:r w:rsidR="0045620B">
        <w:t xml:space="preserve"> </w:t>
      </w:r>
      <w:hyperlink r:id="rId51" w:history="1">
        <w:r w:rsidR="0045620B" w:rsidRPr="00EC6F24">
          <w:rPr>
            <w:rStyle w:val="Hyperlink"/>
          </w:rPr>
          <w:t>https://doi.org/10.1002/9781118957844.CH8</w:t>
        </w:r>
      </w:hyperlink>
      <w:r w:rsidR="0045620B">
        <w:t xml:space="preserve"> </w:t>
      </w:r>
    </w:p>
    <w:p w14:paraId="05AABCE6" w14:textId="37B42BD3" w:rsidR="006C1286" w:rsidRDefault="006C1286" w:rsidP="006C1286">
      <w:pPr>
        <w:jc w:val="both"/>
      </w:pPr>
      <w:r>
        <w:t xml:space="preserve">[24] </w:t>
      </w:r>
      <w:r w:rsidRPr="00D53ADE">
        <w:t xml:space="preserve">International Organization for Standardization (ISO). ISO 14040: Environmental Management—Life Cycle Assessment—Principles and Framework. ISO; 2006. Accessed November 25, 2025. </w:t>
      </w:r>
      <w:hyperlink r:id="rId52" w:history="1">
        <w:r w:rsidR="00DF55F6" w:rsidRPr="00EC6F24">
          <w:rPr>
            <w:rStyle w:val="Hyperlink"/>
          </w:rPr>
          <w:t>https://www.iso.org/standard/37456.html</w:t>
        </w:r>
      </w:hyperlink>
      <w:r w:rsidR="00DF55F6">
        <w:t xml:space="preserve"> </w:t>
      </w:r>
    </w:p>
    <w:p w14:paraId="021D7EAD" w14:textId="16D4CFAE" w:rsidR="006C1286" w:rsidRDefault="006C1286" w:rsidP="006C1286">
      <w:pPr>
        <w:jc w:val="both"/>
      </w:pPr>
      <w:r>
        <w:t xml:space="preserve">[25] </w:t>
      </w:r>
      <w:r w:rsidRPr="00D53ADE">
        <w:t xml:space="preserve">International Organization for Standardization (ISO). ISO 14044: Environmental Management—Life Cycle Assessment—Requirements and Guidelines. ISO; 2006. Accessed November 25, 2025. </w:t>
      </w:r>
      <w:hyperlink r:id="rId53" w:history="1">
        <w:r w:rsidR="00A018D6" w:rsidRPr="00EC6F24">
          <w:rPr>
            <w:rStyle w:val="Hyperlink"/>
          </w:rPr>
          <w:t>https://www.iso.org/standard/38498.html</w:t>
        </w:r>
      </w:hyperlink>
      <w:r w:rsidR="00A018D6">
        <w:t xml:space="preserve"> </w:t>
      </w:r>
    </w:p>
    <w:p w14:paraId="40917263" w14:textId="3F032EF4" w:rsidR="006C1286" w:rsidRDefault="006C1286" w:rsidP="006C1286">
      <w:pPr>
        <w:jc w:val="both"/>
      </w:pPr>
      <w:r>
        <w:t xml:space="preserve">[26] </w:t>
      </w:r>
      <w:r w:rsidRPr="00BE2687">
        <w:t xml:space="preserve">Sun, Shouheng &amp; Ertz, Myriam. (2020). Life cycle assessment and Monte Carlo simulation to evaluate the environmental impact of promoting LNG vehicles. MethodsX. 7. </w:t>
      </w:r>
      <w:hyperlink r:id="rId54" w:history="1">
        <w:r w:rsidR="00223565" w:rsidRPr="00EC6F24">
          <w:rPr>
            <w:rStyle w:val="Hyperlink"/>
          </w:rPr>
          <w:t>https://doi.org/10.1016/j.mex.2020.101046</w:t>
        </w:r>
      </w:hyperlink>
      <w:r w:rsidR="00223565">
        <w:t xml:space="preserve"> </w:t>
      </w:r>
      <w:r w:rsidRPr="00BE2687">
        <w:t>.</w:t>
      </w:r>
    </w:p>
    <w:p w14:paraId="26DE1B02" w14:textId="5B55F623" w:rsidR="006C1286" w:rsidRPr="00BE2687" w:rsidRDefault="006C1286" w:rsidP="006C1286">
      <w:pPr>
        <w:jc w:val="both"/>
      </w:pPr>
      <w:r>
        <w:t xml:space="preserve">[27] </w:t>
      </w:r>
      <w:r w:rsidRPr="00BE2687">
        <w:t xml:space="preserve">R.Y. </w:t>
      </w:r>
      <w:proofErr w:type="gramStart"/>
      <w:r w:rsidRPr="00BE2687">
        <w:t>Rubinstein ,</w:t>
      </w:r>
      <w:proofErr w:type="gramEnd"/>
      <w:r w:rsidRPr="00BE2687">
        <w:t xml:space="preserve"> D.P. Kroese , Simulation and the Monte Carlo Method, 10, John Wiley &amp; Sons, 2016 .</w:t>
      </w:r>
      <w:r w:rsidR="00AB0FA5">
        <w:t xml:space="preserve"> </w:t>
      </w:r>
      <w:hyperlink r:id="rId55" w:history="1">
        <w:r w:rsidR="00AB0FA5" w:rsidRPr="00EC6F24">
          <w:rPr>
            <w:rStyle w:val="Hyperlink"/>
          </w:rPr>
          <w:t>https://doi.org/10.1002/9781118631980</w:t>
        </w:r>
      </w:hyperlink>
      <w:r w:rsidR="00AB0FA5">
        <w:t xml:space="preserve"> </w:t>
      </w:r>
    </w:p>
    <w:p w14:paraId="6131AFDF" w14:textId="77777777" w:rsidR="006C1286" w:rsidRPr="00FB3A86" w:rsidRDefault="006C1286" w:rsidP="00441B6F">
      <w:pPr>
        <w:pStyle w:val="Body"/>
        <w:spacing w:after="0"/>
        <w:rPr>
          <w:rFonts w:ascii="Arial" w:hAnsi="Arial" w:cs="Arial"/>
        </w:rPr>
      </w:pPr>
    </w:p>
    <w:p w14:paraId="1068A58C"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52C6A029" w14:textId="77777777" w:rsidR="006C1286" w:rsidRDefault="006C1286" w:rsidP="00441B6F">
      <w:pPr>
        <w:pStyle w:val="Appendix"/>
        <w:spacing w:after="0"/>
        <w:jc w:val="both"/>
        <w:rPr>
          <w:rFonts w:ascii="Arial" w:hAnsi="Arial" w:cs="Arial"/>
        </w:rPr>
      </w:pPr>
    </w:p>
    <w:p w14:paraId="0C5C8D4A" w14:textId="77777777" w:rsidR="006C1286" w:rsidRPr="00656DB5" w:rsidRDefault="006C1286" w:rsidP="006C1286">
      <w:pPr>
        <w:rPr>
          <w:b/>
          <w:bCs/>
        </w:rPr>
      </w:pPr>
      <w:r w:rsidRPr="004C60C1">
        <w:rPr>
          <w:b/>
          <w:bCs/>
        </w:rPr>
        <w:t>SUPLEMENTARY INFORMATION</w:t>
      </w:r>
    </w:p>
    <w:p w14:paraId="55A5157D" w14:textId="2BDB2D02" w:rsidR="006C1286" w:rsidRDefault="006C1286" w:rsidP="006C1286">
      <w:pPr>
        <w:rPr>
          <w:b/>
          <w:bCs/>
        </w:rPr>
      </w:pPr>
      <w:r w:rsidRPr="008F0838">
        <w:rPr>
          <w:b/>
          <w:bCs/>
        </w:rPr>
        <w:t xml:space="preserve">Environmental impact categories </w:t>
      </w:r>
      <w:r>
        <w:rPr>
          <w:b/>
          <w:bCs/>
        </w:rPr>
        <w:t xml:space="preserve">calculation </w:t>
      </w:r>
      <w:r w:rsidRPr="008F0838">
        <w:rPr>
          <w:b/>
          <w:bCs/>
        </w:rPr>
        <w:t>tables</w:t>
      </w:r>
    </w:p>
    <w:p w14:paraId="793C8E5A" w14:textId="77777777" w:rsidR="006C1286" w:rsidRDefault="006C1286" w:rsidP="006C1286">
      <w:pPr>
        <w:rPr>
          <w:b/>
          <w:bCs/>
        </w:rPr>
      </w:pPr>
    </w:p>
    <w:p w14:paraId="393652CC" w14:textId="77777777" w:rsidR="006C1286" w:rsidRPr="00F97918" w:rsidRDefault="006C1286" w:rsidP="006C1286">
      <w:pPr>
        <w:jc w:val="both"/>
        <w:rPr>
          <w:b/>
          <w:bCs/>
        </w:rPr>
      </w:pPr>
      <w:r w:rsidRPr="00F97918">
        <w:rPr>
          <w:b/>
          <w:bCs/>
        </w:rPr>
        <w:t>Table 2. Environmental impact categories for hydrogen production. Gasification (84.4 kg H2) and Electrolysis (8.77 kg H2 considering 3 different electricity sources, wind, hydropower and grid mix) all in USA</w:t>
      </w:r>
    </w:p>
    <w:tbl>
      <w:tblPr>
        <w:tblW w:w="5155" w:type="pct"/>
        <w:tblInd w:w="-289" w:type="dxa"/>
        <w:tblLook w:val="04A0" w:firstRow="1" w:lastRow="0" w:firstColumn="1" w:lastColumn="0" w:noHBand="0" w:noVBand="1"/>
      </w:tblPr>
      <w:tblGrid>
        <w:gridCol w:w="2093"/>
        <w:gridCol w:w="1665"/>
        <w:gridCol w:w="1484"/>
        <w:gridCol w:w="1784"/>
        <w:gridCol w:w="1687"/>
      </w:tblGrid>
      <w:tr w:rsidR="006C1286" w:rsidRPr="00B64E02" w14:paraId="2B544F6C" w14:textId="77777777" w:rsidTr="003D2E1F">
        <w:trPr>
          <w:trHeight w:val="433"/>
        </w:trPr>
        <w:tc>
          <w:tcPr>
            <w:tcW w:w="1322" w:type="pct"/>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741335A5" w14:textId="77777777" w:rsidR="006C1286" w:rsidRPr="00B64E02" w:rsidRDefault="006C1286" w:rsidP="003D2E1F">
            <w:pPr>
              <w:jc w:val="center"/>
              <w:rPr>
                <w:color w:val="FFFFFF"/>
                <w:sz w:val="16"/>
                <w:szCs w:val="16"/>
              </w:rPr>
            </w:pPr>
            <w:r w:rsidRPr="00B64E02">
              <w:rPr>
                <w:color w:val="FFFFFF"/>
                <w:sz w:val="16"/>
                <w:szCs w:val="16"/>
              </w:rPr>
              <w:t>Indicator</w:t>
            </w:r>
          </w:p>
        </w:tc>
        <w:tc>
          <w:tcPr>
            <w:tcW w:w="925" w:type="pct"/>
            <w:tcBorders>
              <w:top w:val="single" w:sz="4" w:space="0" w:color="auto"/>
              <w:left w:val="nil"/>
              <w:bottom w:val="single" w:sz="4" w:space="0" w:color="auto"/>
              <w:right w:val="single" w:sz="4" w:space="0" w:color="auto"/>
            </w:tcBorders>
            <w:shd w:val="clear" w:color="000000" w:fill="4D93D9"/>
            <w:noWrap/>
            <w:vAlign w:val="center"/>
            <w:hideMark/>
          </w:tcPr>
          <w:p w14:paraId="1FFDFD78" w14:textId="77777777" w:rsidR="006C1286" w:rsidRPr="00B64E02" w:rsidRDefault="006C1286" w:rsidP="003D2E1F">
            <w:pPr>
              <w:jc w:val="center"/>
              <w:rPr>
                <w:color w:val="FFFFFF"/>
                <w:sz w:val="16"/>
                <w:szCs w:val="16"/>
              </w:rPr>
            </w:pPr>
            <w:r w:rsidRPr="00B64E02">
              <w:rPr>
                <w:color w:val="FFFFFF"/>
                <w:sz w:val="16"/>
                <w:szCs w:val="16"/>
              </w:rPr>
              <w:t>Electrolysis_(E)Wind - US</w:t>
            </w:r>
          </w:p>
        </w:tc>
        <w:tc>
          <w:tcPr>
            <w:tcW w:w="825" w:type="pct"/>
            <w:tcBorders>
              <w:top w:val="single" w:sz="4" w:space="0" w:color="auto"/>
              <w:left w:val="nil"/>
              <w:bottom w:val="single" w:sz="4" w:space="0" w:color="auto"/>
              <w:right w:val="single" w:sz="4" w:space="0" w:color="auto"/>
            </w:tcBorders>
            <w:shd w:val="clear" w:color="000000" w:fill="4D93D9"/>
            <w:noWrap/>
            <w:vAlign w:val="center"/>
            <w:hideMark/>
          </w:tcPr>
          <w:p w14:paraId="6DF1A81A" w14:textId="77777777" w:rsidR="006C1286" w:rsidRPr="00B64E02" w:rsidRDefault="006C1286" w:rsidP="003D2E1F">
            <w:pPr>
              <w:jc w:val="center"/>
              <w:rPr>
                <w:color w:val="FFFFFF"/>
                <w:sz w:val="16"/>
                <w:szCs w:val="16"/>
              </w:rPr>
            </w:pPr>
            <w:r w:rsidRPr="00B64E02">
              <w:rPr>
                <w:color w:val="FFFFFF"/>
                <w:sz w:val="16"/>
                <w:szCs w:val="16"/>
              </w:rPr>
              <w:t>Gaseification_RD - US</w:t>
            </w:r>
          </w:p>
        </w:tc>
        <w:tc>
          <w:tcPr>
            <w:tcW w:w="993" w:type="pct"/>
            <w:tcBorders>
              <w:top w:val="single" w:sz="4" w:space="0" w:color="auto"/>
              <w:left w:val="nil"/>
              <w:bottom w:val="single" w:sz="4" w:space="0" w:color="auto"/>
              <w:right w:val="single" w:sz="4" w:space="0" w:color="auto"/>
            </w:tcBorders>
            <w:shd w:val="clear" w:color="000000" w:fill="4D93D9"/>
            <w:noWrap/>
            <w:vAlign w:val="center"/>
            <w:hideMark/>
          </w:tcPr>
          <w:p w14:paraId="6ACAE088" w14:textId="77777777" w:rsidR="006C1286" w:rsidRPr="00B64E02" w:rsidRDefault="006C1286" w:rsidP="003D2E1F">
            <w:pPr>
              <w:jc w:val="center"/>
              <w:rPr>
                <w:color w:val="FFFFFF"/>
                <w:sz w:val="16"/>
                <w:szCs w:val="16"/>
              </w:rPr>
            </w:pPr>
            <w:r w:rsidRPr="00B64E02">
              <w:rPr>
                <w:color w:val="FFFFFF"/>
                <w:sz w:val="16"/>
                <w:szCs w:val="16"/>
              </w:rPr>
              <w:t>Electrolysis_(E)Hydro - US2</w:t>
            </w:r>
          </w:p>
        </w:tc>
        <w:tc>
          <w:tcPr>
            <w:tcW w:w="935" w:type="pct"/>
            <w:tcBorders>
              <w:top w:val="single" w:sz="4" w:space="0" w:color="auto"/>
              <w:left w:val="nil"/>
              <w:bottom w:val="single" w:sz="4" w:space="0" w:color="auto"/>
              <w:right w:val="single" w:sz="4" w:space="0" w:color="auto"/>
            </w:tcBorders>
            <w:shd w:val="clear" w:color="000000" w:fill="4D93D9"/>
            <w:noWrap/>
            <w:vAlign w:val="center"/>
            <w:hideMark/>
          </w:tcPr>
          <w:p w14:paraId="0414C19D" w14:textId="77777777" w:rsidR="006C1286" w:rsidRPr="00B64E02" w:rsidRDefault="006C1286" w:rsidP="003D2E1F">
            <w:pPr>
              <w:jc w:val="center"/>
              <w:rPr>
                <w:color w:val="FFFFFF"/>
                <w:sz w:val="16"/>
                <w:szCs w:val="16"/>
              </w:rPr>
            </w:pPr>
            <w:r w:rsidRPr="00B64E02">
              <w:rPr>
                <w:color w:val="FFFFFF"/>
                <w:sz w:val="16"/>
                <w:szCs w:val="16"/>
              </w:rPr>
              <w:t>Electrolysis_(E)Grid - US2</w:t>
            </w:r>
          </w:p>
        </w:tc>
      </w:tr>
      <w:tr w:rsidR="006C1286" w:rsidRPr="00B64E02" w14:paraId="5C7AD33A"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5C779C3A" w14:textId="77777777" w:rsidR="006C1286" w:rsidRPr="00B64E02" w:rsidRDefault="006C1286" w:rsidP="003D2E1F">
            <w:pPr>
              <w:rPr>
                <w:color w:val="212121"/>
                <w:sz w:val="16"/>
                <w:szCs w:val="16"/>
              </w:rPr>
            </w:pPr>
            <w:r w:rsidRPr="00B64E02">
              <w:rPr>
                <w:color w:val="212121"/>
                <w:sz w:val="16"/>
                <w:szCs w:val="16"/>
              </w:rPr>
              <w:t>Acidification (kg SO2 eq)</w:t>
            </w:r>
          </w:p>
        </w:tc>
        <w:tc>
          <w:tcPr>
            <w:tcW w:w="925" w:type="pct"/>
            <w:tcBorders>
              <w:top w:val="nil"/>
              <w:left w:val="nil"/>
              <w:bottom w:val="single" w:sz="4" w:space="0" w:color="auto"/>
              <w:right w:val="single" w:sz="4" w:space="0" w:color="auto"/>
            </w:tcBorders>
            <w:noWrap/>
            <w:vAlign w:val="bottom"/>
            <w:hideMark/>
          </w:tcPr>
          <w:p w14:paraId="73B14D89" w14:textId="77777777" w:rsidR="006C1286" w:rsidRPr="00B64E02" w:rsidRDefault="006C1286" w:rsidP="003D2E1F">
            <w:pPr>
              <w:jc w:val="center"/>
              <w:rPr>
                <w:color w:val="212121"/>
                <w:sz w:val="16"/>
                <w:szCs w:val="16"/>
              </w:rPr>
            </w:pPr>
            <w:r w:rsidRPr="00B64E02">
              <w:rPr>
                <w:color w:val="212121"/>
                <w:sz w:val="16"/>
                <w:szCs w:val="16"/>
              </w:rPr>
              <w:t>0.00923984</w:t>
            </w:r>
          </w:p>
        </w:tc>
        <w:tc>
          <w:tcPr>
            <w:tcW w:w="825" w:type="pct"/>
            <w:tcBorders>
              <w:top w:val="nil"/>
              <w:left w:val="nil"/>
              <w:bottom w:val="single" w:sz="4" w:space="0" w:color="auto"/>
              <w:right w:val="single" w:sz="4" w:space="0" w:color="auto"/>
            </w:tcBorders>
            <w:noWrap/>
            <w:vAlign w:val="bottom"/>
            <w:hideMark/>
          </w:tcPr>
          <w:p w14:paraId="73F87342" w14:textId="77777777" w:rsidR="006C1286" w:rsidRPr="00B64E02" w:rsidRDefault="006C1286" w:rsidP="003D2E1F">
            <w:pPr>
              <w:jc w:val="center"/>
              <w:rPr>
                <w:color w:val="212121"/>
                <w:sz w:val="16"/>
                <w:szCs w:val="16"/>
              </w:rPr>
            </w:pPr>
            <w:r w:rsidRPr="00B64E02">
              <w:rPr>
                <w:color w:val="212121"/>
                <w:sz w:val="16"/>
                <w:szCs w:val="16"/>
              </w:rPr>
              <w:t>5.68E+00</w:t>
            </w:r>
          </w:p>
        </w:tc>
        <w:tc>
          <w:tcPr>
            <w:tcW w:w="993" w:type="pct"/>
            <w:tcBorders>
              <w:top w:val="nil"/>
              <w:left w:val="nil"/>
              <w:bottom w:val="single" w:sz="4" w:space="0" w:color="auto"/>
              <w:right w:val="single" w:sz="4" w:space="0" w:color="auto"/>
            </w:tcBorders>
            <w:noWrap/>
            <w:vAlign w:val="bottom"/>
            <w:hideMark/>
          </w:tcPr>
          <w:p w14:paraId="1D6A99CC" w14:textId="77777777" w:rsidR="006C1286" w:rsidRPr="00B64E02" w:rsidRDefault="006C1286" w:rsidP="003D2E1F">
            <w:pPr>
              <w:jc w:val="center"/>
              <w:rPr>
                <w:color w:val="212121"/>
                <w:sz w:val="16"/>
                <w:szCs w:val="16"/>
              </w:rPr>
            </w:pPr>
            <w:r w:rsidRPr="00B64E02">
              <w:rPr>
                <w:color w:val="212121"/>
                <w:sz w:val="16"/>
                <w:szCs w:val="16"/>
              </w:rPr>
              <w:t>6.32E+00</w:t>
            </w:r>
          </w:p>
        </w:tc>
        <w:tc>
          <w:tcPr>
            <w:tcW w:w="935" w:type="pct"/>
            <w:tcBorders>
              <w:top w:val="nil"/>
              <w:left w:val="nil"/>
              <w:bottom w:val="single" w:sz="4" w:space="0" w:color="auto"/>
              <w:right w:val="single" w:sz="4" w:space="0" w:color="auto"/>
            </w:tcBorders>
            <w:noWrap/>
            <w:vAlign w:val="bottom"/>
            <w:hideMark/>
          </w:tcPr>
          <w:p w14:paraId="1D9AF377" w14:textId="77777777" w:rsidR="006C1286" w:rsidRPr="00B64E02" w:rsidRDefault="006C1286" w:rsidP="003D2E1F">
            <w:pPr>
              <w:jc w:val="center"/>
              <w:rPr>
                <w:color w:val="212121"/>
                <w:sz w:val="16"/>
                <w:szCs w:val="16"/>
              </w:rPr>
            </w:pPr>
            <w:r w:rsidRPr="00B64E02">
              <w:rPr>
                <w:color w:val="212121"/>
                <w:sz w:val="16"/>
                <w:szCs w:val="16"/>
              </w:rPr>
              <w:t>-1.07E+00</w:t>
            </w:r>
          </w:p>
        </w:tc>
      </w:tr>
      <w:tr w:rsidR="006C1286" w:rsidRPr="00B64E02" w14:paraId="3A6CA82E"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6F063E58" w14:textId="77777777" w:rsidR="006C1286" w:rsidRPr="00B64E02" w:rsidRDefault="006C1286" w:rsidP="003D2E1F">
            <w:pPr>
              <w:rPr>
                <w:color w:val="212121"/>
                <w:sz w:val="16"/>
                <w:szCs w:val="16"/>
              </w:rPr>
            </w:pPr>
            <w:r w:rsidRPr="00B64E02">
              <w:rPr>
                <w:color w:val="212121"/>
                <w:sz w:val="16"/>
                <w:szCs w:val="16"/>
              </w:rPr>
              <w:t>Carcinogenics (CTUh)</w:t>
            </w:r>
          </w:p>
        </w:tc>
        <w:tc>
          <w:tcPr>
            <w:tcW w:w="925" w:type="pct"/>
            <w:tcBorders>
              <w:top w:val="nil"/>
              <w:left w:val="nil"/>
              <w:bottom w:val="single" w:sz="4" w:space="0" w:color="auto"/>
              <w:right w:val="single" w:sz="4" w:space="0" w:color="auto"/>
            </w:tcBorders>
            <w:noWrap/>
            <w:vAlign w:val="bottom"/>
            <w:hideMark/>
          </w:tcPr>
          <w:p w14:paraId="5D92B3D9" w14:textId="77777777" w:rsidR="006C1286" w:rsidRPr="00B64E02" w:rsidRDefault="006C1286" w:rsidP="003D2E1F">
            <w:pPr>
              <w:jc w:val="center"/>
              <w:rPr>
                <w:color w:val="212121"/>
                <w:sz w:val="16"/>
                <w:szCs w:val="16"/>
              </w:rPr>
            </w:pPr>
            <w:r w:rsidRPr="00B64E02">
              <w:rPr>
                <w:color w:val="212121"/>
                <w:sz w:val="16"/>
                <w:szCs w:val="16"/>
              </w:rPr>
              <w:t>1.5104E-07</w:t>
            </w:r>
          </w:p>
        </w:tc>
        <w:tc>
          <w:tcPr>
            <w:tcW w:w="825" w:type="pct"/>
            <w:tcBorders>
              <w:top w:val="nil"/>
              <w:left w:val="nil"/>
              <w:bottom w:val="single" w:sz="4" w:space="0" w:color="auto"/>
              <w:right w:val="single" w:sz="4" w:space="0" w:color="auto"/>
            </w:tcBorders>
            <w:noWrap/>
            <w:vAlign w:val="bottom"/>
            <w:hideMark/>
          </w:tcPr>
          <w:p w14:paraId="600A6BAA" w14:textId="77777777" w:rsidR="006C1286" w:rsidRPr="00B64E02" w:rsidRDefault="006C1286" w:rsidP="003D2E1F">
            <w:pPr>
              <w:jc w:val="center"/>
              <w:rPr>
                <w:color w:val="212121"/>
                <w:sz w:val="16"/>
                <w:szCs w:val="16"/>
              </w:rPr>
            </w:pPr>
            <w:r w:rsidRPr="00B64E02">
              <w:rPr>
                <w:color w:val="212121"/>
                <w:sz w:val="16"/>
                <w:szCs w:val="16"/>
              </w:rPr>
              <w:t>6.49E-06</w:t>
            </w:r>
          </w:p>
        </w:tc>
        <w:tc>
          <w:tcPr>
            <w:tcW w:w="993" w:type="pct"/>
            <w:tcBorders>
              <w:top w:val="nil"/>
              <w:left w:val="nil"/>
              <w:bottom w:val="single" w:sz="4" w:space="0" w:color="auto"/>
              <w:right w:val="single" w:sz="4" w:space="0" w:color="auto"/>
            </w:tcBorders>
            <w:noWrap/>
            <w:vAlign w:val="bottom"/>
            <w:hideMark/>
          </w:tcPr>
          <w:p w14:paraId="0AD13ED0" w14:textId="77777777" w:rsidR="006C1286" w:rsidRPr="00B64E02" w:rsidRDefault="006C1286" w:rsidP="003D2E1F">
            <w:pPr>
              <w:jc w:val="center"/>
              <w:rPr>
                <w:color w:val="212121"/>
                <w:sz w:val="16"/>
                <w:szCs w:val="16"/>
              </w:rPr>
            </w:pPr>
            <w:r w:rsidRPr="00B64E02">
              <w:rPr>
                <w:color w:val="212121"/>
                <w:sz w:val="16"/>
                <w:szCs w:val="16"/>
              </w:rPr>
              <w:t>6.46E-05</w:t>
            </w:r>
          </w:p>
        </w:tc>
        <w:tc>
          <w:tcPr>
            <w:tcW w:w="935" w:type="pct"/>
            <w:tcBorders>
              <w:top w:val="nil"/>
              <w:left w:val="nil"/>
              <w:bottom w:val="single" w:sz="4" w:space="0" w:color="auto"/>
              <w:right w:val="single" w:sz="4" w:space="0" w:color="auto"/>
            </w:tcBorders>
            <w:noWrap/>
            <w:vAlign w:val="bottom"/>
            <w:hideMark/>
          </w:tcPr>
          <w:p w14:paraId="1863742D" w14:textId="77777777" w:rsidR="006C1286" w:rsidRPr="00B64E02" w:rsidRDefault="006C1286" w:rsidP="003D2E1F">
            <w:pPr>
              <w:jc w:val="center"/>
              <w:rPr>
                <w:color w:val="212121"/>
                <w:sz w:val="16"/>
                <w:szCs w:val="16"/>
              </w:rPr>
            </w:pPr>
            <w:r w:rsidRPr="00B64E02">
              <w:rPr>
                <w:color w:val="212121"/>
                <w:sz w:val="16"/>
                <w:szCs w:val="16"/>
              </w:rPr>
              <w:t>0.00E+00</w:t>
            </w:r>
          </w:p>
        </w:tc>
      </w:tr>
      <w:tr w:rsidR="006C1286" w:rsidRPr="00B64E02" w14:paraId="5FA3FFB1"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757CD1A3" w14:textId="77777777" w:rsidR="006C1286" w:rsidRPr="00B64E02" w:rsidRDefault="006C1286" w:rsidP="003D2E1F">
            <w:pPr>
              <w:rPr>
                <w:color w:val="212121"/>
                <w:sz w:val="16"/>
                <w:szCs w:val="16"/>
              </w:rPr>
            </w:pPr>
            <w:r w:rsidRPr="00B64E02">
              <w:rPr>
                <w:color w:val="212121"/>
                <w:sz w:val="16"/>
                <w:szCs w:val="16"/>
              </w:rPr>
              <w:t>Ecotoxicity (CTUe)</w:t>
            </w:r>
          </w:p>
        </w:tc>
        <w:tc>
          <w:tcPr>
            <w:tcW w:w="925" w:type="pct"/>
            <w:tcBorders>
              <w:top w:val="nil"/>
              <w:left w:val="nil"/>
              <w:bottom w:val="single" w:sz="4" w:space="0" w:color="auto"/>
              <w:right w:val="single" w:sz="4" w:space="0" w:color="auto"/>
            </w:tcBorders>
            <w:noWrap/>
            <w:vAlign w:val="bottom"/>
            <w:hideMark/>
          </w:tcPr>
          <w:p w14:paraId="50834DC1" w14:textId="77777777" w:rsidR="006C1286" w:rsidRPr="00B64E02" w:rsidRDefault="006C1286" w:rsidP="003D2E1F">
            <w:pPr>
              <w:jc w:val="center"/>
              <w:rPr>
                <w:color w:val="212121"/>
                <w:sz w:val="16"/>
                <w:szCs w:val="16"/>
              </w:rPr>
            </w:pPr>
            <w:r w:rsidRPr="00B64E02">
              <w:rPr>
                <w:color w:val="212121"/>
                <w:sz w:val="16"/>
                <w:szCs w:val="16"/>
              </w:rPr>
              <w:t>1.78568</w:t>
            </w:r>
          </w:p>
        </w:tc>
        <w:tc>
          <w:tcPr>
            <w:tcW w:w="825" w:type="pct"/>
            <w:tcBorders>
              <w:top w:val="nil"/>
              <w:left w:val="nil"/>
              <w:bottom w:val="single" w:sz="4" w:space="0" w:color="auto"/>
              <w:right w:val="single" w:sz="4" w:space="0" w:color="auto"/>
            </w:tcBorders>
            <w:noWrap/>
            <w:vAlign w:val="bottom"/>
            <w:hideMark/>
          </w:tcPr>
          <w:p w14:paraId="584AC266" w14:textId="77777777" w:rsidR="006C1286" w:rsidRPr="00B64E02" w:rsidRDefault="006C1286" w:rsidP="003D2E1F">
            <w:pPr>
              <w:jc w:val="center"/>
              <w:rPr>
                <w:color w:val="212121"/>
                <w:sz w:val="16"/>
                <w:szCs w:val="16"/>
              </w:rPr>
            </w:pPr>
            <w:r w:rsidRPr="00B64E02">
              <w:rPr>
                <w:color w:val="212121"/>
                <w:sz w:val="16"/>
                <w:szCs w:val="16"/>
              </w:rPr>
              <w:t>1.58E+02</w:t>
            </w:r>
          </w:p>
        </w:tc>
        <w:tc>
          <w:tcPr>
            <w:tcW w:w="993" w:type="pct"/>
            <w:tcBorders>
              <w:top w:val="nil"/>
              <w:left w:val="nil"/>
              <w:bottom w:val="single" w:sz="4" w:space="0" w:color="auto"/>
              <w:right w:val="single" w:sz="4" w:space="0" w:color="auto"/>
            </w:tcBorders>
            <w:noWrap/>
            <w:vAlign w:val="bottom"/>
            <w:hideMark/>
          </w:tcPr>
          <w:p w14:paraId="4710A25D" w14:textId="77777777" w:rsidR="006C1286" w:rsidRPr="00B64E02" w:rsidRDefault="006C1286" w:rsidP="003D2E1F">
            <w:pPr>
              <w:jc w:val="center"/>
              <w:rPr>
                <w:color w:val="212121"/>
                <w:sz w:val="16"/>
                <w:szCs w:val="16"/>
              </w:rPr>
            </w:pPr>
            <w:r w:rsidRPr="00B64E02">
              <w:rPr>
                <w:color w:val="212121"/>
                <w:sz w:val="16"/>
                <w:szCs w:val="16"/>
              </w:rPr>
              <w:t>6.98E+02</w:t>
            </w:r>
          </w:p>
        </w:tc>
        <w:tc>
          <w:tcPr>
            <w:tcW w:w="935" w:type="pct"/>
            <w:tcBorders>
              <w:top w:val="nil"/>
              <w:left w:val="nil"/>
              <w:bottom w:val="single" w:sz="4" w:space="0" w:color="auto"/>
              <w:right w:val="single" w:sz="4" w:space="0" w:color="auto"/>
            </w:tcBorders>
            <w:noWrap/>
            <w:vAlign w:val="bottom"/>
            <w:hideMark/>
          </w:tcPr>
          <w:p w14:paraId="6431A56C" w14:textId="77777777" w:rsidR="006C1286" w:rsidRPr="00B64E02" w:rsidRDefault="006C1286" w:rsidP="003D2E1F">
            <w:pPr>
              <w:jc w:val="center"/>
              <w:rPr>
                <w:color w:val="212121"/>
                <w:sz w:val="16"/>
                <w:szCs w:val="16"/>
              </w:rPr>
            </w:pPr>
            <w:r w:rsidRPr="00B64E02">
              <w:rPr>
                <w:color w:val="212121"/>
                <w:sz w:val="16"/>
                <w:szCs w:val="16"/>
              </w:rPr>
              <w:t>0.00E+00</w:t>
            </w:r>
          </w:p>
        </w:tc>
      </w:tr>
      <w:tr w:rsidR="006C1286" w:rsidRPr="00B64E02" w14:paraId="5CF92FAF"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319512E0" w14:textId="77777777" w:rsidR="006C1286" w:rsidRPr="00B64E02" w:rsidRDefault="006C1286" w:rsidP="003D2E1F">
            <w:pPr>
              <w:rPr>
                <w:color w:val="212121"/>
                <w:sz w:val="16"/>
                <w:szCs w:val="16"/>
              </w:rPr>
            </w:pPr>
            <w:r w:rsidRPr="00B64E02">
              <w:rPr>
                <w:color w:val="212121"/>
                <w:sz w:val="16"/>
                <w:szCs w:val="16"/>
              </w:rPr>
              <w:t>Eutrophication (kg N eq)</w:t>
            </w:r>
          </w:p>
        </w:tc>
        <w:tc>
          <w:tcPr>
            <w:tcW w:w="925" w:type="pct"/>
            <w:tcBorders>
              <w:top w:val="nil"/>
              <w:left w:val="nil"/>
              <w:bottom w:val="single" w:sz="4" w:space="0" w:color="auto"/>
              <w:right w:val="single" w:sz="4" w:space="0" w:color="auto"/>
            </w:tcBorders>
            <w:noWrap/>
            <w:vAlign w:val="bottom"/>
            <w:hideMark/>
          </w:tcPr>
          <w:p w14:paraId="3F01F298" w14:textId="77777777" w:rsidR="006C1286" w:rsidRPr="00B64E02" w:rsidRDefault="006C1286" w:rsidP="003D2E1F">
            <w:pPr>
              <w:jc w:val="center"/>
              <w:rPr>
                <w:color w:val="212121"/>
                <w:sz w:val="16"/>
                <w:szCs w:val="16"/>
              </w:rPr>
            </w:pPr>
            <w:r w:rsidRPr="00B64E02">
              <w:rPr>
                <w:color w:val="212121"/>
                <w:sz w:val="16"/>
                <w:szCs w:val="16"/>
              </w:rPr>
              <w:t>0.000683997</w:t>
            </w:r>
          </w:p>
        </w:tc>
        <w:tc>
          <w:tcPr>
            <w:tcW w:w="825" w:type="pct"/>
            <w:tcBorders>
              <w:top w:val="nil"/>
              <w:left w:val="nil"/>
              <w:bottom w:val="single" w:sz="4" w:space="0" w:color="auto"/>
              <w:right w:val="single" w:sz="4" w:space="0" w:color="auto"/>
            </w:tcBorders>
            <w:noWrap/>
            <w:vAlign w:val="bottom"/>
            <w:hideMark/>
          </w:tcPr>
          <w:p w14:paraId="48C4752E" w14:textId="77777777" w:rsidR="006C1286" w:rsidRPr="00B64E02" w:rsidRDefault="006C1286" w:rsidP="003D2E1F">
            <w:pPr>
              <w:jc w:val="center"/>
              <w:rPr>
                <w:color w:val="212121"/>
                <w:sz w:val="16"/>
                <w:szCs w:val="16"/>
              </w:rPr>
            </w:pPr>
            <w:r w:rsidRPr="00B64E02">
              <w:rPr>
                <w:color w:val="212121"/>
                <w:sz w:val="16"/>
                <w:szCs w:val="16"/>
              </w:rPr>
              <w:t>3.43E-01</w:t>
            </w:r>
          </w:p>
        </w:tc>
        <w:tc>
          <w:tcPr>
            <w:tcW w:w="993" w:type="pct"/>
            <w:tcBorders>
              <w:top w:val="nil"/>
              <w:left w:val="nil"/>
              <w:bottom w:val="single" w:sz="4" w:space="0" w:color="auto"/>
              <w:right w:val="single" w:sz="4" w:space="0" w:color="auto"/>
            </w:tcBorders>
            <w:noWrap/>
            <w:vAlign w:val="bottom"/>
            <w:hideMark/>
          </w:tcPr>
          <w:p w14:paraId="33D035E3" w14:textId="77777777" w:rsidR="006C1286" w:rsidRPr="00B64E02" w:rsidRDefault="006C1286" w:rsidP="003D2E1F">
            <w:pPr>
              <w:jc w:val="center"/>
              <w:rPr>
                <w:color w:val="212121"/>
                <w:sz w:val="16"/>
                <w:szCs w:val="16"/>
              </w:rPr>
            </w:pPr>
            <w:r w:rsidRPr="00B64E02">
              <w:rPr>
                <w:color w:val="212121"/>
                <w:sz w:val="16"/>
                <w:szCs w:val="16"/>
              </w:rPr>
              <w:t>2.26E-01</w:t>
            </w:r>
          </w:p>
        </w:tc>
        <w:tc>
          <w:tcPr>
            <w:tcW w:w="935" w:type="pct"/>
            <w:tcBorders>
              <w:top w:val="nil"/>
              <w:left w:val="nil"/>
              <w:bottom w:val="single" w:sz="4" w:space="0" w:color="auto"/>
              <w:right w:val="single" w:sz="4" w:space="0" w:color="auto"/>
            </w:tcBorders>
            <w:noWrap/>
            <w:vAlign w:val="bottom"/>
            <w:hideMark/>
          </w:tcPr>
          <w:p w14:paraId="55B00694" w14:textId="77777777" w:rsidR="006C1286" w:rsidRPr="00B64E02" w:rsidRDefault="006C1286" w:rsidP="003D2E1F">
            <w:pPr>
              <w:jc w:val="center"/>
              <w:rPr>
                <w:color w:val="212121"/>
                <w:sz w:val="16"/>
                <w:szCs w:val="16"/>
              </w:rPr>
            </w:pPr>
            <w:r w:rsidRPr="00B64E02">
              <w:rPr>
                <w:color w:val="212121"/>
                <w:sz w:val="16"/>
                <w:szCs w:val="16"/>
              </w:rPr>
              <w:t>0.00E+00</w:t>
            </w:r>
          </w:p>
        </w:tc>
      </w:tr>
      <w:tr w:rsidR="006C1286" w:rsidRPr="00B64E02" w14:paraId="1DD6E82F"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5EA73732" w14:textId="77777777" w:rsidR="006C1286" w:rsidRPr="00B64E02" w:rsidRDefault="006C1286" w:rsidP="003D2E1F">
            <w:pPr>
              <w:rPr>
                <w:color w:val="212121"/>
                <w:sz w:val="16"/>
                <w:szCs w:val="16"/>
              </w:rPr>
            </w:pPr>
            <w:r w:rsidRPr="00B64E02">
              <w:rPr>
                <w:color w:val="212121"/>
                <w:sz w:val="16"/>
                <w:szCs w:val="16"/>
              </w:rPr>
              <w:t>Fossil fuel depletion (MJ surplus)</w:t>
            </w:r>
          </w:p>
        </w:tc>
        <w:tc>
          <w:tcPr>
            <w:tcW w:w="925" w:type="pct"/>
            <w:tcBorders>
              <w:top w:val="nil"/>
              <w:left w:val="nil"/>
              <w:bottom w:val="single" w:sz="4" w:space="0" w:color="auto"/>
              <w:right w:val="single" w:sz="4" w:space="0" w:color="auto"/>
            </w:tcBorders>
            <w:noWrap/>
            <w:vAlign w:val="bottom"/>
            <w:hideMark/>
          </w:tcPr>
          <w:p w14:paraId="4FFD6536" w14:textId="77777777" w:rsidR="006C1286" w:rsidRPr="00B64E02" w:rsidRDefault="006C1286" w:rsidP="003D2E1F">
            <w:pPr>
              <w:jc w:val="center"/>
              <w:rPr>
                <w:color w:val="212121"/>
                <w:sz w:val="16"/>
                <w:szCs w:val="16"/>
              </w:rPr>
            </w:pPr>
            <w:r w:rsidRPr="00B64E02">
              <w:rPr>
                <w:color w:val="212121"/>
                <w:sz w:val="16"/>
                <w:szCs w:val="16"/>
              </w:rPr>
              <w:t>2.12786</w:t>
            </w:r>
          </w:p>
        </w:tc>
        <w:tc>
          <w:tcPr>
            <w:tcW w:w="825" w:type="pct"/>
            <w:tcBorders>
              <w:top w:val="nil"/>
              <w:left w:val="nil"/>
              <w:bottom w:val="single" w:sz="4" w:space="0" w:color="auto"/>
              <w:right w:val="single" w:sz="4" w:space="0" w:color="auto"/>
            </w:tcBorders>
            <w:noWrap/>
            <w:vAlign w:val="bottom"/>
            <w:hideMark/>
          </w:tcPr>
          <w:p w14:paraId="47209F9C" w14:textId="77777777" w:rsidR="006C1286" w:rsidRPr="00B64E02" w:rsidRDefault="006C1286" w:rsidP="003D2E1F">
            <w:pPr>
              <w:jc w:val="center"/>
              <w:rPr>
                <w:color w:val="212121"/>
                <w:sz w:val="16"/>
                <w:szCs w:val="16"/>
              </w:rPr>
            </w:pPr>
            <w:r w:rsidRPr="00B64E02">
              <w:rPr>
                <w:color w:val="212121"/>
                <w:sz w:val="16"/>
                <w:szCs w:val="16"/>
              </w:rPr>
              <w:t>1.02E+03</w:t>
            </w:r>
          </w:p>
        </w:tc>
        <w:tc>
          <w:tcPr>
            <w:tcW w:w="993" w:type="pct"/>
            <w:tcBorders>
              <w:top w:val="nil"/>
              <w:left w:val="nil"/>
              <w:bottom w:val="single" w:sz="4" w:space="0" w:color="auto"/>
              <w:right w:val="single" w:sz="4" w:space="0" w:color="auto"/>
            </w:tcBorders>
            <w:noWrap/>
            <w:vAlign w:val="bottom"/>
            <w:hideMark/>
          </w:tcPr>
          <w:p w14:paraId="4997F917" w14:textId="77777777" w:rsidR="006C1286" w:rsidRPr="00B64E02" w:rsidRDefault="006C1286" w:rsidP="003D2E1F">
            <w:pPr>
              <w:jc w:val="center"/>
              <w:rPr>
                <w:color w:val="212121"/>
                <w:sz w:val="16"/>
                <w:szCs w:val="16"/>
              </w:rPr>
            </w:pPr>
            <w:r w:rsidRPr="00B64E02">
              <w:rPr>
                <w:color w:val="212121"/>
                <w:sz w:val="16"/>
                <w:szCs w:val="16"/>
              </w:rPr>
              <w:t>1.95E+03</w:t>
            </w:r>
          </w:p>
        </w:tc>
        <w:tc>
          <w:tcPr>
            <w:tcW w:w="935" w:type="pct"/>
            <w:tcBorders>
              <w:top w:val="nil"/>
              <w:left w:val="nil"/>
              <w:bottom w:val="single" w:sz="4" w:space="0" w:color="auto"/>
              <w:right w:val="single" w:sz="4" w:space="0" w:color="auto"/>
            </w:tcBorders>
            <w:noWrap/>
            <w:vAlign w:val="bottom"/>
            <w:hideMark/>
          </w:tcPr>
          <w:p w14:paraId="663BC3E4" w14:textId="77777777" w:rsidR="006C1286" w:rsidRPr="00B64E02" w:rsidRDefault="006C1286" w:rsidP="003D2E1F">
            <w:pPr>
              <w:jc w:val="center"/>
              <w:rPr>
                <w:color w:val="212121"/>
                <w:sz w:val="16"/>
                <w:szCs w:val="16"/>
              </w:rPr>
            </w:pPr>
            <w:r w:rsidRPr="00B64E02">
              <w:rPr>
                <w:color w:val="212121"/>
                <w:sz w:val="16"/>
                <w:szCs w:val="16"/>
              </w:rPr>
              <w:t>0.00E+00</w:t>
            </w:r>
          </w:p>
        </w:tc>
      </w:tr>
      <w:tr w:rsidR="006C1286" w:rsidRPr="00B64E02" w14:paraId="56A9C5BD"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58960B32" w14:textId="77777777" w:rsidR="006C1286" w:rsidRPr="00B64E02" w:rsidRDefault="006C1286" w:rsidP="003D2E1F">
            <w:pPr>
              <w:rPr>
                <w:color w:val="212121"/>
                <w:sz w:val="16"/>
                <w:szCs w:val="16"/>
              </w:rPr>
            </w:pPr>
            <w:r w:rsidRPr="00B64E02">
              <w:rPr>
                <w:color w:val="212121"/>
                <w:sz w:val="16"/>
                <w:szCs w:val="16"/>
              </w:rPr>
              <w:t>Global warming (kg CO2 eq)</w:t>
            </w:r>
          </w:p>
        </w:tc>
        <w:tc>
          <w:tcPr>
            <w:tcW w:w="925" w:type="pct"/>
            <w:tcBorders>
              <w:top w:val="nil"/>
              <w:left w:val="nil"/>
              <w:bottom w:val="single" w:sz="4" w:space="0" w:color="auto"/>
              <w:right w:val="single" w:sz="4" w:space="0" w:color="auto"/>
            </w:tcBorders>
            <w:noWrap/>
            <w:vAlign w:val="bottom"/>
            <w:hideMark/>
          </w:tcPr>
          <w:p w14:paraId="0F3858E1" w14:textId="77777777" w:rsidR="006C1286" w:rsidRPr="00B64E02" w:rsidRDefault="006C1286" w:rsidP="003D2E1F">
            <w:pPr>
              <w:jc w:val="center"/>
              <w:rPr>
                <w:color w:val="212121"/>
                <w:sz w:val="16"/>
                <w:szCs w:val="16"/>
              </w:rPr>
            </w:pPr>
            <w:r w:rsidRPr="00B64E02">
              <w:rPr>
                <w:color w:val="212121"/>
                <w:sz w:val="16"/>
                <w:szCs w:val="16"/>
              </w:rPr>
              <w:t>2.38139</w:t>
            </w:r>
          </w:p>
        </w:tc>
        <w:tc>
          <w:tcPr>
            <w:tcW w:w="825" w:type="pct"/>
            <w:tcBorders>
              <w:top w:val="nil"/>
              <w:left w:val="nil"/>
              <w:bottom w:val="single" w:sz="4" w:space="0" w:color="auto"/>
              <w:right w:val="single" w:sz="4" w:space="0" w:color="auto"/>
            </w:tcBorders>
            <w:noWrap/>
            <w:vAlign w:val="bottom"/>
            <w:hideMark/>
          </w:tcPr>
          <w:p w14:paraId="7FB66FCC" w14:textId="77777777" w:rsidR="006C1286" w:rsidRPr="00B64E02" w:rsidRDefault="006C1286" w:rsidP="003D2E1F">
            <w:pPr>
              <w:jc w:val="center"/>
              <w:rPr>
                <w:color w:val="212121"/>
                <w:sz w:val="16"/>
                <w:szCs w:val="16"/>
              </w:rPr>
            </w:pPr>
            <w:r w:rsidRPr="00B64E02">
              <w:rPr>
                <w:color w:val="212121"/>
                <w:sz w:val="16"/>
                <w:szCs w:val="16"/>
              </w:rPr>
              <w:t>1.86E+03</w:t>
            </w:r>
          </w:p>
        </w:tc>
        <w:tc>
          <w:tcPr>
            <w:tcW w:w="993" w:type="pct"/>
            <w:tcBorders>
              <w:top w:val="nil"/>
              <w:left w:val="nil"/>
              <w:bottom w:val="single" w:sz="4" w:space="0" w:color="auto"/>
              <w:right w:val="single" w:sz="4" w:space="0" w:color="auto"/>
            </w:tcBorders>
            <w:noWrap/>
            <w:vAlign w:val="bottom"/>
            <w:hideMark/>
          </w:tcPr>
          <w:p w14:paraId="14EBF0EE" w14:textId="77777777" w:rsidR="006C1286" w:rsidRPr="00B64E02" w:rsidRDefault="006C1286" w:rsidP="003D2E1F">
            <w:pPr>
              <w:jc w:val="center"/>
              <w:rPr>
                <w:color w:val="212121"/>
                <w:sz w:val="16"/>
                <w:szCs w:val="16"/>
              </w:rPr>
            </w:pPr>
            <w:r w:rsidRPr="00B64E02">
              <w:rPr>
                <w:color w:val="212121"/>
                <w:sz w:val="16"/>
                <w:szCs w:val="16"/>
              </w:rPr>
              <w:t>1.35E+03</w:t>
            </w:r>
          </w:p>
        </w:tc>
        <w:tc>
          <w:tcPr>
            <w:tcW w:w="935" w:type="pct"/>
            <w:tcBorders>
              <w:top w:val="nil"/>
              <w:left w:val="nil"/>
              <w:bottom w:val="single" w:sz="4" w:space="0" w:color="auto"/>
              <w:right w:val="single" w:sz="4" w:space="0" w:color="auto"/>
            </w:tcBorders>
            <w:noWrap/>
            <w:vAlign w:val="bottom"/>
            <w:hideMark/>
          </w:tcPr>
          <w:p w14:paraId="3A868BB1" w14:textId="77777777" w:rsidR="006C1286" w:rsidRPr="00B64E02" w:rsidRDefault="006C1286" w:rsidP="003D2E1F">
            <w:pPr>
              <w:jc w:val="center"/>
              <w:rPr>
                <w:color w:val="212121"/>
                <w:sz w:val="16"/>
                <w:szCs w:val="16"/>
              </w:rPr>
            </w:pPr>
            <w:r w:rsidRPr="00B64E02">
              <w:rPr>
                <w:color w:val="212121"/>
                <w:sz w:val="16"/>
                <w:szCs w:val="16"/>
              </w:rPr>
              <w:t>-1.08E+02</w:t>
            </w:r>
          </w:p>
        </w:tc>
      </w:tr>
      <w:tr w:rsidR="006C1286" w:rsidRPr="00B64E02" w14:paraId="3739E82A"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4A13C597" w14:textId="77777777" w:rsidR="006C1286" w:rsidRPr="00B64E02" w:rsidRDefault="006C1286" w:rsidP="003D2E1F">
            <w:pPr>
              <w:rPr>
                <w:color w:val="212121"/>
                <w:sz w:val="16"/>
                <w:szCs w:val="16"/>
              </w:rPr>
            </w:pPr>
            <w:r w:rsidRPr="00B64E02">
              <w:rPr>
                <w:color w:val="212121"/>
                <w:sz w:val="16"/>
                <w:szCs w:val="16"/>
              </w:rPr>
              <w:t>Non carcinogenics (CTUh)</w:t>
            </w:r>
          </w:p>
        </w:tc>
        <w:tc>
          <w:tcPr>
            <w:tcW w:w="925" w:type="pct"/>
            <w:tcBorders>
              <w:top w:val="nil"/>
              <w:left w:val="nil"/>
              <w:bottom w:val="single" w:sz="4" w:space="0" w:color="auto"/>
              <w:right w:val="single" w:sz="4" w:space="0" w:color="auto"/>
            </w:tcBorders>
            <w:noWrap/>
            <w:vAlign w:val="bottom"/>
            <w:hideMark/>
          </w:tcPr>
          <w:p w14:paraId="73901B34" w14:textId="77777777" w:rsidR="006C1286" w:rsidRPr="00B64E02" w:rsidRDefault="006C1286" w:rsidP="003D2E1F">
            <w:pPr>
              <w:jc w:val="center"/>
              <w:rPr>
                <w:color w:val="212121"/>
                <w:sz w:val="16"/>
                <w:szCs w:val="16"/>
              </w:rPr>
            </w:pPr>
            <w:r w:rsidRPr="00B64E02">
              <w:rPr>
                <w:color w:val="212121"/>
                <w:sz w:val="16"/>
                <w:szCs w:val="16"/>
              </w:rPr>
              <w:t>1.63352E-07</w:t>
            </w:r>
          </w:p>
        </w:tc>
        <w:tc>
          <w:tcPr>
            <w:tcW w:w="825" w:type="pct"/>
            <w:tcBorders>
              <w:top w:val="nil"/>
              <w:left w:val="nil"/>
              <w:bottom w:val="single" w:sz="4" w:space="0" w:color="auto"/>
              <w:right w:val="single" w:sz="4" w:space="0" w:color="auto"/>
            </w:tcBorders>
            <w:noWrap/>
            <w:vAlign w:val="bottom"/>
            <w:hideMark/>
          </w:tcPr>
          <w:p w14:paraId="7A708290" w14:textId="77777777" w:rsidR="006C1286" w:rsidRPr="00B64E02" w:rsidRDefault="006C1286" w:rsidP="003D2E1F">
            <w:pPr>
              <w:jc w:val="center"/>
              <w:rPr>
                <w:color w:val="212121"/>
                <w:sz w:val="16"/>
                <w:szCs w:val="16"/>
              </w:rPr>
            </w:pPr>
            <w:r w:rsidRPr="00B64E02">
              <w:rPr>
                <w:color w:val="212121"/>
                <w:sz w:val="16"/>
                <w:szCs w:val="16"/>
              </w:rPr>
              <w:t>1.82E-04</w:t>
            </w:r>
          </w:p>
        </w:tc>
        <w:tc>
          <w:tcPr>
            <w:tcW w:w="993" w:type="pct"/>
            <w:tcBorders>
              <w:top w:val="nil"/>
              <w:left w:val="nil"/>
              <w:bottom w:val="single" w:sz="4" w:space="0" w:color="auto"/>
              <w:right w:val="single" w:sz="4" w:space="0" w:color="auto"/>
            </w:tcBorders>
            <w:noWrap/>
            <w:vAlign w:val="bottom"/>
            <w:hideMark/>
          </w:tcPr>
          <w:p w14:paraId="494DC513" w14:textId="77777777" w:rsidR="006C1286" w:rsidRPr="00B64E02" w:rsidRDefault="006C1286" w:rsidP="003D2E1F">
            <w:pPr>
              <w:jc w:val="center"/>
              <w:rPr>
                <w:color w:val="212121"/>
                <w:sz w:val="16"/>
                <w:szCs w:val="16"/>
              </w:rPr>
            </w:pPr>
            <w:r w:rsidRPr="00B64E02">
              <w:rPr>
                <w:color w:val="212121"/>
                <w:sz w:val="16"/>
                <w:szCs w:val="16"/>
              </w:rPr>
              <w:t>6.25E-05</w:t>
            </w:r>
          </w:p>
        </w:tc>
        <w:tc>
          <w:tcPr>
            <w:tcW w:w="935" w:type="pct"/>
            <w:tcBorders>
              <w:top w:val="nil"/>
              <w:left w:val="nil"/>
              <w:bottom w:val="single" w:sz="4" w:space="0" w:color="auto"/>
              <w:right w:val="single" w:sz="4" w:space="0" w:color="auto"/>
            </w:tcBorders>
            <w:noWrap/>
            <w:vAlign w:val="bottom"/>
            <w:hideMark/>
          </w:tcPr>
          <w:p w14:paraId="478E3FFF" w14:textId="77777777" w:rsidR="006C1286" w:rsidRPr="00B64E02" w:rsidRDefault="006C1286" w:rsidP="003D2E1F">
            <w:pPr>
              <w:jc w:val="center"/>
              <w:rPr>
                <w:color w:val="212121"/>
                <w:sz w:val="16"/>
                <w:szCs w:val="16"/>
              </w:rPr>
            </w:pPr>
            <w:r w:rsidRPr="00B64E02">
              <w:rPr>
                <w:color w:val="212121"/>
                <w:sz w:val="16"/>
                <w:szCs w:val="16"/>
              </w:rPr>
              <w:t>0.00E+00</w:t>
            </w:r>
          </w:p>
        </w:tc>
      </w:tr>
      <w:tr w:rsidR="006C1286" w:rsidRPr="00B64E02" w14:paraId="31BA01BA"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438C5485" w14:textId="77777777" w:rsidR="006C1286" w:rsidRPr="00B64E02" w:rsidRDefault="006C1286" w:rsidP="003D2E1F">
            <w:pPr>
              <w:rPr>
                <w:color w:val="212121"/>
                <w:sz w:val="16"/>
                <w:szCs w:val="16"/>
              </w:rPr>
            </w:pPr>
            <w:r w:rsidRPr="00B64E02">
              <w:rPr>
                <w:color w:val="212121"/>
                <w:sz w:val="16"/>
                <w:szCs w:val="16"/>
              </w:rPr>
              <w:t>Ozone depletion (kg CFC-11 eq)</w:t>
            </w:r>
          </w:p>
        </w:tc>
        <w:tc>
          <w:tcPr>
            <w:tcW w:w="925" w:type="pct"/>
            <w:tcBorders>
              <w:top w:val="nil"/>
              <w:left w:val="nil"/>
              <w:bottom w:val="single" w:sz="4" w:space="0" w:color="auto"/>
              <w:right w:val="single" w:sz="4" w:space="0" w:color="auto"/>
            </w:tcBorders>
            <w:noWrap/>
            <w:vAlign w:val="bottom"/>
            <w:hideMark/>
          </w:tcPr>
          <w:p w14:paraId="7993542B" w14:textId="77777777" w:rsidR="006C1286" w:rsidRPr="00B64E02" w:rsidRDefault="006C1286" w:rsidP="003D2E1F">
            <w:pPr>
              <w:jc w:val="center"/>
              <w:rPr>
                <w:color w:val="212121"/>
                <w:sz w:val="16"/>
                <w:szCs w:val="16"/>
              </w:rPr>
            </w:pPr>
            <w:r w:rsidRPr="00B64E02">
              <w:rPr>
                <w:color w:val="212121"/>
                <w:sz w:val="16"/>
                <w:szCs w:val="16"/>
              </w:rPr>
              <w:t>6.96745E-11</w:t>
            </w:r>
          </w:p>
        </w:tc>
        <w:tc>
          <w:tcPr>
            <w:tcW w:w="825" w:type="pct"/>
            <w:tcBorders>
              <w:top w:val="nil"/>
              <w:left w:val="nil"/>
              <w:bottom w:val="single" w:sz="4" w:space="0" w:color="auto"/>
              <w:right w:val="single" w:sz="4" w:space="0" w:color="auto"/>
            </w:tcBorders>
            <w:noWrap/>
            <w:vAlign w:val="bottom"/>
            <w:hideMark/>
          </w:tcPr>
          <w:p w14:paraId="2410FE5E" w14:textId="77777777" w:rsidR="006C1286" w:rsidRPr="00B64E02" w:rsidRDefault="006C1286" w:rsidP="003D2E1F">
            <w:pPr>
              <w:jc w:val="center"/>
              <w:rPr>
                <w:color w:val="212121"/>
                <w:sz w:val="16"/>
                <w:szCs w:val="16"/>
              </w:rPr>
            </w:pPr>
            <w:r w:rsidRPr="00B64E02">
              <w:rPr>
                <w:color w:val="212121"/>
                <w:sz w:val="16"/>
                <w:szCs w:val="16"/>
              </w:rPr>
              <w:t>8.13E-05</w:t>
            </w:r>
          </w:p>
        </w:tc>
        <w:tc>
          <w:tcPr>
            <w:tcW w:w="993" w:type="pct"/>
            <w:tcBorders>
              <w:top w:val="nil"/>
              <w:left w:val="nil"/>
              <w:bottom w:val="single" w:sz="4" w:space="0" w:color="auto"/>
              <w:right w:val="single" w:sz="4" w:space="0" w:color="auto"/>
            </w:tcBorders>
            <w:noWrap/>
            <w:vAlign w:val="bottom"/>
            <w:hideMark/>
          </w:tcPr>
          <w:p w14:paraId="3AFB22A8" w14:textId="77777777" w:rsidR="006C1286" w:rsidRPr="00B64E02" w:rsidRDefault="006C1286" w:rsidP="003D2E1F">
            <w:pPr>
              <w:jc w:val="center"/>
              <w:rPr>
                <w:color w:val="212121"/>
                <w:sz w:val="16"/>
                <w:szCs w:val="16"/>
              </w:rPr>
            </w:pPr>
            <w:r w:rsidRPr="00B64E02">
              <w:rPr>
                <w:color w:val="212121"/>
                <w:sz w:val="16"/>
                <w:szCs w:val="16"/>
              </w:rPr>
              <w:t>9.60E-05</w:t>
            </w:r>
          </w:p>
        </w:tc>
        <w:tc>
          <w:tcPr>
            <w:tcW w:w="935" w:type="pct"/>
            <w:tcBorders>
              <w:top w:val="nil"/>
              <w:left w:val="nil"/>
              <w:bottom w:val="single" w:sz="4" w:space="0" w:color="auto"/>
              <w:right w:val="single" w:sz="4" w:space="0" w:color="auto"/>
            </w:tcBorders>
            <w:noWrap/>
            <w:vAlign w:val="bottom"/>
            <w:hideMark/>
          </w:tcPr>
          <w:p w14:paraId="4F6D5DF3" w14:textId="77777777" w:rsidR="006C1286" w:rsidRPr="00B64E02" w:rsidRDefault="006C1286" w:rsidP="003D2E1F">
            <w:pPr>
              <w:jc w:val="center"/>
              <w:rPr>
                <w:color w:val="212121"/>
                <w:sz w:val="16"/>
                <w:szCs w:val="16"/>
              </w:rPr>
            </w:pPr>
            <w:r w:rsidRPr="00B64E02">
              <w:rPr>
                <w:color w:val="212121"/>
                <w:sz w:val="16"/>
                <w:szCs w:val="16"/>
              </w:rPr>
              <w:t>0.00E+00</w:t>
            </w:r>
          </w:p>
        </w:tc>
      </w:tr>
      <w:tr w:rsidR="006C1286" w:rsidRPr="00B64E02" w14:paraId="55ED7891"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47E11D3A" w14:textId="77777777" w:rsidR="006C1286" w:rsidRPr="00B64E02" w:rsidRDefault="006C1286" w:rsidP="003D2E1F">
            <w:pPr>
              <w:rPr>
                <w:color w:val="212121"/>
                <w:sz w:val="16"/>
                <w:szCs w:val="16"/>
              </w:rPr>
            </w:pPr>
            <w:r w:rsidRPr="00B64E02">
              <w:rPr>
                <w:color w:val="212121"/>
                <w:sz w:val="16"/>
                <w:szCs w:val="16"/>
              </w:rPr>
              <w:t>Respiratory effects (kg PM2.5 eq)</w:t>
            </w:r>
          </w:p>
        </w:tc>
        <w:tc>
          <w:tcPr>
            <w:tcW w:w="925" w:type="pct"/>
            <w:tcBorders>
              <w:top w:val="nil"/>
              <w:left w:val="nil"/>
              <w:bottom w:val="single" w:sz="4" w:space="0" w:color="auto"/>
              <w:right w:val="single" w:sz="4" w:space="0" w:color="auto"/>
            </w:tcBorders>
            <w:noWrap/>
            <w:vAlign w:val="bottom"/>
            <w:hideMark/>
          </w:tcPr>
          <w:p w14:paraId="222B200D" w14:textId="77777777" w:rsidR="006C1286" w:rsidRPr="00B64E02" w:rsidRDefault="006C1286" w:rsidP="003D2E1F">
            <w:pPr>
              <w:jc w:val="center"/>
              <w:rPr>
                <w:color w:val="212121"/>
                <w:sz w:val="16"/>
                <w:szCs w:val="16"/>
              </w:rPr>
            </w:pPr>
            <w:r w:rsidRPr="00B64E02">
              <w:rPr>
                <w:color w:val="212121"/>
                <w:sz w:val="16"/>
                <w:szCs w:val="16"/>
              </w:rPr>
              <w:t>0.000678061</w:t>
            </w:r>
          </w:p>
        </w:tc>
        <w:tc>
          <w:tcPr>
            <w:tcW w:w="825" w:type="pct"/>
            <w:tcBorders>
              <w:top w:val="nil"/>
              <w:left w:val="nil"/>
              <w:bottom w:val="single" w:sz="4" w:space="0" w:color="auto"/>
              <w:right w:val="single" w:sz="4" w:space="0" w:color="auto"/>
            </w:tcBorders>
            <w:noWrap/>
            <w:vAlign w:val="bottom"/>
            <w:hideMark/>
          </w:tcPr>
          <w:p w14:paraId="6B794E5D" w14:textId="77777777" w:rsidR="006C1286" w:rsidRPr="00B64E02" w:rsidRDefault="006C1286" w:rsidP="003D2E1F">
            <w:pPr>
              <w:jc w:val="center"/>
              <w:rPr>
                <w:color w:val="212121"/>
                <w:sz w:val="16"/>
                <w:szCs w:val="16"/>
              </w:rPr>
            </w:pPr>
            <w:r w:rsidRPr="00B64E02">
              <w:rPr>
                <w:color w:val="212121"/>
                <w:sz w:val="16"/>
                <w:szCs w:val="16"/>
              </w:rPr>
              <w:t>6.75E-01</w:t>
            </w:r>
          </w:p>
        </w:tc>
        <w:tc>
          <w:tcPr>
            <w:tcW w:w="993" w:type="pct"/>
            <w:tcBorders>
              <w:top w:val="nil"/>
              <w:left w:val="nil"/>
              <w:bottom w:val="single" w:sz="4" w:space="0" w:color="auto"/>
              <w:right w:val="single" w:sz="4" w:space="0" w:color="auto"/>
            </w:tcBorders>
            <w:noWrap/>
            <w:vAlign w:val="bottom"/>
            <w:hideMark/>
          </w:tcPr>
          <w:p w14:paraId="27C0361B" w14:textId="77777777" w:rsidR="006C1286" w:rsidRPr="00B64E02" w:rsidRDefault="006C1286" w:rsidP="003D2E1F">
            <w:pPr>
              <w:jc w:val="center"/>
              <w:rPr>
                <w:color w:val="212121"/>
                <w:sz w:val="16"/>
                <w:szCs w:val="16"/>
              </w:rPr>
            </w:pPr>
            <w:r w:rsidRPr="00B64E02">
              <w:rPr>
                <w:color w:val="212121"/>
                <w:sz w:val="16"/>
                <w:szCs w:val="16"/>
              </w:rPr>
              <w:t>3.56E-01</w:t>
            </w:r>
          </w:p>
        </w:tc>
        <w:tc>
          <w:tcPr>
            <w:tcW w:w="935" w:type="pct"/>
            <w:tcBorders>
              <w:top w:val="nil"/>
              <w:left w:val="nil"/>
              <w:bottom w:val="single" w:sz="4" w:space="0" w:color="auto"/>
              <w:right w:val="single" w:sz="4" w:space="0" w:color="auto"/>
            </w:tcBorders>
            <w:noWrap/>
            <w:vAlign w:val="bottom"/>
            <w:hideMark/>
          </w:tcPr>
          <w:p w14:paraId="13E86814" w14:textId="77777777" w:rsidR="006C1286" w:rsidRPr="00B64E02" w:rsidRDefault="006C1286" w:rsidP="003D2E1F">
            <w:pPr>
              <w:jc w:val="center"/>
              <w:rPr>
                <w:color w:val="212121"/>
                <w:sz w:val="16"/>
                <w:szCs w:val="16"/>
              </w:rPr>
            </w:pPr>
            <w:r w:rsidRPr="00B64E02">
              <w:rPr>
                <w:color w:val="212121"/>
                <w:sz w:val="16"/>
                <w:szCs w:val="16"/>
              </w:rPr>
              <w:t>-6.55E-02</w:t>
            </w:r>
          </w:p>
        </w:tc>
      </w:tr>
      <w:tr w:rsidR="006C1286" w:rsidRPr="00B64E02" w14:paraId="2D610A37"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12374073" w14:textId="77777777" w:rsidR="006C1286" w:rsidRPr="00B64E02" w:rsidRDefault="006C1286" w:rsidP="003D2E1F">
            <w:pPr>
              <w:rPr>
                <w:color w:val="212121"/>
                <w:sz w:val="16"/>
                <w:szCs w:val="16"/>
              </w:rPr>
            </w:pPr>
            <w:r w:rsidRPr="00B64E02">
              <w:rPr>
                <w:color w:val="212121"/>
                <w:sz w:val="16"/>
                <w:szCs w:val="16"/>
              </w:rPr>
              <w:t>Smog (kg O3 eq)</w:t>
            </w:r>
          </w:p>
        </w:tc>
        <w:tc>
          <w:tcPr>
            <w:tcW w:w="925" w:type="pct"/>
            <w:tcBorders>
              <w:top w:val="nil"/>
              <w:left w:val="nil"/>
              <w:bottom w:val="single" w:sz="4" w:space="0" w:color="auto"/>
              <w:right w:val="single" w:sz="4" w:space="0" w:color="auto"/>
            </w:tcBorders>
            <w:noWrap/>
            <w:vAlign w:val="bottom"/>
            <w:hideMark/>
          </w:tcPr>
          <w:p w14:paraId="6CB03339" w14:textId="77777777" w:rsidR="006C1286" w:rsidRPr="00B64E02" w:rsidRDefault="006C1286" w:rsidP="003D2E1F">
            <w:pPr>
              <w:jc w:val="center"/>
              <w:rPr>
                <w:color w:val="212121"/>
                <w:sz w:val="16"/>
                <w:szCs w:val="16"/>
              </w:rPr>
            </w:pPr>
            <w:r w:rsidRPr="00B64E02">
              <w:rPr>
                <w:color w:val="212121"/>
                <w:sz w:val="16"/>
                <w:szCs w:val="16"/>
              </w:rPr>
              <w:t>0.0730212</w:t>
            </w:r>
          </w:p>
        </w:tc>
        <w:tc>
          <w:tcPr>
            <w:tcW w:w="825" w:type="pct"/>
            <w:tcBorders>
              <w:top w:val="nil"/>
              <w:left w:val="nil"/>
              <w:bottom w:val="single" w:sz="4" w:space="0" w:color="auto"/>
              <w:right w:val="single" w:sz="4" w:space="0" w:color="auto"/>
            </w:tcBorders>
            <w:noWrap/>
            <w:vAlign w:val="bottom"/>
            <w:hideMark/>
          </w:tcPr>
          <w:p w14:paraId="3EA9FB6E" w14:textId="77777777" w:rsidR="006C1286" w:rsidRPr="00B64E02" w:rsidRDefault="006C1286" w:rsidP="003D2E1F">
            <w:pPr>
              <w:jc w:val="center"/>
              <w:rPr>
                <w:color w:val="212121"/>
                <w:sz w:val="16"/>
                <w:szCs w:val="16"/>
              </w:rPr>
            </w:pPr>
            <w:r w:rsidRPr="00B64E02">
              <w:rPr>
                <w:color w:val="212121"/>
                <w:sz w:val="16"/>
                <w:szCs w:val="16"/>
              </w:rPr>
              <w:t>5.54E+01</w:t>
            </w:r>
          </w:p>
        </w:tc>
        <w:tc>
          <w:tcPr>
            <w:tcW w:w="993" w:type="pct"/>
            <w:tcBorders>
              <w:top w:val="nil"/>
              <w:left w:val="nil"/>
              <w:bottom w:val="single" w:sz="4" w:space="0" w:color="auto"/>
              <w:right w:val="single" w:sz="4" w:space="0" w:color="auto"/>
            </w:tcBorders>
            <w:noWrap/>
            <w:vAlign w:val="bottom"/>
            <w:hideMark/>
          </w:tcPr>
          <w:p w14:paraId="1A1F9031" w14:textId="77777777" w:rsidR="006C1286" w:rsidRPr="00B64E02" w:rsidRDefault="006C1286" w:rsidP="003D2E1F">
            <w:pPr>
              <w:jc w:val="center"/>
              <w:rPr>
                <w:color w:val="212121"/>
                <w:sz w:val="16"/>
                <w:szCs w:val="16"/>
              </w:rPr>
            </w:pPr>
            <w:r w:rsidRPr="00B64E02">
              <w:rPr>
                <w:color w:val="212121"/>
                <w:sz w:val="16"/>
                <w:szCs w:val="16"/>
              </w:rPr>
              <w:t>3.15E+01</w:t>
            </w:r>
          </w:p>
        </w:tc>
        <w:tc>
          <w:tcPr>
            <w:tcW w:w="935" w:type="pct"/>
            <w:tcBorders>
              <w:top w:val="nil"/>
              <w:left w:val="nil"/>
              <w:bottom w:val="single" w:sz="4" w:space="0" w:color="auto"/>
              <w:right w:val="single" w:sz="4" w:space="0" w:color="auto"/>
            </w:tcBorders>
            <w:noWrap/>
            <w:vAlign w:val="bottom"/>
            <w:hideMark/>
          </w:tcPr>
          <w:p w14:paraId="47EB6A7D" w14:textId="77777777" w:rsidR="006C1286" w:rsidRPr="00B64E02" w:rsidRDefault="006C1286" w:rsidP="003D2E1F">
            <w:pPr>
              <w:jc w:val="center"/>
              <w:rPr>
                <w:color w:val="212121"/>
                <w:sz w:val="16"/>
                <w:szCs w:val="16"/>
              </w:rPr>
            </w:pPr>
            <w:r w:rsidRPr="00B64E02">
              <w:rPr>
                <w:color w:val="212121"/>
                <w:sz w:val="16"/>
                <w:szCs w:val="16"/>
              </w:rPr>
              <w:t>0.00E+00</w:t>
            </w:r>
          </w:p>
        </w:tc>
      </w:tr>
    </w:tbl>
    <w:p w14:paraId="7ED19A6C" w14:textId="77777777" w:rsidR="006C1286" w:rsidRDefault="006C1286" w:rsidP="006C1286">
      <w:pPr>
        <w:rPr>
          <w:b/>
          <w:bCs/>
        </w:rPr>
      </w:pPr>
    </w:p>
    <w:p w14:paraId="4A1E1526" w14:textId="77777777" w:rsidR="006C1286" w:rsidRPr="00F97918" w:rsidRDefault="006C1286" w:rsidP="006C1286">
      <w:pPr>
        <w:jc w:val="both"/>
        <w:rPr>
          <w:b/>
          <w:bCs/>
        </w:rPr>
      </w:pPr>
      <w:r w:rsidRPr="00F97918">
        <w:rPr>
          <w:b/>
          <w:bCs/>
        </w:rPr>
        <w:t>Table 3. Environmental impact categories for 1 kg of hydrogen production accordingly technology and electricity source in USA</w:t>
      </w:r>
    </w:p>
    <w:tbl>
      <w:tblPr>
        <w:tblW w:w="5155" w:type="pct"/>
        <w:tblInd w:w="-289" w:type="dxa"/>
        <w:tblLook w:val="04A0" w:firstRow="1" w:lastRow="0" w:firstColumn="1" w:lastColumn="0" w:noHBand="0" w:noVBand="1"/>
      </w:tblPr>
      <w:tblGrid>
        <w:gridCol w:w="2093"/>
        <w:gridCol w:w="1665"/>
        <w:gridCol w:w="1484"/>
        <w:gridCol w:w="1784"/>
        <w:gridCol w:w="1687"/>
      </w:tblGrid>
      <w:tr w:rsidR="006C1286" w:rsidRPr="0069266B" w14:paraId="723A75D5" w14:textId="77777777" w:rsidTr="003D2E1F">
        <w:trPr>
          <w:trHeight w:val="463"/>
        </w:trPr>
        <w:tc>
          <w:tcPr>
            <w:tcW w:w="1322" w:type="pct"/>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7F1E2CA4" w14:textId="77777777" w:rsidR="006C1286" w:rsidRPr="0069266B" w:rsidRDefault="006C1286" w:rsidP="003D2E1F">
            <w:pPr>
              <w:jc w:val="center"/>
              <w:rPr>
                <w:color w:val="FFFFFF"/>
                <w:sz w:val="16"/>
                <w:szCs w:val="16"/>
              </w:rPr>
            </w:pPr>
            <w:r w:rsidRPr="0069266B">
              <w:rPr>
                <w:color w:val="FFFFFF"/>
                <w:sz w:val="16"/>
                <w:szCs w:val="16"/>
              </w:rPr>
              <w:t>Indicator</w:t>
            </w:r>
          </w:p>
        </w:tc>
        <w:tc>
          <w:tcPr>
            <w:tcW w:w="925" w:type="pct"/>
            <w:tcBorders>
              <w:top w:val="single" w:sz="4" w:space="0" w:color="auto"/>
              <w:left w:val="nil"/>
              <w:bottom w:val="single" w:sz="4" w:space="0" w:color="auto"/>
              <w:right w:val="single" w:sz="4" w:space="0" w:color="auto"/>
            </w:tcBorders>
            <w:shd w:val="clear" w:color="000000" w:fill="4D93D9"/>
            <w:noWrap/>
            <w:vAlign w:val="center"/>
            <w:hideMark/>
          </w:tcPr>
          <w:p w14:paraId="43A3879D" w14:textId="77777777" w:rsidR="006C1286" w:rsidRPr="0069266B" w:rsidRDefault="006C1286" w:rsidP="003D2E1F">
            <w:pPr>
              <w:jc w:val="center"/>
              <w:rPr>
                <w:color w:val="FFFFFF"/>
                <w:sz w:val="16"/>
                <w:szCs w:val="16"/>
              </w:rPr>
            </w:pPr>
            <w:r w:rsidRPr="0069266B">
              <w:rPr>
                <w:color w:val="FFFFFF"/>
                <w:sz w:val="16"/>
                <w:szCs w:val="16"/>
              </w:rPr>
              <w:t>Electrolysis_(E)Wind - US</w:t>
            </w:r>
          </w:p>
        </w:tc>
        <w:tc>
          <w:tcPr>
            <w:tcW w:w="825" w:type="pct"/>
            <w:tcBorders>
              <w:top w:val="single" w:sz="4" w:space="0" w:color="auto"/>
              <w:left w:val="nil"/>
              <w:bottom w:val="single" w:sz="4" w:space="0" w:color="auto"/>
              <w:right w:val="single" w:sz="4" w:space="0" w:color="auto"/>
            </w:tcBorders>
            <w:shd w:val="clear" w:color="000000" w:fill="4D93D9"/>
            <w:noWrap/>
            <w:vAlign w:val="center"/>
            <w:hideMark/>
          </w:tcPr>
          <w:p w14:paraId="73966B6C" w14:textId="77777777" w:rsidR="006C1286" w:rsidRPr="0069266B" w:rsidRDefault="006C1286" w:rsidP="003D2E1F">
            <w:pPr>
              <w:jc w:val="center"/>
              <w:rPr>
                <w:color w:val="FFFFFF"/>
                <w:sz w:val="16"/>
                <w:szCs w:val="16"/>
              </w:rPr>
            </w:pPr>
            <w:r w:rsidRPr="0069266B">
              <w:rPr>
                <w:color w:val="FFFFFF"/>
                <w:sz w:val="16"/>
                <w:szCs w:val="16"/>
              </w:rPr>
              <w:t>Gaseification_RD - US</w:t>
            </w:r>
          </w:p>
        </w:tc>
        <w:tc>
          <w:tcPr>
            <w:tcW w:w="993" w:type="pct"/>
            <w:tcBorders>
              <w:top w:val="single" w:sz="4" w:space="0" w:color="auto"/>
              <w:left w:val="nil"/>
              <w:bottom w:val="single" w:sz="4" w:space="0" w:color="auto"/>
              <w:right w:val="single" w:sz="4" w:space="0" w:color="auto"/>
            </w:tcBorders>
            <w:shd w:val="clear" w:color="000000" w:fill="4D93D9"/>
            <w:noWrap/>
            <w:vAlign w:val="center"/>
            <w:hideMark/>
          </w:tcPr>
          <w:p w14:paraId="6CA402D2" w14:textId="77777777" w:rsidR="006C1286" w:rsidRPr="0069266B" w:rsidRDefault="006C1286" w:rsidP="003D2E1F">
            <w:pPr>
              <w:jc w:val="center"/>
              <w:rPr>
                <w:color w:val="FFFFFF"/>
                <w:sz w:val="16"/>
                <w:szCs w:val="16"/>
              </w:rPr>
            </w:pPr>
            <w:r w:rsidRPr="0069266B">
              <w:rPr>
                <w:color w:val="FFFFFF"/>
                <w:sz w:val="16"/>
                <w:szCs w:val="16"/>
              </w:rPr>
              <w:t>Electrolysis_(E)Hydro - US2</w:t>
            </w:r>
          </w:p>
        </w:tc>
        <w:tc>
          <w:tcPr>
            <w:tcW w:w="935" w:type="pct"/>
            <w:tcBorders>
              <w:top w:val="single" w:sz="4" w:space="0" w:color="auto"/>
              <w:left w:val="nil"/>
              <w:bottom w:val="single" w:sz="4" w:space="0" w:color="auto"/>
              <w:right w:val="single" w:sz="4" w:space="0" w:color="auto"/>
            </w:tcBorders>
            <w:shd w:val="clear" w:color="000000" w:fill="4D93D9"/>
            <w:noWrap/>
            <w:vAlign w:val="center"/>
            <w:hideMark/>
          </w:tcPr>
          <w:p w14:paraId="6B0D2467" w14:textId="77777777" w:rsidR="006C1286" w:rsidRPr="0069266B" w:rsidRDefault="006C1286" w:rsidP="003D2E1F">
            <w:pPr>
              <w:jc w:val="center"/>
              <w:rPr>
                <w:color w:val="FFFFFF"/>
                <w:sz w:val="16"/>
                <w:szCs w:val="16"/>
              </w:rPr>
            </w:pPr>
            <w:r w:rsidRPr="0069266B">
              <w:rPr>
                <w:color w:val="FFFFFF"/>
                <w:sz w:val="16"/>
                <w:szCs w:val="16"/>
              </w:rPr>
              <w:t>Electrolysis_(E)Grid - US2</w:t>
            </w:r>
          </w:p>
        </w:tc>
      </w:tr>
      <w:tr w:rsidR="006C1286" w:rsidRPr="0069266B" w14:paraId="4C3310A1"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47C7544E" w14:textId="77777777" w:rsidR="006C1286" w:rsidRPr="0069266B" w:rsidRDefault="006C1286" w:rsidP="003D2E1F">
            <w:pPr>
              <w:rPr>
                <w:color w:val="212121"/>
                <w:sz w:val="16"/>
                <w:szCs w:val="16"/>
              </w:rPr>
            </w:pPr>
            <w:r w:rsidRPr="0069266B">
              <w:rPr>
                <w:color w:val="212121"/>
                <w:sz w:val="16"/>
                <w:szCs w:val="16"/>
              </w:rPr>
              <w:lastRenderedPageBreak/>
              <w:t>Acidification (kg SO2 eq)</w:t>
            </w:r>
          </w:p>
        </w:tc>
        <w:tc>
          <w:tcPr>
            <w:tcW w:w="925" w:type="pct"/>
            <w:tcBorders>
              <w:top w:val="nil"/>
              <w:left w:val="nil"/>
              <w:bottom w:val="single" w:sz="4" w:space="0" w:color="auto"/>
              <w:right w:val="single" w:sz="4" w:space="0" w:color="auto"/>
            </w:tcBorders>
            <w:noWrap/>
            <w:vAlign w:val="bottom"/>
            <w:hideMark/>
          </w:tcPr>
          <w:p w14:paraId="44FA0BC7" w14:textId="77777777" w:rsidR="006C1286" w:rsidRPr="0069266B" w:rsidRDefault="006C1286" w:rsidP="003D2E1F">
            <w:pPr>
              <w:jc w:val="center"/>
              <w:rPr>
                <w:color w:val="212121"/>
                <w:sz w:val="16"/>
                <w:szCs w:val="16"/>
              </w:rPr>
            </w:pPr>
            <w:r w:rsidRPr="0069266B">
              <w:rPr>
                <w:color w:val="212121"/>
                <w:sz w:val="16"/>
                <w:szCs w:val="16"/>
              </w:rPr>
              <w:t>0.001053574</w:t>
            </w:r>
          </w:p>
        </w:tc>
        <w:tc>
          <w:tcPr>
            <w:tcW w:w="825" w:type="pct"/>
            <w:tcBorders>
              <w:top w:val="nil"/>
              <w:left w:val="nil"/>
              <w:bottom w:val="single" w:sz="4" w:space="0" w:color="auto"/>
              <w:right w:val="single" w:sz="4" w:space="0" w:color="auto"/>
            </w:tcBorders>
            <w:noWrap/>
            <w:vAlign w:val="bottom"/>
            <w:hideMark/>
          </w:tcPr>
          <w:p w14:paraId="47A2AA28" w14:textId="77777777" w:rsidR="006C1286" w:rsidRPr="0069266B" w:rsidRDefault="006C1286" w:rsidP="003D2E1F">
            <w:pPr>
              <w:jc w:val="center"/>
              <w:rPr>
                <w:color w:val="212121"/>
                <w:sz w:val="16"/>
                <w:szCs w:val="16"/>
              </w:rPr>
            </w:pPr>
            <w:r w:rsidRPr="0069266B">
              <w:rPr>
                <w:color w:val="212121"/>
                <w:sz w:val="16"/>
                <w:szCs w:val="16"/>
              </w:rPr>
              <w:t>6.73E-02</w:t>
            </w:r>
          </w:p>
        </w:tc>
        <w:tc>
          <w:tcPr>
            <w:tcW w:w="993" w:type="pct"/>
            <w:tcBorders>
              <w:top w:val="nil"/>
              <w:left w:val="nil"/>
              <w:bottom w:val="single" w:sz="4" w:space="0" w:color="auto"/>
              <w:right w:val="single" w:sz="4" w:space="0" w:color="auto"/>
            </w:tcBorders>
            <w:noWrap/>
            <w:vAlign w:val="bottom"/>
            <w:hideMark/>
          </w:tcPr>
          <w:p w14:paraId="4666AAB4" w14:textId="77777777" w:rsidR="006C1286" w:rsidRPr="0069266B" w:rsidRDefault="006C1286" w:rsidP="003D2E1F">
            <w:pPr>
              <w:jc w:val="center"/>
              <w:rPr>
                <w:color w:val="212121"/>
                <w:sz w:val="16"/>
                <w:szCs w:val="16"/>
              </w:rPr>
            </w:pPr>
            <w:r w:rsidRPr="0069266B">
              <w:rPr>
                <w:color w:val="212121"/>
                <w:sz w:val="16"/>
                <w:szCs w:val="16"/>
              </w:rPr>
              <w:t>7.21E-01</w:t>
            </w:r>
          </w:p>
        </w:tc>
        <w:tc>
          <w:tcPr>
            <w:tcW w:w="935" w:type="pct"/>
            <w:tcBorders>
              <w:top w:val="nil"/>
              <w:left w:val="nil"/>
              <w:bottom w:val="single" w:sz="4" w:space="0" w:color="auto"/>
              <w:right w:val="single" w:sz="4" w:space="0" w:color="auto"/>
            </w:tcBorders>
            <w:noWrap/>
            <w:vAlign w:val="bottom"/>
            <w:hideMark/>
          </w:tcPr>
          <w:p w14:paraId="6BAFA3FD" w14:textId="77777777" w:rsidR="006C1286" w:rsidRPr="0069266B" w:rsidRDefault="006C1286" w:rsidP="003D2E1F">
            <w:pPr>
              <w:jc w:val="center"/>
              <w:rPr>
                <w:color w:val="212121"/>
                <w:sz w:val="16"/>
                <w:szCs w:val="16"/>
              </w:rPr>
            </w:pPr>
            <w:r w:rsidRPr="0069266B">
              <w:rPr>
                <w:color w:val="212121"/>
                <w:sz w:val="16"/>
                <w:szCs w:val="16"/>
              </w:rPr>
              <w:t>-1.22E-01</w:t>
            </w:r>
          </w:p>
        </w:tc>
      </w:tr>
      <w:tr w:rsidR="006C1286" w:rsidRPr="0069266B" w14:paraId="7A5AF500"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5E11C3BB" w14:textId="77777777" w:rsidR="006C1286" w:rsidRPr="0069266B" w:rsidRDefault="006C1286" w:rsidP="003D2E1F">
            <w:pPr>
              <w:rPr>
                <w:color w:val="212121"/>
                <w:sz w:val="16"/>
                <w:szCs w:val="16"/>
              </w:rPr>
            </w:pPr>
            <w:r w:rsidRPr="0069266B">
              <w:rPr>
                <w:color w:val="212121"/>
                <w:sz w:val="16"/>
                <w:szCs w:val="16"/>
              </w:rPr>
              <w:t>Carcinogenics (CTUh)</w:t>
            </w:r>
          </w:p>
        </w:tc>
        <w:tc>
          <w:tcPr>
            <w:tcW w:w="925" w:type="pct"/>
            <w:tcBorders>
              <w:top w:val="nil"/>
              <w:left w:val="nil"/>
              <w:bottom w:val="single" w:sz="4" w:space="0" w:color="auto"/>
              <w:right w:val="single" w:sz="4" w:space="0" w:color="auto"/>
            </w:tcBorders>
            <w:noWrap/>
            <w:vAlign w:val="bottom"/>
            <w:hideMark/>
          </w:tcPr>
          <w:p w14:paraId="6A8ED591" w14:textId="77777777" w:rsidR="006C1286" w:rsidRPr="0069266B" w:rsidRDefault="006C1286" w:rsidP="003D2E1F">
            <w:pPr>
              <w:jc w:val="center"/>
              <w:rPr>
                <w:color w:val="212121"/>
                <w:sz w:val="16"/>
                <w:szCs w:val="16"/>
              </w:rPr>
            </w:pPr>
            <w:r w:rsidRPr="0069266B">
              <w:rPr>
                <w:color w:val="212121"/>
                <w:sz w:val="16"/>
                <w:szCs w:val="16"/>
              </w:rPr>
              <w:t>1.72223E-08</w:t>
            </w:r>
          </w:p>
        </w:tc>
        <w:tc>
          <w:tcPr>
            <w:tcW w:w="825" w:type="pct"/>
            <w:tcBorders>
              <w:top w:val="nil"/>
              <w:left w:val="nil"/>
              <w:bottom w:val="single" w:sz="4" w:space="0" w:color="auto"/>
              <w:right w:val="single" w:sz="4" w:space="0" w:color="auto"/>
            </w:tcBorders>
            <w:noWrap/>
            <w:vAlign w:val="bottom"/>
            <w:hideMark/>
          </w:tcPr>
          <w:p w14:paraId="04A40674" w14:textId="77777777" w:rsidR="006C1286" w:rsidRPr="0069266B" w:rsidRDefault="006C1286" w:rsidP="003D2E1F">
            <w:pPr>
              <w:jc w:val="center"/>
              <w:rPr>
                <w:color w:val="212121"/>
                <w:sz w:val="16"/>
                <w:szCs w:val="16"/>
              </w:rPr>
            </w:pPr>
            <w:r w:rsidRPr="0069266B">
              <w:rPr>
                <w:color w:val="212121"/>
                <w:sz w:val="16"/>
                <w:szCs w:val="16"/>
              </w:rPr>
              <w:t>7.69E-08</w:t>
            </w:r>
          </w:p>
        </w:tc>
        <w:tc>
          <w:tcPr>
            <w:tcW w:w="993" w:type="pct"/>
            <w:tcBorders>
              <w:top w:val="nil"/>
              <w:left w:val="nil"/>
              <w:bottom w:val="single" w:sz="4" w:space="0" w:color="auto"/>
              <w:right w:val="single" w:sz="4" w:space="0" w:color="auto"/>
            </w:tcBorders>
            <w:noWrap/>
            <w:vAlign w:val="bottom"/>
            <w:hideMark/>
          </w:tcPr>
          <w:p w14:paraId="23983D66" w14:textId="77777777" w:rsidR="006C1286" w:rsidRPr="0069266B" w:rsidRDefault="006C1286" w:rsidP="003D2E1F">
            <w:pPr>
              <w:jc w:val="center"/>
              <w:rPr>
                <w:color w:val="212121"/>
                <w:sz w:val="16"/>
                <w:szCs w:val="16"/>
              </w:rPr>
            </w:pPr>
            <w:r w:rsidRPr="0069266B">
              <w:rPr>
                <w:color w:val="212121"/>
                <w:sz w:val="16"/>
                <w:szCs w:val="16"/>
              </w:rPr>
              <w:t>7.37E-06</w:t>
            </w:r>
          </w:p>
        </w:tc>
        <w:tc>
          <w:tcPr>
            <w:tcW w:w="935" w:type="pct"/>
            <w:tcBorders>
              <w:top w:val="nil"/>
              <w:left w:val="nil"/>
              <w:bottom w:val="single" w:sz="4" w:space="0" w:color="auto"/>
              <w:right w:val="single" w:sz="4" w:space="0" w:color="auto"/>
            </w:tcBorders>
            <w:noWrap/>
            <w:vAlign w:val="bottom"/>
            <w:hideMark/>
          </w:tcPr>
          <w:p w14:paraId="227840CE" w14:textId="77777777" w:rsidR="006C1286" w:rsidRPr="0069266B" w:rsidRDefault="006C1286" w:rsidP="003D2E1F">
            <w:pPr>
              <w:jc w:val="center"/>
              <w:rPr>
                <w:color w:val="212121"/>
                <w:sz w:val="16"/>
                <w:szCs w:val="16"/>
              </w:rPr>
            </w:pPr>
            <w:r w:rsidRPr="0069266B">
              <w:rPr>
                <w:color w:val="212121"/>
                <w:sz w:val="16"/>
                <w:szCs w:val="16"/>
              </w:rPr>
              <w:t>0.00E+00</w:t>
            </w:r>
          </w:p>
        </w:tc>
      </w:tr>
      <w:tr w:rsidR="006C1286" w:rsidRPr="0069266B" w14:paraId="0E4AF0F2"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0E75FCDC" w14:textId="77777777" w:rsidR="006C1286" w:rsidRPr="0069266B" w:rsidRDefault="006C1286" w:rsidP="003D2E1F">
            <w:pPr>
              <w:rPr>
                <w:color w:val="212121"/>
                <w:sz w:val="16"/>
                <w:szCs w:val="16"/>
              </w:rPr>
            </w:pPr>
            <w:r w:rsidRPr="0069266B">
              <w:rPr>
                <w:color w:val="212121"/>
                <w:sz w:val="16"/>
                <w:szCs w:val="16"/>
              </w:rPr>
              <w:t>Ecotoxicity (CTUe)</w:t>
            </w:r>
          </w:p>
        </w:tc>
        <w:tc>
          <w:tcPr>
            <w:tcW w:w="925" w:type="pct"/>
            <w:tcBorders>
              <w:top w:val="nil"/>
              <w:left w:val="nil"/>
              <w:bottom w:val="single" w:sz="4" w:space="0" w:color="auto"/>
              <w:right w:val="single" w:sz="4" w:space="0" w:color="auto"/>
            </w:tcBorders>
            <w:noWrap/>
            <w:vAlign w:val="bottom"/>
            <w:hideMark/>
          </w:tcPr>
          <w:p w14:paraId="5F724123" w14:textId="77777777" w:rsidR="006C1286" w:rsidRPr="0069266B" w:rsidRDefault="006C1286" w:rsidP="003D2E1F">
            <w:pPr>
              <w:jc w:val="center"/>
              <w:rPr>
                <w:color w:val="212121"/>
                <w:sz w:val="16"/>
                <w:szCs w:val="16"/>
              </w:rPr>
            </w:pPr>
            <w:r w:rsidRPr="0069266B">
              <w:rPr>
                <w:color w:val="212121"/>
                <w:sz w:val="16"/>
                <w:szCs w:val="16"/>
              </w:rPr>
              <w:t>0.203612315</w:t>
            </w:r>
          </w:p>
        </w:tc>
        <w:tc>
          <w:tcPr>
            <w:tcW w:w="825" w:type="pct"/>
            <w:tcBorders>
              <w:top w:val="nil"/>
              <w:left w:val="nil"/>
              <w:bottom w:val="single" w:sz="4" w:space="0" w:color="auto"/>
              <w:right w:val="single" w:sz="4" w:space="0" w:color="auto"/>
            </w:tcBorders>
            <w:noWrap/>
            <w:vAlign w:val="bottom"/>
            <w:hideMark/>
          </w:tcPr>
          <w:p w14:paraId="3D39C4EA" w14:textId="77777777" w:rsidR="006C1286" w:rsidRPr="0069266B" w:rsidRDefault="006C1286" w:rsidP="003D2E1F">
            <w:pPr>
              <w:jc w:val="center"/>
              <w:rPr>
                <w:color w:val="212121"/>
                <w:sz w:val="16"/>
                <w:szCs w:val="16"/>
              </w:rPr>
            </w:pPr>
            <w:r w:rsidRPr="0069266B">
              <w:rPr>
                <w:color w:val="212121"/>
                <w:sz w:val="16"/>
                <w:szCs w:val="16"/>
              </w:rPr>
              <w:t>1.88E+00</w:t>
            </w:r>
          </w:p>
        </w:tc>
        <w:tc>
          <w:tcPr>
            <w:tcW w:w="993" w:type="pct"/>
            <w:tcBorders>
              <w:top w:val="nil"/>
              <w:left w:val="nil"/>
              <w:bottom w:val="single" w:sz="4" w:space="0" w:color="auto"/>
              <w:right w:val="single" w:sz="4" w:space="0" w:color="auto"/>
            </w:tcBorders>
            <w:noWrap/>
            <w:vAlign w:val="bottom"/>
            <w:hideMark/>
          </w:tcPr>
          <w:p w14:paraId="6C441FBE" w14:textId="77777777" w:rsidR="006C1286" w:rsidRPr="0069266B" w:rsidRDefault="006C1286" w:rsidP="003D2E1F">
            <w:pPr>
              <w:jc w:val="center"/>
              <w:rPr>
                <w:color w:val="212121"/>
                <w:sz w:val="16"/>
                <w:szCs w:val="16"/>
              </w:rPr>
            </w:pPr>
            <w:r w:rsidRPr="0069266B">
              <w:rPr>
                <w:color w:val="212121"/>
                <w:sz w:val="16"/>
                <w:szCs w:val="16"/>
              </w:rPr>
              <w:t>7.96E+01</w:t>
            </w:r>
          </w:p>
        </w:tc>
        <w:tc>
          <w:tcPr>
            <w:tcW w:w="935" w:type="pct"/>
            <w:tcBorders>
              <w:top w:val="nil"/>
              <w:left w:val="nil"/>
              <w:bottom w:val="single" w:sz="4" w:space="0" w:color="auto"/>
              <w:right w:val="single" w:sz="4" w:space="0" w:color="auto"/>
            </w:tcBorders>
            <w:noWrap/>
            <w:vAlign w:val="bottom"/>
            <w:hideMark/>
          </w:tcPr>
          <w:p w14:paraId="0C82BAF5" w14:textId="77777777" w:rsidR="006C1286" w:rsidRPr="0069266B" w:rsidRDefault="006C1286" w:rsidP="003D2E1F">
            <w:pPr>
              <w:jc w:val="center"/>
              <w:rPr>
                <w:color w:val="212121"/>
                <w:sz w:val="16"/>
                <w:szCs w:val="16"/>
              </w:rPr>
            </w:pPr>
            <w:r w:rsidRPr="0069266B">
              <w:rPr>
                <w:color w:val="212121"/>
                <w:sz w:val="16"/>
                <w:szCs w:val="16"/>
              </w:rPr>
              <w:t>0.00E+00</w:t>
            </w:r>
          </w:p>
        </w:tc>
      </w:tr>
      <w:tr w:rsidR="006C1286" w:rsidRPr="0069266B" w14:paraId="270158AD"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6C0A2045" w14:textId="77777777" w:rsidR="006C1286" w:rsidRPr="0069266B" w:rsidRDefault="006C1286" w:rsidP="003D2E1F">
            <w:pPr>
              <w:rPr>
                <w:color w:val="212121"/>
                <w:sz w:val="16"/>
                <w:szCs w:val="16"/>
              </w:rPr>
            </w:pPr>
            <w:r w:rsidRPr="0069266B">
              <w:rPr>
                <w:color w:val="212121"/>
                <w:sz w:val="16"/>
                <w:szCs w:val="16"/>
              </w:rPr>
              <w:t>Eutrophication (kg N eq)</w:t>
            </w:r>
          </w:p>
        </w:tc>
        <w:tc>
          <w:tcPr>
            <w:tcW w:w="925" w:type="pct"/>
            <w:tcBorders>
              <w:top w:val="nil"/>
              <w:left w:val="nil"/>
              <w:bottom w:val="single" w:sz="4" w:space="0" w:color="auto"/>
              <w:right w:val="single" w:sz="4" w:space="0" w:color="auto"/>
            </w:tcBorders>
            <w:noWrap/>
            <w:vAlign w:val="bottom"/>
            <w:hideMark/>
          </w:tcPr>
          <w:p w14:paraId="5B84E549" w14:textId="77777777" w:rsidR="006C1286" w:rsidRPr="0069266B" w:rsidRDefault="006C1286" w:rsidP="003D2E1F">
            <w:pPr>
              <w:jc w:val="center"/>
              <w:rPr>
                <w:color w:val="212121"/>
                <w:sz w:val="16"/>
                <w:szCs w:val="16"/>
              </w:rPr>
            </w:pPr>
            <w:r w:rsidRPr="0069266B">
              <w:rPr>
                <w:color w:val="212121"/>
                <w:sz w:val="16"/>
                <w:szCs w:val="16"/>
              </w:rPr>
              <w:t>7.79928E-05</w:t>
            </w:r>
          </w:p>
        </w:tc>
        <w:tc>
          <w:tcPr>
            <w:tcW w:w="825" w:type="pct"/>
            <w:tcBorders>
              <w:top w:val="nil"/>
              <w:left w:val="nil"/>
              <w:bottom w:val="single" w:sz="4" w:space="0" w:color="auto"/>
              <w:right w:val="single" w:sz="4" w:space="0" w:color="auto"/>
            </w:tcBorders>
            <w:noWrap/>
            <w:vAlign w:val="bottom"/>
            <w:hideMark/>
          </w:tcPr>
          <w:p w14:paraId="145D02DB" w14:textId="77777777" w:rsidR="006C1286" w:rsidRPr="0069266B" w:rsidRDefault="006C1286" w:rsidP="003D2E1F">
            <w:pPr>
              <w:jc w:val="center"/>
              <w:rPr>
                <w:color w:val="212121"/>
                <w:sz w:val="16"/>
                <w:szCs w:val="16"/>
              </w:rPr>
            </w:pPr>
            <w:r w:rsidRPr="0069266B">
              <w:rPr>
                <w:color w:val="212121"/>
                <w:sz w:val="16"/>
                <w:szCs w:val="16"/>
              </w:rPr>
              <w:t>4.07E-03</w:t>
            </w:r>
          </w:p>
        </w:tc>
        <w:tc>
          <w:tcPr>
            <w:tcW w:w="993" w:type="pct"/>
            <w:tcBorders>
              <w:top w:val="nil"/>
              <w:left w:val="nil"/>
              <w:bottom w:val="single" w:sz="4" w:space="0" w:color="auto"/>
              <w:right w:val="single" w:sz="4" w:space="0" w:color="auto"/>
            </w:tcBorders>
            <w:noWrap/>
            <w:vAlign w:val="bottom"/>
            <w:hideMark/>
          </w:tcPr>
          <w:p w14:paraId="4F433D29" w14:textId="77777777" w:rsidR="006C1286" w:rsidRPr="0069266B" w:rsidRDefault="006C1286" w:rsidP="003D2E1F">
            <w:pPr>
              <w:jc w:val="center"/>
              <w:rPr>
                <w:color w:val="212121"/>
                <w:sz w:val="16"/>
                <w:szCs w:val="16"/>
              </w:rPr>
            </w:pPr>
            <w:r w:rsidRPr="0069266B">
              <w:rPr>
                <w:color w:val="212121"/>
                <w:sz w:val="16"/>
                <w:szCs w:val="16"/>
              </w:rPr>
              <w:t>2.58E-02</w:t>
            </w:r>
          </w:p>
        </w:tc>
        <w:tc>
          <w:tcPr>
            <w:tcW w:w="935" w:type="pct"/>
            <w:tcBorders>
              <w:top w:val="nil"/>
              <w:left w:val="nil"/>
              <w:bottom w:val="single" w:sz="4" w:space="0" w:color="auto"/>
              <w:right w:val="single" w:sz="4" w:space="0" w:color="auto"/>
            </w:tcBorders>
            <w:noWrap/>
            <w:vAlign w:val="bottom"/>
            <w:hideMark/>
          </w:tcPr>
          <w:p w14:paraId="618E312C" w14:textId="77777777" w:rsidR="006C1286" w:rsidRPr="0069266B" w:rsidRDefault="006C1286" w:rsidP="003D2E1F">
            <w:pPr>
              <w:jc w:val="center"/>
              <w:rPr>
                <w:color w:val="212121"/>
                <w:sz w:val="16"/>
                <w:szCs w:val="16"/>
              </w:rPr>
            </w:pPr>
            <w:r w:rsidRPr="0069266B">
              <w:rPr>
                <w:color w:val="212121"/>
                <w:sz w:val="16"/>
                <w:szCs w:val="16"/>
              </w:rPr>
              <w:t>0.00E+00</w:t>
            </w:r>
          </w:p>
        </w:tc>
      </w:tr>
      <w:tr w:rsidR="006C1286" w:rsidRPr="0069266B" w14:paraId="12D9FA08"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79B3A9B4" w14:textId="77777777" w:rsidR="006C1286" w:rsidRPr="0069266B" w:rsidRDefault="006C1286" w:rsidP="003D2E1F">
            <w:pPr>
              <w:rPr>
                <w:color w:val="212121"/>
                <w:sz w:val="16"/>
                <w:szCs w:val="16"/>
              </w:rPr>
            </w:pPr>
            <w:r w:rsidRPr="0069266B">
              <w:rPr>
                <w:color w:val="212121"/>
                <w:sz w:val="16"/>
                <w:szCs w:val="16"/>
              </w:rPr>
              <w:t>Fossil fuel depletion (MJ surplus)</w:t>
            </w:r>
          </w:p>
        </w:tc>
        <w:tc>
          <w:tcPr>
            <w:tcW w:w="925" w:type="pct"/>
            <w:tcBorders>
              <w:top w:val="nil"/>
              <w:left w:val="nil"/>
              <w:bottom w:val="single" w:sz="4" w:space="0" w:color="auto"/>
              <w:right w:val="single" w:sz="4" w:space="0" w:color="auto"/>
            </w:tcBorders>
            <w:noWrap/>
            <w:vAlign w:val="bottom"/>
            <w:hideMark/>
          </w:tcPr>
          <w:p w14:paraId="7C825BD1" w14:textId="77777777" w:rsidR="006C1286" w:rsidRPr="0069266B" w:rsidRDefault="006C1286" w:rsidP="003D2E1F">
            <w:pPr>
              <w:jc w:val="center"/>
              <w:rPr>
                <w:color w:val="212121"/>
                <w:sz w:val="16"/>
                <w:szCs w:val="16"/>
              </w:rPr>
            </w:pPr>
            <w:r w:rsidRPr="0069266B">
              <w:rPr>
                <w:color w:val="212121"/>
                <w:sz w:val="16"/>
                <w:szCs w:val="16"/>
              </w:rPr>
              <w:t>0.242629418</w:t>
            </w:r>
          </w:p>
        </w:tc>
        <w:tc>
          <w:tcPr>
            <w:tcW w:w="825" w:type="pct"/>
            <w:tcBorders>
              <w:top w:val="nil"/>
              <w:left w:val="nil"/>
              <w:bottom w:val="single" w:sz="4" w:space="0" w:color="auto"/>
              <w:right w:val="single" w:sz="4" w:space="0" w:color="auto"/>
            </w:tcBorders>
            <w:noWrap/>
            <w:vAlign w:val="bottom"/>
            <w:hideMark/>
          </w:tcPr>
          <w:p w14:paraId="300963AD" w14:textId="77777777" w:rsidR="006C1286" w:rsidRPr="0069266B" w:rsidRDefault="006C1286" w:rsidP="003D2E1F">
            <w:pPr>
              <w:jc w:val="center"/>
              <w:rPr>
                <w:color w:val="212121"/>
                <w:sz w:val="16"/>
                <w:szCs w:val="16"/>
              </w:rPr>
            </w:pPr>
            <w:r w:rsidRPr="0069266B">
              <w:rPr>
                <w:color w:val="212121"/>
                <w:sz w:val="16"/>
                <w:szCs w:val="16"/>
              </w:rPr>
              <w:t>1.21E+01</w:t>
            </w:r>
          </w:p>
        </w:tc>
        <w:tc>
          <w:tcPr>
            <w:tcW w:w="993" w:type="pct"/>
            <w:tcBorders>
              <w:top w:val="nil"/>
              <w:left w:val="nil"/>
              <w:bottom w:val="single" w:sz="4" w:space="0" w:color="auto"/>
              <w:right w:val="single" w:sz="4" w:space="0" w:color="auto"/>
            </w:tcBorders>
            <w:noWrap/>
            <w:vAlign w:val="bottom"/>
            <w:hideMark/>
          </w:tcPr>
          <w:p w14:paraId="7341BC56" w14:textId="77777777" w:rsidR="006C1286" w:rsidRPr="0069266B" w:rsidRDefault="006C1286" w:rsidP="003D2E1F">
            <w:pPr>
              <w:jc w:val="center"/>
              <w:rPr>
                <w:color w:val="212121"/>
                <w:sz w:val="16"/>
                <w:szCs w:val="16"/>
              </w:rPr>
            </w:pPr>
            <w:r w:rsidRPr="0069266B">
              <w:rPr>
                <w:color w:val="212121"/>
                <w:sz w:val="16"/>
                <w:szCs w:val="16"/>
              </w:rPr>
              <w:t>2.22E+02</w:t>
            </w:r>
          </w:p>
        </w:tc>
        <w:tc>
          <w:tcPr>
            <w:tcW w:w="935" w:type="pct"/>
            <w:tcBorders>
              <w:top w:val="nil"/>
              <w:left w:val="nil"/>
              <w:bottom w:val="single" w:sz="4" w:space="0" w:color="auto"/>
              <w:right w:val="single" w:sz="4" w:space="0" w:color="auto"/>
            </w:tcBorders>
            <w:noWrap/>
            <w:vAlign w:val="bottom"/>
            <w:hideMark/>
          </w:tcPr>
          <w:p w14:paraId="3BE31CF0" w14:textId="77777777" w:rsidR="006C1286" w:rsidRPr="0069266B" w:rsidRDefault="006C1286" w:rsidP="003D2E1F">
            <w:pPr>
              <w:jc w:val="center"/>
              <w:rPr>
                <w:color w:val="212121"/>
                <w:sz w:val="16"/>
                <w:szCs w:val="16"/>
              </w:rPr>
            </w:pPr>
            <w:r w:rsidRPr="0069266B">
              <w:rPr>
                <w:color w:val="212121"/>
                <w:sz w:val="16"/>
                <w:szCs w:val="16"/>
              </w:rPr>
              <w:t>0.00E+00</w:t>
            </w:r>
          </w:p>
        </w:tc>
      </w:tr>
      <w:tr w:rsidR="006C1286" w:rsidRPr="0069266B" w14:paraId="6E1767C0"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4F59CC63" w14:textId="77777777" w:rsidR="006C1286" w:rsidRPr="0069266B" w:rsidRDefault="006C1286" w:rsidP="003D2E1F">
            <w:pPr>
              <w:rPr>
                <w:color w:val="212121"/>
                <w:sz w:val="16"/>
                <w:szCs w:val="16"/>
              </w:rPr>
            </w:pPr>
            <w:r w:rsidRPr="0069266B">
              <w:rPr>
                <w:color w:val="212121"/>
                <w:sz w:val="16"/>
                <w:szCs w:val="16"/>
              </w:rPr>
              <w:t>Global warming (kg CO2 eq)</w:t>
            </w:r>
          </w:p>
        </w:tc>
        <w:tc>
          <w:tcPr>
            <w:tcW w:w="925" w:type="pct"/>
            <w:tcBorders>
              <w:top w:val="nil"/>
              <w:left w:val="nil"/>
              <w:bottom w:val="single" w:sz="4" w:space="0" w:color="auto"/>
              <w:right w:val="single" w:sz="4" w:space="0" w:color="auto"/>
            </w:tcBorders>
            <w:noWrap/>
            <w:vAlign w:val="bottom"/>
            <w:hideMark/>
          </w:tcPr>
          <w:p w14:paraId="4302D6BE" w14:textId="77777777" w:rsidR="006C1286" w:rsidRPr="0069266B" w:rsidRDefault="006C1286" w:rsidP="003D2E1F">
            <w:pPr>
              <w:jc w:val="center"/>
              <w:rPr>
                <w:color w:val="212121"/>
                <w:sz w:val="16"/>
                <w:szCs w:val="16"/>
              </w:rPr>
            </w:pPr>
            <w:r w:rsidRPr="0069266B">
              <w:rPr>
                <w:color w:val="212121"/>
                <w:sz w:val="16"/>
                <w:szCs w:val="16"/>
              </w:rPr>
              <w:t>0.271538198</w:t>
            </w:r>
          </w:p>
        </w:tc>
        <w:tc>
          <w:tcPr>
            <w:tcW w:w="825" w:type="pct"/>
            <w:tcBorders>
              <w:top w:val="nil"/>
              <w:left w:val="nil"/>
              <w:bottom w:val="single" w:sz="4" w:space="0" w:color="auto"/>
              <w:right w:val="single" w:sz="4" w:space="0" w:color="auto"/>
            </w:tcBorders>
            <w:noWrap/>
            <w:vAlign w:val="bottom"/>
            <w:hideMark/>
          </w:tcPr>
          <w:p w14:paraId="5EF51CA0" w14:textId="77777777" w:rsidR="006C1286" w:rsidRPr="0069266B" w:rsidRDefault="006C1286" w:rsidP="003D2E1F">
            <w:pPr>
              <w:jc w:val="center"/>
              <w:rPr>
                <w:color w:val="212121"/>
                <w:sz w:val="16"/>
                <w:szCs w:val="16"/>
              </w:rPr>
            </w:pPr>
            <w:r w:rsidRPr="0069266B">
              <w:rPr>
                <w:color w:val="212121"/>
                <w:sz w:val="16"/>
                <w:szCs w:val="16"/>
              </w:rPr>
              <w:t>2.21E+01</w:t>
            </w:r>
          </w:p>
        </w:tc>
        <w:tc>
          <w:tcPr>
            <w:tcW w:w="993" w:type="pct"/>
            <w:tcBorders>
              <w:top w:val="nil"/>
              <w:left w:val="nil"/>
              <w:bottom w:val="single" w:sz="4" w:space="0" w:color="auto"/>
              <w:right w:val="single" w:sz="4" w:space="0" w:color="auto"/>
            </w:tcBorders>
            <w:noWrap/>
            <w:vAlign w:val="bottom"/>
            <w:hideMark/>
          </w:tcPr>
          <w:p w14:paraId="7C580BA6" w14:textId="77777777" w:rsidR="006C1286" w:rsidRPr="0069266B" w:rsidRDefault="006C1286" w:rsidP="003D2E1F">
            <w:pPr>
              <w:jc w:val="center"/>
              <w:rPr>
                <w:color w:val="212121"/>
                <w:sz w:val="16"/>
                <w:szCs w:val="16"/>
              </w:rPr>
            </w:pPr>
            <w:r w:rsidRPr="0069266B">
              <w:rPr>
                <w:color w:val="212121"/>
                <w:sz w:val="16"/>
                <w:szCs w:val="16"/>
              </w:rPr>
              <w:t>1.54E+02</w:t>
            </w:r>
          </w:p>
        </w:tc>
        <w:tc>
          <w:tcPr>
            <w:tcW w:w="935" w:type="pct"/>
            <w:tcBorders>
              <w:top w:val="nil"/>
              <w:left w:val="nil"/>
              <w:bottom w:val="single" w:sz="4" w:space="0" w:color="auto"/>
              <w:right w:val="single" w:sz="4" w:space="0" w:color="auto"/>
            </w:tcBorders>
            <w:noWrap/>
            <w:vAlign w:val="bottom"/>
            <w:hideMark/>
          </w:tcPr>
          <w:p w14:paraId="58C3E43A" w14:textId="77777777" w:rsidR="006C1286" w:rsidRPr="0069266B" w:rsidRDefault="006C1286" w:rsidP="003D2E1F">
            <w:pPr>
              <w:jc w:val="center"/>
              <w:rPr>
                <w:color w:val="212121"/>
                <w:sz w:val="16"/>
                <w:szCs w:val="16"/>
              </w:rPr>
            </w:pPr>
            <w:r w:rsidRPr="0069266B">
              <w:rPr>
                <w:color w:val="212121"/>
                <w:sz w:val="16"/>
                <w:szCs w:val="16"/>
              </w:rPr>
              <w:t>-1.23E+01</w:t>
            </w:r>
          </w:p>
        </w:tc>
      </w:tr>
      <w:tr w:rsidR="006C1286" w:rsidRPr="0069266B" w14:paraId="1FD62F3A"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12F4130F" w14:textId="77777777" w:rsidR="006C1286" w:rsidRPr="0069266B" w:rsidRDefault="006C1286" w:rsidP="003D2E1F">
            <w:pPr>
              <w:rPr>
                <w:color w:val="212121"/>
                <w:sz w:val="16"/>
                <w:szCs w:val="16"/>
              </w:rPr>
            </w:pPr>
            <w:r w:rsidRPr="0069266B">
              <w:rPr>
                <w:color w:val="212121"/>
                <w:sz w:val="16"/>
                <w:szCs w:val="16"/>
              </w:rPr>
              <w:t>Non carcinogenics (CTUh)</w:t>
            </w:r>
          </w:p>
        </w:tc>
        <w:tc>
          <w:tcPr>
            <w:tcW w:w="925" w:type="pct"/>
            <w:tcBorders>
              <w:top w:val="nil"/>
              <w:left w:val="nil"/>
              <w:bottom w:val="single" w:sz="4" w:space="0" w:color="auto"/>
              <w:right w:val="single" w:sz="4" w:space="0" w:color="auto"/>
            </w:tcBorders>
            <w:noWrap/>
            <w:vAlign w:val="bottom"/>
            <w:hideMark/>
          </w:tcPr>
          <w:p w14:paraId="388BE5EA" w14:textId="77777777" w:rsidR="006C1286" w:rsidRPr="0069266B" w:rsidRDefault="006C1286" w:rsidP="003D2E1F">
            <w:pPr>
              <w:jc w:val="center"/>
              <w:rPr>
                <w:color w:val="212121"/>
                <w:sz w:val="16"/>
                <w:szCs w:val="16"/>
              </w:rPr>
            </w:pPr>
            <w:r w:rsidRPr="0069266B">
              <w:rPr>
                <w:color w:val="212121"/>
                <w:sz w:val="16"/>
                <w:szCs w:val="16"/>
              </w:rPr>
              <w:t>1.86262E-08</w:t>
            </w:r>
          </w:p>
        </w:tc>
        <w:tc>
          <w:tcPr>
            <w:tcW w:w="825" w:type="pct"/>
            <w:tcBorders>
              <w:top w:val="nil"/>
              <w:left w:val="nil"/>
              <w:bottom w:val="single" w:sz="4" w:space="0" w:color="auto"/>
              <w:right w:val="single" w:sz="4" w:space="0" w:color="auto"/>
            </w:tcBorders>
            <w:noWrap/>
            <w:vAlign w:val="bottom"/>
            <w:hideMark/>
          </w:tcPr>
          <w:p w14:paraId="6A001613" w14:textId="77777777" w:rsidR="006C1286" w:rsidRPr="0069266B" w:rsidRDefault="006C1286" w:rsidP="003D2E1F">
            <w:pPr>
              <w:jc w:val="center"/>
              <w:rPr>
                <w:color w:val="212121"/>
                <w:sz w:val="16"/>
                <w:szCs w:val="16"/>
              </w:rPr>
            </w:pPr>
            <w:r w:rsidRPr="0069266B">
              <w:rPr>
                <w:color w:val="212121"/>
                <w:sz w:val="16"/>
                <w:szCs w:val="16"/>
              </w:rPr>
              <w:t>2.16E-06</w:t>
            </w:r>
          </w:p>
        </w:tc>
        <w:tc>
          <w:tcPr>
            <w:tcW w:w="993" w:type="pct"/>
            <w:tcBorders>
              <w:top w:val="nil"/>
              <w:left w:val="nil"/>
              <w:bottom w:val="single" w:sz="4" w:space="0" w:color="auto"/>
              <w:right w:val="single" w:sz="4" w:space="0" w:color="auto"/>
            </w:tcBorders>
            <w:noWrap/>
            <w:vAlign w:val="bottom"/>
            <w:hideMark/>
          </w:tcPr>
          <w:p w14:paraId="205BCF77" w14:textId="77777777" w:rsidR="006C1286" w:rsidRPr="0069266B" w:rsidRDefault="006C1286" w:rsidP="003D2E1F">
            <w:pPr>
              <w:jc w:val="center"/>
              <w:rPr>
                <w:color w:val="212121"/>
                <w:sz w:val="16"/>
                <w:szCs w:val="16"/>
              </w:rPr>
            </w:pPr>
            <w:r w:rsidRPr="0069266B">
              <w:rPr>
                <w:color w:val="212121"/>
                <w:sz w:val="16"/>
                <w:szCs w:val="16"/>
              </w:rPr>
              <w:t>7.12E-06</w:t>
            </w:r>
          </w:p>
        </w:tc>
        <w:tc>
          <w:tcPr>
            <w:tcW w:w="935" w:type="pct"/>
            <w:tcBorders>
              <w:top w:val="nil"/>
              <w:left w:val="nil"/>
              <w:bottom w:val="single" w:sz="4" w:space="0" w:color="auto"/>
              <w:right w:val="single" w:sz="4" w:space="0" w:color="auto"/>
            </w:tcBorders>
            <w:noWrap/>
            <w:vAlign w:val="bottom"/>
            <w:hideMark/>
          </w:tcPr>
          <w:p w14:paraId="7D32C5AB" w14:textId="77777777" w:rsidR="006C1286" w:rsidRPr="0069266B" w:rsidRDefault="006C1286" w:rsidP="003D2E1F">
            <w:pPr>
              <w:jc w:val="center"/>
              <w:rPr>
                <w:color w:val="212121"/>
                <w:sz w:val="16"/>
                <w:szCs w:val="16"/>
              </w:rPr>
            </w:pPr>
            <w:r w:rsidRPr="0069266B">
              <w:rPr>
                <w:color w:val="212121"/>
                <w:sz w:val="16"/>
                <w:szCs w:val="16"/>
              </w:rPr>
              <w:t>0.00E+00</w:t>
            </w:r>
          </w:p>
        </w:tc>
      </w:tr>
      <w:tr w:rsidR="006C1286" w:rsidRPr="0069266B" w14:paraId="661187EE"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76DE9284" w14:textId="77777777" w:rsidR="006C1286" w:rsidRPr="0069266B" w:rsidRDefault="006C1286" w:rsidP="003D2E1F">
            <w:pPr>
              <w:rPr>
                <w:color w:val="212121"/>
                <w:sz w:val="16"/>
                <w:szCs w:val="16"/>
              </w:rPr>
            </w:pPr>
            <w:r w:rsidRPr="0069266B">
              <w:rPr>
                <w:color w:val="212121"/>
                <w:sz w:val="16"/>
                <w:szCs w:val="16"/>
              </w:rPr>
              <w:t>Ozone depletion (kg CFC-11 eq)</w:t>
            </w:r>
          </w:p>
        </w:tc>
        <w:tc>
          <w:tcPr>
            <w:tcW w:w="925" w:type="pct"/>
            <w:tcBorders>
              <w:top w:val="nil"/>
              <w:left w:val="nil"/>
              <w:bottom w:val="single" w:sz="4" w:space="0" w:color="auto"/>
              <w:right w:val="single" w:sz="4" w:space="0" w:color="auto"/>
            </w:tcBorders>
            <w:noWrap/>
            <w:vAlign w:val="bottom"/>
            <w:hideMark/>
          </w:tcPr>
          <w:p w14:paraId="53A7D8F9" w14:textId="77777777" w:rsidR="006C1286" w:rsidRPr="0069266B" w:rsidRDefault="006C1286" w:rsidP="003D2E1F">
            <w:pPr>
              <w:jc w:val="center"/>
              <w:rPr>
                <w:color w:val="212121"/>
                <w:sz w:val="16"/>
                <w:szCs w:val="16"/>
              </w:rPr>
            </w:pPr>
            <w:r w:rsidRPr="0069266B">
              <w:rPr>
                <w:color w:val="212121"/>
                <w:sz w:val="16"/>
                <w:szCs w:val="16"/>
              </w:rPr>
              <w:t>7.94464E-12</w:t>
            </w:r>
          </w:p>
        </w:tc>
        <w:tc>
          <w:tcPr>
            <w:tcW w:w="825" w:type="pct"/>
            <w:tcBorders>
              <w:top w:val="nil"/>
              <w:left w:val="nil"/>
              <w:bottom w:val="single" w:sz="4" w:space="0" w:color="auto"/>
              <w:right w:val="single" w:sz="4" w:space="0" w:color="auto"/>
            </w:tcBorders>
            <w:noWrap/>
            <w:vAlign w:val="bottom"/>
            <w:hideMark/>
          </w:tcPr>
          <w:p w14:paraId="693BAE6F" w14:textId="77777777" w:rsidR="006C1286" w:rsidRPr="0069266B" w:rsidRDefault="006C1286" w:rsidP="003D2E1F">
            <w:pPr>
              <w:jc w:val="center"/>
              <w:rPr>
                <w:color w:val="212121"/>
                <w:sz w:val="16"/>
                <w:szCs w:val="16"/>
              </w:rPr>
            </w:pPr>
            <w:r w:rsidRPr="0069266B">
              <w:rPr>
                <w:color w:val="212121"/>
                <w:sz w:val="16"/>
                <w:szCs w:val="16"/>
              </w:rPr>
              <w:t>9.63E-07</w:t>
            </w:r>
          </w:p>
        </w:tc>
        <w:tc>
          <w:tcPr>
            <w:tcW w:w="993" w:type="pct"/>
            <w:tcBorders>
              <w:top w:val="nil"/>
              <w:left w:val="nil"/>
              <w:bottom w:val="single" w:sz="4" w:space="0" w:color="auto"/>
              <w:right w:val="single" w:sz="4" w:space="0" w:color="auto"/>
            </w:tcBorders>
            <w:noWrap/>
            <w:vAlign w:val="bottom"/>
            <w:hideMark/>
          </w:tcPr>
          <w:p w14:paraId="319FBA55" w14:textId="77777777" w:rsidR="006C1286" w:rsidRPr="0069266B" w:rsidRDefault="006C1286" w:rsidP="003D2E1F">
            <w:pPr>
              <w:jc w:val="center"/>
              <w:rPr>
                <w:color w:val="212121"/>
                <w:sz w:val="16"/>
                <w:szCs w:val="16"/>
              </w:rPr>
            </w:pPr>
            <w:r w:rsidRPr="0069266B">
              <w:rPr>
                <w:color w:val="212121"/>
                <w:sz w:val="16"/>
                <w:szCs w:val="16"/>
              </w:rPr>
              <w:t>1.09E-05</w:t>
            </w:r>
          </w:p>
        </w:tc>
        <w:tc>
          <w:tcPr>
            <w:tcW w:w="935" w:type="pct"/>
            <w:tcBorders>
              <w:top w:val="nil"/>
              <w:left w:val="nil"/>
              <w:bottom w:val="single" w:sz="4" w:space="0" w:color="auto"/>
              <w:right w:val="single" w:sz="4" w:space="0" w:color="auto"/>
            </w:tcBorders>
            <w:noWrap/>
            <w:vAlign w:val="bottom"/>
            <w:hideMark/>
          </w:tcPr>
          <w:p w14:paraId="57BC18D5" w14:textId="77777777" w:rsidR="006C1286" w:rsidRPr="0069266B" w:rsidRDefault="006C1286" w:rsidP="003D2E1F">
            <w:pPr>
              <w:jc w:val="center"/>
              <w:rPr>
                <w:color w:val="212121"/>
                <w:sz w:val="16"/>
                <w:szCs w:val="16"/>
              </w:rPr>
            </w:pPr>
            <w:r w:rsidRPr="0069266B">
              <w:rPr>
                <w:color w:val="212121"/>
                <w:sz w:val="16"/>
                <w:szCs w:val="16"/>
              </w:rPr>
              <w:t>0.00E+00</w:t>
            </w:r>
          </w:p>
        </w:tc>
      </w:tr>
      <w:tr w:rsidR="006C1286" w:rsidRPr="0069266B" w14:paraId="49AE54F3"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4998AC86" w14:textId="77777777" w:rsidR="006C1286" w:rsidRPr="0069266B" w:rsidRDefault="006C1286" w:rsidP="003D2E1F">
            <w:pPr>
              <w:rPr>
                <w:color w:val="212121"/>
                <w:sz w:val="16"/>
                <w:szCs w:val="16"/>
              </w:rPr>
            </w:pPr>
            <w:r w:rsidRPr="0069266B">
              <w:rPr>
                <w:color w:val="212121"/>
                <w:sz w:val="16"/>
                <w:szCs w:val="16"/>
              </w:rPr>
              <w:t>Respiratory effects (kg PM2.5 eq)</w:t>
            </w:r>
          </w:p>
        </w:tc>
        <w:tc>
          <w:tcPr>
            <w:tcW w:w="925" w:type="pct"/>
            <w:tcBorders>
              <w:top w:val="nil"/>
              <w:left w:val="nil"/>
              <w:bottom w:val="single" w:sz="4" w:space="0" w:color="auto"/>
              <w:right w:val="single" w:sz="4" w:space="0" w:color="auto"/>
            </w:tcBorders>
            <w:noWrap/>
            <w:vAlign w:val="bottom"/>
            <w:hideMark/>
          </w:tcPr>
          <w:p w14:paraId="011F5C36" w14:textId="77777777" w:rsidR="006C1286" w:rsidRPr="0069266B" w:rsidRDefault="006C1286" w:rsidP="003D2E1F">
            <w:pPr>
              <w:jc w:val="center"/>
              <w:rPr>
                <w:color w:val="212121"/>
                <w:sz w:val="16"/>
                <w:szCs w:val="16"/>
              </w:rPr>
            </w:pPr>
            <w:r w:rsidRPr="0069266B">
              <w:rPr>
                <w:color w:val="212121"/>
                <w:sz w:val="16"/>
                <w:szCs w:val="16"/>
              </w:rPr>
              <w:t>7.7316E-05</w:t>
            </w:r>
          </w:p>
        </w:tc>
        <w:tc>
          <w:tcPr>
            <w:tcW w:w="825" w:type="pct"/>
            <w:tcBorders>
              <w:top w:val="nil"/>
              <w:left w:val="nil"/>
              <w:bottom w:val="single" w:sz="4" w:space="0" w:color="auto"/>
              <w:right w:val="single" w:sz="4" w:space="0" w:color="auto"/>
            </w:tcBorders>
            <w:noWrap/>
            <w:vAlign w:val="bottom"/>
            <w:hideMark/>
          </w:tcPr>
          <w:p w14:paraId="2B213AB1" w14:textId="77777777" w:rsidR="006C1286" w:rsidRPr="0069266B" w:rsidRDefault="006C1286" w:rsidP="003D2E1F">
            <w:pPr>
              <w:jc w:val="center"/>
              <w:rPr>
                <w:color w:val="212121"/>
                <w:sz w:val="16"/>
                <w:szCs w:val="16"/>
              </w:rPr>
            </w:pPr>
            <w:r w:rsidRPr="0069266B">
              <w:rPr>
                <w:color w:val="212121"/>
                <w:sz w:val="16"/>
                <w:szCs w:val="16"/>
              </w:rPr>
              <w:t>8.00E-03</w:t>
            </w:r>
          </w:p>
        </w:tc>
        <w:tc>
          <w:tcPr>
            <w:tcW w:w="993" w:type="pct"/>
            <w:tcBorders>
              <w:top w:val="nil"/>
              <w:left w:val="nil"/>
              <w:bottom w:val="single" w:sz="4" w:space="0" w:color="auto"/>
              <w:right w:val="single" w:sz="4" w:space="0" w:color="auto"/>
            </w:tcBorders>
            <w:noWrap/>
            <w:vAlign w:val="bottom"/>
            <w:hideMark/>
          </w:tcPr>
          <w:p w14:paraId="34D55F2F" w14:textId="77777777" w:rsidR="006C1286" w:rsidRPr="0069266B" w:rsidRDefault="006C1286" w:rsidP="003D2E1F">
            <w:pPr>
              <w:jc w:val="center"/>
              <w:rPr>
                <w:color w:val="212121"/>
                <w:sz w:val="16"/>
                <w:szCs w:val="16"/>
              </w:rPr>
            </w:pPr>
            <w:r w:rsidRPr="0069266B">
              <w:rPr>
                <w:color w:val="212121"/>
                <w:sz w:val="16"/>
                <w:szCs w:val="16"/>
              </w:rPr>
              <w:t>4.06E-02</w:t>
            </w:r>
          </w:p>
        </w:tc>
        <w:tc>
          <w:tcPr>
            <w:tcW w:w="935" w:type="pct"/>
            <w:tcBorders>
              <w:top w:val="nil"/>
              <w:left w:val="nil"/>
              <w:bottom w:val="single" w:sz="4" w:space="0" w:color="auto"/>
              <w:right w:val="single" w:sz="4" w:space="0" w:color="auto"/>
            </w:tcBorders>
            <w:noWrap/>
            <w:vAlign w:val="bottom"/>
            <w:hideMark/>
          </w:tcPr>
          <w:p w14:paraId="78B16CF8" w14:textId="77777777" w:rsidR="006C1286" w:rsidRPr="0069266B" w:rsidRDefault="006C1286" w:rsidP="003D2E1F">
            <w:pPr>
              <w:jc w:val="center"/>
              <w:rPr>
                <w:color w:val="212121"/>
                <w:sz w:val="16"/>
                <w:szCs w:val="16"/>
              </w:rPr>
            </w:pPr>
            <w:r w:rsidRPr="0069266B">
              <w:rPr>
                <w:color w:val="212121"/>
                <w:sz w:val="16"/>
                <w:szCs w:val="16"/>
              </w:rPr>
              <w:t>-7.47E-03</w:t>
            </w:r>
          </w:p>
        </w:tc>
      </w:tr>
      <w:tr w:rsidR="006C1286" w:rsidRPr="0069266B" w14:paraId="1D64235E" w14:textId="77777777" w:rsidTr="003D2E1F">
        <w:trPr>
          <w:trHeight w:val="320"/>
        </w:trPr>
        <w:tc>
          <w:tcPr>
            <w:tcW w:w="1322" w:type="pct"/>
            <w:tcBorders>
              <w:top w:val="nil"/>
              <w:left w:val="single" w:sz="4" w:space="0" w:color="auto"/>
              <w:bottom w:val="single" w:sz="4" w:space="0" w:color="auto"/>
              <w:right w:val="single" w:sz="4" w:space="0" w:color="auto"/>
            </w:tcBorders>
            <w:noWrap/>
            <w:vAlign w:val="bottom"/>
            <w:hideMark/>
          </w:tcPr>
          <w:p w14:paraId="3FFDD142" w14:textId="77777777" w:rsidR="006C1286" w:rsidRPr="0069266B" w:rsidRDefault="006C1286" w:rsidP="003D2E1F">
            <w:pPr>
              <w:rPr>
                <w:color w:val="212121"/>
                <w:sz w:val="16"/>
                <w:szCs w:val="16"/>
              </w:rPr>
            </w:pPr>
            <w:r w:rsidRPr="0069266B">
              <w:rPr>
                <w:color w:val="212121"/>
                <w:sz w:val="16"/>
                <w:szCs w:val="16"/>
              </w:rPr>
              <w:t>Smog (kg O3 eq)</w:t>
            </w:r>
          </w:p>
        </w:tc>
        <w:tc>
          <w:tcPr>
            <w:tcW w:w="925" w:type="pct"/>
            <w:tcBorders>
              <w:top w:val="nil"/>
              <w:left w:val="nil"/>
              <w:bottom w:val="single" w:sz="4" w:space="0" w:color="auto"/>
              <w:right w:val="single" w:sz="4" w:space="0" w:color="auto"/>
            </w:tcBorders>
            <w:noWrap/>
            <w:vAlign w:val="bottom"/>
            <w:hideMark/>
          </w:tcPr>
          <w:p w14:paraId="0751A8CC" w14:textId="77777777" w:rsidR="006C1286" w:rsidRPr="0069266B" w:rsidRDefault="006C1286" w:rsidP="003D2E1F">
            <w:pPr>
              <w:jc w:val="center"/>
              <w:rPr>
                <w:color w:val="212121"/>
                <w:sz w:val="16"/>
                <w:szCs w:val="16"/>
              </w:rPr>
            </w:pPr>
            <w:r w:rsidRPr="0069266B">
              <w:rPr>
                <w:color w:val="212121"/>
                <w:sz w:val="16"/>
                <w:szCs w:val="16"/>
              </w:rPr>
              <w:t>0.008326249</w:t>
            </w:r>
          </w:p>
        </w:tc>
        <w:tc>
          <w:tcPr>
            <w:tcW w:w="825" w:type="pct"/>
            <w:tcBorders>
              <w:top w:val="nil"/>
              <w:left w:val="nil"/>
              <w:bottom w:val="single" w:sz="4" w:space="0" w:color="auto"/>
              <w:right w:val="single" w:sz="4" w:space="0" w:color="auto"/>
            </w:tcBorders>
            <w:noWrap/>
            <w:vAlign w:val="bottom"/>
            <w:hideMark/>
          </w:tcPr>
          <w:p w14:paraId="62C54916" w14:textId="77777777" w:rsidR="006C1286" w:rsidRPr="0069266B" w:rsidRDefault="006C1286" w:rsidP="003D2E1F">
            <w:pPr>
              <w:jc w:val="center"/>
              <w:rPr>
                <w:color w:val="212121"/>
                <w:sz w:val="16"/>
                <w:szCs w:val="16"/>
              </w:rPr>
            </w:pPr>
            <w:r w:rsidRPr="0069266B">
              <w:rPr>
                <w:color w:val="212121"/>
                <w:sz w:val="16"/>
                <w:szCs w:val="16"/>
              </w:rPr>
              <w:t>6.56E-01</w:t>
            </w:r>
          </w:p>
        </w:tc>
        <w:tc>
          <w:tcPr>
            <w:tcW w:w="993" w:type="pct"/>
            <w:tcBorders>
              <w:top w:val="nil"/>
              <w:left w:val="nil"/>
              <w:bottom w:val="single" w:sz="4" w:space="0" w:color="auto"/>
              <w:right w:val="single" w:sz="4" w:space="0" w:color="auto"/>
            </w:tcBorders>
            <w:noWrap/>
            <w:vAlign w:val="bottom"/>
            <w:hideMark/>
          </w:tcPr>
          <w:p w14:paraId="4591CCEC" w14:textId="77777777" w:rsidR="006C1286" w:rsidRPr="0069266B" w:rsidRDefault="006C1286" w:rsidP="003D2E1F">
            <w:pPr>
              <w:jc w:val="center"/>
              <w:rPr>
                <w:color w:val="212121"/>
                <w:sz w:val="16"/>
                <w:szCs w:val="16"/>
              </w:rPr>
            </w:pPr>
            <w:r w:rsidRPr="0069266B">
              <w:rPr>
                <w:color w:val="212121"/>
                <w:sz w:val="16"/>
                <w:szCs w:val="16"/>
              </w:rPr>
              <w:t>3.60E+00</w:t>
            </w:r>
          </w:p>
        </w:tc>
        <w:tc>
          <w:tcPr>
            <w:tcW w:w="935" w:type="pct"/>
            <w:tcBorders>
              <w:top w:val="nil"/>
              <w:left w:val="nil"/>
              <w:bottom w:val="single" w:sz="4" w:space="0" w:color="auto"/>
              <w:right w:val="single" w:sz="4" w:space="0" w:color="auto"/>
            </w:tcBorders>
            <w:noWrap/>
            <w:vAlign w:val="bottom"/>
            <w:hideMark/>
          </w:tcPr>
          <w:p w14:paraId="056F6436" w14:textId="77777777" w:rsidR="006C1286" w:rsidRPr="0069266B" w:rsidRDefault="006C1286" w:rsidP="003D2E1F">
            <w:pPr>
              <w:jc w:val="center"/>
              <w:rPr>
                <w:color w:val="212121"/>
                <w:sz w:val="16"/>
                <w:szCs w:val="16"/>
              </w:rPr>
            </w:pPr>
            <w:r w:rsidRPr="0069266B">
              <w:rPr>
                <w:color w:val="212121"/>
                <w:sz w:val="16"/>
                <w:szCs w:val="16"/>
              </w:rPr>
              <w:t>0.00E+00</w:t>
            </w:r>
          </w:p>
        </w:tc>
      </w:tr>
    </w:tbl>
    <w:p w14:paraId="433CA2FE" w14:textId="77777777" w:rsidR="006C1286" w:rsidRDefault="006C1286" w:rsidP="006C1286">
      <w:pPr>
        <w:rPr>
          <w:b/>
          <w:bCs/>
        </w:rPr>
      </w:pPr>
    </w:p>
    <w:p w14:paraId="0845BCFF" w14:textId="77777777" w:rsidR="006C1286" w:rsidRPr="00F97918" w:rsidRDefault="006C1286" w:rsidP="006C1286">
      <w:pPr>
        <w:jc w:val="both"/>
        <w:rPr>
          <w:b/>
          <w:bCs/>
        </w:rPr>
      </w:pPr>
      <w:r w:rsidRPr="00F97918">
        <w:rPr>
          <w:b/>
          <w:bCs/>
        </w:rPr>
        <w:t xml:space="preserve">Table 4. Set </w:t>
      </w:r>
      <w:proofErr w:type="spellStart"/>
      <w:r w:rsidRPr="00F97918">
        <w:rPr>
          <w:b/>
          <w:bCs/>
        </w:rPr>
        <w:t>od</w:t>
      </w:r>
      <w:proofErr w:type="spellEnd"/>
      <w:r w:rsidRPr="00F97918">
        <w:rPr>
          <w:b/>
          <w:bCs/>
        </w:rPr>
        <w:t xml:space="preserve"> non-parametric/descriptive statistics from each group of one hundred samples from Monte Carlo simulations considering the global warming category of 1 kg of hydrogen produced via Gasification and Electrolysis processes; comparing 3 electrical sources of energy, from hydropower, wind and grid mix in kg.CO</w:t>
      </w:r>
      <w:r w:rsidRPr="00F97918">
        <w:rPr>
          <w:b/>
          <w:bCs/>
          <w:vertAlign w:val="subscript"/>
        </w:rPr>
        <w:t>2</w:t>
      </w:r>
      <w:r w:rsidRPr="00F97918">
        <w:rPr>
          <w:b/>
          <w:bCs/>
        </w:rPr>
        <w:t>eq at USA</w:t>
      </w:r>
    </w:p>
    <w:tbl>
      <w:tblPr>
        <w:tblStyle w:val="TableGrid"/>
        <w:tblW w:w="0" w:type="auto"/>
        <w:tblLook w:val="04A0" w:firstRow="1" w:lastRow="0" w:firstColumn="1" w:lastColumn="0" w:noHBand="0" w:noVBand="1"/>
      </w:tblPr>
      <w:tblGrid>
        <w:gridCol w:w="4249"/>
        <w:gridCol w:w="4175"/>
      </w:tblGrid>
      <w:tr w:rsidR="006C1286" w:rsidRPr="0069501D" w14:paraId="2222F821" w14:textId="77777777" w:rsidTr="003D2E1F">
        <w:tc>
          <w:tcPr>
            <w:tcW w:w="4675" w:type="dxa"/>
          </w:tcPr>
          <w:p w14:paraId="76704A7D" w14:textId="77777777" w:rsidR="006C1286" w:rsidRPr="0069501D" w:rsidRDefault="006C1286" w:rsidP="003D2E1F">
            <w:pPr>
              <w:jc w:val="both"/>
              <w:rPr>
                <w:b/>
                <w:bCs/>
                <w:sz w:val="16"/>
                <w:szCs w:val="16"/>
              </w:rPr>
            </w:pPr>
          </w:p>
          <w:tbl>
            <w:tblPr>
              <w:tblW w:w="4360" w:type="dxa"/>
              <w:tblLook w:val="04A0" w:firstRow="1" w:lastRow="0" w:firstColumn="1" w:lastColumn="0" w:noHBand="0" w:noVBand="1"/>
            </w:tblPr>
            <w:tblGrid>
              <w:gridCol w:w="2569"/>
              <w:gridCol w:w="1464"/>
            </w:tblGrid>
            <w:tr w:rsidR="006C1286" w:rsidRPr="0069501D" w14:paraId="4755F4E7" w14:textId="77777777" w:rsidTr="003D2E1F">
              <w:trPr>
                <w:trHeight w:val="320"/>
              </w:trPr>
              <w:tc>
                <w:tcPr>
                  <w:tcW w:w="4360" w:type="dxa"/>
                  <w:gridSpan w:val="2"/>
                  <w:tcBorders>
                    <w:top w:val="single" w:sz="8" w:space="0" w:color="auto"/>
                    <w:left w:val="nil"/>
                    <w:bottom w:val="single" w:sz="4" w:space="0" w:color="auto"/>
                    <w:right w:val="nil"/>
                  </w:tcBorders>
                  <w:noWrap/>
                  <w:vAlign w:val="bottom"/>
                  <w:hideMark/>
                </w:tcPr>
                <w:p w14:paraId="4CE6A508" w14:textId="77777777" w:rsidR="006C1286" w:rsidRPr="0069501D" w:rsidRDefault="006C1286" w:rsidP="003D2E1F">
                  <w:pPr>
                    <w:jc w:val="center"/>
                    <w:rPr>
                      <w:rFonts w:ascii="Aptos Narrow" w:hAnsi="Aptos Narrow"/>
                      <w:i/>
                      <w:iCs/>
                      <w:color w:val="000000"/>
                      <w:sz w:val="16"/>
                      <w:szCs w:val="16"/>
                    </w:rPr>
                  </w:pPr>
                  <w:proofErr w:type="spellStart"/>
                  <w:r w:rsidRPr="0069501D">
                    <w:rPr>
                      <w:rFonts w:ascii="Aptos Narrow" w:hAnsi="Aptos Narrow"/>
                      <w:i/>
                      <w:iCs/>
                      <w:color w:val="000000"/>
                      <w:sz w:val="16"/>
                      <w:szCs w:val="16"/>
                    </w:rPr>
                    <w:t>Gaseification_Global</w:t>
                  </w:r>
                  <w:proofErr w:type="spellEnd"/>
                  <w:r w:rsidRPr="0069501D">
                    <w:rPr>
                      <w:rFonts w:ascii="Aptos Narrow" w:hAnsi="Aptos Narrow"/>
                      <w:i/>
                      <w:iCs/>
                      <w:color w:val="000000"/>
                      <w:sz w:val="16"/>
                      <w:szCs w:val="16"/>
                    </w:rPr>
                    <w:t xml:space="preserve"> warming (kgCO2eq)</w:t>
                  </w:r>
                </w:p>
              </w:tc>
            </w:tr>
            <w:tr w:rsidR="006C1286" w:rsidRPr="0069501D" w14:paraId="7C587067" w14:textId="77777777" w:rsidTr="003D2E1F">
              <w:trPr>
                <w:trHeight w:val="320"/>
              </w:trPr>
              <w:tc>
                <w:tcPr>
                  <w:tcW w:w="2783" w:type="dxa"/>
                  <w:tcBorders>
                    <w:top w:val="nil"/>
                    <w:left w:val="nil"/>
                    <w:bottom w:val="nil"/>
                    <w:right w:val="nil"/>
                  </w:tcBorders>
                  <w:noWrap/>
                  <w:vAlign w:val="bottom"/>
                  <w:hideMark/>
                </w:tcPr>
                <w:p w14:paraId="47A12952" w14:textId="77777777" w:rsidR="006C1286" w:rsidRPr="0069501D" w:rsidRDefault="006C1286" w:rsidP="003D2E1F">
                  <w:pPr>
                    <w:jc w:val="center"/>
                    <w:rPr>
                      <w:rFonts w:ascii="Aptos Narrow" w:hAnsi="Aptos Narrow"/>
                      <w:i/>
                      <w:iCs/>
                      <w:color w:val="000000"/>
                      <w:sz w:val="16"/>
                      <w:szCs w:val="16"/>
                    </w:rPr>
                  </w:pPr>
                </w:p>
              </w:tc>
              <w:tc>
                <w:tcPr>
                  <w:tcW w:w="1577" w:type="dxa"/>
                  <w:tcBorders>
                    <w:top w:val="nil"/>
                    <w:left w:val="nil"/>
                    <w:bottom w:val="nil"/>
                    <w:right w:val="nil"/>
                  </w:tcBorders>
                  <w:noWrap/>
                  <w:vAlign w:val="bottom"/>
                  <w:hideMark/>
                </w:tcPr>
                <w:p w14:paraId="0CBAFBBE" w14:textId="77777777" w:rsidR="006C1286" w:rsidRPr="0069501D" w:rsidRDefault="006C1286" w:rsidP="003D2E1F">
                  <w:pPr>
                    <w:rPr>
                      <w:sz w:val="16"/>
                      <w:szCs w:val="16"/>
                    </w:rPr>
                  </w:pPr>
                </w:p>
              </w:tc>
            </w:tr>
            <w:tr w:rsidR="006C1286" w:rsidRPr="0069501D" w14:paraId="4E114D8B" w14:textId="77777777" w:rsidTr="003D2E1F">
              <w:trPr>
                <w:trHeight w:val="320"/>
              </w:trPr>
              <w:tc>
                <w:tcPr>
                  <w:tcW w:w="2783" w:type="dxa"/>
                  <w:tcBorders>
                    <w:top w:val="nil"/>
                    <w:left w:val="nil"/>
                    <w:bottom w:val="nil"/>
                    <w:right w:val="nil"/>
                  </w:tcBorders>
                  <w:noWrap/>
                  <w:vAlign w:val="bottom"/>
                  <w:hideMark/>
                </w:tcPr>
                <w:p w14:paraId="67DD0B16"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Mean</w:t>
                  </w:r>
                </w:p>
              </w:tc>
              <w:tc>
                <w:tcPr>
                  <w:tcW w:w="1577" w:type="dxa"/>
                  <w:tcBorders>
                    <w:top w:val="nil"/>
                    <w:left w:val="nil"/>
                    <w:bottom w:val="nil"/>
                    <w:right w:val="nil"/>
                  </w:tcBorders>
                  <w:noWrap/>
                  <w:vAlign w:val="bottom"/>
                  <w:hideMark/>
                </w:tcPr>
                <w:p w14:paraId="25FF4BF2"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22.30276603</w:t>
                  </w:r>
                </w:p>
              </w:tc>
            </w:tr>
            <w:tr w:rsidR="006C1286" w:rsidRPr="0069501D" w14:paraId="4E8A3A35" w14:textId="77777777" w:rsidTr="003D2E1F">
              <w:trPr>
                <w:trHeight w:val="320"/>
              </w:trPr>
              <w:tc>
                <w:tcPr>
                  <w:tcW w:w="2783" w:type="dxa"/>
                  <w:tcBorders>
                    <w:top w:val="nil"/>
                    <w:left w:val="nil"/>
                    <w:bottom w:val="nil"/>
                    <w:right w:val="nil"/>
                  </w:tcBorders>
                  <w:noWrap/>
                  <w:vAlign w:val="bottom"/>
                  <w:hideMark/>
                </w:tcPr>
                <w:p w14:paraId="08D8A40B"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Standard Error</w:t>
                  </w:r>
                </w:p>
              </w:tc>
              <w:tc>
                <w:tcPr>
                  <w:tcW w:w="1577" w:type="dxa"/>
                  <w:tcBorders>
                    <w:top w:val="nil"/>
                    <w:left w:val="nil"/>
                    <w:bottom w:val="nil"/>
                    <w:right w:val="nil"/>
                  </w:tcBorders>
                  <w:noWrap/>
                  <w:vAlign w:val="bottom"/>
                  <w:hideMark/>
                </w:tcPr>
                <w:p w14:paraId="7A19E59A"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0.286483445</w:t>
                  </w:r>
                </w:p>
              </w:tc>
            </w:tr>
            <w:tr w:rsidR="006C1286" w:rsidRPr="0069501D" w14:paraId="37F8F1A1" w14:textId="77777777" w:rsidTr="003D2E1F">
              <w:trPr>
                <w:trHeight w:val="320"/>
              </w:trPr>
              <w:tc>
                <w:tcPr>
                  <w:tcW w:w="2783" w:type="dxa"/>
                  <w:tcBorders>
                    <w:top w:val="nil"/>
                    <w:left w:val="nil"/>
                    <w:bottom w:val="nil"/>
                    <w:right w:val="nil"/>
                  </w:tcBorders>
                  <w:noWrap/>
                  <w:vAlign w:val="bottom"/>
                  <w:hideMark/>
                </w:tcPr>
                <w:p w14:paraId="27E7E76F"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Median</w:t>
                  </w:r>
                </w:p>
              </w:tc>
              <w:tc>
                <w:tcPr>
                  <w:tcW w:w="1577" w:type="dxa"/>
                  <w:tcBorders>
                    <w:top w:val="nil"/>
                    <w:left w:val="nil"/>
                    <w:bottom w:val="nil"/>
                    <w:right w:val="nil"/>
                  </w:tcBorders>
                  <w:noWrap/>
                  <w:vAlign w:val="bottom"/>
                  <w:hideMark/>
                </w:tcPr>
                <w:p w14:paraId="06A6618C"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21.99841619</w:t>
                  </w:r>
                </w:p>
              </w:tc>
            </w:tr>
            <w:tr w:rsidR="006C1286" w:rsidRPr="0069501D" w14:paraId="7AD1554F" w14:textId="77777777" w:rsidTr="003D2E1F">
              <w:trPr>
                <w:trHeight w:val="320"/>
              </w:trPr>
              <w:tc>
                <w:tcPr>
                  <w:tcW w:w="2783" w:type="dxa"/>
                  <w:tcBorders>
                    <w:top w:val="nil"/>
                    <w:left w:val="nil"/>
                    <w:bottom w:val="nil"/>
                    <w:right w:val="nil"/>
                  </w:tcBorders>
                  <w:noWrap/>
                  <w:vAlign w:val="bottom"/>
                  <w:hideMark/>
                </w:tcPr>
                <w:p w14:paraId="645A890C"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Mode</w:t>
                  </w:r>
                </w:p>
              </w:tc>
              <w:tc>
                <w:tcPr>
                  <w:tcW w:w="1577" w:type="dxa"/>
                  <w:tcBorders>
                    <w:top w:val="nil"/>
                    <w:left w:val="nil"/>
                    <w:bottom w:val="nil"/>
                    <w:right w:val="nil"/>
                  </w:tcBorders>
                  <w:noWrap/>
                  <w:vAlign w:val="bottom"/>
                  <w:hideMark/>
                </w:tcPr>
                <w:p w14:paraId="00489038" w14:textId="77777777" w:rsidR="006C1286" w:rsidRPr="0069501D" w:rsidRDefault="006C1286" w:rsidP="003D2E1F">
                  <w:pPr>
                    <w:jc w:val="center"/>
                    <w:rPr>
                      <w:rFonts w:ascii="Aptos Narrow" w:hAnsi="Aptos Narrow"/>
                      <w:color w:val="000000"/>
                      <w:sz w:val="16"/>
                      <w:szCs w:val="16"/>
                    </w:rPr>
                  </w:pPr>
                  <w:r w:rsidRPr="0069501D">
                    <w:rPr>
                      <w:rFonts w:ascii="Aptos Narrow" w:hAnsi="Aptos Narrow"/>
                      <w:color w:val="000000"/>
                      <w:sz w:val="16"/>
                      <w:szCs w:val="16"/>
                    </w:rPr>
                    <w:t>#N/A</w:t>
                  </w:r>
                </w:p>
              </w:tc>
            </w:tr>
            <w:tr w:rsidR="006C1286" w:rsidRPr="0069501D" w14:paraId="12F9F7EC" w14:textId="77777777" w:rsidTr="003D2E1F">
              <w:trPr>
                <w:trHeight w:val="320"/>
              </w:trPr>
              <w:tc>
                <w:tcPr>
                  <w:tcW w:w="2783" w:type="dxa"/>
                  <w:tcBorders>
                    <w:top w:val="nil"/>
                    <w:left w:val="nil"/>
                    <w:bottom w:val="nil"/>
                    <w:right w:val="nil"/>
                  </w:tcBorders>
                  <w:noWrap/>
                  <w:vAlign w:val="bottom"/>
                  <w:hideMark/>
                </w:tcPr>
                <w:p w14:paraId="4BC2B4E8"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Standard Deviation</w:t>
                  </w:r>
                </w:p>
              </w:tc>
              <w:tc>
                <w:tcPr>
                  <w:tcW w:w="1577" w:type="dxa"/>
                  <w:tcBorders>
                    <w:top w:val="nil"/>
                    <w:left w:val="nil"/>
                    <w:bottom w:val="nil"/>
                    <w:right w:val="nil"/>
                  </w:tcBorders>
                  <w:noWrap/>
                  <w:vAlign w:val="bottom"/>
                  <w:hideMark/>
                </w:tcPr>
                <w:p w14:paraId="07A2FE14"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2.864834446</w:t>
                  </w:r>
                </w:p>
              </w:tc>
            </w:tr>
            <w:tr w:rsidR="006C1286" w:rsidRPr="0069501D" w14:paraId="47B61515" w14:textId="77777777" w:rsidTr="003D2E1F">
              <w:trPr>
                <w:trHeight w:val="320"/>
              </w:trPr>
              <w:tc>
                <w:tcPr>
                  <w:tcW w:w="2783" w:type="dxa"/>
                  <w:tcBorders>
                    <w:top w:val="nil"/>
                    <w:left w:val="nil"/>
                    <w:bottom w:val="nil"/>
                    <w:right w:val="nil"/>
                  </w:tcBorders>
                  <w:noWrap/>
                  <w:vAlign w:val="bottom"/>
                  <w:hideMark/>
                </w:tcPr>
                <w:p w14:paraId="1AA8C41F"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Sample Variance</w:t>
                  </w:r>
                </w:p>
              </w:tc>
              <w:tc>
                <w:tcPr>
                  <w:tcW w:w="1577" w:type="dxa"/>
                  <w:tcBorders>
                    <w:top w:val="nil"/>
                    <w:left w:val="nil"/>
                    <w:bottom w:val="nil"/>
                    <w:right w:val="nil"/>
                  </w:tcBorders>
                  <w:noWrap/>
                  <w:vAlign w:val="bottom"/>
                  <w:hideMark/>
                </w:tcPr>
                <w:p w14:paraId="57789341"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8.207276401</w:t>
                  </w:r>
                </w:p>
              </w:tc>
            </w:tr>
            <w:tr w:rsidR="006C1286" w:rsidRPr="0069501D" w14:paraId="79287119" w14:textId="77777777" w:rsidTr="003D2E1F">
              <w:trPr>
                <w:trHeight w:val="320"/>
              </w:trPr>
              <w:tc>
                <w:tcPr>
                  <w:tcW w:w="2783" w:type="dxa"/>
                  <w:tcBorders>
                    <w:top w:val="nil"/>
                    <w:left w:val="nil"/>
                    <w:bottom w:val="nil"/>
                    <w:right w:val="nil"/>
                  </w:tcBorders>
                  <w:noWrap/>
                  <w:vAlign w:val="bottom"/>
                  <w:hideMark/>
                </w:tcPr>
                <w:p w14:paraId="2F5392C2"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Kurtosis</w:t>
                  </w:r>
                </w:p>
              </w:tc>
              <w:tc>
                <w:tcPr>
                  <w:tcW w:w="1577" w:type="dxa"/>
                  <w:tcBorders>
                    <w:top w:val="nil"/>
                    <w:left w:val="nil"/>
                    <w:bottom w:val="nil"/>
                    <w:right w:val="nil"/>
                  </w:tcBorders>
                  <w:noWrap/>
                  <w:vAlign w:val="bottom"/>
                  <w:hideMark/>
                </w:tcPr>
                <w:p w14:paraId="3431E4EF"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-1.309944542</w:t>
                  </w:r>
                </w:p>
              </w:tc>
            </w:tr>
            <w:tr w:rsidR="006C1286" w:rsidRPr="0069501D" w14:paraId="6018B017" w14:textId="77777777" w:rsidTr="003D2E1F">
              <w:trPr>
                <w:trHeight w:val="320"/>
              </w:trPr>
              <w:tc>
                <w:tcPr>
                  <w:tcW w:w="2783" w:type="dxa"/>
                  <w:tcBorders>
                    <w:top w:val="nil"/>
                    <w:left w:val="nil"/>
                    <w:bottom w:val="nil"/>
                    <w:right w:val="nil"/>
                  </w:tcBorders>
                  <w:noWrap/>
                  <w:vAlign w:val="bottom"/>
                  <w:hideMark/>
                </w:tcPr>
                <w:p w14:paraId="1F87C8D7"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Skewness</w:t>
                  </w:r>
                </w:p>
              </w:tc>
              <w:tc>
                <w:tcPr>
                  <w:tcW w:w="1577" w:type="dxa"/>
                  <w:tcBorders>
                    <w:top w:val="nil"/>
                    <w:left w:val="nil"/>
                    <w:bottom w:val="nil"/>
                    <w:right w:val="nil"/>
                  </w:tcBorders>
                  <w:noWrap/>
                  <w:vAlign w:val="bottom"/>
                  <w:hideMark/>
                </w:tcPr>
                <w:p w14:paraId="3730A437"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0.313221989</w:t>
                  </w:r>
                </w:p>
              </w:tc>
            </w:tr>
            <w:tr w:rsidR="006C1286" w:rsidRPr="0069501D" w14:paraId="2EF88243" w14:textId="77777777" w:rsidTr="003D2E1F">
              <w:trPr>
                <w:trHeight w:val="320"/>
              </w:trPr>
              <w:tc>
                <w:tcPr>
                  <w:tcW w:w="2783" w:type="dxa"/>
                  <w:tcBorders>
                    <w:top w:val="nil"/>
                    <w:left w:val="nil"/>
                    <w:bottom w:val="nil"/>
                    <w:right w:val="nil"/>
                  </w:tcBorders>
                  <w:noWrap/>
                  <w:vAlign w:val="bottom"/>
                  <w:hideMark/>
                </w:tcPr>
                <w:p w14:paraId="2E284197"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Range</w:t>
                  </w:r>
                </w:p>
              </w:tc>
              <w:tc>
                <w:tcPr>
                  <w:tcW w:w="1577" w:type="dxa"/>
                  <w:tcBorders>
                    <w:top w:val="nil"/>
                    <w:left w:val="nil"/>
                    <w:bottom w:val="nil"/>
                    <w:right w:val="nil"/>
                  </w:tcBorders>
                  <w:noWrap/>
                  <w:vAlign w:val="bottom"/>
                  <w:hideMark/>
                </w:tcPr>
                <w:p w14:paraId="59691286"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9.086645662</w:t>
                  </w:r>
                </w:p>
              </w:tc>
            </w:tr>
            <w:tr w:rsidR="006C1286" w:rsidRPr="0069501D" w14:paraId="1D8F388F" w14:textId="77777777" w:rsidTr="003D2E1F">
              <w:trPr>
                <w:trHeight w:val="320"/>
              </w:trPr>
              <w:tc>
                <w:tcPr>
                  <w:tcW w:w="2783" w:type="dxa"/>
                  <w:tcBorders>
                    <w:top w:val="nil"/>
                    <w:left w:val="nil"/>
                    <w:bottom w:val="nil"/>
                    <w:right w:val="nil"/>
                  </w:tcBorders>
                  <w:noWrap/>
                  <w:vAlign w:val="bottom"/>
                  <w:hideMark/>
                </w:tcPr>
                <w:p w14:paraId="0EAA072E"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Minimum</w:t>
                  </w:r>
                </w:p>
              </w:tc>
              <w:tc>
                <w:tcPr>
                  <w:tcW w:w="1577" w:type="dxa"/>
                  <w:tcBorders>
                    <w:top w:val="nil"/>
                    <w:left w:val="nil"/>
                    <w:bottom w:val="nil"/>
                    <w:right w:val="nil"/>
                  </w:tcBorders>
                  <w:noWrap/>
                  <w:vAlign w:val="bottom"/>
                  <w:hideMark/>
                </w:tcPr>
                <w:p w14:paraId="2BE22416"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18.44552899</w:t>
                  </w:r>
                </w:p>
              </w:tc>
            </w:tr>
            <w:tr w:rsidR="006C1286" w:rsidRPr="0069501D" w14:paraId="3DA57150" w14:textId="77777777" w:rsidTr="003D2E1F">
              <w:trPr>
                <w:trHeight w:val="320"/>
              </w:trPr>
              <w:tc>
                <w:tcPr>
                  <w:tcW w:w="2783" w:type="dxa"/>
                  <w:tcBorders>
                    <w:top w:val="nil"/>
                    <w:left w:val="nil"/>
                    <w:bottom w:val="nil"/>
                    <w:right w:val="nil"/>
                  </w:tcBorders>
                  <w:noWrap/>
                  <w:vAlign w:val="bottom"/>
                  <w:hideMark/>
                </w:tcPr>
                <w:p w14:paraId="1A799440"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Maximum</w:t>
                  </w:r>
                </w:p>
              </w:tc>
              <w:tc>
                <w:tcPr>
                  <w:tcW w:w="1577" w:type="dxa"/>
                  <w:tcBorders>
                    <w:top w:val="nil"/>
                    <w:left w:val="nil"/>
                    <w:bottom w:val="nil"/>
                    <w:right w:val="nil"/>
                  </w:tcBorders>
                  <w:noWrap/>
                  <w:vAlign w:val="bottom"/>
                  <w:hideMark/>
                </w:tcPr>
                <w:p w14:paraId="45392DF9"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27.53217466</w:t>
                  </w:r>
                </w:p>
              </w:tc>
            </w:tr>
            <w:tr w:rsidR="006C1286" w:rsidRPr="0069501D" w14:paraId="0914FB6D" w14:textId="77777777" w:rsidTr="003D2E1F">
              <w:trPr>
                <w:trHeight w:val="320"/>
              </w:trPr>
              <w:tc>
                <w:tcPr>
                  <w:tcW w:w="2783" w:type="dxa"/>
                  <w:tcBorders>
                    <w:top w:val="nil"/>
                    <w:left w:val="nil"/>
                    <w:bottom w:val="nil"/>
                    <w:right w:val="nil"/>
                  </w:tcBorders>
                  <w:noWrap/>
                  <w:vAlign w:val="bottom"/>
                  <w:hideMark/>
                </w:tcPr>
                <w:p w14:paraId="0EF8EB53"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Sum</w:t>
                  </w:r>
                </w:p>
              </w:tc>
              <w:tc>
                <w:tcPr>
                  <w:tcW w:w="1577" w:type="dxa"/>
                  <w:tcBorders>
                    <w:top w:val="nil"/>
                    <w:left w:val="nil"/>
                    <w:bottom w:val="nil"/>
                    <w:right w:val="nil"/>
                  </w:tcBorders>
                  <w:noWrap/>
                  <w:vAlign w:val="bottom"/>
                  <w:hideMark/>
                </w:tcPr>
                <w:p w14:paraId="7E6879C8"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2230.276603</w:t>
                  </w:r>
                </w:p>
              </w:tc>
            </w:tr>
            <w:tr w:rsidR="006C1286" w:rsidRPr="0069501D" w14:paraId="0EB2759A" w14:textId="77777777" w:rsidTr="003D2E1F">
              <w:trPr>
                <w:trHeight w:val="320"/>
              </w:trPr>
              <w:tc>
                <w:tcPr>
                  <w:tcW w:w="2783" w:type="dxa"/>
                  <w:tcBorders>
                    <w:top w:val="nil"/>
                    <w:left w:val="nil"/>
                    <w:bottom w:val="nil"/>
                    <w:right w:val="nil"/>
                  </w:tcBorders>
                  <w:noWrap/>
                  <w:vAlign w:val="bottom"/>
                  <w:hideMark/>
                </w:tcPr>
                <w:p w14:paraId="04FE2B31"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Count</w:t>
                  </w:r>
                </w:p>
              </w:tc>
              <w:tc>
                <w:tcPr>
                  <w:tcW w:w="1577" w:type="dxa"/>
                  <w:tcBorders>
                    <w:top w:val="nil"/>
                    <w:left w:val="nil"/>
                    <w:bottom w:val="nil"/>
                    <w:right w:val="nil"/>
                  </w:tcBorders>
                  <w:noWrap/>
                  <w:vAlign w:val="bottom"/>
                  <w:hideMark/>
                </w:tcPr>
                <w:p w14:paraId="25CB98D2"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100</w:t>
                  </w:r>
                </w:p>
              </w:tc>
            </w:tr>
            <w:tr w:rsidR="006C1286" w:rsidRPr="0069501D" w14:paraId="7918DEC2" w14:textId="77777777" w:rsidTr="003D2E1F">
              <w:trPr>
                <w:trHeight w:val="320"/>
              </w:trPr>
              <w:tc>
                <w:tcPr>
                  <w:tcW w:w="2783" w:type="dxa"/>
                  <w:tcBorders>
                    <w:top w:val="nil"/>
                    <w:left w:val="nil"/>
                    <w:bottom w:val="nil"/>
                    <w:right w:val="nil"/>
                  </w:tcBorders>
                  <w:noWrap/>
                  <w:vAlign w:val="bottom"/>
                  <w:hideMark/>
                </w:tcPr>
                <w:p w14:paraId="6F564918" w14:textId="77777777" w:rsidR="006C1286" w:rsidRPr="0069501D" w:rsidRDefault="006C1286" w:rsidP="003D2E1F">
                  <w:pPr>
                    <w:rPr>
                      <w:rFonts w:ascii="Aptos Narrow" w:hAnsi="Aptos Narrow"/>
                      <w:color w:val="000000"/>
                      <w:sz w:val="16"/>
                      <w:szCs w:val="16"/>
                    </w:rPr>
                  </w:pPr>
                  <w:proofErr w:type="gramStart"/>
                  <w:r w:rsidRPr="0069501D">
                    <w:rPr>
                      <w:rFonts w:ascii="Aptos Narrow" w:hAnsi="Aptos Narrow"/>
                      <w:color w:val="000000"/>
                      <w:sz w:val="16"/>
                      <w:szCs w:val="16"/>
                    </w:rPr>
                    <w:t>Largest(</w:t>
                  </w:r>
                  <w:proofErr w:type="gramEnd"/>
                  <w:r w:rsidRPr="0069501D">
                    <w:rPr>
                      <w:rFonts w:ascii="Aptos Narrow" w:hAnsi="Aptos Narrow"/>
                      <w:color w:val="000000"/>
                      <w:sz w:val="16"/>
                      <w:szCs w:val="16"/>
                    </w:rPr>
                    <w:t>1)</w:t>
                  </w:r>
                </w:p>
              </w:tc>
              <w:tc>
                <w:tcPr>
                  <w:tcW w:w="1577" w:type="dxa"/>
                  <w:tcBorders>
                    <w:top w:val="nil"/>
                    <w:left w:val="nil"/>
                    <w:bottom w:val="nil"/>
                    <w:right w:val="nil"/>
                  </w:tcBorders>
                  <w:noWrap/>
                  <w:vAlign w:val="bottom"/>
                  <w:hideMark/>
                </w:tcPr>
                <w:p w14:paraId="5C3F07BE"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27.53217466</w:t>
                  </w:r>
                </w:p>
              </w:tc>
            </w:tr>
            <w:tr w:rsidR="006C1286" w:rsidRPr="0069501D" w14:paraId="01B8FB5B" w14:textId="77777777" w:rsidTr="003D2E1F">
              <w:trPr>
                <w:trHeight w:val="320"/>
              </w:trPr>
              <w:tc>
                <w:tcPr>
                  <w:tcW w:w="2783" w:type="dxa"/>
                  <w:tcBorders>
                    <w:top w:val="nil"/>
                    <w:left w:val="nil"/>
                    <w:bottom w:val="nil"/>
                    <w:right w:val="nil"/>
                  </w:tcBorders>
                  <w:noWrap/>
                  <w:vAlign w:val="bottom"/>
                  <w:hideMark/>
                </w:tcPr>
                <w:p w14:paraId="4A26B768" w14:textId="77777777" w:rsidR="006C1286" w:rsidRPr="0069501D" w:rsidRDefault="006C1286" w:rsidP="003D2E1F">
                  <w:pPr>
                    <w:rPr>
                      <w:rFonts w:ascii="Aptos Narrow" w:hAnsi="Aptos Narrow"/>
                      <w:color w:val="000000"/>
                      <w:sz w:val="16"/>
                      <w:szCs w:val="16"/>
                    </w:rPr>
                  </w:pPr>
                  <w:proofErr w:type="gramStart"/>
                  <w:r w:rsidRPr="0069501D">
                    <w:rPr>
                      <w:rFonts w:ascii="Aptos Narrow" w:hAnsi="Aptos Narrow"/>
                      <w:color w:val="000000"/>
                      <w:sz w:val="16"/>
                      <w:szCs w:val="16"/>
                    </w:rPr>
                    <w:t>Smallest(</w:t>
                  </w:r>
                  <w:proofErr w:type="gramEnd"/>
                  <w:r w:rsidRPr="0069501D">
                    <w:rPr>
                      <w:rFonts w:ascii="Aptos Narrow" w:hAnsi="Aptos Narrow"/>
                      <w:color w:val="000000"/>
                      <w:sz w:val="16"/>
                      <w:szCs w:val="16"/>
                    </w:rPr>
                    <w:t>1)</w:t>
                  </w:r>
                </w:p>
              </w:tc>
              <w:tc>
                <w:tcPr>
                  <w:tcW w:w="1577" w:type="dxa"/>
                  <w:tcBorders>
                    <w:top w:val="nil"/>
                    <w:left w:val="nil"/>
                    <w:bottom w:val="nil"/>
                    <w:right w:val="nil"/>
                  </w:tcBorders>
                  <w:noWrap/>
                  <w:vAlign w:val="bottom"/>
                  <w:hideMark/>
                </w:tcPr>
                <w:p w14:paraId="4A56DF15"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18.44552899</w:t>
                  </w:r>
                </w:p>
              </w:tc>
            </w:tr>
            <w:tr w:rsidR="006C1286" w:rsidRPr="0069501D" w14:paraId="584E5BAF" w14:textId="77777777" w:rsidTr="003D2E1F">
              <w:trPr>
                <w:trHeight w:val="340"/>
              </w:trPr>
              <w:tc>
                <w:tcPr>
                  <w:tcW w:w="2783" w:type="dxa"/>
                  <w:tcBorders>
                    <w:top w:val="nil"/>
                    <w:left w:val="nil"/>
                    <w:bottom w:val="single" w:sz="8" w:space="0" w:color="auto"/>
                    <w:right w:val="nil"/>
                  </w:tcBorders>
                  <w:noWrap/>
                  <w:vAlign w:val="bottom"/>
                  <w:hideMark/>
                </w:tcPr>
                <w:p w14:paraId="308F738E"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 xml:space="preserve">Confidence </w:t>
                  </w:r>
                  <w:proofErr w:type="gramStart"/>
                  <w:r w:rsidRPr="0069501D">
                    <w:rPr>
                      <w:rFonts w:ascii="Aptos Narrow" w:hAnsi="Aptos Narrow"/>
                      <w:color w:val="000000"/>
                      <w:sz w:val="16"/>
                      <w:szCs w:val="16"/>
                    </w:rPr>
                    <w:t>Level(</w:t>
                  </w:r>
                  <w:proofErr w:type="gramEnd"/>
                  <w:r w:rsidRPr="0069501D">
                    <w:rPr>
                      <w:rFonts w:ascii="Aptos Narrow" w:hAnsi="Aptos Narrow"/>
                      <w:color w:val="000000"/>
                      <w:sz w:val="16"/>
                      <w:szCs w:val="16"/>
                    </w:rPr>
                    <w:t>95.0%)</w:t>
                  </w:r>
                </w:p>
              </w:tc>
              <w:tc>
                <w:tcPr>
                  <w:tcW w:w="1577" w:type="dxa"/>
                  <w:tcBorders>
                    <w:top w:val="nil"/>
                    <w:left w:val="nil"/>
                    <w:bottom w:val="single" w:sz="8" w:space="0" w:color="auto"/>
                    <w:right w:val="nil"/>
                  </w:tcBorders>
                  <w:noWrap/>
                  <w:vAlign w:val="bottom"/>
                  <w:hideMark/>
                </w:tcPr>
                <w:p w14:paraId="0A50C97C"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0.568445307</w:t>
                  </w:r>
                </w:p>
              </w:tc>
            </w:tr>
          </w:tbl>
          <w:p w14:paraId="512026E9" w14:textId="77777777" w:rsidR="006C1286" w:rsidRPr="0069501D" w:rsidRDefault="006C1286" w:rsidP="003D2E1F">
            <w:pPr>
              <w:jc w:val="both"/>
              <w:rPr>
                <w:b/>
                <w:bCs/>
                <w:sz w:val="16"/>
                <w:szCs w:val="16"/>
              </w:rPr>
            </w:pPr>
          </w:p>
        </w:tc>
        <w:tc>
          <w:tcPr>
            <w:tcW w:w="4675" w:type="dxa"/>
          </w:tcPr>
          <w:p w14:paraId="5981866B" w14:textId="77777777" w:rsidR="006C1286" w:rsidRPr="0069501D" w:rsidRDefault="006C1286" w:rsidP="003D2E1F">
            <w:pPr>
              <w:jc w:val="both"/>
              <w:rPr>
                <w:b/>
                <w:bCs/>
                <w:sz w:val="16"/>
                <w:szCs w:val="16"/>
              </w:rPr>
            </w:pPr>
          </w:p>
          <w:tbl>
            <w:tblPr>
              <w:tblW w:w="4280" w:type="dxa"/>
              <w:tblLook w:val="04A0" w:firstRow="1" w:lastRow="0" w:firstColumn="1" w:lastColumn="0" w:noHBand="0" w:noVBand="1"/>
            </w:tblPr>
            <w:tblGrid>
              <w:gridCol w:w="2572"/>
              <w:gridCol w:w="1387"/>
            </w:tblGrid>
            <w:tr w:rsidR="006C1286" w:rsidRPr="004B4AB5" w14:paraId="21F183D7" w14:textId="77777777" w:rsidTr="003D2E1F">
              <w:trPr>
                <w:trHeight w:val="320"/>
              </w:trPr>
              <w:tc>
                <w:tcPr>
                  <w:tcW w:w="4280" w:type="dxa"/>
                  <w:gridSpan w:val="2"/>
                  <w:tcBorders>
                    <w:top w:val="single" w:sz="8" w:space="0" w:color="auto"/>
                    <w:left w:val="nil"/>
                    <w:bottom w:val="single" w:sz="4" w:space="0" w:color="auto"/>
                    <w:right w:val="nil"/>
                  </w:tcBorders>
                  <w:noWrap/>
                  <w:vAlign w:val="bottom"/>
                  <w:hideMark/>
                </w:tcPr>
                <w:p w14:paraId="590EA58A" w14:textId="77777777" w:rsidR="006C1286" w:rsidRPr="0069501D" w:rsidRDefault="006C1286" w:rsidP="003D2E1F">
                  <w:pPr>
                    <w:jc w:val="center"/>
                    <w:rPr>
                      <w:rFonts w:ascii="Aptos Narrow" w:hAnsi="Aptos Narrow"/>
                      <w:i/>
                      <w:iCs/>
                      <w:color w:val="000000"/>
                      <w:sz w:val="16"/>
                      <w:szCs w:val="16"/>
                    </w:rPr>
                  </w:pPr>
                  <w:proofErr w:type="gramStart"/>
                  <w:r w:rsidRPr="0069501D">
                    <w:rPr>
                      <w:rFonts w:ascii="Aptos Narrow" w:hAnsi="Aptos Narrow"/>
                      <w:i/>
                      <w:iCs/>
                      <w:color w:val="000000"/>
                      <w:sz w:val="16"/>
                      <w:szCs w:val="16"/>
                    </w:rPr>
                    <w:t>Electrolysis(</w:t>
                  </w:r>
                  <w:proofErr w:type="gramEnd"/>
                  <w:r w:rsidRPr="0069501D">
                    <w:rPr>
                      <w:rFonts w:ascii="Aptos Narrow" w:hAnsi="Aptos Narrow"/>
                      <w:i/>
                      <w:iCs/>
                      <w:color w:val="000000"/>
                      <w:sz w:val="16"/>
                      <w:szCs w:val="16"/>
                    </w:rPr>
                    <w:t>Wind)_Global warming (kgCO2eq)</w:t>
                  </w:r>
                </w:p>
              </w:tc>
            </w:tr>
            <w:tr w:rsidR="006C1286" w:rsidRPr="004B4AB5" w14:paraId="65DB8DDD" w14:textId="77777777" w:rsidTr="003D2E1F">
              <w:trPr>
                <w:trHeight w:val="320"/>
              </w:trPr>
              <w:tc>
                <w:tcPr>
                  <w:tcW w:w="2786" w:type="dxa"/>
                  <w:tcBorders>
                    <w:top w:val="nil"/>
                    <w:left w:val="nil"/>
                    <w:bottom w:val="nil"/>
                    <w:right w:val="nil"/>
                  </w:tcBorders>
                  <w:noWrap/>
                  <w:vAlign w:val="bottom"/>
                  <w:hideMark/>
                </w:tcPr>
                <w:p w14:paraId="495B8760" w14:textId="77777777" w:rsidR="006C1286" w:rsidRPr="0069501D" w:rsidRDefault="006C1286" w:rsidP="003D2E1F">
                  <w:pPr>
                    <w:jc w:val="center"/>
                    <w:rPr>
                      <w:rFonts w:ascii="Aptos Narrow" w:hAnsi="Aptos Narrow"/>
                      <w:i/>
                      <w:iCs/>
                      <w:color w:val="000000"/>
                      <w:sz w:val="16"/>
                      <w:szCs w:val="16"/>
                    </w:rPr>
                  </w:pPr>
                </w:p>
              </w:tc>
              <w:tc>
                <w:tcPr>
                  <w:tcW w:w="1494" w:type="dxa"/>
                  <w:tcBorders>
                    <w:top w:val="nil"/>
                    <w:left w:val="nil"/>
                    <w:bottom w:val="nil"/>
                    <w:right w:val="nil"/>
                  </w:tcBorders>
                  <w:noWrap/>
                  <w:vAlign w:val="bottom"/>
                  <w:hideMark/>
                </w:tcPr>
                <w:p w14:paraId="57655786" w14:textId="77777777" w:rsidR="006C1286" w:rsidRPr="0069501D" w:rsidRDefault="006C1286" w:rsidP="003D2E1F">
                  <w:pPr>
                    <w:rPr>
                      <w:sz w:val="16"/>
                      <w:szCs w:val="16"/>
                    </w:rPr>
                  </w:pPr>
                </w:p>
              </w:tc>
            </w:tr>
            <w:tr w:rsidR="006C1286" w:rsidRPr="0069501D" w14:paraId="2ACFFEF6" w14:textId="77777777" w:rsidTr="003D2E1F">
              <w:trPr>
                <w:trHeight w:val="320"/>
              </w:trPr>
              <w:tc>
                <w:tcPr>
                  <w:tcW w:w="2786" w:type="dxa"/>
                  <w:tcBorders>
                    <w:top w:val="nil"/>
                    <w:left w:val="nil"/>
                    <w:bottom w:val="nil"/>
                    <w:right w:val="nil"/>
                  </w:tcBorders>
                  <w:noWrap/>
                  <w:vAlign w:val="bottom"/>
                  <w:hideMark/>
                </w:tcPr>
                <w:p w14:paraId="32DE3D7D"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Mean</w:t>
                  </w:r>
                </w:p>
              </w:tc>
              <w:tc>
                <w:tcPr>
                  <w:tcW w:w="1494" w:type="dxa"/>
                  <w:tcBorders>
                    <w:top w:val="nil"/>
                    <w:left w:val="nil"/>
                    <w:bottom w:val="nil"/>
                    <w:right w:val="nil"/>
                  </w:tcBorders>
                  <w:noWrap/>
                  <w:vAlign w:val="bottom"/>
                  <w:hideMark/>
                </w:tcPr>
                <w:p w14:paraId="12E9B4F6"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0.273615932</w:t>
                  </w:r>
                </w:p>
              </w:tc>
            </w:tr>
            <w:tr w:rsidR="006C1286" w:rsidRPr="0069501D" w14:paraId="4ECC0F31" w14:textId="77777777" w:rsidTr="003D2E1F">
              <w:trPr>
                <w:trHeight w:val="320"/>
              </w:trPr>
              <w:tc>
                <w:tcPr>
                  <w:tcW w:w="2786" w:type="dxa"/>
                  <w:tcBorders>
                    <w:top w:val="nil"/>
                    <w:left w:val="nil"/>
                    <w:bottom w:val="nil"/>
                    <w:right w:val="nil"/>
                  </w:tcBorders>
                  <w:noWrap/>
                  <w:vAlign w:val="bottom"/>
                  <w:hideMark/>
                </w:tcPr>
                <w:p w14:paraId="0874E2AF"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Standard Error</w:t>
                  </w:r>
                </w:p>
              </w:tc>
              <w:tc>
                <w:tcPr>
                  <w:tcW w:w="1494" w:type="dxa"/>
                  <w:tcBorders>
                    <w:top w:val="nil"/>
                    <w:left w:val="nil"/>
                    <w:bottom w:val="nil"/>
                    <w:right w:val="nil"/>
                  </w:tcBorders>
                  <w:noWrap/>
                  <w:vAlign w:val="bottom"/>
                  <w:hideMark/>
                </w:tcPr>
                <w:p w14:paraId="072919B6"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0.003314799</w:t>
                  </w:r>
                </w:p>
              </w:tc>
            </w:tr>
            <w:tr w:rsidR="006C1286" w:rsidRPr="0069501D" w14:paraId="0D3AC632" w14:textId="77777777" w:rsidTr="003D2E1F">
              <w:trPr>
                <w:trHeight w:val="320"/>
              </w:trPr>
              <w:tc>
                <w:tcPr>
                  <w:tcW w:w="2786" w:type="dxa"/>
                  <w:tcBorders>
                    <w:top w:val="nil"/>
                    <w:left w:val="nil"/>
                    <w:bottom w:val="nil"/>
                    <w:right w:val="nil"/>
                  </w:tcBorders>
                  <w:noWrap/>
                  <w:vAlign w:val="bottom"/>
                  <w:hideMark/>
                </w:tcPr>
                <w:p w14:paraId="056FADDC"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Median</w:t>
                  </w:r>
                </w:p>
              </w:tc>
              <w:tc>
                <w:tcPr>
                  <w:tcW w:w="1494" w:type="dxa"/>
                  <w:tcBorders>
                    <w:top w:val="nil"/>
                    <w:left w:val="nil"/>
                    <w:bottom w:val="nil"/>
                    <w:right w:val="nil"/>
                  </w:tcBorders>
                  <w:noWrap/>
                  <w:vAlign w:val="bottom"/>
                  <w:hideMark/>
                </w:tcPr>
                <w:p w14:paraId="286D8958"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0.264524146</w:t>
                  </w:r>
                </w:p>
              </w:tc>
            </w:tr>
            <w:tr w:rsidR="006C1286" w:rsidRPr="0069501D" w14:paraId="3739F653" w14:textId="77777777" w:rsidTr="003D2E1F">
              <w:trPr>
                <w:trHeight w:val="320"/>
              </w:trPr>
              <w:tc>
                <w:tcPr>
                  <w:tcW w:w="2786" w:type="dxa"/>
                  <w:tcBorders>
                    <w:top w:val="nil"/>
                    <w:left w:val="nil"/>
                    <w:bottom w:val="nil"/>
                    <w:right w:val="nil"/>
                  </w:tcBorders>
                  <w:noWrap/>
                  <w:vAlign w:val="bottom"/>
                  <w:hideMark/>
                </w:tcPr>
                <w:p w14:paraId="22D21BBF"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Mode</w:t>
                  </w:r>
                </w:p>
              </w:tc>
              <w:tc>
                <w:tcPr>
                  <w:tcW w:w="1494" w:type="dxa"/>
                  <w:tcBorders>
                    <w:top w:val="nil"/>
                    <w:left w:val="nil"/>
                    <w:bottom w:val="nil"/>
                    <w:right w:val="nil"/>
                  </w:tcBorders>
                  <w:noWrap/>
                  <w:vAlign w:val="bottom"/>
                  <w:hideMark/>
                </w:tcPr>
                <w:p w14:paraId="717F2EF9" w14:textId="77777777" w:rsidR="006C1286" w:rsidRPr="0069501D" w:rsidRDefault="006C1286" w:rsidP="003D2E1F">
                  <w:pPr>
                    <w:jc w:val="center"/>
                    <w:rPr>
                      <w:rFonts w:ascii="Aptos Narrow" w:hAnsi="Aptos Narrow"/>
                      <w:color w:val="000000"/>
                      <w:sz w:val="16"/>
                      <w:szCs w:val="16"/>
                    </w:rPr>
                  </w:pPr>
                  <w:r w:rsidRPr="0069501D">
                    <w:rPr>
                      <w:rFonts w:ascii="Aptos Narrow" w:hAnsi="Aptos Narrow"/>
                      <w:color w:val="000000"/>
                      <w:sz w:val="16"/>
                      <w:szCs w:val="16"/>
                    </w:rPr>
                    <w:t>#N/A</w:t>
                  </w:r>
                </w:p>
              </w:tc>
            </w:tr>
            <w:tr w:rsidR="006C1286" w:rsidRPr="0069501D" w14:paraId="48188297" w14:textId="77777777" w:rsidTr="003D2E1F">
              <w:trPr>
                <w:trHeight w:val="320"/>
              </w:trPr>
              <w:tc>
                <w:tcPr>
                  <w:tcW w:w="2786" w:type="dxa"/>
                  <w:tcBorders>
                    <w:top w:val="nil"/>
                    <w:left w:val="nil"/>
                    <w:bottom w:val="nil"/>
                    <w:right w:val="nil"/>
                  </w:tcBorders>
                  <w:noWrap/>
                  <w:vAlign w:val="bottom"/>
                  <w:hideMark/>
                </w:tcPr>
                <w:p w14:paraId="45ABAF56"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Standard Deviation</w:t>
                  </w:r>
                </w:p>
              </w:tc>
              <w:tc>
                <w:tcPr>
                  <w:tcW w:w="1494" w:type="dxa"/>
                  <w:tcBorders>
                    <w:top w:val="nil"/>
                    <w:left w:val="nil"/>
                    <w:bottom w:val="nil"/>
                    <w:right w:val="nil"/>
                  </w:tcBorders>
                  <w:noWrap/>
                  <w:vAlign w:val="bottom"/>
                  <w:hideMark/>
                </w:tcPr>
                <w:p w14:paraId="66724045"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0.033147987</w:t>
                  </w:r>
                </w:p>
              </w:tc>
            </w:tr>
            <w:tr w:rsidR="006C1286" w:rsidRPr="0069501D" w14:paraId="506EA00F" w14:textId="77777777" w:rsidTr="003D2E1F">
              <w:trPr>
                <w:trHeight w:val="320"/>
              </w:trPr>
              <w:tc>
                <w:tcPr>
                  <w:tcW w:w="2786" w:type="dxa"/>
                  <w:tcBorders>
                    <w:top w:val="nil"/>
                    <w:left w:val="nil"/>
                    <w:bottom w:val="nil"/>
                    <w:right w:val="nil"/>
                  </w:tcBorders>
                  <w:noWrap/>
                  <w:vAlign w:val="bottom"/>
                  <w:hideMark/>
                </w:tcPr>
                <w:p w14:paraId="6F56A76E"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Sample Variance</w:t>
                  </w:r>
                </w:p>
              </w:tc>
              <w:tc>
                <w:tcPr>
                  <w:tcW w:w="1494" w:type="dxa"/>
                  <w:tcBorders>
                    <w:top w:val="nil"/>
                    <w:left w:val="nil"/>
                    <w:bottom w:val="nil"/>
                    <w:right w:val="nil"/>
                  </w:tcBorders>
                  <w:noWrap/>
                  <w:vAlign w:val="bottom"/>
                  <w:hideMark/>
                </w:tcPr>
                <w:p w14:paraId="6A621939"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0.001098789</w:t>
                  </w:r>
                </w:p>
              </w:tc>
            </w:tr>
            <w:tr w:rsidR="006C1286" w:rsidRPr="0069501D" w14:paraId="14E8038F" w14:textId="77777777" w:rsidTr="003D2E1F">
              <w:trPr>
                <w:trHeight w:val="320"/>
              </w:trPr>
              <w:tc>
                <w:tcPr>
                  <w:tcW w:w="2786" w:type="dxa"/>
                  <w:tcBorders>
                    <w:top w:val="nil"/>
                    <w:left w:val="nil"/>
                    <w:bottom w:val="nil"/>
                    <w:right w:val="nil"/>
                  </w:tcBorders>
                  <w:noWrap/>
                  <w:vAlign w:val="bottom"/>
                  <w:hideMark/>
                </w:tcPr>
                <w:p w14:paraId="3EFF3F0F"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Kurtosis</w:t>
                  </w:r>
                </w:p>
              </w:tc>
              <w:tc>
                <w:tcPr>
                  <w:tcW w:w="1494" w:type="dxa"/>
                  <w:tcBorders>
                    <w:top w:val="nil"/>
                    <w:left w:val="nil"/>
                    <w:bottom w:val="nil"/>
                    <w:right w:val="nil"/>
                  </w:tcBorders>
                  <w:noWrap/>
                  <w:vAlign w:val="bottom"/>
                  <w:hideMark/>
                </w:tcPr>
                <w:p w14:paraId="6122F398"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-1.12638485</w:t>
                  </w:r>
                </w:p>
              </w:tc>
            </w:tr>
            <w:tr w:rsidR="006C1286" w:rsidRPr="0069501D" w14:paraId="1EC47650" w14:textId="77777777" w:rsidTr="003D2E1F">
              <w:trPr>
                <w:trHeight w:val="320"/>
              </w:trPr>
              <w:tc>
                <w:tcPr>
                  <w:tcW w:w="2786" w:type="dxa"/>
                  <w:tcBorders>
                    <w:top w:val="nil"/>
                    <w:left w:val="nil"/>
                    <w:bottom w:val="nil"/>
                    <w:right w:val="nil"/>
                  </w:tcBorders>
                  <w:noWrap/>
                  <w:vAlign w:val="bottom"/>
                  <w:hideMark/>
                </w:tcPr>
                <w:p w14:paraId="23DD49A9"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Skewness</w:t>
                  </w:r>
                </w:p>
              </w:tc>
              <w:tc>
                <w:tcPr>
                  <w:tcW w:w="1494" w:type="dxa"/>
                  <w:tcBorders>
                    <w:top w:val="nil"/>
                    <w:left w:val="nil"/>
                    <w:bottom w:val="nil"/>
                    <w:right w:val="nil"/>
                  </w:tcBorders>
                  <w:noWrap/>
                  <w:vAlign w:val="bottom"/>
                  <w:hideMark/>
                </w:tcPr>
                <w:p w14:paraId="7B5FA185"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0.390922832</w:t>
                  </w:r>
                </w:p>
              </w:tc>
            </w:tr>
            <w:tr w:rsidR="006C1286" w:rsidRPr="0069501D" w14:paraId="07D5C44A" w14:textId="77777777" w:rsidTr="003D2E1F">
              <w:trPr>
                <w:trHeight w:val="320"/>
              </w:trPr>
              <w:tc>
                <w:tcPr>
                  <w:tcW w:w="2786" w:type="dxa"/>
                  <w:tcBorders>
                    <w:top w:val="nil"/>
                    <w:left w:val="nil"/>
                    <w:bottom w:val="nil"/>
                    <w:right w:val="nil"/>
                  </w:tcBorders>
                  <w:noWrap/>
                  <w:vAlign w:val="bottom"/>
                  <w:hideMark/>
                </w:tcPr>
                <w:p w14:paraId="71FB8C70"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Range</w:t>
                  </w:r>
                </w:p>
              </w:tc>
              <w:tc>
                <w:tcPr>
                  <w:tcW w:w="1494" w:type="dxa"/>
                  <w:tcBorders>
                    <w:top w:val="nil"/>
                    <w:left w:val="nil"/>
                    <w:bottom w:val="nil"/>
                    <w:right w:val="nil"/>
                  </w:tcBorders>
                  <w:noWrap/>
                  <w:vAlign w:val="bottom"/>
                  <w:hideMark/>
                </w:tcPr>
                <w:p w14:paraId="5A47996D"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0.109752177</w:t>
                  </w:r>
                </w:p>
              </w:tc>
            </w:tr>
            <w:tr w:rsidR="006C1286" w:rsidRPr="0069501D" w14:paraId="2088F162" w14:textId="77777777" w:rsidTr="003D2E1F">
              <w:trPr>
                <w:trHeight w:val="320"/>
              </w:trPr>
              <w:tc>
                <w:tcPr>
                  <w:tcW w:w="2786" w:type="dxa"/>
                  <w:tcBorders>
                    <w:top w:val="nil"/>
                    <w:left w:val="nil"/>
                    <w:bottom w:val="nil"/>
                    <w:right w:val="nil"/>
                  </w:tcBorders>
                  <w:noWrap/>
                  <w:vAlign w:val="bottom"/>
                  <w:hideMark/>
                </w:tcPr>
                <w:p w14:paraId="2ED80E9F"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Minimum</w:t>
                  </w:r>
                </w:p>
              </w:tc>
              <w:tc>
                <w:tcPr>
                  <w:tcW w:w="1494" w:type="dxa"/>
                  <w:tcBorders>
                    <w:top w:val="nil"/>
                    <w:left w:val="nil"/>
                    <w:bottom w:val="nil"/>
                    <w:right w:val="nil"/>
                  </w:tcBorders>
                  <w:noWrap/>
                  <w:vAlign w:val="bottom"/>
                  <w:hideMark/>
                </w:tcPr>
                <w:p w14:paraId="31B5A508"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0.227296361</w:t>
                  </w:r>
                </w:p>
              </w:tc>
            </w:tr>
            <w:tr w:rsidR="006C1286" w:rsidRPr="0069501D" w14:paraId="7754B6DF" w14:textId="77777777" w:rsidTr="003D2E1F">
              <w:trPr>
                <w:trHeight w:val="320"/>
              </w:trPr>
              <w:tc>
                <w:tcPr>
                  <w:tcW w:w="2786" w:type="dxa"/>
                  <w:tcBorders>
                    <w:top w:val="nil"/>
                    <w:left w:val="nil"/>
                    <w:bottom w:val="nil"/>
                    <w:right w:val="nil"/>
                  </w:tcBorders>
                  <w:noWrap/>
                  <w:vAlign w:val="bottom"/>
                  <w:hideMark/>
                </w:tcPr>
                <w:p w14:paraId="40A10F66"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Maximum</w:t>
                  </w:r>
                </w:p>
              </w:tc>
              <w:tc>
                <w:tcPr>
                  <w:tcW w:w="1494" w:type="dxa"/>
                  <w:tcBorders>
                    <w:top w:val="nil"/>
                    <w:left w:val="nil"/>
                    <w:bottom w:val="nil"/>
                    <w:right w:val="nil"/>
                  </w:tcBorders>
                  <w:noWrap/>
                  <w:vAlign w:val="bottom"/>
                  <w:hideMark/>
                </w:tcPr>
                <w:p w14:paraId="7DD88AE0"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0.337048538</w:t>
                  </w:r>
                </w:p>
              </w:tc>
            </w:tr>
            <w:tr w:rsidR="006C1286" w:rsidRPr="0069501D" w14:paraId="4983702C" w14:textId="77777777" w:rsidTr="003D2E1F">
              <w:trPr>
                <w:trHeight w:val="320"/>
              </w:trPr>
              <w:tc>
                <w:tcPr>
                  <w:tcW w:w="2786" w:type="dxa"/>
                  <w:tcBorders>
                    <w:top w:val="nil"/>
                    <w:left w:val="nil"/>
                    <w:bottom w:val="nil"/>
                    <w:right w:val="nil"/>
                  </w:tcBorders>
                  <w:noWrap/>
                  <w:vAlign w:val="bottom"/>
                  <w:hideMark/>
                </w:tcPr>
                <w:p w14:paraId="07F880D3"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Sum</w:t>
                  </w:r>
                </w:p>
              </w:tc>
              <w:tc>
                <w:tcPr>
                  <w:tcW w:w="1494" w:type="dxa"/>
                  <w:tcBorders>
                    <w:top w:val="nil"/>
                    <w:left w:val="nil"/>
                    <w:bottom w:val="nil"/>
                    <w:right w:val="nil"/>
                  </w:tcBorders>
                  <w:noWrap/>
                  <w:vAlign w:val="bottom"/>
                  <w:hideMark/>
                </w:tcPr>
                <w:p w14:paraId="6372E336"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27.36159316</w:t>
                  </w:r>
                </w:p>
              </w:tc>
            </w:tr>
            <w:tr w:rsidR="006C1286" w:rsidRPr="0069501D" w14:paraId="577CF2C5" w14:textId="77777777" w:rsidTr="003D2E1F">
              <w:trPr>
                <w:trHeight w:val="320"/>
              </w:trPr>
              <w:tc>
                <w:tcPr>
                  <w:tcW w:w="2786" w:type="dxa"/>
                  <w:tcBorders>
                    <w:top w:val="nil"/>
                    <w:left w:val="nil"/>
                    <w:bottom w:val="nil"/>
                    <w:right w:val="nil"/>
                  </w:tcBorders>
                  <w:noWrap/>
                  <w:vAlign w:val="bottom"/>
                  <w:hideMark/>
                </w:tcPr>
                <w:p w14:paraId="527334DB"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Count</w:t>
                  </w:r>
                </w:p>
              </w:tc>
              <w:tc>
                <w:tcPr>
                  <w:tcW w:w="1494" w:type="dxa"/>
                  <w:tcBorders>
                    <w:top w:val="nil"/>
                    <w:left w:val="nil"/>
                    <w:bottom w:val="nil"/>
                    <w:right w:val="nil"/>
                  </w:tcBorders>
                  <w:noWrap/>
                  <w:vAlign w:val="bottom"/>
                  <w:hideMark/>
                </w:tcPr>
                <w:p w14:paraId="28BF8C7A"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100</w:t>
                  </w:r>
                </w:p>
              </w:tc>
            </w:tr>
            <w:tr w:rsidR="006C1286" w:rsidRPr="0069501D" w14:paraId="24A99BA8" w14:textId="77777777" w:rsidTr="003D2E1F">
              <w:trPr>
                <w:trHeight w:val="320"/>
              </w:trPr>
              <w:tc>
                <w:tcPr>
                  <w:tcW w:w="2786" w:type="dxa"/>
                  <w:tcBorders>
                    <w:top w:val="nil"/>
                    <w:left w:val="nil"/>
                    <w:bottom w:val="nil"/>
                    <w:right w:val="nil"/>
                  </w:tcBorders>
                  <w:noWrap/>
                  <w:vAlign w:val="bottom"/>
                  <w:hideMark/>
                </w:tcPr>
                <w:p w14:paraId="6F7A5039" w14:textId="77777777" w:rsidR="006C1286" w:rsidRPr="0069501D" w:rsidRDefault="006C1286" w:rsidP="003D2E1F">
                  <w:pPr>
                    <w:rPr>
                      <w:rFonts w:ascii="Aptos Narrow" w:hAnsi="Aptos Narrow"/>
                      <w:color w:val="000000"/>
                      <w:sz w:val="16"/>
                      <w:szCs w:val="16"/>
                    </w:rPr>
                  </w:pPr>
                  <w:proofErr w:type="gramStart"/>
                  <w:r w:rsidRPr="0069501D">
                    <w:rPr>
                      <w:rFonts w:ascii="Aptos Narrow" w:hAnsi="Aptos Narrow"/>
                      <w:color w:val="000000"/>
                      <w:sz w:val="16"/>
                      <w:szCs w:val="16"/>
                    </w:rPr>
                    <w:t>Largest(</w:t>
                  </w:r>
                  <w:proofErr w:type="gramEnd"/>
                  <w:r w:rsidRPr="0069501D">
                    <w:rPr>
                      <w:rFonts w:ascii="Aptos Narrow" w:hAnsi="Aptos Narrow"/>
                      <w:color w:val="000000"/>
                      <w:sz w:val="16"/>
                      <w:szCs w:val="16"/>
                    </w:rPr>
                    <w:t>1)</w:t>
                  </w:r>
                </w:p>
              </w:tc>
              <w:tc>
                <w:tcPr>
                  <w:tcW w:w="1494" w:type="dxa"/>
                  <w:tcBorders>
                    <w:top w:val="nil"/>
                    <w:left w:val="nil"/>
                    <w:bottom w:val="nil"/>
                    <w:right w:val="nil"/>
                  </w:tcBorders>
                  <w:noWrap/>
                  <w:vAlign w:val="bottom"/>
                  <w:hideMark/>
                </w:tcPr>
                <w:p w14:paraId="426480AF"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0.337048538</w:t>
                  </w:r>
                </w:p>
              </w:tc>
            </w:tr>
            <w:tr w:rsidR="006C1286" w:rsidRPr="0069501D" w14:paraId="6BD062F9" w14:textId="77777777" w:rsidTr="003D2E1F">
              <w:trPr>
                <w:trHeight w:val="320"/>
              </w:trPr>
              <w:tc>
                <w:tcPr>
                  <w:tcW w:w="2786" w:type="dxa"/>
                  <w:tcBorders>
                    <w:top w:val="nil"/>
                    <w:left w:val="nil"/>
                    <w:bottom w:val="nil"/>
                    <w:right w:val="nil"/>
                  </w:tcBorders>
                  <w:noWrap/>
                  <w:vAlign w:val="bottom"/>
                  <w:hideMark/>
                </w:tcPr>
                <w:p w14:paraId="19C54CF5" w14:textId="77777777" w:rsidR="006C1286" w:rsidRPr="0069501D" w:rsidRDefault="006C1286" w:rsidP="003D2E1F">
                  <w:pPr>
                    <w:rPr>
                      <w:rFonts w:ascii="Aptos Narrow" w:hAnsi="Aptos Narrow"/>
                      <w:color w:val="000000"/>
                      <w:sz w:val="16"/>
                      <w:szCs w:val="16"/>
                    </w:rPr>
                  </w:pPr>
                  <w:proofErr w:type="gramStart"/>
                  <w:r w:rsidRPr="0069501D">
                    <w:rPr>
                      <w:rFonts w:ascii="Aptos Narrow" w:hAnsi="Aptos Narrow"/>
                      <w:color w:val="000000"/>
                      <w:sz w:val="16"/>
                      <w:szCs w:val="16"/>
                    </w:rPr>
                    <w:t>Smallest(</w:t>
                  </w:r>
                  <w:proofErr w:type="gramEnd"/>
                  <w:r w:rsidRPr="0069501D">
                    <w:rPr>
                      <w:rFonts w:ascii="Aptos Narrow" w:hAnsi="Aptos Narrow"/>
                      <w:color w:val="000000"/>
                      <w:sz w:val="16"/>
                      <w:szCs w:val="16"/>
                    </w:rPr>
                    <w:t>1)</w:t>
                  </w:r>
                </w:p>
              </w:tc>
              <w:tc>
                <w:tcPr>
                  <w:tcW w:w="1494" w:type="dxa"/>
                  <w:tcBorders>
                    <w:top w:val="nil"/>
                    <w:left w:val="nil"/>
                    <w:bottom w:val="nil"/>
                    <w:right w:val="nil"/>
                  </w:tcBorders>
                  <w:noWrap/>
                  <w:vAlign w:val="bottom"/>
                  <w:hideMark/>
                </w:tcPr>
                <w:p w14:paraId="41260D13"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0.227296361</w:t>
                  </w:r>
                </w:p>
              </w:tc>
            </w:tr>
            <w:tr w:rsidR="006C1286" w:rsidRPr="0069501D" w14:paraId="7927FE74" w14:textId="77777777" w:rsidTr="003D2E1F">
              <w:trPr>
                <w:trHeight w:val="340"/>
              </w:trPr>
              <w:tc>
                <w:tcPr>
                  <w:tcW w:w="2786" w:type="dxa"/>
                  <w:tcBorders>
                    <w:top w:val="nil"/>
                    <w:left w:val="nil"/>
                    <w:bottom w:val="single" w:sz="8" w:space="0" w:color="auto"/>
                    <w:right w:val="nil"/>
                  </w:tcBorders>
                  <w:noWrap/>
                  <w:vAlign w:val="bottom"/>
                  <w:hideMark/>
                </w:tcPr>
                <w:p w14:paraId="3471D8D4"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 xml:space="preserve">Confidence </w:t>
                  </w:r>
                  <w:proofErr w:type="gramStart"/>
                  <w:r w:rsidRPr="0069501D">
                    <w:rPr>
                      <w:rFonts w:ascii="Aptos Narrow" w:hAnsi="Aptos Narrow"/>
                      <w:color w:val="000000"/>
                      <w:sz w:val="16"/>
                      <w:szCs w:val="16"/>
                    </w:rPr>
                    <w:t>Level(</w:t>
                  </w:r>
                  <w:proofErr w:type="gramEnd"/>
                  <w:r w:rsidRPr="0069501D">
                    <w:rPr>
                      <w:rFonts w:ascii="Aptos Narrow" w:hAnsi="Aptos Narrow"/>
                      <w:color w:val="000000"/>
                      <w:sz w:val="16"/>
                      <w:szCs w:val="16"/>
                    </w:rPr>
                    <w:t>95.0%)</w:t>
                  </w:r>
                </w:p>
              </w:tc>
              <w:tc>
                <w:tcPr>
                  <w:tcW w:w="1494" w:type="dxa"/>
                  <w:tcBorders>
                    <w:top w:val="nil"/>
                    <w:left w:val="nil"/>
                    <w:bottom w:val="single" w:sz="8" w:space="0" w:color="auto"/>
                    <w:right w:val="nil"/>
                  </w:tcBorders>
                  <w:noWrap/>
                  <w:vAlign w:val="bottom"/>
                  <w:hideMark/>
                </w:tcPr>
                <w:p w14:paraId="0E9805ED"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0.00657728</w:t>
                  </w:r>
                </w:p>
              </w:tc>
            </w:tr>
          </w:tbl>
          <w:p w14:paraId="0E59B289" w14:textId="77777777" w:rsidR="006C1286" w:rsidRPr="0069501D" w:rsidRDefault="006C1286" w:rsidP="003D2E1F">
            <w:pPr>
              <w:jc w:val="both"/>
              <w:rPr>
                <w:b/>
                <w:bCs/>
                <w:sz w:val="16"/>
                <w:szCs w:val="16"/>
              </w:rPr>
            </w:pPr>
          </w:p>
        </w:tc>
      </w:tr>
      <w:tr w:rsidR="006C1286" w:rsidRPr="0069501D" w14:paraId="1530487C" w14:textId="77777777" w:rsidTr="003D2E1F">
        <w:tc>
          <w:tcPr>
            <w:tcW w:w="4675" w:type="dxa"/>
          </w:tcPr>
          <w:p w14:paraId="3295D2F8" w14:textId="77777777" w:rsidR="006C1286" w:rsidRPr="0069501D" w:rsidRDefault="006C1286" w:rsidP="003D2E1F">
            <w:pPr>
              <w:jc w:val="both"/>
              <w:rPr>
                <w:b/>
                <w:bCs/>
                <w:sz w:val="16"/>
                <w:szCs w:val="16"/>
              </w:rPr>
            </w:pPr>
          </w:p>
          <w:tbl>
            <w:tblPr>
              <w:tblW w:w="4360" w:type="dxa"/>
              <w:tblLook w:val="04A0" w:firstRow="1" w:lastRow="0" w:firstColumn="1" w:lastColumn="0" w:noHBand="0" w:noVBand="1"/>
            </w:tblPr>
            <w:tblGrid>
              <w:gridCol w:w="2569"/>
              <w:gridCol w:w="1464"/>
            </w:tblGrid>
            <w:tr w:rsidR="006C1286" w:rsidRPr="004B4AB5" w14:paraId="6A00E0ED" w14:textId="77777777" w:rsidTr="003D2E1F">
              <w:trPr>
                <w:trHeight w:val="320"/>
              </w:trPr>
              <w:tc>
                <w:tcPr>
                  <w:tcW w:w="4360" w:type="dxa"/>
                  <w:gridSpan w:val="2"/>
                  <w:tcBorders>
                    <w:top w:val="single" w:sz="8" w:space="0" w:color="auto"/>
                    <w:left w:val="nil"/>
                    <w:bottom w:val="single" w:sz="4" w:space="0" w:color="auto"/>
                    <w:right w:val="nil"/>
                  </w:tcBorders>
                  <w:noWrap/>
                  <w:vAlign w:val="bottom"/>
                  <w:hideMark/>
                </w:tcPr>
                <w:p w14:paraId="38CB4AC9" w14:textId="77777777" w:rsidR="006C1286" w:rsidRPr="0069501D" w:rsidRDefault="006C1286" w:rsidP="003D2E1F">
                  <w:pPr>
                    <w:jc w:val="center"/>
                    <w:rPr>
                      <w:rFonts w:ascii="Aptos Narrow" w:hAnsi="Aptos Narrow"/>
                      <w:i/>
                      <w:iCs/>
                      <w:color w:val="000000"/>
                      <w:sz w:val="16"/>
                      <w:szCs w:val="16"/>
                    </w:rPr>
                  </w:pPr>
                  <w:proofErr w:type="gramStart"/>
                  <w:r w:rsidRPr="0069501D">
                    <w:rPr>
                      <w:rFonts w:ascii="Aptos Narrow" w:hAnsi="Aptos Narrow"/>
                      <w:i/>
                      <w:iCs/>
                      <w:color w:val="000000"/>
                      <w:sz w:val="16"/>
                      <w:szCs w:val="16"/>
                    </w:rPr>
                    <w:t>Electrolysis(</w:t>
                  </w:r>
                  <w:proofErr w:type="gramEnd"/>
                  <w:r w:rsidRPr="0069501D">
                    <w:rPr>
                      <w:rFonts w:ascii="Aptos Narrow" w:hAnsi="Aptos Narrow"/>
                      <w:i/>
                      <w:iCs/>
                      <w:color w:val="000000"/>
                      <w:sz w:val="16"/>
                      <w:szCs w:val="16"/>
                    </w:rPr>
                    <w:t>Hydro)_Global warming (kgCO2eq)</w:t>
                  </w:r>
                </w:p>
              </w:tc>
            </w:tr>
            <w:tr w:rsidR="006C1286" w:rsidRPr="004B4AB5" w14:paraId="51A6C252" w14:textId="77777777" w:rsidTr="003D2E1F">
              <w:trPr>
                <w:trHeight w:val="320"/>
              </w:trPr>
              <w:tc>
                <w:tcPr>
                  <w:tcW w:w="2783" w:type="dxa"/>
                  <w:tcBorders>
                    <w:top w:val="nil"/>
                    <w:left w:val="nil"/>
                    <w:bottom w:val="nil"/>
                    <w:right w:val="nil"/>
                  </w:tcBorders>
                  <w:noWrap/>
                  <w:vAlign w:val="bottom"/>
                  <w:hideMark/>
                </w:tcPr>
                <w:p w14:paraId="3EC1D11E" w14:textId="77777777" w:rsidR="006C1286" w:rsidRPr="0069501D" w:rsidRDefault="006C1286" w:rsidP="003D2E1F">
                  <w:pPr>
                    <w:jc w:val="center"/>
                    <w:rPr>
                      <w:rFonts w:ascii="Aptos Narrow" w:hAnsi="Aptos Narrow"/>
                      <w:i/>
                      <w:iCs/>
                      <w:color w:val="000000"/>
                      <w:sz w:val="16"/>
                      <w:szCs w:val="16"/>
                    </w:rPr>
                  </w:pPr>
                </w:p>
              </w:tc>
              <w:tc>
                <w:tcPr>
                  <w:tcW w:w="1577" w:type="dxa"/>
                  <w:tcBorders>
                    <w:top w:val="nil"/>
                    <w:left w:val="nil"/>
                    <w:bottom w:val="nil"/>
                    <w:right w:val="nil"/>
                  </w:tcBorders>
                  <w:noWrap/>
                  <w:vAlign w:val="bottom"/>
                  <w:hideMark/>
                </w:tcPr>
                <w:p w14:paraId="2C8050C1" w14:textId="77777777" w:rsidR="006C1286" w:rsidRPr="0069501D" w:rsidRDefault="006C1286" w:rsidP="003D2E1F">
                  <w:pPr>
                    <w:rPr>
                      <w:sz w:val="16"/>
                      <w:szCs w:val="16"/>
                    </w:rPr>
                  </w:pPr>
                </w:p>
              </w:tc>
            </w:tr>
            <w:tr w:rsidR="006C1286" w:rsidRPr="0069501D" w14:paraId="2D97F43E" w14:textId="77777777" w:rsidTr="003D2E1F">
              <w:trPr>
                <w:trHeight w:val="320"/>
              </w:trPr>
              <w:tc>
                <w:tcPr>
                  <w:tcW w:w="2783" w:type="dxa"/>
                  <w:tcBorders>
                    <w:top w:val="nil"/>
                    <w:left w:val="nil"/>
                    <w:bottom w:val="nil"/>
                    <w:right w:val="nil"/>
                  </w:tcBorders>
                  <w:noWrap/>
                  <w:vAlign w:val="bottom"/>
                  <w:hideMark/>
                </w:tcPr>
                <w:p w14:paraId="0579A533"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Mean</w:t>
                  </w:r>
                </w:p>
              </w:tc>
              <w:tc>
                <w:tcPr>
                  <w:tcW w:w="1577" w:type="dxa"/>
                  <w:tcBorders>
                    <w:top w:val="nil"/>
                    <w:left w:val="nil"/>
                    <w:bottom w:val="nil"/>
                    <w:right w:val="nil"/>
                  </w:tcBorders>
                  <w:noWrap/>
                  <w:vAlign w:val="bottom"/>
                  <w:hideMark/>
                </w:tcPr>
                <w:p w14:paraId="26C34E1A"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156.5210662</w:t>
                  </w:r>
                </w:p>
              </w:tc>
            </w:tr>
            <w:tr w:rsidR="006C1286" w:rsidRPr="0069501D" w14:paraId="537B849B" w14:textId="77777777" w:rsidTr="003D2E1F">
              <w:trPr>
                <w:trHeight w:val="320"/>
              </w:trPr>
              <w:tc>
                <w:tcPr>
                  <w:tcW w:w="2783" w:type="dxa"/>
                  <w:tcBorders>
                    <w:top w:val="nil"/>
                    <w:left w:val="nil"/>
                    <w:bottom w:val="nil"/>
                    <w:right w:val="nil"/>
                  </w:tcBorders>
                  <w:noWrap/>
                  <w:vAlign w:val="bottom"/>
                  <w:hideMark/>
                </w:tcPr>
                <w:p w14:paraId="3981BC3A"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Standard Error</w:t>
                  </w:r>
                </w:p>
              </w:tc>
              <w:tc>
                <w:tcPr>
                  <w:tcW w:w="1577" w:type="dxa"/>
                  <w:tcBorders>
                    <w:top w:val="nil"/>
                    <w:left w:val="nil"/>
                    <w:bottom w:val="nil"/>
                    <w:right w:val="nil"/>
                  </w:tcBorders>
                  <w:noWrap/>
                  <w:vAlign w:val="bottom"/>
                  <w:hideMark/>
                </w:tcPr>
                <w:p w14:paraId="411EBE68"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2.05664793</w:t>
                  </w:r>
                </w:p>
              </w:tc>
            </w:tr>
            <w:tr w:rsidR="006C1286" w:rsidRPr="0069501D" w14:paraId="65266842" w14:textId="77777777" w:rsidTr="003D2E1F">
              <w:trPr>
                <w:trHeight w:val="320"/>
              </w:trPr>
              <w:tc>
                <w:tcPr>
                  <w:tcW w:w="2783" w:type="dxa"/>
                  <w:tcBorders>
                    <w:top w:val="nil"/>
                    <w:left w:val="nil"/>
                    <w:bottom w:val="nil"/>
                    <w:right w:val="nil"/>
                  </w:tcBorders>
                  <w:noWrap/>
                  <w:vAlign w:val="bottom"/>
                  <w:hideMark/>
                </w:tcPr>
                <w:p w14:paraId="449B0C92"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lastRenderedPageBreak/>
                    <w:t>Median</w:t>
                  </w:r>
                </w:p>
              </w:tc>
              <w:tc>
                <w:tcPr>
                  <w:tcW w:w="1577" w:type="dxa"/>
                  <w:tcBorders>
                    <w:top w:val="nil"/>
                    <w:left w:val="nil"/>
                    <w:bottom w:val="nil"/>
                    <w:right w:val="nil"/>
                  </w:tcBorders>
                  <w:noWrap/>
                  <w:vAlign w:val="bottom"/>
                  <w:hideMark/>
                </w:tcPr>
                <w:p w14:paraId="0B3E03DA"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152.9299804</w:t>
                  </w:r>
                </w:p>
              </w:tc>
            </w:tr>
            <w:tr w:rsidR="006C1286" w:rsidRPr="0069501D" w14:paraId="1A43D3AB" w14:textId="77777777" w:rsidTr="003D2E1F">
              <w:trPr>
                <w:trHeight w:val="320"/>
              </w:trPr>
              <w:tc>
                <w:tcPr>
                  <w:tcW w:w="2783" w:type="dxa"/>
                  <w:tcBorders>
                    <w:top w:val="nil"/>
                    <w:left w:val="nil"/>
                    <w:bottom w:val="nil"/>
                    <w:right w:val="nil"/>
                  </w:tcBorders>
                  <w:noWrap/>
                  <w:vAlign w:val="bottom"/>
                  <w:hideMark/>
                </w:tcPr>
                <w:p w14:paraId="0D7A904F"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Mode</w:t>
                  </w:r>
                </w:p>
              </w:tc>
              <w:tc>
                <w:tcPr>
                  <w:tcW w:w="1577" w:type="dxa"/>
                  <w:tcBorders>
                    <w:top w:val="nil"/>
                    <w:left w:val="nil"/>
                    <w:bottom w:val="nil"/>
                    <w:right w:val="nil"/>
                  </w:tcBorders>
                  <w:noWrap/>
                  <w:vAlign w:val="bottom"/>
                  <w:hideMark/>
                </w:tcPr>
                <w:p w14:paraId="31FEE27E" w14:textId="77777777" w:rsidR="006C1286" w:rsidRPr="0069501D" w:rsidRDefault="006C1286" w:rsidP="003D2E1F">
                  <w:pPr>
                    <w:jc w:val="center"/>
                    <w:rPr>
                      <w:rFonts w:ascii="Aptos Narrow" w:hAnsi="Aptos Narrow"/>
                      <w:color w:val="000000"/>
                      <w:sz w:val="16"/>
                      <w:szCs w:val="16"/>
                    </w:rPr>
                  </w:pPr>
                  <w:r w:rsidRPr="0069501D">
                    <w:rPr>
                      <w:rFonts w:ascii="Aptos Narrow" w:hAnsi="Aptos Narrow"/>
                      <w:color w:val="000000"/>
                      <w:sz w:val="16"/>
                      <w:szCs w:val="16"/>
                    </w:rPr>
                    <w:t>#N/A</w:t>
                  </w:r>
                </w:p>
              </w:tc>
            </w:tr>
            <w:tr w:rsidR="006C1286" w:rsidRPr="0069501D" w14:paraId="6F09EA64" w14:textId="77777777" w:rsidTr="003D2E1F">
              <w:trPr>
                <w:trHeight w:val="320"/>
              </w:trPr>
              <w:tc>
                <w:tcPr>
                  <w:tcW w:w="2783" w:type="dxa"/>
                  <w:tcBorders>
                    <w:top w:val="nil"/>
                    <w:left w:val="nil"/>
                    <w:bottom w:val="nil"/>
                    <w:right w:val="nil"/>
                  </w:tcBorders>
                  <w:noWrap/>
                  <w:vAlign w:val="bottom"/>
                  <w:hideMark/>
                </w:tcPr>
                <w:p w14:paraId="371BFD12"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Standard Deviation</w:t>
                  </w:r>
                </w:p>
              </w:tc>
              <w:tc>
                <w:tcPr>
                  <w:tcW w:w="1577" w:type="dxa"/>
                  <w:tcBorders>
                    <w:top w:val="nil"/>
                    <w:left w:val="nil"/>
                    <w:bottom w:val="nil"/>
                    <w:right w:val="nil"/>
                  </w:tcBorders>
                  <w:noWrap/>
                  <w:vAlign w:val="bottom"/>
                  <w:hideMark/>
                </w:tcPr>
                <w:p w14:paraId="47C86CFC"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20.5664793</w:t>
                  </w:r>
                </w:p>
              </w:tc>
            </w:tr>
            <w:tr w:rsidR="006C1286" w:rsidRPr="0069501D" w14:paraId="707AD06E" w14:textId="77777777" w:rsidTr="003D2E1F">
              <w:trPr>
                <w:trHeight w:val="320"/>
              </w:trPr>
              <w:tc>
                <w:tcPr>
                  <w:tcW w:w="2783" w:type="dxa"/>
                  <w:tcBorders>
                    <w:top w:val="nil"/>
                    <w:left w:val="nil"/>
                    <w:bottom w:val="nil"/>
                    <w:right w:val="nil"/>
                  </w:tcBorders>
                  <w:noWrap/>
                  <w:vAlign w:val="bottom"/>
                  <w:hideMark/>
                </w:tcPr>
                <w:p w14:paraId="6A71FF47"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Sample Variance</w:t>
                  </w:r>
                </w:p>
              </w:tc>
              <w:tc>
                <w:tcPr>
                  <w:tcW w:w="1577" w:type="dxa"/>
                  <w:tcBorders>
                    <w:top w:val="nil"/>
                    <w:left w:val="nil"/>
                    <w:bottom w:val="nil"/>
                    <w:right w:val="nil"/>
                  </w:tcBorders>
                  <w:noWrap/>
                  <w:vAlign w:val="bottom"/>
                  <w:hideMark/>
                </w:tcPr>
                <w:p w14:paraId="325B37DC"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422.9800708</w:t>
                  </w:r>
                </w:p>
              </w:tc>
            </w:tr>
            <w:tr w:rsidR="006C1286" w:rsidRPr="0069501D" w14:paraId="02E2CD38" w14:textId="77777777" w:rsidTr="003D2E1F">
              <w:trPr>
                <w:trHeight w:val="320"/>
              </w:trPr>
              <w:tc>
                <w:tcPr>
                  <w:tcW w:w="2783" w:type="dxa"/>
                  <w:tcBorders>
                    <w:top w:val="nil"/>
                    <w:left w:val="nil"/>
                    <w:bottom w:val="nil"/>
                    <w:right w:val="nil"/>
                  </w:tcBorders>
                  <w:noWrap/>
                  <w:vAlign w:val="bottom"/>
                  <w:hideMark/>
                </w:tcPr>
                <w:p w14:paraId="329B002D"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Kurtosis</w:t>
                  </w:r>
                </w:p>
              </w:tc>
              <w:tc>
                <w:tcPr>
                  <w:tcW w:w="1577" w:type="dxa"/>
                  <w:tcBorders>
                    <w:top w:val="nil"/>
                    <w:left w:val="nil"/>
                    <w:bottom w:val="nil"/>
                    <w:right w:val="nil"/>
                  </w:tcBorders>
                  <w:noWrap/>
                  <w:vAlign w:val="bottom"/>
                  <w:hideMark/>
                </w:tcPr>
                <w:p w14:paraId="7F628DB1"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-1.226075915</w:t>
                  </w:r>
                </w:p>
              </w:tc>
            </w:tr>
            <w:tr w:rsidR="006C1286" w:rsidRPr="0069501D" w14:paraId="49182D3B" w14:textId="77777777" w:rsidTr="003D2E1F">
              <w:trPr>
                <w:trHeight w:val="320"/>
              </w:trPr>
              <w:tc>
                <w:tcPr>
                  <w:tcW w:w="2783" w:type="dxa"/>
                  <w:tcBorders>
                    <w:top w:val="nil"/>
                    <w:left w:val="nil"/>
                    <w:bottom w:val="nil"/>
                    <w:right w:val="nil"/>
                  </w:tcBorders>
                  <w:noWrap/>
                  <w:vAlign w:val="bottom"/>
                  <w:hideMark/>
                </w:tcPr>
                <w:p w14:paraId="51E791DE"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Skewness</w:t>
                  </w:r>
                </w:p>
              </w:tc>
              <w:tc>
                <w:tcPr>
                  <w:tcW w:w="1577" w:type="dxa"/>
                  <w:tcBorders>
                    <w:top w:val="nil"/>
                    <w:left w:val="nil"/>
                    <w:bottom w:val="nil"/>
                    <w:right w:val="nil"/>
                  </w:tcBorders>
                  <w:noWrap/>
                  <w:vAlign w:val="bottom"/>
                  <w:hideMark/>
                </w:tcPr>
                <w:p w14:paraId="3BD3D827"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0.3447054</w:t>
                  </w:r>
                </w:p>
              </w:tc>
            </w:tr>
            <w:tr w:rsidR="006C1286" w:rsidRPr="0069501D" w14:paraId="69EF165B" w14:textId="77777777" w:rsidTr="003D2E1F">
              <w:trPr>
                <w:trHeight w:val="320"/>
              </w:trPr>
              <w:tc>
                <w:tcPr>
                  <w:tcW w:w="2783" w:type="dxa"/>
                  <w:tcBorders>
                    <w:top w:val="nil"/>
                    <w:left w:val="nil"/>
                    <w:bottom w:val="nil"/>
                    <w:right w:val="nil"/>
                  </w:tcBorders>
                  <w:noWrap/>
                  <w:vAlign w:val="bottom"/>
                  <w:hideMark/>
                </w:tcPr>
                <w:p w14:paraId="3F8BFAD6"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Range</w:t>
                  </w:r>
                </w:p>
              </w:tc>
              <w:tc>
                <w:tcPr>
                  <w:tcW w:w="1577" w:type="dxa"/>
                  <w:tcBorders>
                    <w:top w:val="nil"/>
                    <w:left w:val="nil"/>
                    <w:bottom w:val="nil"/>
                    <w:right w:val="nil"/>
                  </w:tcBorders>
                  <w:noWrap/>
                  <w:vAlign w:val="bottom"/>
                  <w:hideMark/>
                </w:tcPr>
                <w:p w14:paraId="7822CBBD"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63.28830781</w:t>
                  </w:r>
                </w:p>
              </w:tc>
            </w:tr>
            <w:tr w:rsidR="006C1286" w:rsidRPr="0069501D" w14:paraId="771D72F8" w14:textId="77777777" w:rsidTr="003D2E1F">
              <w:trPr>
                <w:trHeight w:val="320"/>
              </w:trPr>
              <w:tc>
                <w:tcPr>
                  <w:tcW w:w="2783" w:type="dxa"/>
                  <w:tcBorders>
                    <w:top w:val="nil"/>
                    <w:left w:val="nil"/>
                    <w:bottom w:val="nil"/>
                    <w:right w:val="nil"/>
                  </w:tcBorders>
                  <w:noWrap/>
                  <w:vAlign w:val="bottom"/>
                  <w:hideMark/>
                </w:tcPr>
                <w:p w14:paraId="14399546"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Minimum</w:t>
                  </w:r>
                </w:p>
              </w:tc>
              <w:tc>
                <w:tcPr>
                  <w:tcW w:w="1577" w:type="dxa"/>
                  <w:tcBorders>
                    <w:top w:val="nil"/>
                    <w:left w:val="nil"/>
                    <w:bottom w:val="nil"/>
                    <w:right w:val="nil"/>
                  </w:tcBorders>
                  <w:noWrap/>
                  <w:vAlign w:val="bottom"/>
                  <w:hideMark/>
                </w:tcPr>
                <w:p w14:paraId="00206DB5"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128.4431792</w:t>
                  </w:r>
                </w:p>
              </w:tc>
            </w:tr>
            <w:tr w:rsidR="006C1286" w:rsidRPr="0069501D" w14:paraId="49EB8A2C" w14:textId="77777777" w:rsidTr="003D2E1F">
              <w:trPr>
                <w:trHeight w:val="320"/>
              </w:trPr>
              <w:tc>
                <w:tcPr>
                  <w:tcW w:w="2783" w:type="dxa"/>
                  <w:tcBorders>
                    <w:top w:val="nil"/>
                    <w:left w:val="nil"/>
                    <w:bottom w:val="nil"/>
                    <w:right w:val="nil"/>
                  </w:tcBorders>
                  <w:noWrap/>
                  <w:vAlign w:val="bottom"/>
                  <w:hideMark/>
                </w:tcPr>
                <w:p w14:paraId="3FD09978"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Maximum</w:t>
                  </w:r>
                </w:p>
              </w:tc>
              <w:tc>
                <w:tcPr>
                  <w:tcW w:w="1577" w:type="dxa"/>
                  <w:tcBorders>
                    <w:top w:val="nil"/>
                    <w:left w:val="nil"/>
                    <w:bottom w:val="nil"/>
                    <w:right w:val="nil"/>
                  </w:tcBorders>
                  <w:noWrap/>
                  <w:vAlign w:val="bottom"/>
                  <w:hideMark/>
                </w:tcPr>
                <w:p w14:paraId="409C5EBF"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191.731487</w:t>
                  </w:r>
                </w:p>
              </w:tc>
            </w:tr>
            <w:tr w:rsidR="006C1286" w:rsidRPr="0069501D" w14:paraId="32369EC2" w14:textId="77777777" w:rsidTr="003D2E1F">
              <w:trPr>
                <w:trHeight w:val="320"/>
              </w:trPr>
              <w:tc>
                <w:tcPr>
                  <w:tcW w:w="2783" w:type="dxa"/>
                  <w:tcBorders>
                    <w:top w:val="nil"/>
                    <w:left w:val="nil"/>
                    <w:bottom w:val="nil"/>
                    <w:right w:val="nil"/>
                  </w:tcBorders>
                  <w:noWrap/>
                  <w:vAlign w:val="bottom"/>
                  <w:hideMark/>
                </w:tcPr>
                <w:p w14:paraId="6C208A15"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Sum</w:t>
                  </w:r>
                </w:p>
              </w:tc>
              <w:tc>
                <w:tcPr>
                  <w:tcW w:w="1577" w:type="dxa"/>
                  <w:tcBorders>
                    <w:top w:val="nil"/>
                    <w:left w:val="nil"/>
                    <w:bottom w:val="nil"/>
                    <w:right w:val="nil"/>
                  </w:tcBorders>
                  <w:noWrap/>
                  <w:vAlign w:val="bottom"/>
                  <w:hideMark/>
                </w:tcPr>
                <w:p w14:paraId="375E2823"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15652.10662</w:t>
                  </w:r>
                </w:p>
              </w:tc>
            </w:tr>
            <w:tr w:rsidR="006C1286" w:rsidRPr="0069501D" w14:paraId="2C8FC995" w14:textId="77777777" w:rsidTr="003D2E1F">
              <w:trPr>
                <w:trHeight w:val="320"/>
              </w:trPr>
              <w:tc>
                <w:tcPr>
                  <w:tcW w:w="2783" w:type="dxa"/>
                  <w:tcBorders>
                    <w:top w:val="nil"/>
                    <w:left w:val="nil"/>
                    <w:bottom w:val="nil"/>
                    <w:right w:val="nil"/>
                  </w:tcBorders>
                  <w:noWrap/>
                  <w:vAlign w:val="bottom"/>
                  <w:hideMark/>
                </w:tcPr>
                <w:p w14:paraId="74753C5C"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Count</w:t>
                  </w:r>
                </w:p>
              </w:tc>
              <w:tc>
                <w:tcPr>
                  <w:tcW w:w="1577" w:type="dxa"/>
                  <w:tcBorders>
                    <w:top w:val="nil"/>
                    <w:left w:val="nil"/>
                    <w:bottom w:val="nil"/>
                    <w:right w:val="nil"/>
                  </w:tcBorders>
                  <w:noWrap/>
                  <w:vAlign w:val="bottom"/>
                  <w:hideMark/>
                </w:tcPr>
                <w:p w14:paraId="509984FD"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100</w:t>
                  </w:r>
                </w:p>
              </w:tc>
            </w:tr>
            <w:tr w:rsidR="006C1286" w:rsidRPr="0069501D" w14:paraId="00BC629D" w14:textId="77777777" w:rsidTr="003D2E1F">
              <w:trPr>
                <w:trHeight w:val="320"/>
              </w:trPr>
              <w:tc>
                <w:tcPr>
                  <w:tcW w:w="2783" w:type="dxa"/>
                  <w:tcBorders>
                    <w:top w:val="nil"/>
                    <w:left w:val="nil"/>
                    <w:bottom w:val="nil"/>
                    <w:right w:val="nil"/>
                  </w:tcBorders>
                  <w:noWrap/>
                  <w:vAlign w:val="bottom"/>
                  <w:hideMark/>
                </w:tcPr>
                <w:p w14:paraId="233533A5" w14:textId="77777777" w:rsidR="006C1286" w:rsidRPr="0069501D" w:rsidRDefault="006C1286" w:rsidP="003D2E1F">
                  <w:pPr>
                    <w:rPr>
                      <w:rFonts w:ascii="Aptos Narrow" w:hAnsi="Aptos Narrow"/>
                      <w:color w:val="000000"/>
                      <w:sz w:val="16"/>
                      <w:szCs w:val="16"/>
                    </w:rPr>
                  </w:pPr>
                  <w:proofErr w:type="gramStart"/>
                  <w:r w:rsidRPr="0069501D">
                    <w:rPr>
                      <w:rFonts w:ascii="Aptos Narrow" w:hAnsi="Aptos Narrow"/>
                      <w:color w:val="000000"/>
                      <w:sz w:val="16"/>
                      <w:szCs w:val="16"/>
                    </w:rPr>
                    <w:t>Largest(</w:t>
                  </w:r>
                  <w:proofErr w:type="gramEnd"/>
                  <w:r w:rsidRPr="0069501D">
                    <w:rPr>
                      <w:rFonts w:ascii="Aptos Narrow" w:hAnsi="Aptos Narrow"/>
                      <w:color w:val="000000"/>
                      <w:sz w:val="16"/>
                      <w:szCs w:val="16"/>
                    </w:rPr>
                    <w:t>1)</w:t>
                  </w:r>
                </w:p>
              </w:tc>
              <w:tc>
                <w:tcPr>
                  <w:tcW w:w="1577" w:type="dxa"/>
                  <w:tcBorders>
                    <w:top w:val="nil"/>
                    <w:left w:val="nil"/>
                    <w:bottom w:val="nil"/>
                    <w:right w:val="nil"/>
                  </w:tcBorders>
                  <w:noWrap/>
                  <w:vAlign w:val="bottom"/>
                  <w:hideMark/>
                </w:tcPr>
                <w:p w14:paraId="4B0B049A"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191.731487</w:t>
                  </w:r>
                </w:p>
              </w:tc>
            </w:tr>
            <w:tr w:rsidR="006C1286" w:rsidRPr="0069501D" w14:paraId="2F32AA39" w14:textId="77777777" w:rsidTr="003D2E1F">
              <w:trPr>
                <w:trHeight w:val="320"/>
              </w:trPr>
              <w:tc>
                <w:tcPr>
                  <w:tcW w:w="2783" w:type="dxa"/>
                  <w:tcBorders>
                    <w:top w:val="nil"/>
                    <w:left w:val="nil"/>
                    <w:bottom w:val="nil"/>
                    <w:right w:val="nil"/>
                  </w:tcBorders>
                  <w:noWrap/>
                  <w:vAlign w:val="bottom"/>
                  <w:hideMark/>
                </w:tcPr>
                <w:p w14:paraId="561FCC45" w14:textId="77777777" w:rsidR="006C1286" w:rsidRPr="0069501D" w:rsidRDefault="006C1286" w:rsidP="003D2E1F">
                  <w:pPr>
                    <w:rPr>
                      <w:rFonts w:ascii="Aptos Narrow" w:hAnsi="Aptos Narrow"/>
                      <w:color w:val="000000"/>
                      <w:sz w:val="16"/>
                      <w:szCs w:val="16"/>
                    </w:rPr>
                  </w:pPr>
                  <w:proofErr w:type="gramStart"/>
                  <w:r w:rsidRPr="0069501D">
                    <w:rPr>
                      <w:rFonts w:ascii="Aptos Narrow" w:hAnsi="Aptos Narrow"/>
                      <w:color w:val="000000"/>
                      <w:sz w:val="16"/>
                      <w:szCs w:val="16"/>
                    </w:rPr>
                    <w:t>Smallest(</w:t>
                  </w:r>
                  <w:proofErr w:type="gramEnd"/>
                  <w:r w:rsidRPr="0069501D">
                    <w:rPr>
                      <w:rFonts w:ascii="Aptos Narrow" w:hAnsi="Aptos Narrow"/>
                      <w:color w:val="000000"/>
                      <w:sz w:val="16"/>
                      <w:szCs w:val="16"/>
                    </w:rPr>
                    <w:t>1)</w:t>
                  </w:r>
                </w:p>
              </w:tc>
              <w:tc>
                <w:tcPr>
                  <w:tcW w:w="1577" w:type="dxa"/>
                  <w:tcBorders>
                    <w:top w:val="nil"/>
                    <w:left w:val="nil"/>
                    <w:bottom w:val="nil"/>
                    <w:right w:val="nil"/>
                  </w:tcBorders>
                  <w:noWrap/>
                  <w:vAlign w:val="bottom"/>
                  <w:hideMark/>
                </w:tcPr>
                <w:p w14:paraId="1CEC457E"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128.4431792</w:t>
                  </w:r>
                </w:p>
              </w:tc>
            </w:tr>
            <w:tr w:rsidR="006C1286" w:rsidRPr="0069501D" w14:paraId="0999159A" w14:textId="77777777" w:rsidTr="003D2E1F">
              <w:trPr>
                <w:trHeight w:val="340"/>
              </w:trPr>
              <w:tc>
                <w:tcPr>
                  <w:tcW w:w="2783" w:type="dxa"/>
                  <w:tcBorders>
                    <w:top w:val="nil"/>
                    <w:left w:val="nil"/>
                    <w:bottom w:val="single" w:sz="8" w:space="0" w:color="auto"/>
                    <w:right w:val="nil"/>
                  </w:tcBorders>
                  <w:noWrap/>
                  <w:vAlign w:val="bottom"/>
                  <w:hideMark/>
                </w:tcPr>
                <w:p w14:paraId="45B91011"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 xml:space="preserve">Confidence </w:t>
                  </w:r>
                  <w:proofErr w:type="gramStart"/>
                  <w:r w:rsidRPr="0069501D">
                    <w:rPr>
                      <w:rFonts w:ascii="Aptos Narrow" w:hAnsi="Aptos Narrow"/>
                      <w:color w:val="000000"/>
                      <w:sz w:val="16"/>
                      <w:szCs w:val="16"/>
                    </w:rPr>
                    <w:t>Level(</w:t>
                  </w:r>
                  <w:proofErr w:type="gramEnd"/>
                  <w:r w:rsidRPr="0069501D">
                    <w:rPr>
                      <w:rFonts w:ascii="Aptos Narrow" w:hAnsi="Aptos Narrow"/>
                      <w:color w:val="000000"/>
                      <w:sz w:val="16"/>
                      <w:szCs w:val="16"/>
                    </w:rPr>
                    <w:t>95.0%)</w:t>
                  </w:r>
                </w:p>
              </w:tc>
              <w:tc>
                <w:tcPr>
                  <w:tcW w:w="1577" w:type="dxa"/>
                  <w:tcBorders>
                    <w:top w:val="nil"/>
                    <w:left w:val="nil"/>
                    <w:bottom w:val="single" w:sz="8" w:space="0" w:color="auto"/>
                    <w:right w:val="nil"/>
                  </w:tcBorders>
                  <w:noWrap/>
                  <w:vAlign w:val="bottom"/>
                  <w:hideMark/>
                </w:tcPr>
                <w:p w14:paraId="67AA4154"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4.080835686</w:t>
                  </w:r>
                </w:p>
              </w:tc>
            </w:tr>
          </w:tbl>
          <w:p w14:paraId="50DE5F81" w14:textId="77777777" w:rsidR="006C1286" w:rsidRPr="0069501D" w:rsidRDefault="006C1286" w:rsidP="003D2E1F">
            <w:pPr>
              <w:jc w:val="both"/>
              <w:rPr>
                <w:b/>
                <w:bCs/>
                <w:sz w:val="16"/>
                <w:szCs w:val="16"/>
              </w:rPr>
            </w:pPr>
          </w:p>
        </w:tc>
        <w:tc>
          <w:tcPr>
            <w:tcW w:w="4675" w:type="dxa"/>
          </w:tcPr>
          <w:p w14:paraId="7E02B84B" w14:textId="77777777" w:rsidR="006C1286" w:rsidRPr="0069501D" w:rsidRDefault="006C1286" w:rsidP="003D2E1F">
            <w:pPr>
              <w:jc w:val="both"/>
              <w:rPr>
                <w:b/>
                <w:bCs/>
                <w:sz w:val="16"/>
                <w:szCs w:val="16"/>
              </w:rPr>
            </w:pPr>
          </w:p>
          <w:tbl>
            <w:tblPr>
              <w:tblW w:w="4220" w:type="dxa"/>
              <w:tblLook w:val="04A0" w:firstRow="1" w:lastRow="0" w:firstColumn="1" w:lastColumn="0" w:noHBand="0" w:noVBand="1"/>
            </w:tblPr>
            <w:tblGrid>
              <w:gridCol w:w="2573"/>
              <w:gridCol w:w="1386"/>
            </w:tblGrid>
            <w:tr w:rsidR="006C1286" w:rsidRPr="004B4AB5" w14:paraId="44A45D95" w14:textId="77777777" w:rsidTr="003D2E1F">
              <w:trPr>
                <w:trHeight w:val="320"/>
              </w:trPr>
              <w:tc>
                <w:tcPr>
                  <w:tcW w:w="4220" w:type="dxa"/>
                  <w:gridSpan w:val="2"/>
                  <w:tcBorders>
                    <w:top w:val="single" w:sz="8" w:space="0" w:color="auto"/>
                    <w:left w:val="nil"/>
                    <w:bottom w:val="single" w:sz="4" w:space="0" w:color="auto"/>
                    <w:right w:val="nil"/>
                  </w:tcBorders>
                  <w:noWrap/>
                  <w:vAlign w:val="bottom"/>
                  <w:hideMark/>
                </w:tcPr>
                <w:p w14:paraId="49650CAE" w14:textId="77777777" w:rsidR="006C1286" w:rsidRPr="0069501D" w:rsidRDefault="006C1286" w:rsidP="003D2E1F">
                  <w:pPr>
                    <w:jc w:val="center"/>
                    <w:rPr>
                      <w:rFonts w:ascii="Aptos Narrow" w:hAnsi="Aptos Narrow"/>
                      <w:i/>
                      <w:iCs/>
                      <w:color w:val="000000"/>
                      <w:sz w:val="16"/>
                      <w:szCs w:val="16"/>
                    </w:rPr>
                  </w:pPr>
                  <w:proofErr w:type="gramStart"/>
                  <w:r w:rsidRPr="0069501D">
                    <w:rPr>
                      <w:rFonts w:ascii="Aptos Narrow" w:hAnsi="Aptos Narrow"/>
                      <w:i/>
                      <w:iCs/>
                      <w:color w:val="000000"/>
                      <w:sz w:val="16"/>
                      <w:szCs w:val="16"/>
                    </w:rPr>
                    <w:t>Electrolysis(</w:t>
                  </w:r>
                  <w:proofErr w:type="gramEnd"/>
                  <w:r w:rsidRPr="0069501D">
                    <w:rPr>
                      <w:rFonts w:ascii="Aptos Narrow" w:hAnsi="Aptos Narrow"/>
                      <w:i/>
                      <w:iCs/>
                      <w:color w:val="000000"/>
                      <w:sz w:val="16"/>
                      <w:szCs w:val="16"/>
                    </w:rPr>
                    <w:t>Grid)_Global warming (kgCO2eq)</w:t>
                  </w:r>
                </w:p>
              </w:tc>
            </w:tr>
            <w:tr w:rsidR="006C1286" w:rsidRPr="004B4AB5" w14:paraId="5FD9A87C" w14:textId="77777777" w:rsidTr="003D2E1F">
              <w:trPr>
                <w:trHeight w:val="320"/>
              </w:trPr>
              <w:tc>
                <w:tcPr>
                  <w:tcW w:w="2747" w:type="dxa"/>
                  <w:tcBorders>
                    <w:top w:val="nil"/>
                    <w:left w:val="nil"/>
                    <w:bottom w:val="nil"/>
                    <w:right w:val="nil"/>
                  </w:tcBorders>
                  <w:noWrap/>
                  <w:vAlign w:val="bottom"/>
                  <w:hideMark/>
                </w:tcPr>
                <w:p w14:paraId="70A6E5F5" w14:textId="77777777" w:rsidR="006C1286" w:rsidRPr="0069501D" w:rsidRDefault="006C1286" w:rsidP="003D2E1F">
                  <w:pPr>
                    <w:jc w:val="center"/>
                    <w:rPr>
                      <w:rFonts w:ascii="Aptos Narrow" w:hAnsi="Aptos Narrow"/>
                      <w:i/>
                      <w:iCs/>
                      <w:color w:val="000000"/>
                      <w:sz w:val="16"/>
                      <w:szCs w:val="16"/>
                    </w:rPr>
                  </w:pPr>
                </w:p>
              </w:tc>
              <w:tc>
                <w:tcPr>
                  <w:tcW w:w="1473" w:type="dxa"/>
                  <w:tcBorders>
                    <w:top w:val="nil"/>
                    <w:left w:val="nil"/>
                    <w:bottom w:val="nil"/>
                    <w:right w:val="nil"/>
                  </w:tcBorders>
                  <w:noWrap/>
                  <w:vAlign w:val="bottom"/>
                  <w:hideMark/>
                </w:tcPr>
                <w:p w14:paraId="4DD0D71F" w14:textId="77777777" w:rsidR="006C1286" w:rsidRPr="0069501D" w:rsidRDefault="006C1286" w:rsidP="003D2E1F">
                  <w:pPr>
                    <w:rPr>
                      <w:sz w:val="16"/>
                      <w:szCs w:val="16"/>
                    </w:rPr>
                  </w:pPr>
                </w:p>
              </w:tc>
            </w:tr>
            <w:tr w:rsidR="006C1286" w:rsidRPr="0069501D" w14:paraId="6A7BB509" w14:textId="77777777" w:rsidTr="003D2E1F">
              <w:trPr>
                <w:trHeight w:val="320"/>
              </w:trPr>
              <w:tc>
                <w:tcPr>
                  <w:tcW w:w="2747" w:type="dxa"/>
                  <w:tcBorders>
                    <w:top w:val="nil"/>
                    <w:left w:val="nil"/>
                    <w:bottom w:val="nil"/>
                    <w:right w:val="nil"/>
                  </w:tcBorders>
                  <w:noWrap/>
                  <w:vAlign w:val="bottom"/>
                  <w:hideMark/>
                </w:tcPr>
                <w:p w14:paraId="3C21904A"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Mean</w:t>
                  </w:r>
                </w:p>
              </w:tc>
              <w:tc>
                <w:tcPr>
                  <w:tcW w:w="1473" w:type="dxa"/>
                  <w:tcBorders>
                    <w:top w:val="nil"/>
                    <w:left w:val="nil"/>
                    <w:bottom w:val="nil"/>
                    <w:right w:val="nil"/>
                  </w:tcBorders>
                  <w:noWrap/>
                  <w:vAlign w:val="bottom"/>
                  <w:hideMark/>
                </w:tcPr>
                <w:p w14:paraId="6EA9284B"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-12.465009</w:t>
                  </w:r>
                </w:p>
              </w:tc>
            </w:tr>
            <w:tr w:rsidR="006C1286" w:rsidRPr="0069501D" w14:paraId="6C5A5270" w14:textId="77777777" w:rsidTr="003D2E1F">
              <w:trPr>
                <w:trHeight w:val="320"/>
              </w:trPr>
              <w:tc>
                <w:tcPr>
                  <w:tcW w:w="2747" w:type="dxa"/>
                  <w:tcBorders>
                    <w:top w:val="nil"/>
                    <w:left w:val="nil"/>
                    <w:bottom w:val="nil"/>
                    <w:right w:val="nil"/>
                  </w:tcBorders>
                  <w:noWrap/>
                  <w:vAlign w:val="bottom"/>
                  <w:hideMark/>
                </w:tcPr>
                <w:p w14:paraId="26DD1AC6"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Standard Error</w:t>
                  </w:r>
                </w:p>
              </w:tc>
              <w:tc>
                <w:tcPr>
                  <w:tcW w:w="1473" w:type="dxa"/>
                  <w:tcBorders>
                    <w:top w:val="nil"/>
                    <w:left w:val="nil"/>
                    <w:bottom w:val="nil"/>
                    <w:right w:val="nil"/>
                  </w:tcBorders>
                  <w:noWrap/>
                  <w:vAlign w:val="bottom"/>
                  <w:hideMark/>
                </w:tcPr>
                <w:p w14:paraId="0B58E51D"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0.146469263</w:t>
                  </w:r>
                </w:p>
              </w:tc>
            </w:tr>
            <w:tr w:rsidR="006C1286" w:rsidRPr="0069501D" w14:paraId="10555EA7" w14:textId="77777777" w:rsidTr="003D2E1F">
              <w:trPr>
                <w:trHeight w:val="320"/>
              </w:trPr>
              <w:tc>
                <w:tcPr>
                  <w:tcW w:w="2747" w:type="dxa"/>
                  <w:tcBorders>
                    <w:top w:val="nil"/>
                    <w:left w:val="nil"/>
                    <w:bottom w:val="nil"/>
                    <w:right w:val="nil"/>
                  </w:tcBorders>
                  <w:noWrap/>
                  <w:vAlign w:val="bottom"/>
                  <w:hideMark/>
                </w:tcPr>
                <w:p w14:paraId="601988C6"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lastRenderedPageBreak/>
                    <w:t>Median</w:t>
                  </w:r>
                </w:p>
              </w:tc>
              <w:tc>
                <w:tcPr>
                  <w:tcW w:w="1473" w:type="dxa"/>
                  <w:tcBorders>
                    <w:top w:val="nil"/>
                    <w:left w:val="nil"/>
                    <w:bottom w:val="nil"/>
                    <w:right w:val="nil"/>
                  </w:tcBorders>
                  <w:noWrap/>
                  <w:vAlign w:val="bottom"/>
                  <w:hideMark/>
                </w:tcPr>
                <w:p w14:paraId="4EA0F7F5"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-12.2341178</w:t>
                  </w:r>
                </w:p>
              </w:tc>
            </w:tr>
            <w:tr w:rsidR="006C1286" w:rsidRPr="0069501D" w14:paraId="29F319B7" w14:textId="77777777" w:rsidTr="003D2E1F">
              <w:trPr>
                <w:trHeight w:val="320"/>
              </w:trPr>
              <w:tc>
                <w:tcPr>
                  <w:tcW w:w="2747" w:type="dxa"/>
                  <w:tcBorders>
                    <w:top w:val="nil"/>
                    <w:left w:val="nil"/>
                    <w:bottom w:val="nil"/>
                    <w:right w:val="nil"/>
                  </w:tcBorders>
                  <w:noWrap/>
                  <w:vAlign w:val="bottom"/>
                  <w:hideMark/>
                </w:tcPr>
                <w:p w14:paraId="361CEEAE"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Mode</w:t>
                  </w:r>
                </w:p>
              </w:tc>
              <w:tc>
                <w:tcPr>
                  <w:tcW w:w="1473" w:type="dxa"/>
                  <w:tcBorders>
                    <w:top w:val="nil"/>
                    <w:left w:val="nil"/>
                    <w:bottom w:val="nil"/>
                    <w:right w:val="nil"/>
                  </w:tcBorders>
                  <w:noWrap/>
                  <w:vAlign w:val="bottom"/>
                  <w:hideMark/>
                </w:tcPr>
                <w:p w14:paraId="0EFD6407" w14:textId="77777777" w:rsidR="006C1286" w:rsidRPr="0069501D" w:rsidRDefault="006C1286" w:rsidP="003D2E1F">
                  <w:pPr>
                    <w:jc w:val="center"/>
                    <w:rPr>
                      <w:rFonts w:ascii="Aptos Narrow" w:hAnsi="Aptos Narrow"/>
                      <w:color w:val="000000"/>
                      <w:sz w:val="16"/>
                      <w:szCs w:val="16"/>
                    </w:rPr>
                  </w:pPr>
                  <w:r w:rsidRPr="0069501D">
                    <w:rPr>
                      <w:rFonts w:ascii="Aptos Narrow" w:hAnsi="Aptos Narrow"/>
                      <w:color w:val="000000"/>
                      <w:sz w:val="16"/>
                      <w:szCs w:val="16"/>
                    </w:rPr>
                    <w:t>#N/A</w:t>
                  </w:r>
                </w:p>
              </w:tc>
            </w:tr>
            <w:tr w:rsidR="006C1286" w:rsidRPr="0069501D" w14:paraId="4657572F" w14:textId="77777777" w:rsidTr="003D2E1F">
              <w:trPr>
                <w:trHeight w:val="320"/>
              </w:trPr>
              <w:tc>
                <w:tcPr>
                  <w:tcW w:w="2747" w:type="dxa"/>
                  <w:tcBorders>
                    <w:top w:val="nil"/>
                    <w:left w:val="nil"/>
                    <w:bottom w:val="nil"/>
                    <w:right w:val="nil"/>
                  </w:tcBorders>
                  <w:noWrap/>
                  <w:vAlign w:val="bottom"/>
                  <w:hideMark/>
                </w:tcPr>
                <w:p w14:paraId="6E2E4BA8"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Standard Deviation</w:t>
                  </w:r>
                </w:p>
              </w:tc>
              <w:tc>
                <w:tcPr>
                  <w:tcW w:w="1473" w:type="dxa"/>
                  <w:tcBorders>
                    <w:top w:val="nil"/>
                    <w:left w:val="nil"/>
                    <w:bottom w:val="nil"/>
                    <w:right w:val="nil"/>
                  </w:tcBorders>
                  <w:noWrap/>
                  <w:vAlign w:val="bottom"/>
                  <w:hideMark/>
                </w:tcPr>
                <w:p w14:paraId="0119657F"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1.464692632</w:t>
                  </w:r>
                </w:p>
              </w:tc>
            </w:tr>
            <w:tr w:rsidR="006C1286" w:rsidRPr="0069501D" w14:paraId="369A34E4" w14:textId="77777777" w:rsidTr="003D2E1F">
              <w:trPr>
                <w:trHeight w:val="320"/>
              </w:trPr>
              <w:tc>
                <w:tcPr>
                  <w:tcW w:w="2747" w:type="dxa"/>
                  <w:tcBorders>
                    <w:top w:val="nil"/>
                    <w:left w:val="nil"/>
                    <w:bottom w:val="nil"/>
                    <w:right w:val="nil"/>
                  </w:tcBorders>
                  <w:noWrap/>
                  <w:vAlign w:val="bottom"/>
                  <w:hideMark/>
                </w:tcPr>
                <w:p w14:paraId="1FB879B3"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Sample Variance</w:t>
                  </w:r>
                </w:p>
              </w:tc>
              <w:tc>
                <w:tcPr>
                  <w:tcW w:w="1473" w:type="dxa"/>
                  <w:tcBorders>
                    <w:top w:val="nil"/>
                    <w:left w:val="nil"/>
                    <w:bottom w:val="nil"/>
                    <w:right w:val="nil"/>
                  </w:tcBorders>
                  <w:noWrap/>
                  <w:vAlign w:val="bottom"/>
                  <w:hideMark/>
                </w:tcPr>
                <w:p w14:paraId="03217BE2"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2.145324507</w:t>
                  </w:r>
                </w:p>
              </w:tc>
            </w:tr>
            <w:tr w:rsidR="006C1286" w:rsidRPr="0069501D" w14:paraId="1491B729" w14:textId="77777777" w:rsidTr="003D2E1F">
              <w:trPr>
                <w:trHeight w:val="320"/>
              </w:trPr>
              <w:tc>
                <w:tcPr>
                  <w:tcW w:w="2747" w:type="dxa"/>
                  <w:tcBorders>
                    <w:top w:val="nil"/>
                    <w:left w:val="nil"/>
                    <w:bottom w:val="nil"/>
                    <w:right w:val="nil"/>
                  </w:tcBorders>
                  <w:noWrap/>
                  <w:vAlign w:val="bottom"/>
                  <w:hideMark/>
                </w:tcPr>
                <w:p w14:paraId="54EBD39D"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Kurtosis</w:t>
                  </w:r>
                </w:p>
              </w:tc>
              <w:tc>
                <w:tcPr>
                  <w:tcW w:w="1473" w:type="dxa"/>
                  <w:tcBorders>
                    <w:top w:val="nil"/>
                    <w:left w:val="nil"/>
                    <w:bottom w:val="nil"/>
                    <w:right w:val="nil"/>
                  </w:tcBorders>
                  <w:noWrap/>
                  <w:vAlign w:val="bottom"/>
                  <w:hideMark/>
                </w:tcPr>
                <w:p w14:paraId="76221522"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-1.08381197</w:t>
                  </w:r>
                </w:p>
              </w:tc>
            </w:tr>
            <w:tr w:rsidR="006C1286" w:rsidRPr="0069501D" w14:paraId="32C32EC7" w14:textId="77777777" w:rsidTr="003D2E1F">
              <w:trPr>
                <w:trHeight w:val="320"/>
              </w:trPr>
              <w:tc>
                <w:tcPr>
                  <w:tcW w:w="2747" w:type="dxa"/>
                  <w:tcBorders>
                    <w:top w:val="nil"/>
                    <w:left w:val="nil"/>
                    <w:bottom w:val="nil"/>
                    <w:right w:val="nil"/>
                  </w:tcBorders>
                  <w:noWrap/>
                  <w:vAlign w:val="bottom"/>
                  <w:hideMark/>
                </w:tcPr>
                <w:p w14:paraId="352C5279"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Skewness</w:t>
                  </w:r>
                </w:p>
              </w:tc>
              <w:tc>
                <w:tcPr>
                  <w:tcW w:w="1473" w:type="dxa"/>
                  <w:tcBorders>
                    <w:top w:val="nil"/>
                    <w:left w:val="nil"/>
                    <w:bottom w:val="nil"/>
                    <w:right w:val="nil"/>
                  </w:tcBorders>
                  <w:noWrap/>
                  <w:vAlign w:val="bottom"/>
                  <w:hideMark/>
                </w:tcPr>
                <w:p w14:paraId="0064B6BD"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-0.29078793</w:t>
                  </w:r>
                </w:p>
              </w:tc>
            </w:tr>
            <w:tr w:rsidR="006C1286" w:rsidRPr="0069501D" w14:paraId="0B8DAC40" w14:textId="77777777" w:rsidTr="003D2E1F">
              <w:trPr>
                <w:trHeight w:val="320"/>
              </w:trPr>
              <w:tc>
                <w:tcPr>
                  <w:tcW w:w="2747" w:type="dxa"/>
                  <w:tcBorders>
                    <w:top w:val="nil"/>
                    <w:left w:val="nil"/>
                    <w:bottom w:val="nil"/>
                    <w:right w:val="nil"/>
                  </w:tcBorders>
                  <w:noWrap/>
                  <w:vAlign w:val="bottom"/>
                  <w:hideMark/>
                </w:tcPr>
                <w:p w14:paraId="04E65207"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Range</w:t>
                  </w:r>
                </w:p>
              </w:tc>
              <w:tc>
                <w:tcPr>
                  <w:tcW w:w="1473" w:type="dxa"/>
                  <w:tcBorders>
                    <w:top w:val="nil"/>
                    <w:left w:val="nil"/>
                    <w:bottom w:val="nil"/>
                    <w:right w:val="nil"/>
                  </w:tcBorders>
                  <w:noWrap/>
                  <w:vAlign w:val="bottom"/>
                  <w:hideMark/>
                </w:tcPr>
                <w:p w14:paraId="12E58E38"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5.031386399</w:t>
                  </w:r>
                </w:p>
              </w:tc>
            </w:tr>
            <w:tr w:rsidR="006C1286" w:rsidRPr="0069501D" w14:paraId="16911C72" w14:textId="77777777" w:rsidTr="003D2E1F">
              <w:trPr>
                <w:trHeight w:val="320"/>
              </w:trPr>
              <w:tc>
                <w:tcPr>
                  <w:tcW w:w="2747" w:type="dxa"/>
                  <w:tcBorders>
                    <w:top w:val="nil"/>
                    <w:left w:val="nil"/>
                    <w:bottom w:val="nil"/>
                    <w:right w:val="nil"/>
                  </w:tcBorders>
                  <w:noWrap/>
                  <w:vAlign w:val="bottom"/>
                  <w:hideMark/>
                </w:tcPr>
                <w:p w14:paraId="5515C5AD"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Minimum</w:t>
                  </w:r>
                </w:p>
              </w:tc>
              <w:tc>
                <w:tcPr>
                  <w:tcW w:w="1473" w:type="dxa"/>
                  <w:tcBorders>
                    <w:top w:val="nil"/>
                    <w:left w:val="nil"/>
                    <w:bottom w:val="nil"/>
                    <w:right w:val="nil"/>
                  </w:tcBorders>
                  <w:noWrap/>
                  <w:vAlign w:val="bottom"/>
                  <w:hideMark/>
                </w:tcPr>
                <w:p w14:paraId="3F4D610E"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-15.2884094</w:t>
                  </w:r>
                </w:p>
              </w:tc>
            </w:tr>
            <w:tr w:rsidR="006C1286" w:rsidRPr="0069501D" w14:paraId="7749DE82" w14:textId="77777777" w:rsidTr="003D2E1F">
              <w:trPr>
                <w:trHeight w:val="320"/>
              </w:trPr>
              <w:tc>
                <w:tcPr>
                  <w:tcW w:w="2747" w:type="dxa"/>
                  <w:tcBorders>
                    <w:top w:val="nil"/>
                    <w:left w:val="nil"/>
                    <w:bottom w:val="nil"/>
                    <w:right w:val="nil"/>
                  </w:tcBorders>
                  <w:noWrap/>
                  <w:vAlign w:val="bottom"/>
                  <w:hideMark/>
                </w:tcPr>
                <w:p w14:paraId="57FD0A65"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Maximum</w:t>
                  </w:r>
                </w:p>
              </w:tc>
              <w:tc>
                <w:tcPr>
                  <w:tcW w:w="1473" w:type="dxa"/>
                  <w:tcBorders>
                    <w:top w:val="nil"/>
                    <w:left w:val="nil"/>
                    <w:bottom w:val="nil"/>
                    <w:right w:val="nil"/>
                  </w:tcBorders>
                  <w:noWrap/>
                  <w:vAlign w:val="bottom"/>
                  <w:hideMark/>
                </w:tcPr>
                <w:p w14:paraId="21849B63"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-10.257023</w:t>
                  </w:r>
                </w:p>
              </w:tc>
            </w:tr>
            <w:tr w:rsidR="006C1286" w:rsidRPr="0069501D" w14:paraId="1801FE1B" w14:textId="77777777" w:rsidTr="003D2E1F">
              <w:trPr>
                <w:trHeight w:val="320"/>
              </w:trPr>
              <w:tc>
                <w:tcPr>
                  <w:tcW w:w="2747" w:type="dxa"/>
                  <w:tcBorders>
                    <w:top w:val="nil"/>
                    <w:left w:val="nil"/>
                    <w:bottom w:val="nil"/>
                    <w:right w:val="nil"/>
                  </w:tcBorders>
                  <w:noWrap/>
                  <w:vAlign w:val="bottom"/>
                  <w:hideMark/>
                </w:tcPr>
                <w:p w14:paraId="67EA0E3F"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Sum</w:t>
                  </w:r>
                </w:p>
              </w:tc>
              <w:tc>
                <w:tcPr>
                  <w:tcW w:w="1473" w:type="dxa"/>
                  <w:tcBorders>
                    <w:top w:val="nil"/>
                    <w:left w:val="nil"/>
                    <w:bottom w:val="nil"/>
                    <w:right w:val="nil"/>
                  </w:tcBorders>
                  <w:noWrap/>
                  <w:vAlign w:val="bottom"/>
                  <w:hideMark/>
                </w:tcPr>
                <w:p w14:paraId="19316BD1"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-1246.5009</w:t>
                  </w:r>
                </w:p>
              </w:tc>
            </w:tr>
            <w:tr w:rsidR="006C1286" w:rsidRPr="0069501D" w14:paraId="48CB9F29" w14:textId="77777777" w:rsidTr="003D2E1F">
              <w:trPr>
                <w:trHeight w:val="320"/>
              </w:trPr>
              <w:tc>
                <w:tcPr>
                  <w:tcW w:w="2747" w:type="dxa"/>
                  <w:tcBorders>
                    <w:top w:val="nil"/>
                    <w:left w:val="nil"/>
                    <w:bottom w:val="nil"/>
                    <w:right w:val="nil"/>
                  </w:tcBorders>
                  <w:noWrap/>
                  <w:vAlign w:val="bottom"/>
                  <w:hideMark/>
                </w:tcPr>
                <w:p w14:paraId="1F7E08BC"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Count</w:t>
                  </w:r>
                </w:p>
              </w:tc>
              <w:tc>
                <w:tcPr>
                  <w:tcW w:w="1473" w:type="dxa"/>
                  <w:tcBorders>
                    <w:top w:val="nil"/>
                    <w:left w:val="nil"/>
                    <w:bottom w:val="nil"/>
                    <w:right w:val="nil"/>
                  </w:tcBorders>
                  <w:noWrap/>
                  <w:vAlign w:val="bottom"/>
                  <w:hideMark/>
                </w:tcPr>
                <w:p w14:paraId="4121CD3E"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100</w:t>
                  </w:r>
                </w:p>
              </w:tc>
            </w:tr>
            <w:tr w:rsidR="006C1286" w:rsidRPr="0069501D" w14:paraId="33E67B49" w14:textId="77777777" w:rsidTr="003D2E1F">
              <w:trPr>
                <w:trHeight w:val="320"/>
              </w:trPr>
              <w:tc>
                <w:tcPr>
                  <w:tcW w:w="2747" w:type="dxa"/>
                  <w:tcBorders>
                    <w:top w:val="nil"/>
                    <w:left w:val="nil"/>
                    <w:bottom w:val="nil"/>
                    <w:right w:val="nil"/>
                  </w:tcBorders>
                  <w:noWrap/>
                  <w:vAlign w:val="bottom"/>
                  <w:hideMark/>
                </w:tcPr>
                <w:p w14:paraId="46A5C75A" w14:textId="77777777" w:rsidR="006C1286" w:rsidRPr="0069501D" w:rsidRDefault="006C1286" w:rsidP="003D2E1F">
                  <w:pPr>
                    <w:rPr>
                      <w:rFonts w:ascii="Aptos Narrow" w:hAnsi="Aptos Narrow"/>
                      <w:color w:val="000000"/>
                      <w:sz w:val="16"/>
                      <w:szCs w:val="16"/>
                    </w:rPr>
                  </w:pPr>
                  <w:proofErr w:type="gramStart"/>
                  <w:r w:rsidRPr="0069501D">
                    <w:rPr>
                      <w:rFonts w:ascii="Aptos Narrow" w:hAnsi="Aptos Narrow"/>
                      <w:color w:val="000000"/>
                      <w:sz w:val="16"/>
                      <w:szCs w:val="16"/>
                    </w:rPr>
                    <w:t>Largest(</w:t>
                  </w:r>
                  <w:proofErr w:type="gramEnd"/>
                  <w:r w:rsidRPr="0069501D">
                    <w:rPr>
                      <w:rFonts w:ascii="Aptos Narrow" w:hAnsi="Aptos Narrow"/>
                      <w:color w:val="000000"/>
                      <w:sz w:val="16"/>
                      <w:szCs w:val="16"/>
                    </w:rPr>
                    <w:t>1)</w:t>
                  </w:r>
                </w:p>
              </w:tc>
              <w:tc>
                <w:tcPr>
                  <w:tcW w:w="1473" w:type="dxa"/>
                  <w:tcBorders>
                    <w:top w:val="nil"/>
                    <w:left w:val="nil"/>
                    <w:bottom w:val="nil"/>
                    <w:right w:val="nil"/>
                  </w:tcBorders>
                  <w:noWrap/>
                  <w:vAlign w:val="bottom"/>
                  <w:hideMark/>
                </w:tcPr>
                <w:p w14:paraId="60DDB145"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-10.257023</w:t>
                  </w:r>
                </w:p>
              </w:tc>
            </w:tr>
            <w:tr w:rsidR="006C1286" w:rsidRPr="0069501D" w14:paraId="1ED3FA09" w14:textId="77777777" w:rsidTr="003D2E1F">
              <w:trPr>
                <w:trHeight w:val="320"/>
              </w:trPr>
              <w:tc>
                <w:tcPr>
                  <w:tcW w:w="2747" w:type="dxa"/>
                  <w:tcBorders>
                    <w:top w:val="nil"/>
                    <w:left w:val="nil"/>
                    <w:bottom w:val="nil"/>
                    <w:right w:val="nil"/>
                  </w:tcBorders>
                  <w:noWrap/>
                  <w:vAlign w:val="bottom"/>
                  <w:hideMark/>
                </w:tcPr>
                <w:p w14:paraId="2C14637B" w14:textId="77777777" w:rsidR="006C1286" w:rsidRPr="0069501D" w:rsidRDefault="006C1286" w:rsidP="003D2E1F">
                  <w:pPr>
                    <w:rPr>
                      <w:rFonts w:ascii="Aptos Narrow" w:hAnsi="Aptos Narrow"/>
                      <w:color w:val="000000"/>
                      <w:sz w:val="16"/>
                      <w:szCs w:val="16"/>
                    </w:rPr>
                  </w:pPr>
                  <w:proofErr w:type="gramStart"/>
                  <w:r w:rsidRPr="0069501D">
                    <w:rPr>
                      <w:rFonts w:ascii="Aptos Narrow" w:hAnsi="Aptos Narrow"/>
                      <w:color w:val="000000"/>
                      <w:sz w:val="16"/>
                      <w:szCs w:val="16"/>
                    </w:rPr>
                    <w:t>Smallest(</w:t>
                  </w:r>
                  <w:proofErr w:type="gramEnd"/>
                  <w:r w:rsidRPr="0069501D">
                    <w:rPr>
                      <w:rFonts w:ascii="Aptos Narrow" w:hAnsi="Aptos Narrow"/>
                      <w:color w:val="000000"/>
                      <w:sz w:val="16"/>
                      <w:szCs w:val="16"/>
                    </w:rPr>
                    <w:t>1)</w:t>
                  </w:r>
                </w:p>
              </w:tc>
              <w:tc>
                <w:tcPr>
                  <w:tcW w:w="1473" w:type="dxa"/>
                  <w:tcBorders>
                    <w:top w:val="nil"/>
                    <w:left w:val="nil"/>
                    <w:bottom w:val="nil"/>
                    <w:right w:val="nil"/>
                  </w:tcBorders>
                  <w:noWrap/>
                  <w:vAlign w:val="bottom"/>
                  <w:hideMark/>
                </w:tcPr>
                <w:p w14:paraId="253935DC"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-15.2884094</w:t>
                  </w:r>
                </w:p>
              </w:tc>
            </w:tr>
            <w:tr w:rsidR="006C1286" w:rsidRPr="0069501D" w14:paraId="79538E7E" w14:textId="77777777" w:rsidTr="003D2E1F">
              <w:trPr>
                <w:trHeight w:val="340"/>
              </w:trPr>
              <w:tc>
                <w:tcPr>
                  <w:tcW w:w="2747" w:type="dxa"/>
                  <w:tcBorders>
                    <w:top w:val="nil"/>
                    <w:left w:val="nil"/>
                    <w:bottom w:val="single" w:sz="8" w:space="0" w:color="auto"/>
                    <w:right w:val="nil"/>
                  </w:tcBorders>
                  <w:noWrap/>
                  <w:vAlign w:val="bottom"/>
                  <w:hideMark/>
                </w:tcPr>
                <w:p w14:paraId="452BFF30" w14:textId="77777777" w:rsidR="006C1286" w:rsidRPr="0069501D" w:rsidRDefault="006C1286" w:rsidP="003D2E1F">
                  <w:pPr>
                    <w:rPr>
                      <w:rFonts w:ascii="Aptos Narrow" w:hAnsi="Aptos Narrow"/>
                      <w:color w:val="000000"/>
                      <w:sz w:val="16"/>
                      <w:szCs w:val="16"/>
                    </w:rPr>
                  </w:pPr>
                  <w:r w:rsidRPr="0069501D">
                    <w:rPr>
                      <w:rFonts w:ascii="Aptos Narrow" w:hAnsi="Aptos Narrow"/>
                      <w:color w:val="000000"/>
                      <w:sz w:val="16"/>
                      <w:szCs w:val="16"/>
                    </w:rPr>
                    <w:t xml:space="preserve">Confidence </w:t>
                  </w:r>
                  <w:proofErr w:type="gramStart"/>
                  <w:r w:rsidRPr="0069501D">
                    <w:rPr>
                      <w:rFonts w:ascii="Aptos Narrow" w:hAnsi="Aptos Narrow"/>
                      <w:color w:val="000000"/>
                      <w:sz w:val="16"/>
                      <w:szCs w:val="16"/>
                    </w:rPr>
                    <w:t>Level(</w:t>
                  </w:r>
                  <w:proofErr w:type="gramEnd"/>
                  <w:r w:rsidRPr="0069501D">
                    <w:rPr>
                      <w:rFonts w:ascii="Aptos Narrow" w:hAnsi="Aptos Narrow"/>
                      <w:color w:val="000000"/>
                      <w:sz w:val="16"/>
                      <w:szCs w:val="16"/>
                    </w:rPr>
                    <w:t>95.0%)</w:t>
                  </w:r>
                </w:p>
              </w:tc>
              <w:tc>
                <w:tcPr>
                  <w:tcW w:w="1473" w:type="dxa"/>
                  <w:tcBorders>
                    <w:top w:val="nil"/>
                    <w:left w:val="nil"/>
                    <w:bottom w:val="single" w:sz="8" w:space="0" w:color="auto"/>
                    <w:right w:val="nil"/>
                  </w:tcBorders>
                  <w:noWrap/>
                  <w:vAlign w:val="bottom"/>
                  <w:hideMark/>
                </w:tcPr>
                <w:p w14:paraId="43E9BF0F" w14:textId="77777777" w:rsidR="006C1286" w:rsidRPr="0069501D" w:rsidRDefault="006C1286" w:rsidP="003D2E1F">
                  <w:pPr>
                    <w:jc w:val="right"/>
                    <w:rPr>
                      <w:rFonts w:ascii="Aptos Narrow" w:hAnsi="Aptos Narrow"/>
                      <w:color w:val="000000"/>
                      <w:sz w:val="16"/>
                      <w:szCs w:val="16"/>
                    </w:rPr>
                  </w:pPr>
                  <w:r w:rsidRPr="0069501D">
                    <w:rPr>
                      <w:rFonts w:ascii="Aptos Narrow" w:hAnsi="Aptos Narrow"/>
                      <w:color w:val="000000"/>
                      <w:sz w:val="16"/>
                      <w:szCs w:val="16"/>
                    </w:rPr>
                    <w:t>0.290626795</w:t>
                  </w:r>
                </w:p>
              </w:tc>
            </w:tr>
          </w:tbl>
          <w:p w14:paraId="158E7522" w14:textId="77777777" w:rsidR="006C1286" w:rsidRPr="0069501D" w:rsidRDefault="006C1286" w:rsidP="003D2E1F">
            <w:pPr>
              <w:jc w:val="both"/>
              <w:rPr>
                <w:b/>
                <w:bCs/>
                <w:sz w:val="16"/>
                <w:szCs w:val="16"/>
              </w:rPr>
            </w:pPr>
          </w:p>
        </w:tc>
      </w:tr>
    </w:tbl>
    <w:p w14:paraId="78597A2F" w14:textId="77777777" w:rsidR="006C1286" w:rsidRDefault="006C1286" w:rsidP="006C1286">
      <w:pPr>
        <w:jc w:val="both"/>
        <w:rPr>
          <w:b/>
          <w:bCs/>
        </w:rPr>
      </w:pPr>
    </w:p>
    <w:p w14:paraId="1BB165AC" w14:textId="77777777" w:rsidR="006C1286" w:rsidRPr="00C04C8C" w:rsidRDefault="006C1286" w:rsidP="006C1286"/>
    <w:p w14:paraId="0F6C5372" w14:textId="77777777" w:rsidR="006C1286" w:rsidRPr="00FB3A86" w:rsidRDefault="006C1286" w:rsidP="00441B6F">
      <w:pPr>
        <w:pStyle w:val="Appendix"/>
        <w:spacing w:after="0"/>
        <w:jc w:val="both"/>
        <w:rPr>
          <w:rFonts w:ascii="Arial" w:hAnsi="Arial" w:cs="Arial"/>
          <w:b w:val="0"/>
        </w:rPr>
        <w:sectPr w:rsidR="006C1286" w:rsidRPr="00FB3A86" w:rsidSect="00D427BC">
          <w:headerReference w:type="even" r:id="rId56"/>
          <w:headerReference w:type="default" r:id="rId57"/>
          <w:footerReference w:type="default" r:id="rId58"/>
          <w:headerReference w:type="first" r:id="rId59"/>
          <w:type w:val="continuous"/>
          <w:pgSz w:w="12240" w:h="15840"/>
          <w:pgMar w:top="1440" w:right="2016" w:bottom="2016" w:left="2016" w:header="720" w:footer="1123" w:gutter="0"/>
          <w:cols w:space="720"/>
          <w:docGrid w:linePitch="272"/>
        </w:sectPr>
      </w:pPr>
    </w:p>
    <w:p w14:paraId="49C9F74F" w14:textId="77777777" w:rsidR="00B01FCD" w:rsidRPr="00FB3A86" w:rsidRDefault="00B01FCD" w:rsidP="00441B6F">
      <w:pPr>
        <w:pStyle w:val="Appendix"/>
        <w:spacing w:after="0"/>
        <w:jc w:val="both"/>
        <w:rPr>
          <w:rFonts w:ascii="Arial" w:hAnsi="Arial" w:cs="Arial"/>
          <w:b w:val="0"/>
        </w:rPr>
      </w:pPr>
    </w:p>
    <w:sectPr w:rsidR="00B01FCD" w:rsidRPr="00FB3A86" w:rsidSect="00D427B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053AB" w14:textId="77777777" w:rsidR="007E1AD8" w:rsidRDefault="007E1AD8" w:rsidP="00C37E61">
      <w:r>
        <w:separator/>
      </w:r>
    </w:p>
  </w:endnote>
  <w:endnote w:type="continuationSeparator" w:id="0">
    <w:p w14:paraId="58F88569" w14:textId="77777777" w:rsidR="007E1AD8" w:rsidRDefault="007E1A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2E1D" w14:textId="77777777" w:rsidR="00D427BC" w:rsidRDefault="00D4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14BF" w14:textId="77777777" w:rsidR="00D427BC" w:rsidRDefault="00D427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AD19A" w14:textId="268CB6AC" w:rsidR="003D2E1F" w:rsidRPr="00D427BC" w:rsidRDefault="003D2E1F" w:rsidP="00D427B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FE377" w14:textId="77777777" w:rsidR="003D2E1F" w:rsidRPr="00C37E61" w:rsidRDefault="003D2E1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D5BBB" w14:textId="77777777" w:rsidR="007E1AD8" w:rsidRDefault="007E1AD8" w:rsidP="00C37E61">
      <w:r>
        <w:separator/>
      </w:r>
    </w:p>
  </w:footnote>
  <w:footnote w:type="continuationSeparator" w:id="0">
    <w:p w14:paraId="787E45C4" w14:textId="77777777" w:rsidR="007E1AD8" w:rsidRDefault="007E1AD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994FB" w14:textId="659F9172" w:rsidR="00D427BC" w:rsidRDefault="00D427BC">
    <w:pPr>
      <w:pStyle w:val="Header"/>
    </w:pPr>
    <w:r>
      <w:rPr>
        <w:noProof/>
      </w:rPr>
      <w:pict w14:anchorId="3A944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3B6F" w14:textId="499B6034" w:rsidR="00D427BC" w:rsidRDefault="00D427BC">
    <w:pPr>
      <w:pStyle w:val="Header"/>
    </w:pPr>
    <w:r>
      <w:rPr>
        <w:noProof/>
      </w:rPr>
      <w:pict w14:anchorId="6EE7B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36806" w14:textId="60609522" w:rsidR="003D2E1F" w:rsidRPr="00296529" w:rsidRDefault="00D427BC" w:rsidP="00296529">
    <w:pPr>
      <w:ind w:left="2160"/>
      <w:jc w:val="center"/>
      <w:rPr>
        <w:rFonts w:ascii="Times New Roman" w:eastAsia="Calibri" w:hAnsi="Times New Roman"/>
        <w:i/>
        <w:sz w:val="18"/>
        <w:szCs w:val="22"/>
      </w:rPr>
    </w:pPr>
    <w:r>
      <w:rPr>
        <w:noProof/>
      </w:rPr>
      <w:pict w14:anchorId="4A956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8DA5FEE" w14:textId="77777777" w:rsidR="003D2E1F" w:rsidRPr="00296529" w:rsidRDefault="003D2E1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C9F1EAE" w14:textId="77777777" w:rsidR="003D2E1F" w:rsidRPr="00296529" w:rsidRDefault="003D2E1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68BE4C" w14:textId="77777777" w:rsidR="003D2E1F" w:rsidRPr="00296529" w:rsidRDefault="003D2E1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592F39" w14:textId="77777777" w:rsidR="003D2E1F" w:rsidRDefault="003D2E1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75475E" w14:textId="77777777" w:rsidR="003D2E1F" w:rsidRDefault="003D2E1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63FBAB0" w14:textId="77777777" w:rsidR="003D2E1F" w:rsidRDefault="003D2E1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25D87" w14:textId="44B7F9D9" w:rsidR="00D427BC" w:rsidRDefault="00D427BC">
    <w:pPr>
      <w:pStyle w:val="Header"/>
    </w:pPr>
    <w:r>
      <w:rPr>
        <w:noProof/>
      </w:rPr>
      <w:pict w14:anchorId="0A359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C1CD" w14:textId="3698FF73" w:rsidR="00D427BC" w:rsidRDefault="00D427BC">
    <w:pPr>
      <w:pStyle w:val="Header"/>
    </w:pPr>
    <w:r>
      <w:rPr>
        <w:noProof/>
      </w:rPr>
      <w:pict w14:anchorId="624CC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AC778" w14:textId="149EBB33" w:rsidR="00D427BC" w:rsidRDefault="00D427BC">
    <w:pPr>
      <w:pStyle w:val="Header"/>
    </w:pPr>
    <w:r>
      <w:rPr>
        <w:noProof/>
      </w:rPr>
      <w:pict w14:anchorId="2881B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56C1"/>
    <w:rsid w:val="00030174"/>
    <w:rsid w:val="00044958"/>
    <w:rsid w:val="0004579C"/>
    <w:rsid w:val="000A47FA"/>
    <w:rsid w:val="000A65D3"/>
    <w:rsid w:val="000B1E33"/>
    <w:rsid w:val="000D689F"/>
    <w:rsid w:val="000E7B7B"/>
    <w:rsid w:val="000E7D62"/>
    <w:rsid w:val="00103357"/>
    <w:rsid w:val="00123C9F"/>
    <w:rsid w:val="00126190"/>
    <w:rsid w:val="00130F17"/>
    <w:rsid w:val="001320BF"/>
    <w:rsid w:val="00157102"/>
    <w:rsid w:val="00163BC4"/>
    <w:rsid w:val="00191062"/>
    <w:rsid w:val="00192B72"/>
    <w:rsid w:val="001A29D8"/>
    <w:rsid w:val="001A5CAA"/>
    <w:rsid w:val="001B0427"/>
    <w:rsid w:val="001D3A51"/>
    <w:rsid w:val="001E10D2"/>
    <w:rsid w:val="001E25B4"/>
    <w:rsid w:val="001E44FE"/>
    <w:rsid w:val="00200595"/>
    <w:rsid w:val="00204835"/>
    <w:rsid w:val="00223565"/>
    <w:rsid w:val="00231920"/>
    <w:rsid w:val="0023195C"/>
    <w:rsid w:val="0024282C"/>
    <w:rsid w:val="002460DC"/>
    <w:rsid w:val="00250985"/>
    <w:rsid w:val="002556F6"/>
    <w:rsid w:val="00283105"/>
    <w:rsid w:val="00284C4C"/>
    <w:rsid w:val="00287E68"/>
    <w:rsid w:val="00296529"/>
    <w:rsid w:val="002B27FB"/>
    <w:rsid w:val="002B685A"/>
    <w:rsid w:val="002C55FE"/>
    <w:rsid w:val="002C57D2"/>
    <w:rsid w:val="002E0D56"/>
    <w:rsid w:val="00307EB2"/>
    <w:rsid w:val="00315186"/>
    <w:rsid w:val="0033343E"/>
    <w:rsid w:val="003512C2"/>
    <w:rsid w:val="00371FB6"/>
    <w:rsid w:val="003763C1"/>
    <w:rsid w:val="00376BBE"/>
    <w:rsid w:val="003911DB"/>
    <w:rsid w:val="0039224F"/>
    <w:rsid w:val="003A43A4"/>
    <w:rsid w:val="003A7E18"/>
    <w:rsid w:val="003C4C86"/>
    <w:rsid w:val="003C6258"/>
    <w:rsid w:val="003D2E1F"/>
    <w:rsid w:val="003E2904"/>
    <w:rsid w:val="00401927"/>
    <w:rsid w:val="0041027F"/>
    <w:rsid w:val="00412475"/>
    <w:rsid w:val="00423789"/>
    <w:rsid w:val="00432126"/>
    <w:rsid w:val="00440F43"/>
    <w:rsid w:val="00441B6F"/>
    <w:rsid w:val="00446221"/>
    <w:rsid w:val="00450E62"/>
    <w:rsid w:val="004539DB"/>
    <w:rsid w:val="0045620B"/>
    <w:rsid w:val="004600A6"/>
    <w:rsid w:val="00471A80"/>
    <w:rsid w:val="004D305E"/>
    <w:rsid w:val="004D4277"/>
    <w:rsid w:val="00502516"/>
    <w:rsid w:val="00505F06"/>
    <w:rsid w:val="00506828"/>
    <w:rsid w:val="0053056E"/>
    <w:rsid w:val="00554FDA"/>
    <w:rsid w:val="00566557"/>
    <w:rsid w:val="00592CDC"/>
    <w:rsid w:val="005C784C"/>
    <w:rsid w:val="005D17F6"/>
    <w:rsid w:val="005E5539"/>
    <w:rsid w:val="005F6354"/>
    <w:rsid w:val="00602BF5"/>
    <w:rsid w:val="00617FDD"/>
    <w:rsid w:val="00633614"/>
    <w:rsid w:val="00633F68"/>
    <w:rsid w:val="00636EB2"/>
    <w:rsid w:val="006375B8"/>
    <w:rsid w:val="0066510A"/>
    <w:rsid w:val="00673F9F"/>
    <w:rsid w:val="00686953"/>
    <w:rsid w:val="00687DEA"/>
    <w:rsid w:val="00687E67"/>
    <w:rsid w:val="006967F7"/>
    <w:rsid w:val="006A250C"/>
    <w:rsid w:val="006B01E8"/>
    <w:rsid w:val="006B21D3"/>
    <w:rsid w:val="006B57D0"/>
    <w:rsid w:val="006C1286"/>
    <w:rsid w:val="006D30FF"/>
    <w:rsid w:val="006D6940"/>
    <w:rsid w:val="006F11EC"/>
    <w:rsid w:val="0070082C"/>
    <w:rsid w:val="00707B31"/>
    <w:rsid w:val="007369E6"/>
    <w:rsid w:val="00746E59"/>
    <w:rsid w:val="00754C9A"/>
    <w:rsid w:val="0075599A"/>
    <w:rsid w:val="0076003B"/>
    <w:rsid w:val="00761D52"/>
    <w:rsid w:val="0077749E"/>
    <w:rsid w:val="00790ADA"/>
    <w:rsid w:val="007A7792"/>
    <w:rsid w:val="007D2288"/>
    <w:rsid w:val="007E088F"/>
    <w:rsid w:val="007E1AD8"/>
    <w:rsid w:val="007F7B32"/>
    <w:rsid w:val="00804BC2"/>
    <w:rsid w:val="0081431A"/>
    <w:rsid w:val="0083216F"/>
    <w:rsid w:val="008504EA"/>
    <w:rsid w:val="00860000"/>
    <w:rsid w:val="00863BD3"/>
    <w:rsid w:val="008641ED"/>
    <w:rsid w:val="00866D66"/>
    <w:rsid w:val="008671C6"/>
    <w:rsid w:val="00875803"/>
    <w:rsid w:val="008B459E"/>
    <w:rsid w:val="008B4A36"/>
    <w:rsid w:val="008E13AE"/>
    <w:rsid w:val="008E1506"/>
    <w:rsid w:val="008E710C"/>
    <w:rsid w:val="008F69D6"/>
    <w:rsid w:val="00902823"/>
    <w:rsid w:val="00905971"/>
    <w:rsid w:val="00915CA6"/>
    <w:rsid w:val="00927834"/>
    <w:rsid w:val="00941488"/>
    <w:rsid w:val="009500A6"/>
    <w:rsid w:val="00957C18"/>
    <w:rsid w:val="009659BA"/>
    <w:rsid w:val="00983040"/>
    <w:rsid w:val="009B3FB9"/>
    <w:rsid w:val="009C2465"/>
    <w:rsid w:val="009D06C7"/>
    <w:rsid w:val="009D35A0"/>
    <w:rsid w:val="009D7EB7"/>
    <w:rsid w:val="009E048A"/>
    <w:rsid w:val="009E08E9"/>
    <w:rsid w:val="009E3DB9"/>
    <w:rsid w:val="009E6E35"/>
    <w:rsid w:val="009F0EDA"/>
    <w:rsid w:val="00A018D6"/>
    <w:rsid w:val="00A03B96"/>
    <w:rsid w:val="00A05B19"/>
    <w:rsid w:val="00A1134E"/>
    <w:rsid w:val="00A24E7E"/>
    <w:rsid w:val="00A258C3"/>
    <w:rsid w:val="00A347C0"/>
    <w:rsid w:val="00A51431"/>
    <w:rsid w:val="00A539AD"/>
    <w:rsid w:val="00A8615A"/>
    <w:rsid w:val="00A94063"/>
    <w:rsid w:val="00AA6219"/>
    <w:rsid w:val="00AA74E0"/>
    <w:rsid w:val="00AB0FA5"/>
    <w:rsid w:val="00AB703F"/>
    <w:rsid w:val="00AC6BB8"/>
    <w:rsid w:val="00AE008F"/>
    <w:rsid w:val="00AF4EEE"/>
    <w:rsid w:val="00B01FCD"/>
    <w:rsid w:val="00B176F7"/>
    <w:rsid w:val="00B1776C"/>
    <w:rsid w:val="00B25B20"/>
    <w:rsid w:val="00B4667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372E"/>
    <w:rsid w:val="00C7464C"/>
    <w:rsid w:val="00C85588"/>
    <w:rsid w:val="00CA0446"/>
    <w:rsid w:val="00CD6755"/>
    <w:rsid w:val="00CD6856"/>
    <w:rsid w:val="00CE0089"/>
    <w:rsid w:val="00CE793C"/>
    <w:rsid w:val="00CF193C"/>
    <w:rsid w:val="00D173F1"/>
    <w:rsid w:val="00D427BC"/>
    <w:rsid w:val="00D434FF"/>
    <w:rsid w:val="00D74CB0"/>
    <w:rsid w:val="00D8295D"/>
    <w:rsid w:val="00DC2A65"/>
    <w:rsid w:val="00DE15F0"/>
    <w:rsid w:val="00DE5663"/>
    <w:rsid w:val="00DE78AA"/>
    <w:rsid w:val="00DF55F6"/>
    <w:rsid w:val="00E053D0"/>
    <w:rsid w:val="00E15994"/>
    <w:rsid w:val="00E17040"/>
    <w:rsid w:val="00E3114E"/>
    <w:rsid w:val="00E31A70"/>
    <w:rsid w:val="00E35B02"/>
    <w:rsid w:val="00E66496"/>
    <w:rsid w:val="00E66B35"/>
    <w:rsid w:val="00E66E10"/>
    <w:rsid w:val="00E769F6"/>
    <w:rsid w:val="00E8407C"/>
    <w:rsid w:val="00E84F3C"/>
    <w:rsid w:val="00EA012C"/>
    <w:rsid w:val="00EC6A55"/>
    <w:rsid w:val="00ED0288"/>
    <w:rsid w:val="00EE2442"/>
    <w:rsid w:val="00EE52CB"/>
    <w:rsid w:val="00EF47E6"/>
    <w:rsid w:val="00EF581D"/>
    <w:rsid w:val="00EF7FD8"/>
    <w:rsid w:val="00F06F59"/>
    <w:rsid w:val="00F10CEC"/>
    <w:rsid w:val="00F17988"/>
    <w:rsid w:val="00F469F0"/>
    <w:rsid w:val="00F53273"/>
    <w:rsid w:val="00F67CCD"/>
    <w:rsid w:val="00F755E4"/>
    <w:rsid w:val="00F77D02"/>
    <w:rsid w:val="00F97918"/>
    <w:rsid w:val="00FB3A86"/>
    <w:rsid w:val="00FB523D"/>
    <w:rsid w:val="00FD36C8"/>
    <w:rsid w:val="00FF0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29BF5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07EB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B4667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307EB2"/>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6C1286"/>
  </w:style>
  <w:style w:type="character" w:customStyle="1" w:styleId="Heading4Char">
    <w:name w:val="Heading 4 Char"/>
    <w:basedOn w:val="DefaultParagraphFont"/>
    <w:link w:val="Heading4"/>
    <w:semiHidden/>
    <w:rsid w:val="00B4667C"/>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9.emf"/><Relationship Id="rId39" Type="http://schemas.openxmlformats.org/officeDocument/2006/relationships/hyperlink" Target="https://doi.org/10.1016/j.enconman.2023.116950" TargetMode="External"/><Relationship Id="rId21" Type="http://schemas.openxmlformats.org/officeDocument/2006/relationships/image" Target="media/image7.png"/><Relationship Id="rId34" Type="http://schemas.openxmlformats.org/officeDocument/2006/relationships/hyperlink" Target="https://greendelta.github.io/openLCA2-manual/print.html" TargetMode="External"/><Relationship Id="rId42" Type="http://schemas.openxmlformats.org/officeDocument/2006/relationships/hyperlink" Target="https://doi.org/10.1515/9783110596281-010" TargetMode="External"/><Relationship Id="rId47" Type="http://schemas.openxmlformats.org/officeDocument/2006/relationships/hyperlink" Target="https://doi.org/10.1016/j.ijhydene.2009.08.078" TargetMode="External"/><Relationship Id="rId50" Type="http://schemas.openxmlformats.org/officeDocument/2006/relationships/hyperlink" Target="https://doi.org/10.1201/9781420045772" TargetMode="External"/><Relationship Id="rId55" Type="http://schemas.openxmlformats.org/officeDocument/2006/relationships/hyperlink" Target="https://doi.org/10.1002/978111863198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2.emf"/><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hyperlink" Target="https://www.epa.gov/chemical-research/tool-reduction-and-assessment-chemicals-and-other-environmental-impacts-traci" TargetMode="External"/><Relationship Id="rId37" Type="http://schemas.openxmlformats.org/officeDocument/2006/relationships/hyperlink" Target="https://doi.org/10.1021/acs.iecr.6b02220" TargetMode="External"/><Relationship Id="rId40" Type="http://schemas.openxmlformats.org/officeDocument/2006/relationships/hyperlink" Target="https://doi.org/10.1039/D3SE00365E" TargetMode="External"/><Relationship Id="rId45" Type="http://schemas.openxmlformats.org/officeDocument/2006/relationships/hyperlink" Target="https://doi.org/10.1016/0926-860X(96)00108-1" TargetMode="External"/><Relationship Id="rId53" Type="http://schemas.openxmlformats.org/officeDocument/2006/relationships/hyperlink" Target="https://www.iso.org/standard/38498.html" TargetMode="Externa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0.emf"/><Relationship Id="rId30" Type="http://schemas.openxmlformats.org/officeDocument/2006/relationships/hyperlink" Target="https://doi.org/10.1787/1e0514c4-en" TargetMode="External"/><Relationship Id="rId35" Type="http://schemas.openxmlformats.org/officeDocument/2006/relationships/hyperlink" Target="https://doi.org/10.3390/en18164453" TargetMode="External"/><Relationship Id="rId43" Type="http://schemas.openxmlformats.org/officeDocument/2006/relationships/hyperlink" Target="https://doi.org/10.1016/j.proci.2006.07.029" TargetMode="External"/><Relationship Id="rId48" Type="http://schemas.openxmlformats.org/officeDocument/2006/relationships/hyperlink" Target="https://doi.org/10.1201/9781315153971"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1002/9781118957844.CH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chart" Target="charts/chart4.xml"/><Relationship Id="rId33" Type="http://schemas.openxmlformats.org/officeDocument/2006/relationships/hyperlink" Target="https://nexus.openlca.org/" TargetMode="External"/><Relationship Id="rId38" Type="http://schemas.openxmlformats.org/officeDocument/2006/relationships/hyperlink" Target="https://doi.org/10.1201/9781003530633" TargetMode="External"/><Relationship Id="rId46" Type="http://schemas.openxmlformats.org/officeDocument/2006/relationships/hyperlink" Target="https://doi.org/10.1016/j.enconman.2017.12.096" TargetMode="External"/><Relationship Id="rId59"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hyperlink" Target="https://doi.org/10.1016/S0196-8904(00)00137-0" TargetMode="External"/><Relationship Id="rId54" Type="http://schemas.openxmlformats.org/officeDocument/2006/relationships/hyperlink" Target="https://doi.org/10.1016/j.mex.2020.10104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hart" Target="charts/chart2.xml"/><Relationship Id="rId28" Type="http://schemas.openxmlformats.org/officeDocument/2006/relationships/image" Target="media/image11.emf"/><Relationship Id="rId36" Type="http://schemas.openxmlformats.org/officeDocument/2006/relationships/hyperlink" Target="https://doi.org/10.1021/ef700300m" TargetMode="External"/><Relationship Id="rId49" Type="http://schemas.openxmlformats.org/officeDocument/2006/relationships/hyperlink" Target="https://doi.org/10.1002/er.1939"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doi.org/10.1007/s11367-021-01956-4" TargetMode="External"/><Relationship Id="rId44" Type="http://schemas.openxmlformats.org/officeDocument/2006/relationships/hyperlink" Target="https://doi.org/10.1021/ie010777i" TargetMode="External"/><Relationship Id="rId52" Type="http://schemas.openxmlformats.org/officeDocument/2006/relationships/hyperlink" Target="https://www.iso.org/standard/37456.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renatodamasio\Desktop\H2_green_LCA_final%20project\2_ResultsH_gaseif_elect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enatodamasio\Desktop\H2_green_LCA_final%20project\2_ResultsH_gaseif_elect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renatodamasio\Desktop\H2_green_LCA_final%20project\2_ResultsH_gaseif_electr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renatodamasio\Desktop\H2_green_LCA_final%20project\2_ResultsH_gaseif_electr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cap="none" spc="50" baseline="0">
                <a:solidFill>
                  <a:schemeClr val="tx1">
                    <a:lumMod val="95000"/>
                    <a:lumOff val="5000"/>
                  </a:schemeClr>
                </a:solidFill>
                <a:latin typeface="+mn-lt"/>
                <a:ea typeface="+mn-ea"/>
                <a:cs typeface="+mn-cs"/>
              </a:defRPr>
            </a:pPr>
            <a:r>
              <a:rPr lang="en-US"/>
              <a:t>Impact categories accordinly Hydrogen Scenarios - Case study 2</a:t>
            </a:r>
          </a:p>
        </c:rich>
      </c:tx>
      <c:overlay val="0"/>
      <c:spPr>
        <a:noFill/>
        <a:ln>
          <a:noFill/>
        </a:ln>
        <a:effectLst/>
      </c:spPr>
      <c:txPr>
        <a:bodyPr rot="0" spcFirstLastPara="1" vertOverflow="ellipsis" vert="horz" wrap="square" anchor="ctr" anchorCtr="1"/>
        <a:lstStyle/>
        <a:p>
          <a:pPr>
            <a:defRPr sz="840" b="0" i="0" u="none" strike="noStrike" kern="1200" cap="none" spc="5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3.1801739068330746E-2"/>
          <c:y val="0.13140027790643816"/>
          <c:w val="0.95005767136250829"/>
          <c:h val="0.82154089856415002"/>
        </c:manualLayout>
      </c:layout>
      <c:barChart>
        <c:barDir val="col"/>
        <c:grouping val="clustered"/>
        <c:varyColors val="0"/>
        <c:ser>
          <c:idx val="0"/>
          <c:order val="0"/>
          <c:tx>
            <c:strRef>
              <c:f>'Impact categories'!$B$1</c:f>
              <c:strCache>
                <c:ptCount val="1"/>
                <c:pt idx="0">
                  <c:v>Electrolysis_(E)Wind - US</c:v>
                </c:pt>
              </c:strCache>
            </c:strRef>
          </c:tx>
          <c:spPr>
            <a:noFill/>
            <a:ln w="25400" cap="flat" cmpd="sng" algn="ctr">
              <a:solidFill>
                <a:schemeClr val="accent1"/>
              </a:solidFill>
              <a:miter lim="800000"/>
            </a:ln>
            <a:effectLst/>
          </c:spPr>
          <c:invertIfNegative val="0"/>
          <c:dLbls>
            <c:delete val="1"/>
          </c:dLbls>
          <c:cat>
            <c:strRef>
              <c:f>'Impact categories'!$A$2:$A$11</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categories'!$B$2:$B$11</c:f>
              <c:numCache>
                <c:formatCode>General</c:formatCode>
                <c:ptCount val="10"/>
                <c:pt idx="0">
                  <c:v>9.2398399999999992E-3</c:v>
                </c:pt>
                <c:pt idx="1">
                  <c:v>1.5104000000000001E-7</c:v>
                </c:pt>
                <c:pt idx="2">
                  <c:v>1.7856799999999999</c:v>
                </c:pt>
                <c:pt idx="3">
                  <c:v>6.8399699999999999E-4</c:v>
                </c:pt>
                <c:pt idx="4">
                  <c:v>2.1278600000000001</c:v>
                </c:pt>
                <c:pt idx="5">
                  <c:v>2.3813900000000001</c:v>
                </c:pt>
                <c:pt idx="6">
                  <c:v>1.6335199999999999E-7</c:v>
                </c:pt>
                <c:pt idx="7">
                  <c:v>6.9674500000000003E-11</c:v>
                </c:pt>
                <c:pt idx="8">
                  <c:v>6.7806099999999998E-4</c:v>
                </c:pt>
                <c:pt idx="9">
                  <c:v>7.3021199999999994E-2</c:v>
                </c:pt>
              </c:numCache>
            </c:numRef>
          </c:val>
          <c:extLst>
            <c:ext xmlns:c16="http://schemas.microsoft.com/office/drawing/2014/chart" uri="{C3380CC4-5D6E-409C-BE32-E72D297353CC}">
              <c16:uniqueId val="{00000000-FECB-1648-94A0-9453D552D1AA}"/>
            </c:ext>
          </c:extLst>
        </c:ser>
        <c:ser>
          <c:idx val="1"/>
          <c:order val="1"/>
          <c:tx>
            <c:strRef>
              <c:f>'Impact categories'!$C$1</c:f>
              <c:strCache>
                <c:ptCount val="1"/>
                <c:pt idx="0">
                  <c:v>Gaseification_RD - US</c:v>
                </c:pt>
              </c:strCache>
            </c:strRef>
          </c:tx>
          <c:spPr>
            <a:noFill/>
            <a:ln w="25400" cap="flat" cmpd="sng" algn="ctr">
              <a:solidFill>
                <a:schemeClr val="accent3"/>
              </a:solidFill>
              <a:miter lim="800000"/>
            </a:ln>
            <a:effectLst/>
          </c:spPr>
          <c:invertIfNegative val="0"/>
          <c:dLbls>
            <c:delete val="1"/>
          </c:dLbls>
          <c:cat>
            <c:strRef>
              <c:f>'Impact categories'!$A$2:$A$11</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categories'!$C$2:$C$11</c:f>
              <c:numCache>
                <c:formatCode>0.00E+00</c:formatCode>
                <c:ptCount val="10"/>
                <c:pt idx="0">
                  <c:v>5.68363</c:v>
                </c:pt>
                <c:pt idx="1">
                  <c:v>6.4880600000000004E-6</c:v>
                </c:pt>
                <c:pt idx="2">
                  <c:v>158.309</c:v>
                </c:pt>
                <c:pt idx="3">
                  <c:v>0.34335199999999999</c:v>
                </c:pt>
                <c:pt idx="4">
                  <c:v>1020.91</c:v>
                </c:pt>
                <c:pt idx="5">
                  <c:v>1863.16</c:v>
                </c:pt>
                <c:pt idx="6">
                  <c:v>1.8192699999999999E-4</c:v>
                </c:pt>
                <c:pt idx="7">
                  <c:v>8.1301499999999994E-5</c:v>
                </c:pt>
                <c:pt idx="8">
                  <c:v>0.67536099999999999</c:v>
                </c:pt>
                <c:pt idx="9">
                  <c:v>55.363</c:v>
                </c:pt>
              </c:numCache>
            </c:numRef>
          </c:val>
          <c:extLst>
            <c:ext xmlns:c16="http://schemas.microsoft.com/office/drawing/2014/chart" uri="{C3380CC4-5D6E-409C-BE32-E72D297353CC}">
              <c16:uniqueId val="{00000001-FECB-1648-94A0-9453D552D1AA}"/>
            </c:ext>
          </c:extLst>
        </c:ser>
        <c:ser>
          <c:idx val="2"/>
          <c:order val="2"/>
          <c:tx>
            <c:strRef>
              <c:f>'Impact categories'!$D$1</c:f>
              <c:strCache>
                <c:ptCount val="1"/>
                <c:pt idx="0">
                  <c:v>Electrolysis_(E)Hydro - US2</c:v>
                </c:pt>
              </c:strCache>
            </c:strRef>
          </c:tx>
          <c:spPr>
            <a:noFill/>
            <a:ln w="25400" cap="flat" cmpd="sng" algn="ctr">
              <a:solidFill>
                <a:schemeClr val="accent5"/>
              </a:solidFill>
              <a:miter lim="800000"/>
            </a:ln>
            <a:effectLst/>
          </c:spPr>
          <c:invertIfNegative val="0"/>
          <c:dLbls>
            <c:delete val="1"/>
          </c:dLbls>
          <c:cat>
            <c:strRef>
              <c:f>'Impact categories'!$A$2:$A$11</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categories'!$D$2:$D$11</c:f>
              <c:numCache>
                <c:formatCode>0.00E+00</c:formatCode>
                <c:ptCount val="10"/>
                <c:pt idx="0">
                  <c:v>6.32057</c:v>
                </c:pt>
                <c:pt idx="1">
                  <c:v>6.4627400000000004E-5</c:v>
                </c:pt>
                <c:pt idx="2">
                  <c:v>698.20299999999997</c:v>
                </c:pt>
                <c:pt idx="3">
                  <c:v>0.22609499999999999</c:v>
                </c:pt>
                <c:pt idx="4">
                  <c:v>1947.26</c:v>
                </c:pt>
                <c:pt idx="5">
                  <c:v>1349.97</c:v>
                </c:pt>
                <c:pt idx="6">
                  <c:v>6.2466999999999997E-5</c:v>
                </c:pt>
                <c:pt idx="7">
                  <c:v>9.6007899999999999E-5</c:v>
                </c:pt>
                <c:pt idx="8">
                  <c:v>0.35562899999999997</c:v>
                </c:pt>
                <c:pt idx="9">
                  <c:v>31.5396</c:v>
                </c:pt>
              </c:numCache>
            </c:numRef>
          </c:val>
          <c:extLst>
            <c:ext xmlns:c16="http://schemas.microsoft.com/office/drawing/2014/chart" uri="{C3380CC4-5D6E-409C-BE32-E72D297353CC}">
              <c16:uniqueId val="{00000002-FECB-1648-94A0-9453D552D1AA}"/>
            </c:ext>
          </c:extLst>
        </c:ser>
        <c:ser>
          <c:idx val="3"/>
          <c:order val="3"/>
          <c:tx>
            <c:strRef>
              <c:f>'Impact categories'!$E$1</c:f>
              <c:strCache>
                <c:ptCount val="1"/>
                <c:pt idx="0">
                  <c:v>Electrolysis_(E)Grid - US2</c:v>
                </c:pt>
              </c:strCache>
            </c:strRef>
          </c:tx>
          <c:spPr>
            <a:noFill/>
            <a:ln w="25400" cap="flat" cmpd="sng" algn="ctr">
              <a:solidFill>
                <a:schemeClr val="accent1">
                  <a:lumMod val="60000"/>
                </a:schemeClr>
              </a:solidFill>
              <a:miter lim="800000"/>
            </a:ln>
            <a:effectLst/>
          </c:spPr>
          <c:invertIfNegative val="0"/>
          <c:dLbls>
            <c:delete val="1"/>
          </c:dLbls>
          <c:cat>
            <c:strRef>
              <c:f>'Impact categories'!$A$2:$A$11</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categories'!$E$2:$E$11</c:f>
              <c:numCache>
                <c:formatCode>0.00E+00</c:formatCode>
                <c:ptCount val="10"/>
                <c:pt idx="0">
                  <c:v>-1.07226</c:v>
                </c:pt>
                <c:pt idx="1">
                  <c:v>0</c:v>
                </c:pt>
                <c:pt idx="2">
                  <c:v>0</c:v>
                </c:pt>
                <c:pt idx="3">
                  <c:v>0</c:v>
                </c:pt>
                <c:pt idx="4">
                  <c:v>0</c:v>
                </c:pt>
                <c:pt idx="5">
                  <c:v>-107.91800000000001</c:v>
                </c:pt>
                <c:pt idx="6">
                  <c:v>0</c:v>
                </c:pt>
                <c:pt idx="7">
                  <c:v>0</c:v>
                </c:pt>
                <c:pt idx="8">
                  <c:v>-6.5527299999999997E-2</c:v>
                </c:pt>
                <c:pt idx="9">
                  <c:v>0</c:v>
                </c:pt>
              </c:numCache>
            </c:numRef>
          </c:val>
          <c:extLst>
            <c:ext xmlns:c16="http://schemas.microsoft.com/office/drawing/2014/chart" uri="{C3380CC4-5D6E-409C-BE32-E72D297353CC}">
              <c16:uniqueId val="{00000003-FECB-1648-94A0-9453D552D1AA}"/>
            </c:ext>
          </c:extLst>
        </c:ser>
        <c:dLbls>
          <c:dLblPos val="inEnd"/>
          <c:showLegendKey val="0"/>
          <c:showVal val="0"/>
          <c:showCatName val="1"/>
          <c:showSerName val="0"/>
          <c:showPercent val="0"/>
          <c:showBubbleSize val="0"/>
        </c:dLbls>
        <c:gapWidth val="164"/>
        <c:overlap val="-35"/>
        <c:axId val="2119718143"/>
        <c:axId val="162765824"/>
      </c:barChart>
      <c:catAx>
        <c:axId val="2119718143"/>
        <c:scaling>
          <c:orientation val="minMax"/>
        </c:scaling>
        <c:delete val="0"/>
        <c:axPos val="b"/>
        <c:numFmt formatCode="General" sourceLinked="1"/>
        <c:majorTickMark val="none"/>
        <c:minorTickMark val="none"/>
        <c:tickLblPos val="nextTo"/>
        <c:spPr>
          <a:noFill/>
          <a:ln>
            <a:noFill/>
          </a:ln>
          <a:effectLst/>
        </c:spPr>
        <c:txPr>
          <a:bodyPr rot="1200000" spcFirstLastPara="1" vertOverflow="ellipsis" wrap="square" anchor="ctr" anchorCtr="1"/>
          <a:lstStyle/>
          <a:p>
            <a:pPr>
              <a:defRPr sz="700" b="0" i="0" u="none" strike="noStrike" kern="1200" baseline="0">
                <a:solidFill>
                  <a:schemeClr val="tx1">
                    <a:lumMod val="95000"/>
                    <a:lumOff val="5000"/>
                  </a:schemeClr>
                </a:solidFill>
                <a:latin typeface="+mn-lt"/>
                <a:ea typeface="+mn-ea"/>
                <a:cs typeface="+mn-cs"/>
              </a:defRPr>
            </a:pPr>
            <a:endParaRPr lang="en-US"/>
          </a:p>
        </c:txPr>
        <c:crossAx val="162765824"/>
        <c:crosses val="autoZero"/>
        <c:auto val="1"/>
        <c:lblAlgn val="ctr"/>
        <c:lblOffset val="100"/>
        <c:noMultiLvlLbl val="0"/>
      </c:catAx>
      <c:valAx>
        <c:axId val="162765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mn-lt"/>
                <a:ea typeface="+mn-ea"/>
                <a:cs typeface="+mn-cs"/>
              </a:defRPr>
            </a:pPr>
            <a:endParaRPr lang="en-US"/>
          </a:p>
        </c:txPr>
        <c:crossAx val="2119718143"/>
        <c:crosses val="autoZero"/>
        <c:crossBetween val="between"/>
      </c:valAx>
      <c:spPr>
        <a:noFill/>
        <a:ln>
          <a:noFill/>
        </a:ln>
        <a:effectLst/>
      </c:spPr>
    </c:plotArea>
    <c:legend>
      <c:legendPos val="t"/>
      <c:layout>
        <c:manualLayout>
          <c:xMode val="edge"/>
          <c:yMode val="edge"/>
          <c:x val="0.76745638937989891"/>
          <c:y val="0.14110588235294116"/>
          <c:w val="0.20318245933544016"/>
          <c:h val="0.2326473367299675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chemeClr val="tx1">
              <a:lumMod val="95000"/>
              <a:lumOff val="5000"/>
            </a:schemeClr>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cap="none" spc="50" baseline="0">
                <a:solidFill>
                  <a:schemeClr val="tx1">
                    <a:lumMod val="95000"/>
                    <a:lumOff val="5000"/>
                  </a:schemeClr>
                </a:solidFill>
                <a:latin typeface="+mn-lt"/>
                <a:ea typeface="+mn-ea"/>
                <a:cs typeface="+mn-cs"/>
              </a:defRPr>
            </a:pPr>
            <a:r>
              <a:rPr lang="en-US"/>
              <a:t>Impact categories for 1 kg Hydrogen - Case study 2</a:t>
            </a:r>
          </a:p>
        </c:rich>
      </c:tx>
      <c:overlay val="0"/>
      <c:spPr>
        <a:noFill/>
        <a:ln>
          <a:noFill/>
        </a:ln>
        <a:effectLst/>
      </c:spPr>
      <c:txPr>
        <a:bodyPr rot="0" spcFirstLastPara="1" vertOverflow="ellipsis" vert="horz" wrap="square" anchor="ctr" anchorCtr="1"/>
        <a:lstStyle/>
        <a:p>
          <a:pPr>
            <a:defRPr sz="840" b="0" i="0" u="none" strike="noStrike" kern="1200" cap="none" spc="5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3.1801739068330746E-2"/>
          <c:y val="0.13140027790643816"/>
          <c:w val="0.95005767136250829"/>
          <c:h val="0.82154089856415002"/>
        </c:manualLayout>
      </c:layout>
      <c:barChart>
        <c:barDir val="col"/>
        <c:grouping val="clustered"/>
        <c:varyColors val="0"/>
        <c:ser>
          <c:idx val="0"/>
          <c:order val="0"/>
          <c:tx>
            <c:strRef>
              <c:f>'Impact categories'!$I$2</c:f>
              <c:strCache>
                <c:ptCount val="1"/>
                <c:pt idx="0">
                  <c:v>Electrolysis_(E)Wind - US</c:v>
                </c:pt>
              </c:strCache>
            </c:strRef>
          </c:tx>
          <c:spPr>
            <a:noFill/>
            <a:ln w="25400" cap="flat" cmpd="sng" algn="ctr">
              <a:solidFill>
                <a:schemeClr val="accent1"/>
              </a:solidFill>
              <a:miter lim="800000"/>
            </a:ln>
            <a:effectLst/>
          </c:spPr>
          <c:invertIfNegative val="0"/>
          <c:dLbls>
            <c:delete val="1"/>
          </c:dLbls>
          <c:cat>
            <c:strRef>
              <c:f>'Impact categories'!$A$3:$A$12</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categories'!$I$3:$I$12</c:f>
              <c:numCache>
                <c:formatCode>General</c:formatCode>
                <c:ptCount val="10"/>
                <c:pt idx="0">
                  <c:v>1.0535735461801596E-3</c:v>
                </c:pt>
                <c:pt idx="1">
                  <c:v>1.7222348916761691E-8</c:v>
                </c:pt>
                <c:pt idx="2">
                  <c:v>0.20361231470923605</c:v>
                </c:pt>
                <c:pt idx="3">
                  <c:v>7.7992816419612316E-5</c:v>
                </c:pt>
                <c:pt idx="4">
                  <c:v>0.24262941847206387</c:v>
                </c:pt>
                <c:pt idx="5">
                  <c:v>0.27153819840364884</c:v>
                </c:pt>
                <c:pt idx="6">
                  <c:v>1.8626225769669328E-8</c:v>
                </c:pt>
                <c:pt idx="7">
                  <c:v>7.9446408209806163E-12</c:v>
                </c:pt>
                <c:pt idx="8">
                  <c:v>7.7315963511972641E-5</c:v>
                </c:pt>
                <c:pt idx="9">
                  <c:v>8.32624857468643E-3</c:v>
                </c:pt>
              </c:numCache>
            </c:numRef>
          </c:val>
          <c:extLst>
            <c:ext xmlns:c16="http://schemas.microsoft.com/office/drawing/2014/chart" uri="{C3380CC4-5D6E-409C-BE32-E72D297353CC}">
              <c16:uniqueId val="{00000000-B21A-7D4C-B181-33CD82410EF6}"/>
            </c:ext>
          </c:extLst>
        </c:ser>
        <c:ser>
          <c:idx val="1"/>
          <c:order val="1"/>
          <c:tx>
            <c:strRef>
              <c:f>'Impact categories'!$J$2</c:f>
              <c:strCache>
                <c:ptCount val="1"/>
                <c:pt idx="0">
                  <c:v>Gaseification_RD - US</c:v>
                </c:pt>
              </c:strCache>
            </c:strRef>
          </c:tx>
          <c:spPr>
            <a:noFill/>
            <a:ln w="25400" cap="flat" cmpd="sng" algn="ctr">
              <a:solidFill>
                <a:schemeClr val="accent3"/>
              </a:solidFill>
              <a:miter lim="800000"/>
            </a:ln>
            <a:effectLst/>
          </c:spPr>
          <c:invertIfNegative val="0"/>
          <c:dLbls>
            <c:delete val="1"/>
          </c:dLbls>
          <c:cat>
            <c:strRef>
              <c:f>'Impact categories'!$A$3:$A$12</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categories'!$J$3:$J$12</c:f>
              <c:numCache>
                <c:formatCode>0.00E+00</c:formatCode>
                <c:ptCount val="10"/>
                <c:pt idx="0">
                  <c:v>6.7341587677725107E-2</c:v>
                </c:pt>
                <c:pt idx="1">
                  <c:v>7.6872748815165876E-8</c:v>
                </c:pt>
                <c:pt idx="2">
                  <c:v>1.8756990521327013</c:v>
                </c:pt>
                <c:pt idx="3">
                  <c:v>4.068151658767772E-3</c:v>
                </c:pt>
                <c:pt idx="4">
                  <c:v>12.096090047393364</c:v>
                </c:pt>
                <c:pt idx="5">
                  <c:v>22.075355450236966</c:v>
                </c:pt>
                <c:pt idx="6">
                  <c:v>2.1555331753554499E-6</c:v>
                </c:pt>
                <c:pt idx="7">
                  <c:v>9.6328791469194306E-7</c:v>
                </c:pt>
                <c:pt idx="8">
                  <c:v>8.0019075829383876E-3</c:v>
                </c:pt>
                <c:pt idx="9">
                  <c:v>0.65595971563981037</c:v>
                </c:pt>
              </c:numCache>
            </c:numRef>
          </c:val>
          <c:extLst>
            <c:ext xmlns:c16="http://schemas.microsoft.com/office/drawing/2014/chart" uri="{C3380CC4-5D6E-409C-BE32-E72D297353CC}">
              <c16:uniqueId val="{00000001-B21A-7D4C-B181-33CD82410EF6}"/>
            </c:ext>
          </c:extLst>
        </c:ser>
        <c:ser>
          <c:idx val="2"/>
          <c:order val="2"/>
          <c:tx>
            <c:strRef>
              <c:f>'Impact categories'!$K$2</c:f>
              <c:strCache>
                <c:ptCount val="1"/>
                <c:pt idx="0">
                  <c:v>Electrolysis_(E)Hydro - US2</c:v>
                </c:pt>
              </c:strCache>
            </c:strRef>
          </c:tx>
          <c:spPr>
            <a:noFill/>
            <a:ln w="25400" cap="flat" cmpd="sng" algn="ctr">
              <a:solidFill>
                <a:schemeClr val="accent5"/>
              </a:solidFill>
              <a:miter lim="800000"/>
            </a:ln>
            <a:effectLst/>
          </c:spPr>
          <c:invertIfNegative val="0"/>
          <c:dLbls>
            <c:delete val="1"/>
          </c:dLbls>
          <c:cat>
            <c:strRef>
              <c:f>'Impact categories'!$A$3:$A$12</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categories'!$K$3:$K$12</c:f>
              <c:numCache>
                <c:formatCode>0.00E+00</c:formatCode>
                <c:ptCount val="10"/>
                <c:pt idx="0">
                  <c:v>0.72070353477765114</c:v>
                </c:pt>
                <c:pt idx="1">
                  <c:v>7.3691448118586097E-6</c:v>
                </c:pt>
                <c:pt idx="2">
                  <c:v>79.612656784492586</c:v>
                </c:pt>
                <c:pt idx="3">
                  <c:v>2.5780501710376283E-2</c:v>
                </c:pt>
                <c:pt idx="4">
                  <c:v>222.03648802736603</c:v>
                </c:pt>
                <c:pt idx="5">
                  <c:v>153.93044469783354</c:v>
                </c:pt>
                <c:pt idx="6">
                  <c:v>7.1228050171037629E-6</c:v>
                </c:pt>
                <c:pt idx="7">
                  <c:v>1.0947309007981756E-5</c:v>
                </c:pt>
                <c:pt idx="8">
                  <c:v>4.0550627137970349E-2</c:v>
                </c:pt>
                <c:pt idx="9">
                  <c:v>3.5963055872291907</c:v>
                </c:pt>
              </c:numCache>
            </c:numRef>
          </c:val>
          <c:extLst>
            <c:ext xmlns:c16="http://schemas.microsoft.com/office/drawing/2014/chart" uri="{C3380CC4-5D6E-409C-BE32-E72D297353CC}">
              <c16:uniqueId val="{00000002-B21A-7D4C-B181-33CD82410EF6}"/>
            </c:ext>
          </c:extLst>
        </c:ser>
        <c:ser>
          <c:idx val="3"/>
          <c:order val="3"/>
          <c:tx>
            <c:strRef>
              <c:f>'Impact categories'!$L$2</c:f>
              <c:strCache>
                <c:ptCount val="1"/>
                <c:pt idx="0">
                  <c:v>Electrolysis_(E)Grid - US2</c:v>
                </c:pt>
              </c:strCache>
            </c:strRef>
          </c:tx>
          <c:spPr>
            <a:noFill/>
            <a:ln w="25400" cap="flat" cmpd="sng" algn="ctr">
              <a:solidFill>
                <a:schemeClr val="accent1">
                  <a:lumMod val="60000"/>
                </a:schemeClr>
              </a:solidFill>
              <a:miter lim="800000"/>
            </a:ln>
            <a:effectLst/>
          </c:spPr>
          <c:invertIfNegative val="0"/>
          <c:dLbls>
            <c:delete val="1"/>
          </c:dLbls>
          <c:cat>
            <c:strRef>
              <c:f>'Impact categories'!$A$3:$A$12</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categories'!$L$3:$L$12</c:f>
              <c:numCache>
                <c:formatCode>0.00E+00</c:formatCode>
                <c:ptCount val="10"/>
                <c:pt idx="0">
                  <c:v>-0.12226453819840366</c:v>
                </c:pt>
                <c:pt idx="1">
                  <c:v>0</c:v>
                </c:pt>
                <c:pt idx="2">
                  <c:v>0</c:v>
                </c:pt>
                <c:pt idx="3">
                  <c:v>0</c:v>
                </c:pt>
                <c:pt idx="4">
                  <c:v>0</c:v>
                </c:pt>
                <c:pt idx="5">
                  <c:v>-12.305359179019385</c:v>
                </c:pt>
                <c:pt idx="6">
                  <c:v>0</c:v>
                </c:pt>
                <c:pt idx="7">
                  <c:v>0</c:v>
                </c:pt>
                <c:pt idx="8">
                  <c:v>-7.47175598631699E-3</c:v>
                </c:pt>
                <c:pt idx="9">
                  <c:v>0</c:v>
                </c:pt>
              </c:numCache>
            </c:numRef>
          </c:val>
          <c:extLst>
            <c:ext xmlns:c16="http://schemas.microsoft.com/office/drawing/2014/chart" uri="{C3380CC4-5D6E-409C-BE32-E72D297353CC}">
              <c16:uniqueId val="{00000003-B21A-7D4C-B181-33CD82410EF6}"/>
            </c:ext>
          </c:extLst>
        </c:ser>
        <c:dLbls>
          <c:dLblPos val="inEnd"/>
          <c:showLegendKey val="0"/>
          <c:showVal val="0"/>
          <c:showCatName val="1"/>
          <c:showSerName val="0"/>
          <c:showPercent val="0"/>
          <c:showBubbleSize val="0"/>
        </c:dLbls>
        <c:gapWidth val="164"/>
        <c:overlap val="-35"/>
        <c:axId val="2119718143"/>
        <c:axId val="162765824"/>
      </c:barChart>
      <c:catAx>
        <c:axId val="2119718143"/>
        <c:scaling>
          <c:orientation val="minMax"/>
        </c:scaling>
        <c:delete val="0"/>
        <c:axPos val="b"/>
        <c:numFmt formatCode="General" sourceLinked="1"/>
        <c:majorTickMark val="none"/>
        <c:minorTickMark val="none"/>
        <c:tickLblPos val="nextTo"/>
        <c:spPr>
          <a:noFill/>
          <a:ln>
            <a:noFill/>
          </a:ln>
          <a:effectLst/>
        </c:spPr>
        <c:txPr>
          <a:bodyPr rot="1200000" spcFirstLastPara="1" vertOverflow="ellipsis" wrap="square" anchor="ctr" anchorCtr="1"/>
          <a:lstStyle/>
          <a:p>
            <a:pPr>
              <a:defRPr sz="700" b="0" i="0" u="none" strike="noStrike" kern="1200" baseline="0">
                <a:solidFill>
                  <a:schemeClr val="tx1">
                    <a:lumMod val="95000"/>
                    <a:lumOff val="5000"/>
                  </a:schemeClr>
                </a:solidFill>
                <a:latin typeface="+mn-lt"/>
                <a:ea typeface="+mn-ea"/>
                <a:cs typeface="+mn-cs"/>
              </a:defRPr>
            </a:pPr>
            <a:endParaRPr lang="en-US"/>
          </a:p>
        </c:txPr>
        <c:crossAx val="162765824"/>
        <c:crosses val="autoZero"/>
        <c:auto val="1"/>
        <c:lblAlgn val="ctr"/>
        <c:lblOffset val="100"/>
        <c:noMultiLvlLbl val="0"/>
      </c:catAx>
      <c:valAx>
        <c:axId val="162765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mn-lt"/>
                <a:ea typeface="+mn-ea"/>
                <a:cs typeface="+mn-cs"/>
              </a:defRPr>
            </a:pPr>
            <a:endParaRPr lang="en-US"/>
          </a:p>
        </c:txPr>
        <c:crossAx val="2119718143"/>
        <c:crosses val="autoZero"/>
        <c:crossBetween val="between"/>
      </c:valAx>
      <c:spPr>
        <a:noFill/>
        <a:ln>
          <a:noFill/>
        </a:ln>
        <a:effectLst/>
      </c:spPr>
    </c:plotArea>
    <c:legend>
      <c:legendPos val="t"/>
      <c:layout>
        <c:manualLayout>
          <c:xMode val="edge"/>
          <c:yMode val="edge"/>
          <c:x val="0.76745638937989891"/>
          <c:y val="0.14110588235294116"/>
          <c:w val="0.20318245933544016"/>
          <c:h val="0.2326473367299675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chemeClr val="tx1">
              <a:lumMod val="95000"/>
              <a:lumOff val="5000"/>
            </a:schemeClr>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'Sensitivity Analysis'!$R$36</c:f>
              <c:strCache>
                <c:ptCount val="1"/>
                <c:pt idx="0">
                  <c:v>Min Value</c:v>
                </c:pt>
              </c:strCache>
            </c:strRef>
          </c:tx>
          <c:spPr>
            <a:solidFill>
              <a:schemeClr val="accent1"/>
            </a:solidFill>
            <a:ln>
              <a:noFill/>
            </a:ln>
            <a:effectLst/>
          </c:spPr>
          <c:invertIfNegative val="0"/>
          <c:cat>
            <c:strRef>
              <c:f>'Sensitivity Analysis'!$K$37:$K$39</c:f>
              <c:strCache>
                <c:ptCount val="3"/>
                <c:pt idx="0">
                  <c:v>Steel section+recycling (kg CO2 eq)</c:v>
                </c:pt>
                <c:pt idx="1">
                  <c:v>Electrycity (Hydropower)  (kg CO2 eq)</c:v>
                </c:pt>
                <c:pt idx="2">
                  <c:v>Natural Gas  (kg CO2 eq)</c:v>
                </c:pt>
              </c:strCache>
            </c:strRef>
          </c:cat>
          <c:val>
            <c:numRef>
              <c:f>'Sensitivity Analysis'!$R$37:$R$39</c:f>
              <c:numCache>
                <c:formatCode>General</c:formatCode>
                <c:ptCount val="3"/>
                <c:pt idx="0">
                  <c:v>-0.8</c:v>
                </c:pt>
                <c:pt idx="1">
                  <c:v>-3.4517342248224003E-2</c:v>
                </c:pt>
                <c:pt idx="2">
                  <c:v>-2.5073129962390302E-4</c:v>
                </c:pt>
              </c:numCache>
            </c:numRef>
          </c:val>
          <c:extLst>
            <c:ext xmlns:c16="http://schemas.microsoft.com/office/drawing/2014/chart" uri="{C3380CC4-5D6E-409C-BE32-E72D297353CC}">
              <c16:uniqueId val="{00000000-40A6-4D41-BF4B-5F5A56104031}"/>
            </c:ext>
          </c:extLst>
        </c:ser>
        <c:ser>
          <c:idx val="2"/>
          <c:order val="1"/>
          <c:tx>
            <c:strRef>
              <c:f>'Sensitivity Analysis'!$T$36</c:f>
              <c:strCache>
                <c:ptCount val="1"/>
                <c:pt idx="0">
                  <c:v>Max Value</c:v>
                </c:pt>
              </c:strCache>
            </c:strRef>
          </c:tx>
          <c:spPr>
            <a:solidFill>
              <a:schemeClr val="accent5"/>
            </a:solidFill>
            <a:ln>
              <a:noFill/>
            </a:ln>
            <a:effectLst/>
          </c:spPr>
          <c:invertIfNegative val="0"/>
          <c:cat>
            <c:strRef>
              <c:f>'Sensitivity Analysis'!$K$37:$K$39</c:f>
              <c:strCache>
                <c:ptCount val="3"/>
                <c:pt idx="0">
                  <c:v>Steel section+recycling (kg CO2 eq)</c:v>
                </c:pt>
                <c:pt idx="1">
                  <c:v>Electrycity (Hydropower)  (kg CO2 eq)</c:v>
                </c:pt>
                <c:pt idx="2">
                  <c:v>Natural Gas  (kg CO2 eq)</c:v>
                </c:pt>
              </c:strCache>
            </c:strRef>
          </c:cat>
          <c:val>
            <c:numRef>
              <c:f>'Sensitivity Analysis'!$T$37:$T$39</c:f>
              <c:numCache>
                <c:formatCode>General</c:formatCode>
                <c:ptCount val="3"/>
                <c:pt idx="0">
                  <c:v>1.2</c:v>
                </c:pt>
                <c:pt idx="1">
                  <c:v>5.1776013372335984E-2</c:v>
                </c:pt>
                <c:pt idx="2">
                  <c:v>3.7609694943585456E-4</c:v>
                </c:pt>
              </c:numCache>
            </c:numRef>
          </c:val>
          <c:extLst>
            <c:ext xmlns:c16="http://schemas.microsoft.com/office/drawing/2014/chart" uri="{C3380CC4-5D6E-409C-BE32-E72D297353CC}">
              <c16:uniqueId val="{00000001-40A6-4D41-BF4B-5F5A56104031}"/>
            </c:ext>
          </c:extLst>
        </c:ser>
        <c:dLbls>
          <c:showLegendKey val="0"/>
          <c:showVal val="0"/>
          <c:showCatName val="0"/>
          <c:showSerName val="0"/>
          <c:showPercent val="0"/>
          <c:showBubbleSize val="0"/>
        </c:dLbls>
        <c:gapWidth val="150"/>
        <c:overlap val="100"/>
        <c:axId val="1863010943"/>
        <c:axId val="1838199039"/>
      </c:barChart>
      <c:catAx>
        <c:axId val="1863010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n-US"/>
          </a:p>
        </c:txPr>
        <c:crossAx val="1838199039"/>
        <c:crossesAt val="0"/>
        <c:auto val="1"/>
        <c:lblAlgn val="ctr"/>
        <c:lblOffset val="100"/>
        <c:noMultiLvlLbl val="0"/>
      </c:catAx>
      <c:valAx>
        <c:axId val="1838199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1863010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b="1">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'Sensitivity Analysis'!$R$44</c:f>
              <c:strCache>
                <c:ptCount val="1"/>
                <c:pt idx="0">
                  <c:v>Min Value</c:v>
                </c:pt>
              </c:strCache>
            </c:strRef>
          </c:tx>
          <c:spPr>
            <a:solidFill>
              <a:schemeClr val="accent1"/>
            </a:solidFill>
            <a:ln>
              <a:noFill/>
            </a:ln>
            <a:effectLst/>
          </c:spPr>
          <c:invertIfNegative val="0"/>
          <c:cat>
            <c:strRef>
              <c:f>'Sensitivity Analysis'!$Q$45:$Q$48</c:f>
              <c:strCache>
                <c:ptCount val="4"/>
                <c:pt idx="0">
                  <c:v>Electricity (Wind)  (kg CO2 eq)</c:v>
                </c:pt>
                <c:pt idx="1">
                  <c:v>Electricity (Hydropower)  (kg CO2 eq)</c:v>
                </c:pt>
                <c:pt idx="2">
                  <c:v>Electricity (Grid)  (kg CO2 eq)</c:v>
                </c:pt>
                <c:pt idx="3">
                  <c:v>Water (desalinated; deionized)  (kg CO2 eq)</c:v>
                </c:pt>
              </c:strCache>
            </c:strRef>
          </c:cat>
          <c:val>
            <c:numRef>
              <c:f>'Sensitivity Analysis'!$R$45:$R$48</c:f>
              <c:numCache>
                <c:formatCode>General</c:formatCode>
                <c:ptCount val="4"/>
                <c:pt idx="0">
                  <c:v>-1.4112254346392899E-3</c:v>
                </c:pt>
                <c:pt idx="1">
                  <c:v>-0.8</c:v>
                </c:pt>
                <c:pt idx="2">
                  <c:v>6.3952828581375895E-2</c:v>
                </c:pt>
                <c:pt idx="3">
                  <c:v>0</c:v>
                </c:pt>
              </c:numCache>
            </c:numRef>
          </c:val>
          <c:extLst>
            <c:ext xmlns:c16="http://schemas.microsoft.com/office/drawing/2014/chart" uri="{C3380CC4-5D6E-409C-BE32-E72D297353CC}">
              <c16:uniqueId val="{00000000-A310-9F4B-A0E3-435857CB18B0}"/>
            </c:ext>
          </c:extLst>
        </c:ser>
        <c:ser>
          <c:idx val="2"/>
          <c:order val="1"/>
          <c:tx>
            <c:strRef>
              <c:f>'Sensitivity Analysis'!$T$44</c:f>
              <c:strCache>
                <c:ptCount val="1"/>
                <c:pt idx="0">
                  <c:v>Max Value</c:v>
                </c:pt>
              </c:strCache>
            </c:strRef>
          </c:tx>
          <c:spPr>
            <a:solidFill>
              <a:schemeClr val="accent5"/>
            </a:solidFill>
            <a:ln>
              <a:noFill/>
            </a:ln>
            <a:effectLst/>
          </c:spPr>
          <c:invertIfNegative val="0"/>
          <c:cat>
            <c:strRef>
              <c:f>'Sensitivity Analysis'!$Q$45:$Q$48</c:f>
              <c:strCache>
                <c:ptCount val="4"/>
                <c:pt idx="0">
                  <c:v>Electricity (Wind)  (kg CO2 eq)</c:v>
                </c:pt>
                <c:pt idx="1">
                  <c:v>Electricity (Hydropower)  (kg CO2 eq)</c:v>
                </c:pt>
                <c:pt idx="2">
                  <c:v>Electricity (Grid)  (kg CO2 eq)</c:v>
                </c:pt>
                <c:pt idx="3">
                  <c:v>Water (desalinated; deionized)  (kg CO2 eq)</c:v>
                </c:pt>
              </c:strCache>
            </c:strRef>
          </c:cat>
          <c:val>
            <c:numRef>
              <c:f>'Sensitivity Analysis'!$T$45:$T$48</c:f>
              <c:numCache>
                <c:formatCode>General</c:formatCode>
                <c:ptCount val="4"/>
                <c:pt idx="0">
                  <c:v>2.1168381519589326E-3</c:v>
                </c:pt>
                <c:pt idx="1">
                  <c:v>1.2</c:v>
                </c:pt>
                <c:pt idx="2">
                  <c:v>-9.5929242872063794E-2</c:v>
                </c:pt>
                <c:pt idx="3">
                  <c:v>0</c:v>
                </c:pt>
              </c:numCache>
            </c:numRef>
          </c:val>
          <c:extLst>
            <c:ext xmlns:c16="http://schemas.microsoft.com/office/drawing/2014/chart" uri="{C3380CC4-5D6E-409C-BE32-E72D297353CC}">
              <c16:uniqueId val="{00000001-A310-9F4B-A0E3-435857CB18B0}"/>
            </c:ext>
          </c:extLst>
        </c:ser>
        <c:dLbls>
          <c:showLegendKey val="0"/>
          <c:showVal val="0"/>
          <c:showCatName val="0"/>
          <c:showSerName val="0"/>
          <c:showPercent val="0"/>
          <c:showBubbleSize val="0"/>
        </c:dLbls>
        <c:gapWidth val="150"/>
        <c:overlap val="100"/>
        <c:axId val="1838180863"/>
        <c:axId val="1838175039"/>
      </c:barChart>
      <c:catAx>
        <c:axId val="1838180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95000"/>
                    <a:lumOff val="5000"/>
                  </a:schemeClr>
                </a:solidFill>
                <a:latin typeface="+mn-lt"/>
                <a:ea typeface="+mn-ea"/>
                <a:cs typeface="+mn-cs"/>
              </a:defRPr>
            </a:pPr>
            <a:endParaRPr lang="en-US"/>
          </a:p>
        </c:txPr>
        <c:crossAx val="1838175039"/>
        <c:crosses val="autoZero"/>
        <c:auto val="1"/>
        <c:lblAlgn val="ctr"/>
        <c:lblOffset val="100"/>
        <c:noMultiLvlLbl val="0"/>
      </c:catAx>
      <c:valAx>
        <c:axId val="1838175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crossAx val="1838180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b="1">
          <a:solidFill>
            <a:schemeClr val="tx1">
              <a:lumMod val="95000"/>
              <a:lumOff val="5000"/>
            </a:schemeClr>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A2A65-4BA0-49B5-ADE8-64F1FC0AE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15</Pages>
  <Words>4738</Words>
  <Characters>27010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31685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44</cp:revision>
  <cp:lastPrinted>1999-07-06T11:00:00Z</cp:lastPrinted>
  <dcterms:created xsi:type="dcterms:W3CDTF">2014-10-25T14:34:00Z</dcterms:created>
  <dcterms:modified xsi:type="dcterms:W3CDTF">2025-11-27T10:34:00Z</dcterms:modified>
</cp:coreProperties>
</file>