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AE3B7" w14:textId="77777777" w:rsidR="0017651D" w:rsidRPr="00BB2065" w:rsidRDefault="0017651D" w:rsidP="0017651D">
      <w:pPr>
        <w:jc w:val="center"/>
        <w:rPr>
          <w:lang w:val="en-GB"/>
        </w:rPr>
      </w:pPr>
    </w:p>
    <w:p w14:paraId="0F4429D3" w14:textId="7466D68B" w:rsidR="00B35F7A" w:rsidRPr="00BB2065" w:rsidRDefault="0017651D" w:rsidP="00B35F7A">
      <w:pPr>
        <w:spacing w:after="0" w:line="360" w:lineRule="auto"/>
        <w:jc w:val="center"/>
        <w:rPr>
          <w:rFonts w:ascii="Times New Roman" w:hAnsi="Times New Roman"/>
          <w:sz w:val="24"/>
          <w:szCs w:val="24"/>
          <w:lang w:val="en-GB"/>
        </w:rPr>
      </w:pPr>
      <w:bookmarkStart w:id="0" w:name="_Hlk81464467"/>
      <w:r w:rsidRPr="00BB2065">
        <w:rPr>
          <w:rFonts w:ascii="Arial" w:hAnsi="Arial" w:cs="Arial"/>
          <w:b/>
          <w:bCs/>
          <w:color w:val="333333"/>
          <w:sz w:val="20"/>
          <w:szCs w:val="20"/>
          <w:shd w:val="clear" w:color="auto" w:fill="FFFFFF"/>
          <w:lang w:val="en-GB"/>
        </w:rPr>
        <w:t xml:space="preserve">IMPACT OF CLIMATE CHANGE ON TOURISM AND ADAPTATION MEASURES IN VJOSA BASIN  </w:t>
      </w:r>
    </w:p>
    <w:bookmarkEnd w:id="0"/>
    <w:p w14:paraId="109B02D0" w14:textId="1271434F" w:rsidR="00B35F7A" w:rsidRPr="00BB2065" w:rsidRDefault="00B35F7A" w:rsidP="00B35F7A">
      <w:pPr>
        <w:spacing w:after="0" w:line="360" w:lineRule="auto"/>
        <w:jc w:val="center"/>
        <w:rPr>
          <w:rFonts w:ascii="Times New Roman" w:hAnsi="Times New Roman" w:cs="Times New Roman"/>
          <w:smallCaps/>
          <w:sz w:val="24"/>
          <w:szCs w:val="24"/>
          <w:lang w:val="en-GB"/>
        </w:rPr>
      </w:pPr>
    </w:p>
    <w:p w14:paraId="03402D2C" w14:textId="77777777" w:rsidR="0003575D" w:rsidRDefault="0003575D" w:rsidP="00CE4C56">
      <w:pPr>
        <w:rPr>
          <w:rFonts w:ascii="Times New Roman" w:hAnsi="Times New Roman" w:cs="Times New Roman"/>
          <w:b/>
          <w:bCs/>
          <w:sz w:val="24"/>
          <w:szCs w:val="24"/>
        </w:rPr>
      </w:pPr>
    </w:p>
    <w:p w14:paraId="5E2A14DC" w14:textId="757E2436" w:rsidR="00CE4C56" w:rsidRPr="00CE4C56" w:rsidRDefault="00CE4C56" w:rsidP="00CE4C56">
      <w:pPr>
        <w:rPr>
          <w:rFonts w:ascii="Times New Roman" w:hAnsi="Times New Roman" w:cs="Times New Roman"/>
          <w:sz w:val="24"/>
          <w:szCs w:val="24"/>
        </w:rPr>
      </w:pPr>
      <w:bookmarkStart w:id="1" w:name="_GoBack"/>
      <w:bookmarkEnd w:id="1"/>
      <w:r w:rsidRPr="00CE4C56">
        <w:rPr>
          <w:rFonts w:ascii="Times New Roman" w:hAnsi="Times New Roman" w:cs="Times New Roman"/>
          <w:b/>
          <w:bCs/>
          <w:sz w:val="24"/>
          <w:szCs w:val="24"/>
        </w:rPr>
        <w:t xml:space="preserve">Abstract. </w:t>
      </w:r>
      <w:r w:rsidRPr="00CE4C56">
        <w:rPr>
          <w:rFonts w:ascii="Times New Roman" w:hAnsi="Times New Roman" w:cs="Times New Roman"/>
          <w:sz w:val="24"/>
          <w:szCs w:val="24"/>
        </w:rPr>
        <w:t>Tourism is one of the most climate sensitive economic sectors, but at the same time, like many economic activities, it also contributes to climate change. The effects of climate change are becoming a growing concern, especially in the tourism sector, which urgently and needs to find solutions, especially considering its contribution to climate change.</w:t>
      </w:r>
    </w:p>
    <w:p w14:paraId="0F6F20D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Over the past decades there has been a growing interest in issues related to the connections between climate change and tourism. However, in much of this literature, the present climate change is often referred to as a new phenomenon, which presents the researchers with new challenges and problems. However, we must bear in mind that climate change is not a completely new phenomenon. In fact, over the course of history there have been various interactions between climate change and tourism and various approaches.</w:t>
      </w:r>
    </w:p>
    <w:p w14:paraId="354C185F"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this paper we have analyzed the impact of Climate Change on Tourism sector in the Vjosa Basin by taking in consideration different indicators and methods such as: indicators of capacity utilization of hotels and similar structures, tourists’ number and accommodation facilities, tourism climate index etc.</w:t>
      </w:r>
    </w:p>
    <w:p w14:paraId="434FD1C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b/>
          <w:bCs/>
          <w:sz w:val="24"/>
          <w:szCs w:val="24"/>
        </w:rPr>
        <w:t>Keywords:</w:t>
      </w:r>
      <w:r w:rsidRPr="00CE4C56">
        <w:rPr>
          <w:rFonts w:ascii="Times New Roman" w:hAnsi="Times New Roman" w:cs="Times New Roman"/>
          <w:sz w:val="24"/>
          <w:szCs w:val="24"/>
        </w:rPr>
        <w:t xml:space="preserve"> Climate change, Vjosa Basin, tourism activity, impact, adaptation measures.</w:t>
      </w:r>
    </w:p>
    <w:p w14:paraId="68305E6B" w14:textId="77777777" w:rsidR="00CE4C56" w:rsidRPr="00CE4C56" w:rsidRDefault="00CE4C56" w:rsidP="00CE4C56">
      <w:pPr>
        <w:numPr>
          <w:ilvl w:val="0"/>
          <w:numId w:val="2"/>
        </w:numPr>
        <w:rPr>
          <w:rFonts w:ascii="Times New Roman" w:hAnsi="Times New Roman" w:cs="Times New Roman"/>
          <w:b/>
          <w:sz w:val="24"/>
          <w:szCs w:val="24"/>
        </w:rPr>
      </w:pPr>
      <w:r w:rsidRPr="00CE4C56">
        <w:rPr>
          <w:rFonts w:ascii="Times New Roman" w:hAnsi="Times New Roman" w:cs="Times New Roman"/>
          <w:b/>
          <w:sz w:val="24"/>
          <w:szCs w:val="24"/>
        </w:rPr>
        <w:t>Introduction</w:t>
      </w:r>
    </w:p>
    <w:p w14:paraId="22A30A83"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Tourism sector typically constitutes a transversal sector; therefore, numerous and diversified policies contribute to it that have effects on both the issue of mitigation and adaptation. The areas with which a direct link is created range from energy to transport, urban areas, coastal areas and soil defense, but also agriculture, forests and biodiversity and water resources. Therefore, the reduction of greenhouse gas emissions associated with the greater consumption of energy resources deriving from tourist flows is addressed in the planning of the energy system and transport. </w:t>
      </w:r>
    </w:p>
    <w:p w14:paraId="63D6FCAF"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On the other hand, many aspects related to the theme of adaptation such as risk management and communication are already covered by measures relating to territorial safety (flood risk, prevention and mitigation of the effects of heat waves, etc.); as well as the management of the retreat of the coastline is covered by measures and instruments for the protection of the coasts. The regulation of the use and management of the beach including all the equipment necessary for tourism is entrusted to the municipalities through the drafting of the plan of the beaches which are an integral part of the National Strategy for Integration and Development. </w:t>
      </w:r>
    </w:p>
    <w:p w14:paraId="49A8AF26"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purpose of this article is to highlight the sensitivities and climatic elements that affect tourist activities in the Vjosa river basin on the one hand and also to suggest measures for mitigation and adaptation to climate change.</w:t>
      </w:r>
    </w:p>
    <w:p w14:paraId="67541C05"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lastRenderedPageBreak/>
        <w:t>The Vjosa River has a special and crucial place in the daily lives of the people that live along its banks. Its terraces provide the villages with fertile land for agricultural activities such as crop production and livestock farming. The abundance and diversity of fish is vital for the economy and the well-being of local fishermen. Recreation-al tourism on the Vjosa and its tributaries is ever-increasing, particularly in recent years in which enthusiasts have started to enjoy activities such as rafting, canoeing, kayaking, swimming, etc.</w:t>
      </w:r>
    </w:p>
    <w:p w14:paraId="20C3D624" w14:textId="7300C38A"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BFF9B6A" wp14:editId="17FA33F6">
                <wp:simplePos x="0" y="0"/>
                <wp:positionH relativeFrom="margin">
                  <wp:align>center</wp:align>
                </wp:positionH>
                <wp:positionV relativeFrom="paragraph">
                  <wp:posOffset>3098165</wp:posOffset>
                </wp:positionV>
                <wp:extent cx="1609725" cy="635"/>
                <wp:effectExtent l="0" t="0" r="9525" b="8255"/>
                <wp:wrapTopAndBottom/>
                <wp:docPr id="1" name="Text Box 1"/>
                <wp:cNvGraphicFramePr/>
                <a:graphic xmlns:a="http://schemas.openxmlformats.org/drawingml/2006/main">
                  <a:graphicData uri="http://schemas.microsoft.com/office/word/2010/wordprocessingShape">
                    <wps:wsp>
                      <wps:cNvSpPr txBox="1"/>
                      <wps:spPr>
                        <a:xfrm>
                          <a:off x="0" y="0"/>
                          <a:ext cx="1609725" cy="635"/>
                        </a:xfrm>
                        <a:prstGeom prst="rect">
                          <a:avLst/>
                        </a:prstGeom>
                        <a:solidFill>
                          <a:prstClr val="white"/>
                        </a:solidFill>
                        <a:ln>
                          <a:noFill/>
                        </a:ln>
                      </wps:spPr>
                      <wps:txbx>
                        <w:txbxContent>
                          <w:p w14:paraId="5B36050D" w14:textId="77777777" w:rsidR="00CE4C56" w:rsidRPr="00561A1F" w:rsidRDefault="00CE4C56" w:rsidP="00CE4C56">
                            <w:pPr>
                              <w:pStyle w:val="Caption"/>
                              <w:rPr>
                                <w:noProof/>
                                <w:sz w:val="20"/>
                                <w:szCs w:val="20"/>
                              </w:rPr>
                            </w:pPr>
                            <w:r w:rsidRPr="00561A1F">
                              <w:t xml:space="preserve">Fig. </w:t>
                            </w:r>
                            <w:r w:rsidR="00864BBD">
                              <w:fldChar w:fldCharType="begin"/>
                            </w:r>
                            <w:r w:rsidR="00864BBD">
                              <w:instrText xml:space="preserve"> SEQ Fig. \* ARABIC </w:instrText>
                            </w:r>
                            <w:r w:rsidR="00864BBD">
                              <w:fldChar w:fldCharType="separate"/>
                            </w:r>
                            <w:r w:rsidRPr="00561A1F">
                              <w:rPr>
                                <w:noProof/>
                              </w:rPr>
                              <w:t>1</w:t>
                            </w:r>
                            <w:r w:rsidR="00864BBD">
                              <w:rPr>
                                <w:noProof/>
                              </w:rPr>
                              <w:fldChar w:fldCharType="end"/>
                            </w:r>
                            <w:r>
                              <w:t>. Map of Vjosa River Basin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BFF9B6A" id="_x0000_t202" coordsize="21600,21600" o:spt="202" path="m,l,21600r21600,l21600,xe">
                <v:stroke joinstyle="miter"/>
                <v:path gradientshapeok="t" o:connecttype="rect"/>
              </v:shapetype>
              <v:shape id="Text Box 1" o:spid="_x0000_s1026" type="#_x0000_t202" style="position:absolute;margin-left:0;margin-top:243.95pt;width:126.75pt;height:.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" stroked="f">
                <v:textbox style="mso-fit-shape-to-text:t" inset="0,0,0,0">
                  <w:txbxContent>
                    <w:p w14:paraId="5B36050D" w14:textId="77777777" w:rsidR="00CE4C56" w:rsidRPr="00561A1F" w:rsidRDefault="00CE4C56" w:rsidP="00CE4C56">
                      <w:pPr>
                        <w:pStyle w:val="Caption"/>
                        <w:rPr>
                          <w:noProof/>
                          <w:sz w:val="20"/>
                          <w:szCs w:val="20"/>
                        </w:rPr>
                      </w:pPr>
                      <w:r w:rsidRPr="00561A1F">
                        <w:t xml:space="preserve">Fig. </w:t>
                      </w:r>
                      <w:r w:rsidR="00864BBD">
                        <w:fldChar w:fldCharType="begin"/>
                      </w:r>
                      <w:r w:rsidR="00864BBD">
                        <w:instrText xml:space="preserve"> SEQ Fig. \* ARABIC </w:instrText>
                      </w:r>
                      <w:r w:rsidR="00864BBD">
                        <w:fldChar w:fldCharType="separate"/>
                      </w:r>
                      <w:r w:rsidRPr="00561A1F">
                        <w:rPr>
                          <w:noProof/>
                        </w:rPr>
                        <w:t>1</w:t>
                      </w:r>
                      <w:r w:rsidR="00864BBD">
                        <w:rPr>
                          <w:noProof/>
                        </w:rPr>
                        <w:fldChar w:fldCharType="end"/>
                      </w:r>
                      <w:r>
                        <w:t>. Map of Vjosa River Basin</w:t>
                      </w:r>
                    </w:p>
                  </w:txbxContent>
                </v:textbox>
                <w10:wrap type="topAndBottom" anchorx="margin"/>
              </v:shape>
            </w:pict>
          </mc:Fallback>
        </mc:AlternateContent>
      </w:r>
      <w:r w:rsidRPr="00CE4C56">
        <w:rPr>
          <w:rFonts w:ascii="Times New Roman" w:hAnsi="Times New Roman" w:cs="Times New Roman"/>
          <w:sz w:val="24"/>
          <w:szCs w:val="24"/>
        </w:rPr>
        <w:t>Many small-scale businesses and new emerging eco-tourism companies have based their existence on the free-flowing waters of the Vjosa. (Fig.1).</w:t>
      </w:r>
    </w:p>
    <w:p w14:paraId="3DC50410" w14:textId="4A39B620" w:rsidR="00D31728" w:rsidRPr="00CE4C56" w:rsidRDefault="00D31728" w:rsidP="00CE4C56">
      <w:pPr>
        <w:rPr>
          <w:rFonts w:ascii="Times New Roman" w:hAnsi="Times New Roman" w:cs="Times New Roman"/>
          <w:sz w:val="24"/>
          <w:szCs w:val="24"/>
        </w:rPr>
      </w:pPr>
      <w:r w:rsidRPr="00CE4C56">
        <w:rPr>
          <w:rFonts w:ascii="Times New Roman" w:hAnsi="Times New Roman" w:cs="Times New Roman"/>
          <w:noProof/>
          <w:sz w:val="24"/>
          <w:szCs w:val="24"/>
        </w:rPr>
        <w:drawing>
          <wp:anchor distT="0" distB="0" distL="114300" distR="114300" simplePos="0" relativeHeight="251660288" behindDoc="0" locked="0" layoutInCell="1" allowOverlap="1" wp14:anchorId="74A820FB" wp14:editId="4B87518C">
            <wp:simplePos x="0" y="0"/>
            <wp:positionH relativeFrom="margin">
              <wp:posOffset>1428750</wp:posOffset>
            </wp:positionH>
            <wp:positionV relativeFrom="paragraph">
              <wp:posOffset>508952</wp:posOffset>
            </wp:positionV>
            <wp:extent cx="2965450" cy="2052320"/>
            <wp:effectExtent l="19050" t="19050" r="25400" b="24130"/>
            <wp:wrapTopAndBottom/>
            <wp:docPr id="2" name="Picture 2" descr="C:\Users\User\AppData\Local\Packages\Microsoft.Windows.Photos_8wekyb3d8bbwe\TempState\ShareServiceTempFolder\Layou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Layout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5450" cy="20523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E4C56" w:rsidRPr="00CE4C56">
        <w:rPr>
          <w:rFonts w:ascii="Times New Roman" w:hAnsi="Times New Roman" w:cs="Times New Roman"/>
          <w:sz w:val="24"/>
          <w:szCs w:val="24"/>
        </w:rPr>
        <w:t xml:space="preserve">Moreover, the Vjosa and its crystal-clear water have had an impact on the hearts of Albanians and their cultural values. Naming newly-born girls after the Vjosa continues to be very popular among Albanian parents since the name stands for the beauty of the river and its untouched nature. </w:t>
      </w:r>
    </w:p>
    <w:p w14:paraId="1D52C5BA" w14:textId="77777777" w:rsidR="00CE4C56" w:rsidRPr="00CE4C56" w:rsidRDefault="00CE4C56" w:rsidP="00CE4C56">
      <w:pPr>
        <w:numPr>
          <w:ilvl w:val="0"/>
          <w:numId w:val="2"/>
        </w:numPr>
        <w:rPr>
          <w:rFonts w:ascii="Times New Roman" w:hAnsi="Times New Roman" w:cs="Times New Roman"/>
          <w:b/>
          <w:sz w:val="24"/>
          <w:szCs w:val="24"/>
        </w:rPr>
      </w:pPr>
      <w:r w:rsidRPr="00CE4C56">
        <w:rPr>
          <w:rFonts w:ascii="Times New Roman" w:hAnsi="Times New Roman" w:cs="Times New Roman"/>
          <w:b/>
          <w:sz w:val="24"/>
          <w:szCs w:val="24"/>
        </w:rPr>
        <w:t>Methodology</w:t>
      </w:r>
    </w:p>
    <w:p w14:paraId="0B78447E"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methodology we used provides a structured approach to assess and address the impacts of climate change on tourism, ensuring sustainable development and resilience in the face of environmental and economic challenges. The first phase of the study started with the collection of historical climate data, tourism statistics, and projections of future climate change. Afterwards we realized a Vulnerability Assessment, identifying vulnerable tourism assets, including attractions, infrastructure, and ecosystems. Followed in the next phase by the risk analysis, in which we evaluate the potential impacts of climate change on tourism assets, considering factors such as sea-level rise, extreme weather events, and shifts in seasonal patterns.</w:t>
      </w:r>
    </w:p>
    <w:p w14:paraId="1FE85A09"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last working phase is related to the cooperation and involvement of stakeholders for Collaborate with tourism stakeholders, local communities, and government agencies to prioritize adaptation measures and build resilience for the Vjosa Basin area.</w:t>
      </w:r>
    </w:p>
    <w:p w14:paraId="2FD2D0F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A preliminary adaptation strategy has also been developed to mitigate identified risks, including infrastructure upgrades, diversification of tourism offerings, and community engagement.</w:t>
      </w:r>
    </w:p>
    <w:p w14:paraId="45A6F7A2" w14:textId="77777777" w:rsidR="00CE4C56" w:rsidRPr="00CE4C56" w:rsidRDefault="00CE4C56" w:rsidP="00CE4C56">
      <w:pPr>
        <w:numPr>
          <w:ilvl w:val="0"/>
          <w:numId w:val="2"/>
        </w:numPr>
        <w:rPr>
          <w:rFonts w:ascii="Times New Roman" w:hAnsi="Times New Roman" w:cs="Times New Roman"/>
          <w:b/>
          <w:sz w:val="24"/>
          <w:szCs w:val="24"/>
        </w:rPr>
      </w:pPr>
      <w:r w:rsidRPr="00CE4C56">
        <w:rPr>
          <w:rFonts w:ascii="Times New Roman" w:hAnsi="Times New Roman" w:cs="Times New Roman"/>
          <w:b/>
          <w:sz w:val="24"/>
          <w:szCs w:val="24"/>
        </w:rPr>
        <w:lastRenderedPageBreak/>
        <w:t>Results and Discussion</w:t>
      </w:r>
    </w:p>
    <w:p w14:paraId="3176D745" w14:textId="77777777" w:rsidR="00CE4C56" w:rsidRPr="00CE4C56" w:rsidRDefault="00CE4C56" w:rsidP="00CE4C56">
      <w:pPr>
        <w:rPr>
          <w:rFonts w:ascii="Times New Roman" w:hAnsi="Times New Roman" w:cs="Times New Roman"/>
          <w:bCs/>
          <w:i/>
          <w:iCs/>
          <w:sz w:val="24"/>
          <w:szCs w:val="24"/>
        </w:rPr>
      </w:pPr>
      <w:r w:rsidRPr="00CE4C56">
        <w:rPr>
          <w:rFonts w:ascii="Times New Roman" w:hAnsi="Times New Roman" w:cs="Times New Roman"/>
          <w:bCs/>
          <w:i/>
          <w:iCs/>
          <w:sz w:val="24"/>
          <w:szCs w:val="24"/>
        </w:rPr>
        <w:t>3.1 The prognosis of tourist number and accommodation capacities</w:t>
      </w:r>
    </w:p>
    <w:p w14:paraId="372D4E9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total number of foreign visitors has increased significantly in recent years in Albania, with an increase of 80% in 2016 compared to 2011 (total 4.58 million visitors in 2016 from 2.53 million visitors in 2011 (TNC data). In 2016, there was a 16% increase in foreign tourists visiting Albania compared to 2015. Tourism revenues in 2016 reached 1.528 billion euros, with a 13% increase com-pared to 2015. Travel and tourism investments in 2016 were ALL 28.9 billion, of total investment.</w:t>
      </w:r>
    </w:p>
    <w:p w14:paraId="602D504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During 2018, the entries of foreign citizens are 15.8% more than in 2017. In the period 2014-2018, the number of foreign visitors with overnight stays (including visitors who stay at least one night in a hotel or other accommodation facilities, relatives, their homes, etc.) is about 21 million increasing by 10.7% during 2018. While the number of daily visitors, for the period 2014-2018, is about 1.7 million, doubling during 2018, compared to 2017.</w:t>
      </w:r>
    </w:p>
    <w:p w14:paraId="456E5218"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the period 2014-2018, the entrances of foreign citizens for personal purposes: (vacation, visit to relatives, health treatment, religious purposes, etc.) occupy the largest share of entries of foreign citizens, on average 98.7%. The number of entries of foreign citizens for personal purposes has increased by 15.7% in 2018, compared to a year ago. While entries for business purposes account for 1.5% of total entries, increasing 27.2% in 2018, compared to a year ago.</w:t>
      </w:r>
    </w:p>
    <w:p w14:paraId="34503E6F"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2019, the indicators of capacity utilization of hotels and similar structures are presented as follows:</w:t>
      </w:r>
    </w:p>
    <w:p w14:paraId="0577E86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the number of visitors has increased by 0.9%, compared to 2018;</w:t>
      </w:r>
    </w:p>
    <w:p w14:paraId="641B036A"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the number of overnight stays has increased by 5.8%, compared to 2018;</w:t>
      </w:r>
    </w:p>
    <w:p w14:paraId="7B5EF775"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the utilization rate of the rooms of "Hotels and similar accommodations" is 26.5% per year 2019, versus 17.5% that was in 2018;</w:t>
      </w:r>
    </w:p>
    <w:p w14:paraId="054850A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the rate of use of beds of "Hotels and similar accommodation" is 24.4% in 2019, compared to 19.3% in 2018;</w:t>
      </w:r>
    </w:p>
    <w:p w14:paraId="424B920D"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2019, the highest number of overnight stays was realized (INSTAT 2019).</w:t>
      </w:r>
    </w:p>
    <w:p w14:paraId="682EE612"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by areas close to the coast in the "Coastal Zone" (58.8%);</w:t>
      </w:r>
    </w:p>
    <w:p w14:paraId="6A3D2936"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by regions in the "Southern Region" (33.8% or around 2.072.300 tourist presences);</w:t>
      </w:r>
    </w:p>
    <w:p w14:paraId="4762F34E"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Southern Region defined in the INSTAT data, refers to the regions of Berat, Fier, Gjirokaster, Korca and Vlora, thus including the area that coincided with the Vjosa river basin until the Decision of the Council of Ministers of 2019, then the region of Berat is no longer included and in fact the Korca region is included with only 1%.</w:t>
      </w:r>
    </w:p>
    <w:p w14:paraId="3A1CC663"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Thus, the inability to have other more specific data for VRB, forces us to refer to the data for the aforementioned southern region (see Table 1). </w:t>
      </w:r>
    </w:p>
    <w:p w14:paraId="7CF38FA4" w14:textId="77777777" w:rsidR="00CE4C56" w:rsidRPr="00CE4C56" w:rsidRDefault="00CE4C56" w:rsidP="00CE4C56">
      <w:pPr>
        <w:rPr>
          <w:rFonts w:ascii="Times New Roman" w:hAnsi="Times New Roman" w:cs="Times New Roman"/>
          <w:bCs/>
          <w:i/>
          <w:iCs/>
          <w:sz w:val="24"/>
          <w:szCs w:val="24"/>
        </w:rPr>
      </w:pPr>
      <w:r w:rsidRPr="00CE4C56">
        <w:rPr>
          <w:rFonts w:ascii="Times New Roman" w:hAnsi="Times New Roman" w:cs="Times New Roman"/>
          <w:bCs/>
          <w:i/>
          <w:iCs/>
          <w:sz w:val="24"/>
          <w:szCs w:val="24"/>
        </w:rPr>
        <w:lastRenderedPageBreak/>
        <w:t xml:space="preserve">Table </w:t>
      </w:r>
      <w:r w:rsidRPr="00CE4C56">
        <w:rPr>
          <w:rFonts w:ascii="Times New Roman" w:hAnsi="Times New Roman" w:cs="Times New Roman"/>
          <w:bCs/>
          <w:i/>
          <w:iCs/>
          <w:sz w:val="24"/>
          <w:szCs w:val="24"/>
        </w:rPr>
        <w:fldChar w:fldCharType="begin"/>
      </w:r>
      <w:r w:rsidRPr="00CE4C56">
        <w:rPr>
          <w:rFonts w:ascii="Times New Roman" w:hAnsi="Times New Roman" w:cs="Times New Roman"/>
          <w:bCs/>
          <w:i/>
          <w:iCs/>
          <w:sz w:val="24"/>
          <w:szCs w:val="24"/>
        </w:rPr>
        <w:instrText xml:space="preserve"> SEQ "Table" \* MERGEFORMAT </w:instrText>
      </w:r>
      <w:r w:rsidRPr="00CE4C56">
        <w:rPr>
          <w:rFonts w:ascii="Times New Roman" w:hAnsi="Times New Roman" w:cs="Times New Roman"/>
          <w:bCs/>
          <w:i/>
          <w:iCs/>
          <w:sz w:val="24"/>
          <w:szCs w:val="24"/>
        </w:rPr>
        <w:fldChar w:fldCharType="separate"/>
      </w:r>
      <w:r w:rsidRPr="00CE4C56">
        <w:rPr>
          <w:rFonts w:ascii="Times New Roman" w:hAnsi="Times New Roman" w:cs="Times New Roman"/>
          <w:bCs/>
          <w:i/>
          <w:iCs/>
          <w:sz w:val="24"/>
          <w:szCs w:val="24"/>
        </w:rPr>
        <w:t>1</w:t>
      </w:r>
      <w:r w:rsidRPr="00CE4C56">
        <w:rPr>
          <w:rFonts w:ascii="Times New Roman" w:hAnsi="Times New Roman" w:cs="Times New Roman"/>
          <w:sz w:val="24"/>
          <w:szCs w:val="24"/>
        </w:rPr>
        <w:fldChar w:fldCharType="end"/>
      </w:r>
      <w:r w:rsidRPr="00CE4C56">
        <w:rPr>
          <w:rFonts w:ascii="Times New Roman" w:hAnsi="Times New Roman" w:cs="Times New Roman"/>
          <w:bCs/>
          <w:i/>
          <w:iCs/>
          <w:sz w:val="24"/>
          <w:szCs w:val="24"/>
        </w:rPr>
        <w:t>. Prognosis of tourists’ number in VRB during 2020-2050</w:t>
      </w:r>
    </w:p>
    <w:tbl>
      <w:tblPr>
        <w:tblW w:w="7020" w:type="dxa"/>
        <w:jc w:val="center"/>
        <w:tblLayout w:type="fixed"/>
        <w:tblCellMar>
          <w:left w:w="70" w:type="dxa"/>
          <w:right w:w="70" w:type="dxa"/>
        </w:tblCellMar>
        <w:tblLook w:val="0000" w:firstRow="0" w:lastRow="0" w:firstColumn="0" w:lastColumn="0" w:noHBand="0" w:noVBand="0"/>
      </w:tblPr>
      <w:tblGrid>
        <w:gridCol w:w="1530"/>
        <w:gridCol w:w="1350"/>
        <w:gridCol w:w="2340"/>
        <w:gridCol w:w="1800"/>
      </w:tblGrid>
      <w:tr w:rsidR="00CE4C56" w:rsidRPr="00CE4C56" w14:paraId="12993F9B" w14:textId="77777777" w:rsidTr="00D31728">
        <w:trPr>
          <w:trHeight w:val="1109"/>
          <w:jc w:val="center"/>
        </w:trPr>
        <w:tc>
          <w:tcPr>
            <w:tcW w:w="1530" w:type="dxa"/>
            <w:tcBorders>
              <w:top w:val="single" w:sz="12" w:space="0" w:color="000000"/>
              <w:bottom w:val="single" w:sz="6" w:space="0" w:color="000000"/>
            </w:tcBorders>
          </w:tcPr>
          <w:p w14:paraId="26DA71F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Period</w:t>
            </w:r>
          </w:p>
        </w:tc>
        <w:tc>
          <w:tcPr>
            <w:tcW w:w="1350" w:type="dxa"/>
            <w:tcBorders>
              <w:top w:val="single" w:sz="12" w:space="0" w:color="000000"/>
              <w:bottom w:val="single" w:sz="6" w:space="0" w:color="000000"/>
            </w:tcBorders>
          </w:tcPr>
          <w:p w14:paraId="25525C5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Mean annul rhythm</w:t>
            </w:r>
          </w:p>
        </w:tc>
        <w:tc>
          <w:tcPr>
            <w:tcW w:w="2340" w:type="dxa"/>
            <w:tcBorders>
              <w:top w:val="single" w:sz="12" w:space="0" w:color="000000"/>
              <w:bottom w:val="single" w:sz="6" w:space="0" w:color="000000"/>
            </w:tcBorders>
          </w:tcPr>
          <w:p w14:paraId="63ADEA2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Change in tourists’ number</w:t>
            </w:r>
          </w:p>
        </w:tc>
        <w:tc>
          <w:tcPr>
            <w:tcW w:w="1800" w:type="dxa"/>
            <w:tcBorders>
              <w:top w:val="single" w:sz="12" w:space="0" w:color="000000"/>
              <w:bottom w:val="single" w:sz="6" w:space="0" w:color="000000"/>
            </w:tcBorders>
          </w:tcPr>
          <w:p w14:paraId="21FD6F08"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Tourists by the end of the period</w:t>
            </w:r>
          </w:p>
        </w:tc>
      </w:tr>
      <w:tr w:rsidR="00CE4C56" w:rsidRPr="00CE4C56" w14:paraId="771DBDF6" w14:textId="77777777" w:rsidTr="00D31728">
        <w:trPr>
          <w:trHeight w:val="253"/>
          <w:jc w:val="center"/>
        </w:trPr>
        <w:tc>
          <w:tcPr>
            <w:tcW w:w="1530" w:type="dxa"/>
            <w:vAlign w:val="center"/>
          </w:tcPr>
          <w:p w14:paraId="1C29CB8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2019-2030</w:t>
            </w:r>
          </w:p>
        </w:tc>
        <w:tc>
          <w:tcPr>
            <w:tcW w:w="1350" w:type="dxa"/>
            <w:vAlign w:val="center"/>
          </w:tcPr>
          <w:p w14:paraId="0A7249BF"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5,5 %</w:t>
            </w:r>
          </w:p>
        </w:tc>
        <w:tc>
          <w:tcPr>
            <w:tcW w:w="2340" w:type="dxa"/>
          </w:tcPr>
          <w:p w14:paraId="5D83EB58" w14:textId="77777777" w:rsidR="00CE4C56" w:rsidRPr="00CE4C56" w:rsidRDefault="00CE4C56" w:rsidP="00CE4C56">
            <w:pPr>
              <w:rPr>
                <w:rFonts w:ascii="Times New Roman" w:hAnsi="Times New Roman" w:cs="Times New Roman"/>
                <w:iCs/>
                <w:sz w:val="24"/>
                <w:szCs w:val="24"/>
              </w:rPr>
            </w:pPr>
            <w:r w:rsidRPr="00CE4C56">
              <w:rPr>
                <w:rFonts w:ascii="Times New Roman" w:hAnsi="Times New Roman" w:cs="Times New Roman"/>
                <w:sz w:val="24"/>
                <w:szCs w:val="24"/>
              </w:rPr>
              <w:t>+113,977 tourists</w:t>
            </w:r>
          </w:p>
        </w:tc>
        <w:tc>
          <w:tcPr>
            <w:tcW w:w="1800" w:type="dxa"/>
          </w:tcPr>
          <w:p w14:paraId="28E86956" w14:textId="77777777" w:rsidR="00CE4C56" w:rsidRPr="00CE4C56" w:rsidRDefault="00CE4C56" w:rsidP="00CE4C56">
            <w:pPr>
              <w:rPr>
                <w:rFonts w:ascii="Times New Roman" w:hAnsi="Times New Roman" w:cs="Times New Roman"/>
                <w:iCs/>
                <w:sz w:val="24"/>
                <w:szCs w:val="24"/>
              </w:rPr>
            </w:pPr>
            <w:r w:rsidRPr="00CE4C56">
              <w:rPr>
                <w:rFonts w:ascii="Times New Roman" w:hAnsi="Times New Roman" w:cs="Times New Roman"/>
                <w:sz w:val="24"/>
                <w:szCs w:val="24"/>
              </w:rPr>
              <w:t>3.326.047</w:t>
            </w:r>
          </w:p>
        </w:tc>
      </w:tr>
      <w:tr w:rsidR="00CE4C56" w:rsidRPr="00CE4C56" w14:paraId="44C9B58B" w14:textId="77777777" w:rsidTr="00D31728">
        <w:trPr>
          <w:trHeight w:val="253"/>
          <w:jc w:val="center"/>
        </w:trPr>
        <w:tc>
          <w:tcPr>
            <w:tcW w:w="1530" w:type="dxa"/>
            <w:tcBorders>
              <w:bottom w:val="single" w:sz="12" w:space="0" w:color="000000"/>
            </w:tcBorders>
            <w:vAlign w:val="center"/>
          </w:tcPr>
          <w:p w14:paraId="4B0D8FA3"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2030-2050</w:t>
            </w:r>
          </w:p>
        </w:tc>
        <w:tc>
          <w:tcPr>
            <w:tcW w:w="1350" w:type="dxa"/>
            <w:tcBorders>
              <w:bottom w:val="single" w:sz="12" w:space="0" w:color="000000"/>
            </w:tcBorders>
            <w:vAlign w:val="center"/>
          </w:tcPr>
          <w:p w14:paraId="624C311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5,5 %</w:t>
            </w:r>
          </w:p>
        </w:tc>
        <w:tc>
          <w:tcPr>
            <w:tcW w:w="2340" w:type="dxa"/>
            <w:tcBorders>
              <w:bottom w:val="single" w:sz="12" w:space="0" w:color="000000"/>
            </w:tcBorders>
          </w:tcPr>
          <w:p w14:paraId="20030C47" w14:textId="77777777" w:rsidR="00CE4C56" w:rsidRPr="00CE4C56" w:rsidRDefault="00CE4C56" w:rsidP="00CE4C56">
            <w:pPr>
              <w:rPr>
                <w:rFonts w:ascii="Times New Roman" w:hAnsi="Times New Roman" w:cs="Times New Roman"/>
                <w:iCs/>
                <w:sz w:val="24"/>
                <w:szCs w:val="24"/>
              </w:rPr>
            </w:pPr>
            <w:r w:rsidRPr="00CE4C56">
              <w:rPr>
                <w:rFonts w:ascii="Times New Roman" w:hAnsi="Times New Roman" w:cs="Times New Roman"/>
                <w:sz w:val="24"/>
                <w:szCs w:val="24"/>
              </w:rPr>
              <w:t>+332.605 tourists</w:t>
            </w:r>
          </w:p>
        </w:tc>
        <w:tc>
          <w:tcPr>
            <w:tcW w:w="1800" w:type="dxa"/>
            <w:tcBorders>
              <w:bottom w:val="single" w:sz="12" w:space="0" w:color="000000"/>
            </w:tcBorders>
          </w:tcPr>
          <w:p w14:paraId="2FFAD4FD" w14:textId="77777777" w:rsidR="00CE4C56" w:rsidRPr="00CE4C56" w:rsidRDefault="00CE4C56" w:rsidP="00CE4C56">
            <w:pPr>
              <w:rPr>
                <w:rFonts w:ascii="Times New Roman" w:hAnsi="Times New Roman" w:cs="Times New Roman"/>
                <w:iCs/>
                <w:sz w:val="24"/>
                <w:szCs w:val="24"/>
              </w:rPr>
            </w:pPr>
            <w:r w:rsidRPr="00CE4C56">
              <w:rPr>
                <w:rFonts w:ascii="Times New Roman" w:hAnsi="Times New Roman" w:cs="Times New Roman"/>
                <w:sz w:val="24"/>
                <w:szCs w:val="24"/>
              </w:rPr>
              <w:t>3.326.047</w:t>
            </w:r>
          </w:p>
        </w:tc>
      </w:tr>
    </w:tbl>
    <w:p w14:paraId="094661DA" w14:textId="77777777" w:rsidR="00CE4C56" w:rsidRPr="00CE4C56" w:rsidRDefault="00CE4C56" w:rsidP="00CE4C56">
      <w:pPr>
        <w:rPr>
          <w:rFonts w:ascii="Times New Roman" w:hAnsi="Times New Roman" w:cs="Times New Roman"/>
          <w:sz w:val="24"/>
          <w:szCs w:val="24"/>
        </w:rPr>
      </w:pPr>
    </w:p>
    <w:p w14:paraId="6C249F31"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Observing the % increase of the total number of visitors in the period 2014-2019, it results that the average increase is about 12%. In the calculation is not considered and will not be considered the year 2020, because it is an unusual year for the development of tourism.</w:t>
      </w:r>
    </w:p>
    <w:p w14:paraId="53FC011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 of the possible increase in the number of visitors is calculated with a decrease for the following years (2020-2030/2030-2050) due to the following factors:</w:t>
      </w:r>
    </w:p>
    <w:p w14:paraId="05C233D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decision No. 730, dated 20.10.2016</w:t>
      </w:r>
    </w:p>
    <w:p w14:paraId="064C3F5D"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"On the Approval of the Regulation on Conditions, Criteria, Tariffs, Deadlines and Procedure for Classification of Accommodation Structures (Amended by DCM no. 370, dated 29.5.2019, no. 415, dated 19.6.2019); this decision determines the standards of accommodation structures and consequently the change of reception capacities for tourists (rooms with fewer beds, better conditions, increase of prices for accommodation, etc.);</w:t>
      </w:r>
    </w:p>
    <w:p w14:paraId="36278E5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for the coastal area (esp. Vjosa discharge area along the Adriatic coast) is also calculated the loss of beach area due to rising sea levels and marine erosion;</w:t>
      </w:r>
    </w:p>
    <w:p w14:paraId="268CFC0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also, for the coastal area is calculated the change of beach standards (DCM 171, 2019), which will limit their carrying capacity (increasing their quality, space available for a tourist, additional services in addition to tourist, safety conditions and prices for use);</w:t>
      </w:r>
    </w:p>
    <w:p w14:paraId="09AE1AAD"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 analyzing the trend of visitors and accommodation capacities of neighboring countries, which have gradually reached the point of saturation passing from mass tourism to quality and elite tourism. </w:t>
      </w:r>
    </w:p>
    <w:p w14:paraId="774208CE"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INSTAT publishes for the first time the data of the Tourism Survey on "Accommodation Structures". The survey was conducted near hotels and similar structures and is intended to measure the performance of statistical indicators on the accommodation offer of Albanian tourism, which are important for draft policies on capacity development of the tourism sector. INSTAT offers some more complete data regarding the accommodation capacities in Albania, but still these data do not reach the level of municipalities.</w:t>
      </w:r>
    </w:p>
    <w:p w14:paraId="3B58BC4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2018, 1,326 accommodation facilities (hotels, motels, camps, inns, mountain shelters and other structures for short-term stays) operated throughout the country, and about 17,000 rooms and 38,000 beds were made available.</w:t>
      </w:r>
    </w:p>
    <w:p w14:paraId="563AAF0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lastRenderedPageBreak/>
        <w:t>Regarding the accommodation structures in the coastal area, during 2020 the Inspectorate of the National Coast Agency has performed the field verification for the accommodation structures of the "hotels" category officially registered. The data are organized at regional level.</w:t>
      </w:r>
    </w:p>
    <w:p w14:paraId="24588558" w14:textId="77777777" w:rsidR="00CE4C56" w:rsidRPr="00CE4C56" w:rsidRDefault="00CE4C56" w:rsidP="00CE4C56">
      <w:pPr>
        <w:rPr>
          <w:rFonts w:ascii="Times New Roman" w:hAnsi="Times New Roman" w:cs="Times New Roman"/>
          <w:bCs/>
          <w:i/>
          <w:iCs/>
          <w:sz w:val="24"/>
          <w:szCs w:val="24"/>
        </w:rPr>
      </w:pPr>
      <w:r w:rsidRPr="00CE4C56">
        <w:rPr>
          <w:rFonts w:ascii="Times New Roman" w:hAnsi="Times New Roman" w:cs="Times New Roman"/>
          <w:bCs/>
          <w:i/>
          <w:iCs/>
          <w:sz w:val="24"/>
          <w:szCs w:val="24"/>
        </w:rPr>
        <w:t>3.2 Prognosis of accommodation capacities</w:t>
      </w:r>
    </w:p>
    <w:p w14:paraId="73003B7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According to these data (Laci S, 2014), during the entire tourist season (11 tours of 10 days), around 36.481 tourists might be accommodated in hotels, for a total of 4.012.910 overnight stays.</w:t>
      </w:r>
    </w:p>
    <w:p w14:paraId="6AF6FEED"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A part of the tourists (national and foreigners) are accommodated in the rooms rented by local families, most of which are not declared in order to avoid taxes and other obligations. An even greater part is accommodated in their residences or at their parenting. </w:t>
      </w:r>
    </w:p>
    <w:p w14:paraId="209EC61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order to face the growing tourist fluxes in the future, it is necessary for the attend-</w:t>
      </w:r>
      <w:proofErr w:type="spellStart"/>
      <w:r w:rsidRPr="00CE4C56">
        <w:rPr>
          <w:rFonts w:ascii="Times New Roman" w:hAnsi="Times New Roman" w:cs="Times New Roman"/>
          <w:sz w:val="24"/>
          <w:szCs w:val="24"/>
        </w:rPr>
        <w:t>ing</w:t>
      </w:r>
      <w:proofErr w:type="spellEnd"/>
      <w:r w:rsidRPr="00CE4C56">
        <w:rPr>
          <w:rFonts w:ascii="Times New Roman" w:hAnsi="Times New Roman" w:cs="Times New Roman"/>
          <w:sz w:val="24"/>
          <w:szCs w:val="24"/>
        </w:rPr>
        <w:t xml:space="preserve"> capacity to increase, following the rhythms of the increase of tourists’ number, and to ameliorate, aiming to reach the EU countries’ standards, Also mentioning the construction of Vlora airport, the completion of road axes that facilitate the movement of tourists, the construction of the yacht port and  "Lungomare 3" in the </w:t>
      </w:r>
      <w:proofErr w:type="spellStart"/>
      <w:r w:rsidRPr="00CE4C56">
        <w:rPr>
          <w:rFonts w:ascii="Times New Roman" w:hAnsi="Times New Roman" w:cs="Times New Roman"/>
          <w:sz w:val="24"/>
          <w:szCs w:val="24"/>
        </w:rPr>
        <w:t>Plazhi</w:t>
      </w:r>
      <w:proofErr w:type="spellEnd"/>
      <w:r w:rsidRPr="00CE4C56">
        <w:rPr>
          <w:rFonts w:ascii="Times New Roman" w:hAnsi="Times New Roman" w:cs="Times New Roman"/>
          <w:sz w:val="24"/>
          <w:szCs w:val="24"/>
        </w:rPr>
        <w:t xml:space="preserve"> </w:t>
      </w:r>
      <w:proofErr w:type="spellStart"/>
      <w:r w:rsidRPr="00CE4C56">
        <w:rPr>
          <w:rFonts w:ascii="Times New Roman" w:hAnsi="Times New Roman" w:cs="Times New Roman"/>
          <w:sz w:val="24"/>
          <w:szCs w:val="24"/>
        </w:rPr>
        <w:t>i</w:t>
      </w:r>
      <w:proofErr w:type="spellEnd"/>
      <w:r w:rsidRPr="00CE4C56">
        <w:rPr>
          <w:rFonts w:ascii="Times New Roman" w:hAnsi="Times New Roman" w:cs="Times New Roman"/>
          <w:sz w:val="24"/>
          <w:szCs w:val="24"/>
        </w:rPr>
        <w:t xml:space="preserve"> </w:t>
      </w:r>
      <w:proofErr w:type="spellStart"/>
      <w:r w:rsidRPr="00CE4C56">
        <w:rPr>
          <w:rFonts w:ascii="Times New Roman" w:hAnsi="Times New Roman" w:cs="Times New Roman"/>
          <w:sz w:val="24"/>
          <w:szCs w:val="24"/>
        </w:rPr>
        <w:t>Vjeter</w:t>
      </w:r>
      <w:proofErr w:type="spellEnd"/>
      <w:r w:rsidRPr="00CE4C56">
        <w:rPr>
          <w:rFonts w:ascii="Times New Roman" w:hAnsi="Times New Roman" w:cs="Times New Roman"/>
          <w:sz w:val="24"/>
          <w:szCs w:val="24"/>
        </w:rPr>
        <w:t xml:space="preserve"> area and the conversion of this area into a tourist area (with new construction of hotels and resorts) .</w:t>
      </w:r>
    </w:p>
    <w:p w14:paraId="0622C4F7"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Compared to the one of hotels, the prognosis of rooms’ number is of a major interest since future tourists will have higher demands for accommodation and will prefer mostly single rooms and maximal commodity. This means that, under the conditions of climate changes and preparation of the country to attend a larger number of tourists form the developed countries, the cost of the construction of tourist structures will increase, since it has to include a 24-hour water and electricity supply, thermos isolation, hydro isolation, energy for heating and cooling, facilities for sports and recreational activities, safe parking’s etc. </w:t>
      </w:r>
    </w:p>
    <w:p w14:paraId="7EEAF252"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If the number of the tourist tours of 10 days will increase from 11 to 13 (10 May - 20 September), as a result of temperature rise, the number of beds in the accommodating structures of VRB area should be around 620.177 by 2030, 948.506 by 2050</w:t>
      </w:r>
    </w:p>
    <w:p w14:paraId="165F35A5"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However, compared to other countries in the Mediterranean basin, the development of tourism in Albania is still far from the potential represented by the natural, historical and cultural resources of the country.</w:t>
      </w:r>
    </w:p>
    <w:p w14:paraId="5D99A62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Infrastructure, accommodation capacities, quality of services, offers and tourism product are all factors that have somewhat hindered the sustainable and consistent development of tourism in Albania, leaving room for an uncontrolled and chaotic development that has actually kept this going. Industry, but jeopardizing </w:t>
      </w:r>
      <w:proofErr w:type="gramStart"/>
      <w:r w:rsidRPr="00CE4C56">
        <w:rPr>
          <w:rFonts w:ascii="Times New Roman" w:hAnsi="Times New Roman" w:cs="Times New Roman"/>
          <w:sz w:val="24"/>
          <w:szCs w:val="24"/>
        </w:rPr>
        <w:t>its</w:t>
      </w:r>
      <w:proofErr w:type="gramEnd"/>
      <w:r w:rsidRPr="00CE4C56">
        <w:rPr>
          <w:rFonts w:ascii="Times New Roman" w:hAnsi="Times New Roman" w:cs="Times New Roman"/>
          <w:sz w:val="24"/>
          <w:szCs w:val="24"/>
        </w:rPr>
        <w:t xml:space="preserve"> sustain-ability in the long run.</w:t>
      </w:r>
    </w:p>
    <w:p w14:paraId="6A88DEC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Indirectly, during 2017, the tourism and travel industry has generated, in total, 291,600 jobs, thus accounting for 24.1% of total employment, an increase of 5.2% compared to a year ago.</w:t>
      </w:r>
    </w:p>
    <w:p w14:paraId="1FD6FDEA"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Tourism in Albania faces the following problems:</w:t>
      </w:r>
    </w:p>
    <w:p w14:paraId="15D7C563"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lack of accommodation capacity and quality</w:t>
      </w:r>
    </w:p>
    <w:p w14:paraId="11BC3678"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lastRenderedPageBreak/>
        <w:t xml:space="preserve">lack of well-known hotel "brands" and tour operators </w:t>
      </w:r>
    </w:p>
    <w:p w14:paraId="7C82425A"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 xml:space="preserve">lack of tourist infrastructure </w:t>
      </w:r>
    </w:p>
    <w:p w14:paraId="2C386FB5"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lack of standardization and classification system</w:t>
      </w:r>
    </w:p>
    <w:p w14:paraId="0C2233B8"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 xml:space="preserve">short tourist season </w:t>
      </w:r>
    </w:p>
    <w:p w14:paraId="1726DFD4"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informality in tourism activities</w:t>
      </w:r>
    </w:p>
    <w:p w14:paraId="49659484"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poor destination infrastructure</w:t>
      </w:r>
    </w:p>
    <w:p w14:paraId="58FF7740" w14:textId="77777777" w:rsidR="00CE4C56" w:rsidRPr="00CE4C56" w:rsidRDefault="00CE4C56" w:rsidP="00CE4C56">
      <w:pPr>
        <w:numPr>
          <w:ilvl w:val="0"/>
          <w:numId w:val="4"/>
        </w:numPr>
        <w:rPr>
          <w:rFonts w:ascii="Times New Roman" w:hAnsi="Times New Roman" w:cs="Times New Roman"/>
          <w:sz w:val="24"/>
          <w:szCs w:val="24"/>
        </w:rPr>
      </w:pPr>
      <w:r w:rsidRPr="00CE4C56">
        <w:rPr>
          <w:rFonts w:ascii="Times New Roman" w:hAnsi="Times New Roman" w:cs="Times New Roman"/>
          <w:sz w:val="24"/>
          <w:szCs w:val="24"/>
        </w:rPr>
        <w:t>poor use of information technology</w:t>
      </w:r>
    </w:p>
    <w:p w14:paraId="5B8EB049"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From the analysis carried out on the sensitivity of the tourism sector to climate change in the Third National Report of Albania to the RCCC, it is clear that the changes in the climate could have very important effects on the Albanian economy, environment and society. In particular, it is highlighted how climate change in Albania, as in the case of the Vjosa river basin, does not have homogeneous consequences.</w:t>
      </w:r>
    </w:p>
    <w:p w14:paraId="0C0DB8CA"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expected temperature increases in the upper section of the basin (the hilly and mountainous regions and but also in Llogara National Park, the mountain of Gramoz) is expected to have negative effects for winter tourism and the environment in general.</w:t>
      </w:r>
    </w:p>
    <w:p w14:paraId="0576CFD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Trekking and sports tourism could suffer in the summer considerable modification due to the reduction of the natural wood cover. In the central-southern section, cli-mate change could cause a contraction in tourist demand due to the high level of humidity for greater rainfall, causing many problems:</w:t>
      </w:r>
    </w:p>
    <w:p w14:paraId="3A0F1B68"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the tourism of the villages, the accessibility of places would be limited as there would not be the right and necessary safety tools - let's think about driving by car in the rain or worse with the storm - especially considering the only way to reach the center and the centers historical is precisely the way. This type of tourism will suffer a sharp decline due to heavy losses: according to the available knowledge, most of the architectural and cultural assets in general are made up of materials that will degrade strongly due to rainfall and extreme events.</w:t>
      </w:r>
    </w:p>
    <w:p w14:paraId="709B2B23"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In agritourist and rural tourism, the heavy rains, especially in the intermediate sea-sons, will alter the holiday and the contact with nature will be increasingly altered due to the impossibility of having a direct relationship with it and limiting sharing with the farmer's work. Added to this is that humid climates increase insects of various kinds towards which tourists are generally fearful and therefore the attractive-ness of this type of tourism is certainly reduced.</w:t>
      </w:r>
    </w:p>
    <w:p w14:paraId="0BD2CD1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Inland tourism and therefore cultural and food and wine tourism will suffer from the relative scarcity of water and especially in Vlora (city and villages) where the persistence of water shortages could cause conflicts of use with residents, as well as the deterioration of monuments and archaeological sites in stone material. </w:t>
      </w:r>
    </w:p>
    <w:p w14:paraId="31118F4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Seaside tourism in central-southern Albania will undergo huge transformations, especially if we are not careful right now both to innovate the system of swimming pools in the hotels with sea </w:t>
      </w:r>
      <w:r w:rsidRPr="00CE4C56">
        <w:rPr>
          <w:rFonts w:ascii="Times New Roman" w:hAnsi="Times New Roman" w:cs="Times New Roman"/>
          <w:sz w:val="24"/>
          <w:szCs w:val="24"/>
        </w:rPr>
        <w:lastRenderedPageBreak/>
        <w:t xml:space="preserve">water, and to maintain high water quality. In fact, the sea waters could undergo changes mainly due to the increase in surface water temperatures, such as to no longer be attractive to tourists, especially due to the variability and instability of the ecosystem’s marine. The anthropogenic pressure deriving from the influx of tourists increases the vulnerability to the impacts of climate change of the Albanian coasts, in terms of sea level rise and the incidence of extreme events, reducing the natural resilience capacity of coastal environments. Expected indirect impacts concern the worsening of erosive phenomena and the consequences of the disappearance of coastal areas and infrastructures relevant to tourism activities, desertification / reduction of water resources and greater risk of fires, the growing competition between alternative energy uses (resulting in higher costs for tourist services), the demographic explosion of organisms such as algae or jellyfish that do not reconcile with tourism. </w:t>
      </w:r>
    </w:p>
    <w:p w14:paraId="09B2F7B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Another type of tourism practiced in many coastal regions and foreseeable changes is that of the visit of the historical cities and archaeological sites (Gjirokastra, Apollonia, Vlora, Orikum, Amantia, Butrint etc). The emotion transferred to tourists from the monuments during walks or visits to the landscape would be of lesser impact due to the difficult climatic conditions both due to severe storms and excessive humid heat. Such reduced experientially does not allows tourists to enjoy the beau-ties and the local heritage, on the contrary reachable only the slow mode of use al-lows.</w:t>
      </w:r>
    </w:p>
    <w:p w14:paraId="31D67F5A"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If the humid heat will rage, tourists will not be able to walk due to the too high temperatures and the tourists who have as their primary attraction that of enjoying the landscape or that of discovering natural beauties on foot, will certainly be the first to be affected by this climate. with a reduction in flows. The heat, however, has already begun to make its effect felt, so much so that tourist facilities of all levels have sup-ported tourists both by providing cooling systems, and for example by giving away bottles of water (often water in the room in summer it is included in the price of the room).</w:t>
      </w:r>
    </w:p>
    <w:p w14:paraId="0CE05EF0"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sector's contribution to climate change is directly related to the increase in energy and water consumption (transport, conditioning of accommodation facilities; etc.) and the production of concentrated waste in periods of greater tourist influx (from July to September).</w:t>
      </w:r>
    </w:p>
    <w:p w14:paraId="16A6DC5B" w14:textId="77777777" w:rsidR="00CE4C56" w:rsidRPr="00CE4C56" w:rsidRDefault="00CE4C56" w:rsidP="00CE4C56">
      <w:pPr>
        <w:rPr>
          <w:rFonts w:ascii="Times New Roman" w:hAnsi="Times New Roman" w:cs="Times New Roman"/>
          <w:bCs/>
          <w:i/>
          <w:iCs/>
          <w:sz w:val="24"/>
          <w:szCs w:val="24"/>
        </w:rPr>
      </w:pPr>
      <w:r w:rsidRPr="00CE4C56">
        <w:rPr>
          <w:rFonts w:ascii="Times New Roman" w:hAnsi="Times New Roman" w:cs="Times New Roman"/>
          <w:bCs/>
          <w:i/>
          <w:iCs/>
          <w:sz w:val="24"/>
          <w:szCs w:val="24"/>
        </w:rPr>
        <w:t>3.3 Changes in Tourism Climate Index</w:t>
      </w:r>
    </w:p>
    <w:p w14:paraId="1A604742"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Taking into account the criteria of Mieczkovski as per the tourism climate index (</w:t>
      </w:r>
      <w:proofErr w:type="spellStart"/>
      <w:r w:rsidRPr="00CE4C56">
        <w:rPr>
          <w:rFonts w:ascii="Times New Roman" w:hAnsi="Times New Roman" w:cs="Times New Roman"/>
          <w:sz w:val="24"/>
          <w:szCs w:val="24"/>
        </w:rPr>
        <w:t>Bruci</w:t>
      </w:r>
      <w:proofErr w:type="spellEnd"/>
      <w:r w:rsidRPr="00CE4C56">
        <w:rPr>
          <w:rFonts w:ascii="Times New Roman" w:hAnsi="Times New Roman" w:cs="Times New Roman"/>
          <w:sz w:val="24"/>
          <w:szCs w:val="24"/>
        </w:rPr>
        <w:t xml:space="preserve">. E, 2020) result the following: </w:t>
      </w:r>
    </w:p>
    <w:p w14:paraId="7A9A6B4A"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For the coastal area of the VRB is projected to have an extension of the period with: </w:t>
      </w:r>
    </w:p>
    <w:p w14:paraId="1112FE8E" w14:textId="77777777" w:rsidR="00CE4C56" w:rsidRPr="00CE4C56" w:rsidRDefault="00CE4C56" w:rsidP="00CE4C56">
      <w:pPr>
        <w:numPr>
          <w:ilvl w:val="0"/>
          <w:numId w:val="5"/>
        </w:numPr>
        <w:rPr>
          <w:rFonts w:ascii="Times New Roman" w:hAnsi="Times New Roman" w:cs="Times New Roman"/>
          <w:sz w:val="24"/>
          <w:szCs w:val="24"/>
        </w:rPr>
      </w:pPr>
      <w:r w:rsidRPr="00CE4C56">
        <w:rPr>
          <w:rFonts w:ascii="Times New Roman" w:hAnsi="Times New Roman" w:cs="Times New Roman"/>
          <w:sz w:val="24"/>
          <w:szCs w:val="24"/>
        </w:rPr>
        <w:t>good conditions (TCI value 60-70): from mid-March- mid October to early March to end early November;</w:t>
      </w:r>
    </w:p>
    <w:p w14:paraId="20BC4D0D" w14:textId="77777777" w:rsidR="00CE4C56" w:rsidRPr="00CE4C56" w:rsidRDefault="00CE4C56" w:rsidP="00CE4C56">
      <w:pPr>
        <w:numPr>
          <w:ilvl w:val="0"/>
          <w:numId w:val="5"/>
        </w:numPr>
        <w:rPr>
          <w:rFonts w:ascii="Times New Roman" w:hAnsi="Times New Roman" w:cs="Times New Roman"/>
          <w:sz w:val="24"/>
          <w:szCs w:val="24"/>
        </w:rPr>
      </w:pPr>
      <w:r w:rsidRPr="00CE4C56">
        <w:rPr>
          <w:rFonts w:ascii="Times New Roman" w:hAnsi="Times New Roman" w:cs="Times New Roman"/>
          <w:sz w:val="24"/>
          <w:szCs w:val="24"/>
        </w:rPr>
        <w:t>very good conditions (TCI value 70-80): from end March - beginning of October to mid-March - mid October (for RCP8.5 even longer);</w:t>
      </w:r>
    </w:p>
    <w:p w14:paraId="72E4BFCA" w14:textId="77777777" w:rsidR="00CE4C56" w:rsidRPr="00CE4C56" w:rsidRDefault="00CE4C56" w:rsidP="00CE4C56">
      <w:pPr>
        <w:numPr>
          <w:ilvl w:val="0"/>
          <w:numId w:val="5"/>
        </w:numPr>
        <w:rPr>
          <w:rFonts w:ascii="Times New Roman" w:hAnsi="Times New Roman" w:cs="Times New Roman"/>
          <w:sz w:val="24"/>
          <w:szCs w:val="24"/>
        </w:rPr>
      </w:pPr>
      <w:r w:rsidRPr="00CE4C56">
        <w:rPr>
          <w:rFonts w:ascii="Times New Roman" w:hAnsi="Times New Roman" w:cs="Times New Roman"/>
          <w:sz w:val="24"/>
          <w:szCs w:val="24"/>
        </w:rPr>
        <w:t xml:space="preserve">excellent conditions (TCI value 80-90):  from mid-April - end September to early April - beginning of October (RCP8.5). </w:t>
      </w:r>
    </w:p>
    <w:p w14:paraId="4C9EA0F1"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lastRenderedPageBreak/>
        <w:t xml:space="preserve">Similar projections result from the simulation of the TCI for the inner part of the VRB area. It is expected to have: </w:t>
      </w:r>
    </w:p>
    <w:p w14:paraId="7C91216D" w14:textId="77777777" w:rsidR="00CE4C56" w:rsidRPr="00CE4C56" w:rsidRDefault="00CE4C56" w:rsidP="00CE4C56">
      <w:pPr>
        <w:numPr>
          <w:ilvl w:val="0"/>
          <w:numId w:val="6"/>
        </w:numPr>
        <w:rPr>
          <w:rFonts w:ascii="Times New Roman" w:hAnsi="Times New Roman" w:cs="Times New Roman"/>
          <w:sz w:val="24"/>
          <w:szCs w:val="24"/>
        </w:rPr>
      </w:pPr>
      <w:r w:rsidRPr="00CE4C56">
        <w:rPr>
          <w:rFonts w:ascii="Times New Roman" w:hAnsi="Times New Roman" w:cs="Times New Roman"/>
          <w:sz w:val="24"/>
          <w:szCs w:val="24"/>
        </w:rPr>
        <w:t xml:space="preserve">good conditions: from end February mid-October to mid-February to early November (mid-November for RCP8.5); </w:t>
      </w:r>
    </w:p>
    <w:p w14:paraId="66BC57AB" w14:textId="77777777" w:rsidR="00CE4C56" w:rsidRPr="00CE4C56" w:rsidRDefault="00CE4C56" w:rsidP="00CE4C56">
      <w:pPr>
        <w:numPr>
          <w:ilvl w:val="0"/>
          <w:numId w:val="6"/>
        </w:numPr>
        <w:rPr>
          <w:rFonts w:ascii="Times New Roman" w:hAnsi="Times New Roman" w:cs="Times New Roman"/>
          <w:sz w:val="24"/>
          <w:szCs w:val="24"/>
        </w:rPr>
      </w:pPr>
      <w:r w:rsidRPr="00CE4C56">
        <w:rPr>
          <w:rFonts w:ascii="Times New Roman" w:hAnsi="Times New Roman" w:cs="Times New Roman"/>
          <w:sz w:val="24"/>
          <w:szCs w:val="24"/>
        </w:rPr>
        <w:t xml:space="preserve">very good conditions from mid-March to early October; and </w:t>
      </w:r>
    </w:p>
    <w:p w14:paraId="627C2BBD" w14:textId="77777777" w:rsidR="00CE4C56" w:rsidRPr="00CE4C56" w:rsidRDefault="00CE4C56" w:rsidP="00CE4C56">
      <w:pPr>
        <w:numPr>
          <w:ilvl w:val="0"/>
          <w:numId w:val="6"/>
        </w:numPr>
        <w:rPr>
          <w:rFonts w:ascii="Times New Roman" w:hAnsi="Times New Roman" w:cs="Times New Roman"/>
          <w:sz w:val="24"/>
          <w:szCs w:val="24"/>
        </w:rPr>
      </w:pPr>
      <w:r w:rsidRPr="00CE4C56">
        <w:rPr>
          <w:rFonts w:ascii="Times New Roman" w:hAnsi="Times New Roman" w:cs="Times New Roman"/>
          <w:sz w:val="24"/>
          <w:szCs w:val="24"/>
        </w:rPr>
        <w:t>excellent conditions from beginning of April to end September.</w:t>
      </w:r>
    </w:p>
    <w:p w14:paraId="50A6CBB9"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The annual course of TCI values, baseline and projected from different scenarios up to 2050, is shown for Permet and Vlora areas. </w:t>
      </w:r>
    </w:p>
    <w:p w14:paraId="29E25EC9"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 </w:t>
      </w:r>
    </w:p>
    <w:p w14:paraId="6C5B120B" w14:textId="77777777" w:rsidR="00CE4C56" w:rsidRPr="00CE4C56" w:rsidRDefault="00CE4C56" w:rsidP="00CE4C56">
      <w:pPr>
        <w:rPr>
          <w:rFonts w:ascii="Times New Roman" w:hAnsi="Times New Roman" w:cs="Times New Roman"/>
          <w:i/>
          <w:iCs/>
          <w:sz w:val="24"/>
          <w:szCs w:val="24"/>
        </w:rPr>
      </w:pPr>
      <w:r w:rsidRPr="00CE4C56">
        <w:rPr>
          <w:rFonts w:ascii="Times New Roman" w:hAnsi="Times New Roman" w:cs="Times New Roman"/>
          <w:i/>
          <w:iCs/>
          <w:sz w:val="24"/>
          <w:szCs w:val="24"/>
        </w:rPr>
        <w:t>3.4 Actual adaption measures in tourism</w:t>
      </w:r>
    </w:p>
    <w:p w14:paraId="7CD025B4"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At the moment there is no sectorial strategic planning that sets specific management or planning measures for the development of regional tourism in relation to climate change. However, projects for the promotion of sustainable tourism and communication and awareness raising campaigns have been created and launched that have the effect of partially mitigating the risks deriving from climate change:</w:t>
      </w:r>
    </w:p>
    <w:p w14:paraId="58437861" w14:textId="77777777" w:rsidR="00CE4C56" w:rsidRPr="00CE4C56" w:rsidRDefault="00CE4C56" w:rsidP="00CE4C56">
      <w:pPr>
        <w:rPr>
          <w:rFonts w:ascii="Times New Roman" w:hAnsi="Times New Roman" w:cs="Times New Roman"/>
          <w:sz w:val="24"/>
          <w:szCs w:val="24"/>
        </w:rPr>
      </w:pPr>
      <w:proofErr w:type="spellStart"/>
      <w:r w:rsidRPr="00CE4C56">
        <w:rPr>
          <w:rFonts w:ascii="Times New Roman" w:hAnsi="Times New Roman" w:cs="Times New Roman"/>
          <w:sz w:val="24"/>
          <w:szCs w:val="24"/>
        </w:rPr>
        <w:t>Aquanex</w:t>
      </w:r>
      <w:proofErr w:type="spellEnd"/>
      <w:r w:rsidRPr="00CE4C56">
        <w:rPr>
          <w:rFonts w:ascii="Times New Roman" w:hAnsi="Times New Roman" w:cs="Times New Roman"/>
          <w:sz w:val="24"/>
          <w:szCs w:val="24"/>
        </w:rPr>
        <w:t xml:space="preserve"> project - for the proclamation of Vjosa as a protected area, provides for the identification of environmental problems in 2 areas: </w:t>
      </w:r>
      <w:proofErr w:type="spellStart"/>
      <w:r w:rsidRPr="00CE4C56">
        <w:rPr>
          <w:rFonts w:ascii="Times New Roman" w:hAnsi="Times New Roman" w:cs="Times New Roman"/>
          <w:sz w:val="24"/>
          <w:szCs w:val="24"/>
        </w:rPr>
        <w:t>Gjirokastra</w:t>
      </w:r>
      <w:proofErr w:type="spellEnd"/>
      <w:r w:rsidRPr="00CE4C56">
        <w:rPr>
          <w:rFonts w:ascii="Times New Roman" w:hAnsi="Times New Roman" w:cs="Times New Roman"/>
          <w:sz w:val="24"/>
          <w:szCs w:val="24"/>
        </w:rPr>
        <w:t xml:space="preserve"> and </w:t>
      </w:r>
      <w:proofErr w:type="spellStart"/>
      <w:r w:rsidRPr="00CE4C56">
        <w:rPr>
          <w:rFonts w:ascii="Times New Roman" w:hAnsi="Times New Roman" w:cs="Times New Roman"/>
          <w:sz w:val="24"/>
          <w:szCs w:val="24"/>
        </w:rPr>
        <w:t>Përmet</w:t>
      </w:r>
      <w:proofErr w:type="spellEnd"/>
      <w:r w:rsidRPr="00CE4C56">
        <w:rPr>
          <w:rFonts w:ascii="Times New Roman" w:hAnsi="Times New Roman" w:cs="Times New Roman"/>
          <w:sz w:val="24"/>
          <w:szCs w:val="24"/>
        </w:rPr>
        <w:t xml:space="preserve"> and water monitoring in the Vjosa and Drino rivers, in order to protect their natural values, but also use for tourism purposes – Ministry of Environment and Tourism.</w:t>
      </w:r>
    </w:p>
    <w:p w14:paraId="2F6E032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loan agreement with the European Development Bank has been approved, worth 100 million euros, for the development of infrastructure and tourism;</w:t>
      </w:r>
    </w:p>
    <w:p w14:paraId="2A7C71F9"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BLUE COAST Interreg IPA II Cross-border Cooperation Program Greece-Albania 2014-2020 - Ministry of Environment and Tourism with the involvement of Coastline National Agency- Vulnerability of coastal areas to climate change (one of the main study objectives);</w:t>
      </w:r>
    </w:p>
    <w:p w14:paraId="032D1FC6"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The project for the construction of the new airport of Vlora, which is certainly a very important work for the development of tourism in this city and in the whole southern region, has taken into account the risk of floods extending to a location away from the river beds (the area of Akerni). </w:t>
      </w:r>
    </w:p>
    <w:p w14:paraId="752898E3" w14:textId="77777777" w:rsidR="00CE4C56" w:rsidRPr="005B5211" w:rsidRDefault="00CE4C56" w:rsidP="00CE4C56">
      <w:pPr>
        <w:numPr>
          <w:ilvl w:val="0"/>
          <w:numId w:val="2"/>
        </w:numPr>
        <w:rPr>
          <w:rFonts w:ascii="Times New Roman" w:hAnsi="Times New Roman" w:cs="Times New Roman"/>
          <w:b/>
          <w:bCs/>
          <w:sz w:val="24"/>
          <w:szCs w:val="24"/>
        </w:rPr>
      </w:pPr>
      <w:r w:rsidRPr="005B5211">
        <w:rPr>
          <w:rFonts w:ascii="Times New Roman" w:hAnsi="Times New Roman" w:cs="Times New Roman"/>
          <w:b/>
          <w:bCs/>
          <w:sz w:val="24"/>
          <w:szCs w:val="24"/>
        </w:rPr>
        <w:t>Conclusions</w:t>
      </w:r>
    </w:p>
    <w:p w14:paraId="317E31E2"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The regional tourism sector being strongly linked to the supply of bathing services, the consequences of climate change will be more evident in coastal areas and this determines its further vulnerability. In particular, anthropogenic pressure increases the vulnerability to the impacts of climate change on the coasts, in terms of sea level rise and the incidence of extreme events, reducing the natural resilience capacity of coastal environments. </w:t>
      </w:r>
    </w:p>
    <w:p w14:paraId="514C676B"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 xml:space="preserve">The expected impacts mainly concern the worsening of erosive phenomena and the consequent retreat of the coastline, with strong repercussions on the infrastructures relevant to tourist </w:t>
      </w:r>
      <w:r w:rsidRPr="00CE4C56">
        <w:rPr>
          <w:rFonts w:ascii="Times New Roman" w:hAnsi="Times New Roman" w:cs="Times New Roman"/>
          <w:sz w:val="24"/>
          <w:szCs w:val="24"/>
        </w:rPr>
        <w:lastRenderedPageBreak/>
        <w:t>activities. Furthermore, the increase in the incidence of extreme events represent further factors that are not compatible with tourism.</w:t>
      </w:r>
    </w:p>
    <w:p w14:paraId="7B28562C"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Regional tourism activities, mainly related to coastal services, will therefore be affected by the new climatic regimes and the risk of a decrease in summer presences and an overall economic decline in the sector and related industries is foreseeable. Other impacts may affect the cities of art (especially Gjirokaster), for which a de-crease in tourist flows is expected due to the establishment of uncomfortable climatic conditions linked to the rise in maximum summer temperatures and the increasingly frequent occurrence of heat waves.</w:t>
      </w:r>
    </w:p>
    <w:p w14:paraId="557EE22D" w14:textId="77777777" w:rsidR="00CE4C56" w:rsidRPr="00CE4C56" w:rsidRDefault="00CE4C56" w:rsidP="00CE4C56">
      <w:pPr>
        <w:rPr>
          <w:rFonts w:ascii="Times New Roman" w:hAnsi="Times New Roman" w:cs="Times New Roman"/>
          <w:sz w:val="24"/>
          <w:szCs w:val="24"/>
        </w:rPr>
      </w:pPr>
      <w:r w:rsidRPr="00CE4C56">
        <w:rPr>
          <w:rFonts w:ascii="Times New Roman" w:hAnsi="Times New Roman" w:cs="Times New Roman"/>
          <w:sz w:val="24"/>
          <w:szCs w:val="24"/>
        </w:rPr>
        <w:t>The greatest risks for the regional tourism sector are substantiated in:</w:t>
      </w:r>
    </w:p>
    <w:p w14:paraId="7FB7AC7D" w14:textId="77777777" w:rsidR="00CE4C56" w:rsidRPr="00CE4C56" w:rsidRDefault="00CE4C56" w:rsidP="00CE4C56">
      <w:pPr>
        <w:numPr>
          <w:ilvl w:val="0"/>
          <w:numId w:val="7"/>
        </w:numPr>
        <w:rPr>
          <w:rFonts w:ascii="Times New Roman" w:hAnsi="Times New Roman" w:cs="Times New Roman"/>
          <w:sz w:val="24"/>
          <w:szCs w:val="24"/>
        </w:rPr>
      </w:pPr>
      <w:r w:rsidRPr="00CE4C56">
        <w:rPr>
          <w:rFonts w:ascii="Times New Roman" w:hAnsi="Times New Roman" w:cs="Times New Roman"/>
          <w:sz w:val="24"/>
          <w:szCs w:val="24"/>
        </w:rPr>
        <w:t>decrease in tourist presences in coastal areas: to mitigate this aspect, communication, education and awareness campaigns should be implemented. These must range from the conduct to be taken in the case of extreme weather events to a correct indication of the elements of attraction of the territory alternative to the usual ones (for example sites of archaeological interest or historical whose interest potential remains unchanged even in the presence of climate change) in more responsible behaviors (for example, reduction of water and energy consumption, separate waste collection, respect for natural resources, etc.). Supporting seasonal adjustment and differentiation of the offer appear to be measures that allow you to take advantage of new climatic conditions in off-peak periods and unhook the tourist offer from traditional elements of interest that can be compromised by climate change.</w:t>
      </w:r>
    </w:p>
    <w:p w14:paraId="446136F0" w14:textId="77777777" w:rsidR="00CE4C56" w:rsidRDefault="00CE4C56" w:rsidP="00CE4C56">
      <w:pPr>
        <w:numPr>
          <w:ilvl w:val="0"/>
          <w:numId w:val="7"/>
        </w:numPr>
        <w:rPr>
          <w:rFonts w:ascii="Times New Roman" w:hAnsi="Times New Roman" w:cs="Times New Roman"/>
          <w:sz w:val="24"/>
          <w:szCs w:val="24"/>
        </w:rPr>
      </w:pPr>
      <w:r w:rsidRPr="00CE4C56">
        <w:rPr>
          <w:rFonts w:ascii="Times New Roman" w:hAnsi="Times New Roman" w:cs="Times New Roman"/>
          <w:sz w:val="24"/>
          <w:szCs w:val="24"/>
        </w:rPr>
        <w:t>decrease in tourist presences in cities (Gjirokaster, Permet, Fier etc.): this aspect could be counteracted by increasing the quality and quantity of green spaces in urban contexts which improves the attractiveness of these sites, reduces the inconvenience associated with the hottest summer periods and helps ensure efficient management of water resources. Furthermore, it has positive effects on the reduction of the heat island effect, with feedback on the quality of life and health of citizens but also with the effect of making urban environments of potential interest accessible even during the hottest season, while offering conditions better and new recreational opportunities.</w:t>
      </w:r>
    </w:p>
    <w:p w14:paraId="438C0E48" w14:textId="77777777" w:rsidR="00724803" w:rsidRPr="00724803" w:rsidRDefault="00724803" w:rsidP="00724803">
      <w:pPr>
        <w:pStyle w:val="ListParagraph"/>
        <w:jc w:val="both"/>
        <w:outlineLvl w:val="0"/>
        <w:rPr>
          <w:rFonts w:ascii="Arial" w:hAnsi="Arial" w:cs="Arial"/>
        </w:rPr>
      </w:pPr>
      <w:r w:rsidRPr="00724803">
        <w:rPr>
          <w:rFonts w:ascii="Arial" w:hAnsi="Arial" w:cs="Arial"/>
          <w:b/>
          <w:bCs/>
        </w:rPr>
        <w:t>COMPETING INTERESTS DISCLAIMER:</w:t>
      </w:r>
    </w:p>
    <w:p w14:paraId="6F0CB8DE" w14:textId="77777777" w:rsidR="00724803" w:rsidRDefault="00724803" w:rsidP="00724803">
      <w:pPr>
        <w:pStyle w:val="ListParagraph"/>
      </w:pPr>
      <w:r w:rsidRPr="00A10EDE">
        <w:t>Authors have declared that they have no known competing financial interests OR non-financial interests OR personal relationships that could have appeared to influence the work reported in this paper.</w:t>
      </w:r>
    </w:p>
    <w:p w14:paraId="561D1F3F" w14:textId="77777777" w:rsidR="00724803" w:rsidRDefault="00724803" w:rsidP="00724803">
      <w:pPr>
        <w:pStyle w:val="ListParagraph"/>
      </w:pPr>
    </w:p>
    <w:p w14:paraId="3644A4CE" w14:textId="77777777" w:rsidR="00724803" w:rsidRDefault="00724803" w:rsidP="00724803">
      <w:pPr>
        <w:pStyle w:val="ListParagraph"/>
      </w:pPr>
    </w:p>
    <w:p w14:paraId="6C5C607F" w14:textId="77777777" w:rsidR="00724803" w:rsidRPr="00CE4C56" w:rsidRDefault="00724803" w:rsidP="00724803">
      <w:pPr>
        <w:ind w:left="720"/>
        <w:rPr>
          <w:rFonts w:ascii="Times New Roman" w:hAnsi="Times New Roman" w:cs="Times New Roman"/>
          <w:sz w:val="24"/>
          <w:szCs w:val="24"/>
        </w:rPr>
      </w:pPr>
    </w:p>
    <w:p w14:paraId="60857505" w14:textId="77777777" w:rsidR="00CE4C56" w:rsidRPr="00CE4C56" w:rsidRDefault="00CE4C56" w:rsidP="00CE4C56">
      <w:pPr>
        <w:numPr>
          <w:ilvl w:val="0"/>
          <w:numId w:val="2"/>
        </w:numPr>
        <w:rPr>
          <w:rFonts w:ascii="Times New Roman" w:hAnsi="Times New Roman" w:cs="Times New Roman"/>
          <w:b/>
          <w:sz w:val="24"/>
          <w:szCs w:val="24"/>
        </w:rPr>
      </w:pPr>
      <w:r w:rsidRPr="00CE4C56">
        <w:rPr>
          <w:rFonts w:ascii="Times New Roman" w:hAnsi="Times New Roman" w:cs="Times New Roman"/>
          <w:b/>
          <w:sz w:val="24"/>
          <w:szCs w:val="24"/>
        </w:rPr>
        <w:t>References</w:t>
      </w:r>
    </w:p>
    <w:p w14:paraId="7AE726DE"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Amelung, B., Moreno, A. (2009). Impacts of climate change in tourism in Europe. </w:t>
      </w:r>
      <w:r w:rsidRPr="00CE4C56">
        <w:rPr>
          <w:rFonts w:ascii="Times New Roman" w:hAnsi="Times New Roman" w:cs="Times New Roman"/>
          <w:i/>
          <w:iCs/>
          <w:sz w:val="24"/>
          <w:szCs w:val="24"/>
        </w:rPr>
        <w:t>PESETA-Tourism study</w:t>
      </w:r>
      <w:r w:rsidRPr="00CE4C56">
        <w:rPr>
          <w:rFonts w:ascii="Times New Roman" w:hAnsi="Times New Roman" w:cs="Times New Roman"/>
          <w:sz w:val="24"/>
          <w:szCs w:val="24"/>
        </w:rPr>
        <w:t xml:space="preserve">. European Commission, Joint Research Centre. Retrieved from </w:t>
      </w:r>
      <w:hyperlink r:id="rId8" w:history="1">
        <w:r w:rsidRPr="00CE4C56">
          <w:rPr>
            <w:rStyle w:val="Hyperlink"/>
            <w:rFonts w:ascii="Times New Roman" w:hAnsi="Times New Roman" w:cs="Times New Roman"/>
            <w:sz w:val="24"/>
            <w:szCs w:val="24"/>
          </w:rPr>
          <w:t>https://publications.jrc.ec.europa.eu/repository/handle/JRC50593</w:t>
        </w:r>
      </w:hyperlink>
    </w:p>
    <w:p w14:paraId="10CAFBA0"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lastRenderedPageBreak/>
        <w:t xml:space="preserve">Amelung, B., Nicholls, S., &amp; Viner, D. (2007). Implications of global climate change for tourism flows and seasonality. </w:t>
      </w:r>
      <w:r w:rsidRPr="00CE4C56">
        <w:rPr>
          <w:rFonts w:ascii="Times New Roman" w:hAnsi="Times New Roman" w:cs="Times New Roman"/>
          <w:i/>
          <w:iCs/>
          <w:sz w:val="24"/>
          <w:szCs w:val="24"/>
        </w:rPr>
        <w:t>Journal of Travel Research, 45</w:t>
      </w:r>
      <w:r w:rsidRPr="00CE4C56">
        <w:rPr>
          <w:rFonts w:ascii="Times New Roman" w:hAnsi="Times New Roman" w:cs="Times New Roman"/>
          <w:sz w:val="24"/>
          <w:szCs w:val="24"/>
        </w:rPr>
        <w:t xml:space="preserve">(3), 285–296. </w:t>
      </w:r>
      <w:hyperlink r:id="rId9" w:history="1">
        <w:r w:rsidRPr="00CE4C56">
          <w:rPr>
            <w:rStyle w:val="Hyperlink"/>
            <w:rFonts w:ascii="Times New Roman" w:hAnsi="Times New Roman" w:cs="Times New Roman"/>
            <w:sz w:val="24"/>
            <w:szCs w:val="24"/>
          </w:rPr>
          <w:t>https://doi.org/10.1177/0047287506295937</w:t>
        </w:r>
      </w:hyperlink>
    </w:p>
    <w:p w14:paraId="5623EF08" w14:textId="77777777" w:rsidR="00CE4C56" w:rsidRPr="00CE4C56" w:rsidRDefault="00CE4C56" w:rsidP="00CE4C56">
      <w:pPr>
        <w:numPr>
          <w:ilvl w:val="0"/>
          <w:numId w:val="3"/>
        </w:numPr>
        <w:rPr>
          <w:rFonts w:ascii="Times New Roman" w:hAnsi="Times New Roman" w:cs="Times New Roman"/>
          <w:sz w:val="24"/>
          <w:szCs w:val="24"/>
        </w:rPr>
      </w:pPr>
      <w:proofErr w:type="spellStart"/>
      <w:r w:rsidRPr="00CE4C56">
        <w:rPr>
          <w:rFonts w:ascii="Times New Roman" w:hAnsi="Times New Roman" w:cs="Times New Roman"/>
          <w:sz w:val="24"/>
          <w:szCs w:val="24"/>
        </w:rPr>
        <w:t>Bruci</w:t>
      </w:r>
      <w:proofErr w:type="spellEnd"/>
      <w:r w:rsidRPr="00CE4C56">
        <w:rPr>
          <w:rFonts w:ascii="Times New Roman" w:hAnsi="Times New Roman" w:cs="Times New Roman"/>
          <w:sz w:val="24"/>
          <w:szCs w:val="24"/>
        </w:rPr>
        <w:t xml:space="preserve">, E. (2010). Projection of climate change for Southeastern Europe. In V. Alexandrov, M. F. Gajdusek, C. G. Knight, &amp; A. </w:t>
      </w:r>
      <w:proofErr w:type="spellStart"/>
      <w:r w:rsidRPr="00CE4C56">
        <w:rPr>
          <w:rFonts w:ascii="Times New Roman" w:hAnsi="Times New Roman" w:cs="Times New Roman"/>
          <w:sz w:val="24"/>
          <w:szCs w:val="24"/>
        </w:rPr>
        <w:t>Yotova</w:t>
      </w:r>
      <w:proofErr w:type="spellEnd"/>
      <w:r w:rsidRPr="00CE4C56">
        <w:rPr>
          <w:rFonts w:ascii="Times New Roman" w:hAnsi="Times New Roman" w:cs="Times New Roman"/>
          <w:sz w:val="24"/>
          <w:szCs w:val="24"/>
        </w:rPr>
        <w:t xml:space="preserve"> (Eds.), </w:t>
      </w:r>
      <w:r w:rsidRPr="00CE4C56">
        <w:rPr>
          <w:rFonts w:ascii="Times New Roman" w:hAnsi="Times New Roman" w:cs="Times New Roman"/>
          <w:i/>
          <w:iCs/>
          <w:sz w:val="24"/>
          <w:szCs w:val="24"/>
        </w:rPr>
        <w:t>Global Environmental Change: Challenges to Science and Society in Southeastern Europe</w:t>
      </w:r>
      <w:r w:rsidRPr="00CE4C56">
        <w:rPr>
          <w:rFonts w:ascii="Times New Roman" w:hAnsi="Times New Roman" w:cs="Times New Roman"/>
          <w:sz w:val="24"/>
          <w:szCs w:val="24"/>
        </w:rPr>
        <w:t xml:space="preserve"> (pp. 169–178). Springer. </w:t>
      </w:r>
      <w:hyperlink r:id="rId10" w:history="1">
        <w:r w:rsidRPr="00CE4C56">
          <w:rPr>
            <w:rStyle w:val="Hyperlink"/>
            <w:rFonts w:ascii="Times New Roman" w:hAnsi="Times New Roman" w:cs="Times New Roman"/>
            <w:sz w:val="24"/>
            <w:szCs w:val="24"/>
          </w:rPr>
          <w:t>https://doi.org/10.1007/978-90-481-8694-5_14</w:t>
        </w:r>
      </w:hyperlink>
    </w:p>
    <w:p w14:paraId="3B95F1CE" w14:textId="77777777" w:rsidR="00CE4C56" w:rsidRPr="00CE4C56" w:rsidRDefault="00CE4C56" w:rsidP="00CE4C56">
      <w:pPr>
        <w:numPr>
          <w:ilvl w:val="0"/>
          <w:numId w:val="3"/>
        </w:numPr>
        <w:rPr>
          <w:rFonts w:ascii="Times New Roman" w:hAnsi="Times New Roman" w:cs="Times New Roman"/>
          <w:sz w:val="24"/>
          <w:szCs w:val="24"/>
        </w:rPr>
      </w:pPr>
      <w:proofErr w:type="spellStart"/>
      <w:r w:rsidRPr="00CE4C56">
        <w:rPr>
          <w:rFonts w:ascii="Times New Roman" w:hAnsi="Times New Roman" w:cs="Times New Roman"/>
          <w:sz w:val="24"/>
          <w:szCs w:val="24"/>
        </w:rPr>
        <w:t>Bruci</w:t>
      </w:r>
      <w:proofErr w:type="spellEnd"/>
      <w:r w:rsidRPr="00CE4C56">
        <w:rPr>
          <w:rFonts w:ascii="Times New Roman" w:hAnsi="Times New Roman" w:cs="Times New Roman"/>
          <w:sz w:val="24"/>
          <w:szCs w:val="24"/>
        </w:rPr>
        <w:t xml:space="preserve">, E. (2020). Projection of climate change for Southeastern Europe. </w:t>
      </w:r>
      <w:r w:rsidRPr="00CE4C56">
        <w:rPr>
          <w:rFonts w:ascii="Times New Roman" w:hAnsi="Times New Roman" w:cs="Times New Roman"/>
          <w:i/>
          <w:iCs/>
          <w:sz w:val="24"/>
          <w:szCs w:val="24"/>
        </w:rPr>
        <w:t>Climate Monthly Bulletin, 5</w:t>
      </w:r>
      <w:r w:rsidRPr="00CE4C56">
        <w:rPr>
          <w:rFonts w:ascii="Times New Roman" w:hAnsi="Times New Roman" w:cs="Times New Roman"/>
          <w:sz w:val="24"/>
          <w:szCs w:val="24"/>
        </w:rPr>
        <w:t>(55), July 2021. Polytechnic University of Tirana, Institute of Geosciences.</w:t>
      </w:r>
    </w:p>
    <w:p w14:paraId="026A34E5"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EC. (2009). Directive 2009/125/EC of the European Parliament and of the Council of 21 October 2009 establishing a framework for the setting of eco-design requirements for energy-related products. </w:t>
      </w:r>
      <w:r w:rsidRPr="00CE4C56">
        <w:rPr>
          <w:rFonts w:ascii="Times New Roman" w:hAnsi="Times New Roman" w:cs="Times New Roman"/>
          <w:i/>
          <w:iCs/>
          <w:sz w:val="24"/>
          <w:szCs w:val="24"/>
        </w:rPr>
        <w:t>Official Journal of the European Union</w:t>
      </w:r>
      <w:r w:rsidRPr="00CE4C56">
        <w:rPr>
          <w:rFonts w:ascii="Times New Roman" w:hAnsi="Times New Roman" w:cs="Times New Roman"/>
          <w:sz w:val="24"/>
          <w:szCs w:val="24"/>
        </w:rPr>
        <w:t xml:space="preserve">, L 285, 10–35. Retrieved from </w:t>
      </w:r>
      <w:hyperlink r:id="rId11" w:history="1">
        <w:r w:rsidRPr="00CE4C56">
          <w:rPr>
            <w:rStyle w:val="Hyperlink"/>
            <w:rFonts w:ascii="Times New Roman" w:hAnsi="Times New Roman" w:cs="Times New Roman"/>
            <w:sz w:val="24"/>
            <w:szCs w:val="24"/>
          </w:rPr>
          <w:t>https://eur-lex.europa.eu/legal-content/EN/TXT/?uri=CELEX:32009L0125</w:t>
        </w:r>
      </w:hyperlink>
    </w:p>
    <w:p w14:paraId="3F7BEC7D"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EEA. (2009). </w:t>
      </w:r>
      <w:r w:rsidRPr="00CE4C56">
        <w:rPr>
          <w:rFonts w:ascii="Times New Roman" w:hAnsi="Times New Roman" w:cs="Times New Roman"/>
          <w:i/>
          <w:iCs/>
          <w:sz w:val="24"/>
          <w:szCs w:val="24"/>
        </w:rPr>
        <w:t>Impact of Europe’s changing climate – 2009 indicator-based assessment</w:t>
      </w:r>
      <w:r w:rsidRPr="00CE4C56">
        <w:rPr>
          <w:rFonts w:ascii="Times New Roman" w:hAnsi="Times New Roman" w:cs="Times New Roman"/>
          <w:sz w:val="24"/>
          <w:szCs w:val="24"/>
        </w:rPr>
        <w:t xml:space="preserve"> (EEA Report No. 4/2009). European Environment Agency. Retrieved from </w:t>
      </w:r>
      <w:hyperlink r:id="rId12" w:history="1">
        <w:r w:rsidRPr="00CE4C56">
          <w:rPr>
            <w:rStyle w:val="Hyperlink"/>
            <w:rFonts w:ascii="Times New Roman" w:hAnsi="Times New Roman" w:cs="Times New Roman"/>
            <w:sz w:val="24"/>
            <w:szCs w:val="24"/>
          </w:rPr>
          <w:t>https://www.eea.europa.eu/publications/eea_report_2009_4</w:t>
        </w:r>
      </w:hyperlink>
    </w:p>
    <w:p w14:paraId="102C5334"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EEA. (2017). </w:t>
      </w:r>
      <w:r w:rsidRPr="00CE4C56">
        <w:rPr>
          <w:rFonts w:ascii="Times New Roman" w:hAnsi="Times New Roman" w:cs="Times New Roman"/>
          <w:i/>
          <w:iCs/>
          <w:sz w:val="24"/>
          <w:szCs w:val="24"/>
        </w:rPr>
        <w:t>Climate change, impacts and vulnerability in Europe 2016: An indicator-based report</w:t>
      </w:r>
      <w:r w:rsidRPr="00CE4C56">
        <w:rPr>
          <w:rFonts w:ascii="Times New Roman" w:hAnsi="Times New Roman" w:cs="Times New Roman"/>
          <w:sz w:val="24"/>
          <w:szCs w:val="24"/>
        </w:rPr>
        <w:t xml:space="preserve"> (EEA Report No. 1/2017). European Environment Agency. Retrieved from </w:t>
      </w:r>
      <w:hyperlink r:id="rId13" w:history="1">
        <w:r w:rsidRPr="00CE4C56">
          <w:rPr>
            <w:rStyle w:val="Hyperlink"/>
            <w:rFonts w:ascii="Times New Roman" w:hAnsi="Times New Roman" w:cs="Times New Roman"/>
            <w:sz w:val="24"/>
            <w:szCs w:val="24"/>
          </w:rPr>
          <w:t>https://www.eea.europa.eu/publications/climate-change-impacts-and-vulnerability-2016</w:t>
        </w:r>
      </w:hyperlink>
    </w:p>
    <w:p w14:paraId="0F80A991"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Gasparrini, A. (2017). Projections of temperature-related excess mortality under climate change scenarios. </w:t>
      </w:r>
      <w:r w:rsidRPr="00CE4C56">
        <w:rPr>
          <w:rFonts w:ascii="Times New Roman" w:hAnsi="Times New Roman" w:cs="Times New Roman"/>
          <w:i/>
          <w:iCs/>
          <w:sz w:val="24"/>
          <w:szCs w:val="24"/>
        </w:rPr>
        <w:t>The Lancet Planetary Health, 1</w:t>
      </w:r>
      <w:r w:rsidRPr="00CE4C56">
        <w:rPr>
          <w:rFonts w:ascii="Times New Roman" w:hAnsi="Times New Roman" w:cs="Times New Roman"/>
          <w:sz w:val="24"/>
          <w:szCs w:val="24"/>
        </w:rPr>
        <w:t xml:space="preserve">(9), e360–e367. </w:t>
      </w:r>
      <w:hyperlink r:id="rId14" w:tgtFrame="_new" w:history="1">
        <w:r w:rsidRPr="00CE4C56">
          <w:rPr>
            <w:rStyle w:val="Hyperlink"/>
            <w:rFonts w:ascii="Times New Roman" w:hAnsi="Times New Roman" w:cs="Times New Roman"/>
            <w:sz w:val="24"/>
            <w:szCs w:val="24"/>
          </w:rPr>
          <w:t>https://doi.org/10.1016/S2542-5196(17)30156-0</w:t>
        </w:r>
      </w:hyperlink>
    </w:p>
    <w:p w14:paraId="55F5D194"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Giordano, F., </w:t>
      </w:r>
      <w:proofErr w:type="spellStart"/>
      <w:r w:rsidRPr="00CE4C56">
        <w:rPr>
          <w:rFonts w:ascii="Times New Roman" w:hAnsi="Times New Roman" w:cs="Times New Roman"/>
          <w:sz w:val="24"/>
          <w:szCs w:val="24"/>
        </w:rPr>
        <w:t>Capriolo</w:t>
      </w:r>
      <w:proofErr w:type="spellEnd"/>
      <w:r w:rsidRPr="00CE4C56">
        <w:rPr>
          <w:rFonts w:ascii="Times New Roman" w:hAnsi="Times New Roman" w:cs="Times New Roman"/>
          <w:sz w:val="24"/>
          <w:szCs w:val="24"/>
        </w:rPr>
        <w:t xml:space="preserve">, A., &amp; Mascolo, R. (2013). </w:t>
      </w:r>
      <w:r w:rsidRPr="00CE4C56">
        <w:rPr>
          <w:rFonts w:ascii="Times New Roman" w:hAnsi="Times New Roman" w:cs="Times New Roman"/>
          <w:i/>
          <w:iCs/>
          <w:sz w:val="24"/>
          <w:szCs w:val="24"/>
        </w:rPr>
        <w:t>Planning for adaptation to climate change – Guidelines for municipalities</w:t>
      </w:r>
      <w:r w:rsidRPr="00CE4C56">
        <w:rPr>
          <w:rFonts w:ascii="Times New Roman" w:hAnsi="Times New Roman" w:cs="Times New Roman"/>
          <w:sz w:val="24"/>
          <w:szCs w:val="24"/>
        </w:rPr>
        <w:t xml:space="preserve">. LIFE ACT Project – Adapting to Climate Change in Time. Retrieved from </w:t>
      </w:r>
      <w:hyperlink r:id="rId15" w:history="1">
        <w:r w:rsidRPr="00CE4C56">
          <w:rPr>
            <w:rStyle w:val="Hyperlink"/>
            <w:rFonts w:ascii="Times New Roman" w:hAnsi="Times New Roman" w:cs="Times New Roman"/>
            <w:sz w:val="24"/>
            <w:szCs w:val="24"/>
          </w:rPr>
          <w:t>https://www.lifeact.eu</w:t>
        </w:r>
      </w:hyperlink>
    </w:p>
    <w:p w14:paraId="5275F38E"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INSTAT (Albanian Institute of Statistics). (various years). </w:t>
      </w:r>
      <w:r w:rsidRPr="00CE4C56">
        <w:rPr>
          <w:rFonts w:ascii="Times New Roman" w:hAnsi="Times New Roman" w:cs="Times New Roman"/>
          <w:i/>
          <w:iCs/>
          <w:sz w:val="24"/>
          <w:szCs w:val="24"/>
        </w:rPr>
        <w:t>Tourism statistics reports</w:t>
      </w:r>
      <w:r w:rsidRPr="00CE4C56">
        <w:rPr>
          <w:rFonts w:ascii="Times New Roman" w:hAnsi="Times New Roman" w:cs="Times New Roman"/>
          <w:sz w:val="24"/>
          <w:szCs w:val="24"/>
        </w:rPr>
        <w:t xml:space="preserve">. Retrieved from </w:t>
      </w:r>
      <w:hyperlink r:id="rId16" w:history="1">
        <w:r w:rsidRPr="00CE4C56">
          <w:rPr>
            <w:rStyle w:val="Hyperlink"/>
            <w:rFonts w:ascii="Times New Roman" w:hAnsi="Times New Roman" w:cs="Times New Roman"/>
            <w:sz w:val="24"/>
            <w:szCs w:val="24"/>
          </w:rPr>
          <w:t>https://www.instat.gov.al/en/themes/tourism/</w:t>
        </w:r>
      </w:hyperlink>
    </w:p>
    <w:p w14:paraId="120D71CB"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Laçi, E., Papathimiu, S., &amp; Laçi, S. (2023). Impact of climate change on infrastructure, population, settlement, and adaptation measures in Vjosa Basin. In N. Ademović, E. Mujčić, M. Mulić, J. </w:t>
      </w:r>
      <w:proofErr w:type="spellStart"/>
      <w:r w:rsidRPr="00CE4C56">
        <w:rPr>
          <w:rFonts w:ascii="Times New Roman" w:hAnsi="Times New Roman" w:cs="Times New Roman"/>
          <w:sz w:val="24"/>
          <w:szCs w:val="24"/>
        </w:rPr>
        <w:t>Kevrić</w:t>
      </w:r>
      <w:proofErr w:type="spellEnd"/>
      <w:r w:rsidRPr="00CE4C56">
        <w:rPr>
          <w:rFonts w:ascii="Times New Roman" w:hAnsi="Times New Roman" w:cs="Times New Roman"/>
          <w:sz w:val="24"/>
          <w:szCs w:val="24"/>
        </w:rPr>
        <w:t xml:space="preserve">, &amp; Z. </w:t>
      </w:r>
      <w:proofErr w:type="spellStart"/>
      <w:r w:rsidRPr="00CE4C56">
        <w:rPr>
          <w:rFonts w:ascii="Times New Roman" w:hAnsi="Times New Roman" w:cs="Times New Roman"/>
          <w:sz w:val="24"/>
          <w:szCs w:val="24"/>
        </w:rPr>
        <w:t>Akšamija</w:t>
      </w:r>
      <w:proofErr w:type="spellEnd"/>
      <w:r w:rsidRPr="00CE4C56">
        <w:rPr>
          <w:rFonts w:ascii="Times New Roman" w:hAnsi="Times New Roman" w:cs="Times New Roman"/>
          <w:sz w:val="24"/>
          <w:szCs w:val="24"/>
        </w:rPr>
        <w:t xml:space="preserve"> (Eds.), </w:t>
      </w:r>
      <w:r w:rsidRPr="00CE4C56">
        <w:rPr>
          <w:rFonts w:ascii="Times New Roman" w:hAnsi="Times New Roman" w:cs="Times New Roman"/>
          <w:i/>
          <w:iCs/>
          <w:sz w:val="24"/>
          <w:szCs w:val="24"/>
        </w:rPr>
        <w:t>Advanced Technologies, Systems, and Applications VII. IAT 2022. Lecture Notes in Networks and Systems, 539</w:t>
      </w:r>
      <w:r w:rsidRPr="00CE4C56">
        <w:rPr>
          <w:rFonts w:ascii="Times New Roman" w:hAnsi="Times New Roman" w:cs="Times New Roman"/>
          <w:sz w:val="24"/>
          <w:szCs w:val="24"/>
        </w:rPr>
        <w:t xml:space="preserve"> (pp. 533–545). Springer. </w:t>
      </w:r>
      <w:hyperlink r:id="rId17" w:tgtFrame="_new" w:history="1">
        <w:r w:rsidRPr="00CE4C56">
          <w:rPr>
            <w:rStyle w:val="Hyperlink"/>
            <w:rFonts w:ascii="Times New Roman" w:hAnsi="Times New Roman" w:cs="Times New Roman"/>
            <w:sz w:val="24"/>
            <w:szCs w:val="24"/>
          </w:rPr>
          <w:t>https://doi.org/10.1007/978-3-031-17697-5_40</w:t>
        </w:r>
      </w:hyperlink>
    </w:p>
    <w:p w14:paraId="28D33F1B"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Laçi, S. (2014). Prognosis of touristic capacities. </w:t>
      </w:r>
      <w:r w:rsidRPr="00CE4C56">
        <w:rPr>
          <w:rFonts w:ascii="Times New Roman" w:hAnsi="Times New Roman" w:cs="Times New Roman"/>
          <w:i/>
          <w:iCs/>
          <w:sz w:val="24"/>
          <w:szCs w:val="24"/>
        </w:rPr>
        <w:t>TNC Report</w:t>
      </w:r>
      <w:r w:rsidRPr="00CE4C56">
        <w:rPr>
          <w:rFonts w:ascii="Times New Roman" w:hAnsi="Times New Roman" w:cs="Times New Roman"/>
          <w:sz w:val="24"/>
          <w:szCs w:val="24"/>
        </w:rPr>
        <w:t>.</w:t>
      </w:r>
    </w:p>
    <w:p w14:paraId="4B28B7CA"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Laçi, S. (2010a). Identification and implementation of adaptation response measures to Drini. Ministry of Tourism and Environment, Albania.</w:t>
      </w:r>
    </w:p>
    <w:p w14:paraId="741F9712"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lastRenderedPageBreak/>
        <w:t xml:space="preserve">Mieczkowski, Z. (1985). The tourism climatic index: A method of evaluating world climates for tourism. </w:t>
      </w:r>
      <w:r w:rsidRPr="00CE4C56">
        <w:rPr>
          <w:rFonts w:ascii="Times New Roman" w:hAnsi="Times New Roman" w:cs="Times New Roman"/>
          <w:i/>
          <w:iCs/>
          <w:sz w:val="24"/>
          <w:szCs w:val="24"/>
        </w:rPr>
        <w:t>The Canadian Geographer, 29</w:t>
      </w:r>
      <w:r w:rsidRPr="00CE4C56">
        <w:rPr>
          <w:rFonts w:ascii="Times New Roman" w:hAnsi="Times New Roman" w:cs="Times New Roman"/>
          <w:sz w:val="24"/>
          <w:szCs w:val="24"/>
        </w:rPr>
        <w:t xml:space="preserve">(3), 220–233. </w:t>
      </w:r>
      <w:hyperlink r:id="rId18" w:history="1">
        <w:r w:rsidRPr="00CE4C56">
          <w:rPr>
            <w:rStyle w:val="Hyperlink"/>
            <w:rFonts w:ascii="Times New Roman" w:hAnsi="Times New Roman" w:cs="Times New Roman"/>
            <w:sz w:val="24"/>
            <w:szCs w:val="24"/>
          </w:rPr>
          <w:t>https://doi.org/10.1111/j.1541-0064.1985.tb00365.x</w:t>
        </w:r>
      </w:hyperlink>
    </w:p>
    <w:p w14:paraId="7AF393CF" w14:textId="77777777" w:rsidR="00CE4C56" w:rsidRPr="00CE4C56" w:rsidRDefault="00CE4C56" w:rsidP="00CE4C56">
      <w:pPr>
        <w:numPr>
          <w:ilvl w:val="0"/>
          <w:numId w:val="3"/>
        </w:numPr>
        <w:rPr>
          <w:rFonts w:ascii="Times New Roman" w:hAnsi="Times New Roman" w:cs="Times New Roman"/>
          <w:sz w:val="24"/>
          <w:szCs w:val="24"/>
        </w:rPr>
      </w:pPr>
      <w:proofErr w:type="spellStart"/>
      <w:r w:rsidRPr="00CE4C56">
        <w:rPr>
          <w:rFonts w:ascii="Times New Roman" w:hAnsi="Times New Roman" w:cs="Times New Roman"/>
          <w:sz w:val="24"/>
          <w:szCs w:val="24"/>
        </w:rPr>
        <w:t>Muçaj</w:t>
      </w:r>
      <w:proofErr w:type="spellEnd"/>
      <w:r w:rsidRPr="00CE4C56">
        <w:rPr>
          <w:rFonts w:ascii="Times New Roman" w:hAnsi="Times New Roman" w:cs="Times New Roman"/>
          <w:sz w:val="24"/>
          <w:szCs w:val="24"/>
        </w:rPr>
        <w:t xml:space="preserve">, L. (2010). The expected future climate impacts/risks on the coastal ecosystems, agriculture, water resources, tourism and settlements for Drini-Mati River Deltas area. </w:t>
      </w:r>
      <w:r w:rsidRPr="00CE4C56">
        <w:rPr>
          <w:rFonts w:ascii="Times New Roman" w:hAnsi="Times New Roman" w:cs="Times New Roman"/>
          <w:i/>
          <w:iCs/>
          <w:sz w:val="24"/>
          <w:szCs w:val="24"/>
        </w:rPr>
        <w:t>Third National Communication of Albania to the UNFCCC</w:t>
      </w:r>
      <w:r w:rsidRPr="00CE4C56">
        <w:rPr>
          <w:rFonts w:ascii="Times New Roman" w:hAnsi="Times New Roman" w:cs="Times New Roman"/>
          <w:sz w:val="24"/>
          <w:szCs w:val="24"/>
        </w:rPr>
        <w:t xml:space="preserve">. Retrieved from </w:t>
      </w:r>
      <w:hyperlink r:id="rId19" w:history="1">
        <w:r w:rsidRPr="00CE4C56">
          <w:rPr>
            <w:rStyle w:val="Hyperlink"/>
            <w:rFonts w:ascii="Times New Roman" w:hAnsi="Times New Roman" w:cs="Times New Roman"/>
            <w:sz w:val="24"/>
            <w:szCs w:val="24"/>
          </w:rPr>
          <w:t>https://unfccc.int/documents</w:t>
        </w:r>
      </w:hyperlink>
    </w:p>
    <w:p w14:paraId="6D7A5938" w14:textId="77777777" w:rsidR="00CE4C56" w:rsidRPr="00CE4C56" w:rsidRDefault="00CE4C56" w:rsidP="00CE4C56">
      <w:pPr>
        <w:numPr>
          <w:ilvl w:val="0"/>
          <w:numId w:val="3"/>
        </w:numPr>
        <w:rPr>
          <w:rFonts w:ascii="Times New Roman" w:hAnsi="Times New Roman" w:cs="Times New Roman"/>
          <w:sz w:val="24"/>
          <w:szCs w:val="24"/>
        </w:rPr>
      </w:pPr>
      <w:proofErr w:type="spellStart"/>
      <w:r w:rsidRPr="00CE4C56">
        <w:rPr>
          <w:rFonts w:ascii="Times New Roman" w:hAnsi="Times New Roman" w:cs="Times New Roman"/>
          <w:sz w:val="24"/>
          <w:szCs w:val="24"/>
        </w:rPr>
        <w:t>Muçaj</w:t>
      </w:r>
      <w:proofErr w:type="spellEnd"/>
      <w:r w:rsidRPr="00CE4C56">
        <w:rPr>
          <w:rFonts w:ascii="Times New Roman" w:hAnsi="Times New Roman" w:cs="Times New Roman"/>
          <w:sz w:val="24"/>
          <w:szCs w:val="24"/>
        </w:rPr>
        <w:t>, L. (2010). Climate change scenarios for Drini-Mati River Deltas area. Ministry of Environment, Albania.</w:t>
      </w:r>
    </w:p>
    <w:p w14:paraId="09BD9E47"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Rosselló-Nadal, J. (2014). How to evaluate the effects of climate change on tourism? </w:t>
      </w:r>
      <w:r w:rsidRPr="00CE4C56">
        <w:rPr>
          <w:rFonts w:ascii="Times New Roman" w:hAnsi="Times New Roman" w:cs="Times New Roman"/>
          <w:i/>
          <w:iCs/>
          <w:sz w:val="24"/>
          <w:szCs w:val="24"/>
        </w:rPr>
        <w:t>Tourism Management, 42</w:t>
      </w:r>
      <w:r w:rsidRPr="00CE4C56">
        <w:rPr>
          <w:rFonts w:ascii="Times New Roman" w:hAnsi="Times New Roman" w:cs="Times New Roman"/>
          <w:sz w:val="24"/>
          <w:szCs w:val="24"/>
        </w:rPr>
        <w:t xml:space="preserve">, 334–340. </w:t>
      </w:r>
      <w:hyperlink r:id="rId20" w:history="1">
        <w:r w:rsidRPr="00CE4C56">
          <w:rPr>
            <w:rStyle w:val="Hyperlink"/>
            <w:rFonts w:ascii="Times New Roman" w:hAnsi="Times New Roman" w:cs="Times New Roman"/>
            <w:sz w:val="24"/>
            <w:szCs w:val="24"/>
          </w:rPr>
          <w:t>https://doi.org/10.1016/j.tourman.2013.11.006</w:t>
        </w:r>
      </w:hyperlink>
    </w:p>
    <w:p w14:paraId="4A6DB0AE" w14:textId="77777777" w:rsidR="00CE4C56" w:rsidRPr="00CE4C56" w:rsidRDefault="00CE4C56" w:rsidP="00CE4C56">
      <w:pPr>
        <w:numPr>
          <w:ilvl w:val="0"/>
          <w:numId w:val="3"/>
        </w:numPr>
        <w:rPr>
          <w:rFonts w:ascii="Times New Roman" w:hAnsi="Times New Roman" w:cs="Times New Roman"/>
          <w:sz w:val="24"/>
          <w:szCs w:val="24"/>
        </w:rPr>
      </w:pPr>
      <w:r w:rsidRPr="00CE4C56">
        <w:rPr>
          <w:rFonts w:ascii="Times New Roman" w:hAnsi="Times New Roman" w:cs="Times New Roman"/>
          <w:sz w:val="24"/>
          <w:szCs w:val="24"/>
        </w:rPr>
        <w:t xml:space="preserve">Stocker, T. F., Qin, D., Plattner, G.-K., Tignor, M., Allen, S. K., </w:t>
      </w:r>
      <w:proofErr w:type="spellStart"/>
      <w:r w:rsidRPr="00CE4C56">
        <w:rPr>
          <w:rFonts w:ascii="Times New Roman" w:hAnsi="Times New Roman" w:cs="Times New Roman"/>
          <w:sz w:val="24"/>
          <w:szCs w:val="24"/>
        </w:rPr>
        <w:t>Boschung</w:t>
      </w:r>
      <w:proofErr w:type="spellEnd"/>
      <w:r w:rsidRPr="00CE4C56">
        <w:rPr>
          <w:rFonts w:ascii="Times New Roman" w:hAnsi="Times New Roman" w:cs="Times New Roman"/>
          <w:sz w:val="24"/>
          <w:szCs w:val="24"/>
        </w:rPr>
        <w:t xml:space="preserve">, J., </w:t>
      </w:r>
      <w:proofErr w:type="spellStart"/>
      <w:r w:rsidRPr="00CE4C56">
        <w:rPr>
          <w:rFonts w:ascii="Times New Roman" w:hAnsi="Times New Roman" w:cs="Times New Roman"/>
          <w:sz w:val="24"/>
          <w:szCs w:val="24"/>
        </w:rPr>
        <w:t>Nauels</w:t>
      </w:r>
      <w:proofErr w:type="spellEnd"/>
      <w:r w:rsidRPr="00CE4C56">
        <w:rPr>
          <w:rFonts w:ascii="Times New Roman" w:hAnsi="Times New Roman" w:cs="Times New Roman"/>
          <w:sz w:val="24"/>
          <w:szCs w:val="24"/>
        </w:rPr>
        <w:t xml:space="preserve">, A., Xia, Y., Bex, V., &amp; Midgley, P. M. (Eds.). (2013). </w:t>
      </w:r>
      <w:r w:rsidRPr="00CE4C56">
        <w:rPr>
          <w:rFonts w:ascii="Times New Roman" w:hAnsi="Times New Roman" w:cs="Times New Roman"/>
          <w:i/>
          <w:iCs/>
          <w:sz w:val="24"/>
          <w:szCs w:val="24"/>
        </w:rPr>
        <w:t>Climate Change 2013: The Physical Science Basis. Contribution of Working Group I to the Fifth Assessment Report of the IPCC</w:t>
      </w:r>
      <w:r w:rsidRPr="00CE4C56">
        <w:rPr>
          <w:rFonts w:ascii="Times New Roman" w:hAnsi="Times New Roman" w:cs="Times New Roman"/>
          <w:sz w:val="24"/>
          <w:szCs w:val="24"/>
        </w:rPr>
        <w:t>. Cambridge University Press. https://doi.org/10.1017/CBO9781107415324</w:t>
      </w:r>
    </w:p>
    <w:p w14:paraId="199FDC96" w14:textId="6D1FE776" w:rsidR="00DE5A6E" w:rsidRPr="00DE5A6E" w:rsidRDefault="00DE5A6E" w:rsidP="00CE4C56">
      <w:pPr>
        <w:rPr>
          <w:rFonts w:ascii="Times New Roman" w:hAnsi="Times New Roman" w:cs="Times New Roman"/>
          <w:sz w:val="24"/>
          <w:szCs w:val="24"/>
        </w:rPr>
      </w:pPr>
    </w:p>
    <w:p w14:paraId="1D40D10A" w14:textId="77777777" w:rsidR="00B35F7A" w:rsidRPr="00BB2065" w:rsidRDefault="00B35F7A" w:rsidP="00B35F7A">
      <w:pPr>
        <w:spacing w:after="0" w:line="360" w:lineRule="auto"/>
        <w:jc w:val="both"/>
        <w:rPr>
          <w:rFonts w:ascii="Times New Roman" w:hAnsi="Times New Roman"/>
          <w:sz w:val="24"/>
          <w:szCs w:val="24"/>
          <w:lang w:val="en-GB"/>
        </w:rPr>
      </w:pPr>
    </w:p>
    <w:p w14:paraId="6A58C768" w14:textId="77777777" w:rsidR="00B35F7A" w:rsidRPr="00BB2065" w:rsidRDefault="00B35F7A">
      <w:pPr>
        <w:rPr>
          <w:lang w:val="en-GB"/>
        </w:rPr>
      </w:pPr>
    </w:p>
    <w:sectPr w:rsidR="00B35F7A" w:rsidRPr="00BB206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2F9B" w14:textId="77777777" w:rsidR="00864BBD" w:rsidRDefault="00864BBD" w:rsidP="0003575D">
      <w:pPr>
        <w:spacing w:after="0" w:line="240" w:lineRule="auto"/>
      </w:pPr>
      <w:r>
        <w:separator/>
      </w:r>
    </w:p>
  </w:endnote>
  <w:endnote w:type="continuationSeparator" w:id="0">
    <w:p w14:paraId="351F7356" w14:textId="77777777" w:rsidR="00864BBD" w:rsidRDefault="00864BBD" w:rsidP="0003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BDD3" w14:textId="77777777" w:rsidR="0003575D" w:rsidRDefault="00035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552C" w14:textId="77777777" w:rsidR="0003575D" w:rsidRDefault="00035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E5A1" w14:textId="77777777" w:rsidR="0003575D" w:rsidRDefault="0003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CE8C" w14:textId="77777777" w:rsidR="00864BBD" w:rsidRDefault="00864BBD" w:rsidP="0003575D">
      <w:pPr>
        <w:spacing w:after="0" w:line="240" w:lineRule="auto"/>
      </w:pPr>
      <w:r>
        <w:separator/>
      </w:r>
    </w:p>
  </w:footnote>
  <w:footnote w:type="continuationSeparator" w:id="0">
    <w:p w14:paraId="31597858" w14:textId="77777777" w:rsidR="00864BBD" w:rsidRDefault="00864BBD" w:rsidP="0003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40ED" w14:textId="0117DE9E" w:rsidR="0003575D" w:rsidRDefault="0003575D">
    <w:pPr>
      <w:pStyle w:val="Header"/>
    </w:pPr>
    <w:r>
      <w:rPr>
        <w:noProof/>
      </w:rPr>
      <w:pict w14:anchorId="0604C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29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DE46" w14:textId="504EB904" w:rsidR="0003575D" w:rsidRDefault="0003575D">
    <w:pPr>
      <w:pStyle w:val="Header"/>
    </w:pPr>
    <w:r>
      <w:rPr>
        <w:noProof/>
      </w:rPr>
      <w:pict w14:anchorId="4B928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29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1938" w14:textId="07FC9612" w:rsidR="0003575D" w:rsidRDefault="0003575D">
    <w:pPr>
      <w:pStyle w:val="Header"/>
    </w:pPr>
    <w:r>
      <w:rPr>
        <w:noProof/>
      </w:rPr>
      <w:pict w14:anchorId="27B28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29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1388"/>
    <w:multiLevelType w:val="multilevel"/>
    <w:tmpl w:val="11DE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D08D5"/>
    <w:multiLevelType w:val="hybridMultilevel"/>
    <w:tmpl w:val="1F9AA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364EE"/>
    <w:multiLevelType w:val="hybridMultilevel"/>
    <w:tmpl w:val="C11A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316EA"/>
    <w:multiLevelType w:val="hybridMultilevel"/>
    <w:tmpl w:val="98A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75A3A"/>
    <w:multiLevelType w:val="hybridMultilevel"/>
    <w:tmpl w:val="46E2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56040"/>
    <w:multiLevelType w:val="hybridMultilevel"/>
    <w:tmpl w:val="FEC80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6"/>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7A"/>
    <w:rsid w:val="0003575D"/>
    <w:rsid w:val="0017651D"/>
    <w:rsid w:val="0026180F"/>
    <w:rsid w:val="003807E4"/>
    <w:rsid w:val="005A7630"/>
    <w:rsid w:val="005B5211"/>
    <w:rsid w:val="00724803"/>
    <w:rsid w:val="00743161"/>
    <w:rsid w:val="00757E26"/>
    <w:rsid w:val="00864BBD"/>
    <w:rsid w:val="00A73BA0"/>
    <w:rsid w:val="00AB1BBC"/>
    <w:rsid w:val="00B35F7A"/>
    <w:rsid w:val="00BB2065"/>
    <w:rsid w:val="00CE4C56"/>
    <w:rsid w:val="00D31728"/>
    <w:rsid w:val="00D37865"/>
    <w:rsid w:val="00DE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E7998"/>
  <w15:chartTrackingRefBased/>
  <w15:docId w15:val="{60536437-CE34-48CB-A210-C462FDA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F7A"/>
    <w:rPr>
      <w:color w:val="0563C1" w:themeColor="hyperlink"/>
      <w:u w:val="single"/>
    </w:rPr>
  </w:style>
  <w:style w:type="paragraph" w:customStyle="1" w:styleId="address">
    <w:name w:val="address"/>
    <w:basedOn w:val="Normal"/>
    <w:rsid w:val="00D37865"/>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rPr>
  </w:style>
  <w:style w:type="paragraph" w:customStyle="1" w:styleId="author">
    <w:name w:val="author"/>
    <w:basedOn w:val="Normal"/>
    <w:next w:val="address"/>
    <w:rsid w:val="00D37865"/>
    <w:pPr>
      <w:overflowPunct w:val="0"/>
      <w:autoSpaceDE w:val="0"/>
      <w:autoSpaceDN w:val="0"/>
      <w:adjustRightInd w:val="0"/>
      <w:spacing w:after="200" w:line="220" w:lineRule="atLeast"/>
      <w:jc w:val="center"/>
      <w:textAlignment w:val="baseline"/>
    </w:pPr>
    <w:rPr>
      <w:rFonts w:ascii="Times New Roman" w:eastAsia="Times New Roman" w:hAnsi="Times New Roman" w:cs="Times New Roman"/>
      <w:sz w:val="20"/>
      <w:szCs w:val="20"/>
    </w:rPr>
  </w:style>
  <w:style w:type="character" w:customStyle="1" w:styleId="e-mail">
    <w:name w:val="e-mail"/>
    <w:basedOn w:val="DefaultParagraphFont"/>
    <w:rsid w:val="00D37865"/>
    <w:rPr>
      <w:rFonts w:ascii="Courier" w:hAnsi="Courier"/>
      <w:noProof/>
    </w:rPr>
  </w:style>
  <w:style w:type="character" w:customStyle="1" w:styleId="ORCID">
    <w:name w:val="ORCID"/>
    <w:basedOn w:val="DefaultParagraphFont"/>
    <w:rsid w:val="00D37865"/>
    <w:rPr>
      <w:position w:val="0"/>
      <w:vertAlign w:val="superscript"/>
    </w:rPr>
  </w:style>
  <w:style w:type="character" w:styleId="UnresolvedMention">
    <w:name w:val="Unresolved Mention"/>
    <w:basedOn w:val="DefaultParagraphFont"/>
    <w:uiPriority w:val="99"/>
    <w:semiHidden/>
    <w:unhideWhenUsed/>
    <w:rsid w:val="00D37865"/>
    <w:rPr>
      <w:color w:val="605E5C"/>
      <w:shd w:val="clear" w:color="auto" w:fill="E1DFDD"/>
    </w:rPr>
  </w:style>
  <w:style w:type="paragraph" w:customStyle="1" w:styleId="abstract">
    <w:name w:val="abstract"/>
    <w:basedOn w:val="Normal"/>
    <w:rsid w:val="00DE5A6E"/>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rPr>
  </w:style>
  <w:style w:type="paragraph" w:customStyle="1" w:styleId="keywords">
    <w:name w:val="keywords"/>
    <w:basedOn w:val="abstract"/>
    <w:next w:val="Normal"/>
    <w:rsid w:val="00DE5A6E"/>
    <w:pPr>
      <w:spacing w:before="220"/>
      <w:ind w:firstLine="0"/>
      <w:contextualSpacing w:val="0"/>
      <w:jc w:val="left"/>
    </w:pPr>
  </w:style>
  <w:style w:type="paragraph" w:customStyle="1" w:styleId="heading1">
    <w:name w:val="heading1"/>
    <w:basedOn w:val="Normal"/>
    <w:next w:val="Normal"/>
    <w:qFormat/>
    <w:rsid w:val="00CE4C56"/>
    <w:pPr>
      <w:keepNext/>
      <w:keepLines/>
      <w:numPr>
        <w:numId w:val="2"/>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rPr>
  </w:style>
  <w:style w:type="paragraph" w:customStyle="1" w:styleId="heading2">
    <w:name w:val="heading2"/>
    <w:basedOn w:val="Normal"/>
    <w:next w:val="Normal"/>
    <w:qFormat/>
    <w:rsid w:val="00CE4C56"/>
    <w:pPr>
      <w:keepNext/>
      <w:keepLines/>
      <w:numPr>
        <w:ilvl w:val="1"/>
        <w:numId w:val="2"/>
      </w:numPr>
      <w:suppressAutoHyphens/>
      <w:overflowPunct w:val="0"/>
      <w:autoSpaceDE w:val="0"/>
      <w:autoSpaceDN w:val="0"/>
      <w:adjustRightInd w:val="0"/>
      <w:spacing w:before="360" w:line="360" w:lineRule="auto"/>
      <w:textAlignment w:val="baseline"/>
      <w:outlineLvl w:val="1"/>
    </w:pPr>
    <w:rPr>
      <w:rFonts w:ascii="Times New Roman" w:eastAsia="Times New Roman" w:hAnsi="Times New Roman" w:cs="Times New Roman"/>
      <w:b/>
      <w:sz w:val="24"/>
      <w:szCs w:val="20"/>
    </w:rPr>
  </w:style>
  <w:style w:type="numbering" w:customStyle="1" w:styleId="headings">
    <w:name w:val="headings"/>
    <w:basedOn w:val="NoList"/>
    <w:rsid w:val="00CE4C56"/>
    <w:pPr>
      <w:numPr>
        <w:numId w:val="2"/>
      </w:numPr>
    </w:pPr>
  </w:style>
  <w:style w:type="paragraph" w:styleId="Caption">
    <w:name w:val="caption"/>
    <w:basedOn w:val="Normal"/>
    <w:next w:val="Normal"/>
    <w:unhideWhenUsed/>
    <w:rsid w:val="00CE4C56"/>
    <w:pPr>
      <w:overflowPunct w:val="0"/>
      <w:autoSpaceDE w:val="0"/>
      <w:autoSpaceDN w:val="0"/>
      <w:adjustRightInd w:val="0"/>
      <w:spacing w:after="200" w:line="240" w:lineRule="auto"/>
      <w:jc w:val="both"/>
      <w:textAlignment w:val="baseline"/>
    </w:pPr>
    <w:rPr>
      <w:rFonts w:ascii="Times New Roman" w:eastAsia="Times New Roman" w:hAnsi="Times New Roman" w:cs="Times New Roman"/>
      <w:i/>
      <w:iCs/>
      <w:color w:val="44546A" w:themeColor="text2"/>
      <w:sz w:val="18"/>
      <w:szCs w:val="18"/>
    </w:rPr>
  </w:style>
  <w:style w:type="paragraph" w:styleId="ListParagraph">
    <w:name w:val="List Paragraph"/>
    <w:basedOn w:val="Normal"/>
    <w:uiPriority w:val="34"/>
    <w:qFormat/>
    <w:rsid w:val="00724803"/>
    <w:pPr>
      <w:ind w:left="720"/>
      <w:contextualSpacing/>
    </w:pPr>
  </w:style>
  <w:style w:type="paragraph" w:styleId="Header">
    <w:name w:val="header"/>
    <w:basedOn w:val="Normal"/>
    <w:link w:val="HeaderChar"/>
    <w:uiPriority w:val="99"/>
    <w:unhideWhenUsed/>
    <w:rsid w:val="0003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75D"/>
  </w:style>
  <w:style w:type="paragraph" w:styleId="Footer">
    <w:name w:val="footer"/>
    <w:basedOn w:val="Normal"/>
    <w:link w:val="FooterChar"/>
    <w:uiPriority w:val="99"/>
    <w:unhideWhenUsed/>
    <w:rsid w:val="0003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9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jrc.ec.europa.eu/repository/handle/JRC50593" TargetMode="External"/><Relationship Id="rId13" Type="http://schemas.openxmlformats.org/officeDocument/2006/relationships/hyperlink" Target="https://www.eea.europa.eu/publications/climate-change-impacts-and-vulnerability-2016" TargetMode="External"/><Relationship Id="rId18" Type="http://schemas.openxmlformats.org/officeDocument/2006/relationships/hyperlink" Target="https://doi.org/10.1111/j.1541-0064.1985.tb00365.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eea.europa.eu/publications/eea_report_2009_4" TargetMode="External"/><Relationship Id="rId17" Type="http://schemas.openxmlformats.org/officeDocument/2006/relationships/hyperlink" Target="https://doi.org/10.1007/978-3-031-17697-5_4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instat.gov.al/en/themes/tourism/" TargetMode="External"/><Relationship Id="rId20" Type="http://schemas.openxmlformats.org/officeDocument/2006/relationships/hyperlink" Target="https://doi.org/10.1016/j.tourman.2013.11.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2009L01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ifeact.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7/978-90-481-8694-5_14" TargetMode="External"/><Relationship Id="rId19" Type="http://schemas.openxmlformats.org/officeDocument/2006/relationships/hyperlink" Target="https://unfccc.int/documents" TargetMode="External"/><Relationship Id="rId4" Type="http://schemas.openxmlformats.org/officeDocument/2006/relationships/webSettings" Target="webSettings.xml"/><Relationship Id="rId9" Type="http://schemas.openxmlformats.org/officeDocument/2006/relationships/hyperlink" Target="https://doi.org/10.1177/0047287506295937" TargetMode="External"/><Relationship Id="rId14" Type="http://schemas.openxmlformats.org/officeDocument/2006/relationships/hyperlink" Target="https://doi.org/10.1016/S2542-5196(17)30156-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4359</Words>
  <Characters>24851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Sonila Papathimiu</dc:creator>
  <cp:keywords/>
  <dc:description/>
  <cp:lastModifiedBy>SDI 1084</cp:lastModifiedBy>
  <cp:revision>9</cp:revision>
  <dcterms:created xsi:type="dcterms:W3CDTF">2025-11-01T21:48:00Z</dcterms:created>
  <dcterms:modified xsi:type="dcterms:W3CDTF">2025-11-06T12:24:00Z</dcterms:modified>
</cp:coreProperties>
</file>