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EE8C5" w14:textId="50105FE9" w:rsidR="00580F40" w:rsidRDefault="0064340D">
      <w:pPr>
        <w:pStyle w:val="Title"/>
        <w:spacing w:after="0"/>
        <w:jc w:val="both"/>
        <w:rPr>
          <w:rFonts w:ascii="Arial" w:hAnsi="Arial" w:cs="Arial"/>
        </w:rPr>
      </w:pPr>
      <w:r w:rsidRPr="0064340D">
        <w:rPr>
          <w:rFonts w:ascii="Arial" w:hAnsi="Arial" w:cs="Arial"/>
        </w:rPr>
        <w:t>Original Research Article</w:t>
      </w:r>
    </w:p>
    <w:p w14:paraId="7FF9B419" w14:textId="77777777" w:rsidR="0064340D" w:rsidRDefault="0064340D">
      <w:pPr>
        <w:pStyle w:val="Title"/>
        <w:spacing w:after="0"/>
        <w:jc w:val="both"/>
        <w:rPr>
          <w:rFonts w:ascii="Arial" w:hAnsi="Arial" w:cs="Arial"/>
        </w:rPr>
      </w:pPr>
    </w:p>
    <w:p w14:paraId="0E8E5B53" w14:textId="77777777" w:rsidR="00580F40" w:rsidRDefault="00AF2BFC">
      <w:pPr>
        <w:pStyle w:val="Author"/>
        <w:spacing w:line="240" w:lineRule="auto"/>
        <w:rPr>
          <w:rFonts w:ascii="Arial" w:hAnsi="Arial" w:cs="Arial"/>
          <w:bCs/>
          <w:iCs/>
          <w:kern w:val="28"/>
          <w:sz w:val="36"/>
        </w:rPr>
      </w:pPr>
      <w:r>
        <w:rPr>
          <w:rFonts w:ascii="Arial" w:hAnsi="Arial"/>
          <w:bCs/>
          <w:iCs/>
          <w:kern w:val="28"/>
          <w:sz w:val="36"/>
        </w:rPr>
        <w:t>Motivational Leadership and Teacher Performance in Nigerian Public Secondary Schools: Evidence from Aguata Local Government Area</w:t>
      </w:r>
    </w:p>
    <w:p w14:paraId="30E6AA16" w14:textId="77777777" w:rsidR="00580F40" w:rsidRDefault="00580F40">
      <w:pPr>
        <w:pStyle w:val="Author"/>
        <w:spacing w:line="240" w:lineRule="auto"/>
        <w:jc w:val="both"/>
        <w:rPr>
          <w:rFonts w:ascii="Arial" w:hAnsi="Arial" w:cs="Arial"/>
          <w:sz w:val="36"/>
        </w:rPr>
      </w:pPr>
    </w:p>
    <w:p w14:paraId="534AC3BB" w14:textId="58C05F2D" w:rsidR="00151EA8" w:rsidRDefault="00151EA8" w:rsidP="00151EA8">
      <w:pPr>
        <w:jc w:val="right"/>
        <w:rPr>
          <w:sz w:val="18"/>
          <w:lang w:val="en-IN"/>
        </w:rPr>
      </w:pPr>
    </w:p>
    <w:p w14:paraId="671014E4" w14:textId="6EFE5CF8" w:rsidR="00536074" w:rsidRDefault="00536074" w:rsidP="00151EA8">
      <w:pPr>
        <w:jc w:val="right"/>
        <w:rPr>
          <w:sz w:val="18"/>
          <w:lang w:val="en-IN"/>
        </w:rPr>
      </w:pPr>
    </w:p>
    <w:p w14:paraId="2F4196BF" w14:textId="0240F296" w:rsidR="00536074" w:rsidRDefault="00536074" w:rsidP="00151EA8">
      <w:pPr>
        <w:jc w:val="right"/>
        <w:rPr>
          <w:sz w:val="18"/>
          <w:lang w:val="en-IN"/>
        </w:rPr>
      </w:pPr>
    </w:p>
    <w:p w14:paraId="10A705C3" w14:textId="77777777" w:rsidR="00536074" w:rsidRDefault="00536074" w:rsidP="00151EA8">
      <w:pPr>
        <w:jc w:val="right"/>
        <w:rPr>
          <w:sz w:val="18"/>
          <w:lang w:val="en-IN"/>
        </w:rPr>
      </w:pPr>
    </w:p>
    <w:p w14:paraId="7643B592" w14:textId="77777777" w:rsidR="00151EA8" w:rsidRDefault="00151EA8" w:rsidP="00151EA8">
      <w:pPr>
        <w:jc w:val="right"/>
        <w:rPr>
          <w:sz w:val="18"/>
          <w:lang w:val="en-IN"/>
        </w:rPr>
      </w:pPr>
    </w:p>
    <w:p w14:paraId="1E999DAC" w14:textId="77777777" w:rsidR="00151EA8" w:rsidRDefault="00151EA8" w:rsidP="00151EA8">
      <w:pPr>
        <w:jc w:val="right"/>
        <w:rPr>
          <w:sz w:val="18"/>
          <w:lang w:val="en-IN"/>
        </w:rPr>
      </w:pPr>
    </w:p>
    <w:p w14:paraId="31B34C74" w14:textId="7BBE115A" w:rsidR="00151EA8" w:rsidRDefault="00151EA8">
      <w:pPr>
        <w:pStyle w:val="Affiliation"/>
        <w:spacing w:after="0" w:line="240" w:lineRule="auto"/>
        <w:rPr>
          <w:rFonts w:ascii="Arial" w:hAnsi="Arial" w:cs="Arial"/>
          <w:i/>
        </w:rPr>
      </w:pPr>
    </w:p>
    <w:p w14:paraId="4C600DE1" w14:textId="77777777" w:rsidR="00151EA8" w:rsidRDefault="00151EA8">
      <w:pPr>
        <w:pStyle w:val="Affiliation"/>
        <w:spacing w:after="0" w:line="240" w:lineRule="auto"/>
        <w:rPr>
          <w:rFonts w:ascii="Arial" w:hAnsi="Arial" w:cs="Arial"/>
          <w:i/>
        </w:rPr>
      </w:pPr>
    </w:p>
    <w:p w14:paraId="22634A0E" w14:textId="77777777" w:rsidR="00580F40" w:rsidRDefault="00580F40">
      <w:pPr>
        <w:pStyle w:val="Affiliation"/>
        <w:spacing w:after="0" w:line="240" w:lineRule="auto"/>
        <w:jc w:val="both"/>
        <w:rPr>
          <w:rFonts w:ascii="Arial" w:hAnsi="Arial" w:cs="Arial"/>
        </w:rPr>
      </w:pPr>
    </w:p>
    <w:p w14:paraId="3BC1CE51" w14:textId="77777777" w:rsidR="00580F40" w:rsidRDefault="00580F40">
      <w:pPr>
        <w:pStyle w:val="Affiliation"/>
        <w:spacing w:after="0" w:line="240" w:lineRule="auto"/>
        <w:jc w:val="both"/>
        <w:rPr>
          <w:rFonts w:ascii="Arial" w:hAnsi="Arial" w:cs="Arial"/>
        </w:rPr>
      </w:pPr>
    </w:p>
    <w:p w14:paraId="002A0235" w14:textId="77777777" w:rsidR="00580F40" w:rsidRDefault="00D64C65">
      <w:pPr>
        <w:pStyle w:val="Copyright"/>
        <w:spacing w:after="0" w:line="240" w:lineRule="auto"/>
        <w:jc w:val="both"/>
        <w:rPr>
          <w:rFonts w:ascii="Arial" w:hAnsi="Arial" w:cs="Arial"/>
        </w:rPr>
        <w:sectPr w:rsidR="00580F40" w:rsidSect="00536074">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4A8A1F8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AF2BFC">
        <w:rPr>
          <w:rFonts w:ascii="Arial" w:hAnsi="Arial" w:cs="Arial"/>
        </w:rPr>
        <w:t>.</w:t>
      </w:r>
    </w:p>
    <w:p w14:paraId="3DE4DB03" w14:textId="77777777" w:rsidR="00580F40" w:rsidRDefault="00AF2BFC">
      <w:pPr>
        <w:pStyle w:val="AbstHead"/>
        <w:spacing w:after="0"/>
        <w:jc w:val="both"/>
        <w:rPr>
          <w:rFonts w:ascii="Arial" w:hAnsi="Arial" w:cs="Arial"/>
        </w:rPr>
      </w:pPr>
      <w:r>
        <w:rPr>
          <w:rFonts w:ascii="Arial" w:hAnsi="Arial" w:cs="Arial"/>
        </w:rPr>
        <w:t>ABSTRACT</w:t>
      </w:r>
    </w:p>
    <w:p w14:paraId="3DA3E7C9" w14:textId="77777777" w:rsidR="00580F40" w:rsidRDefault="00580F4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580F40" w14:paraId="5762E9E6" w14:textId="77777777">
        <w:tc>
          <w:tcPr>
            <w:tcW w:w="9576" w:type="dxa"/>
            <w:shd w:val="clear" w:color="auto" w:fill="F2F2F2"/>
          </w:tcPr>
          <w:p w14:paraId="60F13FBA" w14:textId="77777777" w:rsidR="00580F40" w:rsidRDefault="00AF2BFC">
            <w:pPr>
              <w:pStyle w:val="Body"/>
              <w:spacing w:after="0"/>
              <w:rPr>
                <w:rFonts w:ascii="Arial" w:eastAsia="Calibri" w:hAnsi="Arial"/>
                <w:szCs w:val="22"/>
              </w:rPr>
            </w:pPr>
            <w:r>
              <w:rPr>
                <w:rFonts w:ascii="Arial Bold" w:eastAsia="Calibri" w:hAnsi="Arial Bold" w:cs="Arial Bold"/>
                <w:b/>
                <w:bCs/>
                <w:szCs w:val="22"/>
              </w:rPr>
              <w:t>Aims</w:t>
            </w:r>
            <w:r>
              <w:rPr>
                <w:rFonts w:ascii="Arial" w:eastAsia="Calibri" w:hAnsi="Arial"/>
                <w:szCs w:val="22"/>
              </w:rPr>
              <w:t>:</w:t>
            </w:r>
          </w:p>
          <w:p w14:paraId="32D26E03" w14:textId="77777777" w:rsidR="00580F40" w:rsidRDefault="00AF2BFC">
            <w:pPr>
              <w:pStyle w:val="Body"/>
              <w:spacing w:after="0"/>
              <w:rPr>
                <w:rFonts w:ascii="Arial" w:eastAsia="Calibri" w:hAnsi="Arial"/>
                <w:szCs w:val="22"/>
              </w:rPr>
            </w:pPr>
            <w:r>
              <w:rPr>
                <w:rFonts w:ascii="Arial" w:eastAsia="Calibri" w:hAnsi="Arial"/>
                <w:szCs w:val="22"/>
              </w:rPr>
              <w:t>The study investigated the influence of motivational leadership strategies employed by principals on teacher performance in public secondary schools in Aguata Local Government Area of Anambra State, Nigeria. It aimed to identify the specific motivational strategies used by principals, examine how these strategies affect teacher performance, assess the resulting impact on student academic outcomes, and highlight problems arising from inadequate teacher motivation.</w:t>
            </w:r>
          </w:p>
          <w:p w14:paraId="039B4BF8" w14:textId="77777777" w:rsidR="00580F40" w:rsidRDefault="00580F40">
            <w:pPr>
              <w:pStyle w:val="Body"/>
              <w:spacing w:after="0"/>
              <w:rPr>
                <w:rFonts w:ascii="Arial" w:eastAsia="Calibri" w:hAnsi="Arial"/>
                <w:szCs w:val="22"/>
              </w:rPr>
            </w:pPr>
          </w:p>
          <w:p w14:paraId="7E23A071" w14:textId="77777777" w:rsidR="00580F40" w:rsidRDefault="00AF2BFC">
            <w:pPr>
              <w:pStyle w:val="Body"/>
              <w:spacing w:after="0"/>
              <w:rPr>
                <w:rFonts w:ascii="Arial Bold" w:eastAsia="Calibri" w:hAnsi="Arial Bold" w:cs="Arial Bold"/>
                <w:b/>
                <w:bCs/>
                <w:szCs w:val="22"/>
              </w:rPr>
            </w:pPr>
            <w:r>
              <w:rPr>
                <w:rFonts w:ascii="Arial Bold" w:eastAsia="Calibri" w:hAnsi="Arial Bold" w:cs="Arial Bold"/>
                <w:b/>
                <w:bCs/>
                <w:szCs w:val="22"/>
              </w:rPr>
              <w:t>Study Design:</w:t>
            </w:r>
          </w:p>
          <w:p w14:paraId="2FD279A0" w14:textId="77777777" w:rsidR="00580F40" w:rsidRDefault="00AF2BFC">
            <w:pPr>
              <w:pStyle w:val="Body"/>
              <w:spacing w:after="0"/>
              <w:rPr>
                <w:rFonts w:ascii="Arial" w:eastAsia="Calibri" w:hAnsi="Arial"/>
                <w:szCs w:val="22"/>
              </w:rPr>
            </w:pPr>
            <w:r>
              <w:rPr>
                <w:rFonts w:ascii="Arial" w:eastAsia="Calibri" w:hAnsi="Arial"/>
                <w:szCs w:val="22"/>
              </w:rPr>
              <w:t xml:space="preserve">A descriptive survey research design was adopted for the study. This design was appropriate for gathering opinions, </w:t>
            </w:r>
            <w:proofErr w:type="spellStart"/>
            <w:r>
              <w:rPr>
                <w:rFonts w:ascii="Arial" w:eastAsia="Calibri" w:hAnsi="Arial"/>
                <w:szCs w:val="22"/>
              </w:rPr>
              <w:t>behaviours</w:t>
            </w:r>
            <w:proofErr w:type="spellEnd"/>
            <w:r>
              <w:rPr>
                <w:rFonts w:ascii="Arial" w:eastAsia="Calibri" w:hAnsi="Arial"/>
                <w:szCs w:val="22"/>
              </w:rPr>
              <w:t>, and perceptions of teachers and principals regarding motivational leadership practices and their impact on school performance.</w:t>
            </w:r>
          </w:p>
          <w:p w14:paraId="359400B5" w14:textId="77777777" w:rsidR="00580F40" w:rsidRDefault="00580F40">
            <w:pPr>
              <w:pStyle w:val="Body"/>
              <w:spacing w:after="0"/>
              <w:rPr>
                <w:rFonts w:ascii="Arial" w:eastAsia="Calibri" w:hAnsi="Arial"/>
                <w:szCs w:val="22"/>
              </w:rPr>
            </w:pPr>
          </w:p>
          <w:p w14:paraId="40C7B97F" w14:textId="77777777" w:rsidR="00580F40" w:rsidRDefault="00AF2BFC">
            <w:pPr>
              <w:pStyle w:val="Body"/>
              <w:spacing w:after="0"/>
              <w:rPr>
                <w:rFonts w:ascii="Arial Bold" w:eastAsia="Calibri" w:hAnsi="Arial Bold" w:cs="Arial Bold"/>
                <w:b/>
                <w:bCs/>
                <w:szCs w:val="22"/>
              </w:rPr>
            </w:pPr>
            <w:r>
              <w:rPr>
                <w:rFonts w:ascii="Arial Bold" w:eastAsia="Calibri" w:hAnsi="Arial Bold" w:cs="Arial Bold"/>
                <w:b/>
                <w:bCs/>
                <w:szCs w:val="22"/>
              </w:rPr>
              <w:t>Methodology:</w:t>
            </w:r>
          </w:p>
          <w:p w14:paraId="2E9752A2" w14:textId="77777777" w:rsidR="00580F40" w:rsidRDefault="00AF2BFC">
            <w:pPr>
              <w:pStyle w:val="Body"/>
              <w:spacing w:after="0"/>
              <w:rPr>
                <w:rFonts w:ascii="Arial" w:eastAsia="Calibri" w:hAnsi="Arial"/>
                <w:szCs w:val="22"/>
              </w:rPr>
            </w:pPr>
            <w:r>
              <w:rPr>
                <w:rFonts w:ascii="Arial" w:eastAsia="Calibri" w:hAnsi="Arial"/>
                <w:szCs w:val="22"/>
              </w:rPr>
              <w:t xml:space="preserve">The population consisted of 21 principals and 300 teachers in the 21 public secondary schools in Aguata LGA. Using simple random sampling, a sample size of 160 respondents (11 principals and 149 teachers) was selected. Data were collected using a validated 20-item structured questionnaire and </w:t>
            </w:r>
            <w:proofErr w:type="spellStart"/>
            <w:r>
              <w:rPr>
                <w:rFonts w:ascii="Arial" w:eastAsia="Calibri" w:hAnsi="Arial"/>
                <w:szCs w:val="22"/>
              </w:rPr>
              <w:t>analysed</w:t>
            </w:r>
            <w:proofErr w:type="spellEnd"/>
            <w:r>
              <w:rPr>
                <w:rFonts w:ascii="Arial" w:eastAsia="Calibri" w:hAnsi="Arial"/>
                <w:szCs w:val="22"/>
              </w:rPr>
              <w:t xml:space="preserve"> using mean statistics with a decision benchmark of 2.50 for acceptance. The instrument was reviewed by three experts to ensure content validity before administration.</w:t>
            </w:r>
          </w:p>
          <w:p w14:paraId="5CB9FDE8" w14:textId="77777777" w:rsidR="00580F40" w:rsidRDefault="00580F40">
            <w:pPr>
              <w:pStyle w:val="Body"/>
              <w:spacing w:after="0"/>
              <w:rPr>
                <w:rFonts w:ascii="Arial" w:eastAsia="Calibri" w:hAnsi="Arial"/>
                <w:szCs w:val="22"/>
              </w:rPr>
            </w:pPr>
          </w:p>
          <w:p w14:paraId="090D32A8" w14:textId="77777777" w:rsidR="00580F40" w:rsidRDefault="00AF2BFC">
            <w:pPr>
              <w:pStyle w:val="Body"/>
              <w:spacing w:after="0"/>
              <w:rPr>
                <w:rFonts w:ascii="Arial Bold" w:eastAsia="Calibri" w:hAnsi="Arial Bold" w:cs="Arial Bold"/>
                <w:b/>
                <w:bCs/>
                <w:szCs w:val="22"/>
              </w:rPr>
            </w:pPr>
            <w:r>
              <w:rPr>
                <w:rFonts w:ascii="Arial Bold" w:eastAsia="Calibri" w:hAnsi="Arial Bold" w:cs="Arial Bold"/>
                <w:b/>
                <w:bCs/>
                <w:szCs w:val="22"/>
              </w:rPr>
              <w:t>Results:</w:t>
            </w:r>
          </w:p>
          <w:p w14:paraId="0D78B5BC" w14:textId="77777777" w:rsidR="00580F40" w:rsidRDefault="00AF2BFC">
            <w:pPr>
              <w:pStyle w:val="Body"/>
              <w:spacing w:after="0"/>
              <w:rPr>
                <w:rFonts w:ascii="Arial" w:eastAsia="Calibri" w:hAnsi="Arial"/>
                <w:szCs w:val="22"/>
              </w:rPr>
            </w:pPr>
            <w:r>
              <w:rPr>
                <w:rFonts w:ascii="Arial" w:eastAsia="Calibri" w:hAnsi="Arial"/>
                <w:szCs w:val="22"/>
              </w:rPr>
              <w:t xml:space="preserve">Findings showed that principals employ a variety of motivational strategies including recommending teachers for promotion, </w:t>
            </w:r>
            <w:proofErr w:type="spellStart"/>
            <w:r>
              <w:rPr>
                <w:rFonts w:ascii="Arial" w:eastAsia="Calibri" w:hAnsi="Arial"/>
                <w:szCs w:val="22"/>
              </w:rPr>
              <w:t>organising</w:t>
            </w:r>
            <w:proofErr w:type="spellEnd"/>
            <w:r>
              <w:rPr>
                <w:rFonts w:ascii="Arial" w:eastAsia="Calibri" w:hAnsi="Arial"/>
                <w:szCs w:val="22"/>
              </w:rPr>
              <w:t xml:space="preserve"> seminars and workshops, </w:t>
            </w:r>
            <w:proofErr w:type="spellStart"/>
            <w:r>
              <w:rPr>
                <w:rFonts w:ascii="Arial" w:eastAsia="Calibri" w:hAnsi="Arial"/>
                <w:szCs w:val="22"/>
              </w:rPr>
              <w:t>recognising</w:t>
            </w:r>
            <w:proofErr w:type="spellEnd"/>
            <w:r>
              <w:rPr>
                <w:rFonts w:ascii="Arial" w:eastAsia="Calibri" w:hAnsi="Arial"/>
                <w:szCs w:val="22"/>
              </w:rPr>
              <w:t xml:space="preserve"> outstanding staff, involving teachers in decision-making, and providing instructional materials. Motivation was found to significantly improve teacher morale, instructional quality, commitment, and overall job performance. Furthermore, motivated teachers contributed to better student engagement, improved academic outcomes, and more effective classroom environments. Conversely, lack of motivation resulted in absenteeism, reduced productivity, frustration, nonchalant attitudes, poor teaching quality, and weakened student performance.</w:t>
            </w:r>
          </w:p>
          <w:p w14:paraId="4D46F1E3" w14:textId="77777777" w:rsidR="00580F40" w:rsidRDefault="00580F40">
            <w:pPr>
              <w:pStyle w:val="Body"/>
              <w:spacing w:after="0"/>
              <w:rPr>
                <w:rFonts w:ascii="Arial" w:eastAsia="Calibri" w:hAnsi="Arial"/>
                <w:szCs w:val="22"/>
              </w:rPr>
            </w:pPr>
          </w:p>
          <w:p w14:paraId="772AA9E4" w14:textId="77777777" w:rsidR="00580F40" w:rsidRDefault="00AF2BFC">
            <w:pPr>
              <w:pStyle w:val="Body"/>
              <w:spacing w:after="0"/>
              <w:rPr>
                <w:rFonts w:ascii="Arial Bold" w:eastAsia="Calibri" w:hAnsi="Arial Bold" w:cs="Arial Bold"/>
                <w:b/>
                <w:bCs/>
                <w:szCs w:val="22"/>
              </w:rPr>
            </w:pPr>
            <w:r>
              <w:rPr>
                <w:rFonts w:ascii="Arial Bold" w:eastAsia="Calibri" w:hAnsi="Arial Bold" w:cs="Arial Bold"/>
                <w:b/>
                <w:bCs/>
                <w:szCs w:val="22"/>
              </w:rPr>
              <w:lastRenderedPageBreak/>
              <w:t>Conclusion:</w:t>
            </w:r>
          </w:p>
          <w:p w14:paraId="74F92AB3" w14:textId="77777777" w:rsidR="00580F40" w:rsidRDefault="00AF2BFC">
            <w:pPr>
              <w:pStyle w:val="Body"/>
              <w:spacing w:after="0"/>
              <w:rPr>
                <w:rFonts w:ascii="Arial" w:eastAsia="Calibri" w:hAnsi="Arial" w:cs="Arial"/>
                <w:szCs w:val="22"/>
              </w:rPr>
            </w:pPr>
            <w:r>
              <w:rPr>
                <w:rFonts w:ascii="Arial" w:eastAsia="Calibri" w:hAnsi="Arial"/>
                <w:szCs w:val="22"/>
              </w:rPr>
              <w:t>The study concludes that motivational leadership is essential for improving teacher performance and student learning outcomes in public secondary schools. Principals who adopt diverse and consistent motivational strategies create positive school climates that strengthen teacher commitment and enhance educational quality. The study recommends that principals receive leadership training focused on teacher motivation, and that government support be improved to enable effective resource provision, professional development, and sustained teacher encouragement.</w:t>
            </w:r>
          </w:p>
        </w:tc>
      </w:tr>
    </w:tbl>
    <w:p w14:paraId="1629BA9C" w14:textId="77777777" w:rsidR="00580F40" w:rsidRDefault="00580F40">
      <w:pPr>
        <w:pStyle w:val="Body"/>
        <w:spacing w:after="0"/>
        <w:rPr>
          <w:rFonts w:ascii="Arial" w:hAnsi="Arial" w:cs="Arial"/>
          <w:i/>
        </w:rPr>
      </w:pPr>
    </w:p>
    <w:p w14:paraId="10A33E6D" w14:textId="77777777" w:rsidR="00580F40" w:rsidRDefault="00AF2BFC">
      <w:pPr>
        <w:pStyle w:val="Body"/>
        <w:spacing w:after="0"/>
        <w:rPr>
          <w:rFonts w:ascii="Arial" w:hAnsi="Arial" w:cs="Arial"/>
          <w:i/>
        </w:rPr>
      </w:pPr>
      <w:r>
        <w:rPr>
          <w:rFonts w:ascii="Arial" w:hAnsi="Arial" w:cs="Arial"/>
          <w:i/>
        </w:rPr>
        <w:t xml:space="preserve">Keywords: </w:t>
      </w:r>
      <w:r>
        <w:rPr>
          <w:rFonts w:ascii="Arial" w:hAnsi="Arial"/>
          <w:i/>
        </w:rPr>
        <w:t>Teacher motivation; Motivational leadership; Principal leadership; Teacher performance; School effectiveness; Student academic achievement; Educational management; Nigeria.</w:t>
      </w:r>
    </w:p>
    <w:p w14:paraId="0480EAF6" w14:textId="77777777" w:rsidR="00580F40" w:rsidRDefault="00580F40">
      <w:pPr>
        <w:pStyle w:val="Body"/>
        <w:spacing w:after="0"/>
        <w:rPr>
          <w:rFonts w:ascii="Arial" w:hAnsi="Arial" w:cs="Arial"/>
          <w:i/>
          <w:sz w:val="18"/>
        </w:rPr>
      </w:pPr>
    </w:p>
    <w:p w14:paraId="62DC8298" w14:textId="77777777" w:rsidR="00580F40" w:rsidRDefault="00580F40">
      <w:pPr>
        <w:pStyle w:val="Body"/>
        <w:spacing w:after="0"/>
        <w:rPr>
          <w:rFonts w:ascii="Arial" w:hAnsi="Arial" w:cs="Arial"/>
          <w:i/>
        </w:rPr>
      </w:pPr>
    </w:p>
    <w:p w14:paraId="5C03A79A" w14:textId="77777777" w:rsidR="00580F40" w:rsidRDefault="00AF2BFC">
      <w:pPr>
        <w:pStyle w:val="AbstHead"/>
        <w:spacing w:after="0"/>
        <w:jc w:val="both"/>
        <w:rPr>
          <w:rFonts w:ascii="Arial" w:hAnsi="Arial" w:cs="Arial"/>
        </w:rPr>
      </w:pPr>
      <w:r>
        <w:rPr>
          <w:rFonts w:ascii="Arial" w:hAnsi="Arial" w:cs="Arial"/>
        </w:rPr>
        <w:t xml:space="preserve">1. INTRODUCTION </w:t>
      </w:r>
    </w:p>
    <w:p w14:paraId="6628BD99" w14:textId="77777777" w:rsidR="00580F40" w:rsidRDefault="00AF2BFC">
      <w:pPr>
        <w:pStyle w:val="Body"/>
        <w:spacing w:after="0"/>
        <w:rPr>
          <w:rFonts w:ascii="Arial" w:hAnsi="Arial"/>
        </w:rPr>
      </w:pPr>
      <w:r>
        <w:rPr>
          <w:rFonts w:ascii="Arial" w:hAnsi="Arial"/>
        </w:rPr>
        <w:t xml:space="preserve">The quality of any educational system depends largely on the competence, morale and motivation of its teachers. Teachers remain the central drivers of the teaching and learning process, and their instructional effectiveness directly shapes the academic achievement, </w:t>
      </w:r>
      <w:proofErr w:type="spellStart"/>
      <w:r>
        <w:rPr>
          <w:rFonts w:ascii="Arial" w:hAnsi="Arial"/>
        </w:rPr>
        <w:t>behaviour</w:t>
      </w:r>
      <w:proofErr w:type="spellEnd"/>
      <w:r>
        <w:rPr>
          <w:rFonts w:ascii="Arial" w:hAnsi="Arial"/>
        </w:rPr>
        <w:t xml:space="preserve"> and long-term learning outcomes of students. Numerous scholars argue that no education system can rise above the quality and commitment of its teachers (</w:t>
      </w:r>
      <w:proofErr w:type="spellStart"/>
      <w:r>
        <w:rPr>
          <w:rFonts w:ascii="Arial" w:hAnsi="Arial"/>
        </w:rPr>
        <w:t>Ukeje</w:t>
      </w:r>
      <w:proofErr w:type="spellEnd"/>
      <w:r>
        <w:rPr>
          <w:rFonts w:ascii="Arial" w:hAnsi="Arial"/>
        </w:rPr>
        <w:t xml:space="preserve">, 1996; </w:t>
      </w:r>
      <w:proofErr w:type="spellStart"/>
      <w:r>
        <w:rPr>
          <w:rFonts w:ascii="Arial" w:hAnsi="Arial"/>
        </w:rPr>
        <w:t>Ofojebe</w:t>
      </w:r>
      <w:proofErr w:type="spellEnd"/>
      <w:r>
        <w:rPr>
          <w:rFonts w:ascii="Arial" w:hAnsi="Arial"/>
        </w:rPr>
        <w:t xml:space="preserve"> &amp; </w:t>
      </w:r>
      <w:proofErr w:type="spellStart"/>
      <w:r>
        <w:rPr>
          <w:rFonts w:ascii="Arial" w:hAnsi="Arial"/>
        </w:rPr>
        <w:t>Ezeugbor</w:t>
      </w:r>
      <w:proofErr w:type="spellEnd"/>
      <w:r>
        <w:rPr>
          <w:rFonts w:ascii="Arial" w:hAnsi="Arial"/>
        </w:rPr>
        <w:t>, 2010), reinforcing the idea that teacher effectiveness is a prerequisite for educational improvement. In recent decades, however, Nigeria has witnessed repeated concerns about declining educational standards, particularly in public secondary schools. National reports, examination outcomes and policy reviews have linked this decline to chronic teacher demotivation, weak school-level leadership and suboptimal working environments (</w:t>
      </w:r>
      <w:proofErr w:type="spellStart"/>
      <w:r>
        <w:rPr>
          <w:rFonts w:ascii="Arial" w:hAnsi="Arial"/>
        </w:rPr>
        <w:t>Afe</w:t>
      </w:r>
      <w:proofErr w:type="spellEnd"/>
      <w:r>
        <w:rPr>
          <w:rFonts w:ascii="Arial" w:hAnsi="Arial"/>
        </w:rPr>
        <w:t xml:space="preserve">, 2001; </w:t>
      </w:r>
      <w:proofErr w:type="spellStart"/>
      <w:r>
        <w:rPr>
          <w:rFonts w:ascii="Arial" w:hAnsi="Arial"/>
        </w:rPr>
        <w:t>Ejiogu</w:t>
      </w:r>
      <w:proofErr w:type="spellEnd"/>
      <w:r>
        <w:rPr>
          <w:rFonts w:ascii="Arial" w:hAnsi="Arial"/>
        </w:rPr>
        <w:t xml:space="preserve">, 2006; </w:t>
      </w:r>
      <w:proofErr w:type="spellStart"/>
      <w:r>
        <w:rPr>
          <w:rFonts w:ascii="Arial" w:hAnsi="Arial"/>
        </w:rPr>
        <w:t>Ololube</w:t>
      </w:r>
      <w:proofErr w:type="spellEnd"/>
      <w:r>
        <w:rPr>
          <w:rFonts w:ascii="Arial" w:hAnsi="Arial"/>
        </w:rPr>
        <w:t>, 2006).</w:t>
      </w:r>
    </w:p>
    <w:p w14:paraId="38B14D7E" w14:textId="77777777" w:rsidR="00580F40" w:rsidRDefault="00AF2BFC">
      <w:pPr>
        <w:pStyle w:val="Body"/>
        <w:spacing w:after="0"/>
        <w:rPr>
          <w:rFonts w:ascii="Arial" w:hAnsi="Arial"/>
        </w:rPr>
      </w:pPr>
      <w:r>
        <w:rPr>
          <w:rFonts w:ascii="Arial" w:hAnsi="Arial"/>
        </w:rPr>
        <w:t>Teacher motivation has therefore become a central topic in educational research and policy discourse in Nigeria. Motivation influences teachers’ willingness to adopt innovative methods, their level of commitment, punctuality, classroom management skills, and the extent to which they provide meaningful support to their students. As Bennell and Akyeampong (2007) observe, teacher motivation is a critical yet often neglected determinant of educational quality in Sub-Saharan Africa. When teachers feel valued, experience professional growth, and receive recognition for their efforts, they are more enthusiastic and dedicated to their work. Conversely, persistent demotivation may lead to absenteeism, reduced productivity, and diminished instructional effectiveness (Yusuf &amp; Adigun, 2010).</w:t>
      </w:r>
    </w:p>
    <w:p w14:paraId="6F2C6695" w14:textId="77777777" w:rsidR="00580F40" w:rsidRDefault="00AF2BFC">
      <w:pPr>
        <w:pStyle w:val="Body"/>
        <w:spacing w:after="0"/>
        <w:rPr>
          <w:rFonts w:ascii="Arial" w:hAnsi="Arial"/>
        </w:rPr>
      </w:pPr>
      <w:r>
        <w:rPr>
          <w:rFonts w:ascii="Arial" w:hAnsi="Arial"/>
        </w:rPr>
        <w:t xml:space="preserve">Leadership at the school level plays a decisive role in shaping teacher </w:t>
      </w:r>
      <w:proofErr w:type="spellStart"/>
      <w:r>
        <w:rPr>
          <w:rFonts w:ascii="Arial" w:hAnsi="Arial"/>
        </w:rPr>
        <w:t>behaviour</w:t>
      </w:r>
      <w:proofErr w:type="spellEnd"/>
      <w:r>
        <w:rPr>
          <w:rFonts w:ascii="Arial" w:hAnsi="Arial"/>
        </w:rPr>
        <w:t xml:space="preserve"> and motivation. Principals occupy a pivotal position as administrative heads and instructional leaders, and their leadership styles influence the </w:t>
      </w:r>
      <w:proofErr w:type="spellStart"/>
      <w:r>
        <w:rPr>
          <w:rFonts w:ascii="Arial" w:hAnsi="Arial"/>
        </w:rPr>
        <w:t>organisational</w:t>
      </w:r>
      <w:proofErr w:type="spellEnd"/>
      <w:r>
        <w:rPr>
          <w:rFonts w:ascii="Arial" w:hAnsi="Arial"/>
        </w:rPr>
        <w:t xml:space="preserve"> climate, professional culture and </w:t>
      </w:r>
      <w:proofErr w:type="spellStart"/>
      <w:r>
        <w:rPr>
          <w:rFonts w:ascii="Arial" w:hAnsi="Arial"/>
        </w:rPr>
        <w:t>behavioural</w:t>
      </w:r>
      <w:proofErr w:type="spellEnd"/>
      <w:r>
        <w:rPr>
          <w:rFonts w:ascii="Arial" w:hAnsi="Arial"/>
        </w:rPr>
        <w:t xml:space="preserve"> norms within the school (Hallinger, 2011; Bush, 2020). In Nigeria, public secondary school principals are responsible for supervision, staff development, resource allocation and creating a supportive environment where teachers can perform effectively. The extent to which principals demonstrate motivational leadership (leadership that encourages, guides, </w:t>
      </w:r>
      <w:proofErr w:type="spellStart"/>
      <w:r>
        <w:rPr>
          <w:rFonts w:ascii="Arial" w:hAnsi="Arial"/>
        </w:rPr>
        <w:t>recognises</w:t>
      </w:r>
      <w:proofErr w:type="spellEnd"/>
      <w:r>
        <w:rPr>
          <w:rFonts w:ascii="Arial" w:hAnsi="Arial"/>
        </w:rPr>
        <w:t xml:space="preserve"> and supports teachers) significantly affects teacher engagement and performance. Studies conducted in Nigeria and elsewhere consistently show that principals who adopt democratic, transformational or participatory leadership styles tend to achieve higher levels of teacher satisfaction and </w:t>
      </w:r>
      <w:proofErr w:type="spellStart"/>
      <w:r>
        <w:rPr>
          <w:rFonts w:ascii="Arial" w:hAnsi="Arial"/>
        </w:rPr>
        <w:t>organisational</w:t>
      </w:r>
      <w:proofErr w:type="spellEnd"/>
      <w:r>
        <w:rPr>
          <w:rFonts w:ascii="Arial" w:hAnsi="Arial"/>
        </w:rPr>
        <w:t xml:space="preserve"> effectiveness (</w:t>
      </w:r>
      <w:proofErr w:type="spellStart"/>
      <w:r>
        <w:rPr>
          <w:rFonts w:ascii="Arial" w:hAnsi="Arial"/>
        </w:rPr>
        <w:t>Nwagwu</w:t>
      </w:r>
      <w:proofErr w:type="spellEnd"/>
      <w:r>
        <w:rPr>
          <w:rFonts w:ascii="Arial" w:hAnsi="Arial"/>
        </w:rPr>
        <w:t xml:space="preserve">, 2004; Nguni, </w:t>
      </w:r>
      <w:proofErr w:type="spellStart"/>
      <w:r>
        <w:rPr>
          <w:rFonts w:ascii="Arial" w:hAnsi="Arial"/>
        </w:rPr>
        <w:t>Sleegers</w:t>
      </w:r>
      <w:proofErr w:type="spellEnd"/>
      <w:r>
        <w:rPr>
          <w:rFonts w:ascii="Arial" w:hAnsi="Arial"/>
        </w:rPr>
        <w:t xml:space="preserve"> &amp; </w:t>
      </w:r>
      <w:proofErr w:type="spellStart"/>
      <w:r>
        <w:rPr>
          <w:rFonts w:ascii="Arial" w:hAnsi="Arial"/>
        </w:rPr>
        <w:t>Denessen</w:t>
      </w:r>
      <w:proofErr w:type="spellEnd"/>
      <w:r>
        <w:rPr>
          <w:rFonts w:ascii="Arial" w:hAnsi="Arial"/>
        </w:rPr>
        <w:t>, 2006; Adeyemi, 2010).</w:t>
      </w:r>
    </w:p>
    <w:p w14:paraId="10B2CFC4" w14:textId="77777777" w:rsidR="00580F40" w:rsidRDefault="00AF2BFC">
      <w:pPr>
        <w:pStyle w:val="Body"/>
        <w:spacing w:after="0"/>
        <w:rPr>
          <w:rFonts w:ascii="Arial" w:hAnsi="Arial"/>
        </w:rPr>
      </w:pPr>
      <w:r>
        <w:rPr>
          <w:rFonts w:ascii="Arial" w:hAnsi="Arial"/>
        </w:rPr>
        <w:t xml:space="preserve">Motivation itself is a psychological mechanism that </w:t>
      </w:r>
      <w:proofErr w:type="spellStart"/>
      <w:r>
        <w:rPr>
          <w:rFonts w:ascii="Arial" w:hAnsi="Arial"/>
        </w:rPr>
        <w:t>energises</w:t>
      </w:r>
      <w:proofErr w:type="spellEnd"/>
      <w:r>
        <w:rPr>
          <w:rFonts w:ascii="Arial" w:hAnsi="Arial"/>
        </w:rPr>
        <w:t xml:space="preserve">, directs and sustains </w:t>
      </w:r>
      <w:proofErr w:type="spellStart"/>
      <w:r>
        <w:rPr>
          <w:rFonts w:ascii="Arial" w:hAnsi="Arial"/>
        </w:rPr>
        <w:t>behaviour</w:t>
      </w:r>
      <w:proofErr w:type="spellEnd"/>
      <w:r>
        <w:rPr>
          <w:rFonts w:ascii="Arial" w:hAnsi="Arial"/>
        </w:rPr>
        <w:t>. Within educational settings, teacher motivation encompasses both intrinsic factors, such as professional pride, autonomy and personal fulfilment, and extrinsic factors such as salaries, working conditions, promotion prospects, leadership support and recognition (Herzberg, 1966; Deci &amp; Ryan, 2000). When teachers feel psychologically and professionally supported, they show stronger dedication to teaching, adopt reflective practices and display greater commitment to student learning. Conversely, demotivating conditions tend to lower morale and undermine teaching quality.</w:t>
      </w:r>
    </w:p>
    <w:p w14:paraId="4EA6DDC2" w14:textId="77777777" w:rsidR="00580F40" w:rsidRDefault="00AF2BFC">
      <w:pPr>
        <w:pStyle w:val="Body"/>
        <w:spacing w:after="0"/>
        <w:rPr>
          <w:rFonts w:ascii="Arial" w:hAnsi="Arial"/>
        </w:rPr>
      </w:pPr>
      <w:r>
        <w:rPr>
          <w:rFonts w:ascii="Arial" w:hAnsi="Arial"/>
        </w:rPr>
        <w:t xml:space="preserve">Unfortunately, many Nigerian public secondary schools are </w:t>
      </w:r>
      <w:proofErr w:type="spellStart"/>
      <w:r>
        <w:rPr>
          <w:rFonts w:ascii="Arial" w:hAnsi="Arial"/>
        </w:rPr>
        <w:t>characterised</w:t>
      </w:r>
      <w:proofErr w:type="spellEnd"/>
      <w:r>
        <w:rPr>
          <w:rFonts w:ascii="Arial" w:hAnsi="Arial"/>
        </w:rPr>
        <w:t xml:space="preserve"> by systemic challenges that weaken teacher motivation. These include delayed or irregular salaries, inadequate professional development opportunities, limited access to teaching materials, overcrowded classrooms, infrastructural decay, insufficient supervision, and limited recognition for teachers’ efforts (</w:t>
      </w:r>
      <w:proofErr w:type="spellStart"/>
      <w:r>
        <w:rPr>
          <w:rFonts w:ascii="Arial" w:hAnsi="Arial"/>
        </w:rPr>
        <w:t>Ofojebe</w:t>
      </w:r>
      <w:proofErr w:type="spellEnd"/>
      <w:r>
        <w:rPr>
          <w:rFonts w:ascii="Arial" w:hAnsi="Arial"/>
        </w:rPr>
        <w:t xml:space="preserve"> &amp; </w:t>
      </w:r>
      <w:proofErr w:type="spellStart"/>
      <w:r>
        <w:rPr>
          <w:rFonts w:ascii="Arial" w:hAnsi="Arial"/>
        </w:rPr>
        <w:t>Ezeugbor</w:t>
      </w:r>
      <w:proofErr w:type="spellEnd"/>
      <w:r>
        <w:rPr>
          <w:rFonts w:ascii="Arial" w:hAnsi="Arial"/>
        </w:rPr>
        <w:t xml:space="preserve">, 2010; </w:t>
      </w:r>
      <w:proofErr w:type="spellStart"/>
      <w:r>
        <w:rPr>
          <w:rFonts w:ascii="Arial" w:hAnsi="Arial"/>
        </w:rPr>
        <w:t>Akiri</w:t>
      </w:r>
      <w:proofErr w:type="spellEnd"/>
      <w:r>
        <w:rPr>
          <w:rFonts w:ascii="Arial" w:hAnsi="Arial"/>
        </w:rPr>
        <w:t xml:space="preserve"> &amp; </w:t>
      </w:r>
      <w:proofErr w:type="spellStart"/>
      <w:r>
        <w:rPr>
          <w:rFonts w:ascii="Arial" w:hAnsi="Arial"/>
        </w:rPr>
        <w:t>Ugborugbo</w:t>
      </w:r>
      <w:proofErr w:type="spellEnd"/>
      <w:r>
        <w:rPr>
          <w:rFonts w:ascii="Arial" w:hAnsi="Arial"/>
        </w:rPr>
        <w:t xml:space="preserve">, 2009). In such environments, a principal’s leadership </w:t>
      </w:r>
      <w:proofErr w:type="spellStart"/>
      <w:r>
        <w:rPr>
          <w:rFonts w:ascii="Arial" w:hAnsi="Arial"/>
        </w:rPr>
        <w:t>behaviour</w:t>
      </w:r>
      <w:proofErr w:type="spellEnd"/>
      <w:r>
        <w:rPr>
          <w:rFonts w:ascii="Arial" w:hAnsi="Arial"/>
        </w:rPr>
        <w:t>, whether democratic, supportive, laissez-faire or authoritarian, often determines how teachers interpret their roles and how much effort they invest in their work. Research has shown that supportive leadership can buffer the negative effects of poor structural conditions, whereas autocratic or indifferent leadership tends to intensify teacher dissatisfaction (Ekundayo, 2010; Okonkwo &amp; Nnamdi, 2013).</w:t>
      </w:r>
    </w:p>
    <w:p w14:paraId="405A67B7" w14:textId="77777777" w:rsidR="00580F40" w:rsidRDefault="00AF2BFC">
      <w:pPr>
        <w:pStyle w:val="Body"/>
        <w:spacing w:after="0"/>
        <w:rPr>
          <w:rFonts w:ascii="Arial" w:hAnsi="Arial"/>
        </w:rPr>
      </w:pPr>
      <w:r>
        <w:rPr>
          <w:rFonts w:ascii="Arial" w:hAnsi="Arial"/>
        </w:rPr>
        <w:t xml:space="preserve">Although various studies have examined teacher motivation in Nigeria, many have focused broadly on </w:t>
      </w:r>
      <w:proofErr w:type="spellStart"/>
      <w:r>
        <w:rPr>
          <w:rFonts w:ascii="Arial" w:hAnsi="Arial"/>
        </w:rPr>
        <w:t>organisational</w:t>
      </w:r>
      <w:proofErr w:type="spellEnd"/>
      <w:r>
        <w:rPr>
          <w:rFonts w:ascii="Arial" w:hAnsi="Arial"/>
        </w:rPr>
        <w:t xml:space="preserve"> factors or general teacher welfare. Far fewer studies have explored the specific motivational strategies principals use and how these directly influence teacher performance, especially within the context of public secondary schools in smaller administrative units such as Aguata Local Government Area. This creates a crucial knowledge gap, considering that educational leadership practices can vary significantly across different localities due to cultural, economic and administrative differences.</w:t>
      </w:r>
    </w:p>
    <w:p w14:paraId="0DA5DDF9" w14:textId="77777777" w:rsidR="00580F40" w:rsidRDefault="00AF2BFC">
      <w:pPr>
        <w:pStyle w:val="Body"/>
        <w:spacing w:after="0"/>
        <w:rPr>
          <w:rFonts w:ascii="Arial" w:hAnsi="Arial" w:cs="Arial"/>
        </w:rPr>
      </w:pPr>
      <w:r>
        <w:rPr>
          <w:rFonts w:ascii="Arial" w:hAnsi="Arial"/>
        </w:rPr>
        <w:t xml:space="preserve">This study therefore investigates the motivational leadership strategies adopted by principals in Aguata LGA and examines how these strategies influence teacher performance and student academic outcomes. It also identifies the </w:t>
      </w:r>
      <w:r>
        <w:rPr>
          <w:rFonts w:ascii="Arial" w:hAnsi="Arial"/>
        </w:rPr>
        <w:lastRenderedPageBreak/>
        <w:t>problems that arise when teachers are not adequately motivated. By focusing on school-level leadership practices, the study contributes to a more nuanced understanding of teacher motivation dynamics in Nigerian public secondary schools. The findings will provide evidence-based insights for policymakers, school administrators and educational stakeholders seeking to improve school effectiveness, enhance teacher morale and ultimately raise educational standards through sustained motivational leadership.</w:t>
      </w:r>
    </w:p>
    <w:p w14:paraId="347E6ED1" w14:textId="77777777" w:rsidR="00580F40" w:rsidRDefault="00580F40">
      <w:pPr>
        <w:pStyle w:val="Body"/>
        <w:spacing w:after="0"/>
        <w:rPr>
          <w:rFonts w:ascii="Arial" w:hAnsi="Arial" w:cs="Arial"/>
        </w:rPr>
      </w:pPr>
    </w:p>
    <w:p w14:paraId="3DAB490F" w14:textId="77777777" w:rsidR="00580F40" w:rsidRDefault="00AF2BFC">
      <w:pPr>
        <w:pStyle w:val="AbstHead"/>
        <w:spacing w:after="0"/>
        <w:jc w:val="both"/>
        <w:rPr>
          <w:rFonts w:ascii="Arial" w:hAnsi="Arial" w:cs="Arial"/>
        </w:rPr>
      </w:pPr>
      <w:r>
        <w:rPr>
          <w:rFonts w:ascii="Arial" w:hAnsi="Arial" w:cs="Arial"/>
        </w:rPr>
        <w:t>2. methodology</w:t>
      </w:r>
    </w:p>
    <w:p w14:paraId="146D9B3E" w14:textId="77777777" w:rsidR="00580F40" w:rsidRDefault="00580F40">
      <w:pPr>
        <w:pStyle w:val="AbstHead"/>
        <w:spacing w:after="0"/>
        <w:jc w:val="both"/>
        <w:rPr>
          <w:rFonts w:ascii="Arial" w:hAnsi="Arial" w:cs="Arial"/>
        </w:rPr>
      </w:pPr>
    </w:p>
    <w:p w14:paraId="0425B4B7" w14:textId="77777777" w:rsidR="00580F40" w:rsidRDefault="00AF2BFC">
      <w:pPr>
        <w:pStyle w:val="Body"/>
        <w:spacing w:after="0"/>
        <w:rPr>
          <w:rFonts w:ascii="Arial Bold" w:hAnsi="Arial Bold" w:cs="Arial Bold"/>
          <w:b/>
          <w:bCs/>
          <w:sz w:val="22"/>
          <w:szCs w:val="22"/>
        </w:rPr>
      </w:pPr>
      <w:r>
        <w:rPr>
          <w:rFonts w:ascii="Arial Bold" w:hAnsi="Arial Bold" w:cs="Arial Bold"/>
          <w:b/>
          <w:bCs/>
          <w:sz w:val="22"/>
          <w:szCs w:val="22"/>
        </w:rPr>
        <w:t>2.1 Research Design</w:t>
      </w:r>
    </w:p>
    <w:p w14:paraId="0A9E101B" w14:textId="77777777" w:rsidR="00580F40" w:rsidRDefault="00AF2BFC">
      <w:pPr>
        <w:pStyle w:val="Body"/>
        <w:spacing w:after="0"/>
        <w:rPr>
          <w:rFonts w:ascii="Arial" w:hAnsi="Arial"/>
        </w:rPr>
      </w:pPr>
      <w:r>
        <w:rPr>
          <w:rFonts w:ascii="Arial" w:hAnsi="Arial"/>
        </w:rPr>
        <w:t xml:space="preserve">A descriptive survey research design was adopted. This design is suitable for studies that seek to collect data from a population, </w:t>
      </w:r>
      <w:proofErr w:type="spellStart"/>
      <w:r>
        <w:rPr>
          <w:rFonts w:ascii="Arial" w:hAnsi="Arial"/>
        </w:rPr>
        <w:t>analyse</w:t>
      </w:r>
      <w:proofErr w:type="spellEnd"/>
      <w:r>
        <w:rPr>
          <w:rFonts w:ascii="Arial" w:hAnsi="Arial"/>
        </w:rPr>
        <w:t xml:space="preserve"> their opinions or experiences, and describe patterns or relationships without manipulating variables. The design enabled the researcher to obtain views from teachers and principals regarding motivation and leadership practices in secondary schools.</w:t>
      </w:r>
    </w:p>
    <w:p w14:paraId="556B9169" w14:textId="77777777" w:rsidR="00580F40" w:rsidRDefault="00AF2BFC">
      <w:pPr>
        <w:pStyle w:val="Body"/>
        <w:spacing w:after="0"/>
        <w:rPr>
          <w:rFonts w:ascii="Arial Bold" w:hAnsi="Arial Bold" w:cs="Arial Bold"/>
          <w:b/>
          <w:bCs/>
          <w:sz w:val="22"/>
          <w:szCs w:val="22"/>
        </w:rPr>
      </w:pPr>
      <w:r>
        <w:rPr>
          <w:rFonts w:ascii="Arial Bold" w:hAnsi="Arial Bold" w:cs="Arial Bold"/>
          <w:b/>
          <w:bCs/>
          <w:sz w:val="22"/>
          <w:szCs w:val="22"/>
        </w:rPr>
        <w:t>2.2 Area of the Study</w:t>
      </w:r>
    </w:p>
    <w:p w14:paraId="48916E00" w14:textId="77777777" w:rsidR="00580F40" w:rsidRDefault="00AF2BFC">
      <w:pPr>
        <w:pStyle w:val="Body"/>
        <w:spacing w:after="0"/>
        <w:rPr>
          <w:rFonts w:ascii="Arial" w:hAnsi="Arial"/>
        </w:rPr>
      </w:pPr>
      <w:r>
        <w:rPr>
          <w:rFonts w:ascii="Arial" w:hAnsi="Arial"/>
        </w:rPr>
        <w:t xml:space="preserve">The study was conducted in Aguata Local Government Area of Anambra State, located in the south eastern region of Nigeria. The LGA comprises several towns including </w:t>
      </w:r>
      <w:proofErr w:type="spellStart"/>
      <w:r>
        <w:rPr>
          <w:rFonts w:ascii="Arial" w:hAnsi="Arial"/>
        </w:rPr>
        <w:t>Ekwulobia</w:t>
      </w:r>
      <w:proofErr w:type="spellEnd"/>
      <w:r>
        <w:rPr>
          <w:rFonts w:ascii="Arial" w:hAnsi="Arial"/>
        </w:rPr>
        <w:t xml:space="preserve">, </w:t>
      </w:r>
      <w:proofErr w:type="spellStart"/>
      <w:r>
        <w:rPr>
          <w:rFonts w:ascii="Arial" w:hAnsi="Arial"/>
        </w:rPr>
        <w:t>Uga</w:t>
      </w:r>
      <w:proofErr w:type="spellEnd"/>
      <w:r>
        <w:rPr>
          <w:rFonts w:ascii="Arial" w:hAnsi="Arial"/>
        </w:rPr>
        <w:t xml:space="preserve">, </w:t>
      </w:r>
      <w:proofErr w:type="spellStart"/>
      <w:r>
        <w:rPr>
          <w:rFonts w:ascii="Arial" w:hAnsi="Arial"/>
        </w:rPr>
        <w:t>Achina</w:t>
      </w:r>
      <w:proofErr w:type="spellEnd"/>
      <w:r>
        <w:rPr>
          <w:rFonts w:ascii="Arial" w:hAnsi="Arial"/>
        </w:rPr>
        <w:t xml:space="preserve">, </w:t>
      </w:r>
      <w:proofErr w:type="spellStart"/>
      <w:r>
        <w:rPr>
          <w:rFonts w:ascii="Arial" w:hAnsi="Arial"/>
        </w:rPr>
        <w:t>Igboukwu</w:t>
      </w:r>
      <w:proofErr w:type="spellEnd"/>
      <w:r>
        <w:rPr>
          <w:rFonts w:ascii="Arial" w:hAnsi="Arial"/>
        </w:rPr>
        <w:t xml:space="preserve">, </w:t>
      </w:r>
      <w:proofErr w:type="spellStart"/>
      <w:r>
        <w:rPr>
          <w:rFonts w:ascii="Arial" w:hAnsi="Arial"/>
        </w:rPr>
        <w:t>Akpo</w:t>
      </w:r>
      <w:proofErr w:type="spellEnd"/>
      <w:r>
        <w:rPr>
          <w:rFonts w:ascii="Arial" w:hAnsi="Arial"/>
        </w:rPr>
        <w:t xml:space="preserve">, </w:t>
      </w:r>
      <w:proofErr w:type="spellStart"/>
      <w:r>
        <w:rPr>
          <w:rFonts w:ascii="Arial" w:hAnsi="Arial"/>
        </w:rPr>
        <w:t>Amesi</w:t>
      </w:r>
      <w:proofErr w:type="spellEnd"/>
      <w:r>
        <w:rPr>
          <w:rFonts w:ascii="Arial" w:hAnsi="Arial"/>
        </w:rPr>
        <w:t xml:space="preserve">, </w:t>
      </w:r>
      <w:proofErr w:type="spellStart"/>
      <w:r>
        <w:rPr>
          <w:rFonts w:ascii="Arial" w:hAnsi="Arial"/>
        </w:rPr>
        <w:t>Umuchu</w:t>
      </w:r>
      <w:proofErr w:type="spellEnd"/>
      <w:r>
        <w:rPr>
          <w:rFonts w:ascii="Arial" w:hAnsi="Arial"/>
        </w:rPr>
        <w:t>, and others. The area has 21 public secondary schools managed by the Post Primary Schools Service Commission. The inhabitants are predominantly farmers, traders, civil servants, and artisans.</w:t>
      </w:r>
    </w:p>
    <w:p w14:paraId="3084B9FC" w14:textId="77777777" w:rsidR="00580F40" w:rsidRDefault="00AF2BFC">
      <w:pPr>
        <w:pStyle w:val="Body"/>
        <w:spacing w:after="0"/>
        <w:rPr>
          <w:rFonts w:ascii="Arial Bold" w:hAnsi="Arial Bold" w:cs="Arial Bold"/>
          <w:b/>
          <w:bCs/>
          <w:sz w:val="22"/>
          <w:szCs w:val="22"/>
        </w:rPr>
      </w:pPr>
      <w:r>
        <w:rPr>
          <w:rFonts w:ascii="Arial Bold" w:hAnsi="Arial Bold" w:cs="Arial Bold"/>
          <w:b/>
          <w:bCs/>
          <w:sz w:val="22"/>
          <w:szCs w:val="22"/>
        </w:rPr>
        <w:t>2.3 Population of the Study</w:t>
      </w:r>
    </w:p>
    <w:p w14:paraId="3B926FE9" w14:textId="77777777" w:rsidR="00580F40" w:rsidRDefault="00AF2BFC">
      <w:pPr>
        <w:pStyle w:val="Body"/>
        <w:spacing w:after="0"/>
        <w:rPr>
          <w:rFonts w:ascii="Arial" w:hAnsi="Arial"/>
        </w:rPr>
      </w:pPr>
      <w:r>
        <w:rPr>
          <w:rFonts w:ascii="Arial" w:hAnsi="Arial"/>
        </w:rPr>
        <w:t>The population consisted of all principals and teachers in the 21 public secondary schools in Aguata LGA. This included 21 principals and 300 teachers, making a total population of 321 educational personnel.</w:t>
      </w:r>
    </w:p>
    <w:p w14:paraId="49E7E633" w14:textId="77777777" w:rsidR="00580F40" w:rsidRDefault="00AF2BFC">
      <w:pPr>
        <w:pStyle w:val="Body"/>
        <w:spacing w:after="0"/>
        <w:rPr>
          <w:rFonts w:ascii="Arial Bold" w:hAnsi="Arial Bold" w:cs="Arial Bold"/>
          <w:b/>
          <w:bCs/>
          <w:sz w:val="22"/>
          <w:szCs w:val="22"/>
        </w:rPr>
      </w:pPr>
      <w:r>
        <w:rPr>
          <w:rFonts w:ascii="Arial Bold" w:hAnsi="Arial Bold" w:cs="Arial Bold"/>
          <w:b/>
          <w:bCs/>
          <w:sz w:val="22"/>
          <w:szCs w:val="22"/>
        </w:rPr>
        <w:t>2.4 Sample and Sampling Technique</w:t>
      </w:r>
    </w:p>
    <w:p w14:paraId="574C89FB" w14:textId="77777777" w:rsidR="00580F40" w:rsidRDefault="00AF2BFC">
      <w:pPr>
        <w:pStyle w:val="Body"/>
        <w:spacing w:after="0"/>
        <w:rPr>
          <w:rFonts w:ascii="Arial" w:hAnsi="Arial"/>
        </w:rPr>
      </w:pPr>
      <w:r>
        <w:rPr>
          <w:rFonts w:ascii="Arial" w:hAnsi="Arial"/>
        </w:rPr>
        <w:t>A simple random sampling technique was used to select 11 schools. From these selected schools, all 11 principals and 149 teachers participated, resulting in a sample size of 160. The sample represents 50 percent of the total population, ensuring a reasonable level of representation.</w:t>
      </w:r>
    </w:p>
    <w:p w14:paraId="62FC4B8A" w14:textId="77777777" w:rsidR="00580F40" w:rsidRDefault="00AF2BFC">
      <w:pPr>
        <w:pStyle w:val="Body"/>
        <w:spacing w:after="0"/>
        <w:rPr>
          <w:rFonts w:ascii="Arial Bold" w:hAnsi="Arial Bold" w:cs="Arial Bold"/>
          <w:b/>
          <w:bCs/>
        </w:rPr>
      </w:pPr>
      <w:r>
        <w:rPr>
          <w:rFonts w:ascii="Arial Bold" w:hAnsi="Arial Bold" w:cs="Arial Bold"/>
          <w:b/>
          <w:bCs/>
          <w:sz w:val="22"/>
          <w:szCs w:val="22"/>
        </w:rPr>
        <w:t>2.5 Instrument for Data Collection</w:t>
      </w:r>
    </w:p>
    <w:p w14:paraId="35DBE2E1" w14:textId="77777777" w:rsidR="00580F40" w:rsidRDefault="00AF2BFC">
      <w:pPr>
        <w:pStyle w:val="Body"/>
        <w:spacing w:after="0"/>
        <w:rPr>
          <w:rFonts w:ascii="Arial" w:hAnsi="Arial"/>
        </w:rPr>
      </w:pPr>
      <w:r>
        <w:rPr>
          <w:rFonts w:ascii="Arial" w:hAnsi="Arial"/>
        </w:rPr>
        <w:t xml:space="preserve">A structured questionnaire titled “Principals’ Motivational Leadership and Teacher Performance Questionnaire” (PMLTPQ) was used. The instrument consisted of two sections: Section A captured demographic variables while Section B contained 20 items </w:t>
      </w:r>
      <w:proofErr w:type="spellStart"/>
      <w:r>
        <w:rPr>
          <w:rFonts w:ascii="Arial" w:hAnsi="Arial"/>
        </w:rPr>
        <w:t>organised</w:t>
      </w:r>
      <w:proofErr w:type="spellEnd"/>
      <w:r>
        <w:rPr>
          <w:rFonts w:ascii="Arial" w:hAnsi="Arial"/>
        </w:rPr>
        <w:t xml:space="preserve"> into four clusters based on the research questions. A </w:t>
      </w:r>
      <w:proofErr w:type="gramStart"/>
      <w:r>
        <w:rPr>
          <w:rFonts w:ascii="Arial" w:hAnsi="Arial"/>
        </w:rPr>
        <w:t>four point</w:t>
      </w:r>
      <w:proofErr w:type="gramEnd"/>
      <w:r>
        <w:rPr>
          <w:rFonts w:ascii="Arial" w:hAnsi="Arial"/>
        </w:rPr>
        <w:t xml:space="preserve"> Likert scale; Strongly Agree, Agree, Disagree, Strongly Disagree, was used.</w:t>
      </w:r>
    </w:p>
    <w:p w14:paraId="488C650A" w14:textId="77777777" w:rsidR="00580F40" w:rsidRDefault="00AF2BFC">
      <w:pPr>
        <w:pStyle w:val="Body"/>
        <w:spacing w:after="0"/>
        <w:rPr>
          <w:rFonts w:ascii="Arial Bold" w:hAnsi="Arial Bold" w:cs="Arial Bold"/>
          <w:b/>
          <w:bCs/>
          <w:sz w:val="22"/>
          <w:szCs w:val="22"/>
        </w:rPr>
      </w:pPr>
      <w:r>
        <w:rPr>
          <w:rFonts w:ascii="Arial Bold" w:hAnsi="Arial Bold" w:cs="Arial Bold"/>
          <w:b/>
          <w:bCs/>
          <w:sz w:val="22"/>
          <w:szCs w:val="22"/>
        </w:rPr>
        <w:t>2.6 Validity of the Instrument</w:t>
      </w:r>
    </w:p>
    <w:p w14:paraId="0C96FF9A" w14:textId="77777777" w:rsidR="00580F40" w:rsidRDefault="00AF2BFC">
      <w:pPr>
        <w:pStyle w:val="Body"/>
        <w:spacing w:after="0"/>
        <w:rPr>
          <w:rFonts w:ascii="Arial" w:hAnsi="Arial"/>
        </w:rPr>
      </w:pPr>
      <w:r>
        <w:rPr>
          <w:rFonts w:ascii="Arial" w:hAnsi="Arial"/>
        </w:rPr>
        <w:t>Three experts evaluated the instrument for content validity: one specialist in measurement and evaluation, one in educational management, and the project supervisor. Their corrections and suggestions were incorporated into the final draft of the questionnaire.</w:t>
      </w:r>
    </w:p>
    <w:p w14:paraId="3F3726C2" w14:textId="77777777" w:rsidR="00580F40" w:rsidRDefault="00AF2BFC">
      <w:pPr>
        <w:pStyle w:val="Body"/>
        <w:spacing w:after="0"/>
        <w:rPr>
          <w:rFonts w:ascii="Arial Bold" w:hAnsi="Arial Bold" w:cs="Arial Bold"/>
          <w:b/>
          <w:bCs/>
        </w:rPr>
      </w:pPr>
      <w:r>
        <w:rPr>
          <w:rFonts w:ascii="Arial Bold" w:hAnsi="Arial Bold" w:cs="Arial Bold"/>
          <w:b/>
          <w:bCs/>
          <w:sz w:val="22"/>
          <w:szCs w:val="22"/>
        </w:rPr>
        <w:t>2.7 Method of Data Collection</w:t>
      </w:r>
    </w:p>
    <w:p w14:paraId="3151D8C9" w14:textId="77777777" w:rsidR="00580F40" w:rsidRDefault="00AF2BFC">
      <w:pPr>
        <w:pStyle w:val="Body"/>
        <w:spacing w:after="0"/>
        <w:rPr>
          <w:rFonts w:ascii="Arial" w:hAnsi="Arial"/>
        </w:rPr>
      </w:pPr>
      <w:r>
        <w:rPr>
          <w:rFonts w:ascii="Arial" w:hAnsi="Arial"/>
        </w:rPr>
        <w:t>The researcher personally administered the 160 copies of the questionnaire. The principals assisted in encouraging teacher participation. All questionnaires were completed and returned, resulting in a 100 percent response rate.</w:t>
      </w:r>
    </w:p>
    <w:p w14:paraId="5217FCBC" w14:textId="77777777" w:rsidR="00580F40" w:rsidRDefault="00AF2BFC">
      <w:pPr>
        <w:pStyle w:val="Body"/>
        <w:spacing w:after="0"/>
        <w:rPr>
          <w:rFonts w:ascii="Arial Bold" w:hAnsi="Arial Bold" w:cs="Arial Bold"/>
          <w:b/>
          <w:bCs/>
          <w:sz w:val="22"/>
          <w:szCs w:val="22"/>
        </w:rPr>
      </w:pPr>
      <w:r>
        <w:rPr>
          <w:rFonts w:ascii="Arial Bold" w:hAnsi="Arial Bold" w:cs="Arial Bold"/>
          <w:b/>
          <w:bCs/>
          <w:sz w:val="22"/>
          <w:szCs w:val="22"/>
        </w:rPr>
        <w:t>2.8 Method of Data Analysis</w:t>
      </w:r>
    </w:p>
    <w:p w14:paraId="7B1B752F" w14:textId="77777777" w:rsidR="00580F40" w:rsidRDefault="00AF2BFC">
      <w:pPr>
        <w:pStyle w:val="Body"/>
        <w:spacing w:after="0"/>
        <w:rPr>
          <w:rFonts w:ascii="Arial" w:hAnsi="Arial" w:cs="Arial"/>
        </w:rPr>
      </w:pPr>
      <w:r>
        <w:rPr>
          <w:rFonts w:ascii="Arial" w:hAnsi="Arial"/>
        </w:rPr>
        <w:t xml:space="preserve">Data were </w:t>
      </w:r>
      <w:proofErr w:type="spellStart"/>
      <w:r>
        <w:rPr>
          <w:rFonts w:ascii="Arial" w:hAnsi="Arial"/>
        </w:rPr>
        <w:t>analysed</w:t>
      </w:r>
      <w:proofErr w:type="spellEnd"/>
      <w:r>
        <w:rPr>
          <w:rFonts w:ascii="Arial" w:hAnsi="Arial"/>
        </w:rPr>
        <w:t xml:space="preserve"> using mean scores. The decision rule was that any item with a mean of 2.5 and above would be accepted as agreed by respondents, while items below 2.5 would be rejected.</w:t>
      </w:r>
    </w:p>
    <w:p w14:paraId="68B1776E" w14:textId="77777777" w:rsidR="00580F40" w:rsidRDefault="00580F40">
      <w:pPr>
        <w:pStyle w:val="Body"/>
        <w:spacing w:after="0"/>
        <w:rPr>
          <w:rFonts w:ascii="Arial" w:hAnsi="Arial" w:cs="Arial"/>
        </w:rPr>
      </w:pPr>
    </w:p>
    <w:p w14:paraId="79E5BA09" w14:textId="77777777" w:rsidR="00580F40" w:rsidRDefault="00AF2BFC">
      <w:pPr>
        <w:pStyle w:val="Head1"/>
        <w:spacing w:after="0"/>
        <w:jc w:val="both"/>
        <w:rPr>
          <w:rFonts w:ascii="Arial" w:hAnsi="Arial" w:cs="Arial"/>
        </w:rPr>
      </w:pPr>
      <w:r>
        <w:rPr>
          <w:rFonts w:ascii="Arial" w:hAnsi="Arial" w:cs="Arial"/>
        </w:rPr>
        <w:t>3. results and discussion</w:t>
      </w:r>
    </w:p>
    <w:p w14:paraId="336BEE39" w14:textId="77777777" w:rsidR="00580F40" w:rsidRDefault="00580F40">
      <w:pPr>
        <w:pStyle w:val="Head1"/>
        <w:spacing w:after="0"/>
        <w:jc w:val="both"/>
        <w:rPr>
          <w:rFonts w:ascii="Arial" w:hAnsi="Arial" w:cs="Arial"/>
        </w:rPr>
      </w:pPr>
    </w:p>
    <w:p w14:paraId="068E612D" w14:textId="77777777" w:rsidR="00580F40" w:rsidRDefault="00AF2BFC">
      <w:pPr>
        <w:pStyle w:val="Body"/>
        <w:spacing w:after="0"/>
        <w:rPr>
          <w:rFonts w:ascii="Arial Bold" w:hAnsi="Arial Bold" w:cs="Arial Bold"/>
          <w:b/>
          <w:bCs/>
          <w:sz w:val="22"/>
          <w:szCs w:val="22"/>
        </w:rPr>
      </w:pPr>
      <w:r>
        <w:rPr>
          <w:rFonts w:ascii="Arial Bold" w:hAnsi="Arial Bold" w:cs="Arial Bold"/>
          <w:b/>
          <w:bCs/>
          <w:sz w:val="22"/>
          <w:szCs w:val="22"/>
        </w:rPr>
        <w:t>3.1 Motivational Strategies Used by Principals</w:t>
      </w:r>
    </w:p>
    <w:p w14:paraId="2FE84316" w14:textId="77777777" w:rsidR="00580F40" w:rsidRDefault="00AF2BFC">
      <w:pPr>
        <w:pStyle w:val="Body"/>
        <w:spacing w:after="0"/>
        <w:rPr>
          <w:rFonts w:ascii="Arial" w:hAnsi="Arial"/>
        </w:rPr>
      </w:pPr>
      <w:r>
        <w:rPr>
          <w:rFonts w:ascii="Arial" w:hAnsi="Arial"/>
        </w:rPr>
        <w:t xml:space="preserve">The findings of this study revealed that principals in Aguata Local Government Area </w:t>
      </w:r>
      <w:proofErr w:type="spellStart"/>
      <w:r>
        <w:rPr>
          <w:rFonts w:ascii="Arial" w:hAnsi="Arial"/>
        </w:rPr>
        <w:t>utilise</w:t>
      </w:r>
      <w:proofErr w:type="spellEnd"/>
      <w:r>
        <w:rPr>
          <w:rFonts w:ascii="Arial" w:hAnsi="Arial"/>
        </w:rPr>
        <w:t xml:space="preserve"> a variety of motivational strategies designed to stimulate teacher commitment, enhance morale, and improve instructional productivity. These strategies reflect both formal administrative practices and informal leadership </w:t>
      </w:r>
      <w:proofErr w:type="spellStart"/>
      <w:r>
        <w:rPr>
          <w:rFonts w:ascii="Arial" w:hAnsi="Arial"/>
        </w:rPr>
        <w:t>behaviours</w:t>
      </w:r>
      <w:proofErr w:type="spellEnd"/>
      <w:r>
        <w:rPr>
          <w:rFonts w:ascii="Arial" w:hAnsi="Arial"/>
        </w:rPr>
        <w:t xml:space="preserve">, demonstrating that principals view teacher motivation as a fundamental component of school effectiveness. Among the most frequently reported strategies were recommending teachers for promotion, encouraging participation in professional development </w:t>
      </w:r>
      <w:proofErr w:type="spellStart"/>
      <w:r>
        <w:rPr>
          <w:rFonts w:ascii="Arial" w:hAnsi="Arial"/>
        </w:rPr>
        <w:t>programmes</w:t>
      </w:r>
      <w:proofErr w:type="spellEnd"/>
      <w:r>
        <w:rPr>
          <w:rFonts w:ascii="Arial" w:hAnsi="Arial"/>
        </w:rPr>
        <w:t xml:space="preserve"> such as workshops and seminars, awarding prizes or commendations to exceptional teachers, providing access to instructional materials, involving teachers in decision-making processes, and cultivating a positive and supportive working environment.</w:t>
      </w:r>
    </w:p>
    <w:p w14:paraId="656C7D4F" w14:textId="77777777" w:rsidR="00580F40" w:rsidRDefault="00AF2BFC">
      <w:pPr>
        <w:pStyle w:val="Body"/>
        <w:spacing w:after="0"/>
        <w:rPr>
          <w:rFonts w:ascii="Arial" w:hAnsi="Arial"/>
        </w:rPr>
      </w:pPr>
      <w:r>
        <w:rPr>
          <w:rFonts w:ascii="Arial" w:hAnsi="Arial"/>
        </w:rPr>
        <w:t>Recommendation for promotion emerged as one of the strongest motivational tools used by principals. In the Nigerian educational system, opportunities for career advancement remain limited, and promotion is often associated with improved social standing, financial benefits, and professional recognition. Several studies have shown that promotion is a powerful motivator for teachers, as it signals acknowledgement of hard work and encourages continued dedication (</w:t>
      </w:r>
      <w:proofErr w:type="spellStart"/>
      <w:r>
        <w:rPr>
          <w:rFonts w:ascii="Arial" w:hAnsi="Arial"/>
        </w:rPr>
        <w:t>Ofojebe</w:t>
      </w:r>
      <w:proofErr w:type="spellEnd"/>
      <w:r>
        <w:rPr>
          <w:rFonts w:ascii="Arial" w:hAnsi="Arial"/>
        </w:rPr>
        <w:t xml:space="preserve"> &amp; </w:t>
      </w:r>
      <w:proofErr w:type="spellStart"/>
      <w:r>
        <w:rPr>
          <w:rFonts w:ascii="Arial" w:hAnsi="Arial"/>
        </w:rPr>
        <w:t>Ezeugbor</w:t>
      </w:r>
      <w:proofErr w:type="spellEnd"/>
      <w:r>
        <w:rPr>
          <w:rFonts w:ascii="Arial" w:hAnsi="Arial"/>
        </w:rPr>
        <w:t xml:space="preserve">, 2010; </w:t>
      </w:r>
      <w:proofErr w:type="spellStart"/>
      <w:r>
        <w:rPr>
          <w:rFonts w:ascii="Arial" w:hAnsi="Arial"/>
        </w:rPr>
        <w:t>Akiri</w:t>
      </w:r>
      <w:proofErr w:type="spellEnd"/>
      <w:r>
        <w:rPr>
          <w:rFonts w:ascii="Arial" w:hAnsi="Arial"/>
        </w:rPr>
        <w:t xml:space="preserve"> &amp; </w:t>
      </w:r>
      <w:proofErr w:type="spellStart"/>
      <w:r>
        <w:rPr>
          <w:rFonts w:ascii="Arial" w:hAnsi="Arial"/>
        </w:rPr>
        <w:t>Ugborugbo</w:t>
      </w:r>
      <w:proofErr w:type="spellEnd"/>
      <w:r>
        <w:rPr>
          <w:rFonts w:ascii="Arial" w:hAnsi="Arial"/>
        </w:rPr>
        <w:t>, 2009). By actively recommending deserving teachers, principals play a direct role in shaping teachers’ career trajectories and sustaining their commitment to school goals.</w:t>
      </w:r>
    </w:p>
    <w:p w14:paraId="61429744" w14:textId="77777777" w:rsidR="00580F40" w:rsidRDefault="00AF2BFC">
      <w:pPr>
        <w:pStyle w:val="Body"/>
        <w:spacing w:after="0"/>
        <w:rPr>
          <w:rFonts w:ascii="Arial" w:hAnsi="Arial"/>
        </w:rPr>
      </w:pPr>
      <w:r>
        <w:rPr>
          <w:rFonts w:ascii="Arial" w:hAnsi="Arial"/>
        </w:rPr>
        <w:lastRenderedPageBreak/>
        <w:t xml:space="preserve">Professional development opportunities such as workshops and seminars constitute another significant motivational strategy. Teachers who attend training </w:t>
      </w:r>
      <w:proofErr w:type="spellStart"/>
      <w:r>
        <w:rPr>
          <w:rFonts w:ascii="Arial" w:hAnsi="Arial"/>
        </w:rPr>
        <w:t>programmes</w:t>
      </w:r>
      <w:proofErr w:type="spellEnd"/>
      <w:r>
        <w:rPr>
          <w:rFonts w:ascii="Arial" w:hAnsi="Arial"/>
        </w:rPr>
        <w:t xml:space="preserve"> are more likely to acquire fresh instructional skills, adopt innovative classroom methods, and demonstrate increased professional confidence. Scholars such as </w:t>
      </w:r>
      <w:proofErr w:type="spellStart"/>
      <w:r>
        <w:rPr>
          <w:rFonts w:ascii="Arial" w:hAnsi="Arial"/>
        </w:rPr>
        <w:t>Guskey</w:t>
      </w:r>
      <w:proofErr w:type="spellEnd"/>
      <w:r>
        <w:rPr>
          <w:rFonts w:ascii="Arial" w:hAnsi="Arial"/>
        </w:rPr>
        <w:t xml:space="preserve"> (2002) and Mohammed &amp; Musa (2016) argue that when principals support continuous professional development, teachers feel valued and are motivated to implement improved pedagogical practices. In Aguata LGA, principals’ efforts to encourage and facilitate seminar attendance therefore serve as an important mechanism for improving both teacher performance and student learning outcomes.</w:t>
      </w:r>
    </w:p>
    <w:p w14:paraId="7E9831CD" w14:textId="77777777" w:rsidR="00580F40" w:rsidRDefault="00AF2BFC">
      <w:pPr>
        <w:pStyle w:val="Body"/>
        <w:spacing w:after="0"/>
        <w:rPr>
          <w:rFonts w:ascii="Arial" w:hAnsi="Arial"/>
        </w:rPr>
      </w:pPr>
      <w:r>
        <w:rPr>
          <w:rFonts w:ascii="Arial" w:hAnsi="Arial"/>
        </w:rPr>
        <w:t>The provision of instructional materials was also highlighted as a key motivational strategy. Teaching materials such as textbooks, laboratory equipment, and visual aids are essential for effective lesson delivery. When principals supply these resources, they reduce the burden on teachers and enhance their ability to deliver high-quality instruction. This aligns with findings from Emeh and Ogah (2014), who reported that adequate provision of teaching resources significantly improves teacher satisfaction and fosters greater engagement in classroom activities.</w:t>
      </w:r>
    </w:p>
    <w:p w14:paraId="3DB0F090" w14:textId="77777777" w:rsidR="00580F40" w:rsidRDefault="00AF2BFC">
      <w:pPr>
        <w:pStyle w:val="Body"/>
        <w:spacing w:after="0"/>
        <w:rPr>
          <w:rFonts w:ascii="Arial" w:hAnsi="Arial"/>
        </w:rPr>
      </w:pPr>
      <w:r>
        <w:rPr>
          <w:rFonts w:ascii="Arial" w:hAnsi="Arial"/>
        </w:rPr>
        <w:t>Recognition-based strategies, including the awarding of prizes, certificates, or commendations to outstanding staff, also feature prominently. Recognition satisfies teachers’ need for esteem and aligns with Herzberg’s motivator factors, which include achievement, recognition, and responsibility (Herzberg, 1966). Research consistently shows that teachers who receive regular recognition tend to demonstrate greater enthusiasm, higher job satisfaction, and improved performance (</w:t>
      </w:r>
      <w:proofErr w:type="spellStart"/>
      <w:r>
        <w:rPr>
          <w:rFonts w:ascii="Arial" w:hAnsi="Arial"/>
        </w:rPr>
        <w:t>Ololube</w:t>
      </w:r>
      <w:proofErr w:type="spellEnd"/>
      <w:r>
        <w:rPr>
          <w:rFonts w:ascii="Arial" w:hAnsi="Arial"/>
        </w:rPr>
        <w:t xml:space="preserve">, 2006; Chukwu &amp; Igboke, 2021). In Aguata LGA, principals use recognition as a means of reinforcing desirable </w:t>
      </w:r>
      <w:proofErr w:type="spellStart"/>
      <w:r>
        <w:rPr>
          <w:rFonts w:ascii="Arial" w:hAnsi="Arial"/>
        </w:rPr>
        <w:t>behaviour</w:t>
      </w:r>
      <w:proofErr w:type="spellEnd"/>
      <w:r>
        <w:rPr>
          <w:rFonts w:ascii="Arial" w:hAnsi="Arial"/>
        </w:rPr>
        <w:t xml:space="preserve"> and promoting a culture of excellence within their schools.</w:t>
      </w:r>
    </w:p>
    <w:p w14:paraId="726E4266" w14:textId="77777777" w:rsidR="00580F40" w:rsidRDefault="00AF2BFC">
      <w:pPr>
        <w:pStyle w:val="Body"/>
        <w:spacing w:after="0"/>
        <w:rPr>
          <w:rFonts w:ascii="Arial" w:hAnsi="Arial"/>
        </w:rPr>
      </w:pPr>
      <w:r>
        <w:rPr>
          <w:rFonts w:ascii="Arial" w:hAnsi="Arial"/>
        </w:rPr>
        <w:t xml:space="preserve">A particularly noteworthy strategy is the involvement of teachers in decision-making. This practice reflects participatory and democratic leadership models, which </w:t>
      </w:r>
      <w:proofErr w:type="spellStart"/>
      <w:r>
        <w:rPr>
          <w:rFonts w:ascii="Arial" w:hAnsi="Arial"/>
        </w:rPr>
        <w:t>emphasise</w:t>
      </w:r>
      <w:proofErr w:type="spellEnd"/>
      <w:r>
        <w:rPr>
          <w:rFonts w:ascii="Arial" w:hAnsi="Arial"/>
        </w:rPr>
        <w:t xml:space="preserve"> collaboration, shared responsibility, and collective problem-solving. Studies by Adeyemi (2010) and Hallinger (2011) indicate that when teachers are allowed to contribute to school decisions, they develop stronger psychological ownership and greater </w:t>
      </w:r>
      <w:proofErr w:type="spellStart"/>
      <w:r>
        <w:rPr>
          <w:rFonts w:ascii="Arial" w:hAnsi="Arial"/>
        </w:rPr>
        <w:t>organisational</w:t>
      </w:r>
      <w:proofErr w:type="spellEnd"/>
      <w:r>
        <w:rPr>
          <w:rFonts w:ascii="Arial" w:hAnsi="Arial"/>
        </w:rPr>
        <w:t xml:space="preserve"> commitment. In the present study, teachers reported feeling valued when principals sought their opinions on issues such as curriculum implementation, school discipline, and classroom management. This sense of involvement strengthens professional relationships and encourages teachers to work more effectively toward shared goals.</w:t>
      </w:r>
    </w:p>
    <w:p w14:paraId="6E75DDBC" w14:textId="77777777" w:rsidR="00580F40" w:rsidRDefault="00AF2BFC">
      <w:pPr>
        <w:pStyle w:val="Body"/>
        <w:spacing w:after="0"/>
        <w:rPr>
          <w:rFonts w:ascii="Arial" w:hAnsi="Arial"/>
        </w:rPr>
      </w:pPr>
      <w:r>
        <w:rPr>
          <w:rFonts w:ascii="Arial" w:hAnsi="Arial"/>
        </w:rPr>
        <w:t xml:space="preserve">Finally, principals’ efforts to create a conducive working environment, </w:t>
      </w:r>
      <w:proofErr w:type="spellStart"/>
      <w:r>
        <w:rPr>
          <w:rFonts w:ascii="Arial" w:hAnsi="Arial"/>
        </w:rPr>
        <w:t>characterised</w:t>
      </w:r>
      <w:proofErr w:type="spellEnd"/>
      <w:r>
        <w:rPr>
          <w:rFonts w:ascii="Arial" w:hAnsi="Arial"/>
        </w:rPr>
        <w:t xml:space="preserve"> by mutual respect, fairness, and supportive supervision, were identified as one of the most influential motivational practices. A positive school climate has been repeatedly shown to enhance teacher morale and reduce burnout (Hoy &amp; </w:t>
      </w:r>
      <w:proofErr w:type="spellStart"/>
      <w:r>
        <w:rPr>
          <w:rFonts w:ascii="Arial" w:hAnsi="Arial"/>
        </w:rPr>
        <w:t>Miskel</w:t>
      </w:r>
      <w:proofErr w:type="spellEnd"/>
      <w:r>
        <w:rPr>
          <w:rFonts w:ascii="Arial" w:hAnsi="Arial"/>
        </w:rPr>
        <w:t xml:space="preserve">, 2013; Nguni, </w:t>
      </w:r>
      <w:proofErr w:type="spellStart"/>
      <w:r>
        <w:rPr>
          <w:rFonts w:ascii="Arial" w:hAnsi="Arial"/>
        </w:rPr>
        <w:t>Sleegers</w:t>
      </w:r>
      <w:proofErr w:type="spellEnd"/>
      <w:r>
        <w:rPr>
          <w:rFonts w:ascii="Arial" w:hAnsi="Arial"/>
        </w:rPr>
        <w:t xml:space="preserve"> &amp; </w:t>
      </w:r>
      <w:proofErr w:type="spellStart"/>
      <w:r>
        <w:rPr>
          <w:rFonts w:ascii="Arial" w:hAnsi="Arial"/>
        </w:rPr>
        <w:t>Denessen</w:t>
      </w:r>
      <w:proofErr w:type="spellEnd"/>
      <w:r>
        <w:rPr>
          <w:rFonts w:ascii="Arial" w:hAnsi="Arial"/>
        </w:rPr>
        <w:t>, 2006). In Aguata LGA, principals who maintained open communication, provided emotional support, ensured fair workload distribution, and promoted harmonious staff relations were perceived as more effective in motivating their teachers.</w:t>
      </w:r>
    </w:p>
    <w:p w14:paraId="6834CCA6" w14:textId="77777777" w:rsidR="00580F40" w:rsidRDefault="00AF2BFC">
      <w:pPr>
        <w:pStyle w:val="Body"/>
        <w:spacing w:after="0"/>
        <w:rPr>
          <w:rFonts w:ascii="Arial Bold" w:hAnsi="Arial Bold" w:cs="Arial Bold"/>
          <w:b/>
          <w:bCs/>
          <w:sz w:val="22"/>
          <w:szCs w:val="22"/>
        </w:rPr>
      </w:pPr>
      <w:r>
        <w:rPr>
          <w:rFonts w:ascii="Arial Bold" w:hAnsi="Arial Bold" w:cs="Arial Bold"/>
          <w:b/>
          <w:bCs/>
          <w:sz w:val="22"/>
          <w:szCs w:val="22"/>
        </w:rPr>
        <w:t>3.2 Influence of Teacher Motivation on Performance</w:t>
      </w:r>
    </w:p>
    <w:p w14:paraId="44B55AAC" w14:textId="77777777" w:rsidR="00580F40" w:rsidRDefault="00AF2BFC">
      <w:pPr>
        <w:pStyle w:val="Body"/>
        <w:spacing w:after="0"/>
        <w:rPr>
          <w:rFonts w:ascii="Arial" w:hAnsi="Arial"/>
        </w:rPr>
      </w:pPr>
      <w:r>
        <w:rPr>
          <w:rFonts w:ascii="Arial" w:hAnsi="Arial"/>
        </w:rPr>
        <w:t>The findings from this study indicate that teacher motivation has a strong and direct influence on teacher performance in public secondary schools in Aguata Local Government Area. Respondents consistently reported that when teachers feel motivated, whether through recognition, supportive supervision, opportunities for growth, or provision of teaching resources, their overall performance improves markedly. Motivated teachers demonstrate higher levels of diligence in lesson preparation, renewed enthusiasm for classroom instruction, and stronger commitment to their professional responsibilities.</w:t>
      </w:r>
    </w:p>
    <w:p w14:paraId="7AA32338" w14:textId="77777777" w:rsidR="00580F40" w:rsidRDefault="00AF2BFC">
      <w:pPr>
        <w:pStyle w:val="Body"/>
        <w:spacing w:after="0"/>
        <w:rPr>
          <w:rFonts w:ascii="Arial" w:hAnsi="Arial"/>
        </w:rPr>
      </w:pPr>
      <w:r>
        <w:rPr>
          <w:rFonts w:ascii="Arial" w:hAnsi="Arial"/>
        </w:rPr>
        <w:t xml:space="preserve">Motivation enhances teachers’ sense of purpose and personal accomplishment, which in turn stimulates greater effort in instructional delivery. This aligns with Vroom’s Expectancy Theory, which posits that individuals are more likely to exert effort when they believe it will yield valued outcomes such as recognition or career advancement (Vroom, 1964). Teachers who perceive that their work is appreciated by principals are more willing to adopt innovative pedagogical strategies, engage actively with students, and maintain punctuality and regular attendance. Studies by </w:t>
      </w:r>
      <w:proofErr w:type="spellStart"/>
      <w:r>
        <w:rPr>
          <w:rFonts w:ascii="Arial" w:hAnsi="Arial"/>
        </w:rPr>
        <w:t>Ololube</w:t>
      </w:r>
      <w:proofErr w:type="spellEnd"/>
      <w:r>
        <w:rPr>
          <w:rFonts w:ascii="Arial" w:hAnsi="Arial"/>
        </w:rPr>
        <w:t xml:space="preserve"> (2006) and Adeyemi (2010) similarly confirm that motivated teachers are more productive, exhibit better classroom management, and contribute more effectively to school goals.</w:t>
      </w:r>
    </w:p>
    <w:p w14:paraId="481C8A1A" w14:textId="77777777" w:rsidR="00580F40" w:rsidRDefault="00AF2BFC">
      <w:pPr>
        <w:pStyle w:val="Body"/>
        <w:spacing w:after="0"/>
        <w:rPr>
          <w:rFonts w:ascii="Arial" w:hAnsi="Arial"/>
        </w:rPr>
      </w:pPr>
      <w:r>
        <w:rPr>
          <w:rFonts w:ascii="Arial" w:hAnsi="Arial"/>
        </w:rPr>
        <w:t xml:space="preserve">Furthermore, motivation strengthens professional commitment. Teachers who receive adequate support from their principals tend to show higher levels of </w:t>
      </w:r>
      <w:proofErr w:type="spellStart"/>
      <w:r>
        <w:rPr>
          <w:rFonts w:ascii="Arial" w:hAnsi="Arial"/>
        </w:rPr>
        <w:t>organisational</w:t>
      </w:r>
      <w:proofErr w:type="spellEnd"/>
      <w:r>
        <w:rPr>
          <w:rFonts w:ascii="Arial" w:hAnsi="Arial"/>
        </w:rPr>
        <w:t xml:space="preserve"> loyalty and are more willing to go beyond their basic job descriptions. They supervise student activities more efficiently, collaborate with colleagues, and participate in extracurricular </w:t>
      </w:r>
      <w:proofErr w:type="spellStart"/>
      <w:r>
        <w:rPr>
          <w:rFonts w:ascii="Arial" w:hAnsi="Arial"/>
        </w:rPr>
        <w:t>programmes</w:t>
      </w:r>
      <w:proofErr w:type="spellEnd"/>
      <w:r>
        <w:rPr>
          <w:rFonts w:ascii="Arial" w:hAnsi="Arial"/>
        </w:rPr>
        <w:t xml:space="preserve"> that enrich student learning. Research by Bennell and Akyeampong (2007) highlights that motivated teachers also exhibit greater resilience and are better able to cope with the challenges inherent in resource-constrained school environments.</w:t>
      </w:r>
    </w:p>
    <w:p w14:paraId="4EC8AEC3" w14:textId="77777777" w:rsidR="00580F40" w:rsidRDefault="00AF2BFC">
      <w:pPr>
        <w:pStyle w:val="Body"/>
        <w:spacing w:after="0"/>
        <w:rPr>
          <w:rFonts w:ascii="Arial" w:hAnsi="Arial"/>
        </w:rPr>
      </w:pPr>
      <w:r>
        <w:rPr>
          <w:rFonts w:ascii="Arial" w:hAnsi="Arial"/>
        </w:rPr>
        <w:t>The study also revealed that motivation positively influences teachers’ attitudes toward student learning. Motivated teachers show greater patience, provide more detailed feedback, and invest additional effort in supporting struggling learners. Conversely, teachers who feel undervalued or unsupported often demonstrate reduced concentration, less creativity in teaching, and inconsistency in instructional delivery.</w:t>
      </w:r>
    </w:p>
    <w:p w14:paraId="5CF499E9" w14:textId="77777777" w:rsidR="00580F40" w:rsidRDefault="00AF2BFC">
      <w:pPr>
        <w:pStyle w:val="Body"/>
        <w:spacing w:after="0"/>
        <w:rPr>
          <w:rFonts w:ascii="Arial Bold" w:hAnsi="Arial Bold" w:cs="Arial Bold"/>
          <w:b/>
          <w:bCs/>
          <w:sz w:val="22"/>
          <w:szCs w:val="22"/>
        </w:rPr>
      </w:pPr>
      <w:r>
        <w:rPr>
          <w:rFonts w:ascii="Arial Bold" w:hAnsi="Arial Bold" w:cs="Arial Bold"/>
          <w:b/>
          <w:bCs/>
          <w:sz w:val="22"/>
          <w:szCs w:val="22"/>
        </w:rPr>
        <w:t>3.3 Influence of Teacher Motivation on Student Academic Performance</w:t>
      </w:r>
    </w:p>
    <w:p w14:paraId="57FFEDC2" w14:textId="77777777" w:rsidR="00580F40" w:rsidRDefault="00AF2BFC">
      <w:pPr>
        <w:pStyle w:val="Body"/>
        <w:spacing w:after="0"/>
        <w:rPr>
          <w:rFonts w:ascii="Arial" w:hAnsi="Arial"/>
        </w:rPr>
      </w:pPr>
      <w:r>
        <w:rPr>
          <w:rFonts w:ascii="Arial" w:hAnsi="Arial"/>
        </w:rPr>
        <w:t xml:space="preserve">The findings of the study show a clear and compelling relationship between teacher motivation and student academic performance. Respondents reported that when teachers are motivated, whether through recognition, professional development opportunities, supportive leadership, or access to adequate instructional materials, they tend to invest more effort in planning and delivering high-quality lessons. Motivated teachers demonstrate higher levels of enthusiasm, </w:t>
      </w:r>
      <w:r>
        <w:rPr>
          <w:rFonts w:ascii="Arial" w:hAnsi="Arial"/>
        </w:rPr>
        <w:lastRenderedPageBreak/>
        <w:t>creativity, and commitment, all of which translate into more engaging classroom environments that support student learning.</w:t>
      </w:r>
    </w:p>
    <w:p w14:paraId="553BB82F" w14:textId="77777777" w:rsidR="00580F40" w:rsidRDefault="00AF2BFC">
      <w:pPr>
        <w:pStyle w:val="Body"/>
        <w:spacing w:after="0"/>
        <w:rPr>
          <w:rFonts w:ascii="Arial" w:hAnsi="Arial"/>
        </w:rPr>
      </w:pPr>
      <w:r>
        <w:rPr>
          <w:rFonts w:ascii="Arial" w:hAnsi="Arial"/>
        </w:rPr>
        <w:t xml:space="preserve">Research consistently affirms that motivated teachers exert a positive influence on student achievement. According to Darling-Hammond (2000), teacher quality and instructional effectiveness are among the strongest predictors of student academic success. In the Nigerian context, studies by </w:t>
      </w:r>
      <w:proofErr w:type="spellStart"/>
      <w:r>
        <w:rPr>
          <w:rFonts w:ascii="Arial" w:hAnsi="Arial"/>
        </w:rPr>
        <w:t>Akiri</w:t>
      </w:r>
      <w:proofErr w:type="spellEnd"/>
      <w:r>
        <w:rPr>
          <w:rFonts w:ascii="Arial" w:hAnsi="Arial"/>
        </w:rPr>
        <w:t xml:space="preserve"> and </w:t>
      </w:r>
      <w:proofErr w:type="spellStart"/>
      <w:r>
        <w:rPr>
          <w:rFonts w:ascii="Arial" w:hAnsi="Arial"/>
        </w:rPr>
        <w:t>Ugborugbo</w:t>
      </w:r>
      <w:proofErr w:type="spellEnd"/>
      <w:r>
        <w:rPr>
          <w:rFonts w:ascii="Arial" w:hAnsi="Arial"/>
        </w:rPr>
        <w:t xml:space="preserve"> (2009) and </w:t>
      </w:r>
      <w:proofErr w:type="spellStart"/>
      <w:r>
        <w:rPr>
          <w:rFonts w:ascii="Arial" w:hAnsi="Arial"/>
        </w:rPr>
        <w:t>Ejiogu</w:t>
      </w:r>
      <w:proofErr w:type="spellEnd"/>
      <w:r>
        <w:rPr>
          <w:rFonts w:ascii="Arial" w:hAnsi="Arial"/>
        </w:rPr>
        <w:t xml:space="preserve"> (2006) similarly highlight that motivated teachers display stronger classroom management skills, clearer instructional communication, and more sustained interaction with learners. These characteristics directly enhance students’ understanding of subject matter and their performance in assessments.</w:t>
      </w:r>
    </w:p>
    <w:p w14:paraId="1655B39D" w14:textId="77777777" w:rsidR="00580F40" w:rsidRDefault="00AF2BFC">
      <w:pPr>
        <w:pStyle w:val="Body"/>
        <w:spacing w:after="0"/>
        <w:rPr>
          <w:rFonts w:ascii="Arial" w:hAnsi="Arial"/>
        </w:rPr>
      </w:pPr>
      <w:r>
        <w:rPr>
          <w:rFonts w:ascii="Arial" w:hAnsi="Arial"/>
        </w:rPr>
        <w:t>The study also revealed that motivated teachers provide students with timely feedback, adopt learner-centered instructional strategies, and demonstrate increased patience with struggling learners. These practices foster a more supportive classroom climate where students feel encouraged to participate actively and take academic risks. Bennell and Akyeampong (2007) note that students in classrooms led by motivated teachers tend to show greater interest in learning, improved discipline, and stronger academic confidence.</w:t>
      </w:r>
    </w:p>
    <w:p w14:paraId="2CFF8F94" w14:textId="77777777" w:rsidR="00580F40" w:rsidRDefault="00AF2BFC">
      <w:pPr>
        <w:pStyle w:val="Body"/>
        <w:spacing w:after="0"/>
        <w:rPr>
          <w:rFonts w:ascii="Arial" w:hAnsi="Arial"/>
        </w:rPr>
      </w:pPr>
      <w:r>
        <w:rPr>
          <w:rFonts w:ascii="Arial" w:hAnsi="Arial"/>
        </w:rPr>
        <w:t xml:space="preserve">Furthermore, teacher motivation influences the emotional and psychological climate of the school, which in turn affects students’ academic </w:t>
      </w:r>
      <w:proofErr w:type="spellStart"/>
      <w:r>
        <w:rPr>
          <w:rFonts w:ascii="Arial" w:hAnsi="Arial"/>
        </w:rPr>
        <w:t>behaviour</w:t>
      </w:r>
      <w:proofErr w:type="spellEnd"/>
      <w:r>
        <w:rPr>
          <w:rFonts w:ascii="Arial" w:hAnsi="Arial"/>
        </w:rPr>
        <w:t>. Teachers who feel valued and supported are more likely to create positive teacher-student relationships, which have been shown to improve attendance, concentration, and academic resilience (Roorda et al., 2011). Conversely, when teachers are demotivated, their frustration may inadvertently affect students through reduced instructional quality, less enthusiasm, and lower expectations.</w:t>
      </w:r>
    </w:p>
    <w:p w14:paraId="714BE3BA" w14:textId="77777777" w:rsidR="00580F40" w:rsidRDefault="00AF2BFC">
      <w:pPr>
        <w:pStyle w:val="Body"/>
        <w:spacing w:after="0"/>
        <w:rPr>
          <w:rFonts w:ascii="Arial" w:hAnsi="Arial"/>
        </w:rPr>
      </w:pPr>
      <w:r>
        <w:rPr>
          <w:rFonts w:ascii="Arial" w:hAnsi="Arial"/>
        </w:rPr>
        <w:t>3.4 Problems Arising from Lack of Teacher Motivation</w:t>
      </w:r>
    </w:p>
    <w:p w14:paraId="3C181999" w14:textId="77777777" w:rsidR="00580F40" w:rsidRDefault="00AF2BFC">
      <w:pPr>
        <w:pStyle w:val="Body"/>
        <w:spacing w:after="0"/>
        <w:rPr>
          <w:rFonts w:ascii="Arial" w:hAnsi="Arial"/>
        </w:rPr>
      </w:pPr>
      <w:r>
        <w:rPr>
          <w:rFonts w:ascii="Arial" w:hAnsi="Arial"/>
        </w:rPr>
        <w:t>The study revealed several significant problems that emerge when teachers are inadequately motivated, and these problems have far-reaching implications for school effectiveness and student learning outcomes. Respondents indicated that lack of motivation often results in diminished teacher morale, emotional withdrawal, and a general decline in professional commitment. Teachers who feel undervalued or unsupported tend to lose enthusiasm for their work, which directly affects the quality of instruction they deliver.</w:t>
      </w:r>
    </w:p>
    <w:p w14:paraId="1B9640C7" w14:textId="77777777" w:rsidR="00580F40" w:rsidRDefault="00AF2BFC">
      <w:pPr>
        <w:pStyle w:val="Body"/>
        <w:spacing w:after="0"/>
        <w:rPr>
          <w:rFonts w:ascii="Arial" w:hAnsi="Arial"/>
        </w:rPr>
      </w:pPr>
      <w:r>
        <w:rPr>
          <w:rFonts w:ascii="Arial" w:hAnsi="Arial"/>
        </w:rPr>
        <w:t xml:space="preserve">One of the most commonly identified consequences is the rise in absenteeism and lateness. Demotivated teachers are less likely to adhere strictly to school schedules or invest additional effort in preparing lesson notes and instructional materials. This finding aligns with </w:t>
      </w:r>
      <w:proofErr w:type="spellStart"/>
      <w:r>
        <w:rPr>
          <w:rFonts w:ascii="Arial" w:hAnsi="Arial"/>
        </w:rPr>
        <w:t>Ololube</w:t>
      </w:r>
      <w:proofErr w:type="spellEnd"/>
      <w:r>
        <w:rPr>
          <w:rFonts w:ascii="Arial" w:hAnsi="Arial"/>
        </w:rPr>
        <w:t xml:space="preserve"> (2006), who reported that poorly motivated teachers frequently exhibit irregular attendance, reduced punctuality, and low energy levels in classroom activities. When teachers are absent or unprepared, students lose valuable instructional time, which negatively impacts their academic progress.</w:t>
      </w:r>
    </w:p>
    <w:p w14:paraId="1F1690F4" w14:textId="77777777" w:rsidR="00580F40" w:rsidRDefault="00AF2BFC">
      <w:pPr>
        <w:pStyle w:val="Body"/>
        <w:spacing w:after="0"/>
        <w:rPr>
          <w:rFonts w:ascii="Arial" w:hAnsi="Arial"/>
        </w:rPr>
      </w:pPr>
      <w:r>
        <w:rPr>
          <w:rFonts w:ascii="Arial" w:hAnsi="Arial"/>
        </w:rPr>
        <w:t>A decline in instructional quality also features prominently. Demotivated teachers may rely heavily on outdated teaching methods, reduce classroom interactions, or fail to provide timely feedback. According to Adeyemi (2010), insufficient motivation leads to diminished creativity and less willingness to adopt student-centered teaching approaches. This reduces students’ engagement, interest, and comprehension, ultimately lowering academic performance.</w:t>
      </w:r>
    </w:p>
    <w:p w14:paraId="0BE2276D" w14:textId="77777777" w:rsidR="00580F40" w:rsidRDefault="00AF2BFC">
      <w:pPr>
        <w:pStyle w:val="Body"/>
        <w:spacing w:after="0"/>
        <w:rPr>
          <w:rFonts w:ascii="Arial" w:hAnsi="Arial"/>
        </w:rPr>
      </w:pPr>
      <w:r>
        <w:rPr>
          <w:rFonts w:ascii="Arial" w:hAnsi="Arial"/>
        </w:rPr>
        <w:t>The study further revealed that lack of motivation contributes to negative attitudes such as frustration, irritability, and strained teacher-student relationships. Some teachers may transfer their dissatisfaction to students through harsh responses, reduced patience, or lowered expectations. Research by Bennell and Akyeampong (2007) indicates that emotional exhaustion and burnout (common outcomes of sustained demotivation) can significantly impair teachers’ interactions with students, undermining their sense of safety and belonging.</w:t>
      </w:r>
    </w:p>
    <w:p w14:paraId="5738BA7B" w14:textId="77777777" w:rsidR="00580F40" w:rsidRDefault="00AF2BFC">
      <w:pPr>
        <w:pStyle w:val="Body"/>
        <w:spacing w:after="0"/>
        <w:rPr>
          <w:rFonts w:ascii="Arial" w:hAnsi="Arial" w:cs="Arial"/>
        </w:rPr>
      </w:pPr>
      <w:r>
        <w:rPr>
          <w:rFonts w:ascii="Arial" w:hAnsi="Arial"/>
        </w:rPr>
        <w:t xml:space="preserve">Another problem identified is reduced </w:t>
      </w:r>
      <w:proofErr w:type="spellStart"/>
      <w:r>
        <w:rPr>
          <w:rFonts w:ascii="Arial" w:hAnsi="Arial"/>
        </w:rPr>
        <w:t>organisational</w:t>
      </w:r>
      <w:proofErr w:type="spellEnd"/>
      <w:r>
        <w:rPr>
          <w:rFonts w:ascii="Arial" w:hAnsi="Arial"/>
        </w:rPr>
        <w:t xml:space="preserve"> loyalty. Teachers who do not feel supported by their principals may disengage from school initiatives, avoid extracurricular responsibilities, or show reluctance to participate in collaborative activities. This weakens staff cohesion and limits the effectiveness of school-wide </w:t>
      </w:r>
      <w:proofErr w:type="spellStart"/>
      <w:r>
        <w:rPr>
          <w:rFonts w:ascii="Arial" w:hAnsi="Arial"/>
        </w:rPr>
        <w:t>programmes</w:t>
      </w:r>
      <w:proofErr w:type="spellEnd"/>
      <w:r>
        <w:rPr>
          <w:rFonts w:ascii="Arial" w:hAnsi="Arial"/>
        </w:rPr>
        <w:t>.</w:t>
      </w:r>
    </w:p>
    <w:p w14:paraId="678F3FD5" w14:textId="77777777" w:rsidR="00580F40" w:rsidRDefault="00580F40">
      <w:pPr>
        <w:pStyle w:val="Body"/>
        <w:spacing w:after="0"/>
        <w:rPr>
          <w:rFonts w:ascii="Arial" w:hAnsi="Arial" w:cs="Arial"/>
        </w:rPr>
      </w:pPr>
    </w:p>
    <w:p w14:paraId="445D9204" w14:textId="77777777" w:rsidR="00580F40" w:rsidRDefault="00AF2BFC">
      <w:pPr>
        <w:pStyle w:val="ConcHead"/>
        <w:spacing w:after="0"/>
        <w:jc w:val="both"/>
        <w:rPr>
          <w:rFonts w:ascii="Arial" w:hAnsi="Arial" w:cs="Arial"/>
        </w:rPr>
      </w:pPr>
      <w:r>
        <w:rPr>
          <w:rFonts w:ascii="Arial" w:hAnsi="Arial" w:cs="Arial"/>
        </w:rPr>
        <w:t>4. Conclusion</w:t>
      </w:r>
    </w:p>
    <w:p w14:paraId="60493BB5" w14:textId="77777777" w:rsidR="00580F40" w:rsidRDefault="00580F40">
      <w:pPr>
        <w:pStyle w:val="ConcHead"/>
        <w:spacing w:after="0"/>
        <w:jc w:val="both"/>
        <w:rPr>
          <w:rFonts w:ascii="Arial" w:hAnsi="Arial" w:cs="Arial"/>
        </w:rPr>
      </w:pPr>
    </w:p>
    <w:p w14:paraId="0521D6F5" w14:textId="77777777" w:rsidR="00580F40" w:rsidRDefault="00AF2BFC">
      <w:pPr>
        <w:pStyle w:val="Body"/>
        <w:spacing w:after="0"/>
        <w:rPr>
          <w:rFonts w:ascii="Arial" w:hAnsi="Arial"/>
        </w:rPr>
      </w:pPr>
      <w:r>
        <w:rPr>
          <w:rFonts w:ascii="Arial" w:hAnsi="Arial"/>
        </w:rPr>
        <w:t xml:space="preserve">This study set out to examine the motivational leadership strategies employed by principals in public secondary schools in Aguata Local Government Area of Anambra State and to determine how these strategies influence teacher performance and student academic outcomes. The findings paint a compelling picture: effective school leadership, particularly motivational leadership, is a critical determinant of teacher </w:t>
      </w:r>
      <w:proofErr w:type="spellStart"/>
      <w:r>
        <w:rPr>
          <w:rFonts w:ascii="Arial" w:hAnsi="Arial"/>
        </w:rPr>
        <w:t>behaviour</w:t>
      </w:r>
      <w:proofErr w:type="spellEnd"/>
      <w:r>
        <w:rPr>
          <w:rFonts w:ascii="Arial" w:hAnsi="Arial"/>
        </w:rPr>
        <w:t>, instructional quality and, ultimately, the learning achievement of students. Across all dimensions explored in this study, one central message emerges, teachers perform optimally when they are valued, supported and motivated through deliberate and consistent leadership practices.</w:t>
      </w:r>
    </w:p>
    <w:p w14:paraId="129767D0" w14:textId="77777777" w:rsidR="00580F40" w:rsidRDefault="00AF2BFC">
      <w:pPr>
        <w:pStyle w:val="Body"/>
        <w:spacing w:after="0"/>
        <w:rPr>
          <w:rFonts w:ascii="Arial" w:hAnsi="Arial"/>
        </w:rPr>
      </w:pPr>
      <w:r>
        <w:rPr>
          <w:rFonts w:ascii="Arial" w:hAnsi="Arial"/>
        </w:rPr>
        <w:t xml:space="preserve">The results show that principals in Aguata LGA employ a range of strategies including recommending teachers for promotion, providing opportunities for workshops and seminars, </w:t>
      </w:r>
      <w:proofErr w:type="spellStart"/>
      <w:r>
        <w:rPr>
          <w:rFonts w:ascii="Arial" w:hAnsi="Arial"/>
        </w:rPr>
        <w:t>recognising</w:t>
      </w:r>
      <w:proofErr w:type="spellEnd"/>
      <w:r>
        <w:rPr>
          <w:rFonts w:ascii="Arial" w:hAnsi="Arial"/>
        </w:rPr>
        <w:t xml:space="preserve"> outstanding performance, supplying instructional materials, involving teachers in decision-making and cultivating a supportive school environment. These strategies reflect a multidimensional approach to motivation that aligns with established motivational theories, including Herzberg’s Two-Factor Theory, Expectancy Theory and participatory leadership models. The use of recognition, professional growth opportunities and collaborative decision-making demonstrates that principals understand the psychological and professional needs of teachers and attempt to foster conditions that sustain commitment and enthusiasm.</w:t>
      </w:r>
    </w:p>
    <w:p w14:paraId="0867E550" w14:textId="77777777" w:rsidR="00580F40" w:rsidRDefault="00AF2BFC">
      <w:pPr>
        <w:pStyle w:val="Body"/>
        <w:spacing w:after="0"/>
        <w:rPr>
          <w:rFonts w:ascii="Arial" w:hAnsi="Arial"/>
        </w:rPr>
      </w:pPr>
      <w:r>
        <w:rPr>
          <w:rFonts w:ascii="Arial" w:hAnsi="Arial"/>
        </w:rPr>
        <w:t xml:space="preserve">The study also established that motivated teachers demonstrate higher levels of professionalism, punctuality, creativity and classroom engagement. Motivated teachers prepare better lessons, use more effective teaching methods and show </w:t>
      </w:r>
      <w:r>
        <w:rPr>
          <w:rFonts w:ascii="Arial" w:hAnsi="Arial"/>
        </w:rPr>
        <w:lastRenderedPageBreak/>
        <w:t xml:space="preserve">greater attentiveness to student needs. These </w:t>
      </w:r>
      <w:proofErr w:type="spellStart"/>
      <w:r>
        <w:rPr>
          <w:rFonts w:ascii="Arial" w:hAnsi="Arial"/>
        </w:rPr>
        <w:t>behaviour</w:t>
      </w:r>
      <w:proofErr w:type="spellEnd"/>
      <w:r>
        <w:rPr>
          <w:rFonts w:ascii="Arial" w:hAnsi="Arial"/>
        </w:rPr>
        <w:t xml:space="preserve"> patterns translate directly into improved student outcomes, reinforcing the long-standing conclusion that teacher motivation is inseparable from educational quality. When teachers feel emotionally and professionally supported, their classrooms become more vibrant spaces where students are encouraged to learn actively and think critically. Conversely, demotivated teachers often exhibit absenteeism, laxity, diminished instructional quality and negative attitudes that weaken student performance.</w:t>
      </w:r>
    </w:p>
    <w:p w14:paraId="77DD413B" w14:textId="77777777" w:rsidR="00580F40" w:rsidRDefault="00AF2BFC">
      <w:pPr>
        <w:pStyle w:val="Body"/>
        <w:spacing w:after="0"/>
        <w:rPr>
          <w:rFonts w:ascii="Arial" w:hAnsi="Arial"/>
        </w:rPr>
      </w:pPr>
      <w:r>
        <w:rPr>
          <w:rFonts w:ascii="Arial" w:hAnsi="Arial"/>
        </w:rPr>
        <w:t xml:space="preserve">The consequences of inadequate teacher motivation observed in this study are serious and far-reaching. Demotivation threatens not only individual teacher effectiveness but also collective </w:t>
      </w:r>
      <w:proofErr w:type="spellStart"/>
      <w:r>
        <w:rPr>
          <w:rFonts w:ascii="Arial" w:hAnsi="Arial"/>
        </w:rPr>
        <w:t>organi</w:t>
      </w:r>
      <w:bookmarkStart w:id="0" w:name="_GoBack"/>
      <w:bookmarkEnd w:id="0"/>
      <w:r>
        <w:rPr>
          <w:rFonts w:ascii="Arial" w:hAnsi="Arial"/>
        </w:rPr>
        <w:t>sational</w:t>
      </w:r>
      <w:proofErr w:type="spellEnd"/>
      <w:r>
        <w:rPr>
          <w:rFonts w:ascii="Arial" w:hAnsi="Arial"/>
        </w:rPr>
        <w:t xml:space="preserve"> culture. Schools with demotivated teachers experience diminished staff cohesion, strained teacher-student interactions, reduced participation in school initiatives and overall decline in academic standards. These findings align with national and international evidence showing that teacher morale is a strategic driver of educational development. Any educational system that neglects teacher motivation risks systemic deterioration.</w:t>
      </w:r>
    </w:p>
    <w:p w14:paraId="21C17137" w14:textId="77777777" w:rsidR="00580F40" w:rsidRDefault="00AF2BFC">
      <w:pPr>
        <w:pStyle w:val="Body"/>
        <w:spacing w:after="0"/>
        <w:rPr>
          <w:rFonts w:ascii="Arial" w:hAnsi="Arial"/>
        </w:rPr>
      </w:pPr>
      <w:r>
        <w:rPr>
          <w:rFonts w:ascii="Arial" w:hAnsi="Arial"/>
        </w:rPr>
        <w:t xml:space="preserve">In view of these conclusions, the study argues strongly that motivational leadership should be treated as a core competency for school principals, not an optional or peripheral skill. Leadership training </w:t>
      </w:r>
      <w:proofErr w:type="spellStart"/>
      <w:r>
        <w:rPr>
          <w:rFonts w:ascii="Arial" w:hAnsi="Arial"/>
        </w:rPr>
        <w:t>programmes</w:t>
      </w:r>
      <w:proofErr w:type="spellEnd"/>
      <w:r>
        <w:rPr>
          <w:rFonts w:ascii="Arial" w:hAnsi="Arial"/>
        </w:rPr>
        <w:t xml:space="preserve"> by the Post Primary Schools Service Commission and the Ministry of Education should </w:t>
      </w:r>
      <w:proofErr w:type="spellStart"/>
      <w:r>
        <w:rPr>
          <w:rFonts w:ascii="Arial" w:hAnsi="Arial"/>
        </w:rPr>
        <w:t>prioritise</w:t>
      </w:r>
      <w:proofErr w:type="spellEnd"/>
      <w:r>
        <w:rPr>
          <w:rFonts w:ascii="Arial" w:hAnsi="Arial"/>
        </w:rPr>
        <w:t xml:space="preserve"> motivation-oriented leadership development. Government support is also crucial, particularly in ensuring timely salary payment, improving infrastructure, providing adequate instructional materials and expanding opportunities for teacher professional development.</w:t>
      </w:r>
    </w:p>
    <w:p w14:paraId="4578A195" w14:textId="77777777" w:rsidR="00580F40" w:rsidRDefault="00AF2BFC">
      <w:pPr>
        <w:pStyle w:val="Body"/>
        <w:spacing w:after="0"/>
        <w:rPr>
          <w:rFonts w:ascii="Arial Bold" w:hAnsi="Arial Bold" w:cs="Arial Bold"/>
          <w:b/>
          <w:bCs/>
          <w:sz w:val="22"/>
          <w:szCs w:val="22"/>
        </w:rPr>
      </w:pPr>
      <w:r>
        <w:rPr>
          <w:rFonts w:ascii="Arial Bold" w:hAnsi="Arial Bold" w:cs="Arial Bold"/>
          <w:b/>
          <w:bCs/>
          <w:sz w:val="22"/>
          <w:szCs w:val="22"/>
        </w:rPr>
        <w:t>Recommendations for Further Studies</w:t>
      </w:r>
    </w:p>
    <w:p w14:paraId="22124162" w14:textId="77777777" w:rsidR="00580F40" w:rsidRDefault="00AF2BFC">
      <w:pPr>
        <w:pStyle w:val="Body"/>
        <w:spacing w:after="0"/>
        <w:rPr>
          <w:rFonts w:ascii="Arial" w:hAnsi="Arial"/>
        </w:rPr>
      </w:pPr>
      <w:r>
        <w:rPr>
          <w:rFonts w:ascii="Arial" w:hAnsi="Arial"/>
        </w:rPr>
        <w:t>While this study provides valuable insights into motivational leadership and teacher performance, it also opens several avenues for future research:</w:t>
      </w:r>
    </w:p>
    <w:p w14:paraId="6A20A6BF" w14:textId="77777777" w:rsidR="00580F40" w:rsidRDefault="00AF2BFC">
      <w:pPr>
        <w:pStyle w:val="Body"/>
        <w:numPr>
          <w:ilvl w:val="0"/>
          <w:numId w:val="2"/>
        </w:numPr>
        <w:spacing w:after="0"/>
        <w:rPr>
          <w:rFonts w:ascii="Arial" w:hAnsi="Arial"/>
        </w:rPr>
      </w:pPr>
      <w:r>
        <w:rPr>
          <w:rFonts w:ascii="Arial" w:hAnsi="Arial"/>
        </w:rPr>
        <w:t>Comparative studies across multiple LGAs or states could reveal regional variations in motivational leadership practices and identify context-specific factors influencing teacher motivation.</w:t>
      </w:r>
    </w:p>
    <w:p w14:paraId="4F503346" w14:textId="77777777" w:rsidR="00580F40" w:rsidRDefault="00AF2BFC">
      <w:pPr>
        <w:pStyle w:val="Body"/>
        <w:numPr>
          <w:ilvl w:val="0"/>
          <w:numId w:val="2"/>
        </w:numPr>
        <w:spacing w:after="0"/>
        <w:rPr>
          <w:rFonts w:ascii="Arial" w:hAnsi="Arial"/>
        </w:rPr>
      </w:pPr>
      <w:r>
        <w:rPr>
          <w:rFonts w:ascii="Arial" w:hAnsi="Arial"/>
        </w:rPr>
        <w:t xml:space="preserve">Longitudinal studies tracking teachers over several years would provide deeper insights into how sustained motivation or demotivation shapes professional </w:t>
      </w:r>
      <w:proofErr w:type="spellStart"/>
      <w:r>
        <w:rPr>
          <w:rFonts w:ascii="Arial" w:hAnsi="Arial"/>
        </w:rPr>
        <w:t>behaviour</w:t>
      </w:r>
      <w:proofErr w:type="spellEnd"/>
      <w:r>
        <w:rPr>
          <w:rFonts w:ascii="Arial" w:hAnsi="Arial"/>
        </w:rPr>
        <w:t xml:space="preserve"> and student outcomes over time.</w:t>
      </w:r>
    </w:p>
    <w:p w14:paraId="52A890A9" w14:textId="77777777" w:rsidR="00580F40" w:rsidRDefault="00AF2BFC">
      <w:pPr>
        <w:pStyle w:val="Body"/>
        <w:numPr>
          <w:ilvl w:val="0"/>
          <w:numId w:val="2"/>
        </w:numPr>
        <w:spacing w:after="0"/>
        <w:rPr>
          <w:rFonts w:ascii="Arial" w:hAnsi="Arial"/>
        </w:rPr>
      </w:pPr>
      <w:r>
        <w:rPr>
          <w:rFonts w:ascii="Arial" w:hAnsi="Arial"/>
        </w:rPr>
        <w:t>Future research could employ mixed-methods designs, integrating interviews and classroom observations to capture deeper qualitative nuances that survey data alone may not fully reveal.</w:t>
      </w:r>
    </w:p>
    <w:p w14:paraId="15B177C3" w14:textId="77777777" w:rsidR="00580F40" w:rsidRDefault="00AF2BFC">
      <w:pPr>
        <w:pStyle w:val="Body"/>
        <w:numPr>
          <w:ilvl w:val="0"/>
          <w:numId w:val="2"/>
        </w:numPr>
        <w:spacing w:after="0"/>
        <w:rPr>
          <w:rFonts w:ascii="Arial" w:hAnsi="Arial"/>
        </w:rPr>
      </w:pPr>
      <w:r>
        <w:rPr>
          <w:rFonts w:ascii="Arial" w:hAnsi="Arial"/>
        </w:rPr>
        <w:t xml:space="preserve">Studies should examine the role of government and policy-level variables, such as funding patterns, professional development policies and </w:t>
      </w:r>
      <w:proofErr w:type="spellStart"/>
      <w:r>
        <w:rPr>
          <w:rFonts w:ascii="Arial" w:hAnsi="Arial"/>
        </w:rPr>
        <w:t>decentralised</w:t>
      </w:r>
      <w:proofErr w:type="spellEnd"/>
      <w:r>
        <w:rPr>
          <w:rFonts w:ascii="Arial" w:hAnsi="Arial"/>
        </w:rPr>
        <w:t xml:space="preserve"> leadership structures, in moderating teacher motivation.</w:t>
      </w:r>
    </w:p>
    <w:p w14:paraId="183A8484" w14:textId="77777777" w:rsidR="00580F40" w:rsidRDefault="00AF2BFC">
      <w:pPr>
        <w:pStyle w:val="Body"/>
        <w:numPr>
          <w:ilvl w:val="0"/>
          <w:numId w:val="2"/>
        </w:numPr>
        <w:spacing w:after="0"/>
        <w:rPr>
          <w:rFonts w:ascii="Arial" w:hAnsi="Arial"/>
        </w:rPr>
      </w:pPr>
      <w:r>
        <w:rPr>
          <w:rFonts w:ascii="Arial" w:hAnsi="Arial"/>
        </w:rPr>
        <w:t>Given the rise of digital teaching tools, research could explore how technology-enabled leadership practices, such as digital supervision, e-learning support and online recognition systems, affect teacher motivation in contemporary school settings.</w:t>
      </w:r>
    </w:p>
    <w:p w14:paraId="67E3788D" w14:textId="77777777" w:rsidR="00580F40" w:rsidRDefault="00580F40"/>
    <w:p w14:paraId="19BB3449" w14:textId="77777777" w:rsidR="00580F40" w:rsidRDefault="00580F40"/>
    <w:p w14:paraId="295E425C" w14:textId="77777777" w:rsidR="00580F40" w:rsidRDefault="00580F40"/>
    <w:p w14:paraId="6840C105" w14:textId="77777777" w:rsidR="00580F40" w:rsidRDefault="00580F40"/>
    <w:p w14:paraId="49FC9CCC" w14:textId="77777777" w:rsidR="00580F40" w:rsidRDefault="00AF2BFC">
      <w:pPr>
        <w:pStyle w:val="ReferHead"/>
        <w:spacing w:after="0"/>
        <w:jc w:val="both"/>
        <w:rPr>
          <w:rFonts w:ascii="Arial" w:hAnsi="Arial" w:cs="Arial"/>
          <w:bCs/>
        </w:rPr>
      </w:pPr>
      <w:r>
        <w:rPr>
          <w:rFonts w:ascii="Arial" w:hAnsi="Arial" w:cs="Arial"/>
          <w:bCs/>
        </w:rPr>
        <w:t>Competing interests</w:t>
      </w:r>
    </w:p>
    <w:p w14:paraId="610BE056" w14:textId="77777777" w:rsidR="00580F40" w:rsidRDefault="00580F40">
      <w:pPr>
        <w:pStyle w:val="ReferHead"/>
        <w:spacing w:after="0"/>
        <w:jc w:val="both"/>
        <w:rPr>
          <w:rFonts w:ascii="Arial" w:hAnsi="Arial" w:cs="Arial"/>
        </w:rPr>
      </w:pPr>
    </w:p>
    <w:p w14:paraId="582DA385" w14:textId="77777777" w:rsidR="00580F40" w:rsidRDefault="00AF2BFC">
      <w:pPr>
        <w:pStyle w:val="ReferHead"/>
        <w:spacing w:after="0"/>
        <w:jc w:val="both"/>
        <w:rPr>
          <w:rFonts w:ascii="Arial" w:hAnsi="Arial" w:cs="Arial"/>
          <w:b w:val="0"/>
          <w:caps w:val="0"/>
          <w:sz w:val="20"/>
        </w:rPr>
      </w:pPr>
      <w:r>
        <w:rPr>
          <w:rFonts w:ascii="Arial" w:hAnsi="Arial"/>
          <w:b w:val="0"/>
          <w:caps w:val="0"/>
          <w:sz w:val="20"/>
        </w:rPr>
        <w:t>The author declares no competing interests.</w:t>
      </w:r>
    </w:p>
    <w:p w14:paraId="50E542CD" w14:textId="77777777" w:rsidR="00580F40" w:rsidRDefault="00580F40">
      <w:pPr>
        <w:pStyle w:val="ReferHead"/>
        <w:spacing w:after="0"/>
        <w:jc w:val="both"/>
        <w:rPr>
          <w:rFonts w:ascii="Arial" w:hAnsi="Arial" w:cs="Arial"/>
          <w:bCs/>
        </w:rPr>
      </w:pPr>
    </w:p>
    <w:p w14:paraId="5B789742" w14:textId="77777777" w:rsidR="00580F40" w:rsidRDefault="00580F40">
      <w:pPr>
        <w:pStyle w:val="ReferHead"/>
        <w:spacing w:after="0"/>
        <w:jc w:val="both"/>
        <w:rPr>
          <w:rFonts w:ascii="Arial" w:hAnsi="Arial" w:cs="Arial"/>
          <w:b w:val="0"/>
          <w:caps w:val="0"/>
          <w:sz w:val="20"/>
        </w:rPr>
      </w:pPr>
    </w:p>
    <w:p w14:paraId="3A30D139" w14:textId="0505AAA0" w:rsidR="00580F40" w:rsidRDefault="00AF2BFC">
      <w:pPr>
        <w:pStyle w:val="ReferHead"/>
        <w:spacing w:after="0"/>
        <w:jc w:val="both"/>
        <w:rPr>
          <w:rFonts w:ascii="Arial" w:hAnsi="Arial" w:cs="Arial"/>
          <w:bCs/>
        </w:rPr>
      </w:pPr>
      <w:r>
        <w:rPr>
          <w:rFonts w:ascii="Arial" w:hAnsi="Arial" w:cs="Arial"/>
          <w:bCs/>
        </w:rPr>
        <w:t xml:space="preserve">Ethical approval </w:t>
      </w:r>
    </w:p>
    <w:p w14:paraId="2E0B8561" w14:textId="77777777" w:rsidR="00580F40" w:rsidRDefault="00AF2BFC">
      <w:pPr>
        <w:pStyle w:val="ReferHead"/>
        <w:spacing w:after="0"/>
        <w:jc w:val="both"/>
        <w:rPr>
          <w:rFonts w:ascii="Arial" w:hAnsi="Arial"/>
          <w:b w:val="0"/>
          <w:caps w:val="0"/>
          <w:sz w:val="20"/>
        </w:rPr>
      </w:pPr>
      <w:r>
        <w:rPr>
          <w:rFonts w:ascii="Arial" w:hAnsi="Arial"/>
          <w:b w:val="0"/>
          <w:caps w:val="0"/>
          <w:sz w:val="20"/>
        </w:rPr>
        <w:t>This study followed ethical standards appropriate for educational research. Permission was obtained from participating schools, and respondents gave informed consent.</w:t>
      </w:r>
    </w:p>
    <w:p w14:paraId="096BDC32" w14:textId="77777777" w:rsidR="00580F40" w:rsidRDefault="00580F40">
      <w:pPr>
        <w:pStyle w:val="ReferHead"/>
        <w:spacing w:after="0"/>
        <w:jc w:val="both"/>
        <w:rPr>
          <w:rFonts w:ascii="Arial" w:hAnsi="Arial" w:cs="Arial"/>
        </w:rPr>
      </w:pPr>
    </w:p>
    <w:p w14:paraId="475FC0E4" w14:textId="77777777" w:rsidR="00580F40" w:rsidRDefault="00AF2BFC">
      <w:pPr>
        <w:pStyle w:val="ReferHead"/>
        <w:spacing w:after="0"/>
        <w:jc w:val="both"/>
        <w:rPr>
          <w:rFonts w:ascii="Arial" w:hAnsi="Arial" w:cs="Arial"/>
        </w:rPr>
      </w:pPr>
      <w:r>
        <w:rPr>
          <w:rFonts w:ascii="Arial" w:hAnsi="Arial" w:cs="Arial"/>
        </w:rPr>
        <w:t>References</w:t>
      </w:r>
    </w:p>
    <w:p w14:paraId="053A3E05" w14:textId="77777777" w:rsidR="00580F40" w:rsidRDefault="00580F40">
      <w:pPr>
        <w:pStyle w:val="ReferHead"/>
        <w:spacing w:after="0"/>
        <w:jc w:val="both"/>
        <w:rPr>
          <w:rFonts w:ascii="Arial" w:hAnsi="Arial" w:cs="Arial"/>
        </w:rPr>
      </w:pPr>
    </w:p>
    <w:p w14:paraId="36D316ED" w14:textId="767B3EB5" w:rsidR="00580F40" w:rsidRDefault="00BF3D0D" w:rsidP="00BF3D0D">
      <w:pPr>
        <w:pStyle w:val="Body"/>
        <w:numPr>
          <w:ilvl w:val="0"/>
          <w:numId w:val="5"/>
        </w:numPr>
        <w:spacing w:after="0"/>
      </w:pPr>
      <w:r w:rsidRPr="00BF3D0D">
        <w:t xml:space="preserve">Adeyemi, T. O. (2010). Principals’ leadership styles and teachers’ job performance in senior secondary schools in Ondo State, Nigeria. International Journal of Educational Administration and Policy Studies, 2(6), 83–91. </w:t>
      </w:r>
      <w:hyperlink r:id="rId15" w:history="1">
        <w:r w:rsidRPr="009055FF">
          <w:rPr>
            <w:rStyle w:val="Hyperlink"/>
          </w:rPr>
          <w:t>https://doi.org/10.5897/IJEAPS10.019</w:t>
        </w:r>
      </w:hyperlink>
      <w:r>
        <w:t xml:space="preserve"> </w:t>
      </w:r>
    </w:p>
    <w:p w14:paraId="01FE9338" w14:textId="77777777" w:rsidR="00580F40" w:rsidRDefault="00AF2BFC" w:rsidP="00BF3D0D">
      <w:pPr>
        <w:pStyle w:val="Body"/>
        <w:numPr>
          <w:ilvl w:val="0"/>
          <w:numId w:val="5"/>
        </w:numPr>
        <w:spacing w:after="0"/>
      </w:pPr>
      <w:r>
        <w:t>Afe, J. O. (2001). Reflections on becoming a teacher and the challenges of teacher education. Inaugural Lecture Series 64, University of Benin.</w:t>
      </w:r>
    </w:p>
    <w:p w14:paraId="6E1B047A" w14:textId="2D7854C9" w:rsidR="00580F40" w:rsidRDefault="002132E0" w:rsidP="002132E0">
      <w:pPr>
        <w:pStyle w:val="Body"/>
        <w:numPr>
          <w:ilvl w:val="0"/>
          <w:numId w:val="5"/>
        </w:numPr>
        <w:spacing w:after="0"/>
      </w:pPr>
      <w:proofErr w:type="spellStart"/>
      <w:r w:rsidRPr="002132E0">
        <w:t>Akiri</w:t>
      </w:r>
      <w:proofErr w:type="spellEnd"/>
      <w:r w:rsidRPr="002132E0">
        <w:t xml:space="preserve">, A. A., &amp; </w:t>
      </w:r>
      <w:proofErr w:type="spellStart"/>
      <w:r w:rsidRPr="002132E0">
        <w:t>Ugborugbo</w:t>
      </w:r>
      <w:proofErr w:type="spellEnd"/>
      <w:r w:rsidRPr="002132E0">
        <w:t xml:space="preserve">, N. M. (2009). Teachers' Effectiveness and Students' Academic Performance in Public Secondary Schools in Delta State, Nigeria. Studies on Home and Community Science. </w:t>
      </w:r>
      <w:hyperlink r:id="rId16" w:history="1">
        <w:r w:rsidRPr="009055FF">
          <w:rPr>
            <w:rStyle w:val="Hyperlink"/>
          </w:rPr>
          <w:t>https://doi.org/10.1080/09737189.2009.11885284</w:t>
        </w:r>
      </w:hyperlink>
      <w:r>
        <w:t xml:space="preserve"> </w:t>
      </w:r>
    </w:p>
    <w:p w14:paraId="7299B4FA" w14:textId="5291A197" w:rsidR="00580F40" w:rsidRDefault="00C82920" w:rsidP="00C82920">
      <w:pPr>
        <w:pStyle w:val="Body"/>
        <w:numPr>
          <w:ilvl w:val="0"/>
          <w:numId w:val="5"/>
        </w:numPr>
        <w:spacing w:after="0"/>
      </w:pPr>
      <w:proofErr w:type="spellStart"/>
      <w:r w:rsidRPr="00C82920">
        <w:t>Bennell</w:t>
      </w:r>
      <w:proofErr w:type="spellEnd"/>
      <w:r w:rsidRPr="00C82920">
        <w:t xml:space="preserve">, P., &amp; </w:t>
      </w:r>
      <w:proofErr w:type="spellStart"/>
      <w:r w:rsidRPr="00C82920">
        <w:t>Akyeampong</w:t>
      </w:r>
      <w:proofErr w:type="spellEnd"/>
      <w:r w:rsidRPr="00C82920">
        <w:t xml:space="preserve">, K. (2007). Teacher Motivation in Sub-Saharan Africa and South Asia. DFID Educational Papers. </w:t>
      </w:r>
      <w:hyperlink r:id="rId17" w:history="1">
        <w:r w:rsidRPr="009055FF">
          <w:rPr>
            <w:rStyle w:val="Hyperlink"/>
          </w:rPr>
          <w:t>https://assets.publishing.service.gov.uk/media/57a08be640f0b652dd000f9a/ResearchingtheIssuesNo71.pdf</w:t>
        </w:r>
      </w:hyperlink>
      <w:r>
        <w:t xml:space="preserve"> </w:t>
      </w:r>
    </w:p>
    <w:p w14:paraId="0E478C1E" w14:textId="57A5F96E" w:rsidR="00580F40" w:rsidRDefault="006D1B79" w:rsidP="006D1B79">
      <w:pPr>
        <w:pStyle w:val="Body"/>
        <w:numPr>
          <w:ilvl w:val="0"/>
          <w:numId w:val="5"/>
        </w:numPr>
        <w:spacing w:after="0"/>
      </w:pPr>
      <w:r w:rsidRPr="006D1B79">
        <w:t xml:space="preserve">Bush, T. (2020). Theories of educational leadership and management (5th ed.). Sage. </w:t>
      </w:r>
      <w:hyperlink r:id="rId18" w:history="1">
        <w:r w:rsidRPr="009055FF">
          <w:rPr>
            <w:rStyle w:val="Hyperlink"/>
          </w:rPr>
          <w:t>https://us.sagepub.com/en-us/nam/theories-of-educational-leadership-and-management/book266990</w:t>
        </w:r>
      </w:hyperlink>
      <w:r>
        <w:t xml:space="preserve"> </w:t>
      </w:r>
    </w:p>
    <w:p w14:paraId="5BC59122" w14:textId="77777777" w:rsidR="00580F40" w:rsidRDefault="00AF2BFC" w:rsidP="00BF3D0D">
      <w:pPr>
        <w:pStyle w:val="Body"/>
        <w:numPr>
          <w:ilvl w:val="0"/>
          <w:numId w:val="5"/>
        </w:numPr>
        <w:spacing w:after="0"/>
      </w:pPr>
      <w:r>
        <w:lastRenderedPageBreak/>
        <w:t>Chukwu, C. U., &amp; Igboke, S. A. (2021). Teacher motivation and classroom effectiveness in Nigerian secondary schools. Journal of Education and Practice, 12(14), 45–53.</w:t>
      </w:r>
    </w:p>
    <w:p w14:paraId="5510C8FE" w14:textId="5EBFF593" w:rsidR="00580F40" w:rsidRDefault="00657BED" w:rsidP="00657BED">
      <w:pPr>
        <w:pStyle w:val="Body"/>
        <w:numPr>
          <w:ilvl w:val="0"/>
          <w:numId w:val="5"/>
        </w:numPr>
        <w:spacing w:after="0"/>
      </w:pPr>
      <w:r w:rsidRPr="00657BED">
        <w:t xml:space="preserve">Darling-Hammond, L. (2000). Teacher quality and student achievement: A review of state policy evidence. Education Policy Analysis Archives, 8(1), 1–44. </w:t>
      </w:r>
      <w:hyperlink r:id="rId19" w:history="1">
        <w:r w:rsidRPr="009055FF">
          <w:rPr>
            <w:rStyle w:val="Hyperlink"/>
          </w:rPr>
          <w:t>https://doi.org/10.14507/epaa.v8n1.2000</w:t>
        </w:r>
      </w:hyperlink>
      <w:r>
        <w:t xml:space="preserve"> </w:t>
      </w:r>
    </w:p>
    <w:p w14:paraId="73C8037C" w14:textId="505A9ABE" w:rsidR="00580F40" w:rsidRDefault="00BF6640" w:rsidP="00BF6640">
      <w:pPr>
        <w:pStyle w:val="Body"/>
        <w:numPr>
          <w:ilvl w:val="0"/>
          <w:numId w:val="5"/>
        </w:numPr>
        <w:spacing w:after="0"/>
      </w:pPr>
      <w:r w:rsidRPr="00BF6640">
        <w:t xml:space="preserve">Deci, E. L., &amp; Ryan, R. M. (2000). The “What” and “Why” of Goal Pursuits: Human Needs and the Self-Determination of Behavior. Psychological Inquiry, 11(4), 227–268. </w:t>
      </w:r>
      <w:hyperlink r:id="rId20" w:history="1">
        <w:r w:rsidRPr="009055FF">
          <w:rPr>
            <w:rStyle w:val="Hyperlink"/>
          </w:rPr>
          <w:t>https://doi.org/10.1207/S15327965PLI1104_01</w:t>
        </w:r>
      </w:hyperlink>
      <w:r>
        <w:t xml:space="preserve"> </w:t>
      </w:r>
    </w:p>
    <w:p w14:paraId="2F993C68" w14:textId="77777777" w:rsidR="00580F40" w:rsidRDefault="00AF2BFC" w:rsidP="00BF3D0D">
      <w:pPr>
        <w:pStyle w:val="Body"/>
        <w:numPr>
          <w:ilvl w:val="0"/>
          <w:numId w:val="5"/>
        </w:numPr>
        <w:spacing w:after="0"/>
      </w:pPr>
      <w:r>
        <w:t>Ejiogu, A. (2006). School Personnel Management: A Nigerian Perspective. University of Lagos Press.</w:t>
      </w:r>
    </w:p>
    <w:p w14:paraId="10667991" w14:textId="27E5A083" w:rsidR="00580F40" w:rsidRDefault="00595712" w:rsidP="00595712">
      <w:pPr>
        <w:pStyle w:val="Body"/>
        <w:numPr>
          <w:ilvl w:val="0"/>
          <w:numId w:val="5"/>
        </w:numPr>
        <w:spacing w:after="0"/>
      </w:pPr>
      <w:proofErr w:type="spellStart"/>
      <w:r w:rsidRPr="00595712">
        <w:t>Ekundayo</w:t>
      </w:r>
      <w:proofErr w:type="spellEnd"/>
      <w:r w:rsidRPr="00595712">
        <w:t xml:space="preserve">, H. T. (2010). Administering secondary schools in Nigeria for quality output in the 21st century: The principal’s challenge. European Journal of Educational Studies. </w:t>
      </w:r>
      <w:hyperlink r:id="rId21" w:history="1">
        <w:r w:rsidRPr="009055FF">
          <w:rPr>
            <w:rStyle w:val="Hyperlink"/>
          </w:rPr>
          <w:t>https://oapub.org/edu/</w:t>
        </w:r>
      </w:hyperlink>
      <w:r>
        <w:t xml:space="preserve"> </w:t>
      </w:r>
    </w:p>
    <w:p w14:paraId="444349C7" w14:textId="77777777" w:rsidR="00580F40" w:rsidRDefault="00AF2BFC" w:rsidP="00BF3D0D">
      <w:pPr>
        <w:pStyle w:val="Body"/>
        <w:numPr>
          <w:ilvl w:val="0"/>
          <w:numId w:val="5"/>
        </w:numPr>
        <w:spacing w:after="0"/>
      </w:pPr>
      <w:r>
        <w:t>Emeh, J. U., &amp; Ogah, J. I. (2014). The role of adequate instructional materials provision on teachers’ job performance in public secondary schools in Cross River State, Nigeria. British Journal of Education, 2(3), 68–80.</w:t>
      </w:r>
    </w:p>
    <w:p w14:paraId="2DADD51E" w14:textId="04E12A90" w:rsidR="00580F40" w:rsidRDefault="00EA102C" w:rsidP="00EA102C">
      <w:pPr>
        <w:pStyle w:val="Body"/>
        <w:numPr>
          <w:ilvl w:val="0"/>
          <w:numId w:val="5"/>
        </w:numPr>
        <w:spacing w:after="0"/>
      </w:pPr>
      <w:proofErr w:type="spellStart"/>
      <w:r w:rsidRPr="00EA102C">
        <w:t>Guskey</w:t>
      </w:r>
      <w:proofErr w:type="spellEnd"/>
      <w:r w:rsidRPr="00EA102C">
        <w:t xml:space="preserve">, T. R. (2002). Professional development and teacher change. Teachers and Teaching: Theory and Practice, 8(3), 381–391. </w:t>
      </w:r>
      <w:hyperlink r:id="rId22" w:history="1">
        <w:r w:rsidRPr="009055FF">
          <w:rPr>
            <w:rStyle w:val="Hyperlink"/>
          </w:rPr>
          <w:t>https://doi.org/10.1080/135406002100000512</w:t>
        </w:r>
      </w:hyperlink>
      <w:r>
        <w:t xml:space="preserve"> </w:t>
      </w:r>
    </w:p>
    <w:p w14:paraId="3057AA5D" w14:textId="3578B595" w:rsidR="00580F40" w:rsidRDefault="00C220F5" w:rsidP="00C220F5">
      <w:pPr>
        <w:pStyle w:val="Body"/>
        <w:numPr>
          <w:ilvl w:val="0"/>
          <w:numId w:val="5"/>
        </w:numPr>
        <w:spacing w:after="0"/>
      </w:pPr>
      <w:proofErr w:type="spellStart"/>
      <w:r w:rsidRPr="00C220F5">
        <w:t>Hallinger</w:t>
      </w:r>
      <w:proofErr w:type="spellEnd"/>
      <w:r w:rsidRPr="00C220F5">
        <w:t xml:space="preserve">, P. (2011). Leadership for learning: Lessons from 40 years of empirical research. Journal of Educational Administration, 49(2), 125–142. </w:t>
      </w:r>
      <w:hyperlink r:id="rId23" w:history="1">
        <w:r w:rsidRPr="009055FF">
          <w:rPr>
            <w:rStyle w:val="Hyperlink"/>
          </w:rPr>
          <w:t>https://doi.org/10.1108/09578231111116699</w:t>
        </w:r>
      </w:hyperlink>
      <w:r>
        <w:t xml:space="preserve"> </w:t>
      </w:r>
    </w:p>
    <w:p w14:paraId="247EDD17" w14:textId="77777777" w:rsidR="00580F40" w:rsidRDefault="00AF2BFC" w:rsidP="00BF3D0D">
      <w:pPr>
        <w:pStyle w:val="Body"/>
        <w:numPr>
          <w:ilvl w:val="0"/>
          <w:numId w:val="5"/>
        </w:numPr>
        <w:spacing w:after="0"/>
      </w:pPr>
      <w:r>
        <w:t>Herzberg, F. (1966). Work and the Nature of Man. World Publishing.</w:t>
      </w:r>
    </w:p>
    <w:p w14:paraId="3173FD73" w14:textId="77777777" w:rsidR="00580F40" w:rsidRDefault="00AF2BFC" w:rsidP="00BF3D0D">
      <w:pPr>
        <w:pStyle w:val="Body"/>
        <w:numPr>
          <w:ilvl w:val="0"/>
          <w:numId w:val="5"/>
        </w:numPr>
        <w:spacing w:after="0"/>
      </w:pPr>
      <w:r>
        <w:t>Hoy, W. K., &amp; Miskel, C. G. (2013). Educational Administration: Theory, Research, and Practice (9th ed.). McGraw-Hill.</w:t>
      </w:r>
    </w:p>
    <w:p w14:paraId="10F6E0C5" w14:textId="77777777" w:rsidR="00580F40" w:rsidRDefault="00AF2BFC" w:rsidP="00BF3D0D">
      <w:pPr>
        <w:pStyle w:val="Body"/>
        <w:numPr>
          <w:ilvl w:val="0"/>
          <w:numId w:val="5"/>
        </w:numPr>
        <w:spacing w:after="0"/>
      </w:pPr>
      <w:r>
        <w:t>Mohammed, T. A., &amp; Musa, A. (2016). Professional development and teacher motivation in Nigerian secondary schools. International Journal of Education and Research, 4(7), 123–136.</w:t>
      </w:r>
    </w:p>
    <w:p w14:paraId="6B3B8E56" w14:textId="47D1FAD2" w:rsidR="00580F40" w:rsidRDefault="007125CA" w:rsidP="007125CA">
      <w:pPr>
        <w:pStyle w:val="Body"/>
        <w:numPr>
          <w:ilvl w:val="0"/>
          <w:numId w:val="5"/>
        </w:numPr>
        <w:spacing w:after="0"/>
      </w:pPr>
      <w:r w:rsidRPr="007125CA">
        <w:t xml:space="preserve">Nguni, S., </w:t>
      </w:r>
      <w:proofErr w:type="spellStart"/>
      <w:r w:rsidRPr="007125CA">
        <w:t>Sleegers</w:t>
      </w:r>
      <w:proofErr w:type="spellEnd"/>
      <w:r w:rsidRPr="007125CA">
        <w:t xml:space="preserve">, P., &amp; </w:t>
      </w:r>
      <w:proofErr w:type="spellStart"/>
      <w:r w:rsidRPr="007125CA">
        <w:t>Denessen</w:t>
      </w:r>
      <w:proofErr w:type="spellEnd"/>
      <w:r w:rsidRPr="007125CA">
        <w:t xml:space="preserve">, E. (2006). Transformational and transactional leadership effects on teachers’ job satisfaction, organizational commitment, and organizational citizenship behavior in primary schools: The Tanzanian case. School Effectiveness and School Improvement, 17(2), 145–177. </w:t>
      </w:r>
      <w:hyperlink r:id="rId24" w:history="1">
        <w:r w:rsidRPr="009055FF">
          <w:rPr>
            <w:rStyle w:val="Hyperlink"/>
          </w:rPr>
          <w:t>https://doi.org/10.1080/09243450600565746</w:t>
        </w:r>
      </w:hyperlink>
      <w:r>
        <w:t xml:space="preserve"> </w:t>
      </w:r>
    </w:p>
    <w:p w14:paraId="0B12D58E" w14:textId="77777777" w:rsidR="00580F40" w:rsidRDefault="00AF2BFC" w:rsidP="00BF3D0D">
      <w:pPr>
        <w:pStyle w:val="Body"/>
        <w:numPr>
          <w:ilvl w:val="0"/>
          <w:numId w:val="5"/>
        </w:numPr>
        <w:spacing w:after="0"/>
      </w:pPr>
      <w:r>
        <w:t>Nwagwu, N. A. (2004). The role of the principal in the 21st century school system. Nigerian Journal of Educational Administration and Planning, 4(1), 11–20.</w:t>
      </w:r>
    </w:p>
    <w:p w14:paraId="4B09834E" w14:textId="443646CC" w:rsidR="00580F40" w:rsidRDefault="00CE5BBA" w:rsidP="00CE5BBA">
      <w:pPr>
        <w:pStyle w:val="Body"/>
        <w:numPr>
          <w:ilvl w:val="0"/>
          <w:numId w:val="5"/>
        </w:numPr>
        <w:spacing w:after="0"/>
      </w:pPr>
      <w:proofErr w:type="spellStart"/>
      <w:r w:rsidRPr="00CE5BBA">
        <w:t>Ofojebe</w:t>
      </w:r>
      <w:proofErr w:type="spellEnd"/>
      <w:r w:rsidRPr="00CE5BBA">
        <w:t xml:space="preserve">, W. N., &amp; </w:t>
      </w:r>
      <w:proofErr w:type="spellStart"/>
      <w:r w:rsidRPr="00CE5BBA">
        <w:t>Ezeugbor</w:t>
      </w:r>
      <w:proofErr w:type="spellEnd"/>
      <w:r w:rsidRPr="00CE5BBA">
        <w:t xml:space="preserve">, C. O. (2010). Teachers’ motivation and its influence on quality assurance in the Nigerian educational system. African Research Review, 4(2), 398–417. </w:t>
      </w:r>
      <w:hyperlink r:id="rId25" w:history="1">
        <w:r w:rsidRPr="009055FF">
          <w:rPr>
            <w:rStyle w:val="Hyperlink"/>
          </w:rPr>
          <w:t>https://doi.org/10.4314/afrrev.v4i2.58347</w:t>
        </w:r>
      </w:hyperlink>
      <w:r>
        <w:t xml:space="preserve"> </w:t>
      </w:r>
    </w:p>
    <w:p w14:paraId="04813614" w14:textId="77777777" w:rsidR="00580F40" w:rsidRDefault="00AF2BFC" w:rsidP="00BF3D0D">
      <w:pPr>
        <w:pStyle w:val="Body"/>
        <w:numPr>
          <w:ilvl w:val="0"/>
          <w:numId w:val="5"/>
        </w:numPr>
        <w:spacing w:after="0"/>
      </w:pPr>
      <w:r>
        <w:t>Okonkwo, I., &amp; Nnamdi, A. (2013). Leadership style and teacher motivation in Anambra State secondary schools. Journal of Educational Leadership and Policy Studies, 3(1), 55–67.</w:t>
      </w:r>
    </w:p>
    <w:p w14:paraId="7AD33430" w14:textId="548D6332" w:rsidR="00580F40" w:rsidRDefault="00EF19FA" w:rsidP="00EF19FA">
      <w:pPr>
        <w:pStyle w:val="Body"/>
        <w:numPr>
          <w:ilvl w:val="0"/>
          <w:numId w:val="5"/>
        </w:numPr>
        <w:spacing w:after="0"/>
      </w:pPr>
      <w:proofErr w:type="spellStart"/>
      <w:r w:rsidRPr="00EF19FA">
        <w:t>Ololube</w:t>
      </w:r>
      <w:proofErr w:type="spellEnd"/>
      <w:r w:rsidRPr="00EF19FA">
        <w:t xml:space="preserve">, N. P. (2006). Teachers Job Satisfaction and Motivation for School Effectiveness: An Assessment. Essays in Education, 18(1), 1–19. </w:t>
      </w:r>
      <w:hyperlink r:id="rId26" w:history="1">
        <w:r w:rsidRPr="009055FF">
          <w:rPr>
            <w:rStyle w:val="Hyperlink"/>
          </w:rPr>
          <w:t>https://openriver.winona.edu/eie/vol18/iss1/9</w:t>
        </w:r>
      </w:hyperlink>
      <w:r>
        <w:t xml:space="preserve"> </w:t>
      </w:r>
    </w:p>
    <w:p w14:paraId="3AAB2AC4" w14:textId="7D1D882F" w:rsidR="00580F40" w:rsidRDefault="00EC213A" w:rsidP="00EC213A">
      <w:pPr>
        <w:pStyle w:val="Body"/>
        <w:numPr>
          <w:ilvl w:val="0"/>
          <w:numId w:val="5"/>
        </w:numPr>
        <w:spacing w:after="0"/>
      </w:pPr>
      <w:proofErr w:type="spellStart"/>
      <w:r w:rsidRPr="00EC213A">
        <w:t>Roorda</w:t>
      </w:r>
      <w:proofErr w:type="spellEnd"/>
      <w:r w:rsidRPr="00EC213A">
        <w:t xml:space="preserve">, D. L., </w:t>
      </w:r>
      <w:proofErr w:type="spellStart"/>
      <w:r w:rsidRPr="00EC213A">
        <w:t>Koomen</w:t>
      </w:r>
      <w:proofErr w:type="spellEnd"/>
      <w:r w:rsidRPr="00EC213A">
        <w:t xml:space="preserve">, H. M. Y., Spilt, J. L., &amp; Oort, F. J. (2011). The influence of affective teacher–student relationships on students’ school engagement and achievement: A meta-analytic approach. Review of Educational Research, 81(4), 493–529. </w:t>
      </w:r>
      <w:hyperlink r:id="rId27" w:history="1">
        <w:r w:rsidRPr="009055FF">
          <w:rPr>
            <w:rStyle w:val="Hyperlink"/>
          </w:rPr>
          <w:t>https://doi.org/10.3102/0034654311421793</w:t>
        </w:r>
      </w:hyperlink>
      <w:r>
        <w:t xml:space="preserve"> </w:t>
      </w:r>
    </w:p>
    <w:p w14:paraId="1DFBE1B4" w14:textId="07707EA5" w:rsidR="00580F40" w:rsidRDefault="00772CC1" w:rsidP="00772CC1">
      <w:pPr>
        <w:pStyle w:val="Body"/>
        <w:numPr>
          <w:ilvl w:val="0"/>
          <w:numId w:val="5"/>
        </w:numPr>
        <w:spacing w:after="0"/>
      </w:pPr>
      <w:proofErr w:type="spellStart"/>
      <w:r w:rsidRPr="00772CC1">
        <w:t>Ukeje</w:t>
      </w:r>
      <w:proofErr w:type="spellEnd"/>
      <w:r w:rsidRPr="00772CC1">
        <w:t xml:space="preserve">, B. O. (1966). Education for social reconstruction. Macmillan. </w:t>
      </w:r>
      <w:hyperlink r:id="rId28" w:history="1">
        <w:r w:rsidRPr="009055FF">
          <w:rPr>
            <w:rStyle w:val="Hyperlink"/>
          </w:rPr>
          <w:t>https://books.google.com/books/about/Education_for_Social_Reconstruction.html?id=y_0oAAAAYAAJ</w:t>
        </w:r>
      </w:hyperlink>
      <w:r>
        <w:t xml:space="preserve"> </w:t>
      </w:r>
    </w:p>
    <w:p w14:paraId="1439C63E" w14:textId="75F87DE4" w:rsidR="00580F40" w:rsidRDefault="00B56EA9" w:rsidP="00B56EA9">
      <w:pPr>
        <w:pStyle w:val="Body"/>
        <w:numPr>
          <w:ilvl w:val="0"/>
          <w:numId w:val="5"/>
        </w:numPr>
        <w:spacing w:after="0"/>
      </w:pPr>
      <w:r w:rsidRPr="00B56EA9">
        <w:t xml:space="preserve">Vroom, V. H. (1964). Work and Motivation. Wiley. </w:t>
      </w:r>
      <w:hyperlink r:id="rId29" w:history="1">
        <w:r w:rsidRPr="009055FF">
          <w:rPr>
            <w:rStyle w:val="Hyperlink"/>
          </w:rPr>
          <w:t>https://www.wiley.com/en-us/Work+and+Motivation-p-9780787900304</w:t>
        </w:r>
      </w:hyperlink>
      <w:r>
        <w:t xml:space="preserve"> </w:t>
      </w:r>
    </w:p>
    <w:p w14:paraId="4F8370AE" w14:textId="77777777" w:rsidR="00580F40" w:rsidRDefault="00AF2BFC" w:rsidP="00BF3D0D">
      <w:pPr>
        <w:pStyle w:val="Body"/>
        <w:numPr>
          <w:ilvl w:val="0"/>
          <w:numId w:val="5"/>
        </w:numPr>
        <w:spacing w:after="0"/>
      </w:pPr>
      <w:r>
        <w:t>Yusuf, F. A., &amp; Adigun, J. T. (2010). The influence of motivation on teachers’ job performance in Lagos State. Nigerian Journal of Educational Administration and Planning, 10(3), 55–67.</w:t>
      </w:r>
    </w:p>
    <w:sectPr w:rsidR="00580F40" w:rsidSect="00536074">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CDF36" w14:textId="77777777" w:rsidR="00D64C65" w:rsidRDefault="00D64C65">
      <w:r>
        <w:separator/>
      </w:r>
    </w:p>
  </w:endnote>
  <w:endnote w:type="continuationSeparator" w:id="0">
    <w:p w14:paraId="32098836" w14:textId="77777777" w:rsidR="00D64C65" w:rsidRDefault="00D6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default"/>
    <w:sig w:usb0="E0002AFF" w:usb1="C0007843" w:usb2="00000009" w:usb3="00000000" w:csb0="400001FF" w:csb1="FFFF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3D681" w14:textId="77777777" w:rsidR="0017505B" w:rsidRDefault="0017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3AE61" w14:textId="77777777" w:rsidR="0017505B" w:rsidRDefault="0017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D7271" w14:textId="77777777" w:rsidR="00580F40" w:rsidRDefault="00580F40">
    <w:pPr>
      <w:pStyle w:val="Footer"/>
      <w:rPr>
        <w:rFonts w:ascii="Arial" w:hAnsi="Arial" w:cs="Arial"/>
        <w:sz w:val="16"/>
      </w:rPr>
    </w:pPr>
  </w:p>
  <w:p w14:paraId="765D9623" w14:textId="77777777" w:rsidR="00580F40" w:rsidRDefault="00AF2BFC">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16D5077" w14:textId="77777777" w:rsidR="00580F40" w:rsidRDefault="00580F40">
    <w:pPr>
      <w:pStyle w:val="Footer"/>
      <w:rPr>
        <w:rFonts w:ascii="Arial" w:hAnsi="Arial" w:cs="Arial"/>
        <w:sz w:val="16"/>
      </w:rPr>
    </w:pPr>
  </w:p>
  <w:p w14:paraId="6CC19698" w14:textId="77777777" w:rsidR="00580F40" w:rsidRDefault="00AF2BFC">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EFFD3" w14:textId="77777777" w:rsidR="00580F40" w:rsidRDefault="00580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07997" w14:textId="77777777" w:rsidR="00D64C65" w:rsidRDefault="00D64C65">
      <w:r>
        <w:separator/>
      </w:r>
    </w:p>
  </w:footnote>
  <w:footnote w:type="continuationSeparator" w:id="0">
    <w:p w14:paraId="06E85738" w14:textId="77777777" w:rsidR="00D64C65" w:rsidRDefault="00D64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EE70E" w14:textId="1C112A8E" w:rsidR="0017505B" w:rsidRDefault="0017505B">
    <w:pPr>
      <w:pStyle w:val="Header"/>
    </w:pPr>
    <w:r>
      <w:rPr>
        <w:noProof/>
      </w:rPr>
      <w:pict w14:anchorId="203E9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22915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2E349" w14:textId="7B435DBF" w:rsidR="0017505B" w:rsidRDefault="0017505B">
    <w:pPr>
      <w:pStyle w:val="Header"/>
    </w:pPr>
    <w:r>
      <w:rPr>
        <w:noProof/>
      </w:rPr>
      <w:pict w14:anchorId="0174D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22915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97F58" w14:textId="0E5A1EFA" w:rsidR="00580F40" w:rsidRDefault="0017505B">
    <w:pPr>
      <w:ind w:left="2160"/>
      <w:jc w:val="center"/>
      <w:rPr>
        <w:rFonts w:ascii="Times New Roman" w:eastAsia="Calibri" w:hAnsi="Times New Roman"/>
        <w:i/>
        <w:sz w:val="18"/>
        <w:szCs w:val="22"/>
      </w:rPr>
    </w:pPr>
    <w:r>
      <w:rPr>
        <w:noProof/>
      </w:rPr>
      <w:pict w14:anchorId="48520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22915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41A1F58" w14:textId="77777777" w:rsidR="00580F40" w:rsidRDefault="00AF2BFC">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EB0D73C" w14:textId="77777777" w:rsidR="00580F40" w:rsidRDefault="00AF2BFC">
    <w:pPr>
      <w:jc w:val="center"/>
      <w:rPr>
        <w:rFonts w:ascii="Times New Roman" w:eastAsia="Calibri" w:hAnsi="Times New Roman"/>
        <w:i/>
        <w:sz w:val="18"/>
        <w:szCs w:val="22"/>
      </w:rPr>
    </w:pPr>
    <w:r>
      <w:rPr>
        <w:rFonts w:ascii="Times New Roman" w:eastAsia="Calibri" w:hAnsi="Times New Roman"/>
        <w:i/>
        <w:sz w:val="18"/>
        <w:szCs w:val="22"/>
      </w:rPr>
      <w:t>.</w:t>
    </w:r>
  </w:p>
  <w:p w14:paraId="1A2BEC14" w14:textId="77777777" w:rsidR="00580F40" w:rsidRDefault="00AF2BF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36D7E01" w14:textId="77777777" w:rsidR="00580F40" w:rsidRDefault="00580F40">
    <w:pPr>
      <w:jc w:val="center"/>
      <w:rPr>
        <w:rFonts w:ascii="Times New Roman" w:eastAsia="Calibri" w:hAnsi="Times New Roman"/>
        <w:i/>
        <w:sz w:val="18"/>
        <w:szCs w:val="22"/>
      </w:rPr>
    </w:pPr>
  </w:p>
  <w:p w14:paraId="40E03083" w14:textId="77777777" w:rsidR="00580F40" w:rsidRDefault="00AF2BF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EB82E16" w14:textId="77777777" w:rsidR="00580F40" w:rsidRDefault="00AF2BF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9569D" w14:textId="6DE6D2AA" w:rsidR="0017505B" w:rsidRDefault="0017505B">
    <w:pPr>
      <w:pStyle w:val="Header"/>
    </w:pPr>
    <w:r>
      <w:rPr>
        <w:noProof/>
      </w:rPr>
      <w:pict w14:anchorId="75A59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22916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1730" w14:textId="3C6D8AD6" w:rsidR="0017505B" w:rsidRDefault="0017505B">
    <w:pPr>
      <w:pStyle w:val="Header"/>
    </w:pPr>
    <w:r>
      <w:rPr>
        <w:noProof/>
      </w:rPr>
      <w:pict w14:anchorId="2038C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22916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12910" w14:textId="7A4588B5" w:rsidR="0017505B" w:rsidRDefault="0017505B">
    <w:pPr>
      <w:pStyle w:val="Header"/>
    </w:pPr>
    <w:r>
      <w:rPr>
        <w:noProof/>
      </w:rPr>
      <w:pict w14:anchorId="14FE4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22915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17979A"/>
    <w:multiLevelType w:val="singleLevel"/>
    <w:tmpl w:val="FA17979A"/>
    <w:lvl w:ilvl="0">
      <w:start w:val="1"/>
      <w:numFmt w:val="bullet"/>
      <w:lvlText w:val=""/>
      <w:lvlJc w:val="left"/>
      <w:pPr>
        <w:tabs>
          <w:tab w:val="left" w:pos="420"/>
        </w:tabs>
        <w:ind w:left="418" w:hanging="418"/>
      </w:pPr>
      <w:rPr>
        <w:rFonts w:ascii="Wingdings" w:hAnsi="Wingdings" w:cs="Wingdings" w:hint="default"/>
        <w:sz w:val="10"/>
      </w:rPr>
    </w:lvl>
  </w:abstractNum>
  <w:abstractNum w:abstractNumId="1" w15:restartNumberingAfterBreak="0">
    <w:nsid w:val="0D633370"/>
    <w:multiLevelType w:val="hybridMultilevel"/>
    <w:tmpl w:val="442CB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B7CA6"/>
    <w:multiLevelType w:val="hybridMultilevel"/>
    <w:tmpl w:val="A9B4F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95035"/>
    <w:multiLevelType w:val="hybridMultilevel"/>
    <w:tmpl w:val="B4188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E59E37F9"/>
    <w:rsid w:val="00000F8F"/>
    <w:rsid w:val="00030174"/>
    <w:rsid w:val="0004579C"/>
    <w:rsid w:val="0005757B"/>
    <w:rsid w:val="000A47FA"/>
    <w:rsid w:val="000A65D3"/>
    <w:rsid w:val="000B1E33"/>
    <w:rsid w:val="000D24D2"/>
    <w:rsid w:val="000D689F"/>
    <w:rsid w:val="000E7B7B"/>
    <w:rsid w:val="000E7D62"/>
    <w:rsid w:val="00103357"/>
    <w:rsid w:val="00110597"/>
    <w:rsid w:val="0011396A"/>
    <w:rsid w:val="00123C9F"/>
    <w:rsid w:val="00126190"/>
    <w:rsid w:val="00130F17"/>
    <w:rsid w:val="001320BF"/>
    <w:rsid w:val="00151EA8"/>
    <w:rsid w:val="00163BC4"/>
    <w:rsid w:val="0017505B"/>
    <w:rsid w:val="00191062"/>
    <w:rsid w:val="00192B72"/>
    <w:rsid w:val="001A29D8"/>
    <w:rsid w:val="001A5CAA"/>
    <w:rsid w:val="001A70E2"/>
    <w:rsid w:val="001B0427"/>
    <w:rsid w:val="001D3A51"/>
    <w:rsid w:val="001E10D2"/>
    <w:rsid w:val="001E25B4"/>
    <w:rsid w:val="001E44FE"/>
    <w:rsid w:val="00200595"/>
    <w:rsid w:val="00204835"/>
    <w:rsid w:val="002132E0"/>
    <w:rsid w:val="00231920"/>
    <w:rsid w:val="0023195C"/>
    <w:rsid w:val="0024282C"/>
    <w:rsid w:val="002460DC"/>
    <w:rsid w:val="00250985"/>
    <w:rsid w:val="002556F6"/>
    <w:rsid w:val="00283105"/>
    <w:rsid w:val="00284C4C"/>
    <w:rsid w:val="00287E68"/>
    <w:rsid w:val="00295DA1"/>
    <w:rsid w:val="00296529"/>
    <w:rsid w:val="002B27FB"/>
    <w:rsid w:val="002B685A"/>
    <w:rsid w:val="002C57D2"/>
    <w:rsid w:val="002E0D56"/>
    <w:rsid w:val="00315186"/>
    <w:rsid w:val="0033343E"/>
    <w:rsid w:val="003512C2"/>
    <w:rsid w:val="00371FB6"/>
    <w:rsid w:val="00373F35"/>
    <w:rsid w:val="003763C1"/>
    <w:rsid w:val="00376BBE"/>
    <w:rsid w:val="003815E0"/>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C34BC"/>
    <w:rsid w:val="004D305E"/>
    <w:rsid w:val="004D4277"/>
    <w:rsid w:val="004E6276"/>
    <w:rsid w:val="00502516"/>
    <w:rsid w:val="00505F06"/>
    <w:rsid w:val="00506828"/>
    <w:rsid w:val="0053056E"/>
    <w:rsid w:val="00536074"/>
    <w:rsid w:val="00554FDA"/>
    <w:rsid w:val="00580F40"/>
    <w:rsid w:val="00595712"/>
    <w:rsid w:val="005C784C"/>
    <w:rsid w:val="005D17F6"/>
    <w:rsid w:val="005E5539"/>
    <w:rsid w:val="00602BF5"/>
    <w:rsid w:val="00617FDD"/>
    <w:rsid w:val="00626C68"/>
    <w:rsid w:val="00633614"/>
    <w:rsid w:val="00633F68"/>
    <w:rsid w:val="00636EB2"/>
    <w:rsid w:val="006375B8"/>
    <w:rsid w:val="0064340D"/>
    <w:rsid w:val="00657BED"/>
    <w:rsid w:val="0066510A"/>
    <w:rsid w:val="00673F9F"/>
    <w:rsid w:val="00680A19"/>
    <w:rsid w:val="00686953"/>
    <w:rsid w:val="00687DEA"/>
    <w:rsid w:val="00687E67"/>
    <w:rsid w:val="006967F7"/>
    <w:rsid w:val="006A250C"/>
    <w:rsid w:val="006B21D3"/>
    <w:rsid w:val="006B57D0"/>
    <w:rsid w:val="006D1B79"/>
    <w:rsid w:val="006D30FF"/>
    <w:rsid w:val="006D6940"/>
    <w:rsid w:val="006F11EC"/>
    <w:rsid w:val="0070082C"/>
    <w:rsid w:val="007125CA"/>
    <w:rsid w:val="007349AF"/>
    <w:rsid w:val="007369E6"/>
    <w:rsid w:val="00746E59"/>
    <w:rsid w:val="00754C9A"/>
    <w:rsid w:val="0075599A"/>
    <w:rsid w:val="00761D52"/>
    <w:rsid w:val="00772CC1"/>
    <w:rsid w:val="0077749E"/>
    <w:rsid w:val="00790ADA"/>
    <w:rsid w:val="007D2288"/>
    <w:rsid w:val="007E088F"/>
    <w:rsid w:val="007E0D8F"/>
    <w:rsid w:val="007F7B32"/>
    <w:rsid w:val="00804BC2"/>
    <w:rsid w:val="0081431A"/>
    <w:rsid w:val="00823A4A"/>
    <w:rsid w:val="0083216F"/>
    <w:rsid w:val="00860000"/>
    <w:rsid w:val="00863BD3"/>
    <w:rsid w:val="008641ED"/>
    <w:rsid w:val="00866D66"/>
    <w:rsid w:val="008671C6"/>
    <w:rsid w:val="00875803"/>
    <w:rsid w:val="008B459E"/>
    <w:rsid w:val="008C4054"/>
    <w:rsid w:val="008E13AE"/>
    <w:rsid w:val="008E1506"/>
    <w:rsid w:val="008E710C"/>
    <w:rsid w:val="008F69D6"/>
    <w:rsid w:val="00902823"/>
    <w:rsid w:val="00915CA6"/>
    <w:rsid w:val="00927834"/>
    <w:rsid w:val="00946A1D"/>
    <w:rsid w:val="009500A6"/>
    <w:rsid w:val="00957C18"/>
    <w:rsid w:val="009659BA"/>
    <w:rsid w:val="00971059"/>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2BFC"/>
    <w:rsid w:val="00B01FCD"/>
    <w:rsid w:val="00B1776C"/>
    <w:rsid w:val="00B218CE"/>
    <w:rsid w:val="00B23835"/>
    <w:rsid w:val="00B52583"/>
    <w:rsid w:val="00B52896"/>
    <w:rsid w:val="00B56EA9"/>
    <w:rsid w:val="00B95236"/>
    <w:rsid w:val="00B96BD9"/>
    <w:rsid w:val="00BA1B01"/>
    <w:rsid w:val="00BA2641"/>
    <w:rsid w:val="00BB37AA"/>
    <w:rsid w:val="00BC53A0"/>
    <w:rsid w:val="00BE62AD"/>
    <w:rsid w:val="00BF121F"/>
    <w:rsid w:val="00BF1F80"/>
    <w:rsid w:val="00BF3D0D"/>
    <w:rsid w:val="00BF6640"/>
    <w:rsid w:val="00C166EF"/>
    <w:rsid w:val="00C17EB0"/>
    <w:rsid w:val="00C220F5"/>
    <w:rsid w:val="00C27F5F"/>
    <w:rsid w:val="00C30A0F"/>
    <w:rsid w:val="00C37E61"/>
    <w:rsid w:val="00C45290"/>
    <w:rsid w:val="00C70F1B"/>
    <w:rsid w:val="00C71A47"/>
    <w:rsid w:val="00C7464C"/>
    <w:rsid w:val="00C82920"/>
    <w:rsid w:val="00C853EE"/>
    <w:rsid w:val="00C85588"/>
    <w:rsid w:val="00CC2318"/>
    <w:rsid w:val="00CD6755"/>
    <w:rsid w:val="00CD6856"/>
    <w:rsid w:val="00CE0089"/>
    <w:rsid w:val="00CE5BBA"/>
    <w:rsid w:val="00CE793C"/>
    <w:rsid w:val="00CF193C"/>
    <w:rsid w:val="00D173F1"/>
    <w:rsid w:val="00D628A9"/>
    <w:rsid w:val="00D64C65"/>
    <w:rsid w:val="00D74CB0"/>
    <w:rsid w:val="00D8295D"/>
    <w:rsid w:val="00DC2A65"/>
    <w:rsid w:val="00DD623D"/>
    <w:rsid w:val="00DE15F0"/>
    <w:rsid w:val="00DE5663"/>
    <w:rsid w:val="00DE78AA"/>
    <w:rsid w:val="00E053D0"/>
    <w:rsid w:val="00E15994"/>
    <w:rsid w:val="00E3114E"/>
    <w:rsid w:val="00E31A70"/>
    <w:rsid w:val="00E35B02"/>
    <w:rsid w:val="00E65CDC"/>
    <w:rsid w:val="00E66496"/>
    <w:rsid w:val="00E66B35"/>
    <w:rsid w:val="00E66E10"/>
    <w:rsid w:val="00E769F6"/>
    <w:rsid w:val="00E8407C"/>
    <w:rsid w:val="00E84F3C"/>
    <w:rsid w:val="00EA012C"/>
    <w:rsid w:val="00EA102C"/>
    <w:rsid w:val="00EC213A"/>
    <w:rsid w:val="00EC6A55"/>
    <w:rsid w:val="00ED0288"/>
    <w:rsid w:val="00EE4EB0"/>
    <w:rsid w:val="00EE52CB"/>
    <w:rsid w:val="00EF19FA"/>
    <w:rsid w:val="00EF581D"/>
    <w:rsid w:val="00EF7FD8"/>
    <w:rsid w:val="00F06F59"/>
    <w:rsid w:val="00F1529D"/>
    <w:rsid w:val="00F17988"/>
    <w:rsid w:val="00F20AB4"/>
    <w:rsid w:val="00F469F0"/>
    <w:rsid w:val="00F53273"/>
    <w:rsid w:val="00F755E4"/>
    <w:rsid w:val="00F77D02"/>
    <w:rsid w:val="00FA22C1"/>
    <w:rsid w:val="00FB3A86"/>
    <w:rsid w:val="00FC4E17"/>
    <w:rsid w:val="00FD36C8"/>
    <w:rsid w:val="64778A98"/>
    <w:rsid w:val="7BFD9E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55728D84"/>
  <w15:docId w15:val="{EE252779-7898-4370-9972-6D5B5684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FA2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us.sagepub.com/en-us/nam/theories-of-educational-leadership-and-management/book266990" TargetMode="External"/><Relationship Id="rId26" Type="http://schemas.openxmlformats.org/officeDocument/2006/relationships/hyperlink" Target="https://openriver.winona.edu/eie/vol18/iss1/9" TargetMode="External"/><Relationship Id="rId3" Type="http://schemas.openxmlformats.org/officeDocument/2006/relationships/numbering" Target="numbering.xml"/><Relationship Id="rId21" Type="http://schemas.openxmlformats.org/officeDocument/2006/relationships/hyperlink" Target="https://oapub.org/ed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assets.publishing.service.gov.uk/media/57a08be640f0b652dd000f9a/ResearchingtheIssuesNo71.pdf" TargetMode="External"/><Relationship Id="rId25" Type="http://schemas.openxmlformats.org/officeDocument/2006/relationships/hyperlink" Target="https://doi.org/10.4314/afrrev.v4i2.58347"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doi.org/10.1080/09737189.2009.11885284" TargetMode="External"/><Relationship Id="rId20" Type="http://schemas.openxmlformats.org/officeDocument/2006/relationships/hyperlink" Target="https://doi.org/10.1207/S15327965PLI1104_01" TargetMode="External"/><Relationship Id="rId29" Type="http://schemas.openxmlformats.org/officeDocument/2006/relationships/hyperlink" Target="https://www.wiley.com/en-us/Work+and+Motivation-p-97807879003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80/09243450600565746" TargetMode="Externa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doi.org/10.5897/IJEAPS10.019" TargetMode="External"/><Relationship Id="rId23" Type="http://schemas.openxmlformats.org/officeDocument/2006/relationships/hyperlink" Target="https://doi.org/10.1108/09578231111116699" TargetMode="External"/><Relationship Id="rId28" Type="http://schemas.openxmlformats.org/officeDocument/2006/relationships/hyperlink" Target="https://books.google.com/books/about/Education_for_Social_Reconstruction.html?id=y_0oAAAAYAAJ" TargetMode="External"/><Relationship Id="rId10" Type="http://schemas.openxmlformats.org/officeDocument/2006/relationships/header" Target="header2.xml"/><Relationship Id="rId19" Type="http://schemas.openxmlformats.org/officeDocument/2006/relationships/hyperlink" Target="https://doi.org/10.14507/epaa.v8n1.2000" TargetMode="External"/><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80/135406002100000512" TargetMode="External"/><Relationship Id="rId27" Type="http://schemas.openxmlformats.org/officeDocument/2006/relationships/hyperlink" Target="https://doi.org/10.3102/0034654311421793"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3DA3DE-8CA5-49AA-80FA-3E35F33D7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7</Pages>
  <Words>5091</Words>
  <Characters>29024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46</cp:revision>
  <cp:lastPrinted>1999-07-07T11:00:00Z</cp:lastPrinted>
  <dcterms:created xsi:type="dcterms:W3CDTF">2014-10-26T14:34:00Z</dcterms:created>
  <dcterms:modified xsi:type="dcterms:W3CDTF">2025-12-11T12:27:00Z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48C5A7A9387A1C40ACA42D691BEEADFF_42</vt:lpwstr>
  </property>
</Properties>
</file>