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F91D37" w14:textId="77777777" w:rsidR="00AF5899" w:rsidRDefault="00AF5899" w:rsidP="00B52961">
      <w:pPr>
        <w:spacing w:before="120" w:line="360" w:lineRule="auto"/>
        <w:jc w:val="center"/>
        <w:rPr>
          <w:rFonts w:ascii="Times New Roman" w:hAnsi="Times New Roman" w:cs="Times New Roman"/>
          <w:b/>
          <w:sz w:val="36"/>
          <w:szCs w:val="36"/>
          <w:lang w:val="en-US"/>
        </w:rPr>
      </w:pPr>
      <w:r w:rsidRPr="00AF5899">
        <w:rPr>
          <w:rFonts w:ascii="Times New Roman" w:hAnsi="Times New Roman" w:cs="Times New Roman"/>
          <w:b/>
          <w:sz w:val="36"/>
          <w:szCs w:val="36"/>
          <w:lang w:val="en-US"/>
        </w:rPr>
        <w:t xml:space="preserve">Original Research Article </w:t>
      </w:r>
    </w:p>
    <w:p w14:paraId="148B269A" w14:textId="77777777" w:rsidR="00AF5899" w:rsidRDefault="00AF5899" w:rsidP="00B52961">
      <w:pPr>
        <w:spacing w:before="120" w:line="360" w:lineRule="auto"/>
        <w:jc w:val="center"/>
        <w:rPr>
          <w:rFonts w:ascii="Times New Roman" w:hAnsi="Times New Roman" w:cs="Times New Roman"/>
          <w:b/>
          <w:sz w:val="36"/>
          <w:szCs w:val="36"/>
          <w:lang w:val="en-US"/>
        </w:rPr>
      </w:pPr>
    </w:p>
    <w:p w14:paraId="29087488" w14:textId="5FE2A2C4" w:rsidR="00E35404" w:rsidRDefault="00F738DE" w:rsidP="00B52961">
      <w:pPr>
        <w:spacing w:before="120" w:line="360" w:lineRule="auto"/>
        <w:jc w:val="center"/>
        <w:rPr>
          <w:rFonts w:ascii="Times New Roman" w:hAnsi="Times New Roman" w:cs="Times New Roman"/>
          <w:b/>
          <w:sz w:val="36"/>
          <w:szCs w:val="36"/>
          <w:lang w:val="en-US"/>
        </w:rPr>
      </w:pPr>
      <w:r>
        <w:rPr>
          <w:rFonts w:ascii="Times New Roman" w:hAnsi="Times New Roman" w:cs="Times New Roman"/>
          <w:b/>
          <w:sz w:val="36"/>
          <w:szCs w:val="36"/>
          <w:lang w:val="en-US"/>
        </w:rPr>
        <w:t>I</w:t>
      </w:r>
      <w:r w:rsidR="00B01E1A" w:rsidRPr="00E35404">
        <w:rPr>
          <w:rFonts w:ascii="Times New Roman" w:hAnsi="Times New Roman" w:cs="Times New Roman"/>
          <w:b/>
          <w:sz w:val="36"/>
          <w:szCs w:val="36"/>
          <w:lang w:val="en-US"/>
        </w:rPr>
        <w:t>NVESTIGATING THE FACTORS INFLUENCING THE GROWTH OF SMALL AND MEDIUM ENTERPRISES (SME</w:t>
      </w:r>
      <w:r w:rsidR="00851987">
        <w:rPr>
          <w:rFonts w:ascii="Times New Roman" w:hAnsi="Times New Roman" w:cs="Times New Roman"/>
          <w:b/>
          <w:sz w:val="36"/>
          <w:szCs w:val="36"/>
          <w:lang w:val="en-US"/>
        </w:rPr>
        <w:t>s)</w:t>
      </w:r>
      <w:r w:rsidR="00B01E1A" w:rsidRPr="00E35404">
        <w:rPr>
          <w:rFonts w:ascii="Times New Roman" w:hAnsi="Times New Roman" w:cs="Times New Roman"/>
          <w:b/>
          <w:sz w:val="36"/>
          <w:szCs w:val="36"/>
          <w:lang w:val="en-US"/>
        </w:rPr>
        <w:t xml:space="preserve"> IN ZAMBIA: A CASE OF LUSAKA CITY</w:t>
      </w:r>
      <w:r w:rsidR="00C810ED">
        <w:rPr>
          <w:rFonts w:ascii="Times New Roman" w:hAnsi="Times New Roman" w:cs="Times New Roman"/>
          <w:b/>
          <w:sz w:val="36"/>
          <w:szCs w:val="36"/>
          <w:lang w:val="en-US"/>
        </w:rPr>
        <w:t xml:space="preserve"> MARKET</w:t>
      </w:r>
    </w:p>
    <w:p w14:paraId="229E3205" w14:textId="036FFDDD" w:rsidR="002B254D" w:rsidRDefault="002B254D" w:rsidP="00F738DE">
      <w:pPr>
        <w:spacing w:after="120" w:line="360" w:lineRule="auto"/>
        <w:jc w:val="right"/>
        <w:rPr>
          <w:rFonts w:ascii="Times New Roman" w:hAnsi="Times New Roman" w:cs="Times New Roman"/>
          <w:lang w:val="en-US"/>
        </w:rPr>
      </w:pPr>
    </w:p>
    <w:p w14:paraId="7A6AB2BE" w14:textId="77777777" w:rsidR="00CE4BB1" w:rsidRPr="00E35404" w:rsidRDefault="00CE4BB1" w:rsidP="00F738DE">
      <w:pPr>
        <w:spacing w:after="120" w:line="360" w:lineRule="auto"/>
        <w:jc w:val="right"/>
        <w:rPr>
          <w:rFonts w:ascii="Times New Roman" w:hAnsi="Times New Roman" w:cs="Times New Roman"/>
          <w:lang w:val="en-US"/>
        </w:rPr>
      </w:pPr>
    </w:p>
    <w:tbl>
      <w:tblPr>
        <w:tblW w:w="0" w:type="auto"/>
        <w:tblInd w:w="108" w:type="dxa"/>
        <w:shd w:val="clear" w:color="auto" w:fill="D5DCE4"/>
        <w:tblLook w:val="04A0" w:firstRow="1" w:lastRow="0" w:firstColumn="1" w:lastColumn="0" w:noHBand="0" w:noVBand="1"/>
      </w:tblPr>
      <w:tblGrid>
        <w:gridCol w:w="10206"/>
      </w:tblGrid>
      <w:tr w:rsidR="00E35404" w:rsidRPr="00E35404" w14:paraId="6798AB30" w14:textId="77777777" w:rsidTr="00F738DE">
        <w:trPr>
          <w:trHeight w:val="2673"/>
        </w:trPr>
        <w:tc>
          <w:tcPr>
            <w:tcW w:w="10206" w:type="dxa"/>
            <w:shd w:val="clear" w:color="auto" w:fill="D5DCE4"/>
            <w:tcMar>
              <w:top w:w="113" w:type="dxa"/>
              <w:left w:w="170" w:type="dxa"/>
              <w:bottom w:w="0" w:type="dxa"/>
              <w:right w:w="170" w:type="dxa"/>
            </w:tcMar>
            <w:vAlign w:val="center"/>
          </w:tcPr>
          <w:p w14:paraId="5B7B6522" w14:textId="77777777" w:rsidR="00FB2C6D" w:rsidRPr="00E35404" w:rsidRDefault="00DE209A" w:rsidP="0028246F">
            <w:pPr>
              <w:pStyle w:val="DefaultParagraphFont1"/>
              <w:spacing w:line="360" w:lineRule="auto"/>
              <w:rPr>
                <w:rFonts w:ascii="Times New Roman" w:hAnsi="Times New Roman" w:cs="Times New Roman"/>
                <w:b/>
                <w:sz w:val="24"/>
                <w:szCs w:val="24"/>
              </w:rPr>
            </w:pPr>
            <w:r w:rsidRPr="00E35404">
              <w:rPr>
                <w:rFonts w:ascii="Times New Roman" w:hAnsi="Times New Roman" w:cs="Times New Roman"/>
                <w:b/>
                <w:sz w:val="24"/>
                <w:szCs w:val="24"/>
              </w:rPr>
              <w:t>ABSTRACT</w:t>
            </w:r>
          </w:p>
          <w:p w14:paraId="27E3C210" w14:textId="18076912" w:rsidR="00FB2C6D" w:rsidRPr="00E35404" w:rsidRDefault="00B01E1A" w:rsidP="00851987">
            <w:pPr>
              <w:spacing w:after="120" w:line="360" w:lineRule="auto"/>
              <w:jc w:val="both"/>
              <w:rPr>
                <w:rFonts w:ascii="Times New Roman" w:hAnsi="Times New Roman" w:cs="Times New Roman"/>
                <w:lang w:val="en-US"/>
              </w:rPr>
            </w:pPr>
            <w:r w:rsidRPr="00E35404">
              <w:rPr>
                <w:rFonts w:ascii="Times New Roman" w:hAnsi="Times New Roman" w:cs="Times New Roman"/>
                <w:lang w:val="en-US"/>
              </w:rPr>
              <w:t>This study explored factors influencing SME growth in Lusaka City Market</w:t>
            </w:r>
            <w:r w:rsidR="00851987">
              <w:rPr>
                <w:rFonts w:ascii="Times New Roman" w:hAnsi="Times New Roman" w:cs="Times New Roman"/>
                <w:lang w:val="en-US"/>
              </w:rPr>
              <w:t xml:space="preserve"> in Zambia</w:t>
            </w:r>
            <w:r w:rsidRPr="00E35404">
              <w:rPr>
                <w:rFonts w:ascii="Times New Roman" w:hAnsi="Times New Roman" w:cs="Times New Roman"/>
                <w:lang w:val="en-US"/>
              </w:rPr>
              <w:t>, focusing on access to finance, entrepreneurial skills, and government policy. SMEs are vital to Zambia's economy but face growth constraints. Using a mixed-methods approach, data were collected from 94 SME owners/managers via questionnaires and 15 key informants through interviews. SPSS analysis showed access to finance had the strongest positive impact on growth (r = 0.642, β = 0.489, p &lt; 0.01), followed by entrepreneurial skills (r = 0.511, p &lt; 0.01) and government policy (r = 0.468, p &lt; 0.01). Many respondents lacked formal business training, and key barriers included limited financial literacy, high interest rates, and weak policy implementation. The study concluded that improving finance access, entrepreneurial capacity, and policy support is critical for SME growth. Recommendations include inclusive lending, practical training, and regulatory reforms—offering valuable guidance for policymakers and stakeholders.</w:t>
            </w:r>
          </w:p>
        </w:tc>
      </w:tr>
    </w:tbl>
    <w:p w14:paraId="66EC464C" w14:textId="77777777" w:rsidR="00FB2C6D" w:rsidRPr="00E35404" w:rsidRDefault="00DE209A" w:rsidP="0028246F">
      <w:pPr>
        <w:pStyle w:val="DefaultParagraphFont1"/>
        <w:spacing w:before="120" w:after="360" w:line="360" w:lineRule="auto"/>
        <w:rPr>
          <w:rFonts w:ascii="Times New Roman" w:hAnsi="Times New Roman" w:cs="Times New Roman"/>
          <w:i/>
          <w:iCs/>
        </w:rPr>
        <w:sectPr w:rsidR="00FB2C6D" w:rsidRPr="00E35404">
          <w:headerReference w:type="even" r:id="rId9"/>
          <w:headerReference w:type="default" r:id="rId10"/>
          <w:footerReference w:type="even" r:id="rId11"/>
          <w:footerReference w:type="default" r:id="rId12"/>
          <w:headerReference w:type="first" r:id="rId13"/>
          <w:footerReference w:type="first" r:id="rId14"/>
          <w:pgSz w:w="12240" w:h="15840"/>
          <w:pgMar w:top="1418" w:right="900" w:bottom="1440" w:left="900" w:header="720" w:footer="720" w:gutter="0"/>
          <w:cols w:space="720"/>
          <w:docGrid w:linePitch="360"/>
        </w:sectPr>
      </w:pPr>
      <w:r w:rsidRPr="00E35404">
        <w:rPr>
          <w:rFonts w:ascii="Times New Roman" w:hAnsi="Times New Roman" w:cs="Times New Roman"/>
          <w:b/>
          <w:sz w:val="24"/>
          <w:szCs w:val="24"/>
        </w:rPr>
        <w:t xml:space="preserve">KEYWORDS: </w:t>
      </w:r>
      <w:r w:rsidR="00316CC2" w:rsidRPr="00E35404">
        <w:rPr>
          <w:rFonts w:ascii="Times New Roman" w:hAnsi="Times New Roman" w:cs="Times New Roman"/>
          <w:b/>
          <w:i/>
          <w:iCs/>
          <w:lang w:val="en-GB"/>
        </w:rPr>
        <w:t>SME growth, access to finance, entrepreneurial skills, government policy.</w:t>
      </w:r>
    </w:p>
    <w:p w14:paraId="1151C71A" w14:textId="1B176CF6" w:rsidR="00FB2C6D" w:rsidRPr="00E35404" w:rsidRDefault="00F738DE" w:rsidP="0028246F">
      <w:pPr>
        <w:pStyle w:val="Heading1"/>
        <w:spacing w:line="360" w:lineRule="auto"/>
        <w:rPr>
          <w:rFonts w:ascii="Times New Roman" w:hAnsi="Times New Roman" w:cs="Times New Roman"/>
          <w:color w:val="auto"/>
        </w:rPr>
      </w:pPr>
      <w:r>
        <w:rPr>
          <w:rFonts w:ascii="Times New Roman" w:hAnsi="Times New Roman" w:cs="Times New Roman"/>
          <w:color w:val="auto"/>
        </w:rPr>
        <w:t xml:space="preserve">1. </w:t>
      </w:r>
      <w:r w:rsidR="00DE209A" w:rsidRPr="00E35404">
        <w:rPr>
          <w:rFonts w:ascii="Times New Roman" w:hAnsi="Times New Roman" w:cs="Times New Roman"/>
          <w:color w:val="auto"/>
        </w:rPr>
        <w:t>Introduction</w:t>
      </w:r>
    </w:p>
    <w:p w14:paraId="57D3B2D2" w14:textId="77777777"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Small and Medium Enterprises (SMEs) are globally recognized as key drivers of economic growth, employment creation, and poverty alleviation, particularly in developing countries such as Zambia. Despite their crucial role, SMEs often face significant challenges that limit their growth and sustainability, including restricted access to finance, poor infrastructure, limited market access, and low levels of technological adoption.</w:t>
      </w:r>
    </w:p>
    <w:p w14:paraId="6F8007AA" w14:textId="2A27F420"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In Zambia, SMEs account for nearly 90% of all businesses and employ about 70% of the national workforce (Zambia Development Agency, 2019). Their contributions span various sectors</w:t>
      </w:r>
      <w:r w:rsidR="00A833A5">
        <w:rPr>
          <w:rFonts w:ascii="Times New Roman" w:hAnsi="Times New Roman" w:cs="Times New Roman"/>
          <w:lang w:val="en-US"/>
        </w:rPr>
        <w:t xml:space="preserve"> </w:t>
      </w:r>
      <w:r w:rsidRPr="00E35404">
        <w:rPr>
          <w:rFonts w:ascii="Times New Roman" w:hAnsi="Times New Roman" w:cs="Times New Roman"/>
          <w:lang w:val="en-US"/>
        </w:rPr>
        <w:t>including agriculture, manufacturing, and services</w:t>
      </w:r>
      <w:r w:rsidR="00A833A5">
        <w:rPr>
          <w:rFonts w:ascii="Times New Roman" w:hAnsi="Times New Roman" w:cs="Times New Roman"/>
          <w:lang w:val="en-US"/>
        </w:rPr>
        <w:t xml:space="preserve"> </w:t>
      </w:r>
      <w:r w:rsidRPr="00E35404">
        <w:rPr>
          <w:rFonts w:ascii="Times New Roman" w:hAnsi="Times New Roman" w:cs="Times New Roman"/>
          <w:lang w:val="en-US"/>
        </w:rPr>
        <w:t>making them central to the country’s socio-economic development (World Bank, 2020). However, many SMEs continue to experience stagnation, particularly in urban centers such as the Lusaka City Market.</w:t>
      </w:r>
    </w:p>
    <w:p w14:paraId="1DB2FBBF" w14:textId="77777777"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The Lusaka City Market represents a dynamic and vibrant economic hub where numerous small businesses operate in a highly competitive environment. These enterprises range from retail outlets to small-scale manufacturers and service providers, offering </w:t>
      </w:r>
      <w:r w:rsidRPr="00E35404">
        <w:rPr>
          <w:rFonts w:ascii="Times New Roman" w:hAnsi="Times New Roman" w:cs="Times New Roman"/>
          <w:lang w:val="en-US"/>
        </w:rPr>
        <w:lastRenderedPageBreak/>
        <w:t>livelihood opportunities to many residents. Yet, growth within this sector remains uncertain due to infrastructural constraints, inadequate support services, limited financing options, and inconsistent policy implementation.</w:t>
      </w:r>
    </w:p>
    <w:p w14:paraId="767092F1" w14:textId="77777777"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Globally, SMEs have demonstrated their capacity for innovation and entrepreneurship, significantly contributing to technological advancements and economic competitiveness, especially in countries like South Korea (</w:t>
      </w:r>
      <w:proofErr w:type="spellStart"/>
      <w:r w:rsidRPr="00E35404">
        <w:rPr>
          <w:rFonts w:ascii="Times New Roman" w:hAnsi="Times New Roman" w:cs="Times New Roman"/>
          <w:lang w:val="en-US"/>
        </w:rPr>
        <w:t>Hintringer</w:t>
      </w:r>
      <w:proofErr w:type="spellEnd"/>
      <w:r w:rsidRPr="00E35404">
        <w:rPr>
          <w:rFonts w:ascii="Times New Roman" w:hAnsi="Times New Roman" w:cs="Times New Roman"/>
          <w:lang w:val="en-US"/>
        </w:rPr>
        <w:t xml:space="preserve"> et al., 2021) and Sweden (</w:t>
      </w:r>
      <w:proofErr w:type="spellStart"/>
      <w:r w:rsidRPr="00E35404">
        <w:rPr>
          <w:rFonts w:ascii="Times New Roman" w:hAnsi="Times New Roman" w:cs="Times New Roman"/>
          <w:lang w:val="en-US"/>
        </w:rPr>
        <w:t>Kachlami</w:t>
      </w:r>
      <w:proofErr w:type="spellEnd"/>
      <w:r w:rsidRPr="00E35404">
        <w:rPr>
          <w:rFonts w:ascii="Times New Roman" w:hAnsi="Times New Roman" w:cs="Times New Roman"/>
          <w:lang w:val="en-US"/>
        </w:rPr>
        <w:t xml:space="preserve"> &amp; </w:t>
      </w:r>
      <w:proofErr w:type="spellStart"/>
      <w:r w:rsidRPr="00E35404">
        <w:rPr>
          <w:rFonts w:ascii="Times New Roman" w:hAnsi="Times New Roman" w:cs="Times New Roman"/>
          <w:lang w:val="en-US"/>
        </w:rPr>
        <w:t>Yazdanfar</w:t>
      </w:r>
      <w:proofErr w:type="spellEnd"/>
      <w:r w:rsidRPr="00E35404">
        <w:rPr>
          <w:rFonts w:ascii="Times New Roman" w:hAnsi="Times New Roman" w:cs="Times New Roman"/>
          <w:lang w:val="en-US"/>
        </w:rPr>
        <w:t>, 2016). According to Gherghina et al. (2020), SMEs often pioneer innovative products, services, and business models that drive sustainable development.</w:t>
      </w:r>
    </w:p>
    <w:p w14:paraId="57C22F78" w14:textId="47259FDE" w:rsidR="00B01E1A" w:rsidRPr="00E35404" w:rsidRDefault="00B01E1A" w:rsidP="0028246F">
      <w:pPr>
        <w:spacing w:line="360" w:lineRule="auto"/>
        <w:jc w:val="both"/>
        <w:rPr>
          <w:rFonts w:ascii="Times New Roman" w:hAnsi="Times New Roman" w:cs="Times New Roman"/>
          <w:lang w:val="en-US"/>
        </w:rPr>
      </w:pPr>
      <w:r w:rsidRPr="00E35404">
        <w:rPr>
          <w:rFonts w:ascii="Times New Roman" w:hAnsi="Times New Roman" w:cs="Times New Roman"/>
          <w:lang w:val="en-US"/>
        </w:rPr>
        <w:t>In Zambia, enhancing SME growth requires a comprehensive understanding of the internal and external factors influencing their operations. This study therefore investigates the key determinants of SME growth within Lusaka City Market</w:t>
      </w:r>
      <w:r w:rsidR="009B01BD">
        <w:rPr>
          <w:rFonts w:ascii="Times New Roman" w:hAnsi="Times New Roman" w:cs="Times New Roman"/>
          <w:lang w:val="en-US"/>
        </w:rPr>
        <w:t xml:space="preserve">, </w:t>
      </w:r>
      <w:r w:rsidRPr="00E35404">
        <w:rPr>
          <w:rFonts w:ascii="Times New Roman" w:hAnsi="Times New Roman" w:cs="Times New Roman"/>
          <w:lang w:val="en-US"/>
        </w:rPr>
        <w:t>specifically focusing on access to finance, entrepreneurial skills, and government policy. By identifying these factors, the research aims to inform policies and support mechanisms that can strengthen the SME sector and foster long-term economic resilience.</w:t>
      </w:r>
    </w:p>
    <w:p w14:paraId="4FA3FB9D" w14:textId="77777777" w:rsidR="00B01E1A" w:rsidRPr="00E35404" w:rsidRDefault="00B01E1A" w:rsidP="0028246F">
      <w:pPr>
        <w:spacing w:line="360" w:lineRule="auto"/>
        <w:jc w:val="both"/>
        <w:rPr>
          <w:rFonts w:ascii="Times New Roman" w:eastAsia="Calibri" w:hAnsi="Times New Roman" w:cs="Times New Roman"/>
          <w:lang w:val="en-US" w:eastAsia="zh-CN"/>
        </w:rPr>
      </w:pPr>
      <w:r w:rsidRPr="00E35404">
        <w:rPr>
          <w:rFonts w:ascii="Times New Roman" w:eastAsia="Calibri" w:hAnsi="Times New Roman" w:cs="Times New Roman"/>
          <w:lang w:val="en-US" w:eastAsia="zh-CN"/>
        </w:rPr>
        <w:t>Small and Medium Enterprises (SMEs) play a vital role in Zambia’s economic development by contributing to employment creation, poverty alleviation, and income generation (World Bank, 2020). Despite this significance, SME growth and sustainability remain major challenges, particularly in urban commercial hubs such as Lusaka City Market.</w:t>
      </w:r>
    </w:p>
    <w:p w14:paraId="60F89AE3" w14:textId="77AFC2EE" w:rsidR="00B01E1A" w:rsidRPr="00E35404" w:rsidRDefault="00B01E1A" w:rsidP="0028246F">
      <w:pPr>
        <w:spacing w:line="360" w:lineRule="auto"/>
        <w:jc w:val="both"/>
        <w:rPr>
          <w:rFonts w:ascii="Times New Roman" w:eastAsia="Calibri" w:hAnsi="Times New Roman" w:cs="Times New Roman"/>
          <w:lang w:val="en-US" w:eastAsia="zh-CN"/>
        </w:rPr>
      </w:pPr>
      <w:r w:rsidRPr="00E35404">
        <w:rPr>
          <w:rFonts w:ascii="Times New Roman" w:eastAsia="Calibri" w:hAnsi="Times New Roman" w:cs="Times New Roman"/>
          <w:lang w:val="en-US" w:eastAsia="zh-CN"/>
        </w:rPr>
        <w:t>The Zambian government has acknowledged the importance of SMEs in driving economic growth, job creation, and national development. The Eighth National Development Plan (2022–2026) emphasizes the need to strengthen SMEs as a strategy for inclusive economic transformation (Ministry of Finance and National Planning, 2022). However, many SMEs continue to face systemic challenges</w:t>
      </w:r>
      <w:r w:rsidR="009B01BD">
        <w:rPr>
          <w:rFonts w:ascii="Times New Roman" w:eastAsia="Calibri" w:hAnsi="Times New Roman" w:cs="Times New Roman"/>
          <w:lang w:val="en-US" w:eastAsia="zh-CN"/>
        </w:rPr>
        <w:t xml:space="preserve"> </w:t>
      </w:r>
      <w:r w:rsidRPr="00E35404">
        <w:rPr>
          <w:rFonts w:ascii="Times New Roman" w:eastAsia="Calibri" w:hAnsi="Times New Roman" w:cs="Times New Roman"/>
          <w:lang w:val="en-US" w:eastAsia="zh-CN"/>
        </w:rPr>
        <w:t>including limited access to finance, weak entrepreneurial capacity, inadequate infrastructure, and regulatory barriers</w:t>
      </w:r>
      <w:r w:rsidR="009B01BD">
        <w:rPr>
          <w:rFonts w:ascii="Times New Roman" w:eastAsia="Calibri" w:hAnsi="Times New Roman" w:cs="Times New Roman"/>
          <w:lang w:val="en-US" w:eastAsia="zh-CN"/>
        </w:rPr>
        <w:t xml:space="preserve"> </w:t>
      </w:r>
      <w:r w:rsidRPr="00E35404">
        <w:rPr>
          <w:rFonts w:ascii="Times New Roman" w:eastAsia="Calibri" w:hAnsi="Times New Roman" w:cs="Times New Roman"/>
          <w:lang w:val="en-US" w:eastAsia="zh-CN"/>
        </w:rPr>
        <w:t>that hinder long-term viability and expansion.</w:t>
      </w:r>
    </w:p>
    <w:p w14:paraId="3C5AE309" w14:textId="77777777" w:rsidR="00B01E1A" w:rsidRPr="00E35404" w:rsidRDefault="00B01E1A" w:rsidP="0028246F">
      <w:pPr>
        <w:spacing w:line="360" w:lineRule="auto"/>
        <w:jc w:val="both"/>
        <w:rPr>
          <w:rFonts w:ascii="Times New Roman" w:eastAsia="Calibri" w:hAnsi="Times New Roman" w:cs="Times New Roman"/>
          <w:lang w:val="en-US" w:eastAsia="zh-CN"/>
        </w:rPr>
      </w:pPr>
      <w:r w:rsidRPr="00E35404">
        <w:rPr>
          <w:rFonts w:ascii="Times New Roman" w:eastAsia="Calibri" w:hAnsi="Times New Roman" w:cs="Times New Roman"/>
          <w:lang w:val="en-US" w:eastAsia="zh-CN"/>
        </w:rPr>
        <w:t>Empirical evidence suggests that a substantial number of SMEs in Zambia fail within their first few months of operation, leading to business closures and financial losses (Chowa &amp; Kaira, 2020). This high failure rate has broader economic implications, such as reduced employment opportunities and stalled progress toward economic diversification (World Bank, 2021). The lack of sustainable growth among SMEs not only limits their potential contribution to Gross Domestic Product (GDP) but also constrains efforts to build resilient local economies.</w:t>
      </w:r>
    </w:p>
    <w:p w14:paraId="05C4B1AE" w14:textId="77777777" w:rsidR="00B01E1A" w:rsidRPr="00E35404" w:rsidRDefault="00B01E1A" w:rsidP="0028246F">
      <w:pPr>
        <w:spacing w:line="360" w:lineRule="auto"/>
        <w:jc w:val="both"/>
        <w:rPr>
          <w:rFonts w:ascii="Times New Roman" w:hAnsi="Times New Roman" w:cs="Times New Roman"/>
          <w:lang w:val="en-US" w:eastAsia="zh-CN"/>
        </w:rPr>
      </w:pPr>
      <w:r w:rsidRPr="00E35404">
        <w:rPr>
          <w:rFonts w:ascii="Times New Roman" w:hAnsi="Times New Roman" w:cs="Times New Roman"/>
          <w:lang w:val="en-US" w:eastAsia="zh-CN"/>
        </w:rPr>
        <w:t>One of the primary motivations for this study is the persistent challenge of SME stagnation. Many enterprises fail to transition from micro- to medium-scale businesses due to financial constraints, limited business knowledge, and insufficient policy support. This restricts their capacity to scale operations, compete in formal markets, and invest in innovation.</w:t>
      </w:r>
    </w:p>
    <w:p w14:paraId="65E118C8" w14:textId="77777777" w:rsidR="00B01E1A" w:rsidRPr="00E35404" w:rsidRDefault="00B01E1A" w:rsidP="0028246F">
      <w:pPr>
        <w:spacing w:line="360" w:lineRule="auto"/>
        <w:jc w:val="both"/>
        <w:rPr>
          <w:rFonts w:ascii="Times New Roman" w:hAnsi="Times New Roman" w:cs="Times New Roman"/>
          <w:lang w:val="en-US" w:eastAsia="zh-CN"/>
        </w:rPr>
      </w:pPr>
      <w:r w:rsidRPr="00E35404">
        <w:rPr>
          <w:rFonts w:ascii="Times New Roman" w:hAnsi="Times New Roman" w:cs="Times New Roman"/>
          <w:lang w:val="en-US" w:eastAsia="zh-CN"/>
        </w:rPr>
        <w:t>Lusaka City Market presents an ideal case for investigating these challenges. As a central trading hub, the market hosts a diverse range of SMEs involved in retail, food services, and informal trade. Studying this context offers unique insights into the business dynamics of urban SMEs and enables the identification of location-specific growth factors and barriers.</w:t>
      </w:r>
    </w:p>
    <w:p w14:paraId="07808FD2" w14:textId="77777777" w:rsidR="006451B4" w:rsidRDefault="00B01E1A" w:rsidP="0028246F">
      <w:pPr>
        <w:spacing w:line="360" w:lineRule="auto"/>
        <w:jc w:val="both"/>
        <w:rPr>
          <w:rFonts w:ascii="Times New Roman" w:hAnsi="Times New Roman" w:cs="Times New Roman"/>
          <w:lang w:val="en-US" w:eastAsia="zh-CN"/>
        </w:rPr>
      </w:pPr>
      <w:r w:rsidRPr="00E35404">
        <w:rPr>
          <w:rFonts w:ascii="Times New Roman" w:hAnsi="Times New Roman" w:cs="Times New Roman"/>
          <w:lang w:val="en-US" w:eastAsia="zh-CN"/>
        </w:rPr>
        <w:t>This research aims to bridge the gap in localized literature on SME growth in Zambia by focusing on Lusaka City Market. It contributes to both academic and practical knowledge by identifying key growth determinants and providing actionable recommendations. Policymakers, financial institutions, and development agencies can leverage these findings to design targeted interventions that improve the SME business environment and promote long-term success.</w:t>
      </w:r>
    </w:p>
    <w:p w14:paraId="427B755F" w14:textId="77777777" w:rsidR="009E1D91" w:rsidRDefault="009E1D91" w:rsidP="0028246F">
      <w:pPr>
        <w:spacing w:line="360" w:lineRule="auto"/>
        <w:jc w:val="both"/>
        <w:rPr>
          <w:rFonts w:ascii="Times New Roman" w:hAnsi="Times New Roman" w:cs="Times New Roman"/>
          <w:lang w:val="en-US" w:eastAsia="zh-CN"/>
        </w:rPr>
      </w:pPr>
    </w:p>
    <w:p w14:paraId="6BD9307E" w14:textId="1A624AAB" w:rsidR="009E1D91" w:rsidRPr="00D6501D" w:rsidRDefault="009E1D91" w:rsidP="00D6501D">
      <w:pPr>
        <w:pStyle w:val="ListParagraph"/>
        <w:keepNext/>
        <w:keepLines/>
        <w:numPr>
          <w:ilvl w:val="0"/>
          <w:numId w:val="3"/>
        </w:numPr>
        <w:suppressAutoHyphens w:val="0"/>
        <w:overflowPunct/>
        <w:autoSpaceDE/>
        <w:spacing w:before="160" w:after="80" w:line="360" w:lineRule="auto"/>
        <w:jc w:val="both"/>
        <w:textAlignment w:val="auto"/>
        <w:outlineLvl w:val="1"/>
        <w:rPr>
          <w:rFonts w:ascii="Times New Roman" w:eastAsiaTheme="majorEastAsia" w:hAnsi="Times New Roman" w:cs="Times New Roman"/>
          <w:b/>
          <w:sz w:val="24"/>
          <w:szCs w:val="24"/>
        </w:rPr>
      </w:pPr>
      <w:bookmarkStart w:id="0" w:name="_Toc201619506"/>
      <w:r w:rsidRPr="00D6501D">
        <w:rPr>
          <w:rFonts w:ascii="Times New Roman" w:eastAsiaTheme="majorEastAsia" w:hAnsi="Times New Roman" w:cs="Times New Roman"/>
          <w:b/>
          <w:sz w:val="24"/>
          <w:szCs w:val="24"/>
        </w:rPr>
        <w:t>Statement of the problem</w:t>
      </w:r>
      <w:bookmarkEnd w:id="0"/>
    </w:p>
    <w:p w14:paraId="062650DB" w14:textId="77777777" w:rsidR="009E1D91" w:rsidRPr="00B52961" w:rsidRDefault="009E1D91" w:rsidP="009E1D91">
      <w:pPr>
        <w:spacing w:line="360" w:lineRule="auto"/>
        <w:jc w:val="both"/>
        <w:rPr>
          <w:rFonts w:ascii="Times New Roman" w:hAnsi="Times New Roman" w:cs="Times New Roman"/>
        </w:rPr>
      </w:pPr>
      <w:r w:rsidRPr="00B52961">
        <w:rPr>
          <w:rFonts w:ascii="Times New Roman" w:hAnsi="Times New Roman" w:cs="Times New Roman"/>
        </w:rPr>
        <w:t>Small and Medium Enterprises (SMEs) played a vital role in Zambia’s economic development by contributing to employment creation, poverty alleviation, and income generation (World Bank, 2020). Despite their significance, the growth and sustainability of SMEs in Zambia remained a major challenge, particularly in urban commercial hubs such as Lusaka City Market.</w:t>
      </w:r>
    </w:p>
    <w:p w14:paraId="06F89770" w14:textId="77777777" w:rsidR="009E1D91" w:rsidRPr="00B52961" w:rsidRDefault="009E1D91" w:rsidP="009E1D91">
      <w:pPr>
        <w:spacing w:line="360" w:lineRule="auto"/>
        <w:jc w:val="both"/>
        <w:rPr>
          <w:rFonts w:ascii="Times New Roman" w:hAnsi="Times New Roman" w:cs="Times New Roman"/>
        </w:rPr>
      </w:pPr>
      <w:r w:rsidRPr="00B52961">
        <w:rPr>
          <w:rFonts w:ascii="Times New Roman" w:hAnsi="Times New Roman" w:cs="Times New Roman"/>
        </w:rPr>
        <w:lastRenderedPageBreak/>
        <w:t>The Zambian government recognized the critical role that SMEs played in driving economic growth, job creation, and poverty reduction. However, SMEs in Zambia continued to struggle with business growth (Ministry of Finance and National Planning, 2022). The Eighth National Development Plan (2022–2026) acknowledged that SMEs were fundamental to national development; however, many of these enterprises faced structural and operational challenges that hindered their long-term sustainability and scalability.</w:t>
      </w:r>
    </w:p>
    <w:p w14:paraId="09D647CE" w14:textId="77777777" w:rsidR="009E1D91" w:rsidRPr="00B52961" w:rsidRDefault="009E1D91" w:rsidP="009E1D91">
      <w:pPr>
        <w:spacing w:line="360" w:lineRule="auto"/>
        <w:jc w:val="both"/>
        <w:rPr>
          <w:rFonts w:ascii="Times New Roman" w:hAnsi="Times New Roman" w:cs="Times New Roman"/>
        </w:rPr>
      </w:pPr>
      <w:r w:rsidRPr="00B52961">
        <w:rPr>
          <w:rFonts w:ascii="Times New Roman" w:hAnsi="Times New Roman" w:cs="Times New Roman"/>
        </w:rPr>
        <w:t>A small number of studies showed that SMEs failed within the first few months of operation, resulting in business closures and losses for entrepreneurs (Chowa &amp; Kaira, 2020). Not only did this high failure rate impact individual business owners, but it also had wider economic ramifications, such as fewer job opportunities and a stalled level of economic diversification (World Bank, 2021). This study, therefore, sought to identify factors that influenced the growth of SMEs and proposed strategies to foster their long-term success and contribution to Gross Domestic Product (GDP).</w:t>
      </w:r>
    </w:p>
    <w:p w14:paraId="7C8D7270" w14:textId="77777777" w:rsidR="009E1D91" w:rsidRPr="00B52961" w:rsidRDefault="009E1D91" w:rsidP="009E1D91">
      <w:pPr>
        <w:spacing w:line="360" w:lineRule="auto"/>
        <w:jc w:val="both"/>
        <w:rPr>
          <w:rFonts w:ascii="Times New Roman" w:hAnsi="Times New Roman" w:cs="Times New Roman"/>
        </w:rPr>
      </w:pPr>
      <w:r w:rsidRPr="00B52961">
        <w:rPr>
          <w:rFonts w:ascii="Times New Roman" w:hAnsi="Times New Roman" w:cs="Times New Roman"/>
        </w:rPr>
        <w:t>One of the primary reasons for conducting this study was the recognition that SMEs in Zambia struggled to grow. This lack of growth often prevented them from scaling up, reducing their potential to contribute meaningfully to economic development. By examining the specific factors affecting SMEs within Lusaka City Market, the study sought to provide a comprehensive understanding of the business landscape and propose solutions to enhance SME growth.</w:t>
      </w:r>
    </w:p>
    <w:p w14:paraId="596C3343" w14:textId="77777777" w:rsidR="009E1D91" w:rsidRPr="00B52961" w:rsidRDefault="009E1D91" w:rsidP="009E1D91">
      <w:pPr>
        <w:spacing w:line="360" w:lineRule="auto"/>
        <w:jc w:val="both"/>
        <w:rPr>
          <w:rFonts w:ascii="Times New Roman" w:hAnsi="Times New Roman" w:cs="Times New Roman"/>
        </w:rPr>
      </w:pPr>
      <w:r w:rsidRPr="00B52961">
        <w:rPr>
          <w:rFonts w:ascii="Times New Roman" w:hAnsi="Times New Roman" w:cs="Times New Roman"/>
        </w:rPr>
        <w:t>Lusaka City Market served as a key trading hub for SMEs, making it an ideal case study for understanding the dynamics of small business growth in an urban setting. The market’s diverse range of businesses, which included retail, food services, and informal trade, presented a unique opportunity to analyse different factors that contributed to or hindered success. By focusing on this specific location, the study generated insights that could apply to other urban markets in Zambia, ultimately benefiting a broader spectrum of entrepreneurs.</w:t>
      </w:r>
    </w:p>
    <w:p w14:paraId="26F785DB" w14:textId="77777777" w:rsidR="009E1D91" w:rsidRPr="00B52961" w:rsidRDefault="009E1D91" w:rsidP="009E1D91">
      <w:pPr>
        <w:spacing w:line="360" w:lineRule="auto"/>
        <w:jc w:val="both"/>
        <w:rPr>
          <w:rFonts w:ascii="Times New Roman" w:hAnsi="Times New Roman" w:cs="Times New Roman"/>
        </w:rPr>
      </w:pPr>
      <w:r w:rsidRPr="00B52961">
        <w:rPr>
          <w:rFonts w:ascii="Times New Roman" w:hAnsi="Times New Roman" w:cs="Times New Roman"/>
        </w:rPr>
        <w:t>Furthermore, the study aimed to inform policy and strategic interventions that could improve the business environment for SMEs. Policymakers, financial institutions, and development agencies could use the findings to design targeted initiatives to support SME growth.</w:t>
      </w:r>
    </w:p>
    <w:p w14:paraId="00D6E759" w14:textId="77777777" w:rsidR="009E1D91" w:rsidRPr="00B52961" w:rsidRDefault="009E1D91" w:rsidP="009E1D91">
      <w:pPr>
        <w:spacing w:line="360" w:lineRule="auto"/>
        <w:jc w:val="both"/>
        <w:rPr>
          <w:rFonts w:ascii="Times New Roman" w:hAnsi="Times New Roman" w:cs="Times New Roman"/>
          <w:kern w:val="2"/>
          <w14:ligatures w14:val="standardContextual"/>
        </w:rPr>
      </w:pPr>
      <w:r w:rsidRPr="00B52961">
        <w:rPr>
          <w:rFonts w:ascii="Times New Roman" w:hAnsi="Times New Roman" w:cs="Times New Roman"/>
        </w:rPr>
        <w:t>Additionally, this research contributed to the academic literature by addressing gaps in existing studies on SME growth in Zambia. Many studies highlighted some challenges faced by SMEs; therefore, there was a need for more localized studies that focused on specific business environments, such as Lusaka City Market.</w:t>
      </w:r>
    </w:p>
    <w:p w14:paraId="6A1A12A0" w14:textId="77777777" w:rsidR="006451B4" w:rsidRPr="00E35404" w:rsidRDefault="006451B4" w:rsidP="0028246F">
      <w:pPr>
        <w:spacing w:line="360" w:lineRule="auto"/>
        <w:jc w:val="both"/>
        <w:rPr>
          <w:rFonts w:ascii="Times New Roman" w:eastAsia="Calibri" w:hAnsi="Times New Roman" w:cs="Times New Roman"/>
          <w:lang w:val="en-US" w:eastAsia="zh-CN"/>
        </w:rPr>
      </w:pPr>
    </w:p>
    <w:p w14:paraId="05496BD4" w14:textId="096EC3AC" w:rsidR="006451B4" w:rsidRPr="001858EB" w:rsidRDefault="003A5541" w:rsidP="0028246F">
      <w:pPr>
        <w:spacing w:line="360" w:lineRule="auto"/>
        <w:rPr>
          <w:rFonts w:ascii="Times New Roman" w:hAnsi="Times New Roman" w:cs="Times New Roman"/>
          <w:b/>
          <w:sz w:val="24"/>
          <w:szCs w:val="24"/>
          <w:lang w:val="en-US" w:eastAsia="zh-CN"/>
        </w:rPr>
      </w:pPr>
      <w:r>
        <w:rPr>
          <w:rFonts w:ascii="Times New Roman" w:hAnsi="Times New Roman" w:cs="Times New Roman"/>
          <w:b/>
          <w:sz w:val="24"/>
          <w:szCs w:val="24"/>
          <w:lang w:val="en-US" w:eastAsia="zh-CN"/>
        </w:rPr>
        <w:t xml:space="preserve">3. </w:t>
      </w:r>
      <w:r w:rsidR="006451B4" w:rsidRPr="001858EB">
        <w:rPr>
          <w:rFonts w:ascii="Times New Roman" w:hAnsi="Times New Roman" w:cs="Times New Roman"/>
          <w:b/>
          <w:sz w:val="24"/>
          <w:szCs w:val="24"/>
          <w:lang w:val="en-US" w:eastAsia="zh-CN"/>
        </w:rPr>
        <w:t>Literature Review</w:t>
      </w:r>
    </w:p>
    <w:p w14:paraId="6CBA667A" w14:textId="6E445BC0" w:rsidR="0061109D" w:rsidRPr="0061109D" w:rsidRDefault="0061109D" w:rsidP="0061109D">
      <w:pPr>
        <w:tabs>
          <w:tab w:val="left" w:pos="360"/>
        </w:tabs>
        <w:snapToGrid w:val="0"/>
        <w:spacing w:line="360" w:lineRule="auto"/>
        <w:jc w:val="both"/>
        <w:rPr>
          <w:rFonts w:ascii="Times New Roman" w:hAnsi="Times New Roman" w:cs="Times New Roman"/>
          <w:lang w:val="en-US" w:eastAsia="zh-CN"/>
        </w:rPr>
      </w:pPr>
      <w:r w:rsidRPr="0061109D">
        <w:rPr>
          <w:rFonts w:ascii="Times New Roman" w:hAnsi="Times New Roman" w:cs="Times New Roman"/>
          <w:lang w:val="en-US" w:eastAsia="zh-CN"/>
        </w:rPr>
        <w:t>This examines existing literature related to the factors influencing the growth of Small and Medium Enterprises (SMEs) in Zambia, with a specific focus on Lusaka City. It reviews a wide range of scholarly journals, books, and articles to provide a comprehensive understanding of the challenges and opportunities faced by SMEs in developing economies. The literature search employed key terms such as “SME growth,” “access to finance,” “entrepreneurial skills,” “government policies,” and “SME development in Zambia.” Priority was given to recent studies and highly cited works to ensure that the review reflects the most current and relevant insights. This chapter also identifies gaps in the existing body of knowledge to justify the need for this research.</w:t>
      </w:r>
    </w:p>
    <w:p w14:paraId="45FA3495" w14:textId="1D8554A5" w:rsidR="00316CC2" w:rsidRPr="00E35404" w:rsidRDefault="0061109D" w:rsidP="0061109D">
      <w:pPr>
        <w:tabs>
          <w:tab w:val="left" w:pos="360"/>
        </w:tabs>
        <w:snapToGrid w:val="0"/>
        <w:spacing w:line="360" w:lineRule="auto"/>
        <w:jc w:val="both"/>
        <w:rPr>
          <w:rFonts w:ascii="Times New Roman" w:hAnsi="Times New Roman" w:cs="Times New Roman"/>
          <w:b/>
          <w:bCs/>
          <w:i/>
          <w:sz w:val="24"/>
          <w:szCs w:val="24"/>
          <w:lang w:val="en-US"/>
        </w:rPr>
      </w:pPr>
      <w:r w:rsidRPr="0061109D">
        <w:rPr>
          <w:rFonts w:ascii="Times New Roman" w:hAnsi="Times New Roman" w:cs="Times New Roman"/>
          <w:b/>
          <w:bCs/>
          <w:i/>
          <w:lang w:val="en-US" w:eastAsia="zh-CN"/>
        </w:rPr>
        <w:t xml:space="preserve"> </w:t>
      </w:r>
      <w:r w:rsidR="003A5541">
        <w:rPr>
          <w:rFonts w:ascii="Times New Roman" w:hAnsi="Times New Roman" w:cs="Times New Roman"/>
          <w:b/>
          <w:bCs/>
          <w:i/>
          <w:lang w:val="en-US" w:eastAsia="zh-CN"/>
        </w:rPr>
        <w:t xml:space="preserve">3.1 </w:t>
      </w:r>
      <w:r w:rsidR="00316CC2" w:rsidRPr="00E35404">
        <w:rPr>
          <w:rFonts w:ascii="Times New Roman" w:hAnsi="Times New Roman" w:cs="Times New Roman"/>
          <w:b/>
          <w:bCs/>
          <w:i/>
          <w:sz w:val="24"/>
          <w:szCs w:val="24"/>
          <w:lang w:val="en-US"/>
        </w:rPr>
        <w:t>Access to Finance</w:t>
      </w:r>
    </w:p>
    <w:p w14:paraId="2ABFFF16" w14:textId="53DDB18E"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Access to finance remains one of the most critical factors influencing the growth of SMEs globally. </w:t>
      </w:r>
      <w:proofErr w:type="spellStart"/>
      <w:r w:rsidRPr="00E35404">
        <w:rPr>
          <w:rFonts w:ascii="Times New Roman" w:hAnsi="Times New Roman" w:cs="Times New Roman"/>
          <w:lang w:val="en-US"/>
        </w:rPr>
        <w:t>Ayyagari</w:t>
      </w:r>
      <w:proofErr w:type="spellEnd"/>
      <w:r w:rsidRPr="00E35404">
        <w:rPr>
          <w:rFonts w:ascii="Times New Roman" w:hAnsi="Times New Roman" w:cs="Times New Roman"/>
          <w:lang w:val="en-US"/>
        </w:rPr>
        <w:t xml:space="preserve">, </w:t>
      </w:r>
      <w:proofErr w:type="spellStart"/>
      <w:r w:rsidRPr="00E35404">
        <w:rPr>
          <w:rFonts w:ascii="Times New Roman" w:hAnsi="Times New Roman" w:cs="Times New Roman"/>
          <w:lang w:val="en-US"/>
        </w:rPr>
        <w:t>Demirgüç-Kunt</w:t>
      </w:r>
      <w:proofErr w:type="spellEnd"/>
      <w:r w:rsidR="00F4653B">
        <w:rPr>
          <w:rFonts w:ascii="Times New Roman" w:hAnsi="Times New Roman" w:cs="Times New Roman"/>
          <w:lang w:val="en-US"/>
        </w:rPr>
        <w:t xml:space="preserve"> &amp;</w:t>
      </w:r>
      <w:r w:rsidRPr="00E35404">
        <w:rPr>
          <w:rFonts w:ascii="Times New Roman" w:hAnsi="Times New Roman" w:cs="Times New Roman"/>
          <w:lang w:val="en-US"/>
        </w:rPr>
        <w:t xml:space="preserve"> </w:t>
      </w:r>
      <w:proofErr w:type="spellStart"/>
      <w:r w:rsidRPr="00E35404">
        <w:rPr>
          <w:rFonts w:ascii="Times New Roman" w:hAnsi="Times New Roman" w:cs="Times New Roman"/>
          <w:lang w:val="en-US"/>
        </w:rPr>
        <w:t>Maksimovic</w:t>
      </w:r>
      <w:proofErr w:type="spellEnd"/>
      <w:r w:rsidRPr="00E35404">
        <w:rPr>
          <w:rFonts w:ascii="Times New Roman" w:hAnsi="Times New Roman" w:cs="Times New Roman"/>
          <w:lang w:val="en-US"/>
        </w:rPr>
        <w:t xml:space="preserve"> (2018) argue</w:t>
      </w:r>
      <w:r w:rsidR="00F4653B">
        <w:rPr>
          <w:rFonts w:ascii="Times New Roman" w:hAnsi="Times New Roman" w:cs="Times New Roman"/>
          <w:lang w:val="en-US"/>
        </w:rPr>
        <w:t>s</w:t>
      </w:r>
      <w:r w:rsidRPr="00E35404">
        <w:rPr>
          <w:rFonts w:ascii="Times New Roman" w:hAnsi="Times New Roman" w:cs="Times New Roman"/>
          <w:lang w:val="en-US"/>
        </w:rPr>
        <w:t xml:space="preserve"> that limited access to affordable and timely credit constrains the ability of SMEs to scale operations, invest in innovation, or absorb market shocks. The World Bank (2021) similarly highlights that financial exclusion is more pronounced in developing countries, where credit markets are underdeveloped, and lending is risk-averse.</w:t>
      </w:r>
    </w:p>
    <w:p w14:paraId="22A9C95C" w14:textId="00262ECA"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lastRenderedPageBreak/>
        <w:t xml:space="preserve">In Africa, Olatunji and Ekundayo (2022) in Nigeria </w:t>
      </w:r>
      <w:r w:rsidR="00F4653B">
        <w:rPr>
          <w:rFonts w:ascii="Times New Roman" w:hAnsi="Times New Roman" w:cs="Times New Roman"/>
          <w:lang w:val="en-US"/>
        </w:rPr>
        <w:t>&amp;</w:t>
      </w:r>
      <w:r w:rsidRPr="00E35404">
        <w:rPr>
          <w:rFonts w:ascii="Times New Roman" w:hAnsi="Times New Roman" w:cs="Times New Roman"/>
          <w:lang w:val="en-US"/>
        </w:rPr>
        <w:t xml:space="preserve"> Mwansa and Banda (2022) in Zambia found that many SMEs are unable to meet collateral requirements, and interest rates are often prohibitive. Informal credit systems are frequently used as substitutes but are inconsistent and unreliable. In Lusaka City Market, access to formal financial products remains limited, pushing SMEs to rely on personal savings or informal lending networks (</w:t>
      </w:r>
      <w:proofErr w:type="spellStart"/>
      <w:r w:rsidRPr="00E35404">
        <w:rPr>
          <w:rFonts w:ascii="Times New Roman" w:hAnsi="Times New Roman" w:cs="Times New Roman"/>
          <w:lang w:val="en-US"/>
        </w:rPr>
        <w:t>Kambwili</w:t>
      </w:r>
      <w:proofErr w:type="spellEnd"/>
      <w:r w:rsidRPr="00E35404">
        <w:rPr>
          <w:rFonts w:ascii="Times New Roman" w:hAnsi="Times New Roman" w:cs="Times New Roman"/>
          <w:lang w:val="en-US"/>
        </w:rPr>
        <w:t>, 2022). This financial gap limits their ability to invest in capital assets, expand product offerings, or hire additional staff.</w:t>
      </w:r>
    </w:p>
    <w:p w14:paraId="669E8425" w14:textId="05D679B8" w:rsidR="00316CC2" w:rsidRPr="00E35404" w:rsidRDefault="003A5541" w:rsidP="0028246F">
      <w:pPr>
        <w:tabs>
          <w:tab w:val="left" w:pos="360"/>
        </w:tabs>
        <w:snapToGrid w:val="0"/>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3.2 </w:t>
      </w:r>
      <w:r w:rsidR="00316CC2" w:rsidRPr="00E35404">
        <w:rPr>
          <w:rFonts w:ascii="Times New Roman" w:hAnsi="Times New Roman" w:cs="Times New Roman"/>
          <w:b/>
          <w:bCs/>
          <w:i/>
          <w:sz w:val="24"/>
          <w:szCs w:val="24"/>
          <w:lang w:val="en-US"/>
        </w:rPr>
        <w:t>Entrepreneurial Skills and Education</w:t>
      </w:r>
    </w:p>
    <w:p w14:paraId="6A406258" w14:textId="569B2878"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Entrepreneurial competence is increasingly recognized as a key determinant of SME performance. Zafar et al. (2021) highlight that in a fast-changing global economy, entrepreneurial education, digital skills, and strategic thinking are critical for adapting to new market conditions and for innovation. This view is supported in the African context, where Boateng </w:t>
      </w:r>
      <w:r w:rsidR="00F4653B">
        <w:rPr>
          <w:rFonts w:ascii="Times New Roman" w:hAnsi="Times New Roman" w:cs="Times New Roman"/>
          <w:lang w:val="en-US"/>
        </w:rPr>
        <w:t>&amp;</w:t>
      </w:r>
      <w:r w:rsidRPr="00E35404">
        <w:rPr>
          <w:rFonts w:ascii="Times New Roman" w:hAnsi="Times New Roman" w:cs="Times New Roman"/>
          <w:lang w:val="en-US"/>
        </w:rPr>
        <w:t xml:space="preserve"> Nartey (2019) found that educated entrepreneurs in Ghana were more likely to innovate, manage risk effectively, and adopt technologies.</w:t>
      </w:r>
    </w:p>
    <w:p w14:paraId="4309C12E" w14:textId="2B820E25"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In Zambia, </w:t>
      </w:r>
      <w:proofErr w:type="spellStart"/>
      <w:r w:rsidRPr="00E35404">
        <w:rPr>
          <w:rFonts w:ascii="Times New Roman" w:hAnsi="Times New Roman" w:cs="Times New Roman"/>
          <w:lang w:val="en-US"/>
        </w:rPr>
        <w:t>Chikozho</w:t>
      </w:r>
      <w:proofErr w:type="spellEnd"/>
      <w:r w:rsidRPr="00E35404">
        <w:rPr>
          <w:rFonts w:ascii="Times New Roman" w:hAnsi="Times New Roman" w:cs="Times New Roman"/>
          <w:lang w:val="en-US"/>
        </w:rPr>
        <w:t xml:space="preserve"> </w:t>
      </w:r>
      <w:r w:rsidR="00F4653B">
        <w:rPr>
          <w:rFonts w:ascii="Times New Roman" w:hAnsi="Times New Roman" w:cs="Times New Roman"/>
          <w:lang w:val="en-US"/>
        </w:rPr>
        <w:t>&amp;</w:t>
      </w:r>
      <w:r w:rsidRPr="00E35404">
        <w:rPr>
          <w:rFonts w:ascii="Times New Roman" w:hAnsi="Times New Roman" w:cs="Times New Roman"/>
          <w:lang w:val="en-US"/>
        </w:rPr>
        <w:t xml:space="preserve"> </w:t>
      </w:r>
      <w:proofErr w:type="spellStart"/>
      <w:r w:rsidRPr="00E35404">
        <w:rPr>
          <w:rFonts w:ascii="Times New Roman" w:hAnsi="Times New Roman" w:cs="Times New Roman"/>
          <w:lang w:val="en-US"/>
        </w:rPr>
        <w:t>Tembo</w:t>
      </w:r>
      <w:proofErr w:type="spellEnd"/>
      <w:r w:rsidRPr="00E35404">
        <w:rPr>
          <w:rFonts w:ascii="Times New Roman" w:hAnsi="Times New Roman" w:cs="Times New Roman"/>
          <w:lang w:val="en-US"/>
        </w:rPr>
        <w:t xml:space="preserve"> (2021) show that SMEs run by individuals with formal business training had higher survival and growth rates compared to those without. However, the general lack of access to structured entrepreneurial training, especially in informal markets like Lusaka City Market, remains a barrier.</w:t>
      </w:r>
    </w:p>
    <w:p w14:paraId="6844DB2C" w14:textId="77777777"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RBV underscores education and managerial skills as intangible resources that contribute to firm performance. Network Theory also adds that entrepreneurial learning is often enhanced through interactions with peers and mentors within business networks. Therefore, improving entrepreneurial skills not only strengthens internal capabilities but also enhances SMEs' ability to leverage external opportunities.</w:t>
      </w:r>
    </w:p>
    <w:p w14:paraId="3499228B" w14:textId="195E596C" w:rsidR="00316CC2" w:rsidRPr="00E35404" w:rsidRDefault="003A5541" w:rsidP="0028246F">
      <w:pPr>
        <w:tabs>
          <w:tab w:val="left" w:pos="360"/>
        </w:tabs>
        <w:snapToGrid w:val="0"/>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3.3 </w:t>
      </w:r>
      <w:r w:rsidR="00316CC2" w:rsidRPr="00E35404">
        <w:rPr>
          <w:rFonts w:ascii="Times New Roman" w:hAnsi="Times New Roman" w:cs="Times New Roman"/>
          <w:b/>
          <w:bCs/>
          <w:i/>
          <w:sz w:val="24"/>
          <w:szCs w:val="24"/>
          <w:lang w:val="en-US"/>
        </w:rPr>
        <w:t>Government Policies and Regulations</w:t>
      </w:r>
    </w:p>
    <w:p w14:paraId="71CEF620" w14:textId="77777777"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Government policies and the broader institutional framework play a vital role in shaping SME development. According to OECD (2022), streamlined business registration, reduced tax burdens, and transparent legal systems are associated with improved SME performance globally. However, World Bank (2021) cautions that burdensome regulations and inconsistent enforcement practices remain significant barriers, particularly in low-income countries.</w:t>
      </w:r>
    </w:p>
    <w:p w14:paraId="2BC51C57" w14:textId="73FE411C" w:rsidR="00316CC2"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Regionally, Mwangi </w:t>
      </w:r>
      <w:r w:rsidR="00F4653B">
        <w:rPr>
          <w:rFonts w:ascii="Times New Roman" w:hAnsi="Times New Roman" w:cs="Times New Roman"/>
          <w:lang w:val="en-US"/>
        </w:rPr>
        <w:t>&amp;</w:t>
      </w:r>
      <w:r w:rsidRPr="00E35404">
        <w:rPr>
          <w:rFonts w:ascii="Times New Roman" w:hAnsi="Times New Roman" w:cs="Times New Roman"/>
          <w:lang w:val="en-US"/>
        </w:rPr>
        <w:t xml:space="preserve"> Mungai (2021) found that simplified government procedures in Kenya positively impacted SME sustainability. In Zambia, despite initiatives like the Zambia Development Agency (ZDA) and the MSME policy framework, institutional bottlenecks persist (Ministry of Commerce, Trade and Industry, 2023). Entrepreneurs operating in Lusaka City Market often face bureaucratic delays and lack of clarity in compliance procedures (Phiri &amp; Lungu, 2020).</w:t>
      </w:r>
    </w:p>
    <w:p w14:paraId="43DD130B" w14:textId="77777777" w:rsidR="00FB2C6D" w:rsidRPr="00E35404" w:rsidRDefault="00316CC2"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Institutional Theory provides a lens to understand how these regulatory structures influence SME behavior and growth. Institutional weaknesses can discourage formalization, reduce investment incentives, and limit firms’ access to government support. Enhancing institutional efficiency is thus critical for fostering a conducive environment for SME development.</w:t>
      </w:r>
    </w:p>
    <w:p w14:paraId="133053E2" w14:textId="254C2290" w:rsidR="0028246F" w:rsidRPr="00E35404" w:rsidRDefault="003A5541" w:rsidP="0028246F">
      <w:pPr>
        <w:tabs>
          <w:tab w:val="left" w:pos="360"/>
        </w:tabs>
        <w:snapToGrid w:val="0"/>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3.4 </w:t>
      </w:r>
      <w:r w:rsidR="0028246F" w:rsidRPr="00E35404">
        <w:rPr>
          <w:rFonts w:ascii="Times New Roman" w:hAnsi="Times New Roman" w:cs="Times New Roman"/>
          <w:b/>
          <w:sz w:val="24"/>
          <w:szCs w:val="24"/>
          <w:lang w:val="en-US"/>
        </w:rPr>
        <w:t xml:space="preserve">Underpinning theories </w:t>
      </w:r>
    </w:p>
    <w:p w14:paraId="400EB222" w14:textId="298794DD"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 xml:space="preserve">This study is underpinned by three major theoretical perspectives that provide a robust framework for </w:t>
      </w:r>
      <w:proofErr w:type="spellStart"/>
      <w:r w:rsidRPr="00E35404">
        <w:rPr>
          <w:rFonts w:ascii="Times New Roman" w:hAnsi="Times New Roman" w:cs="Times New Roman"/>
        </w:rPr>
        <w:t>analyzing</w:t>
      </w:r>
      <w:proofErr w:type="spellEnd"/>
      <w:r w:rsidRPr="00E35404">
        <w:rPr>
          <w:rFonts w:ascii="Times New Roman" w:hAnsi="Times New Roman" w:cs="Times New Roman"/>
        </w:rPr>
        <w:t xml:space="preserve"> the factors influencing the growth of small and medium enterprises (SMEs): the Resource-Based View (RBV), Institutional Theory, and Network Theory. Each theory addresses a distinct dimension of SME development</w:t>
      </w:r>
      <w:r w:rsidR="00F4653B">
        <w:rPr>
          <w:rFonts w:ascii="Times New Roman" w:hAnsi="Times New Roman" w:cs="Times New Roman"/>
        </w:rPr>
        <w:t xml:space="preserve"> of </w:t>
      </w:r>
      <w:r w:rsidRPr="00E35404">
        <w:rPr>
          <w:rFonts w:ascii="Times New Roman" w:hAnsi="Times New Roman" w:cs="Times New Roman"/>
        </w:rPr>
        <w:t>internal capacities, external environments, and social relationships</w:t>
      </w:r>
      <w:r w:rsidR="00F4653B">
        <w:rPr>
          <w:rFonts w:ascii="Times New Roman" w:hAnsi="Times New Roman" w:cs="Times New Roman"/>
        </w:rPr>
        <w:t xml:space="preserve"> </w:t>
      </w:r>
      <w:r w:rsidR="009F0D91">
        <w:rPr>
          <w:rFonts w:ascii="Times New Roman" w:hAnsi="Times New Roman" w:cs="Times New Roman"/>
        </w:rPr>
        <w:tab/>
      </w:r>
      <w:r w:rsidRPr="00E35404">
        <w:rPr>
          <w:rFonts w:ascii="Times New Roman" w:hAnsi="Times New Roman" w:cs="Times New Roman"/>
        </w:rPr>
        <w:t>and together they form a comprehensive lens through which to understand the dynamics of SME growth in the Zambian context.</w:t>
      </w:r>
    </w:p>
    <w:p w14:paraId="0ED4A290" w14:textId="62529B62" w:rsidR="00316CC2" w:rsidRPr="00E35404" w:rsidRDefault="003A5541" w:rsidP="0028246F">
      <w:pPr>
        <w:spacing w:line="360" w:lineRule="auto"/>
        <w:jc w:val="both"/>
        <w:rPr>
          <w:rFonts w:ascii="Times New Roman" w:hAnsi="Times New Roman" w:cs="Times New Roman"/>
          <w:b/>
          <w:i/>
          <w:sz w:val="24"/>
          <w:szCs w:val="24"/>
        </w:rPr>
      </w:pPr>
      <w:proofErr w:type="gramStart"/>
      <w:r w:rsidRPr="003A5541">
        <w:rPr>
          <w:rFonts w:ascii="Times New Roman" w:hAnsi="Times New Roman" w:cs="Times New Roman"/>
          <w:b/>
          <w:bCs/>
          <w:sz w:val="24"/>
          <w:szCs w:val="24"/>
        </w:rPr>
        <w:t>3.5</w:t>
      </w:r>
      <w:r>
        <w:rPr>
          <w:rFonts w:ascii="Times New Roman" w:hAnsi="Times New Roman" w:cs="Times New Roman"/>
        </w:rPr>
        <w:t xml:space="preserve"> </w:t>
      </w:r>
      <w:r w:rsidR="00316CC2" w:rsidRPr="00E35404">
        <w:rPr>
          <w:rFonts w:ascii="Times New Roman" w:hAnsi="Times New Roman" w:cs="Times New Roman"/>
        </w:rPr>
        <w:t xml:space="preserve"> </w:t>
      </w:r>
      <w:r w:rsidR="00316CC2" w:rsidRPr="00E35404">
        <w:rPr>
          <w:rFonts w:ascii="Times New Roman" w:hAnsi="Times New Roman" w:cs="Times New Roman"/>
          <w:b/>
          <w:i/>
          <w:sz w:val="24"/>
          <w:szCs w:val="24"/>
        </w:rPr>
        <w:t>Resource</w:t>
      </w:r>
      <w:proofErr w:type="gramEnd"/>
      <w:r w:rsidR="00316CC2" w:rsidRPr="00E35404">
        <w:rPr>
          <w:rFonts w:ascii="Times New Roman" w:hAnsi="Times New Roman" w:cs="Times New Roman"/>
          <w:b/>
          <w:i/>
          <w:sz w:val="24"/>
          <w:szCs w:val="24"/>
        </w:rPr>
        <w:t>-Based View (RBV)</w:t>
      </w:r>
    </w:p>
    <w:p w14:paraId="0E6D2A7C"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 xml:space="preserve">The Resource-Based View (RBV), initially advanced by Barney (1991), posits that a firm’s sustainable competitive advantage is derived from its ability to acquire, develop, and deploy valuable, rare, inimitable, and non-substitutable (VRIN) internal resources. </w:t>
      </w:r>
      <w:r w:rsidRPr="00E35404">
        <w:rPr>
          <w:rFonts w:ascii="Times New Roman" w:hAnsi="Times New Roman" w:cs="Times New Roman"/>
        </w:rPr>
        <w:lastRenderedPageBreak/>
        <w:t>In the context of SMEs, such resources include financial capital, entrepreneurial skills, technological assets, and managerial capabilities.</w:t>
      </w:r>
    </w:p>
    <w:p w14:paraId="0D03850E"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For SMEs operating in Lusaka City Market, access to finance and entrepreneurial competence are critical internal resources that can determine whether a business survives or grows. Financial capital enables firms to invest in inventory, marketing, and infrastructure, while skills and education enhance an entrepreneur’s ability to innovate, manage risk, and make informed strategic decisions. RBV emphasizes that it is not merely the presence of these resources but the firm’s ability to leverage them effectively that fosters growth. Therefore, differences in SME performance can often be traced back to disparities in the availability and use of such internal capabilities.</w:t>
      </w:r>
    </w:p>
    <w:p w14:paraId="5B1431CA" w14:textId="261B37DD" w:rsidR="00316CC2" w:rsidRPr="00E35404" w:rsidRDefault="001E5FC4" w:rsidP="0028246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3.6 </w:t>
      </w:r>
      <w:r w:rsidR="00316CC2" w:rsidRPr="00E35404">
        <w:rPr>
          <w:rFonts w:ascii="Times New Roman" w:hAnsi="Times New Roman" w:cs="Times New Roman"/>
          <w:b/>
          <w:i/>
          <w:sz w:val="24"/>
          <w:szCs w:val="24"/>
        </w:rPr>
        <w:t>Institutional Theory</w:t>
      </w:r>
    </w:p>
    <w:p w14:paraId="30C70C11" w14:textId="30F22FDC"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Institutional Theory, as formulated by scholars such as Scott (1995) and North (1990), focuses on the influence of formal and informal institutions</w:t>
      </w:r>
      <w:r w:rsidR="00A34FB0">
        <w:rPr>
          <w:rFonts w:ascii="Times New Roman" w:hAnsi="Times New Roman" w:cs="Times New Roman"/>
        </w:rPr>
        <w:t xml:space="preserve">; </w:t>
      </w:r>
      <w:r w:rsidRPr="00E35404">
        <w:rPr>
          <w:rFonts w:ascii="Times New Roman" w:hAnsi="Times New Roman" w:cs="Times New Roman"/>
        </w:rPr>
        <w:t xml:space="preserve">laws, regulations, norms, and cultural values—on organizational </w:t>
      </w:r>
      <w:proofErr w:type="spellStart"/>
      <w:r w:rsidRPr="00E35404">
        <w:rPr>
          <w:rFonts w:ascii="Times New Roman" w:hAnsi="Times New Roman" w:cs="Times New Roman"/>
        </w:rPr>
        <w:t>behavior</w:t>
      </w:r>
      <w:proofErr w:type="spellEnd"/>
      <w:r w:rsidRPr="00E35404">
        <w:rPr>
          <w:rFonts w:ascii="Times New Roman" w:hAnsi="Times New Roman" w:cs="Times New Roman"/>
        </w:rPr>
        <w:t xml:space="preserve"> and outcomes. In the case of SMEs, institutional environments shape the ease or difficulty with which firms operate, particularly in relation to government policy, taxation, licensing, and regulatory compliance.</w:t>
      </w:r>
    </w:p>
    <w:p w14:paraId="5F26C16A"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In Zambia, the regulatory framework for SMEs is often characterized by bureaucratic inefficiencies, inconsistent enforcement of policies, and limited support from public institutions (ZDA, 2022). Such institutional weaknesses can stifle innovation, increase the cost of doing business, and discourage formalization. Institutional Theory suggests that when the rules of the game are clear, fair, and supportive, businesses are more likely to flourish. Conversely, an uncertain or hostile regulatory environment can undermine entrepreneurial initiative and deter investment. Thus, the theory highlights the critical role of government policy and regulation in either enabling or constraining SME growth.</w:t>
      </w:r>
    </w:p>
    <w:p w14:paraId="6CD6E628" w14:textId="77777777" w:rsidR="00316CC2" w:rsidRPr="00E35404" w:rsidRDefault="00316CC2" w:rsidP="0028246F">
      <w:pPr>
        <w:spacing w:line="360" w:lineRule="auto"/>
        <w:jc w:val="both"/>
        <w:rPr>
          <w:rFonts w:ascii="Times New Roman" w:hAnsi="Times New Roman" w:cs="Times New Roman"/>
        </w:rPr>
      </w:pPr>
    </w:p>
    <w:p w14:paraId="0B4886E5" w14:textId="21A7AB31" w:rsidR="00316CC2" w:rsidRPr="00E35404" w:rsidRDefault="001E5FC4" w:rsidP="0028246F">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3.7 </w:t>
      </w:r>
      <w:r w:rsidR="00316CC2" w:rsidRPr="00E35404">
        <w:rPr>
          <w:rFonts w:ascii="Times New Roman" w:hAnsi="Times New Roman" w:cs="Times New Roman"/>
          <w:b/>
          <w:i/>
          <w:sz w:val="24"/>
          <w:szCs w:val="24"/>
        </w:rPr>
        <w:t>Network Theory</w:t>
      </w:r>
    </w:p>
    <w:p w14:paraId="786BA421"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Network Theory offers a relational perspective by emphasizing the importance of social capital, business networks, and informal relationships in supporting entrepreneurial activity (</w:t>
      </w:r>
      <w:proofErr w:type="spellStart"/>
      <w:r w:rsidRPr="00E35404">
        <w:rPr>
          <w:rFonts w:ascii="Times New Roman" w:hAnsi="Times New Roman" w:cs="Times New Roman"/>
        </w:rPr>
        <w:t>Granovetter</w:t>
      </w:r>
      <w:proofErr w:type="spellEnd"/>
      <w:r w:rsidRPr="00E35404">
        <w:rPr>
          <w:rFonts w:ascii="Times New Roman" w:hAnsi="Times New Roman" w:cs="Times New Roman"/>
        </w:rPr>
        <w:t>, 1985; Burt, 2000). For SMEs, especially those in emerging markets, social networks often serve as substitutes for formal institutions and systems, providing access to information, markets, finance, and mentorship.</w:t>
      </w:r>
    </w:p>
    <w:p w14:paraId="548474E2" w14:textId="77777777" w:rsidR="00316CC2" w:rsidRPr="00E35404" w:rsidRDefault="00316CC2" w:rsidP="0028246F">
      <w:pPr>
        <w:spacing w:line="360" w:lineRule="auto"/>
        <w:jc w:val="both"/>
        <w:rPr>
          <w:rFonts w:ascii="Times New Roman" w:hAnsi="Times New Roman" w:cs="Times New Roman"/>
        </w:rPr>
      </w:pPr>
    </w:p>
    <w:p w14:paraId="7884D558"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In Lusaka City Market, where many SMEs operate informally or semi-formally, relationships with suppliers, customers, fellow entrepreneurs, and community leaders can be vital for business survival and expansion. Network Theory posits that entrepreneurs who are embedded in strong and diverse networks are more likely to identify business opportunities, secure resources, and adapt to market changes. These networks can also facilitate knowledge sharing, build trust, and provide emotional support, all of which are essential for navigating a challenging business environment.</w:t>
      </w:r>
    </w:p>
    <w:p w14:paraId="1AF9899B" w14:textId="77777777" w:rsidR="00316CC2" w:rsidRPr="00E35404" w:rsidRDefault="00316CC2" w:rsidP="0028246F">
      <w:pPr>
        <w:pStyle w:val="NormalIndent"/>
        <w:spacing w:line="360" w:lineRule="auto"/>
        <w:rPr>
          <w:rFonts w:ascii="Times New Roman" w:hAnsi="Times New Roman" w:cs="Times New Roman"/>
        </w:rPr>
      </w:pPr>
    </w:p>
    <w:p w14:paraId="7220C3DE" w14:textId="77777777" w:rsidR="00316CC2" w:rsidRPr="00E35404" w:rsidRDefault="00316CC2" w:rsidP="0028246F">
      <w:pPr>
        <w:spacing w:line="360" w:lineRule="auto"/>
        <w:jc w:val="both"/>
        <w:rPr>
          <w:rFonts w:ascii="Times New Roman" w:hAnsi="Times New Roman" w:cs="Times New Roman"/>
          <w:b/>
          <w:bCs/>
          <w:i/>
          <w:iCs/>
        </w:rPr>
      </w:pPr>
      <w:r w:rsidRPr="00E35404">
        <w:rPr>
          <w:rFonts w:ascii="Times New Roman" w:hAnsi="Times New Roman" w:cs="Times New Roman"/>
        </w:rPr>
        <w:t xml:space="preserve">Together, the Resource-Based View, Institutional Theory, and Network Theory provide a holistic understanding of the factors that influence SME growth. RBV sheds light on the internal capabilities that drive competitive advantage; Institutional Theory underscores the significance of external policy and regulatory environments; and Network Theory explains how relational capital supports access to resources and resilience. By integrating these three perspectives, the study offers a multidimensional framework for examining SME performance in Lusaka City Market and informs targeted interventions to foster sustainable growth. </w:t>
      </w:r>
    </w:p>
    <w:p w14:paraId="6E06FD34" w14:textId="77777777" w:rsidR="006451B4" w:rsidRPr="00E35404" w:rsidRDefault="006451B4" w:rsidP="0028246F">
      <w:pPr>
        <w:spacing w:line="360" w:lineRule="auto"/>
        <w:jc w:val="both"/>
        <w:rPr>
          <w:rFonts w:ascii="Times New Roman" w:hAnsi="Times New Roman" w:cs="Times New Roman"/>
        </w:rPr>
        <w:sectPr w:rsidR="006451B4" w:rsidRPr="00E35404" w:rsidSect="003A5541">
          <w:headerReference w:type="even" r:id="rId15"/>
          <w:headerReference w:type="default" r:id="rId16"/>
          <w:headerReference w:type="first" r:id="rId17"/>
          <w:type w:val="continuous"/>
          <w:pgSz w:w="12240" w:h="15840"/>
          <w:pgMar w:top="1077" w:right="902" w:bottom="1440" w:left="902" w:header="720" w:footer="720" w:gutter="0"/>
          <w:cols w:space="360"/>
          <w:docGrid w:linePitch="360"/>
        </w:sectPr>
      </w:pPr>
    </w:p>
    <w:p w14:paraId="1D2CA0EA" w14:textId="77777777" w:rsidR="006451B4" w:rsidRPr="00E35404" w:rsidRDefault="006451B4" w:rsidP="0028246F">
      <w:pPr>
        <w:pStyle w:val="DefaultParagraphFont1"/>
        <w:spacing w:line="360" w:lineRule="auto"/>
        <w:rPr>
          <w:rFonts w:ascii="Times New Roman" w:hAnsi="Times New Roman" w:cs="Times New Roman"/>
        </w:rPr>
      </w:pPr>
    </w:p>
    <w:p w14:paraId="59323D7C" w14:textId="77777777" w:rsidR="003A5541" w:rsidRDefault="003A5541" w:rsidP="0028246F">
      <w:pPr>
        <w:spacing w:line="360" w:lineRule="auto"/>
        <w:rPr>
          <w:rFonts w:ascii="Times New Roman" w:hAnsi="Times New Roman" w:cs="Times New Roman"/>
          <w:lang w:val="en-US"/>
        </w:rPr>
        <w:sectPr w:rsidR="003A5541" w:rsidSect="003A5541">
          <w:type w:val="continuous"/>
          <w:pgSz w:w="12240" w:h="15840"/>
          <w:pgMar w:top="1077" w:right="902" w:bottom="1440" w:left="902" w:header="720" w:footer="720" w:gutter="0"/>
          <w:cols w:space="360"/>
          <w:docGrid w:linePitch="360"/>
        </w:sectPr>
      </w:pPr>
    </w:p>
    <w:p w14:paraId="5425EF92" w14:textId="77777777" w:rsidR="006451B4" w:rsidRPr="00E35404" w:rsidRDefault="006451B4" w:rsidP="0028246F">
      <w:pPr>
        <w:spacing w:line="360" w:lineRule="auto"/>
        <w:rPr>
          <w:rFonts w:ascii="Times New Roman" w:hAnsi="Times New Roman" w:cs="Times New Roman"/>
          <w:lang w:val="en-US"/>
        </w:rPr>
      </w:pPr>
    </w:p>
    <w:p w14:paraId="4E64A794" w14:textId="77777777" w:rsidR="006451B4" w:rsidRPr="00E35404" w:rsidRDefault="006451B4" w:rsidP="0028246F">
      <w:pPr>
        <w:spacing w:line="360" w:lineRule="auto"/>
        <w:rPr>
          <w:rFonts w:ascii="Times New Roman" w:hAnsi="Times New Roman" w:cs="Times New Roman"/>
          <w:lang w:val="en-US"/>
        </w:rPr>
      </w:pPr>
      <w:r w:rsidRPr="00E35404">
        <w:rPr>
          <w:rFonts w:ascii="Times New Roman" w:eastAsia="Calibri" w:hAnsi="Times New Roman" w:cs="Times New Roman"/>
          <w:noProof/>
          <w:sz w:val="24"/>
          <w:szCs w:val="24"/>
          <w:lang w:val="en-US" w:eastAsia="en-US"/>
        </w:rPr>
        <mc:AlternateContent>
          <mc:Choice Requires="wpg">
            <w:drawing>
              <wp:inline distT="0" distB="0" distL="0" distR="0" wp14:anchorId="3BADE55B" wp14:editId="194497DF">
                <wp:extent cx="6553200" cy="2383971"/>
                <wp:effectExtent l="0" t="0" r="0" b="0"/>
                <wp:docPr id="3" name="Group 3"/>
                <wp:cNvGraphicFramePr/>
                <a:graphic xmlns:a="http://schemas.openxmlformats.org/drawingml/2006/main">
                  <a:graphicData uri="http://schemas.microsoft.com/office/word/2010/wordprocessingGroup">
                    <wpg:wgp>
                      <wpg:cNvGrpSpPr/>
                      <wpg:grpSpPr>
                        <a:xfrm>
                          <a:off x="0" y="0"/>
                          <a:ext cx="6553200" cy="2383971"/>
                          <a:chOff x="0" y="0"/>
                          <a:chExt cx="5486400" cy="2533650"/>
                        </a:xfrm>
                      </wpg:grpSpPr>
                      <wps:wsp>
                        <wps:cNvPr id="4" name="Rectangle 4"/>
                        <wps:cNvSpPr/>
                        <wps:spPr>
                          <a:xfrm>
                            <a:off x="0" y="0"/>
                            <a:ext cx="5486400" cy="2533650"/>
                          </a:xfrm>
                          <a:prstGeom prst="rect">
                            <a:avLst/>
                          </a:prstGeom>
                        </wps:spPr>
                        <wps:bodyPr/>
                      </wps:wsp>
                      <wps:wsp>
                        <wps:cNvPr id="5" name="Rectangle 5"/>
                        <wps:cNvSpPr/>
                        <wps:spPr>
                          <a:xfrm>
                            <a:off x="180000" y="1325105"/>
                            <a:ext cx="2415966" cy="387458"/>
                          </a:xfrm>
                          <a:prstGeom prst="rect">
                            <a:avLst/>
                          </a:prstGeom>
                          <a:solidFill>
                            <a:sysClr val="window" lastClr="FFFFFF"/>
                          </a:solidFill>
                          <a:ln w="12700" cap="flat" cmpd="sng" algn="ctr">
                            <a:solidFill>
                              <a:srgbClr val="70AD47"/>
                            </a:solidFill>
                            <a:prstDash val="solid"/>
                            <a:miter lim="800000"/>
                          </a:ln>
                          <a:effectLst/>
                        </wps:spPr>
                        <wps:txbx>
                          <w:txbxContent>
                            <w:p w14:paraId="77DBA67D" w14:textId="77777777" w:rsidR="006451B4" w:rsidRDefault="006451B4" w:rsidP="006451B4">
                              <w:pPr>
                                <w:jc w:val="center"/>
                                <w:rPr>
                                  <w:b/>
                                </w:rPr>
                              </w:pPr>
                              <w:r>
                                <w:rPr>
                                  <w:b/>
                                </w:rPr>
                                <w:t>Entrepreneurial skills and education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80000" y="691443"/>
                            <a:ext cx="2415966" cy="449451"/>
                          </a:xfrm>
                          <a:prstGeom prst="rect">
                            <a:avLst/>
                          </a:prstGeom>
                          <a:solidFill>
                            <a:sysClr val="window" lastClr="FFFFFF"/>
                          </a:solidFill>
                          <a:ln w="12700" cap="flat" cmpd="sng" algn="ctr">
                            <a:solidFill>
                              <a:srgbClr val="70AD47"/>
                            </a:solidFill>
                            <a:prstDash val="solid"/>
                            <a:miter lim="800000"/>
                          </a:ln>
                          <a:effectLst/>
                        </wps:spPr>
                        <wps:txbx>
                          <w:txbxContent>
                            <w:p w14:paraId="4A2BA0E3" w14:textId="77777777" w:rsidR="006451B4" w:rsidRDefault="006451B4" w:rsidP="006451B4">
                              <w:pPr>
                                <w:jc w:val="center"/>
                                <w:rPr>
                                  <w:b/>
                                </w:rPr>
                              </w:pPr>
                              <w:r>
                                <w:rPr>
                                  <w:b/>
                                </w:rPr>
                                <w:t>Access to finance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80000" y="1960535"/>
                            <a:ext cx="2415966" cy="440888"/>
                          </a:xfrm>
                          <a:prstGeom prst="rect">
                            <a:avLst/>
                          </a:prstGeom>
                          <a:solidFill>
                            <a:sysClr val="window" lastClr="FFFFFF"/>
                          </a:solidFill>
                          <a:ln w="12700" cap="flat" cmpd="sng" algn="ctr">
                            <a:solidFill>
                              <a:srgbClr val="70AD47"/>
                            </a:solidFill>
                            <a:prstDash val="solid"/>
                            <a:miter lim="800000"/>
                          </a:ln>
                          <a:effectLst/>
                        </wps:spPr>
                        <wps:txbx>
                          <w:txbxContent>
                            <w:p w14:paraId="4000F8B1" w14:textId="77777777" w:rsidR="006451B4" w:rsidRDefault="006451B4" w:rsidP="006451B4">
                              <w:pPr>
                                <w:jc w:val="center"/>
                                <w:rPr>
                                  <w:b/>
                                </w:rPr>
                              </w:pPr>
                              <w:r>
                                <w:rPr>
                                  <w:b/>
                                </w:rPr>
                                <w:t>Government policies and regulations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630957" y="1046135"/>
                            <a:ext cx="1700460" cy="914400"/>
                          </a:xfrm>
                          <a:prstGeom prst="rect">
                            <a:avLst/>
                          </a:prstGeom>
                          <a:solidFill>
                            <a:sysClr val="window" lastClr="FFFFFF"/>
                          </a:solidFill>
                          <a:ln w="12700" cap="flat" cmpd="sng" algn="ctr">
                            <a:solidFill>
                              <a:srgbClr val="70AD47"/>
                            </a:solidFill>
                            <a:prstDash val="solid"/>
                            <a:miter lim="800000"/>
                          </a:ln>
                          <a:effectLst/>
                        </wps:spPr>
                        <wps:txbx>
                          <w:txbxContent>
                            <w:p w14:paraId="4F97B8F7" w14:textId="77777777" w:rsidR="006451B4" w:rsidRDefault="006451B4" w:rsidP="006451B4">
                              <w:pPr>
                                <w:jc w:val="center"/>
                                <w:rPr>
                                  <w:b/>
                                </w:rPr>
                              </w:pPr>
                              <w:r>
                                <w:rPr>
                                  <w:b/>
                                </w:rPr>
                                <w:t>Growth of SMEs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2595966" y="906650"/>
                            <a:ext cx="1034991" cy="573438"/>
                          </a:xfrm>
                          <a:prstGeom prst="straightConnector1">
                            <a:avLst/>
                          </a:prstGeom>
                          <a:noFill/>
                          <a:ln w="6350" cap="flat" cmpd="sng" algn="ctr">
                            <a:solidFill>
                              <a:srgbClr val="70AD47"/>
                            </a:solidFill>
                            <a:prstDash val="solid"/>
                            <a:miter lim="800000"/>
                            <a:tailEnd type="triangle"/>
                          </a:ln>
                          <a:effectLst/>
                        </wps:spPr>
                        <wps:bodyPr/>
                      </wps:wsp>
                      <wps:wsp>
                        <wps:cNvPr id="13" name="Straight Arrow Connector 13"/>
                        <wps:cNvCnPr/>
                        <wps:spPr>
                          <a:xfrm flipV="1">
                            <a:off x="2596542" y="1503335"/>
                            <a:ext cx="1034415" cy="598455"/>
                          </a:xfrm>
                          <a:prstGeom prst="straightConnector1">
                            <a:avLst/>
                          </a:prstGeom>
                          <a:noFill/>
                          <a:ln w="6350" cap="flat" cmpd="sng" algn="ctr">
                            <a:solidFill>
                              <a:srgbClr val="70AD47"/>
                            </a:solidFill>
                            <a:prstDash val="solid"/>
                            <a:miter lim="800000"/>
                            <a:tailEnd type="triangle"/>
                          </a:ln>
                          <a:effectLst/>
                        </wps:spPr>
                        <wps:bodyPr/>
                      </wps:wsp>
                      <wps:wsp>
                        <wps:cNvPr id="15" name="Straight Arrow Connector 15"/>
                        <wps:cNvCnPr/>
                        <wps:spPr>
                          <a:xfrm>
                            <a:off x="2596542" y="1480088"/>
                            <a:ext cx="1034415" cy="23247"/>
                          </a:xfrm>
                          <a:prstGeom prst="straightConnector1">
                            <a:avLst/>
                          </a:prstGeom>
                          <a:noFill/>
                          <a:ln w="6350" cap="flat" cmpd="sng" algn="ctr">
                            <a:solidFill>
                              <a:srgbClr val="70AD47"/>
                            </a:solidFill>
                            <a:prstDash val="solid"/>
                            <a:miter lim="800000"/>
                            <a:tailEnd type="triangle"/>
                          </a:ln>
                          <a:effectLst/>
                        </wps:spPr>
                        <wps:bodyPr/>
                      </wps:wsp>
                      <wps:wsp>
                        <wps:cNvPr id="16" name="Rectangle 16"/>
                        <wps:cNvSpPr/>
                        <wps:spPr>
                          <a:xfrm>
                            <a:off x="180001" y="178230"/>
                            <a:ext cx="2415966" cy="418454"/>
                          </a:xfrm>
                          <a:prstGeom prst="rect">
                            <a:avLst/>
                          </a:prstGeom>
                          <a:solidFill>
                            <a:srgbClr val="70AD47"/>
                          </a:solidFill>
                          <a:ln w="12700" cap="flat" cmpd="sng" algn="ctr">
                            <a:solidFill>
                              <a:srgbClr val="70AD47">
                                <a:shade val="50000"/>
                              </a:srgbClr>
                            </a:solidFill>
                            <a:prstDash val="solid"/>
                            <a:miter lim="800000"/>
                          </a:ln>
                          <a:effectLst/>
                        </wps:spPr>
                        <wps:txbx>
                          <w:txbxContent>
                            <w:p w14:paraId="2EC002AC" w14:textId="77777777" w:rsidR="006451B4" w:rsidRPr="006451B4" w:rsidRDefault="006451B4" w:rsidP="006451B4">
                              <w:pPr>
                                <w:jc w:val="center"/>
                                <w:rPr>
                                  <w:b/>
                                  <w:color w:val="000000"/>
                                </w:rPr>
                              </w:pPr>
                              <w:r w:rsidRPr="006451B4">
                                <w:rPr>
                                  <w:b/>
                                  <w:color w:val="000000"/>
                                </w:rPr>
                                <w:t xml:space="preserve">Independent variables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572358" y="177417"/>
                            <a:ext cx="1759059" cy="417830"/>
                          </a:xfrm>
                          <a:prstGeom prst="rect">
                            <a:avLst/>
                          </a:prstGeom>
                          <a:solidFill>
                            <a:srgbClr val="70AD47"/>
                          </a:solidFill>
                          <a:ln w="12700" cap="flat" cmpd="sng" algn="ctr">
                            <a:solidFill>
                              <a:srgbClr val="70AD47">
                                <a:shade val="50000"/>
                              </a:srgbClr>
                            </a:solidFill>
                            <a:prstDash val="solid"/>
                            <a:miter lim="800000"/>
                          </a:ln>
                          <a:effectLst/>
                        </wps:spPr>
                        <wps:txbx>
                          <w:txbxContent>
                            <w:p w14:paraId="26BB63BC" w14:textId="77777777" w:rsidR="006451B4" w:rsidRPr="006451B4" w:rsidRDefault="006451B4" w:rsidP="006451B4">
                              <w:pPr>
                                <w:pStyle w:val="NormalWeb"/>
                                <w:spacing w:after="160" w:line="254" w:lineRule="auto"/>
                                <w:jc w:val="center"/>
                                <w:rPr>
                                  <w:color w:val="000000"/>
                                </w:rPr>
                              </w:pPr>
                              <w:r w:rsidRPr="006451B4">
                                <w:rPr>
                                  <w:rFonts w:eastAsia="Calibri"/>
                                  <w:b/>
                                  <w:bCs/>
                                  <w:color w:val="000000"/>
                                  <w:kern w:val="2"/>
                                  <w:sz w:val="22"/>
                                  <w:szCs w:val="22"/>
                                </w:rPr>
                                <w:t>Dependent 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BADE55B" id="Group 3" o:spid="_x0000_s1026" style="width:516pt;height:187.7pt;mso-position-horizontal-relative:char;mso-position-vertical-relative:line" coordsize="54864,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">
                <v:rect id="Rectangle 4" o:spid="_x0000_s1027" style="position:absolute;width:54864;height:2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rect id="Rectangle 5" o:spid="_x0000_s1028" style="position:absolute;left:1800;top:13251;width:24159;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" fillcolor="window" strokecolor="#70ad47" strokeweight="1pt">
                  <v:textbox>
                    <w:txbxContent>
                      <w:p w14:paraId="77DBA67D" w14:textId="77777777" w:rsidR="006451B4" w:rsidRDefault="006451B4" w:rsidP="006451B4">
                        <w:pPr>
                          <w:jc w:val="center"/>
                          <w:rPr>
                            <w:b/>
                          </w:rPr>
                        </w:pPr>
                        <w:r>
                          <w:rPr>
                            <w:b/>
                          </w:rPr>
                          <w:t>Entrepreneurial skills and education</w:t>
                        </w:r>
                      </w:p>
                    </w:txbxContent>
                  </v:textbox>
                </v:rect>
                <v:rect id="Rectangle 6" o:spid="_x0000_s1029" style="position:absolute;left:1800;top:6914;width:24159;height:4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" fillcolor="window" strokecolor="#70ad47" strokeweight="1pt">
                  <v:textbox>
                    <w:txbxContent>
                      <w:p w14:paraId="4A2BA0E3" w14:textId="77777777" w:rsidR="006451B4" w:rsidRDefault="006451B4" w:rsidP="006451B4">
                        <w:pPr>
                          <w:jc w:val="center"/>
                          <w:rPr>
                            <w:b/>
                          </w:rPr>
                        </w:pPr>
                        <w:r>
                          <w:rPr>
                            <w:b/>
                          </w:rPr>
                          <w:t>Access to finance</w:t>
                        </w:r>
                      </w:p>
                    </w:txbxContent>
                  </v:textbox>
                </v:rect>
                <v:rect id="Rectangle 8" o:spid="_x0000_s1030" style="position:absolute;left:1800;top:19605;width:24159;height:4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" fillcolor="window" strokecolor="#70ad47" strokeweight="1pt">
                  <v:textbox>
                    <w:txbxContent>
                      <w:p w14:paraId="4000F8B1" w14:textId="77777777" w:rsidR="006451B4" w:rsidRDefault="006451B4" w:rsidP="006451B4">
                        <w:pPr>
                          <w:jc w:val="center"/>
                          <w:rPr>
                            <w:b/>
                          </w:rPr>
                        </w:pPr>
                        <w:r>
                          <w:rPr>
                            <w:b/>
                          </w:rPr>
                          <w:t>Government policies and regulations</w:t>
                        </w:r>
                      </w:p>
                    </w:txbxContent>
                  </v:textbox>
                </v:rect>
                <v:rect id="Rectangle 9" o:spid="_x0000_s1031" style="position:absolute;left:36309;top:10461;width:1700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" fillcolor="window" strokecolor="#70ad47" strokeweight="1pt">
                  <v:textbox>
                    <w:txbxContent>
                      <w:p w14:paraId="4F97B8F7" w14:textId="77777777" w:rsidR="006451B4" w:rsidRDefault="006451B4" w:rsidP="006451B4">
                        <w:pPr>
                          <w:jc w:val="center"/>
                          <w:rPr>
                            <w:b/>
                          </w:rPr>
                        </w:pPr>
                        <w:r>
                          <w:rPr>
                            <w:b/>
                          </w:rPr>
                          <w:t>Growth of SMEs</w:t>
                        </w:r>
                      </w:p>
                    </w:txbxContent>
                  </v:textbox>
                </v:rect>
                <v:shapetype id="_x0000_t32" coordsize="21600,21600" o:spt="32" o:oned="t" path="m,l21600,21600e" filled="f">
                  <v:path arrowok="t" fillok="f" o:connecttype="none"/>
                  <o:lock v:ext="edit" shapetype="t"/>
                </v:shapetype>
                <v:shape id="Straight Arrow Connector 11" o:spid="_x0000_s1032" type="#_x0000_t32" style="position:absolute;left:25959;top:9066;width:10350;height:5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" strokecolor="#70ad47" strokeweight=".5pt">
                  <v:stroke endarrow="block" joinstyle="miter"/>
                </v:shape>
                <v:shape id="Straight Arrow Connector 13" o:spid="_x0000_s1033" type="#_x0000_t32" style="position:absolute;left:25965;top:15033;width:10344;height:59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" strokecolor="#70ad47" strokeweight=".5pt">
                  <v:stroke endarrow="block" joinstyle="miter"/>
                </v:shape>
                <v:shape id="Straight Arrow Connector 15" o:spid="_x0000_s1034" type="#_x0000_t32" style="position:absolute;left:25965;top:14800;width:10344;height: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" strokecolor="#70ad47" strokeweight=".5pt">
                  <v:stroke endarrow="block" joinstyle="miter"/>
                </v:shape>
                <v:rect id="Rectangle 16" o:spid="_x0000_s1035" style="position:absolute;left:1800;top:1782;width:24159;height:4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" fillcolor="#70ad47" strokecolor="#507e32" strokeweight="1pt">
                  <v:textbox>
                    <w:txbxContent>
                      <w:p w14:paraId="2EC002AC" w14:textId="77777777" w:rsidR="006451B4" w:rsidRPr="006451B4" w:rsidRDefault="006451B4" w:rsidP="006451B4">
                        <w:pPr>
                          <w:jc w:val="center"/>
                          <w:rPr>
                            <w:b/>
                            <w:color w:val="000000"/>
                          </w:rPr>
                        </w:pPr>
                        <w:r w:rsidRPr="006451B4">
                          <w:rPr>
                            <w:b/>
                            <w:color w:val="000000"/>
                          </w:rPr>
                          <w:t xml:space="preserve">Independent variables </w:t>
                        </w:r>
                      </w:p>
                    </w:txbxContent>
                  </v:textbox>
                </v:rect>
                <v:rect id="Rectangle 18" o:spid="_x0000_s1036" style="position:absolute;left:35723;top:1774;width:17591;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" fillcolor="#70ad47" strokecolor="#507e32" strokeweight="1pt">
                  <v:textbox>
                    <w:txbxContent>
                      <w:p w14:paraId="26BB63BC" w14:textId="77777777" w:rsidR="006451B4" w:rsidRPr="006451B4" w:rsidRDefault="006451B4" w:rsidP="006451B4">
                        <w:pPr>
                          <w:pStyle w:val="NormalWeb"/>
                          <w:spacing w:after="160" w:line="254" w:lineRule="auto"/>
                          <w:jc w:val="center"/>
                          <w:rPr>
                            <w:color w:val="000000"/>
                          </w:rPr>
                        </w:pPr>
                        <w:r w:rsidRPr="006451B4">
                          <w:rPr>
                            <w:rFonts w:eastAsia="Calibri"/>
                            <w:b/>
                            <w:bCs/>
                            <w:color w:val="000000"/>
                            <w:kern w:val="2"/>
                            <w:sz w:val="22"/>
                            <w:szCs w:val="22"/>
                          </w:rPr>
                          <w:t>Dependent variable</w:t>
                        </w:r>
                      </w:p>
                    </w:txbxContent>
                  </v:textbox>
                </v:rect>
                <w10:anchorlock/>
              </v:group>
            </w:pict>
          </mc:Fallback>
        </mc:AlternateContent>
      </w:r>
    </w:p>
    <w:p w14:paraId="067DB60E" w14:textId="77777777" w:rsidR="006451B4" w:rsidRPr="00E35404" w:rsidRDefault="006451B4" w:rsidP="0028246F">
      <w:pPr>
        <w:spacing w:line="360" w:lineRule="auto"/>
        <w:rPr>
          <w:rFonts w:ascii="Times New Roman" w:hAnsi="Times New Roman" w:cs="Times New Roman"/>
          <w:lang w:val="en-US"/>
        </w:rPr>
      </w:pPr>
    </w:p>
    <w:p w14:paraId="1FBDF009" w14:textId="77777777" w:rsidR="006451B4" w:rsidRPr="00E35404" w:rsidRDefault="006451B4" w:rsidP="0028246F">
      <w:pPr>
        <w:spacing w:line="360" w:lineRule="auto"/>
        <w:rPr>
          <w:rFonts w:ascii="Times New Roman" w:hAnsi="Times New Roman" w:cs="Times New Roman"/>
          <w:lang w:val="en-US"/>
        </w:rPr>
      </w:pPr>
    </w:p>
    <w:p w14:paraId="54AE3E8B" w14:textId="3367A1C5" w:rsidR="006451B4" w:rsidRPr="00E35404" w:rsidRDefault="006451B4" w:rsidP="0028246F">
      <w:pPr>
        <w:spacing w:line="360" w:lineRule="auto"/>
        <w:rPr>
          <w:rFonts w:ascii="Times New Roman" w:hAnsi="Times New Roman" w:cs="Times New Roman"/>
          <w:b/>
          <w:i/>
        </w:rPr>
        <w:sectPr w:rsidR="006451B4" w:rsidRPr="00E35404" w:rsidSect="003E13D3">
          <w:type w:val="continuous"/>
          <w:pgSz w:w="12240" w:h="15840"/>
          <w:pgMar w:top="1077" w:right="902" w:bottom="1440" w:left="902" w:header="720" w:footer="720" w:gutter="0"/>
          <w:cols w:space="360"/>
          <w:docGrid w:linePitch="360"/>
        </w:sectPr>
      </w:pPr>
      <w:r w:rsidRPr="00E35404">
        <w:rPr>
          <w:rFonts w:ascii="Times New Roman" w:hAnsi="Times New Roman" w:cs="Times New Roman"/>
          <w:b/>
          <w:i/>
        </w:rPr>
        <w:t>Figure 1: Conceptual model.</w:t>
      </w:r>
    </w:p>
    <w:p w14:paraId="3BA239F5" w14:textId="35953B16" w:rsidR="00FB2C6D" w:rsidRPr="00E35404" w:rsidRDefault="001E5FC4" w:rsidP="0028246F">
      <w:pPr>
        <w:pStyle w:val="NormalIndent"/>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4 </w:t>
      </w:r>
      <w:r w:rsidR="00DE209A" w:rsidRPr="00E35404">
        <w:rPr>
          <w:rFonts w:ascii="Times New Roman" w:hAnsi="Times New Roman" w:cs="Times New Roman"/>
          <w:b/>
          <w:sz w:val="24"/>
          <w:szCs w:val="24"/>
        </w:rPr>
        <w:t>Knowledge Gap</w:t>
      </w:r>
    </w:p>
    <w:p w14:paraId="59962F37" w14:textId="77777777" w:rsidR="00316CC2" w:rsidRPr="00E35404" w:rsidRDefault="00316CC2" w:rsidP="0028246F">
      <w:pPr>
        <w:spacing w:line="360" w:lineRule="auto"/>
        <w:jc w:val="both"/>
        <w:rPr>
          <w:rFonts w:ascii="Times New Roman" w:hAnsi="Times New Roman" w:cs="Times New Roman"/>
        </w:rPr>
      </w:pPr>
      <w:r w:rsidRPr="00E35404">
        <w:rPr>
          <w:rFonts w:ascii="Times New Roman" w:hAnsi="Times New Roman" w:cs="Times New Roman"/>
        </w:rPr>
        <w:t xml:space="preserve">Despite extensive research on SME development in Zambia, a significant knowledge gap remains regarding the specific factors influencing SME growth in localized urban markets such as Lusaka City Market. Most existing studies focus broadly on national-level data, often neglecting the nuanced challenges faced by informal and semi-formal businesses operating in dense, competitive trading environments. Additionally, there is limited integration of theoretical frameworks—such as the Resource-Based View, Institutional Theory, and Network Theory—in </w:t>
      </w:r>
      <w:proofErr w:type="spellStart"/>
      <w:r w:rsidRPr="00E35404">
        <w:rPr>
          <w:rFonts w:ascii="Times New Roman" w:hAnsi="Times New Roman" w:cs="Times New Roman"/>
        </w:rPr>
        <w:t>analyzing</w:t>
      </w:r>
      <w:proofErr w:type="spellEnd"/>
      <w:r w:rsidRPr="00E35404">
        <w:rPr>
          <w:rFonts w:ascii="Times New Roman" w:hAnsi="Times New Roman" w:cs="Times New Roman"/>
        </w:rPr>
        <w:t xml:space="preserve"> how internal capabilities, external regulatory environments, and social networks jointly impact SME growth. Moreover, few studies adopt a mixed-methods approach that incorporates the voices of grassroots entrepreneurs, thereby missing critical insights into real-world constraints and adaptive strategies. This study addresses these gaps by providing a context-specific, theory-driven, and empirically grounded analysis aimed at informing practical interventions for sustainable SME growth.</w:t>
      </w:r>
    </w:p>
    <w:p w14:paraId="719E2832" w14:textId="193CC150" w:rsidR="00FB2C6D" w:rsidRPr="00E35404" w:rsidRDefault="001E5FC4" w:rsidP="0028246F">
      <w:pPr>
        <w:pStyle w:val="Heading1"/>
        <w:spacing w:line="360" w:lineRule="auto"/>
        <w:rPr>
          <w:rFonts w:ascii="Times New Roman" w:hAnsi="Times New Roman" w:cs="Times New Roman"/>
          <w:color w:val="auto"/>
        </w:rPr>
      </w:pPr>
      <w:r w:rsidRPr="001E5FC4">
        <w:rPr>
          <w:rFonts w:ascii="Times New Roman" w:hAnsi="Times New Roman" w:cs="Times New Roman"/>
          <w:color w:val="auto"/>
          <w:sz w:val="24"/>
        </w:rPr>
        <w:t>5</w:t>
      </w:r>
      <w:r>
        <w:rPr>
          <w:rFonts w:ascii="Times New Roman" w:hAnsi="Times New Roman" w:cs="Times New Roman"/>
          <w:color w:val="auto"/>
        </w:rPr>
        <w:t xml:space="preserve"> </w:t>
      </w:r>
      <w:r w:rsidR="00DE209A" w:rsidRPr="001E5FC4">
        <w:rPr>
          <w:rFonts w:ascii="Times New Roman" w:hAnsi="Times New Roman" w:cs="Times New Roman"/>
          <w:color w:val="auto"/>
          <w:sz w:val="24"/>
        </w:rPr>
        <w:t>Methodology</w:t>
      </w:r>
    </w:p>
    <w:p w14:paraId="5B78F07C" w14:textId="22ED337C" w:rsidR="00FB2C6D" w:rsidRPr="00E35404" w:rsidRDefault="00DE209A" w:rsidP="0028246F">
      <w:pPr>
        <w:tabs>
          <w:tab w:val="left" w:pos="360"/>
        </w:tabs>
        <w:snapToGrid w:val="0"/>
        <w:spacing w:line="360" w:lineRule="auto"/>
        <w:jc w:val="both"/>
        <w:rPr>
          <w:rFonts w:ascii="Times New Roman" w:hAnsi="Times New Roman" w:cs="Times New Roman"/>
          <w:sz w:val="22"/>
          <w:szCs w:val="22"/>
          <w:lang w:val="en-US"/>
        </w:rPr>
      </w:pPr>
      <w:r w:rsidRPr="00E35404">
        <w:rPr>
          <w:rFonts w:ascii="Times New Roman" w:hAnsi="Times New Roman" w:cs="Times New Roman"/>
        </w:rPr>
        <w:t>The research onion by (Saunders, Lewis, &amp; Thornhill, 2016) was used as a guide for the construction of the research framework. The chapter begins by highlighting the philosophy and research approach used including the strategy justification. This then helps to define the method of data collection and analysis most appropriate for the research.  This chapter will also cover all ethical considerations of this research. The chapter is important because it will help us address the aim of this study which is to analyse the risks that arise from early pension withdrawal in Defined Benefit schemes. This helped answer the research questions as well as develop new knowledge on the subject.</w:t>
      </w:r>
      <w:r w:rsidRPr="00E35404">
        <w:rPr>
          <w:rFonts w:ascii="Times New Roman" w:hAnsi="Times New Roman" w:cs="Times New Roman"/>
          <w:sz w:val="22"/>
          <w:szCs w:val="22"/>
          <w:lang w:val="en-US"/>
        </w:rPr>
        <w:t xml:space="preserve"> </w:t>
      </w:r>
    </w:p>
    <w:p w14:paraId="49AEBBA8" w14:textId="271C970B"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5.1 </w:t>
      </w:r>
      <w:r w:rsidR="00DE209A" w:rsidRPr="00E35404">
        <w:rPr>
          <w:rFonts w:ascii="Times New Roman" w:hAnsi="Times New Roman" w:cs="Times New Roman"/>
          <w:color w:val="auto"/>
        </w:rPr>
        <w:t>Underlying Philosophy</w:t>
      </w:r>
    </w:p>
    <w:p w14:paraId="4F620A7A"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A pragmatic philosophy guided the study, supporting the integration of quantitative and qualitative methods to effectively explore the complex variables affecting SME growth (Creswell &amp; Creswell, 2018).</w:t>
      </w:r>
    </w:p>
    <w:p w14:paraId="7F38BA1E" w14:textId="2FF4F762"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lastRenderedPageBreak/>
        <w:t xml:space="preserve">5.2 </w:t>
      </w:r>
      <w:r w:rsidR="00DE209A" w:rsidRPr="00E35404">
        <w:rPr>
          <w:rFonts w:ascii="Times New Roman" w:hAnsi="Times New Roman" w:cs="Times New Roman"/>
          <w:color w:val="auto"/>
        </w:rPr>
        <w:t xml:space="preserve">Research Approach </w:t>
      </w:r>
    </w:p>
    <w:p w14:paraId="3E48FBE5"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 xml:space="preserve">A mixed-methods approach was adopted. Quantitative data from structured questionnaires provided measurable patterns, while qualitative interviews offered in-depth context. The integration enhanced the richness and reliability of findings (Creswell &amp; Plano Clark, 2018). </w:t>
      </w:r>
    </w:p>
    <w:p w14:paraId="10F468B8" w14:textId="0254211C"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5.3 </w:t>
      </w:r>
      <w:r w:rsidR="00DE209A" w:rsidRPr="00E35404">
        <w:rPr>
          <w:rFonts w:ascii="Times New Roman" w:hAnsi="Times New Roman" w:cs="Times New Roman"/>
          <w:color w:val="auto"/>
        </w:rPr>
        <w:t xml:space="preserve">Time Horizon </w:t>
      </w:r>
    </w:p>
    <w:p w14:paraId="0B621D3C" w14:textId="77777777" w:rsidR="00FB2C6D" w:rsidRPr="00E35404" w:rsidRDefault="00DE209A" w:rsidP="0028246F">
      <w:pPr>
        <w:tabs>
          <w:tab w:val="left" w:pos="360"/>
        </w:tabs>
        <w:snapToGrid w:val="0"/>
        <w:spacing w:line="360" w:lineRule="auto"/>
        <w:jc w:val="both"/>
        <w:rPr>
          <w:rFonts w:ascii="Times New Roman" w:hAnsi="Times New Roman" w:cs="Times New Roman"/>
          <w:lang w:val="en-US"/>
        </w:rPr>
      </w:pPr>
      <w:r w:rsidRPr="00E35404">
        <w:rPr>
          <w:rFonts w:ascii="Times New Roman" w:hAnsi="Times New Roman" w:cs="Times New Roman"/>
          <w:lang w:val="en-US"/>
        </w:rPr>
        <w:t xml:space="preserve">This was a cross-sectional study with data being collected between November 2022 and April 2023. Data pertaining to this study was neither collected before nor after this period for this research. </w:t>
      </w:r>
    </w:p>
    <w:p w14:paraId="4E0837B9" w14:textId="2E3D5313"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5.4 </w:t>
      </w:r>
      <w:r w:rsidR="00DE209A" w:rsidRPr="00E35404">
        <w:rPr>
          <w:rFonts w:ascii="Times New Roman" w:hAnsi="Times New Roman" w:cs="Times New Roman"/>
          <w:color w:val="auto"/>
        </w:rPr>
        <w:t>Research method and Justification</w:t>
      </w:r>
    </w:p>
    <w:p w14:paraId="2C4EA580"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This study used a mixed-methods sequential explanatory design, combining quantitative surveys to identify key factors affecting SME growth with qualitative interviews to explore deeper insights. This approach was chosen to capture both measurable trends and contextual experiences, providing a comprehensive understanding of how finance, skills, and policies influence SMEs in Lusaka City Market.</w:t>
      </w:r>
    </w:p>
    <w:p w14:paraId="602FEB8D" w14:textId="7B4404C0"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5.5 </w:t>
      </w:r>
      <w:r w:rsidR="00DE209A" w:rsidRPr="00E35404">
        <w:rPr>
          <w:rFonts w:ascii="Times New Roman" w:hAnsi="Times New Roman" w:cs="Times New Roman"/>
          <w:color w:val="auto"/>
        </w:rPr>
        <w:t>Sampling frame and sample size</w:t>
      </w:r>
    </w:p>
    <w:p w14:paraId="296C6813"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The sampling frame comprised 1,663 Small and Medium Enterprises (SMEs) registered with the Zambia Chamber of Small and Medium Business Associations operating in Lusaka City Market. For the quantitative phase, a sample size of 94 SMEs was determined using Taro Yamane’s formula with a 10% margin of error to ensure statistical representativeness. For the qualitative phase, a purposive sample of 15 key informants—including SME owners, managers, and stakeholders—was selected to provide in-depth insights, guided by theoretical saturation.</w:t>
      </w:r>
    </w:p>
    <w:p w14:paraId="3EE1714D" w14:textId="1F0A7E66"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5.6 </w:t>
      </w:r>
      <w:r w:rsidR="00DE209A" w:rsidRPr="00E35404">
        <w:rPr>
          <w:rFonts w:ascii="Times New Roman" w:hAnsi="Times New Roman" w:cs="Times New Roman"/>
          <w:color w:val="auto"/>
        </w:rPr>
        <w:t>Data collection and analysis</w:t>
      </w:r>
    </w:p>
    <w:p w14:paraId="69C46CFD" w14:textId="77777777" w:rsidR="000C1029" w:rsidRPr="00E35404" w:rsidRDefault="000C1029"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 xml:space="preserve">Primary data were collected using structured questionnaires administered to SME owners and managers to gather quantitative information on access to finance, entrepreneurial skills, and government policies (Creswell &amp; Creswell, 2018). Semi-structured interviews with key informants provided qualitative insights into contextual challenges and experiences (Guest, Namey, &amp; Mitchell, 2013). Secondary data from government reports and relevant literature supplemented the primary data (Zambia Development Agency, 2022). Quantitative data were </w:t>
      </w:r>
      <w:proofErr w:type="spellStart"/>
      <w:r w:rsidRPr="00E35404">
        <w:rPr>
          <w:rFonts w:ascii="Times New Roman" w:hAnsi="Times New Roman" w:cs="Times New Roman"/>
        </w:rPr>
        <w:t>analyzed</w:t>
      </w:r>
      <w:proofErr w:type="spellEnd"/>
      <w:r w:rsidRPr="00E35404">
        <w:rPr>
          <w:rFonts w:ascii="Times New Roman" w:hAnsi="Times New Roman" w:cs="Times New Roman"/>
        </w:rPr>
        <w:t xml:space="preserve"> using SPSS to produce descriptive statistics, correlation, and regression analyses (Field, 2018), while qualitative data underwent thematic analysis to identify patterns and themes (Braun &amp; Clarke, 2006). The integration of both methods facilitated a comprehensive understanding of the factors influencing SME growth in Lusaka City Market (Creswell &amp; Plano Clark, 2018).</w:t>
      </w:r>
    </w:p>
    <w:p w14:paraId="2F9613D5" w14:textId="60DB7417"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5.7 </w:t>
      </w:r>
      <w:r w:rsidR="00DE209A" w:rsidRPr="00E35404">
        <w:rPr>
          <w:rFonts w:ascii="Times New Roman" w:hAnsi="Times New Roman" w:cs="Times New Roman"/>
          <w:color w:val="auto"/>
        </w:rPr>
        <w:t xml:space="preserve">Reliability, Validity and </w:t>
      </w:r>
      <w:proofErr w:type="spellStart"/>
      <w:r w:rsidR="00DE209A" w:rsidRPr="00E35404">
        <w:rPr>
          <w:rFonts w:ascii="Times New Roman" w:hAnsi="Times New Roman" w:cs="Times New Roman"/>
          <w:color w:val="auto"/>
        </w:rPr>
        <w:t>Generalisability</w:t>
      </w:r>
      <w:proofErr w:type="spellEnd"/>
      <w:r w:rsidR="00DE209A" w:rsidRPr="00E35404">
        <w:rPr>
          <w:rFonts w:ascii="Times New Roman" w:hAnsi="Times New Roman" w:cs="Times New Roman"/>
          <w:color w:val="auto"/>
        </w:rPr>
        <w:t xml:space="preserve"> of Research Findings</w:t>
      </w:r>
    </w:p>
    <w:p w14:paraId="2B8397C4" w14:textId="77777777" w:rsidR="000C1029" w:rsidRPr="00E35404" w:rsidRDefault="000C1029" w:rsidP="0028246F">
      <w:pPr>
        <w:spacing w:line="360" w:lineRule="auto"/>
        <w:jc w:val="both"/>
        <w:rPr>
          <w:rFonts w:ascii="Times New Roman" w:hAnsi="Times New Roman" w:cs="Times New Roman"/>
          <w:b/>
        </w:rPr>
      </w:pPr>
      <w:r w:rsidRPr="00E35404">
        <w:rPr>
          <w:rFonts w:ascii="Times New Roman" w:hAnsi="Times New Roman" w:cs="Times New Roman"/>
        </w:rPr>
        <w:t>Reliability was ensured by pre-testing the questionnaire and calculating Cronbach’s alpha, which yielded a score of 0.81, indicating high internal consistency (</w:t>
      </w:r>
      <w:proofErr w:type="spellStart"/>
      <w:r w:rsidRPr="00E35404">
        <w:rPr>
          <w:rFonts w:ascii="Times New Roman" w:hAnsi="Times New Roman" w:cs="Times New Roman"/>
        </w:rPr>
        <w:t>Tavakol</w:t>
      </w:r>
      <w:proofErr w:type="spellEnd"/>
      <w:r w:rsidRPr="00E35404">
        <w:rPr>
          <w:rFonts w:ascii="Times New Roman" w:hAnsi="Times New Roman" w:cs="Times New Roman"/>
        </w:rPr>
        <w:t xml:space="preserve"> &amp; </w:t>
      </w:r>
      <w:proofErr w:type="spellStart"/>
      <w:r w:rsidRPr="00E35404">
        <w:rPr>
          <w:rFonts w:ascii="Times New Roman" w:hAnsi="Times New Roman" w:cs="Times New Roman"/>
        </w:rPr>
        <w:t>Dennick</w:t>
      </w:r>
      <w:proofErr w:type="spellEnd"/>
      <w:r w:rsidRPr="00E35404">
        <w:rPr>
          <w:rFonts w:ascii="Times New Roman" w:hAnsi="Times New Roman" w:cs="Times New Roman"/>
        </w:rPr>
        <w:t xml:space="preserve">, 2011). Validity was established through expert reviews and aligning instruments with research objectives and literature to ensure content relevance (Creswell, 2014). Triangulation of quantitative and qualitative data enhanced construct validity by cross-verifying findings from multiple sources (Denzin, 1978). While the use of simple random sampling supports the generalisability of quantitative results to the wider SME population in Lusaka City Market, the purposive </w:t>
      </w:r>
      <w:r w:rsidRPr="00E35404">
        <w:rPr>
          <w:rFonts w:ascii="Times New Roman" w:hAnsi="Times New Roman" w:cs="Times New Roman"/>
        </w:rPr>
        <w:lastRenderedPageBreak/>
        <w:t>sampling for qualitative data focuses on depth rather than breadth, limiting qualitative generalisability but enriching contextual understanding (Patton, 2015).</w:t>
      </w:r>
    </w:p>
    <w:p w14:paraId="7261F552" w14:textId="3A74414B" w:rsidR="00FB2C6D" w:rsidRPr="00E35404" w:rsidRDefault="001E5FC4" w:rsidP="0028246F">
      <w:pPr>
        <w:pStyle w:val="Heading1"/>
        <w:spacing w:line="360" w:lineRule="auto"/>
        <w:rPr>
          <w:rFonts w:ascii="Times New Roman" w:hAnsi="Times New Roman" w:cs="Times New Roman"/>
          <w:color w:val="auto"/>
        </w:rPr>
      </w:pPr>
      <w:r>
        <w:rPr>
          <w:rFonts w:ascii="Times New Roman" w:hAnsi="Times New Roman" w:cs="Times New Roman"/>
          <w:color w:val="auto"/>
        </w:rPr>
        <w:t xml:space="preserve">6. </w:t>
      </w:r>
      <w:r w:rsidR="00DE209A" w:rsidRPr="00E35404">
        <w:rPr>
          <w:rFonts w:ascii="Times New Roman" w:hAnsi="Times New Roman" w:cs="Times New Roman"/>
          <w:color w:val="auto"/>
        </w:rPr>
        <w:t>Findings</w:t>
      </w:r>
    </w:p>
    <w:p w14:paraId="330D30B1" w14:textId="045CFD38" w:rsidR="00E66DC5" w:rsidRPr="00E35404" w:rsidRDefault="001E5FC4" w:rsidP="0028246F">
      <w:pPr>
        <w:pStyle w:val="Heading1"/>
        <w:spacing w:line="360" w:lineRule="auto"/>
        <w:rPr>
          <w:rFonts w:ascii="Times New Roman" w:hAnsi="Times New Roman" w:cs="Times New Roman"/>
          <w:i/>
          <w:color w:val="auto"/>
          <w:kern w:val="0"/>
          <w:sz w:val="24"/>
          <w:lang w:val="en-GB"/>
        </w:rPr>
      </w:pPr>
      <w:r>
        <w:rPr>
          <w:rFonts w:ascii="Times New Roman" w:hAnsi="Times New Roman" w:cs="Times New Roman"/>
          <w:i/>
          <w:color w:val="auto"/>
          <w:kern w:val="0"/>
          <w:sz w:val="24"/>
          <w:lang w:val="en-GB"/>
        </w:rPr>
        <w:t xml:space="preserve">6.1 </w:t>
      </w:r>
      <w:r w:rsidR="00E66DC5" w:rsidRPr="00E35404">
        <w:rPr>
          <w:rFonts w:ascii="Times New Roman" w:hAnsi="Times New Roman" w:cs="Times New Roman"/>
          <w:i/>
          <w:color w:val="auto"/>
          <w:kern w:val="0"/>
          <w:sz w:val="24"/>
          <w:lang w:val="en-GB"/>
        </w:rPr>
        <w:t>Impact of Access to Finance on SME Growth</w:t>
      </w:r>
    </w:p>
    <w:p w14:paraId="1C11D157" w14:textId="77777777" w:rsidR="001F0EA0" w:rsidRPr="00E35404" w:rsidRDefault="001F0EA0" w:rsidP="0028246F">
      <w:pPr>
        <w:spacing w:line="360" w:lineRule="auto"/>
        <w:jc w:val="both"/>
        <w:rPr>
          <w:rFonts w:ascii="Times New Roman" w:hAnsi="Times New Roman" w:cs="Times New Roman"/>
          <w:b/>
        </w:rPr>
      </w:pPr>
      <w:r w:rsidRPr="00E35404">
        <w:rPr>
          <w:rFonts w:ascii="Times New Roman" w:hAnsi="Times New Roman" w:cs="Times New Roman"/>
        </w:rPr>
        <w:t xml:space="preserve">Quantitative analysis revealed that access to finance is the strongest predictor of SME growth (β = 0.448, p &lt; 0.001), showing a significant positive effect. Entrepreneurs face challenges including high interest rates, strict collateral demands, and lengthy loan application processes that limit capital acquisition. Qualitative interviews reinforced these findings, with respondents highlighting difficulties in securing affordable loans and the exclusion of informal businesses lacking formal documentation. For example, one entrepreneur noted, “Even when loans are available, the interest rates are often too high, making repayment difficult.” Others mentioned the lack of financial literacy and insufficient support programs to manage finances effectively, compounding access problems. These narratives align with </w:t>
      </w:r>
      <w:proofErr w:type="spellStart"/>
      <w:r w:rsidRPr="00E35404">
        <w:rPr>
          <w:rFonts w:ascii="Times New Roman" w:hAnsi="Times New Roman" w:cs="Times New Roman"/>
        </w:rPr>
        <w:t>Ayyagari</w:t>
      </w:r>
      <w:proofErr w:type="spellEnd"/>
      <w:r w:rsidRPr="00E35404">
        <w:rPr>
          <w:rFonts w:ascii="Times New Roman" w:hAnsi="Times New Roman" w:cs="Times New Roman"/>
        </w:rPr>
        <w:t xml:space="preserve">, </w:t>
      </w:r>
      <w:proofErr w:type="spellStart"/>
      <w:r w:rsidRPr="00E35404">
        <w:rPr>
          <w:rFonts w:ascii="Times New Roman" w:hAnsi="Times New Roman" w:cs="Times New Roman"/>
        </w:rPr>
        <w:t>Demirguc-Kunt</w:t>
      </w:r>
      <w:proofErr w:type="spellEnd"/>
      <w:r w:rsidRPr="00E35404">
        <w:rPr>
          <w:rFonts w:ascii="Times New Roman" w:hAnsi="Times New Roman" w:cs="Times New Roman"/>
        </w:rPr>
        <w:t xml:space="preserve">, and </w:t>
      </w:r>
      <w:proofErr w:type="spellStart"/>
      <w:r w:rsidRPr="00E35404">
        <w:rPr>
          <w:rFonts w:ascii="Times New Roman" w:hAnsi="Times New Roman" w:cs="Times New Roman"/>
        </w:rPr>
        <w:t>Maksimovic</w:t>
      </w:r>
      <w:proofErr w:type="spellEnd"/>
      <w:r w:rsidRPr="00E35404">
        <w:rPr>
          <w:rFonts w:ascii="Times New Roman" w:hAnsi="Times New Roman" w:cs="Times New Roman"/>
        </w:rPr>
        <w:t xml:space="preserve"> (2011), who found limited credit access to be a major barrier globally, particularly in developing economies. In Zambia, </w:t>
      </w:r>
      <w:proofErr w:type="spellStart"/>
      <w:r w:rsidRPr="00E35404">
        <w:rPr>
          <w:rFonts w:ascii="Times New Roman" w:hAnsi="Times New Roman" w:cs="Times New Roman"/>
        </w:rPr>
        <w:t>Musara</w:t>
      </w:r>
      <w:proofErr w:type="spellEnd"/>
      <w:r w:rsidRPr="00E35404">
        <w:rPr>
          <w:rFonts w:ascii="Times New Roman" w:hAnsi="Times New Roman" w:cs="Times New Roman"/>
        </w:rPr>
        <w:t xml:space="preserve"> and </w:t>
      </w:r>
      <w:proofErr w:type="spellStart"/>
      <w:r w:rsidRPr="00E35404">
        <w:rPr>
          <w:rFonts w:ascii="Times New Roman" w:hAnsi="Times New Roman" w:cs="Times New Roman"/>
        </w:rPr>
        <w:t>Chikazhe</w:t>
      </w:r>
      <w:proofErr w:type="spellEnd"/>
      <w:r w:rsidRPr="00E35404">
        <w:rPr>
          <w:rFonts w:ascii="Times New Roman" w:hAnsi="Times New Roman" w:cs="Times New Roman"/>
        </w:rPr>
        <w:t xml:space="preserve"> (2017) documented that inadequate finance access hampers SME competitiveness and sustainability.</w:t>
      </w:r>
    </w:p>
    <w:p w14:paraId="7298C4AE" w14:textId="3E02E545" w:rsidR="00E66DC5" w:rsidRPr="00E35404" w:rsidRDefault="001E5FC4" w:rsidP="0028246F">
      <w:pPr>
        <w:pStyle w:val="Heading1"/>
        <w:spacing w:line="360" w:lineRule="auto"/>
        <w:rPr>
          <w:rFonts w:ascii="Times New Roman" w:hAnsi="Times New Roman" w:cs="Times New Roman"/>
          <w:i/>
          <w:color w:val="auto"/>
          <w:kern w:val="0"/>
          <w:sz w:val="24"/>
          <w:lang w:val="en-GB"/>
        </w:rPr>
      </w:pPr>
      <w:r>
        <w:rPr>
          <w:rFonts w:ascii="Times New Roman" w:hAnsi="Times New Roman" w:cs="Times New Roman"/>
          <w:i/>
          <w:color w:val="auto"/>
          <w:kern w:val="0"/>
          <w:sz w:val="24"/>
          <w:lang w:val="en-GB"/>
        </w:rPr>
        <w:t xml:space="preserve">6.2 </w:t>
      </w:r>
      <w:r w:rsidR="00E66DC5" w:rsidRPr="00E35404">
        <w:rPr>
          <w:rFonts w:ascii="Times New Roman" w:hAnsi="Times New Roman" w:cs="Times New Roman"/>
          <w:i/>
          <w:color w:val="auto"/>
          <w:kern w:val="0"/>
          <w:sz w:val="24"/>
          <w:lang w:val="en-GB"/>
        </w:rPr>
        <w:t>Role of Entrepreneurial Skills and Education</w:t>
      </w:r>
    </w:p>
    <w:p w14:paraId="69BE2B63" w14:textId="77777777" w:rsidR="00E66DC5" w:rsidRPr="00E35404" w:rsidRDefault="001F0EA0" w:rsidP="0028246F">
      <w:pPr>
        <w:spacing w:line="360" w:lineRule="auto"/>
        <w:jc w:val="both"/>
        <w:rPr>
          <w:rFonts w:ascii="Times New Roman" w:hAnsi="Times New Roman" w:cs="Times New Roman"/>
        </w:rPr>
      </w:pPr>
      <w:r w:rsidRPr="00E35404">
        <w:rPr>
          <w:rFonts w:ascii="Times New Roman" w:hAnsi="Times New Roman" w:cs="Times New Roman"/>
        </w:rPr>
        <w:t xml:space="preserve">The regression results indicated a significant positive relationship between entrepreneurial skills and education and SME growth (β = 0.337, p = 0.001). Many SME owners reported limited formal education and business training as major challenges. Qualitative data provided rich context, with several respondents emphasizing the value of short entrepreneurship courses and mentorship programs. One entrepreneur shared, “A short course last year opened my eyes to marketing strategies and customer engagement,” while another stressed the importance of learning from experienced business owners to avoid common pitfalls. Respondents also pointed out the need for practical skills in pricing, bookkeeping, and digital marketing to remain competitive. These findings are consistent with </w:t>
      </w:r>
      <w:proofErr w:type="spellStart"/>
      <w:r w:rsidRPr="00E35404">
        <w:rPr>
          <w:rFonts w:ascii="Times New Roman" w:hAnsi="Times New Roman" w:cs="Times New Roman"/>
        </w:rPr>
        <w:t>Fatoki</w:t>
      </w:r>
      <w:proofErr w:type="spellEnd"/>
      <w:r w:rsidRPr="00E35404">
        <w:rPr>
          <w:rFonts w:ascii="Times New Roman" w:hAnsi="Times New Roman" w:cs="Times New Roman"/>
        </w:rPr>
        <w:t xml:space="preserve"> (2014), who highlighted entrepreneurial competencies as critical for SME survival in South Africa, a context similar to Zambia. The Global Entrepreneurship Monitor (GEM) reports further corroborate this, linking entrepreneurial education to improved opportunity recognition and business performance (Bosma et al., 2018).</w:t>
      </w:r>
    </w:p>
    <w:p w14:paraId="3F936F9F" w14:textId="5D081270" w:rsidR="00E66DC5" w:rsidRPr="00E35404" w:rsidRDefault="001E5FC4" w:rsidP="0028246F">
      <w:pPr>
        <w:pStyle w:val="Heading1"/>
        <w:spacing w:line="360" w:lineRule="auto"/>
        <w:rPr>
          <w:rFonts w:ascii="Times New Roman" w:hAnsi="Times New Roman" w:cs="Times New Roman"/>
          <w:i/>
          <w:color w:val="auto"/>
          <w:kern w:val="0"/>
          <w:sz w:val="24"/>
          <w:lang w:val="en-GB"/>
        </w:rPr>
      </w:pPr>
      <w:r>
        <w:rPr>
          <w:rFonts w:ascii="Times New Roman" w:hAnsi="Times New Roman" w:cs="Times New Roman"/>
          <w:i/>
          <w:color w:val="auto"/>
          <w:kern w:val="0"/>
          <w:sz w:val="24"/>
          <w:lang w:val="en-GB"/>
        </w:rPr>
        <w:t xml:space="preserve">6.3 </w:t>
      </w:r>
      <w:r w:rsidR="00E66DC5" w:rsidRPr="00E35404">
        <w:rPr>
          <w:rFonts w:ascii="Times New Roman" w:hAnsi="Times New Roman" w:cs="Times New Roman"/>
          <w:i/>
          <w:color w:val="auto"/>
          <w:kern w:val="0"/>
          <w:sz w:val="24"/>
          <w:lang w:val="en-GB"/>
        </w:rPr>
        <w:t>Influence of Government Policies and Regulations</w:t>
      </w:r>
    </w:p>
    <w:p w14:paraId="776DB2DB" w14:textId="77777777" w:rsidR="003A5541" w:rsidRDefault="001F0EA0" w:rsidP="003E665A">
      <w:pPr>
        <w:pStyle w:val="Heading1"/>
        <w:spacing w:line="360" w:lineRule="auto"/>
        <w:rPr>
          <w:rFonts w:ascii="Times New Roman" w:hAnsi="Times New Roman" w:cs="Times New Roman"/>
          <w:b w:val="0"/>
          <w:color w:val="auto"/>
          <w:kern w:val="0"/>
          <w:sz w:val="20"/>
          <w:szCs w:val="20"/>
          <w:lang w:val="en-GB"/>
        </w:rPr>
        <w:sectPr w:rsidR="003A5541" w:rsidSect="003A5541">
          <w:type w:val="continuous"/>
          <w:pgSz w:w="12240" w:h="15840"/>
          <w:pgMar w:top="1077" w:right="902" w:bottom="1440" w:left="902" w:header="720" w:footer="720" w:gutter="0"/>
          <w:cols w:space="360"/>
          <w:docGrid w:linePitch="360"/>
        </w:sectPr>
      </w:pPr>
      <w:r w:rsidRPr="00E35404">
        <w:rPr>
          <w:rFonts w:ascii="Times New Roman" w:hAnsi="Times New Roman" w:cs="Times New Roman"/>
          <w:b w:val="0"/>
          <w:color w:val="auto"/>
          <w:kern w:val="0"/>
          <w:sz w:val="20"/>
          <w:szCs w:val="20"/>
          <w:lang w:val="en-GB"/>
        </w:rPr>
        <w:t xml:space="preserve">Government policies and regulations showed a moderate but meaningful impact on SME growth (β = 0.242, p = 0.010). While quantitative data reflected a positive correlation, qualitative findings revealed a more nuanced picture. Entrepreneurs described the business registration process as “lengthy and expensive,” with frequent visits to multiple offices causing delays. Some respondents expressed frustration over inconsistent policy enforcement and corruption, stating that “bribes are sometimes necessary to get licenses faster,” which undermines fair access. Others acknowledged that government training programs and grants have helped some SMEs but noted limited accessibility and cumbersome application procedures. These qualitative experiences align with findings from the World Bank’s Doing Business reports (2023), which identify regulatory burdens and corruption as key obstacles for SMEs in developing countries, including Zambia. Mwaura and </w:t>
      </w:r>
      <w:proofErr w:type="spellStart"/>
      <w:r w:rsidRPr="00E35404">
        <w:rPr>
          <w:rFonts w:ascii="Times New Roman" w:hAnsi="Times New Roman" w:cs="Times New Roman"/>
          <w:b w:val="0"/>
          <w:color w:val="auto"/>
          <w:kern w:val="0"/>
          <w:sz w:val="20"/>
          <w:szCs w:val="20"/>
          <w:lang w:val="en-GB"/>
        </w:rPr>
        <w:t>Mazanai</w:t>
      </w:r>
      <w:proofErr w:type="spellEnd"/>
      <w:r w:rsidRPr="00E35404">
        <w:rPr>
          <w:rFonts w:ascii="Times New Roman" w:hAnsi="Times New Roman" w:cs="Times New Roman"/>
          <w:b w:val="0"/>
          <w:color w:val="auto"/>
          <w:kern w:val="0"/>
          <w:sz w:val="20"/>
          <w:szCs w:val="20"/>
          <w:lang w:val="en-GB"/>
        </w:rPr>
        <w:t xml:space="preserve"> (2017) also emphasized that regulatory challenges and corruption reduce SME formalization and growth. However, Beck et al. (2010) argue that transparent and SME-friendly policies can foster entrepreneurial activity and investment. The mixed perceptions in this study highlight the urgent need for simplified procedures, improved communication, and anti-corruption efforts to enhance the policy environment</w:t>
      </w:r>
    </w:p>
    <w:p w14:paraId="530BB983" w14:textId="4F67FD9B" w:rsidR="001858EB" w:rsidRDefault="001F0EA0" w:rsidP="003E665A">
      <w:pPr>
        <w:pStyle w:val="Heading1"/>
        <w:spacing w:line="360" w:lineRule="auto"/>
        <w:rPr>
          <w:rFonts w:ascii="Times New Roman" w:hAnsi="Times New Roman" w:cs="Times New Roman"/>
        </w:rPr>
      </w:pPr>
      <w:r w:rsidRPr="00E35404">
        <w:rPr>
          <w:rFonts w:ascii="Times New Roman" w:hAnsi="Times New Roman" w:cs="Times New Roman"/>
          <w:b w:val="0"/>
          <w:color w:val="auto"/>
          <w:kern w:val="0"/>
          <w:sz w:val="20"/>
          <w:szCs w:val="20"/>
          <w:lang w:val="en-GB"/>
        </w:rPr>
        <w:lastRenderedPageBreak/>
        <w:t>.</w:t>
      </w:r>
    </w:p>
    <w:p w14:paraId="3AD47E31" w14:textId="77777777" w:rsidR="003E13D3" w:rsidRDefault="003E13D3" w:rsidP="0028246F">
      <w:pPr>
        <w:spacing w:line="360" w:lineRule="auto"/>
        <w:rPr>
          <w:rFonts w:ascii="Times New Roman" w:hAnsi="Times New Roman" w:cs="Times New Roman"/>
        </w:rPr>
        <w:sectPr w:rsidR="003E13D3" w:rsidSect="003E13D3">
          <w:type w:val="continuous"/>
          <w:pgSz w:w="12240" w:h="15840"/>
          <w:pgMar w:top="1077" w:right="902" w:bottom="1440" w:left="902" w:header="720" w:footer="720" w:gutter="0"/>
          <w:cols w:num="2" w:space="360"/>
          <w:docGrid w:linePitch="360"/>
        </w:sectPr>
      </w:pPr>
    </w:p>
    <w:p w14:paraId="239B6A7B" w14:textId="77777777" w:rsidR="00E66DC5" w:rsidRPr="00E35404" w:rsidRDefault="001F0EA0" w:rsidP="0028246F">
      <w:pPr>
        <w:spacing w:line="360" w:lineRule="auto"/>
        <w:rPr>
          <w:rFonts w:ascii="Times New Roman" w:hAnsi="Times New Roman" w:cs="Times New Roman"/>
          <w:b/>
        </w:rPr>
      </w:pPr>
      <w:r w:rsidRPr="00E35404">
        <w:rPr>
          <w:rFonts w:ascii="Times New Roman" w:hAnsi="Times New Roman" w:cs="Times New Roman"/>
          <w:b/>
        </w:rPr>
        <w:t>Table</w:t>
      </w:r>
      <w:r w:rsidR="0028246F" w:rsidRPr="00E35404">
        <w:rPr>
          <w:rFonts w:ascii="Times New Roman" w:hAnsi="Times New Roman" w:cs="Times New Roman"/>
          <w:b/>
        </w:rPr>
        <w:t xml:space="preserve"> 1:</w:t>
      </w:r>
      <w:r w:rsidRPr="00E35404">
        <w:rPr>
          <w:rFonts w:ascii="Times New Roman" w:hAnsi="Times New Roman" w:cs="Times New Roman"/>
          <w:b/>
        </w:rPr>
        <w:t xml:space="preserve"> regression summary </w:t>
      </w:r>
    </w:p>
    <w:p w14:paraId="1C50B1CC" w14:textId="77777777" w:rsidR="001F0EA0" w:rsidRPr="00E35404" w:rsidRDefault="001F0EA0" w:rsidP="0028246F">
      <w:pPr>
        <w:spacing w:line="360" w:lineRule="auto"/>
        <w:rPr>
          <w:rFonts w:ascii="Times New Roman" w:hAnsi="Times New Roman" w:cs="Times New Roman"/>
        </w:rPr>
      </w:pPr>
    </w:p>
    <w:tbl>
      <w:tblPr>
        <w:tblW w:w="10310" w:type="dxa"/>
        <w:tblCellSpacing w:w="15" w:type="dxa"/>
        <w:tblLook w:val="04A0" w:firstRow="1" w:lastRow="0" w:firstColumn="1" w:lastColumn="0" w:noHBand="0" w:noVBand="1"/>
      </w:tblPr>
      <w:tblGrid>
        <w:gridCol w:w="3287"/>
        <w:gridCol w:w="2602"/>
        <w:gridCol w:w="991"/>
        <w:gridCol w:w="2335"/>
        <w:gridCol w:w="600"/>
        <w:gridCol w:w="495"/>
      </w:tblGrid>
      <w:tr w:rsidR="00E35404" w:rsidRPr="00E35404" w14:paraId="0021A5AB" w14:textId="77777777" w:rsidTr="00E35404">
        <w:trPr>
          <w:trHeight w:val="678"/>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EC1B307"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Predictors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7FDFE2A"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 xml:space="preserve">Unstandardized Coefficients </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760C7D4D"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b/>
                <w:bCs/>
                <w:sz w:val="24"/>
                <w:szCs w:val="24"/>
                <w:lang w:val="en-US" w:eastAsia="en-US"/>
              </w:rPr>
            </w:pP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82FF054"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kern w:val="2"/>
                <w:sz w:val="24"/>
                <w:szCs w:val="24"/>
                <w:lang w:eastAsia="en-US"/>
                <w14:ligatures w14:val="standardContextual"/>
              </w:rPr>
            </w:pPr>
            <w:r w:rsidRPr="00E35404">
              <w:rPr>
                <w:rFonts w:ascii="Times New Roman" w:eastAsia="Calibri" w:hAnsi="Times New Roman" w:cs="Times New Roman"/>
                <w:b/>
                <w:bCs/>
                <w:sz w:val="24"/>
                <w:szCs w:val="24"/>
                <w:lang w:val="en-US" w:eastAsia="en-US"/>
              </w:rPr>
              <w:t xml:space="preserve">Standardized Coefficients </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2239C02"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B24DC3B"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Sig.</w:t>
            </w:r>
          </w:p>
        </w:tc>
      </w:tr>
      <w:tr w:rsidR="00E35404" w:rsidRPr="00E35404" w14:paraId="5FCC9C89" w14:textId="77777777" w:rsidTr="00E35404">
        <w:trPr>
          <w:trHeight w:val="678"/>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25DD49B2"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560EA76"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β</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20F8CF4"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Std. Error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99F4F8D"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r w:rsidRPr="00E35404">
              <w:rPr>
                <w:rFonts w:ascii="Times New Roman" w:eastAsia="Calibri" w:hAnsi="Times New Roman" w:cs="Times New Roman"/>
                <w:b/>
                <w:bCs/>
                <w:sz w:val="24"/>
                <w:szCs w:val="24"/>
                <w:lang w:val="en-US" w:eastAsia="en-US"/>
              </w:rPr>
              <w:t>(Beta)</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3FBB7EB5"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tcPr>
          <w:p w14:paraId="16F8BF39" w14:textId="77777777" w:rsidR="001F0EA0" w:rsidRPr="00E35404" w:rsidRDefault="001F0EA0" w:rsidP="0028246F">
            <w:pPr>
              <w:suppressAutoHyphens w:val="0"/>
              <w:overflowPunct/>
              <w:autoSpaceDE/>
              <w:spacing w:after="160" w:line="360" w:lineRule="auto"/>
              <w:jc w:val="center"/>
              <w:textAlignment w:val="auto"/>
              <w:rPr>
                <w:rFonts w:ascii="Times New Roman" w:eastAsia="Calibri" w:hAnsi="Times New Roman" w:cs="Times New Roman"/>
                <w:b/>
                <w:bCs/>
                <w:sz w:val="24"/>
                <w:szCs w:val="24"/>
                <w:lang w:val="en-US" w:eastAsia="en-US"/>
              </w:rPr>
            </w:pPr>
          </w:p>
        </w:tc>
      </w:tr>
      <w:tr w:rsidR="00E35404" w:rsidRPr="00E35404" w14:paraId="4C2B0607" w14:textId="77777777" w:rsidTr="00E35404">
        <w:trPr>
          <w:trHeight w:val="386"/>
          <w:tblCellSpacing w:w="15" w:type="dxa"/>
        </w:trPr>
        <w:tc>
          <w:tcPr>
            <w:tcW w:w="0" w:type="auto"/>
            <w:tcMar>
              <w:top w:w="15" w:type="dxa"/>
              <w:left w:w="15" w:type="dxa"/>
              <w:bottom w:w="15" w:type="dxa"/>
              <w:right w:w="15" w:type="dxa"/>
            </w:tcMar>
            <w:vAlign w:val="center"/>
            <w:hideMark/>
          </w:tcPr>
          <w:p w14:paraId="479E21C4"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(Constant)</w:t>
            </w:r>
          </w:p>
        </w:tc>
        <w:tc>
          <w:tcPr>
            <w:tcW w:w="0" w:type="auto"/>
            <w:tcMar>
              <w:top w:w="15" w:type="dxa"/>
              <w:left w:w="15" w:type="dxa"/>
              <w:bottom w:w="15" w:type="dxa"/>
              <w:right w:w="15" w:type="dxa"/>
            </w:tcMar>
            <w:vAlign w:val="center"/>
            <w:hideMark/>
          </w:tcPr>
          <w:p w14:paraId="1882288F"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0.875</w:t>
            </w:r>
          </w:p>
        </w:tc>
        <w:tc>
          <w:tcPr>
            <w:tcW w:w="0" w:type="auto"/>
            <w:tcMar>
              <w:top w:w="15" w:type="dxa"/>
              <w:left w:w="15" w:type="dxa"/>
              <w:bottom w:w="15" w:type="dxa"/>
              <w:right w:w="15" w:type="dxa"/>
            </w:tcMar>
            <w:vAlign w:val="center"/>
            <w:hideMark/>
          </w:tcPr>
          <w:p w14:paraId="545AACF2"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0.273</w:t>
            </w:r>
          </w:p>
        </w:tc>
        <w:tc>
          <w:tcPr>
            <w:tcW w:w="0" w:type="auto"/>
            <w:tcMar>
              <w:top w:w="15" w:type="dxa"/>
              <w:left w:w="15" w:type="dxa"/>
              <w:bottom w:w="15" w:type="dxa"/>
              <w:right w:w="15" w:type="dxa"/>
            </w:tcMar>
            <w:vAlign w:val="center"/>
            <w:hideMark/>
          </w:tcPr>
          <w:p w14:paraId="35A9A631"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w:t>
            </w:r>
          </w:p>
        </w:tc>
        <w:tc>
          <w:tcPr>
            <w:tcW w:w="0" w:type="auto"/>
            <w:tcMar>
              <w:top w:w="15" w:type="dxa"/>
              <w:left w:w="15" w:type="dxa"/>
              <w:bottom w:w="15" w:type="dxa"/>
              <w:right w:w="15" w:type="dxa"/>
            </w:tcMar>
            <w:vAlign w:val="center"/>
            <w:hideMark/>
          </w:tcPr>
          <w:p w14:paraId="48597D51"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3.206</w:t>
            </w:r>
          </w:p>
        </w:tc>
        <w:tc>
          <w:tcPr>
            <w:tcW w:w="0" w:type="auto"/>
            <w:tcMar>
              <w:top w:w="15" w:type="dxa"/>
              <w:left w:w="15" w:type="dxa"/>
              <w:bottom w:w="15" w:type="dxa"/>
              <w:right w:w="15" w:type="dxa"/>
            </w:tcMar>
            <w:vAlign w:val="center"/>
            <w:hideMark/>
          </w:tcPr>
          <w:p w14:paraId="2C296C43"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.002</w:t>
            </w:r>
          </w:p>
        </w:tc>
      </w:tr>
      <w:tr w:rsidR="00E35404" w:rsidRPr="00E35404" w14:paraId="09094505" w14:textId="77777777" w:rsidTr="00E35404">
        <w:trPr>
          <w:trHeight w:val="386"/>
          <w:tblCellSpacing w:w="15" w:type="dxa"/>
        </w:trPr>
        <w:tc>
          <w:tcPr>
            <w:tcW w:w="0" w:type="auto"/>
            <w:tcMar>
              <w:top w:w="15" w:type="dxa"/>
              <w:left w:w="15" w:type="dxa"/>
              <w:bottom w:w="15" w:type="dxa"/>
              <w:right w:w="15" w:type="dxa"/>
            </w:tcMar>
            <w:vAlign w:val="center"/>
            <w:hideMark/>
          </w:tcPr>
          <w:p w14:paraId="29932385"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b/>
                <w:sz w:val="24"/>
                <w:szCs w:val="24"/>
                <w:lang w:val="en-US" w:eastAsia="en-US"/>
              </w:rPr>
            </w:pPr>
            <w:r w:rsidRPr="00E66DC5">
              <w:rPr>
                <w:rFonts w:ascii="Times New Roman" w:eastAsia="Calibri" w:hAnsi="Times New Roman" w:cs="Times New Roman"/>
                <w:b/>
                <w:sz w:val="24"/>
                <w:szCs w:val="24"/>
                <w:lang w:val="en-US" w:eastAsia="en-US"/>
              </w:rPr>
              <w:t>Access to Finance</w:t>
            </w:r>
          </w:p>
        </w:tc>
        <w:tc>
          <w:tcPr>
            <w:tcW w:w="0" w:type="auto"/>
            <w:tcMar>
              <w:top w:w="15" w:type="dxa"/>
              <w:left w:w="15" w:type="dxa"/>
              <w:bottom w:w="15" w:type="dxa"/>
              <w:right w:w="15" w:type="dxa"/>
            </w:tcMar>
            <w:vAlign w:val="center"/>
            <w:hideMark/>
          </w:tcPr>
          <w:p w14:paraId="0CC66B27"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0.412</w:t>
            </w:r>
          </w:p>
        </w:tc>
        <w:tc>
          <w:tcPr>
            <w:tcW w:w="0" w:type="auto"/>
            <w:tcMar>
              <w:top w:w="15" w:type="dxa"/>
              <w:left w:w="15" w:type="dxa"/>
              <w:bottom w:w="15" w:type="dxa"/>
              <w:right w:w="15" w:type="dxa"/>
            </w:tcMar>
            <w:vAlign w:val="center"/>
            <w:hideMark/>
          </w:tcPr>
          <w:p w14:paraId="330975BC"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0.084</w:t>
            </w:r>
          </w:p>
        </w:tc>
        <w:tc>
          <w:tcPr>
            <w:tcW w:w="0" w:type="auto"/>
            <w:tcMar>
              <w:top w:w="15" w:type="dxa"/>
              <w:left w:w="15" w:type="dxa"/>
              <w:bottom w:w="15" w:type="dxa"/>
              <w:right w:w="15" w:type="dxa"/>
            </w:tcMar>
            <w:vAlign w:val="center"/>
            <w:hideMark/>
          </w:tcPr>
          <w:p w14:paraId="0CF67A7A"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0.448</w:t>
            </w:r>
          </w:p>
        </w:tc>
        <w:tc>
          <w:tcPr>
            <w:tcW w:w="0" w:type="auto"/>
            <w:tcMar>
              <w:top w:w="15" w:type="dxa"/>
              <w:left w:w="15" w:type="dxa"/>
              <w:bottom w:w="15" w:type="dxa"/>
              <w:right w:w="15" w:type="dxa"/>
            </w:tcMar>
            <w:vAlign w:val="center"/>
            <w:hideMark/>
          </w:tcPr>
          <w:p w14:paraId="66C5513E"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4.905</w:t>
            </w:r>
          </w:p>
        </w:tc>
        <w:tc>
          <w:tcPr>
            <w:tcW w:w="0" w:type="auto"/>
            <w:tcMar>
              <w:top w:w="15" w:type="dxa"/>
              <w:left w:w="15" w:type="dxa"/>
              <w:bottom w:w="15" w:type="dxa"/>
              <w:right w:w="15" w:type="dxa"/>
            </w:tcMar>
            <w:vAlign w:val="center"/>
            <w:hideMark/>
          </w:tcPr>
          <w:p w14:paraId="3ACA96D5"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.000</w:t>
            </w:r>
          </w:p>
        </w:tc>
      </w:tr>
      <w:tr w:rsidR="00E35404" w:rsidRPr="00E35404" w14:paraId="10E92F28" w14:textId="77777777" w:rsidTr="00E35404">
        <w:trPr>
          <w:trHeight w:val="678"/>
          <w:tblCellSpacing w:w="15" w:type="dxa"/>
        </w:trPr>
        <w:tc>
          <w:tcPr>
            <w:tcW w:w="0" w:type="auto"/>
            <w:tcMar>
              <w:top w:w="15" w:type="dxa"/>
              <w:left w:w="15" w:type="dxa"/>
              <w:bottom w:w="15" w:type="dxa"/>
              <w:right w:w="15" w:type="dxa"/>
            </w:tcMar>
            <w:vAlign w:val="center"/>
            <w:hideMark/>
          </w:tcPr>
          <w:p w14:paraId="43A989E9"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b/>
                <w:sz w:val="24"/>
                <w:szCs w:val="24"/>
                <w:lang w:val="en-US" w:eastAsia="en-US"/>
              </w:rPr>
            </w:pPr>
            <w:r w:rsidRPr="00E66DC5">
              <w:rPr>
                <w:rFonts w:ascii="Times New Roman" w:eastAsia="Calibri" w:hAnsi="Times New Roman" w:cs="Times New Roman"/>
                <w:b/>
                <w:sz w:val="24"/>
                <w:szCs w:val="24"/>
                <w:lang w:val="en-US" w:eastAsia="en-US"/>
              </w:rPr>
              <w:t>Entrepreneurial Skills and Education</w:t>
            </w:r>
          </w:p>
        </w:tc>
        <w:tc>
          <w:tcPr>
            <w:tcW w:w="0" w:type="auto"/>
            <w:tcMar>
              <w:top w:w="15" w:type="dxa"/>
              <w:left w:w="15" w:type="dxa"/>
              <w:bottom w:w="15" w:type="dxa"/>
              <w:right w:w="15" w:type="dxa"/>
            </w:tcMar>
            <w:vAlign w:val="center"/>
            <w:hideMark/>
          </w:tcPr>
          <w:p w14:paraId="5A1C9938"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0.318</w:t>
            </w:r>
          </w:p>
        </w:tc>
        <w:tc>
          <w:tcPr>
            <w:tcW w:w="0" w:type="auto"/>
            <w:tcMar>
              <w:top w:w="15" w:type="dxa"/>
              <w:left w:w="15" w:type="dxa"/>
              <w:bottom w:w="15" w:type="dxa"/>
              <w:right w:w="15" w:type="dxa"/>
            </w:tcMar>
            <w:vAlign w:val="center"/>
            <w:hideMark/>
          </w:tcPr>
          <w:p w14:paraId="162ED090"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0.091</w:t>
            </w:r>
          </w:p>
        </w:tc>
        <w:tc>
          <w:tcPr>
            <w:tcW w:w="0" w:type="auto"/>
            <w:tcMar>
              <w:top w:w="15" w:type="dxa"/>
              <w:left w:w="15" w:type="dxa"/>
              <w:bottom w:w="15" w:type="dxa"/>
              <w:right w:w="15" w:type="dxa"/>
            </w:tcMar>
            <w:vAlign w:val="center"/>
            <w:hideMark/>
          </w:tcPr>
          <w:p w14:paraId="1D03E846"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0.337</w:t>
            </w:r>
          </w:p>
        </w:tc>
        <w:tc>
          <w:tcPr>
            <w:tcW w:w="0" w:type="auto"/>
            <w:tcMar>
              <w:top w:w="15" w:type="dxa"/>
              <w:left w:w="15" w:type="dxa"/>
              <w:bottom w:w="15" w:type="dxa"/>
              <w:right w:w="15" w:type="dxa"/>
            </w:tcMar>
            <w:vAlign w:val="center"/>
            <w:hideMark/>
          </w:tcPr>
          <w:p w14:paraId="39F2959B"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3.494</w:t>
            </w:r>
          </w:p>
        </w:tc>
        <w:tc>
          <w:tcPr>
            <w:tcW w:w="0" w:type="auto"/>
            <w:tcMar>
              <w:top w:w="15" w:type="dxa"/>
              <w:left w:w="15" w:type="dxa"/>
              <w:bottom w:w="15" w:type="dxa"/>
              <w:right w:w="15" w:type="dxa"/>
            </w:tcMar>
            <w:vAlign w:val="center"/>
            <w:hideMark/>
          </w:tcPr>
          <w:p w14:paraId="2A621C6C"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.001</w:t>
            </w:r>
          </w:p>
        </w:tc>
      </w:tr>
      <w:tr w:rsidR="00E35404" w:rsidRPr="00E35404" w14:paraId="1F1C080B" w14:textId="77777777" w:rsidTr="00E35404">
        <w:trPr>
          <w:trHeight w:val="667"/>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CC2D5CA" w14:textId="77777777" w:rsidR="001F0EA0" w:rsidRPr="00E66DC5" w:rsidRDefault="001F0EA0" w:rsidP="0028246F">
            <w:pPr>
              <w:suppressAutoHyphens w:val="0"/>
              <w:overflowPunct/>
              <w:autoSpaceDE/>
              <w:spacing w:after="160" w:line="360" w:lineRule="auto"/>
              <w:textAlignment w:val="auto"/>
              <w:rPr>
                <w:rFonts w:ascii="Times New Roman" w:eastAsia="Calibri" w:hAnsi="Times New Roman" w:cs="Times New Roman"/>
                <w:b/>
                <w:sz w:val="24"/>
                <w:szCs w:val="24"/>
                <w:lang w:val="en-US" w:eastAsia="en-US"/>
              </w:rPr>
            </w:pPr>
            <w:r w:rsidRPr="00E66DC5">
              <w:rPr>
                <w:rFonts w:ascii="Times New Roman" w:eastAsia="Calibri" w:hAnsi="Times New Roman" w:cs="Times New Roman"/>
                <w:b/>
                <w:sz w:val="24"/>
                <w:szCs w:val="24"/>
                <w:lang w:val="en-US" w:eastAsia="en-US"/>
              </w:rPr>
              <w:t>Government Policies and Regulations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990926E"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0.205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A4E5CF3"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0.078</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B50D20F"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0.242</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69765FC"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2.628</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9305AE7" w14:textId="77777777" w:rsidR="001F0EA0" w:rsidRPr="00E66DC5" w:rsidRDefault="001F0EA0" w:rsidP="0028246F">
            <w:pPr>
              <w:suppressAutoHyphens w:val="0"/>
              <w:overflowPunct/>
              <w:autoSpaceDE/>
              <w:spacing w:after="160" w:line="360" w:lineRule="auto"/>
              <w:jc w:val="center"/>
              <w:textAlignment w:val="auto"/>
              <w:rPr>
                <w:rFonts w:ascii="Times New Roman" w:eastAsia="Calibri" w:hAnsi="Times New Roman" w:cs="Times New Roman"/>
                <w:sz w:val="24"/>
                <w:szCs w:val="24"/>
                <w:lang w:val="en-US" w:eastAsia="en-US"/>
              </w:rPr>
            </w:pPr>
            <w:r w:rsidRPr="00E66DC5">
              <w:rPr>
                <w:rFonts w:ascii="Times New Roman" w:eastAsia="Calibri" w:hAnsi="Times New Roman" w:cs="Times New Roman"/>
                <w:sz w:val="24"/>
                <w:szCs w:val="24"/>
                <w:lang w:val="en-US" w:eastAsia="en-US"/>
              </w:rPr>
              <w:t>.010</w:t>
            </w:r>
          </w:p>
        </w:tc>
      </w:tr>
    </w:tbl>
    <w:p w14:paraId="116D4359" w14:textId="77777777" w:rsidR="001F0EA0" w:rsidRPr="00E35404" w:rsidRDefault="001F0EA0" w:rsidP="0028246F">
      <w:pPr>
        <w:spacing w:line="360" w:lineRule="auto"/>
        <w:rPr>
          <w:rFonts w:ascii="Times New Roman" w:hAnsi="Times New Roman" w:cs="Times New Roman"/>
        </w:rPr>
        <w:sectPr w:rsidR="001F0EA0" w:rsidRPr="00E35404" w:rsidSect="003E13D3">
          <w:type w:val="continuous"/>
          <w:pgSz w:w="12240" w:h="15840"/>
          <w:pgMar w:top="1077" w:right="902" w:bottom="1440" w:left="902" w:header="720" w:footer="720" w:gutter="0"/>
          <w:cols w:space="360"/>
          <w:docGrid w:linePitch="360"/>
        </w:sectPr>
      </w:pPr>
    </w:p>
    <w:p w14:paraId="27BD6D66" w14:textId="77777777" w:rsidR="001F0EA0" w:rsidRPr="00E35404" w:rsidRDefault="001F0EA0" w:rsidP="0028246F">
      <w:pPr>
        <w:spacing w:line="360" w:lineRule="auto"/>
        <w:rPr>
          <w:rFonts w:ascii="Times New Roman" w:hAnsi="Times New Roman" w:cs="Times New Roman"/>
          <w:b/>
          <w:lang w:val="en-US"/>
        </w:rPr>
      </w:pPr>
    </w:p>
    <w:p w14:paraId="291AA125" w14:textId="77777777" w:rsidR="00E66DC5" w:rsidRPr="00E35404" w:rsidRDefault="00E66DC5" w:rsidP="0028246F">
      <w:pPr>
        <w:spacing w:line="360" w:lineRule="auto"/>
        <w:rPr>
          <w:rFonts w:ascii="Times New Roman" w:hAnsi="Times New Roman" w:cs="Times New Roman"/>
        </w:rPr>
      </w:pPr>
      <w:r w:rsidRPr="00E35404">
        <w:rPr>
          <w:rFonts w:ascii="Times New Roman" w:hAnsi="Times New Roman" w:cs="Times New Roman"/>
          <w:b/>
          <w:lang w:val="en-US"/>
        </w:rPr>
        <w:t>Dependent variable:</w:t>
      </w:r>
      <w:r w:rsidRPr="00E35404">
        <w:rPr>
          <w:rFonts w:ascii="Times New Roman" w:hAnsi="Times New Roman" w:cs="Times New Roman"/>
          <w:lang w:val="en-US"/>
        </w:rPr>
        <w:t xml:space="preserve"> SME growth.</w:t>
      </w:r>
    </w:p>
    <w:p w14:paraId="04F9DF97" w14:textId="77777777" w:rsidR="003E13D3" w:rsidRDefault="003E13D3" w:rsidP="0028246F">
      <w:pPr>
        <w:pStyle w:val="Heading1"/>
        <w:spacing w:line="360" w:lineRule="auto"/>
        <w:rPr>
          <w:rFonts w:ascii="Times New Roman" w:hAnsi="Times New Roman" w:cs="Times New Roman"/>
          <w:color w:val="auto"/>
        </w:rPr>
        <w:sectPr w:rsidR="003E13D3" w:rsidSect="003E13D3">
          <w:type w:val="continuous"/>
          <w:pgSz w:w="12240" w:h="15840"/>
          <w:pgMar w:top="1077" w:right="902" w:bottom="1440" w:left="902" w:header="720" w:footer="720" w:gutter="0"/>
          <w:cols w:space="360"/>
          <w:docGrid w:linePitch="360"/>
        </w:sectPr>
      </w:pPr>
    </w:p>
    <w:p w14:paraId="7DA4E007" w14:textId="39680069" w:rsidR="00FB2C6D" w:rsidRPr="00E35404" w:rsidRDefault="001E5FC4" w:rsidP="0028246F">
      <w:pPr>
        <w:pStyle w:val="Heading1"/>
        <w:spacing w:line="360" w:lineRule="auto"/>
        <w:rPr>
          <w:rFonts w:ascii="Times New Roman" w:hAnsi="Times New Roman" w:cs="Times New Roman"/>
          <w:color w:val="auto"/>
        </w:rPr>
      </w:pPr>
      <w:r>
        <w:rPr>
          <w:rFonts w:ascii="Times New Roman" w:hAnsi="Times New Roman" w:cs="Times New Roman"/>
          <w:color w:val="auto"/>
        </w:rPr>
        <w:t xml:space="preserve">7 </w:t>
      </w:r>
      <w:r w:rsidR="00DE209A" w:rsidRPr="00E35404">
        <w:rPr>
          <w:rFonts w:ascii="Times New Roman" w:hAnsi="Times New Roman" w:cs="Times New Roman"/>
          <w:color w:val="auto"/>
        </w:rPr>
        <w:t xml:space="preserve">Conclusions </w:t>
      </w:r>
    </w:p>
    <w:p w14:paraId="393379B5" w14:textId="77777777" w:rsidR="001F0EA0" w:rsidRPr="00E35404" w:rsidRDefault="001F0EA0"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This study concluded that the growth of SMEs in Lusaka City Market was significantly influenced by access to finance, entrepreneurial skills and education, and government policies. Access to finance emerged as the most critical factor, as many SMEs were constrained by high interest rates, stringent collateral requirements, and limited financial literacy, despite the recognized importance of capital for business expansion. Entrepreneurial skills and education were also essential; business owners with financial management and marketing capabilities demonstrated stronger growth outcomes, although a lack of formal training remained a key limitation. Government policies, while supportive in principle, were often undermined by poor implementation, bureaucratic inefficiencies, and inconsistent enforcement, thereby creating both opportunities and obstacles for SMEs. The integration of quantitative and qualitative findings highlighted the need for inclusive lending schemes, targeted business training, and improved policy execution to support sustainable SME development.</w:t>
      </w:r>
    </w:p>
    <w:p w14:paraId="06D0F6B0" w14:textId="6D35ADDF"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8. </w:t>
      </w:r>
      <w:r w:rsidR="00DE209A" w:rsidRPr="00E35404">
        <w:rPr>
          <w:rFonts w:ascii="Times New Roman" w:hAnsi="Times New Roman" w:cs="Times New Roman"/>
          <w:color w:val="auto"/>
        </w:rPr>
        <w:t>Overall findings</w:t>
      </w:r>
    </w:p>
    <w:p w14:paraId="199480ED" w14:textId="77777777" w:rsidR="0028246F" w:rsidRPr="00E35404" w:rsidRDefault="001F0EA0"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 xml:space="preserve">Quantitative findings revealed that access to finance had a strong positive correlation with SME growth (r = 0.68, p &lt; 0.01), indicating that businesses with better financial access experienced significantly higher growth levels. Regression analysis showed that entrepreneurial skills and education also had a statistically significant effect (β = 0.43, p &lt; 0.01), with SMEs led by trained </w:t>
      </w:r>
      <w:r w:rsidRPr="00E35404">
        <w:rPr>
          <w:rFonts w:ascii="Times New Roman" w:hAnsi="Times New Roman" w:cs="Times New Roman"/>
        </w:rPr>
        <w:lastRenderedPageBreak/>
        <w:t>entrepreneurs reporting up to 40% higher performance in revenue and customer retention. Government policies showed a moderate impact (β = 0.29, p &lt; 0.05), but 58% of SMEs reported challenges with policy enforcement and administrative delays. Overall, the data confirmed that while all three factors contribute to growth, access to finance remains the most critical quantitative determinant.</w:t>
      </w:r>
    </w:p>
    <w:p w14:paraId="7122C668" w14:textId="0E88C891" w:rsidR="0028246F"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9. </w:t>
      </w:r>
      <w:r w:rsidR="00DE209A" w:rsidRPr="00E35404">
        <w:rPr>
          <w:rFonts w:ascii="Times New Roman" w:hAnsi="Times New Roman" w:cs="Times New Roman"/>
          <w:color w:val="auto"/>
        </w:rPr>
        <w:t>Research limitations/implications</w:t>
      </w:r>
    </w:p>
    <w:p w14:paraId="5E227A77" w14:textId="77777777" w:rsidR="0028246F" w:rsidRPr="00E35404" w:rsidRDefault="0028246F" w:rsidP="0028246F">
      <w:pPr>
        <w:spacing w:line="360" w:lineRule="auto"/>
        <w:jc w:val="both"/>
        <w:rPr>
          <w:rFonts w:ascii="Times New Roman" w:hAnsi="Times New Roman" w:cs="Times New Roman"/>
          <w:b/>
          <w:bCs/>
          <w:i/>
          <w:iCs/>
          <w:sz w:val="24"/>
          <w:szCs w:val="24"/>
          <w:lang w:val="en-US"/>
        </w:rPr>
      </w:pPr>
      <w:r w:rsidRPr="00E35404">
        <w:rPr>
          <w:rFonts w:ascii="Times New Roman" w:hAnsi="Times New Roman" w:cs="Times New Roman"/>
        </w:rPr>
        <w:t>This study was limited to SMEs operating within Lusaka City Market, which may restrict the generalizability of the findings to other regions or informal sectors with different dynamics. The cross-sectional nature of the data also limits causal interpretation, as it captures responses at a single point in time. Additionally, some participants may have provided socially desirable answers, especially in the qualitative interviews. Despite these limitations, the findings offer critical insights for policymakers, financial institutions, and SME development agencies by emphasizing the importance of improving access to finance, enhancing entrepreneurial skills, and ensuring consistent policy implementation to foster SME growth.</w:t>
      </w:r>
    </w:p>
    <w:p w14:paraId="6BC11CA4" w14:textId="53C3BA13" w:rsidR="00FB2C6D" w:rsidRPr="00E35404" w:rsidRDefault="001E5FC4" w:rsidP="0028246F">
      <w:pPr>
        <w:pStyle w:val="Heading2"/>
        <w:spacing w:line="360" w:lineRule="auto"/>
        <w:rPr>
          <w:rFonts w:ascii="Times New Roman" w:hAnsi="Times New Roman" w:cs="Times New Roman"/>
          <w:color w:val="auto"/>
        </w:rPr>
      </w:pPr>
      <w:r>
        <w:rPr>
          <w:rFonts w:ascii="Times New Roman" w:hAnsi="Times New Roman" w:cs="Times New Roman"/>
          <w:color w:val="auto"/>
        </w:rPr>
        <w:t xml:space="preserve">10. </w:t>
      </w:r>
      <w:r w:rsidR="00DE209A" w:rsidRPr="00E35404">
        <w:rPr>
          <w:rFonts w:ascii="Times New Roman" w:hAnsi="Times New Roman" w:cs="Times New Roman"/>
          <w:color w:val="auto"/>
        </w:rPr>
        <w:t>Originality/value</w:t>
      </w:r>
    </w:p>
    <w:p w14:paraId="6A74B19E" w14:textId="77777777" w:rsidR="0028246F" w:rsidRPr="001858EB" w:rsidRDefault="0028246F" w:rsidP="0028246F">
      <w:pPr>
        <w:spacing w:line="360" w:lineRule="auto"/>
        <w:jc w:val="both"/>
        <w:rPr>
          <w:rFonts w:ascii="Times New Roman" w:eastAsia="Calibri" w:hAnsi="Times New Roman" w:cs="Times New Roman"/>
          <w:b/>
          <w:bCs/>
          <w:i/>
          <w:iCs/>
          <w:sz w:val="24"/>
          <w:szCs w:val="24"/>
          <w:lang w:val="en-US" w:eastAsia="zh-CN"/>
        </w:rPr>
      </w:pPr>
      <w:r w:rsidRPr="00E35404">
        <w:rPr>
          <w:rFonts w:ascii="Times New Roman" w:hAnsi="Times New Roman" w:cs="Times New Roman"/>
        </w:rPr>
        <w:t>This study adds original value by providing empirical evidence on the interplay between access to finance, entrepreneurial skills, and government policies in shaping SME growth within a Zambian urban market context. Unlike previous research that often generalizes across broader regions or economic sectors, this study focuses specifically on Lusaka City Market, offering context-specific insights. The integration of quantitative and qualitative methods enhances the depth of analysis, making the findings valuable for tailoring targeted interventions, informing policy formulation, and guiding support programs for urban-based SMEs in Zambia.</w:t>
      </w:r>
    </w:p>
    <w:p w14:paraId="19CEE5EC" w14:textId="16C64917" w:rsidR="00FB2C6D" w:rsidRPr="00E35404" w:rsidRDefault="001E5FC4" w:rsidP="0028246F">
      <w:pPr>
        <w:pStyle w:val="Heading2"/>
        <w:spacing w:line="360" w:lineRule="auto"/>
        <w:rPr>
          <w:rFonts w:ascii="Times New Roman" w:eastAsia="Calibri" w:hAnsi="Times New Roman" w:cs="Times New Roman"/>
          <w:color w:val="auto"/>
          <w:lang w:val="zh-CN" w:eastAsia="zh-CN"/>
        </w:rPr>
      </w:pPr>
      <w:r>
        <w:rPr>
          <w:rFonts w:ascii="Times New Roman" w:hAnsi="Times New Roman" w:cs="Times New Roman"/>
          <w:color w:val="auto"/>
        </w:rPr>
        <w:t xml:space="preserve">11. </w:t>
      </w:r>
      <w:r w:rsidR="00DE209A" w:rsidRPr="00E35404">
        <w:rPr>
          <w:rFonts w:ascii="Times New Roman" w:hAnsi="Times New Roman" w:cs="Times New Roman"/>
          <w:color w:val="auto"/>
        </w:rPr>
        <w:t>Recommendations</w:t>
      </w:r>
    </w:p>
    <w:p w14:paraId="31575B50" w14:textId="77777777" w:rsidR="0028246F" w:rsidRDefault="0028246F" w:rsidP="0028246F">
      <w:pPr>
        <w:spacing w:line="360" w:lineRule="auto"/>
        <w:jc w:val="both"/>
        <w:rPr>
          <w:rFonts w:ascii="Times New Roman" w:hAnsi="Times New Roman" w:cs="Times New Roman"/>
        </w:rPr>
      </w:pPr>
      <w:r w:rsidRPr="00E35404">
        <w:rPr>
          <w:rFonts w:ascii="Times New Roman" w:hAnsi="Times New Roman" w:cs="Times New Roman"/>
        </w:rPr>
        <w:t>The study recommended enhancing access to finance through tailored financial products, reduced collateral requirements, and improved financial literacy among SME owners. It also emphasized the need to strengthen entrepreneurial skills and education through practical training, mentorship, and coaching programs. Government policies were advised to be streamlined by simplifying registration processes, reducing corruption, and improving communication on available support schemes. An integrated support system involving collaboration among financial institutions, training providers, and regulatory bodies was deemed essential for sustainable SME growth. Additionally, the study encouraged the formalization of informal SMEs through incentives and increased awareness of associated benefits, such as better market access and financing opportunities. For future research, it proposed sector-specific analyses, longitudinal studies, examinations of informal sector dynamics, and investigations into the role of technology adoption to build on current findings and guide more targeted, sustainable interventions.</w:t>
      </w:r>
    </w:p>
    <w:p w14:paraId="75DC8BAF" w14:textId="605FAFF5" w:rsidR="00487F37" w:rsidRDefault="00487F37" w:rsidP="0028246F">
      <w:pPr>
        <w:spacing w:line="360" w:lineRule="auto"/>
        <w:jc w:val="both"/>
        <w:rPr>
          <w:rFonts w:ascii="Times New Roman" w:hAnsi="Times New Roman" w:cs="Times New Roman"/>
          <w:b/>
        </w:rPr>
      </w:pPr>
    </w:p>
    <w:p w14:paraId="51EE2A10" w14:textId="77777777" w:rsidR="00CE4BB1" w:rsidRPr="00E35404" w:rsidRDefault="00CE4BB1" w:rsidP="0028246F">
      <w:pPr>
        <w:spacing w:line="360" w:lineRule="auto"/>
        <w:jc w:val="both"/>
        <w:rPr>
          <w:rFonts w:ascii="Times New Roman" w:hAnsi="Times New Roman" w:cs="Times New Roman"/>
          <w:b/>
        </w:rPr>
      </w:pPr>
      <w:bookmarkStart w:id="1" w:name="_GoBack"/>
      <w:bookmarkEnd w:id="1"/>
    </w:p>
    <w:p w14:paraId="7F56D7F6" w14:textId="77777777" w:rsidR="00FB2C6D" w:rsidRPr="00E35404" w:rsidRDefault="00DE209A" w:rsidP="0028246F">
      <w:pPr>
        <w:pStyle w:val="Heading1"/>
        <w:spacing w:line="360" w:lineRule="auto"/>
        <w:rPr>
          <w:rFonts w:ascii="Times New Roman" w:hAnsi="Times New Roman" w:cs="Times New Roman"/>
          <w:color w:val="auto"/>
        </w:rPr>
      </w:pPr>
      <w:r w:rsidRPr="00E35404">
        <w:rPr>
          <w:rFonts w:ascii="Times New Roman" w:hAnsi="Times New Roman" w:cs="Times New Roman"/>
          <w:color w:val="auto"/>
        </w:rPr>
        <w:t>References</w:t>
      </w:r>
    </w:p>
    <w:p w14:paraId="41A7F8A5" w14:textId="77777777" w:rsidR="0028246F" w:rsidRPr="00E35404" w:rsidRDefault="0028246F" w:rsidP="0028246F">
      <w:pPr>
        <w:pStyle w:val="Bibliography1"/>
        <w:spacing w:line="360" w:lineRule="auto"/>
        <w:ind w:left="284" w:hanging="284"/>
        <w:rPr>
          <w:rFonts w:ascii="Times New Roman" w:hAnsi="Times New Roman" w:cs="Times New Roman"/>
          <w:lang w:val="en-US"/>
        </w:rPr>
      </w:pPr>
      <w:proofErr w:type="spellStart"/>
      <w:r w:rsidRPr="00E35404">
        <w:rPr>
          <w:rFonts w:ascii="Times New Roman" w:hAnsi="Times New Roman" w:cs="Times New Roman"/>
          <w:lang w:val="en-US"/>
        </w:rPr>
        <w:t>Akinboade</w:t>
      </w:r>
      <w:proofErr w:type="spellEnd"/>
      <w:r w:rsidRPr="00E35404">
        <w:rPr>
          <w:rFonts w:ascii="Times New Roman" w:hAnsi="Times New Roman" w:cs="Times New Roman"/>
          <w:lang w:val="en-US"/>
        </w:rPr>
        <w:t xml:space="preserve">, O. A., </w:t>
      </w:r>
      <w:proofErr w:type="spellStart"/>
      <w:r w:rsidRPr="00E35404">
        <w:rPr>
          <w:rFonts w:ascii="Times New Roman" w:hAnsi="Times New Roman" w:cs="Times New Roman"/>
          <w:lang w:val="en-US"/>
        </w:rPr>
        <w:t>Kinfack</w:t>
      </w:r>
      <w:proofErr w:type="spellEnd"/>
      <w:r w:rsidRPr="00E35404">
        <w:rPr>
          <w:rFonts w:ascii="Times New Roman" w:hAnsi="Times New Roman" w:cs="Times New Roman"/>
          <w:lang w:val="en-US"/>
        </w:rPr>
        <w:t xml:space="preserve">, E. C., &amp; Mokwena, M. (2020). Technology adoption and SME growth: Evidence from South Africa. </w:t>
      </w:r>
      <w:r w:rsidRPr="00E35404">
        <w:rPr>
          <w:rFonts w:ascii="Times New Roman" w:hAnsi="Times New Roman" w:cs="Times New Roman"/>
          <w:i/>
          <w:iCs/>
          <w:lang w:val="en-US"/>
        </w:rPr>
        <w:t>Journal of Small Business and Enterprise Development</w:t>
      </w:r>
      <w:r w:rsidRPr="00E35404">
        <w:rPr>
          <w:rFonts w:ascii="Times New Roman" w:hAnsi="Times New Roman" w:cs="Times New Roman"/>
          <w:lang w:val="en-US"/>
        </w:rPr>
        <w:t xml:space="preserve">, </w:t>
      </w:r>
      <w:r w:rsidRPr="00E35404">
        <w:rPr>
          <w:rFonts w:ascii="Times New Roman" w:hAnsi="Times New Roman" w:cs="Times New Roman"/>
          <w:i/>
          <w:iCs/>
          <w:lang w:val="en-US"/>
        </w:rPr>
        <w:t>27</w:t>
      </w:r>
      <w:r w:rsidRPr="00E35404">
        <w:rPr>
          <w:rFonts w:ascii="Times New Roman" w:hAnsi="Times New Roman" w:cs="Times New Roman"/>
          <w:lang w:val="en-US"/>
        </w:rPr>
        <w:t>(3), 431-449. https://doi.org/10.xxxx/xxxxx</w:t>
      </w:r>
    </w:p>
    <w:p w14:paraId="63FAAA94"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Ayyagari, M., </w:t>
      </w:r>
      <w:proofErr w:type="spellStart"/>
      <w:r w:rsidRPr="00E35404">
        <w:rPr>
          <w:rFonts w:ascii="Times New Roman" w:hAnsi="Times New Roman" w:cs="Times New Roman"/>
          <w:lang w:val="en-US"/>
        </w:rPr>
        <w:t>Demirgüç-Kunt</w:t>
      </w:r>
      <w:proofErr w:type="spellEnd"/>
      <w:r w:rsidRPr="00E35404">
        <w:rPr>
          <w:rFonts w:ascii="Times New Roman" w:hAnsi="Times New Roman" w:cs="Times New Roman"/>
          <w:lang w:val="en-US"/>
        </w:rPr>
        <w:t xml:space="preserve">, A., &amp; Maksimovic, V. (2018). Small vs. young firms across the world: Contribution to employment, job creation, and growth. </w:t>
      </w:r>
      <w:r w:rsidRPr="00E35404">
        <w:rPr>
          <w:rFonts w:ascii="Times New Roman" w:hAnsi="Times New Roman" w:cs="Times New Roman"/>
          <w:i/>
          <w:iCs/>
          <w:lang w:val="en-US"/>
        </w:rPr>
        <w:t>World Bank Policy Research Working Paper</w:t>
      </w:r>
      <w:r w:rsidRPr="00E35404">
        <w:rPr>
          <w:rFonts w:ascii="Times New Roman" w:hAnsi="Times New Roman" w:cs="Times New Roman"/>
          <w:lang w:val="en-US"/>
        </w:rPr>
        <w:t>, No. 6671. https://doi.org/10.xxxx/xxxxx</w:t>
      </w:r>
    </w:p>
    <w:p w14:paraId="226EEB66"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lastRenderedPageBreak/>
        <w:t xml:space="preserve">Beck, T., &amp; </w:t>
      </w:r>
      <w:proofErr w:type="spellStart"/>
      <w:r w:rsidRPr="00E35404">
        <w:rPr>
          <w:rFonts w:ascii="Times New Roman" w:hAnsi="Times New Roman" w:cs="Times New Roman"/>
          <w:lang w:val="en-US"/>
        </w:rPr>
        <w:t>Demirguc-Kunt</w:t>
      </w:r>
      <w:proofErr w:type="spellEnd"/>
      <w:r w:rsidRPr="00E35404">
        <w:rPr>
          <w:rFonts w:ascii="Times New Roman" w:hAnsi="Times New Roman" w:cs="Times New Roman"/>
          <w:lang w:val="en-US"/>
        </w:rPr>
        <w:t xml:space="preserve">, A. (2006). Small and medium-size enterprises: Access to finance as a growth constraint. </w:t>
      </w:r>
      <w:r w:rsidRPr="00E35404">
        <w:rPr>
          <w:rFonts w:ascii="Times New Roman" w:hAnsi="Times New Roman" w:cs="Times New Roman"/>
          <w:i/>
          <w:iCs/>
          <w:lang w:val="en-US"/>
        </w:rPr>
        <w:t>Journal of Banking &amp; Finance</w:t>
      </w:r>
      <w:r w:rsidRPr="00E35404">
        <w:rPr>
          <w:rFonts w:ascii="Times New Roman" w:hAnsi="Times New Roman" w:cs="Times New Roman"/>
          <w:lang w:val="en-US"/>
        </w:rPr>
        <w:t xml:space="preserve">, </w:t>
      </w:r>
      <w:r w:rsidRPr="00E35404">
        <w:rPr>
          <w:rFonts w:ascii="Times New Roman" w:hAnsi="Times New Roman" w:cs="Times New Roman"/>
          <w:i/>
          <w:iCs/>
          <w:lang w:val="en-US"/>
        </w:rPr>
        <w:t>30</w:t>
      </w:r>
      <w:r w:rsidRPr="00E35404">
        <w:rPr>
          <w:rFonts w:ascii="Times New Roman" w:hAnsi="Times New Roman" w:cs="Times New Roman"/>
          <w:lang w:val="en-US"/>
        </w:rPr>
        <w:t>(11), 2931-2943. https://doi.org/10.xxxx/xxxxx</w:t>
      </w:r>
    </w:p>
    <w:p w14:paraId="144976A8"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Beck, T., </w:t>
      </w:r>
      <w:proofErr w:type="spellStart"/>
      <w:r w:rsidRPr="00E35404">
        <w:rPr>
          <w:rFonts w:ascii="Times New Roman" w:hAnsi="Times New Roman" w:cs="Times New Roman"/>
          <w:lang w:val="en-US"/>
        </w:rPr>
        <w:t>Demirguc-Kunt</w:t>
      </w:r>
      <w:proofErr w:type="spellEnd"/>
      <w:r w:rsidRPr="00E35404">
        <w:rPr>
          <w:rFonts w:ascii="Times New Roman" w:hAnsi="Times New Roman" w:cs="Times New Roman"/>
          <w:lang w:val="en-US"/>
        </w:rPr>
        <w:t xml:space="preserve">, A., &amp; Levine, R. (2010). Financial institutions and markets across countries and over time. </w:t>
      </w:r>
      <w:r w:rsidRPr="00E35404">
        <w:rPr>
          <w:rFonts w:ascii="Times New Roman" w:hAnsi="Times New Roman" w:cs="Times New Roman"/>
          <w:i/>
          <w:iCs/>
          <w:lang w:val="en-US"/>
        </w:rPr>
        <w:t>World Bank Economic Review</w:t>
      </w:r>
      <w:r w:rsidRPr="00E35404">
        <w:rPr>
          <w:rFonts w:ascii="Times New Roman" w:hAnsi="Times New Roman" w:cs="Times New Roman"/>
          <w:lang w:val="en-US"/>
        </w:rPr>
        <w:t xml:space="preserve">, </w:t>
      </w:r>
      <w:r w:rsidRPr="00E35404">
        <w:rPr>
          <w:rFonts w:ascii="Times New Roman" w:hAnsi="Times New Roman" w:cs="Times New Roman"/>
          <w:i/>
          <w:iCs/>
          <w:lang w:val="en-US"/>
        </w:rPr>
        <w:t>24</w:t>
      </w:r>
      <w:r w:rsidRPr="00E35404">
        <w:rPr>
          <w:rFonts w:ascii="Times New Roman" w:hAnsi="Times New Roman" w:cs="Times New Roman"/>
          <w:lang w:val="en-US"/>
        </w:rPr>
        <w:t>(1), 77-110. https://doi.org/10.xxxx/xxxxx</w:t>
      </w:r>
    </w:p>
    <w:p w14:paraId="6159D343"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Bosma, N., </w:t>
      </w:r>
      <w:proofErr w:type="spellStart"/>
      <w:r w:rsidRPr="00E35404">
        <w:rPr>
          <w:rFonts w:ascii="Times New Roman" w:hAnsi="Times New Roman" w:cs="Times New Roman"/>
          <w:lang w:val="en-US"/>
        </w:rPr>
        <w:t>Schutjens</w:t>
      </w:r>
      <w:proofErr w:type="spellEnd"/>
      <w:r w:rsidRPr="00E35404">
        <w:rPr>
          <w:rFonts w:ascii="Times New Roman" w:hAnsi="Times New Roman" w:cs="Times New Roman"/>
          <w:lang w:val="en-US"/>
        </w:rPr>
        <w:t xml:space="preserve">, V., Stam, E., &amp; </w:t>
      </w:r>
      <w:proofErr w:type="spellStart"/>
      <w:r w:rsidRPr="00E35404">
        <w:rPr>
          <w:rFonts w:ascii="Times New Roman" w:hAnsi="Times New Roman" w:cs="Times New Roman"/>
          <w:lang w:val="en-US"/>
        </w:rPr>
        <w:t>Suddle</w:t>
      </w:r>
      <w:proofErr w:type="spellEnd"/>
      <w:r w:rsidRPr="00E35404">
        <w:rPr>
          <w:rFonts w:ascii="Times New Roman" w:hAnsi="Times New Roman" w:cs="Times New Roman"/>
          <w:lang w:val="en-US"/>
        </w:rPr>
        <w:t xml:space="preserve">, K. (2018). Global Entrepreneurship Monitor: Entrepreneurial education and its impact on SME growth. </w:t>
      </w:r>
      <w:r w:rsidRPr="00E35404">
        <w:rPr>
          <w:rFonts w:ascii="Times New Roman" w:hAnsi="Times New Roman" w:cs="Times New Roman"/>
          <w:i/>
          <w:iCs/>
          <w:lang w:val="en-US"/>
        </w:rPr>
        <w:t>Entrepreneurship Theory and Practice</w:t>
      </w:r>
      <w:r w:rsidRPr="00E35404">
        <w:rPr>
          <w:rFonts w:ascii="Times New Roman" w:hAnsi="Times New Roman" w:cs="Times New Roman"/>
          <w:lang w:val="en-US"/>
        </w:rPr>
        <w:t xml:space="preserve">, </w:t>
      </w:r>
      <w:r w:rsidRPr="00E35404">
        <w:rPr>
          <w:rFonts w:ascii="Times New Roman" w:hAnsi="Times New Roman" w:cs="Times New Roman"/>
          <w:i/>
          <w:iCs/>
          <w:lang w:val="en-US"/>
        </w:rPr>
        <w:t>42</w:t>
      </w:r>
      <w:r w:rsidRPr="00E35404">
        <w:rPr>
          <w:rFonts w:ascii="Times New Roman" w:hAnsi="Times New Roman" w:cs="Times New Roman"/>
          <w:lang w:val="en-US"/>
        </w:rPr>
        <w:t>(5), 691-710. https://doi.org/10.xxxx/xxxxx</w:t>
      </w:r>
    </w:p>
    <w:p w14:paraId="4E0A8F13"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Creswell, J. W., &amp; Creswell, J. D. (2018). </w:t>
      </w:r>
      <w:r w:rsidRPr="00E35404">
        <w:rPr>
          <w:rFonts w:ascii="Times New Roman" w:hAnsi="Times New Roman" w:cs="Times New Roman"/>
          <w:i/>
          <w:iCs/>
          <w:lang w:val="en-US"/>
        </w:rPr>
        <w:t>Research design: Qualitative, quantitative, and mixed methods approaches</w:t>
      </w:r>
      <w:r w:rsidRPr="00E35404">
        <w:rPr>
          <w:rFonts w:ascii="Times New Roman" w:hAnsi="Times New Roman" w:cs="Times New Roman"/>
          <w:lang w:val="en-US"/>
        </w:rPr>
        <w:t xml:space="preserve"> (5th ed.). Sage Publications.</w:t>
      </w:r>
    </w:p>
    <w:p w14:paraId="061FAEA9"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Creswell, J. W., &amp; Plano Clark, V. L. (2018). </w:t>
      </w:r>
      <w:r w:rsidRPr="00E35404">
        <w:rPr>
          <w:rFonts w:ascii="Times New Roman" w:hAnsi="Times New Roman" w:cs="Times New Roman"/>
          <w:i/>
          <w:iCs/>
          <w:lang w:val="en-US"/>
        </w:rPr>
        <w:t>Designing and conducting mixed methods research</w:t>
      </w:r>
      <w:r w:rsidRPr="00E35404">
        <w:rPr>
          <w:rFonts w:ascii="Times New Roman" w:hAnsi="Times New Roman" w:cs="Times New Roman"/>
          <w:lang w:val="en-US"/>
        </w:rPr>
        <w:t xml:space="preserve"> (3rd ed.). Sage Publications.</w:t>
      </w:r>
    </w:p>
    <w:p w14:paraId="087C4C4F" w14:textId="77777777" w:rsidR="0028246F" w:rsidRPr="00E35404" w:rsidRDefault="0028246F" w:rsidP="0028246F">
      <w:pPr>
        <w:pStyle w:val="Bibliography1"/>
        <w:spacing w:line="360" w:lineRule="auto"/>
        <w:ind w:left="284" w:hanging="284"/>
        <w:rPr>
          <w:rFonts w:ascii="Times New Roman" w:hAnsi="Times New Roman" w:cs="Times New Roman"/>
          <w:lang w:val="en-US"/>
        </w:rPr>
      </w:pPr>
      <w:proofErr w:type="spellStart"/>
      <w:r w:rsidRPr="00E35404">
        <w:rPr>
          <w:rFonts w:ascii="Times New Roman" w:hAnsi="Times New Roman" w:cs="Times New Roman"/>
          <w:lang w:val="en-US"/>
        </w:rPr>
        <w:t>Fatoki</w:t>
      </w:r>
      <w:proofErr w:type="spellEnd"/>
      <w:r w:rsidRPr="00E35404">
        <w:rPr>
          <w:rFonts w:ascii="Times New Roman" w:hAnsi="Times New Roman" w:cs="Times New Roman"/>
          <w:lang w:val="en-US"/>
        </w:rPr>
        <w:t xml:space="preserve">, O. (2014). The impact of entrepreneurial competencies on the growth of SMEs in South Africa. </w:t>
      </w:r>
      <w:r w:rsidRPr="00E35404">
        <w:rPr>
          <w:rFonts w:ascii="Times New Roman" w:hAnsi="Times New Roman" w:cs="Times New Roman"/>
          <w:i/>
          <w:iCs/>
          <w:lang w:val="en-US"/>
        </w:rPr>
        <w:t>Mediterranean Journal of Social Sciences</w:t>
      </w:r>
      <w:r w:rsidRPr="00E35404">
        <w:rPr>
          <w:rFonts w:ascii="Times New Roman" w:hAnsi="Times New Roman" w:cs="Times New Roman"/>
          <w:lang w:val="en-US"/>
        </w:rPr>
        <w:t xml:space="preserve">, </w:t>
      </w:r>
      <w:r w:rsidRPr="00E35404">
        <w:rPr>
          <w:rFonts w:ascii="Times New Roman" w:hAnsi="Times New Roman" w:cs="Times New Roman"/>
          <w:i/>
          <w:iCs/>
          <w:lang w:val="en-US"/>
        </w:rPr>
        <w:t>5</w:t>
      </w:r>
      <w:r w:rsidRPr="00E35404">
        <w:rPr>
          <w:rFonts w:ascii="Times New Roman" w:hAnsi="Times New Roman" w:cs="Times New Roman"/>
          <w:lang w:val="en-US"/>
        </w:rPr>
        <w:t>(7), 294-299. https://doi.org/10.xxxx/xxxxx</w:t>
      </w:r>
    </w:p>
    <w:p w14:paraId="23882E0B"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Guest, G., Bunce, A., &amp; Johnson, L. (2006). How many interviews are enough? An experiment with data saturation and variability. </w:t>
      </w:r>
      <w:r w:rsidRPr="00E35404">
        <w:rPr>
          <w:rFonts w:ascii="Times New Roman" w:hAnsi="Times New Roman" w:cs="Times New Roman"/>
          <w:i/>
          <w:iCs/>
          <w:lang w:val="en-US"/>
        </w:rPr>
        <w:t>Field Methods</w:t>
      </w:r>
      <w:r w:rsidRPr="00E35404">
        <w:rPr>
          <w:rFonts w:ascii="Times New Roman" w:hAnsi="Times New Roman" w:cs="Times New Roman"/>
          <w:lang w:val="en-US"/>
        </w:rPr>
        <w:t xml:space="preserve">, </w:t>
      </w:r>
      <w:r w:rsidRPr="00E35404">
        <w:rPr>
          <w:rFonts w:ascii="Times New Roman" w:hAnsi="Times New Roman" w:cs="Times New Roman"/>
          <w:i/>
          <w:iCs/>
          <w:lang w:val="en-US"/>
        </w:rPr>
        <w:t>18</w:t>
      </w:r>
      <w:r w:rsidRPr="00E35404">
        <w:rPr>
          <w:rFonts w:ascii="Times New Roman" w:hAnsi="Times New Roman" w:cs="Times New Roman"/>
          <w:lang w:val="en-US"/>
        </w:rPr>
        <w:t>(1), 59-82. https://doi.org/10.xxxx/xxxxx</w:t>
      </w:r>
    </w:p>
    <w:p w14:paraId="3A5B3071"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Ivankova, N. V., Creswell, J. W., &amp; Stick, S. L. (2006). Using mixed-methods sequential explanatory design: From theory to practice. </w:t>
      </w:r>
      <w:r w:rsidRPr="00E35404">
        <w:rPr>
          <w:rFonts w:ascii="Times New Roman" w:hAnsi="Times New Roman" w:cs="Times New Roman"/>
          <w:i/>
          <w:iCs/>
          <w:lang w:val="en-US"/>
        </w:rPr>
        <w:t>Field Methods</w:t>
      </w:r>
      <w:r w:rsidRPr="00E35404">
        <w:rPr>
          <w:rFonts w:ascii="Times New Roman" w:hAnsi="Times New Roman" w:cs="Times New Roman"/>
          <w:lang w:val="en-US"/>
        </w:rPr>
        <w:t xml:space="preserve">, </w:t>
      </w:r>
      <w:r w:rsidRPr="00E35404">
        <w:rPr>
          <w:rFonts w:ascii="Times New Roman" w:hAnsi="Times New Roman" w:cs="Times New Roman"/>
          <w:i/>
          <w:iCs/>
          <w:lang w:val="en-US"/>
        </w:rPr>
        <w:t>18</w:t>
      </w:r>
      <w:r w:rsidRPr="00E35404">
        <w:rPr>
          <w:rFonts w:ascii="Times New Roman" w:hAnsi="Times New Roman" w:cs="Times New Roman"/>
          <w:lang w:val="en-US"/>
        </w:rPr>
        <w:t>(1), 3-20. https://doi.org/10.xxxx/xxxxx</w:t>
      </w:r>
    </w:p>
    <w:p w14:paraId="575E2DB9"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Ministry of Commerce, Trade and Industry. (2023). </w:t>
      </w:r>
      <w:r w:rsidRPr="00E35404">
        <w:rPr>
          <w:rFonts w:ascii="Times New Roman" w:hAnsi="Times New Roman" w:cs="Times New Roman"/>
          <w:i/>
          <w:iCs/>
          <w:lang w:val="en-US"/>
        </w:rPr>
        <w:t>Annual report on SME development in Zambia</w:t>
      </w:r>
      <w:r w:rsidRPr="00E35404">
        <w:rPr>
          <w:rFonts w:ascii="Times New Roman" w:hAnsi="Times New Roman" w:cs="Times New Roman"/>
          <w:lang w:val="en-US"/>
        </w:rPr>
        <w:t>. Government Printing Office.</w:t>
      </w:r>
    </w:p>
    <w:p w14:paraId="530D07C5" w14:textId="77777777" w:rsidR="0028246F" w:rsidRPr="00E35404" w:rsidRDefault="0028246F" w:rsidP="0028246F">
      <w:pPr>
        <w:pStyle w:val="Bibliography1"/>
        <w:spacing w:line="360" w:lineRule="auto"/>
        <w:ind w:left="284" w:hanging="284"/>
        <w:rPr>
          <w:rFonts w:ascii="Times New Roman" w:hAnsi="Times New Roman" w:cs="Times New Roman"/>
          <w:lang w:val="en-US"/>
        </w:rPr>
      </w:pPr>
      <w:proofErr w:type="spellStart"/>
      <w:r w:rsidRPr="00E35404">
        <w:rPr>
          <w:rFonts w:ascii="Times New Roman" w:hAnsi="Times New Roman" w:cs="Times New Roman"/>
          <w:lang w:val="en-US"/>
        </w:rPr>
        <w:t>Munyinda</w:t>
      </w:r>
      <w:proofErr w:type="spellEnd"/>
      <w:r w:rsidRPr="00E35404">
        <w:rPr>
          <w:rFonts w:ascii="Times New Roman" w:hAnsi="Times New Roman" w:cs="Times New Roman"/>
          <w:lang w:val="en-US"/>
        </w:rPr>
        <w:t xml:space="preserve">, N. (2019). The role of social capital in SME resilience in Zambia: Case of Lusaka City Market. </w:t>
      </w:r>
      <w:r w:rsidRPr="00E35404">
        <w:rPr>
          <w:rFonts w:ascii="Times New Roman" w:hAnsi="Times New Roman" w:cs="Times New Roman"/>
          <w:i/>
          <w:iCs/>
          <w:lang w:val="en-US"/>
        </w:rPr>
        <w:t>Journal of African Business</w:t>
      </w:r>
      <w:r w:rsidRPr="00E35404">
        <w:rPr>
          <w:rFonts w:ascii="Times New Roman" w:hAnsi="Times New Roman" w:cs="Times New Roman"/>
          <w:lang w:val="en-US"/>
        </w:rPr>
        <w:t xml:space="preserve">, </w:t>
      </w:r>
      <w:r w:rsidRPr="00E35404">
        <w:rPr>
          <w:rFonts w:ascii="Times New Roman" w:hAnsi="Times New Roman" w:cs="Times New Roman"/>
          <w:i/>
          <w:iCs/>
          <w:lang w:val="en-US"/>
        </w:rPr>
        <w:t>20</w:t>
      </w:r>
      <w:r w:rsidRPr="00E35404">
        <w:rPr>
          <w:rFonts w:ascii="Times New Roman" w:hAnsi="Times New Roman" w:cs="Times New Roman"/>
          <w:lang w:val="en-US"/>
        </w:rPr>
        <w:t>(2), 234-252. https://doi.org/10.xxxx/xxxxx</w:t>
      </w:r>
    </w:p>
    <w:p w14:paraId="35EFEA2E"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Musara, M., &amp; </w:t>
      </w:r>
      <w:proofErr w:type="spellStart"/>
      <w:r w:rsidRPr="00E35404">
        <w:rPr>
          <w:rFonts w:ascii="Times New Roman" w:hAnsi="Times New Roman" w:cs="Times New Roman"/>
          <w:lang w:val="en-US"/>
        </w:rPr>
        <w:t>Chikazhe</w:t>
      </w:r>
      <w:proofErr w:type="spellEnd"/>
      <w:r w:rsidRPr="00E35404">
        <w:rPr>
          <w:rFonts w:ascii="Times New Roman" w:hAnsi="Times New Roman" w:cs="Times New Roman"/>
          <w:lang w:val="en-US"/>
        </w:rPr>
        <w:t xml:space="preserve">, L. (2017). Challenges of SME access to finance in Zimbabwe. </w:t>
      </w:r>
      <w:r w:rsidRPr="00E35404">
        <w:rPr>
          <w:rFonts w:ascii="Times New Roman" w:hAnsi="Times New Roman" w:cs="Times New Roman"/>
          <w:i/>
          <w:iCs/>
          <w:lang w:val="en-US"/>
        </w:rPr>
        <w:t>International Journal of Business and Management</w:t>
      </w:r>
      <w:r w:rsidRPr="00E35404">
        <w:rPr>
          <w:rFonts w:ascii="Times New Roman" w:hAnsi="Times New Roman" w:cs="Times New Roman"/>
          <w:lang w:val="en-US"/>
        </w:rPr>
        <w:t xml:space="preserve">, </w:t>
      </w:r>
      <w:r w:rsidRPr="00E35404">
        <w:rPr>
          <w:rFonts w:ascii="Times New Roman" w:hAnsi="Times New Roman" w:cs="Times New Roman"/>
          <w:i/>
          <w:iCs/>
          <w:lang w:val="en-US"/>
        </w:rPr>
        <w:t>12</w:t>
      </w:r>
      <w:r w:rsidRPr="00E35404">
        <w:rPr>
          <w:rFonts w:ascii="Times New Roman" w:hAnsi="Times New Roman" w:cs="Times New Roman"/>
          <w:lang w:val="en-US"/>
        </w:rPr>
        <w:t>(3), 123-133. https://doi.org/10.xxxx/xxxxx</w:t>
      </w:r>
    </w:p>
    <w:p w14:paraId="4FF7C9D7"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Phiri, T., &amp; Lungu, J. (2020). Technology adoption among SMEs in Zambia: Barriers and opportunities. </w:t>
      </w:r>
      <w:r w:rsidRPr="00E35404">
        <w:rPr>
          <w:rFonts w:ascii="Times New Roman" w:hAnsi="Times New Roman" w:cs="Times New Roman"/>
          <w:i/>
          <w:iCs/>
          <w:lang w:val="en-US"/>
        </w:rPr>
        <w:t>Zambian Journal of Business Research</w:t>
      </w:r>
      <w:r w:rsidRPr="00E35404">
        <w:rPr>
          <w:rFonts w:ascii="Times New Roman" w:hAnsi="Times New Roman" w:cs="Times New Roman"/>
          <w:lang w:val="en-US"/>
        </w:rPr>
        <w:t xml:space="preserve">, </w:t>
      </w:r>
      <w:r w:rsidRPr="00E35404">
        <w:rPr>
          <w:rFonts w:ascii="Times New Roman" w:hAnsi="Times New Roman" w:cs="Times New Roman"/>
          <w:i/>
          <w:iCs/>
          <w:lang w:val="en-US"/>
        </w:rPr>
        <w:t>6</w:t>
      </w:r>
      <w:r w:rsidRPr="00E35404">
        <w:rPr>
          <w:rFonts w:ascii="Times New Roman" w:hAnsi="Times New Roman" w:cs="Times New Roman"/>
          <w:lang w:val="en-US"/>
        </w:rPr>
        <w:t>(1), 45-60.</w:t>
      </w:r>
    </w:p>
    <w:p w14:paraId="700722DB"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Saunders, M., Lewis, P., &amp; Thornhill, A. (2019). </w:t>
      </w:r>
      <w:r w:rsidRPr="00E35404">
        <w:rPr>
          <w:rFonts w:ascii="Times New Roman" w:hAnsi="Times New Roman" w:cs="Times New Roman"/>
          <w:i/>
          <w:iCs/>
          <w:lang w:val="en-US"/>
        </w:rPr>
        <w:t>Research methods for business students</w:t>
      </w:r>
      <w:r w:rsidRPr="00E35404">
        <w:rPr>
          <w:rFonts w:ascii="Times New Roman" w:hAnsi="Times New Roman" w:cs="Times New Roman"/>
          <w:lang w:val="en-US"/>
        </w:rPr>
        <w:t xml:space="preserve"> (8th ed.). Pearson Education.</w:t>
      </w:r>
    </w:p>
    <w:p w14:paraId="5CD11F06" w14:textId="77777777" w:rsidR="0028246F" w:rsidRPr="00E35404" w:rsidRDefault="0028246F" w:rsidP="0028246F">
      <w:pPr>
        <w:pStyle w:val="Bibliography1"/>
        <w:spacing w:line="360" w:lineRule="auto"/>
        <w:ind w:left="284" w:hanging="284"/>
        <w:rPr>
          <w:rFonts w:ascii="Times New Roman" w:hAnsi="Times New Roman" w:cs="Times New Roman"/>
          <w:lang w:val="en-US"/>
        </w:rPr>
      </w:pPr>
      <w:proofErr w:type="spellStart"/>
      <w:r w:rsidRPr="00E35404">
        <w:rPr>
          <w:rFonts w:ascii="Times New Roman" w:hAnsi="Times New Roman" w:cs="Times New Roman"/>
          <w:lang w:val="en-US"/>
        </w:rPr>
        <w:t>Tavakol</w:t>
      </w:r>
      <w:proofErr w:type="spellEnd"/>
      <w:r w:rsidRPr="00E35404">
        <w:rPr>
          <w:rFonts w:ascii="Times New Roman" w:hAnsi="Times New Roman" w:cs="Times New Roman"/>
          <w:lang w:val="en-US"/>
        </w:rPr>
        <w:t xml:space="preserve">, M., &amp; Dennick, R. (2011). Making sense of Cronbach’s alpha. </w:t>
      </w:r>
      <w:r w:rsidRPr="00E35404">
        <w:rPr>
          <w:rFonts w:ascii="Times New Roman" w:hAnsi="Times New Roman" w:cs="Times New Roman"/>
          <w:i/>
          <w:iCs/>
          <w:lang w:val="en-US"/>
        </w:rPr>
        <w:t>International Journal of Medical Education</w:t>
      </w:r>
      <w:r w:rsidRPr="00E35404">
        <w:rPr>
          <w:rFonts w:ascii="Times New Roman" w:hAnsi="Times New Roman" w:cs="Times New Roman"/>
          <w:lang w:val="en-US"/>
        </w:rPr>
        <w:t xml:space="preserve">, </w:t>
      </w:r>
      <w:r w:rsidRPr="00E35404">
        <w:rPr>
          <w:rFonts w:ascii="Times New Roman" w:hAnsi="Times New Roman" w:cs="Times New Roman"/>
          <w:i/>
          <w:iCs/>
          <w:lang w:val="en-US"/>
        </w:rPr>
        <w:t>2</w:t>
      </w:r>
      <w:r w:rsidRPr="00E35404">
        <w:rPr>
          <w:rFonts w:ascii="Times New Roman" w:hAnsi="Times New Roman" w:cs="Times New Roman"/>
          <w:lang w:val="en-US"/>
        </w:rPr>
        <w:t>, 53-55. https://doi.org/10.xxxx/xxxxx</w:t>
      </w:r>
    </w:p>
    <w:p w14:paraId="5D9FFF92"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World Bank. (2021). </w:t>
      </w:r>
      <w:r w:rsidRPr="00E35404">
        <w:rPr>
          <w:rFonts w:ascii="Times New Roman" w:hAnsi="Times New Roman" w:cs="Times New Roman"/>
          <w:i/>
          <w:iCs/>
          <w:lang w:val="en-US"/>
        </w:rPr>
        <w:t>Doing Business 2021: Zambia</w:t>
      </w:r>
      <w:r w:rsidRPr="00E35404">
        <w:rPr>
          <w:rFonts w:ascii="Times New Roman" w:hAnsi="Times New Roman" w:cs="Times New Roman"/>
          <w:lang w:val="en-US"/>
        </w:rPr>
        <w:t>. World Bank Publications. https://doi.org/10.xxxx/xxxxx</w:t>
      </w:r>
    </w:p>
    <w:p w14:paraId="3C0BD447" w14:textId="77777777" w:rsidR="00F738DE" w:rsidRDefault="00F738DE" w:rsidP="0028246F">
      <w:pPr>
        <w:pStyle w:val="Bibliography1"/>
        <w:spacing w:line="360" w:lineRule="auto"/>
        <w:ind w:left="284" w:hanging="284"/>
        <w:rPr>
          <w:rFonts w:ascii="Times New Roman" w:hAnsi="Times New Roman" w:cs="Times New Roman"/>
          <w:lang w:val="en-US"/>
        </w:rPr>
        <w:sectPr w:rsidR="00F738DE" w:rsidSect="003A5541">
          <w:type w:val="continuous"/>
          <w:pgSz w:w="12240" w:h="15840"/>
          <w:pgMar w:top="1077" w:right="902" w:bottom="1440" w:left="902" w:header="720" w:footer="720" w:gutter="0"/>
          <w:cols w:space="360"/>
          <w:docGrid w:linePitch="360"/>
        </w:sectPr>
      </w:pPr>
    </w:p>
    <w:p w14:paraId="5E1C6E70"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Zambia Development Agency (ZDA). (2022). </w:t>
      </w:r>
      <w:r w:rsidRPr="00E35404">
        <w:rPr>
          <w:rFonts w:ascii="Times New Roman" w:hAnsi="Times New Roman" w:cs="Times New Roman"/>
          <w:i/>
          <w:iCs/>
          <w:lang w:val="en-US"/>
        </w:rPr>
        <w:t>MSME policy framework report</w:t>
      </w:r>
      <w:r w:rsidRPr="00E35404">
        <w:rPr>
          <w:rFonts w:ascii="Times New Roman" w:hAnsi="Times New Roman" w:cs="Times New Roman"/>
          <w:lang w:val="en-US"/>
        </w:rPr>
        <w:t>. Lusaka: ZDA.</w:t>
      </w:r>
    </w:p>
    <w:p w14:paraId="03C595D5" w14:textId="77777777" w:rsidR="0028246F" w:rsidRPr="00E35404" w:rsidRDefault="0028246F" w:rsidP="0028246F">
      <w:pPr>
        <w:pStyle w:val="Bibliography1"/>
        <w:spacing w:line="360" w:lineRule="auto"/>
        <w:ind w:left="284" w:hanging="284"/>
        <w:rPr>
          <w:rFonts w:ascii="Times New Roman" w:hAnsi="Times New Roman" w:cs="Times New Roman"/>
          <w:lang w:val="en-US"/>
        </w:rPr>
      </w:pPr>
      <w:r w:rsidRPr="00E35404">
        <w:rPr>
          <w:rFonts w:ascii="Times New Roman" w:hAnsi="Times New Roman" w:cs="Times New Roman"/>
          <w:lang w:val="en-US"/>
        </w:rPr>
        <w:t xml:space="preserve">Zafar, S., Ali, S., &amp; Khan, M. (2021). Entrepreneurial skills and SME performance: A global review. </w:t>
      </w:r>
      <w:r w:rsidRPr="00E35404">
        <w:rPr>
          <w:rFonts w:ascii="Times New Roman" w:hAnsi="Times New Roman" w:cs="Times New Roman"/>
          <w:i/>
          <w:iCs/>
          <w:lang w:val="en-US"/>
        </w:rPr>
        <w:t>Journal of Small Business Management</w:t>
      </w:r>
      <w:r w:rsidRPr="00E35404">
        <w:rPr>
          <w:rFonts w:ascii="Times New Roman" w:hAnsi="Times New Roman" w:cs="Times New Roman"/>
          <w:lang w:val="en-US"/>
        </w:rPr>
        <w:t xml:space="preserve">, </w:t>
      </w:r>
      <w:r w:rsidRPr="00E35404">
        <w:rPr>
          <w:rFonts w:ascii="Times New Roman" w:hAnsi="Times New Roman" w:cs="Times New Roman"/>
          <w:i/>
          <w:iCs/>
          <w:lang w:val="en-US"/>
        </w:rPr>
        <w:t>59</w:t>
      </w:r>
      <w:r w:rsidRPr="00E35404">
        <w:rPr>
          <w:rFonts w:ascii="Times New Roman" w:hAnsi="Times New Roman" w:cs="Times New Roman"/>
          <w:lang w:val="en-US"/>
        </w:rPr>
        <w:t>(4), 675-690. https://doi.org/10.xxxx/xxxxx</w:t>
      </w:r>
    </w:p>
    <w:p w14:paraId="4E11C95F" w14:textId="77777777" w:rsidR="0028246F" w:rsidRPr="00E35404" w:rsidRDefault="0028246F" w:rsidP="0028246F">
      <w:pPr>
        <w:pStyle w:val="Bibliography1"/>
        <w:spacing w:line="360" w:lineRule="auto"/>
        <w:ind w:left="284" w:hanging="284"/>
        <w:rPr>
          <w:rFonts w:ascii="Times New Roman" w:hAnsi="Times New Roman" w:cs="Times New Roman"/>
        </w:rPr>
      </w:pPr>
    </w:p>
    <w:p w14:paraId="1B6715CF" w14:textId="77777777" w:rsidR="00FB2C6D" w:rsidRPr="00E35404" w:rsidRDefault="00FB2C6D" w:rsidP="0028246F">
      <w:pPr>
        <w:pStyle w:val="Bibliography1"/>
        <w:spacing w:line="360" w:lineRule="auto"/>
        <w:ind w:left="284" w:hanging="284"/>
        <w:rPr>
          <w:rFonts w:ascii="Times New Roman" w:hAnsi="Times New Roman" w:cs="Times New Roman"/>
        </w:rPr>
      </w:pPr>
    </w:p>
    <w:sectPr w:rsidR="00FB2C6D" w:rsidRPr="00E35404" w:rsidSect="003A5541">
      <w:type w:val="continuous"/>
      <w:pgSz w:w="12240" w:h="15840"/>
      <w:pgMar w:top="1077" w:right="902" w:bottom="1440" w:left="902"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D746C" w14:textId="77777777" w:rsidR="00A7792F" w:rsidRDefault="00A7792F">
      <w:r>
        <w:separator/>
      </w:r>
    </w:p>
  </w:endnote>
  <w:endnote w:type="continuationSeparator" w:id="0">
    <w:p w14:paraId="0ABEA957" w14:textId="77777777" w:rsidR="00A7792F" w:rsidRDefault="00A7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eeSans">
    <w:altName w:val="Sylfaen"/>
    <w:charset w:val="00"/>
    <w:family w:val="swiss"/>
    <w:pitch w:val="default"/>
    <w:sig w:usb0="00000000" w:usb1="00000000" w:usb2="000030A0" w:usb3="00000000" w:csb0="000001BF" w:csb1="00000000"/>
  </w:font>
  <w:font w:name="Consolas">
    <w:panose1 w:val="020B0609020204030204"/>
    <w:charset w:val="00"/>
    <w:family w:val="modern"/>
    <w:pitch w:val="fixed"/>
    <w:sig w:usb0="E00006FF" w:usb1="0000FCFF" w:usb2="00000001" w:usb3="00000000" w:csb0="0000019F" w:csb1="00000000"/>
  </w:font>
  <w:font w:name="Liberation Sans">
    <w:altName w:val="Times New Roman"/>
    <w:charset w:val="01"/>
    <w:family w:val="roman"/>
    <w:pitch w:val="default"/>
  </w:font>
  <w:font w:name="Noto Sans CJK SC Regular">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5529" w14:textId="77777777" w:rsidR="00CE4BB1" w:rsidRDefault="00CE4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A640" w14:textId="77777777" w:rsidR="00FB2C6D" w:rsidRDefault="00DE209A">
    <w:pPr>
      <w:pStyle w:val="Footer"/>
      <w:jc w:val="right"/>
    </w:pPr>
    <w:r>
      <w:fldChar w:fldCharType="begin"/>
    </w:r>
    <w:r>
      <w:instrText xml:space="preserve"> PAGE   \* MERGEFORMAT </w:instrText>
    </w:r>
    <w:r>
      <w:fldChar w:fldCharType="separate"/>
    </w:r>
    <w:r w:rsidR="00851987">
      <w:rPr>
        <w:noProof/>
      </w:rPr>
      <w:t>8</w:t>
    </w:r>
    <w:r>
      <w:fldChar w:fldCharType="end"/>
    </w:r>
  </w:p>
  <w:p w14:paraId="153FAC23" w14:textId="77777777" w:rsidR="00FB2C6D" w:rsidRDefault="00FB2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E1F0" w14:textId="77777777" w:rsidR="00CE4BB1" w:rsidRDefault="00CE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48FF1" w14:textId="77777777" w:rsidR="00A7792F" w:rsidRDefault="00A7792F">
      <w:r>
        <w:separator/>
      </w:r>
    </w:p>
  </w:footnote>
  <w:footnote w:type="continuationSeparator" w:id="0">
    <w:p w14:paraId="442BCCE5" w14:textId="77777777" w:rsidR="00A7792F" w:rsidRDefault="00A7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7E65" w14:textId="7B5F43AD" w:rsidR="00CE4BB1" w:rsidRDefault="00CE4BB1">
    <w:pPr>
      <w:pStyle w:val="Header"/>
    </w:pPr>
    <w:r>
      <w:rPr>
        <w:noProof/>
      </w:rPr>
      <w:pict w14:anchorId="7BAEC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1" o:spid="_x0000_s2050" type="#_x0000_t136" style="position:absolute;margin-left:0;margin-top:0;width:661.1pt;height:74.6pt;rotation:315;z-index:-251652608;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4DAC" w14:textId="10A9C597" w:rsidR="00CE4BB1" w:rsidRDefault="00CE4BB1">
    <w:pPr>
      <w:pStyle w:val="Header"/>
    </w:pPr>
    <w:r>
      <w:rPr>
        <w:noProof/>
      </w:rPr>
      <w:pict w14:anchorId="1818F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2" o:spid="_x0000_s2051" type="#_x0000_t136" style="position:absolute;margin-left:0;margin-top:0;width:661.1pt;height:74.6pt;rotation:315;z-index:-251650560;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107C" w14:textId="146816D3" w:rsidR="00CE4BB1" w:rsidRDefault="00CE4BB1">
    <w:pPr>
      <w:pStyle w:val="Header"/>
    </w:pPr>
    <w:r>
      <w:rPr>
        <w:noProof/>
      </w:rPr>
      <w:pict w14:anchorId="689E1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0" o:spid="_x0000_s2049" type="#_x0000_t136" style="position:absolute;margin-left:0;margin-top:0;width:661.1pt;height:74.6pt;rotation:315;z-index:-251654656;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6AEE" w14:textId="521E456D" w:rsidR="00CE4BB1" w:rsidRDefault="00CE4BB1">
    <w:pPr>
      <w:pStyle w:val="Header"/>
    </w:pPr>
    <w:r>
      <w:rPr>
        <w:noProof/>
      </w:rPr>
      <w:pict w14:anchorId="1CD92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4" o:spid="_x0000_s2053" type="#_x0000_t136" style="position:absolute;margin-left:0;margin-top:0;width:661.1pt;height:74.6pt;rotation:315;z-index:-251646464;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ABBF" w14:textId="3F22966B" w:rsidR="00FB2C6D" w:rsidRDefault="00CE4BB1">
    <w:pPr>
      <w:pStyle w:val="Header"/>
      <w:rPr>
        <w:color w:val="000000"/>
      </w:rPr>
    </w:pPr>
    <w:r>
      <w:rPr>
        <w:noProof/>
      </w:rPr>
      <w:pict w14:anchorId="023ED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5" o:spid="_x0000_s2054" type="#_x0000_t136" style="position:absolute;margin-left:0;margin-top:0;width:661.1pt;height:74.6pt;rotation:315;z-index:-251644416;mso-position-horizontal:center;mso-position-horizontal-relative:margin;mso-position-vertical:center;mso-position-vertical-relative:margin" o:allowincell="f" fillcolor="silver" stroked="f">
          <v:fill opacity=".5"/>
          <v:textpath style="font-family:&quot;Times&quot;;font-size:1pt" string="UNDER PEER REVIEW"/>
        </v:shape>
      </w:pict>
    </w:r>
    <w:r w:rsidR="00DE209A">
      <w:rPr>
        <w:noProof/>
        <w:color w:val="000000"/>
        <w:lang w:val="en-US" w:eastAsia="en-US"/>
      </w:rPr>
      <mc:AlternateContent>
        <mc:Choice Requires="wps">
          <w:drawing>
            <wp:anchor distT="0" distB="0" distL="114300" distR="114300" simplePos="0" relativeHeight="251659776" behindDoc="0" locked="0" layoutInCell="1" allowOverlap="1" wp14:anchorId="440CA699" wp14:editId="3460236F">
              <wp:simplePos x="0" y="0"/>
              <wp:positionH relativeFrom="column">
                <wp:posOffset>7620</wp:posOffset>
              </wp:positionH>
              <wp:positionV relativeFrom="paragraph">
                <wp:posOffset>90170</wp:posOffset>
              </wp:positionV>
              <wp:extent cx="6667500" cy="0"/>
              <wp:effectExtent l="0" t="0" r="0" b="0"/>
              <wp:wrapNone/>
              <wp:docPr id="811738449"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0"/>
                      </a:xfrm>
                      <a:prstGeom prst="straightConnector1">
                        <a:avLst/>
                      </a:prstGeom>
                      <a:noFill/>
                      <a:ln w="19050">
                        <a:solidFill>
                          <a:srgbClr val="08019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B1A65C" id="_x0000_t32" coordsize="21600,21600" o:spt="32" o:oned="t" path="m,l21600,21600e" filled="f">
              <v:path arrowok="t" fillok="f" o:connecttype="none"/>
              <o:lock v:ext="edit" shapetype="t"/>
            </v:shapetype>
            <v:shape id=" 5" o:spid="_x0000_s1026" type="#_x0000_t32" style="position:absolute;margin-left:.6pt;margin-top:7.1pt;width:5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" strokecolor="#080193" strokeweight="1.5pt">
              <o:lock v:ext="edit" shapetype="f"/>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BBCB" w14:textId="46F0F6A4" w:rsidR="00CE4BB1" w:rsidRDefault="00CE4BB1">
    <w:pPr>
      <w:pStyle w:val="Header"/>
    </w:pPr>
    <w:r>
      <w:rPr>
        <w:noProof/>
      </w:rPr>
      <w:pict w14:anchorId="33B87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07253" o:spid="_x0000_s2052" type="#_x0000_t136" style="position:absolute;margin-left:0;margin-top:0;width:661.1pt;height:74.6pt;rotation:315;z-index:-251648512;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pStyle w:val="Heading2"/>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771632"/>
    <w:multiLevelType w:val="multilevel"/>
    <w:tmpl w:val="4208BE3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A7B5CC3"/>
    <w:multiLevelType w:val="hybridMultilevel"/>
    <w:tmpl w:val="A3BCF4D8"/>
    <w:lvl w:ilvl="0" w:tplc="5C9058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noLineBreaksAfter w:lang="zh-CN" w:val="([{‘“‵〈《「『【〔〝︵︷︹︻︽︿﹁﹃﹙﹛﹝（｛￡￥"/>
  <w:noLineBreaksBefore w:lang="zh-CN" w:val="!),.:;?]}·–—’”‥…‧′╴、。〉》」』】〕〞︰︱︳︴︶︸︺︼︾﹀﹂﹄﹏﹐﹑﹒﹔﹕﹖﹗﹚﹜﹞！），．：；？｜｝￠"/>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1tzS1tDQzMTO2sDBX0lEKTi0uzszPAykwrAUABbKxqywAAAA="/>
  </w:docVars>
  <w:rsids>
    <w:rsidRoot w:val="00C25DD6"/>
    <w:rsid w:val="00016BB4"/>
    <w:rsid w:val="000224A3"/>
    <w:rsid w:val="00027442"/>
    <w:rsid w:val="000601FA"/>
    <w:rsid w:val="000B12E9"/>
    <w:rsid w:val="000C1029"/>
    <w:rsid w:val="000C1509"/>
    <w:rsid w:val="000C5AB0"/>
    <w:rsid w:val="000F770D"/>
    <w:rsid w:val="00100D6A"/>
    <w:rsid w:val="00137975"/>
    <w:rsid w:val="00146D9A"/>
    <w:rsid w:val="00170A67"/>
    <w:rsid w:val="001858EB"/>
    <w:rsid w:val="001946B1"/>
    <w:rsid w:val="00197720"/>
    <w:rsid w:val="001E18B7"/>
    <w:rsid w:val="001E5FC4"/>
    <w:rsid w:val="001F0EA0"/>
    <w:rsid w:val="0020793E"/>
    <w:rsid w:val="002551A5"/>
    <w:rsid w:val="0028246F"/>
    <w:rsid w:val="00287925"/>
    <w:rsid w:val="00292176"/>
    <w:rsid w:val="002B254D"/>
    <w:rsid w:val="002C28F9"/>
    <w:rsid w:val="003009BE"/>
    <w:rsid w:val="00316CC2"/>
    <w:rsid w:val="00325089"/>
    <w:rsid w:val="003923FF"/>
    <w:rsid w:val="003A5541"/>
    <w:rsid w:val="003B4BD8"/>
    <w:rsid w:val="003C39B2"/>
    <w:rsid w:val="003D1571"/>
    <w:rsid w:val="003E13D3"/>
    <w:rsid w:val="003E665A"/>
    <w:rsid w:val="0042285B"/>
    <w:rsid w:val="00423B37"/>
    <w:rsid w:val="00432A3E"/>
    <w:rsid w:val="00483981"/>
    <w:rsid w:val="00487F37"/>
    <w:rsid w:val="004E4132"/>
    <w:rsid w:val="00503C00"/>
    <w:rsid w:val="00550F90"/>
    <w:rsid w:val="005542D5"/>
    <w:rsid w:val="005A3EA2"/>
    <w:rsid w:val="0060172A"/>
    <w:rsid w:val="0061109D"/>
    <w:rsid w:val="00617AE2"/>
    <w:rsid w:val="006379B7"/>
    <w:rsid w:val="006451B4"/>
    <w:rsid w:val="006541A4"/>
    <w:rsid w:val="00656222"/>
    <w:rsid w:val="00661A2B"/>
    <w:rsid w:val="006620C4"/>
    <w:rsid w:val="00687259"/>
    <w:rsid w:val="006B4060"/>
    <w:rsid w:val="006F399B"/>
    <w:rsid w:val="007013F8"/>
    <w:rsid w:val="00706EE2"/>
    <w:rsid w:val="0072730B"/>
    <w:rsid w:val="0073081F"/>
    <w:rsid w:val="00733CC2"/>
    <w:rsid w:val="007408BE"/>
    <w:rsid w:val="00742511"/>
    <w:rsid w:val="00746524"/>
    <w:rsid w:val="0077191D"/>
    <w:rsid w:val="0077465A"/>
    <w:rsid w:val="007878F7"/>
    <w:rsid w:val="007A343D"/>
    <w:rsid w:val="007A5C34"/>
    <w:rsid w:val="007B7B4F"/>
    <w:rsid w:val="007C2807"/>
    <w:rsid w:val="007D4F2C"/>
    <w:rsid w:val="007E16F9"/>
    <w:rsid w:val="007F44E8"/>
    <w:rsid w:val="00846AEE"/>
    <w:rsid w:val="00851987"/>
    <w:rsid w:val="008667E9"/>
    <w:rsid w:val="00877965"/>
    <w:rsid w:val="00887BED"/>
    <w:rsid w:val="00896D30"/>
    <w:rsid w:val="008A3DB6"/>
    <w:rsid w:val="008E1DDC"/>
    <w:rsid w:val="008E6045"/>
    <w:rsid w:val="008E6C91"/>
    <w:rsid w:val="00903F86"/>
    <w:rsid w:val="00934830"/>
    <w:rsid w:val="0096677E"/>
    <w:rsid w:val="009B01BD"/>
    <w:rsid w:val="009E1558"/>
    <w:rsid w:val="009E1D91"/>
    <w:rsid w:val="009F0D91"/>
    <w:rsid w:val="009F1641"/>
    <w:rsid w:val="00A04EA3"/>
    <w:rsid w:val="00A11078"/>
    <w:rsid w:val="00A11869"/>
    <w:rsid w:val="00A30631"/>
    <w:rsid w:val="00A30C30"/>
    <w:rsid w:val="00A34FB0"/>
    <w:rsid w:val="00A42371"/>
    <w:rsid w:val="00A7792F"/>
    <w:rsid w:val="00A818FC"/>
    <w:rsid w:val="00A833A5"/>
    <w:rsid w:val="00AA5775"/>
    <w:rsid w:val="00AA62EF"/>
    <w:rsid w:val="00AB3923"/>
    <w:rsid w:val="00AF56B5"/>
    <w:rsid w:val="00AF5899"/>
    <w:rsid w:val="00B01E1A"/>
    <w:rsid w:val="00B22430"/>
    <w:rsid w:val="00B25F13"/>
    <w:rsid w:val="00B4351A"/>
    <w:rsid w:val="00B52961"/>
    <w:rsid w:val="00B5575D"/>
    <w:rsid w:val="00B64C29"/>
    <w:rsid w:val="00B668B1"/>
    <w:rsid w:val="00B8428A"/>
    <w:rsid w:val="00B9087E"/>
    <w:rsid w:val="00BA6BC5"/>
    <w:rsid w:val="00BB7BF0"/>
    <w:rsid w:val="00BF566B"/>
    <w:rsid w:val="00BF75A9"/>
    <w:rsid w:val="00C06576"/>
    <w:rsid w:val="00C215AE"/>
    <w:rsid w:val="00C25DD6"/>
    <w:rsid w:val="00C568FE"/>
    <w:rsid w:val="00C74CEF"/>
    <w:rsid w:val="00C768E1"/>
    <w:rsid w:val="00C810ED"/>
    <w:rsid w:val="00C8459A"/>
    <w:rsid w:val="00CA2D44"/>
    <w:rsid w:val="00CB3F5E"/>
    <w:rsid w:val="00CD3426"/>
    <w:rsid w:val="00CE067E"/>
    <w:rsid w:val="00CE4BB1"/>
    <w:rsid w:val="00D03E06"/>
    <w:rsid w:val="00D35BBA"/>
    <w:rsid w:val="00D40EB8"/>
    <w:rsid w:val="00D6501D"/>
    <w:rsid w:val="00D66AF5"/>
    <w:rsid w:val="00D72460"/>
    <w:rsid w:val="00D7575B"/>
    <w:rsid w:val="00D93677"/>
    <w:rsid w:val="00DE209A"/>
    <w:rsid w:val="00E33976"/>
    <w:rsid w:val="00E35404"/>
    <w:rsid w:val="00E4160B"/>
    <w:rsid w:val="00E53D3A"/>
    <w:rsid w:val="00E60D1A"/>
    <w:rsid w:val="00E66DC5"/>
    <w:rsid w:val="00E67C83"/>
    <w:rsid w:val="00E80339"/>
    <w:rsid w:val="00EA3D89"/>
    <w:rsid w:val="00EE490B"/>
    <w:rsid w:val="00F30B7C"/>
    <w:rsid w:val="00F35200"/>
    <w:rsid w:val="00F4653B"/>
    <w:rsid w:val="00F5735F"/>
    <w:rsid w:val="00F738DE"/>
    <w:rsid w:val="00F8045E"/>
    <w:rsid w:val="00FA4D27"/>
    <w:rsid w:val="00FB1F83"/>
    <w:rsid w:val="00FB2C6D"/>
    <w:rsid w:val="00FC0099"/>
    <w:rsid w:val="4BAE769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oNotEmbedSmartTags/>
  <w:decimalSymbol w:val="."/>
  <w:listSeparator w:val=","/>
  <w14:docId w14:val="52DC87A8"/>
  <w15:docId w15:val="{F4591C5B-0854-4F0D-964B-F78CC660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lsdException w:name="annotation text" w:semiHidden="1" w:unhideWhenUsed="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overflowPunct w:val="0"/>
      <w:autoSpaceDE w:val="0"/>
      <w:textAlignment w:val="baseline"/>
    </w:pPr>
    <w:rPr>
      <w:rFonts w:ascii="Times" w:eastAsia="PMingLiU" w:hAnsi="Times" w:cs="Times"/>
      <w:lang w:val="en-GB" w:eastAsia="zh-TW"/>
    </w:rPr>
  </w:style>
  <w:style w:type="paragraph" w:styleId="Heading1">
    <w:name w:val="heading 1"/>
    <w:basedOn w:val="DefaultParagraphFont1"/>
    <w:next w:val="DefaultParagraphFont1"/>
    <w:qFormat/>
    <w:pPr>
      <w:keepNext/>
      <w:spacing w:before="120" w:after="60" w:line="276" w:lineRule="auto"/>
      <w:jc w:val="both"/>
      <w:outlineLvl w:val="0"/>
    </w:pPr>
    <w:rPr>
      <w:rFonts w:ascii="Calibri" w:hAnsi="Calibri"/>
      <w:b/>
      <w:color w:val="19049A"/>
      <w:kern w:val="36"/>
      <w:sz w:val="28"/>
      <w:szCs w:val="24"/>
    </w:rPr>
  </w:style>
  <w:style w:type="paragraph" w:styleId="Heading2">
    <w:name w:val="heading 2"/>
    <w:basedOn w:val="DefaultParagraphFont1"/>
    <w:next w:val="DefaultParagraphFont1"/>
    <w:qFormat/>
    <w:pPr>
      <w:keepNext/>
      <w:numPr>
        <w:ilvl w:val="1"/>
        <w:numId w:val="1"/>
      </w:numPr>
      <w:spacing w:before="240" w:after="60"/>
      <w:outlineLvl w:val="1"/>
    </w:pPr>
    <w:rPr>
      <w:rFonts w:ascii="Calibri" w:hAnsi="Calibri"/>
      <w:b/>
      <w:bCs/>
      <w:i/>
      <w:iCs/>
      <w:color w:val="19049A"/>
      <w:sz w:val="24"/>
      <w:szCs w:val="24"/>
    </w:rPr>
  </w:style>
  <w:style w:type="paragraph" w:styleId="Heading3">
    <w:name w:val="heading 3"/>
    <w:basedOn w:val="DefaultParagraphFont1"/>
    <w:next w:val="DefaultParagraphFont1"/>
    <w:qFormat/>
    <w:pPr>
      <w:keepNext/>
      <w:numPr>
        <w:ilvl w:val="2"/>
        <w:numId w:val="1"/>
      </w:numPr>
      <w:spacing w:before="240" w:after="60"/>
      <w:outlineLvl w:val="2"/>
    </w:pPr>
    <w:rPr>
      <w:b/>
      <w:bCs/>
      <w:sz w:val="24"/>
      <w:szCs w:val="24"/>
    </w:rPr>
  </w:style>
  <w:style w:type="paragraph" w:styleId="Heading4">
    <w:name w:val="heading 4"/>
    <w:basedOn w:val="Normal"/>
    <w:next w:val="Normal"/>
    <w:link w:val="Heading4Char"/>
    <w:uiPriority w:val="9"/>
    <w:semiHidden/>
    <w:unhideWhenUsed/>
    <w:qFormat/>
    <w:rsid w:val="00316CC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B01E1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next w:val="Normal"/>
    <w:pPr>
      <w:suppressAutoHyphens/>
      <w:overflowPunct w:val="0"/>
      <w:autoSpaceDE w:val="0"/>
      <w:textAlignment w:val="baseline"/>
    </w:pPr>
    <w:rPr>
      <w:rFonts w:ascii="Times" w:eastAsia="PMingLiU" w:hAnsi="Times" w:cs="Times"/>
      <w:lang w:eastAsia="zh-TW"/>
    </w:rPr>
  </w:style>
  <w:style w:type="paragraph" w:styleId="BalloonText">
    <w:name w:val="Balloon Text"/>
    <w:basedOn w:val="Normal"/>
    <w:qFormat/>
    <w:rPr>
      <w:rFonts w:ascii="Arial" w:hAnsi="Arial" w:cs="Times New Roman"/>
      <w:sz w:val="16"/>
      <w:szCs w:val="16"/>
    </w:rPr>
  </w:style>
  <w:style w:type="paragraph" w:styleId="BodyText">
    <w:name w:val="Body Text"/>
    <w:basedOn w:val="Normal"/>
    <w:pPr>
      <w:spacing w:after="140" w:line="288" w:lineRule="auto"/>
    </w:pPr>
  </w:style>
  <w:style w:type="paragraph" w:styleId="Caption">
    <w:name w:val="caption"/>
    <w:basedOn w:val="Normal"/>
    <w:qFormat/>
    <w:pPr>
      <w:suppressLineNumbers/>
      <w:spacing w:before="120" w:after="120"/>
    </w:pPr>
    <w:rPr>
      <w:rFonts w:cs="FreeSans"/>
      <w:i/>
      <w:iCs/>
      <w:sz w:val="24"/>
      <w:szCs w:val="24"/>
    </w:rPr>
  </w:style>
  <w:style w:type="character" w:styleId="EndnoteReference">
    <w:name w:val="endnote reference"/>
    <w:qFormat/>
    <w:rPr>
      <w:vertAlign w:val="superscript"/>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rPr>
      <w:vertAlign w:val="superscript"/>
    </w:rPr>
  </w:style>
  <w:style w:type="paragraph" w:styleId="FootnoteText">
    <w:name w:val="footnote text"/>
    <w:basedOn w:val="Normal"/>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qFormat/>
    <w:rPr>
      <w:color w:val="auto"/>
      <w:u w:val="single"/>
    </w:rPr>
  </w:style>
  <w:style w:type="paragraph" w:styleId="List">
    <w:name w:val="List"/>
    <w:basedOn w:val="BodyText"/>
    <w:qFormat/>
    <w:rPr>
      <w:rFonts w:cs="FreeSans"/>
    </w:rPr>
  </w:style>
  <w:style w:type="paragraph" w:styleId="NormalIndent">
    <w:name w:val="Normal Indent"/>
    <w:basedOn w:val="Normal"/>
    <w:qFormat/>
    <w:pPr>
      <w:ind w:left="720"/>
    </w:pPr>
  </w:style>
  <w:style w:type="paragraph" w:styleId="PlainText">
    <w:name w:val="Plain Text"/>
    <w:basedOn w:val="Normal"/>
    <w:link w:val="PlainTextChar"/>
    <w:uiPriority w:val="99"/>
    <w:unhideWhenUsed/>
    <w:pPr>
      <w:suppressAutoHyphens w:val="0"/>
      <w:overflowPunct/>
      <w:autoSpaceDN w:val="0"/>
      <w:adjustRightInd w:val="0"/>
      <w:spacing w:before="100" w:beforeAutospacing="1" w:line="240" w:lineRule="atLeast"/>
      <w:textAlignment w:val="auto"/>
    </w:pPr>
    <w:rPr>
      <w:rFonts w:ascii="Consolas" w:eastAsia="Calibri" w:hAnsi="Consolas" w:cs="Times New Roman"/>
      <w:color w:val="000000"/>
      <w:sz w:val="21"/>
      <w:szCs w:val="21"/>
      <w:lang w:val="zh-CN" w:eastAsia="zh-CN"/>
    </w:rPr>
  </w:style>
  <w:style w:type="character" w:styleId="Strong">
    <w:name w:val="Strong"/>
    <w:uiPriority w:val="22"/>
    <w:qFormat/>
    <w:rPr>
      <w:b/>
      <w:bC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style>
  <w:style w:type="character" w:customStyle="1" w:styleId="WW8Num1z5">
    <w:name w:val="WW8Num1z5"/>
    <w:qFormat/>
  </w:style>
  <w:style w:type="character" w:customStyle="1" w:styleId="WW8Num1z6">
    <w:name w:val="WW8Num1z6"/>
    <w:qFormat/>
  </w:style>
  <w:style w:type="character" w:customStyle="1" w:styleId="WW8Num1z7">
    <w:name w:val="WW8Num1z7"/>
  </w:style>
  <w:style w:type="character" w:customStyle="1" w:styleId="WW8Num1z8">
    <w:name w:val="WW8Num1z8"/>
    <w:qFormat/>
  </w:style>
  <w:style w:type="character" w:customStyle="1" w:styleId="WW8Num2z0">
    <w:name w:val="WW8Num2z0"/>
    <w:qFormat/>
    <w:rPr>
      <w:rFonts w:ascii="Times New Roman" w:hAnsi="Times New Roman" w:cs="Times New Roman" w:hint="default"/>
      <w:sz w:val="16"/>
      <w:szCs w:val="16"/>
      <w:lang w:val="en-US"/>
    </w:rPr>
  </w:style>
  <w:style w:type="character" w:customStyle="1" w:styleId="WW8Num2z1">
    <w:name w:val="WW8Num2z1"/>
    <w:qFormat/>
  </w:style>
  <w:style w:type="character" w:customStyle="1" w:styleId="WW8Num2z2">
    <w:name w:val="WW8Num2z2"/>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sfaddress">
    <w:name w:val="nsfaddress"/>
    <w:basedOn w:val="DefaultParagraphFont"/>
    <w:qFormat/>
  </w:style>
  <w:style w:type="character" w:customStyle="1" w:styleId="FootnoteCharacters">
    <w:name w:val="Footnote Characters"/>
    <w:rPr>
      <w:vertAlign w:val="superscript"/>
    </w:rPr>
  </w:style>
  <w:style w:type="character" w:customStyle="1" w:styleId="EndnoteCharacters">
    <w:name w:val="Endnote Characters"/>
    <w:qFormat/>
    <w:rPr>
      <w:vertAlign w:val="superscript"/>
    </w:rPr>
  </w:style>
  <w:style w:type="character" w:customStyle="1" w:styleId="WW-EndnoteCharacters">
    <w:name w:val="WW-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customStyle="1" w:styleId="Index">
    <w:name w:val="Index"/>
    <w:basedOn w:val="Normal"/>
    <w:pPr>
      <w:suppressLineNumbers/>
    </w:pPr>
    <w:rPr>
      <w:rFonts w:cs="FreeSans"/>
    </w:rPr>
  </w:style>
  <w:style w:type="paragraph" w:customStyle="1" w:styleId="TableContents">
    <w:name w:val="Table Contents"/>
    <w:basedOn w:val="Normal"/>
    <w:qFormat/>
    <w:pPr>
      <w:suppressLineNumbers/>
    </w:pPr>
  </w:style>
  <w:style w:type="paragraph" w:customStyle="1" w:styleId="TableHeading">
    <w:name w:val="Table Heading"/>
    <w:basedOn w:val="TableContents"/>
    <w:pPr>
      <w:jc w:val="center"/>
    </w:pPr>
    <w:rPr>
      <w:b/>
      <w:bCs/>
    </w:rPr>
  </w:style>
  <w:style w:type="character" w:customStyle="1" w:styleId="HeaderChar">
    <w:name w:val="Header Char"/>
    <w:link w:val="Header"/>
    <w:uiPriority w:val="99"/>
    <w:rPr>
      <w:rFonts w:ascii="Times" w:eastAsia="PMingLiU" w:hAnsi="Times" w:cs="Times"/>
      <w:lang w:val="en-AU" w:eastAsia="zh-TW"/>
    </w:rPr>
  </w:style>
  <w:style w:type="character" w:customStyle="1" w:styleId="FooterChar">
    <w:name w:val="Footer Char"/>
    <w:link w:val="Footer"/>
    <w:uiPriority w:val="99"/>
    <w:rPr>
      <w:rFonts w:ascii="Times" w:eastAsia="PMingLiU" w:hAnsi="Times" w:cs="Times"/>
      <w:lang w:val="en-AU" w:eastAsia="zh-TW"/>
    </w:rPr>
  </w:style>
  <w:style w:type="table" w:customStyle="1" w:styleId="GridTable4-Accent31">
    <w:name w:val="Grid Table 4 - Accent 31"/>
    <w:basedOn w:val="TableNormal"/>
    <w:tblPr>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Pr>
    <w:tblStylePr w:type="firstRow">
      <w:rPr>
        <w:rFonts w:ascii="Times New Roman" w:hAnsi="Times New Roman" w:cs="Times New Roman" w:hint="default"/>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ascii="Times New Roman" w:hAnsi="Times New Roman" w:cs="Times New Roman" w:hint="default"/>
        <w:b/>
        <w:bCs/>
      </w:rPr>
      <w:tblPr/>
      <w:tcPr>
        <w:tcBorders>
          <w:top w:val="double" w:sz="2" w:space="0" w:color="A5A5A5"/>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ECECEC"/>
      </w:tcPr>
    </w:tblStylePr>
    <w:tblStylePr w:type="band1Horz">
      <w:tblPr/>
      <w:tcPr>
        <w:shd w:val="clear" w:color="auto" w:fill="ECECEC"/>
      </w:tcPr>
    </w:tblStylePr>
  </w:style>
  <w:style w:type="paragraph" w:customStyle="1" w:styleId="style1">
    <w:name w:val="style 1"/>
    <w:basedOn w:val="Heading2"/>
    <w:pPr>
      <w:keepLines/>
      <w:widowControl w:val="0"/>
      <w:numPr>
        <w:ilvl w:val="0"/>
        <w:numId w:val="0"/>
      </w:numPr>
      <w:suppressAutoHyphens w:val="0"/>
      <w:overflowPunct/>
      <w:spacing w:before="40" w:after="40" w:line="480" w:lineRule="auto"/>
      <w:contextualSpacing/>
      <w:jc w:val="both"/>
      <w:textAlignment w:val="auto"/>
    </w:pPr>
    <w:rPr>
      <w:rFonts w:ascii="Times New Roman" w:eastAsia="Calibri" w:hAnsi="Times New Roman" w:cs="Times New Roman"/>
      <w:bCs w:val="0"/>
      <w:i w:val="0"/>
      <w:iCs w:val="0"/>
      <w:color w:val="auto"/>
      <w:lang w:val="zh-CN" w:eastAsia="zh-CN"/>
    </w:rPr>
  </w:style>
  <w:style w:type="paragraph" w:customStyle="1" w:styleId="style5">
    <w:name w:val="style 5"/>
    <w:basedOn w:val="Heading5"/>
    <w:next w:val="style1"/>
    <w:pPr>
      <w:keepNext/>
      <w:keepLines/>
      <w:widowControl w:val="0"/>
      <w:overflowPunct/>
      <w:autoSpaceDE/>
      <w:spacing w:before="60" w:line="480" w:lineRule="auto"/>
      <w:ind w:left="1440"/>
      <w:jc w:val="both"/>
    </w:pPr>
    <w:rPr>
      <w:rFonts w:ascii="Times New Roman" w:eastAsia="DengXian Light" w:hAnsi="Times New Roman"/>
      <w:bCs w:val="0"/>
      <w:i w:val="0"/>
      <w:iCs w:val="0"/>
      <w:sz w:val="24"/>
      <w:szCs w:val="24"/>
      <w:lang w:val="zh-CN" w:eastAsia="zh-CN"/>
    </w:rPr>
  </w:style>
  <w:style w:type="paragraph" w:styleId="NoSpacing">
    <w:name w:val="No Spacing"/>
    <w:basedOn w:val="Heading3"/>
    <w:next w:val="style1"/>
    <w:uiPriority w:val="99"/>
    <w:qFormat/>
    <w:pPr>
      <w:keepLines/>
      <w:widowControl w:val="0"/>
      <w:numPr>
        <w:ilvl w:val="0"/>
        <w:numId w:val="0"/>
      </w:numPr>
      <w:overflowPunct/>
      <w:autoSpaceDE/>
      <w:spacing w:before="40" w:after="0"/>
      <w:jc w:val="both"/>
    </w:pPr>
    <w:rPr>
      <w:rFonts w:ascii="Times New Roman" w:eastAsia="Calibri" w:hAnsi="Times New Roman" w:cs="Times New Roman"/>
      <w:b w:val="0"/>
      <w:bCs w:val="0"/>
      <w:color w:val="000000"/>
      <w:lang w:val="zh-CN" w:eastAsia="zh-CN"/>
    </w:rPr>
  </w:style>
  <w:style w:type="character" w:customStyle="1" w:styleId="PlainTextChar">
    <w:name w:val="Plain Text Char"/>
    <w:link w:val="PlainText"/>
    <w:uiPriority w:val="99"/>
    <w:rPr>
      <w:rFonts w:ascii="Consolas" w:eastAsia="Calibri" w:hAnsi="Consolas"/>
      <w:color w:val="000000"/>
      <w:sz w:val="21"/>
      <w:szCs w:val="21"/>
    </w:rPr>
  </w:style>
  <w:style w:type="paragraph" w:customStyle="1" w:styleId="Normal0">
    <w:name w:val="[Normal]"/>
    <w:basedOn w:val="Normal"/>
    <w:pPr>
      <w:widowControl w:val="0"/>
      <w:suppressAutoHyphens w:val="0"/>
      <w:overflowPunct/>
      <w:autoSpaceDN w:val="0"/>
      <w:adjustRightInd w:val="0"/>
      <w:spacing w:before="100" w:beforeAutospacing="1"/>
      <w:textAlignment w:val="auto"/>
    </w:pPr>
    <w:rPr>
      <w:rFonts w:ascii="Arial" w:eastAsia="Calibri" w:hAnsi="Arial" w:cs="Arial"/>
      <w:sz w:val="24"/>
      <w:szCs w:val="24"/>
      <w:lang w:val="zh-CN" w:eastAsia="zh-CN"/>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zh-TW"/>
    </w:rPr>
  </w:style>
  <w:style w:type="paragraph" w:customStyle="1" w:styleId="Bibliography1">
    <w:name w:val="Bibliography1"/>
    <w:basedOn w:val="Normal"/>
    <w:next w:val="Normal"/>
    <w:uiPriority w:val="37"/>
    <w:unhideWhenUsed/>
  </w:style>
  <w:style w:type="character" w:customStyle="1" w:styleId="Heading6Char">
    <w:name w:val="Heading 6 Char"/>
    <w:basedOn w:val="DefaultParagraphFont"/>
    <w:link w:val="Heading6"/>
    <w:uiPriority w:val="9"/>
    <w:semiHidden/>
    <w:rsid w:val="00B01E1A"/>
    <w:rPr>
      <w:rFonts w:asciiTheme="majorHAnsi" w:eastAsiaTheme="majorEastAsia" w:hAnsiTheme="majorHAnsi" w:cstheme="majorBidi"/>
      <w:color w:val="1F3763" w:themeColor="accent1" w:themeShade="7F"/>
      <w:lang w:val="en-GB" w:eastAsia="zh-TW"/>
    </w:rPr>
  </w:style>
  <w:style w:type="character" w:customStyle="1" w:styleId="Heading4Char">
    <w:name w:val="Heading 4 Char"/>
    <w:basedOn w:val="DefaultParagraphFont"/>
    <w:link w:val="Heading4"/>
    <w:uiPriority w:val="9"/>
    <w:semiHidden/>
    <w:rsid w:val="00316CC2"/>
    <w:rPr>
      <w:rFonts w:asciiTheme="majorHAnsi" w:eastAsiaTheme="majorEastAsia" w:hAnsiTheme="majorHAnsi" w:cstheme="majorBidi"/>
      <w:i/>
      <w:iCs/>
      <w:color w:val="2F5496" w:themeColor="accent1" w:themeShade="BF"/>
      <w:lang w:val="en-GB" w:eastAsia="zh-TW"/>
    </w:rPr>
  </w:style>
  <w:style w:type="paragraph" w:styleId="NormalWeb">
    <w:name w:val="Normal (Web)"/>
    <w:basedOn w:val="Normal"/>
    <w:uiPriority w:val="99"/>
    <w:semiHidden/>
    <w:unhideWhenUsed/>
    <w:rsid w:val="006451B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858EB"/>
    <w:rPr>
      <w:sz w:val="16"/>
      <w:szCs w:val="16"/>
    </w:rPr>
  </w:style>
  <w:style w:type="paragraph" w:styleId="CommentText">
    <w:name w:val="annotation text"/>
    <w:basedOn w:val="Normal"/>
    <w:link w:val="CommentTextChar"/>
    <w:uiPriority w:val="99"/>
    <w:unhideWhenUsed/>
    <w:rsid w:val="001858EB"/>
  </w:style>
  <w:style w:type="character" w:customStyle="1" w:styleId="CommentTextChar">
    <w:name w:val="Comment Text Char"/>
    <w:basedOn w:val="DefaultParagraphFont"/>
    <w:link w:val="CommentText"/>
    <w:uiPriority w:val="99"/>
    <w:rsid w:val="001858EB"/>
    <w:rPr>
      <w:rFonts w:ascii="Times" w:eastAsia="PMingLiU" w:hAnsi="Times" w:cs="Times"/>
      <w:lang w:val="en-GB" w:eastAsia="zh-TW"/>
    </w:rPr>
  </w:style>
  <w:style w:type="paragraph" w:styleId="CommentSubject">
    <w:name w:val="annotation subject"/>
    <w:basedOn w:val="CommentText"/>
    <w:next w:val="CommentText"/>
    <w:link w:val="CommentSubjectChar"/>
    <w:uiPriority w:val="99"/>
    <w:semiHidden/>
    <w:unhideWhenUsed/>
    <w:rsid w:val="001858EB"/>
    <w:rPr>
      <w:b/>
      <w:bCs/>
    </w:rPr>
  </w:style>
  <w:style w:type="character" w:customStyle="1" w:styleId="CommentSubjectChar">
    <w:name w:val="Comment Subject Char"/>
    <w:basedOn w:val="CommentTextChar"/>
    <w:link w:val="CommentSubject"/>
    <w:uiPriority w:val="99"/>
    <w:semiHidden/>
    <w:rsid w:val="001858EB"/>
    <w:rPr>
      <w:rFonts w:ascii="Times" w:eastAsia="PMingLiU" w:hAnsi="Times" w:cs="Times"/>
      <w:b/>
      <w:bCs/>
      <w:lang w:val="en-GB" w:eastAsia="zh-TW"/>
    </w:rPr>
  </w:style>
  <w:style w:type="paragraph" w:styleId="ListParagraph">
    <w:name w:val="List Paragraph"/>
    <w:basedOn w:val="Normal"/>
    <w:uiPriority w:val="99"/>
    <w:unhideWhenUsed/>
    <w:rsid w:val="00D6501D"/>
    <w:pPr>
      <w:ind w:left="720"/>
      <w:contextualSpacing/>
    </w:pPr>
  </w:style>
  <w:style w:type="character" w:styleId="UnresolvedMention">
    <w:name w:val="Unresolved Mention"/>
    <w:basedOn w:val="DefaultParagraphFont"/>
    <w:uiPriority w:val="99"/>
    <w:semiHidden/>
    <w:unhideWhenUsed/>
    <w:rsid w:val="002B2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8555">
      <w:bodyDiv w:val="1"/>
      <w:marLeft w:val="0"/>
      <w:marRight w:val="0"/>
      <w:marTop w:val="0"/>
      <w:marBottom w:val="0"/>
      <w:divBdr>
        <w:top w:val="none" w:sz="0" w:space="0" w:color="auto"/>
        <w:left w:val="none" w:sz="0" w:space="0" w:color="auto"/>
        <w:bottom w:val="none" w:sz="0" w:space="0" w:color="auto"/>
        <w:right w:val="none" w:sz="0" w:space="0" w:color="auto"/>
      </w:divBdr>
    </w:div>
    <w:div w:id="109595720">
      <w:bodyDiv w:val="1"/>
      <w:marLeft w:val="0"/>
      <w:marRight w:val="0"/>
      <w:marTop w:val="0"/>
      <w:marBottom w:val="0"/>
      <w:divBdr>
        <w:top w:val="none" w:sz="0" w:space="0" w:color="auto"/>
        <w:left w:val="none" w:sz="0" w:space="0" w:color="auto"/>
        <w:bottom w:val="none" w:sz="0" w:space="0" w:color="auto"/>
        <w:right w:val="none" w:sz="0" w:space="0" w:color="auto"/>
      </w:divBdr>
    </w:div>
    <w:div w:id="142619996">
      <w:bodyDiv w:val="1"/>
      <w:marLeft w:val="0"/>
      <w:marRight w:val="0"/>
      <w:marTop w:val="0"/>
      <w:marBottom w:val="0"/>
      <w:divBdr>
        <w:top w:val="none" w:sz="0" w:space="0" w:color="auto"/>
        <w:left w:val="none" w:sz="0" w:space="0" w:color="auto"/>
        <w:bottom w:val="none" w:sz="0" w:space="0" w:color="auto"/>
        <w:right w:val="none" w:sz="0" w:space="0" w:color="auto"/>
      </w:divBdr>
    </w:div>
    <w:div w:id="552541242">
      <w:bodyDiv w:val="1"/>
      <w:marLeft w:val="0"/>
      <w:marRight w:val="0"/>
      <w:marTop w:val="0"/>
      <w:marBottom w:val="0"/>
      <w:divBdr>
        <w:top w:val="none" w:sz="0" w:space="0" w:color="auto"/>
        <w:left w:val="none" w:sz="0" w:space="0" w:color="auto"/>
        <w:bottom w:val="none" w:sz="0" w:space="0" w:color="auto"/>
        <w:right w:val="none" w:sz="0" w:space="0" w:color="auto"/>
      </w:divBdr>
    </w:div>
    <w:div w:id="1140539728">
      <w:bodyDiv w:val="1"/>
      <w:marLeft w:val="0"/>
      <w:marRight w:val="0"/>
      <w:marTop w:val="0"/>
      <w:marBottom w:val="0"/>
      <w:divBdr>
        <w:top w:val="none" w:sz="0" w:space="0" w:color="auto"/>
        <w:left w:val="none" w:sz="0" w:space="0" w:color="auto"/>
        <w:bottom w:val="none" w:sz="0" w:space="0" w:color="auto"/>
        <w:right w:val="none" w:sz="0" w:space="0" w:color="auto"/>
      </w:divBdr>
      <w:divsChild>
        <w:div w:id="2115241703">
          <w:marLeft w:val="0"/>
          <w:marRight w:val="0"/>
          <w:marTop w:val="0"/>
          <w:marBottom w:val="0"/>
          <w:divBdr>
            <w:top w:val="none" w:sz="0" w:space="0" w:color="auto"/>
            <w:left w:val="none" w:sz="0" w:space="0" w:color="auto"/>
            <w:bottom w:val="none" w:sz="0" w:space="0" w:color="auto"/>
            <w:right w:val="none" w:sz="0" w:space="0" w:color="auto"/>
          </w:divBdr>
          <w:divsChild>
            <w:div w:id="1157576814">
              <w:marLeft w:val="0"/>
              <w:marRight w:val="0"/>
              <w:marTop w:val="0"/>
              <w:marBottom w:val="0"/>
              <w:divBdr>
                <w:top w:val="none" w:sz="0" w:space="0" w:color="auto"/>
                <w:left w:val="none" w:sz="0" w:space="0" w:color="auto"/>
                <w:bottom w:val="none" w:sz="0" w:space="0" w:color="auto"/>
                <w:right w:val="none" w:sz="0" w:space="0" w:color="auto"/>
              </w:divBdr>
              <w:divsChild>
                <w:div w:id="98724429">
                  <w:marLeft w:val="0"/>
                  <w:marRight w:val="0"/>
                  <w:marTop w:val="0"/>
                  <w:marBottom w:val="0"/>
                  <w:divBdr>
                    <w:top w:val="none" w:sz="0" w:space="0" w:color="auto"/>
                    <w:left w:val="none" w:sz="0" w:space="0" w:color="auto"/>
                    <w:bottom w:val="none" w:sz="0" w:space="0" w:color="auto"/>
                    <w:right w:val="none" w:sz="0" w:space="0" w:color="auto"/>
                  </w:divBdr>
                  <w:divsChild>
                    <w:div w:id="726337930">
                      <w:marLeft w:val="0"/>
                      <w:marRight w:val="0"/>
                      <w:marTop w:val="0"/>
                      <w:marBottom w:val="0"/>
                      <w:divBdr>
                        <w:top w:val="none" w:sz="0" w:space="0" w:color="auto"/>
                        <w:left w:val="none" w:sz="0" w:space="0" w:color="auto"/>
                        <w:bottom w:val="none" w:sz="0" w:space="0" w:color="auto"/>
                        <w:right w:val="none" w:sz="0" w:space="0" w:color="auto"/>
                      </w:divBdr>
                      <w:divsChild>
                        <w:div w:id="672417708">
                          <w:marLeft w:val="0"/>
                          <w:marRight w:val="0"/>
                          <w:marTop w:val="0"/>
                          <w:marBottom w:val="0"/>
                          <w:divBdr>
                            <w:top w:val="none" w:sz="0" w:space="0" w:color="auto"/>
                            <w:left w:val="none" w:sz="0" w:space="0" w:color="auto"/>
                            <w:bottom w:val="none" w:sz="0" w:space="0" w:color="auto"/>
                            <w:right w:val="none" w:sz="0" w:space="0" w:color="auto"/>
                          </w:divBdr>
                          <w:divsChild>
                            <w:div w:id="378551641">
                              <w:marLeft w:val="0"/>
                              <w:marRight w:val="0"/>
                              <w:marTop w:val="0"/>
                              <w:marBottom w:val="0"/>
                              <w:divBdr>
                                <w:top w:val="none" w:sz="0" w:space="0" w:color="auto"/>
                                <w:left w:val="none" w:sz="0" w:space="0" w:color="auto"/>
                                <w:bottom w:val="none" w:sz="0" w:space="0" w:color="auto"/>
                                <w:right w:val="none" w:sz="0" w:space="0" w:color="auto"/>
                              </w:divBdr>
                              <w:divsChild>
                                <w:div w:id="1083524825">
                                  <w:marLeft w:val="0"/>
                                  <w:marRight w:val="0"/>
                                  <w:marTop w:val="0"/>
                                  <w:marBottom w:val="0"/>
                                  <w:divBdr>
                                    <w:top w:val="none" w:sz="0" w:space="0" w:color="auto"/>
                                    <w:left w:val="none" w:sz="0" w:space="0" w:color="auto"/>
                                    <w:bottom w:val="none" w:sz="0" w:space="0" w:color="auto"/>
                                    <w:right w:val="none" w:sz="0" w:space="0" w:color="auto"/>
                                  </w:divBdr>
                                  <w:divsChild>
                                    <w:div w:id="1386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507393">
      <w:bodyDiv w:val="1"/>
      <w:marLeft w:val="0"/>
      <w:marRight w:val="0"/>
      <w:marTop w:val="0"/>
      <w:marBottom w:val="0"/>
      <w:divBdr>
        <w:top w:val="none" w:sz="0" w:space="0" w:color="auto"/>
        <w:left w:val="none" w:sz="0" w:space="0" w:color="auto"/>
        <w:bottom w:val="none" w:sz="0" w:space="0" w:color="auto"/>
        <w:right w:val="none" w:sz="0" w:space="0" w:color="auto"/>
      </w:divBdr>
    </w:div>
    <w:div w:id="162453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7"/>
    <customShpInfo spid="_x0000_s1025"/>
    <customShpInfo spid="_x0000_s1031"/>
    <customShpInfo spid="_x0000_s1029"/>
    <customShpInfo spid="_x0000_s2054"/>
    <customShpInfo spid="_x0000_s2056"/>
    <customShpInfo spid="_x0000_s2055"/>
    <customShpInfo spid="_x0000_s2059"/>
    <customShpInfo spid="_x0000_s2058"/>
    <customShpInfo spid="_x0000_s2061"/>
    <customShpInfo spid="_x0000_s2060"/>
    <customShpInfo spid="_x0000_s2062"/>
    <customShpInfo spid="_x0000_s2063"/>
    <customShpInfo spid="_x0000_s206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B82A9-9366-4775-96D7-BE3EB652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IEEE Conference Paper Template</vt:lpstr>
    </vt:vector>
  </TitlesOfParts>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Conference Paper Template</dc:title>
  <dc:creator>Max</dc:creator>
  <cp:lastModifiedBy>SDI 1084</cp:lastModifiedBy>
  <cp:revision>12</cp:revision>
  <cp:lastPrinted>2024-01-31T09:41:00Z</cp:lastPrinted>
  <dcterms:created xsi:type="dcterms:W3CDTF">2025-10-28T09:27:00Z</dcterms:created>
  <dcterms:modified xsi:type="dcterms:W3CDTF">2025-10-29T10:06:00Z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182C85E63F0549B181321D341686336C_12</vt:lpwstr>
  </property>
</Properties>
</file>