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29B62" w14:textId="78979587" w:rsidR="00754C9A" w:rsidRDefault="003F401D" w:rsidP="00441B6F">
      <w:pPr>
        <w:pStyle w:val="Title"/>
        <w:spacing w:after="0"/>
        <w:jc w:val="both"/>
        <w:rPr>
          <w:rFonts w:ascii="Arial" w:hAnsi="Arial" w:cs="Arial"/>
        </w:rPr>
      </w:pPr>
      <w:r w:rsidRPr="003F401D">
        <w:rPr>
          <w:rFonts w:ascii="Arial" w:hAnsi="Arial" w:cs="Arial"/>
        </w:rPr>
        <w:t>Original Research Article</w:t>
      </w:r>
    </w:p>
    <w:p w14:paraId="7FEF7F2F" w14:textId="7B9A5ACB" w:rsidR="00A258C3" w:rsidRPr="00790ADA" w:rsidRDefault="0003172E" w:rsidP="007626F7">
      <w:pPr>
        <w:pStyle w:val="Author"/>
        <w:spacing w:line="240" w:lineRule="auto"/>
        <w:rPr>
          <w:rFonts w:ascii="Arial" w:hAnsi="Arial" w:cs="Arial"/>
          <w:sz w:val="36"/>
        </w:rPr>
      </w:pPr>
      <w:r w:rsidRPr="0003172E">
        <w:rPr>
          <w:rFonts w:ascii="Arial" w:hAnsi="Arial" w:cs="Arial"/>
          <w:bCs/>
          <w:iCs/>
          <w:kern w:val="28"/>
          <w:sz w:val="36"/>
        </w:rPr>
        <w:t xml:space="preserve">Electrochemical Evaluation of Reduced Graphene Oxide and </w:t>
      </w:r>
      <w:proofErr w:type="spellStart"/>
      <w:r w:rsidRPr="0003172E">
        <w:rPr>
          <w:rFonts w:ascii="Arial" w:hAnsi="Arial" w:cs="Arial"/>
          <w:bCs/>
          <w:iCs/>
          <w:kern w:val="28"/>
          <w:sz w:val="36"/>
        </w:rPr>
        <w:t>Polypyrrole</w:t>
      </w:r>
      <w:proofErr w:type="spellEnd"/>
      <w:r w:rsidRPr="0003172E">
        <w:rPr>
          <w:rFonts w:ascii="Arial" w:hAnsi="Arial" w:cs="Arial"/>
          <w:bCs/>
          <w:iCs/>
          <w:kern w:val="28"/>
          <w:sz w:val="36"/>
        </w:rPr>
        <w:t xml:space="preserve"> Nanocomposite (</w:t>
      </w:r>
      <w:proofErr w:type="spellStart"/>
      <w:r w:rsidRPr="0003172E">
        <w:rPr>
          <w:rFonts w:ascii="Arial" w:hAnsi="Arial" w:cs="Arial"/>
          <w:bCs/>
          <w:iCs/>
          <w:kern w:val="28"/>
          <w:sz w:val="36"/>
        </w:rPr>
        <w:t>rGO</w:t>
      </w:r>
      <w:proofErr w:type="spellEnd"/>
      <w:r w:rsidRPr="0003172E">
        <w:rPr>
          <w:rFonts w:ascii="Arial" w:hAnsi="Arial" w:cs="Arial"/>
          <w:bCs/>
          <w:iCs/>
          <w:kern w:val="28"/>
          <w:sz w:val="36"/>
        </w:rPr>
        <w:t>/</w:t>
      </w:r>
      <w:proofErr w:type="spellStart"/>
      <w:r w:rsidRPr="0003172E">
        <w:rPr>
          <w:rFonts w:ascii="Arial" w:hAnsi="Arial" w:cs="Arial"/>
          <w:bCs/>
          <w:iCs/>
          <w:kern w:val="28"/>
          <w:sz w:val="36"/>
        </w:rPr>
        <w:t>PPy</w:t>
      </w:r>
      <w:proofErr w:type="spellEnd"/>
      <w:r w:rsidRPr="0003172E">
        <w:rPr>
          <w:rFonts w:ascii="Arial" w:hAnsi="Arial" w:cs="Arial"/>
          <w:bCs/>
          <w:iCs/>
          <w:kern w:val="28"/>
          <w:sz w:val="36"/>
        </w:rPr>
        <w:t>) for Supercapacitors</w:t>
      </w:r>
    </w:p>
    <w:p w14:paraId="71E013BE" w14:textId="2AEDF7EB" w:rsidR="00790ADA" w:rsidRDefault="00790ADA" w:rsidP="00441B6F">
      <w:pPr>
        <w:pStyle w:val="Author"/>
        <w:spacing w:line="240" w:lineRule="auto"/>
        <w:rPr>
          <w:rFonts w:ascii="Arial" w:hAnsi="Arial" w:cs="Arial"/>
        </w:rPr>
      </w:pPr>
    </w:p>
    <w:p w14:paraId="6FF47AD7" w14:textId="1DD90DAA" w:rsidR="00B01FCD" w:rsidRPr="00FB3A86" w:rsidRDefault="00B01FCD" w:rsidP="00441B6F">
      <w:pPr>
        <w:pStyle w:val="Copyright"/>
        <w:spacing w:after="0" w:line="240" w:lineRule="auto"/>
        <w:jc w:val="both"/>
        <w:rPr>
          <w:rFonts w:ascii="Arial" w:hAnsi="Arial" w:cs="Arial"/>
        </w:rPr>
        <w:sectPr w:rsidR="00B01FCD" w:rsidRPr="00FB3A86" w:rsidSect="002031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1198E82" w14:textId="7833587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7CC33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E9FFC64" w14:textId="77777777" w:rsidTr="001E44FE">
        <w:tc>
          <w:tcPr>
            <w:tcW w:w="9576" w:type="dxa"/>
            <w:shd w:val="clear" w:color="auto" w:fill="F2F2F2"/>
          </w:tcPr>
          <w:p w14:paraId="047B70B8" w14:textId="426F189B" w:rsidR="00505F06" w:rsidRPr="0003172E" w:rsidRDefault="0003172E" w:rsidP="0003172E">
            <w:pPr>
              <w:pStyle w:val="Body"/>
              <w:spacing w:after="0"/>
              <w:jc w:val="left"/>
              <w:rPr>
                <w:rFonts w:asciiTheme="minorBidi" w:eastAsia="Calibri" w:hAnsiTheme="minorBidi" w:cstheme="minorBidi"/>
                <w:b/>
                <w:bCs/>
                <w:szCs w:val="22"/>
              </w:rPr>
            </w:pPr>
            <w:r w:rsidRPr="0003172E">
              <w:rPr>
                <w:rFonts w:asciiTheme="minorBidi" w:eastAsia="Calibri" w:hAnsiTheme="minorBidi" w:cstheme="minorBidi"/>
                <w:b/>
                <w:bCs/>
                <w:sz w:val="22"/>
                <w:szCs w:val="24"/>
              </w:rPr>
              <w:t>In this work, a series of reduced graphene oxide/</w:t>
            </w:r>
            <w:proofErr w:type="spellStart"/>
            <w:r w:rsidRPr="0003172E">
              <w:rPr>
                <w:rFonts w:asciiTheme="minorBidi" w:eastAsia="Calibri" w:hAnsiTheme="minorBidi" w:cstheme="minorBidi"/>
                <w:b/>
                <w:bCs/>
                <w:sz w:val="22"/>
                <w:szCs w:val="24"/>
              </w:rPr>
              <w:t>polypyrrole</w:t>
            </w:r>
            <w:proofErr w:type="spellEnd"/>
            <w:r w:rsidRPr="0003172E">
              <w:rPr>
                <w:rFonts w:asciiTheme="minorBidi" w:eastAsia="Calibri" w:hAnsiTheme="minorBidi" w:cstheme="minorBidi"/>
                <w:b/>
                <w:bCs/>
                <w:sz w:val="22"/>
                <w:szCs w:val="24"/>
              </w:rPr>
              <w:t xml:space="preserve">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w:t>
            </w:r>
            <w:proofErr w:type="spellStart"/>
            <w:r w:rsidRPr="0003172E">
              <w:rPr>
                <w:rFonts w:asciiTheme="minorBidi" w:eastAsia="Calibri" w:hAnsiTheme="minorBidi" w:cstheme="minorBidi"/>
                <w:b/>
                <w:bCs/>
                <w:sz w:val="22"/>
                <w:szCs w:val="24"/>
              </w:rPr>
              <w:t>PPy</w:t>
            </w:r>
            <w:proofErr w:type="spellEnd"/>
            <w:r w:rsidRPr="0003172E">
              <w:rPr>
                <w:rFonts w:asciiTheme="minorBidi" w:eastAsia="Calibri" w:hAnsiTheme="minorBidi" w:cstheme="minorBidi"/>
                <w:b/>
                <w:bCs/>
                <w:sz w:val="22"/>
                <w:szCs w:val="24"/>
              </w:rPr>
              <w:t xml:space="preserve">) nanocomposites were successfully synthesized via an in-situ oxidative polymerization method and evaluated as electrode materials for supercapacitor applications using cyclic voltammetry (CV). The study focused on understanding the influence of </w:t>
            </w:r>
            <w:proofErr w:type="spellStart"/>
            <w:r w:rsidRPr="0003172E">
              <w:rPr>
                <w:rFonts w:asciiTheme="minorBidi" w:eastAsia="Calibri" w:hAnsiTheme="minorBidi" w:cstheme="minorBidi"/>
                <w:b/>
                <w:bCs/>
                <w:sz w:val="22"/>
                <w:szCs w:val="24"/>
              </w:rPr>
              <w:t>PPy</w:t>
            </w:r>
            <w:proofErr w:type="spellEnd"/>
            <w:r w:rsidRPr="0003172E">
              <w:rPr>
                <w:rFonts w:asciiTheme="minorBidi" w:eastAsia="Calibri" w:hAnsiTheme="minorBidi" w:cstheme="minorBidi"/>
                <w:b/>
                <w:bCs/>
                <w:sz w:val="22"/>
                <w:szCs w:val="24"/>
              </w:rPr>
              <w:t xml:space="preserve"> content on the electrochemical performance of the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w:t>
            </w:r>
            <w:proofErr w:type="spellStart"/>
            <w:r w:rsidRPr="0003172E">
              <w:rPr>
                <w:rFonts w:asciiTheme="minorBidi" w:eastAsia="Calibri" w:hAnsiTheme="minorBidi" w:cstheme="minorBidi"/>
                <w:b/>
                <w:bCs/>
                <w:sz w:val="22"/>
                <w:szCs w:val="24"/>
              </w:rPr>
              <w:t>PPy</w:t>
            </w:r>
            <w:proofErr w:type="spellEnd"/>
            <w:r w:rsidRPr="0003172E">
              <w:rPr>
                <w:rFonts w:asciiTheme="minorBidi" w:eastAsia="Calibri" w:hAnsiTheme="minorBidi" w:cstheme="minorBidi"/>
                <w:b/>
                <w:bCs/>
                <w:sz w:val="22"/>
                <w:szCs w:val="24"/>
              </w:rPr>
              <w:t xml:space="preserve"> system. Four composites with varying </w:t>
            </w:r>
            <w:proofErr w:type="spellStart"/>
            <w:r w:rsidRPr="0003172E">
              <w:rPr>
                <w:rFonts w:asciiTheme="minorBidi" w:eastAsia="Calibri" w:hAnsiTheme="minorBidi" w:cstheme="minorBidi"/>
                <w:b/>
                <w:bCs/>
                <w:sz w:val="22"/>
                <w:szCs w:val="24"/>
              </w:rPr>
              <w:t>PPy</w:t>
            </w:r>
            <w:proofErr w:type="spellEnd"/>
            <w:r w:rsidRPr="0003172E">
              <w:rPr>
                <w:rFonts w:asciiTheme="minorBidi" w:eastAsia="Calibri" w:hAnsiTheme="minorBidi" w:cstheme="minorBidi"/>
                <w:b/>
                <w:bCs/>
                <w:sz w:val="22"/>
                <w:szCs w:val="24"/>
              </w:rPr>
              <w:t xml:space="preserve"> loadings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 xml:space="preserve">/PPy5,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 xml:space="preserve">/PPy10,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 xml:space="preserve">/PPy15, and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/PPy20) were analyzed at a scan rate of 10 mV s</w:t>
            </w:r>
            <w:r w:rsidRPr="0003172E">
              <w:rPr>
                <w:rFonts w:ascii="Cambria Math" w:eastAsia="Calibri" w:hAnsi="Cambria Math" w:cs="Cambria Math"/>
                <w:b/>
                <w:bCs/>
                <w:sz w:val="22"/>
                <w:szCs w:val="24"/>
              </w:rPr>
              <w:t>⁻</w:t>
            </w:r>
            <w:r w:rsidRPr="0003172E">
              <w:rPr>
                <w:rFonts w:ascii="Arial" w:eastAsia="Calibri" w:hAnsi="Arial" w:cs="Arial"/>
                <w:b/>
                <w:bCs/>
                <w:sz w:val="22"/>
                <w:szCs w:val="24"/>
              </w:rPr>
              <w:t>¹</w:t>
            </w:r>
            <w:r w:rsidRPr="0003172E">
              <w:rPr>
                <w:rFonts w:asciiTheme="minorBidi" w:eastAsia="Calibri" w:hAnsiTheme="minorBidi" w:cstheme="minorBidi"/>
                <w:b/>
                <w:bCs/>
                <w:sz w:val="22"/>
                <w:szCs w:val="24"/>
              </w:rPr>
              <w:t xml:space="preserve">. The CV profiles exhibited quasi-rectangular shapes with distinct redox humps, confirming the coexistence of electric double-layer capacitance (EDLC) and </w:t>
            </w:r>
            <w:proofErr w:type="spellStart"/>
            <w:r w:rsidRPr="0003172E">
              <w:rPr>
                <w:rFonts w:asciiTheme="minorBidi" w:eastAsia="Calibri" w:hAnsiTheme="minorBidi" w:cstheme="minorBidi"/>
                <w:b/>
                <w:bCs/>
                <w:sz w:val="22"/>
                <w:szCs w:val="24"/>
              </w:rPr>
              <w:t>pseudocapacitance</w:t>
            </w:r>
            <w:proofErr w:type="spellEnd"/>
            <w:r w:rsidRPr="0003172E">
              <w:rPr>
                <w:rFonts w:asciiTheme="minorBidi" w:eastAsia="Calibri" w:hAnsiTheme="minorBidi" w:cstheme="minorBidi"/>
                <w:b/>
                <w:bCs/>
                <w:sz w:val="22"/>
                <w:szCs w:val="24"/>
              </w:rPr>
              <w:t xml:space="preserve"> within the hybrid structure. The specific capacitance values were determined to be 115.66, 89.20, 230.36, and 189.93 F g</w:t>
            </w:r>
            <w:r w:rsidRPr="0003172E">
              <w:rPr>
                <w:rFonts w:ascii="Cambria Math" w:eastAsia="Calibri" w:hAnsi="Cambria Math" w:cs="Cambria Math"/>
                <w:b/>
                <w:bCs/>
                <w:sz w:val="22"/>
                <w:szCs w:val="24"/>
              </w:rPr>
              <w:t>⁻</w:t>
            </w:r>
            <w:r w:rsidRPr="0003172E">
              <w:rPr>
                <w:rFonts w:ascii="Arial" w:eastAsia="Calibri" w:hAnsi="Arial" w:cs="Arial"/>
                <w:b/>
                <w:bCs/>
                <w:sz w:val="22"/>
                <w:szCs w:val="24"/>
              </w:rPr>
              <w:t>¹</w:t>
            </w:r>
            <w:r w:rsidRPr="0003172E">
              <w:rPr>
                <w:rFonts w:asciiTheme="minorBidi" w:eastAsia="Calibri" w:hAnsiTheme="minorBidi" w:cstheme="minorBidi"/>
                <w:b/>
                <w:bCs/>
                <w:sz w:val="22"/>
                <w:szCs w:val="24"/>
              </w:rPr>
              <w:t xml:space="preserve"> for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 xml:space="preserve">/PPy5,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 xml:space="preserve">/PPy10,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 xml:space="preserve">/PPy15, and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 xml:space="preserve">/PPy20, respectively. The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/PPy15 compos</w:t>
            </w:r>
            <w:bookmarkStart w:id="0" w:name="_GoBack"/>
            <w:bookmarkEnd w:id="0"/>
            <w:r w:rsidRPr="0003172E">
              <w:rPr>
                <w:rFonts w:asciiTheme="minorBidi" w:eastAsia="Calibri" w:hAnsiTheme="minorBidi" w:cstheme="minorBidi"/>
                <w:b/>
                <w:bCs/>
                <w:sz w:val="22"/>
                <w:szCs w:val="24"/>
              </w:rPr>
              <w:t xml:space="preserve">ite delivered the highest capacitance, indicating an optimal </w:t>
            </w:r>
            <w:proofErr w:type="spellStart"/>
            <w:r w:rsidRPr="0003172E">
              <w:rPr>
                <w:rFonts w:asciiTheme="minorBidi" w:eastAsia="Calibri" w:hAnsiTheme="minorBidi" w:cstheme="minorBidi"/>
                <w:b/>
                <w:bCs/>
                <w:sz w:val="22"/>
                <w:szCs w:val="24"/>
              </w:rPr>
              <w:t>PPy</w:t>
            </w:r>
            <w:proofErr w:type="spellEnd"/>
            <w:r w:rsidRPr="0003172E">
              <w:rPr>
                <w:rFonts w:asciiTheme="minorBidi" w:eastAsia="Calibri" w:hAnsiTheme="minorBidi" w:cstheme="minorBidi"/>
                <w:b/>
                <w:bCs/>
                <w:sz w:val="22"/>
                <w:szCs w:val="24"/>
              </w:rPr>
              <w:t xml:space="preserve"> loading that ensures efficient charge transfer, improved ion diffusion, and maximum utilization of electroactive sites. Lower </w:t>
            </w:r>
            <w:proofErr w:type="spellStart"/>
            <w:r w:rsidRPr="0003172E">
              <w:rPr>
                <w:rFonts w:asciiTheme="minorBidi" w:eastAsia="Calibri" w:hAnsiTheme="minorBidi" w:cstheme="minorBidi"/>
                <w:b/>
                <w:bCs/>
                <w:sz w:val="22"/>
                <w:szCs w:val="24"/>
              </w:rPr>
              <w:t>PPy</w:t>
            </w:r>
            <w:proofErr w:type="spellEnd"/>
            <w:r w:rsidRPr="0003172E">
              <w:rPr>
                <w:rFonts w:asciiTheme="minorBidi" w:eastAsia="Calibri" w:hAnsiTheme="minorBidi" w:cstheme="minorBidi"/>
                <w:b/>
                <w:bCs/>
                <w:sz w:val="22"/>
                <w:szCs w:val="24"/>
              </w:rPr>
              <w:t xml:space="preserve"> contents provided insufficient redox contribution, while excessive </w:t>
            </w:r>
            <w:proofErr w:type="spellStart"/>
            <w:r w:rsidRPr="0003172E">
              <w:rPr>
                <w:rFonts w:asciiTheme="minorBidi" w:eastAsia="Calibri" w:hAnsiTheme="minorBidi" w:cstheme="minorBidi"/>
                <w:b/>
                <w:bCs/>
                <w:sz w:val="22"/>
                <w:szCs w:val="24"/>
              </w:rPr>
              <w:t>PPy</w:t>
            </w:r>
            <w:proofErr w:type="spellEnd"/>
            <w:r w:rsidRPr="0003172E">
              <w:rPr>
                <w:rFonts w:asciiTheme="minorBidi" w:eastAsia="Calibri" w:hAnsiTheme="minorBidi" w:cstheme="minorBidi"/>
                <w:b/>
                <w:bCs/>
                <w:sz w:val="22"/>
                <w:szCs w:val="24"/>
              </w:rPr>
              <w:t xml:space="preserve"> caused partial blockage of the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 xml:space="preserve"> conductive network, hindering charge transport. The synergistic interaction between the highly conductive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 xml:space="preserve"> framework and the redox-active </w:t>
            </w:r>
            <w:proofErr w:type="spellStart"/>
            <w:r w:rsidRPr="0003172E">
              <w:rPr>
                <w:rFonts w:asciiTheme="minorBidi" w:eastAsia="Calibri" w:hAnsiTheme="minorBidi" w:cstheme="minorBidi"/>
                <w:b/>
                <w:bCs/>
                <w:sz w:val="22"/>
                <w:szCs w:val="24"/>
              </w:rPr>
              <w:t>PPy</w:t>
            </w:r>
            <w:proofErr w:type="spellEnd"/>
            <w:r w:rsidRPr="0003172E">
              <w:rPr>
                <w:rFonts w:asciiTheme="minorBidi" w:eastAsia="Calibri" w:hAnsiTheme="minorBidi" w:cstheme="minorBidi"/>
                <w:b/>
                <w:bCs/>
                <w:sz w:val="22"/>
                <w:szCs w:val="24"/>
              </w:rPr>
              <w:t xml:space="preserve"> matrix enables superior charge storage and stability. Overall, this study demonstrates that optimizing the </w:t>
            </w:r>
            <w:proofErr w:type="spellStart"/>
            <w:r w:rsidRPr="0003172E">
              <w:rPr>
                <w:rFonts w:asciiTheme="minorBidi" w:eastAsia="Calibri" w:hAnsiTheme="minorBidi" w:cstheme="minorBidi"/>
                <w:b/>
                <w:bCs/>
                <w:sz w:val="22"/>
                <w:szCs w:val="24"/>
              </w:rPr>
              <w:t>PPy</w:t>
            </w:r>
            <w:proofErr w:type="spellEnd"/>
            <w:r w:rsidRPr="0003172E">
              <w:rPr>
                <w:rFonts w:asciiTheme="minorBidi" w:eastAsia="Calibri" w:hAnsiTheme="minorBidi" w:cstheme="minorBidi"/>
                <w:b/>
                <w:bCs/>
                <w:sz w:val="22"/>
                <w:szCs w:val="24"/>
              </w:rPr>
              <w:t xml:space="preserve"> content in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w:t>
            </w:r>
            <w:proofErr w:type="spellStart"/>
            <w:r w:rsidRPr="0003172E">
              <w:rPr>
                <w:rFonts w:asciiTheme="minorBidi" w:eastAsia="Calibri" w:hAnsiTheme="minorBidi" w:cstheme="minorBidi"/>
                <w:b/>
                <w:bCs/>
                <w:sz w:val="22"/>
                <w:szCs w:val="24"/>
              </w:rPr>
              <w:t>PPy</w:t>
            </w:r>
            <w:proofErr w:type="spellEnd"/>
            <w:r w:rsidRPr="0003172E">
              <w:rPr>
                <w:rFonts w:asciiTheme="minorBidi" w:eastAsia="Calibri" w:hAnsiTheme="minorBidi" w:cstheme="minorBidi"/>
                <w:b/>
                <w:bCs/>
                <w:sz w:val="22"/>
                <w:szCs w:val="24"/>
              </w:rPr>
              <w:t xml:space="preserve"> composites significantly enhances electrochemical performance. The </w:t>
            </w:r>
            <w:proofErr w:type="spellStart"/>
            <w:r w:rsidRPr="0003172E">
              <w:rPr>
                <w:rFonts w:asciiTheme="minorBidi" w:eastAsia="Calibri" w:hAnsiTheme="minorBidi" w:cstheme="minorBidi"/>
                <w:b/>
                <w:bCs/>
                <w:sz w:val="22"/>
                <w:szCs w:val="24"/>
              </w:rPr>
              <w:t>rGO</w:t>
            </w:r>
            <w:proofErr w:type="spellEnd"/>
            <w:r w:rsidRPr="0003172E">
              <w:rPr>
                <w:rFonts w:asciiTheme="minorBidi" w:eastAsia="Calibri" w:hAnsiTheme="minorBidi" w:cstheme="minorBidi"/>
                <w:b/>
                <w:bCs/>
                <w:sz w:val="22"/>
                <w:szCs w:val="24"/>
              </w:rPr>
              <w:t>/PPy15 composition exhibits the best combination of high capacitance, good reversibility, and structural integrity, making it a promising electrode material for next-generation, high-performance supercapacitor devices.</w:t>
            </w:r>
          </w:p>
        </w:tc>
      </w:tr>
    </w:tbl>
    <w:p w14:paraId="2AA24EFD" w14:textId="77777777" w:rsidR="00636EB2" w:rsidRDefault="00636EB2" w:rsidP="00441B6F">
      <w:pPr>
        <w:pStyle w:val="Body"/>
        <w:spacing w:after="0"/>
        <w:rPr>
          <w:rFonts w:ascii="Arial" w:hAnsi="Arial" w:cs="Arial"/>
          <w:i/>
        </w:rPr>
      </w:pPr>
    </w:p>
    <w:p w14:paraId="00787BA1" w14:textId="527B768A" w:rsidR="00790ADA" w:rsidRDefault="00A24E7E" w:rsidP="0003172E">
      <w:pPr>
        <w:spacing w:before="100" w:beforeAutospacing="1" w:after="100" w:afterAutospacing="1"/>
        <w:jc w:val="both"/>
        <w:rPr>
          <w:rFonts w:ascii="Arial" w:hAnsi="Arial" w:cs="Arial"/>
          <w:i/>
        </w:rPr>
      </w:pPr>
      <w:r>
        <w:rPr>
          <w:rFonts w:ascii="Arial" w:hAnsi="Arial" w:cs="Arial"/>
          <w:i/>
        </w:rPr>
        <w:t xml:space="preserve">Keywords: </w:t>
      </w:r>
      <w:r w:rsidR="0003172E" w:rsidRPr="0003172E">
        <w:rPr>
          <w:rFonts w:asciiTheme="minorBidi" w:hAnsiTheme="minorBidi" w:cstheme="minorBidi"/>
          <w:lang w:eastAsia="en-IN"/>
        </w:rPr>
        <w:t>Supercapacitors, Cyclic Voltammetry, Specific Capacitance</w:t>
      </w:r>
      <w:r w:rsidR="0003172E">
        <w:rPr>
          <w:rFonts w:ascii="Times New Roman" w:hAnsi="Times New Roman"/>
          <w:lang w:eastAsia="en-IN"/>
        </w:rPr>
        <w:t>, Polypyrrole</w:t>
      </w:r>
    </w:p>
    <w:p w14:paraId="76C1A30D" w14:textId="77777777" w:rsidR="0024282C" w:rsidRDefault="0024282C" w:rsidP="00441B6F">
      <w:pPr>
        <w:pStyle w:val="Body"/>
        <w:spacing w:after="0"/>
        <w:rPr>
          <w:rFonts w:ascii="Arial" w:hAnsi="Arial" w:cs="Arial"/>
          <w:i/>
          <w:sz w:val="18"/>
        </w:rPr>
      </w:pPr>
    </w:p>
    <w:p w14:paraId="7D9911DF" w14:textId="77777777" w:rsidR="00505F06" w:rsidRDefault="00505F06" w:rsidP="00441B6F">
      <w:pPr>
        <w:pStyle w:val="Body"/>
        <w:spacing w:after="0"/>
        <w:rPr>
          <w:rFonts w:ascii="Arial" w:hAnsi="Arial" w:cs="Arial"/>
          <w:i/>
        </w:rPr>
      </w:pPr>
    </w:p>
    <w:p w14:paraId="6308084A" w14:textId="77777777" w:rsidR="007C3526" w:rsidRDefault="007C3526" w:rsidP="00441B6F">
      <w:pPr>
        <w:pStyle w:val="Body"/>
        <w:spacing w:after="0"/>
        <w:rPr>
          <w:rFonts w:ascii="Arial" w:hAnsi="Arial" w:cs="Arial"/>
          <w:i/>
        </w:rPr>
      </w:pPr>
    </w:p>
    <w:p w14:paraId="152E680F" w14:textId="77777777" w:rsidR="0003172E" w:rsidRPr="00A24E7E" w:rsidRDefault="0003172E" w:rsidP="00441B6F">
      <w:pPr>
        <w:pStyle w:val="Body"/>
        <w:spacing w:after="0"/>
        <w:rPr>
          <w:rFonts w:ascii="Arial" w:hAnsi="Arial" w:cs="Arial"/>
          <w:i/>
        </w:rPr>
      </w:pPr>
    </w:p>
    <w:p w14:paraId="744F846E" w14:textId="7DF0C35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9869DF" w14:textId="77777777" w:rsidR="00790ADA" w:rsidRPr="00FB3A86" w:rsidRDefault="00790ADA" w:rsidP="00441B6F">
      <w:pPr>
        <w:pStyle w:val="AbstHead"/>
        <w:spacing w:after="0"/>
        <w:jc w:val="both"/>
        <w:rPr>
          <w:rFonts w:ascii="Arial" w:hAnsi="Arial" w:cs="Arial"/>
        </w:rPr>
      </w:pPr>
    </w:p>
    <w:p w14:paraId="0A806CE1" w14:textId="77777777" w:rsidR="0003172E" w:rsidRDefault="0003172E" w:rsidP="00441B6F">
      <w:pPr>
        <w:pStyle w:val="Body"/>
        <w:spacing w:after="0"/>
        <w:rPr>
          <w:rFonts w:ascii="Arial" w:hAnsi="Arial" w:cs="Arial"/>
        </w:rPr>
      </w:pPr>
    </w:p>
    <w:p w14:paraId="1FDBE21D"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The rapid development of portable electronics, electric vehicles, and renewable energy systems has led to an urgent demand for efficient and reliable energy storage technologies. Among the various energy storage devices, supercapacitors (also known as electrochemical capacitors) have emerged as promising alternatives or complements to conventional </w:t>
      </w:r>
      <w:r w:rsidRPr="0003172E">
        <w:rPr>
          <w:rFonts w:asciiTheme="minorBidi" w:hAnsiTheme="minorBidi" w:cstheme="minorBidi"/>
        </w:rPr>
        <w:lastRenderedPageBreak/>
        <w:t xml:space="preserve">batteries due to their </w:t>
      </w:r>
      <w:proofErr w:type="gramStart"/>
      <w:r w:rsidRPr="0003172E">
        <w:rPr>
          <w:rFonts w:asciiTheme="minorBidi" w:hAnsiTheme="minorBidi" w:cstheme="minorBidi"/>
        </w:rPr>
        <w:t>high power</w:t>
      </w:r>
      <w:proofErr w:type="gramEnd"/>
      <w:r w:rsidRPr="0003172E">
        <w:rPr>
          <w:rFonts w:asciiTheme="minorBidi" w:hAnsiTheme="minorBidi" w:cstheme="minorBidi"/>
        </w:rPr>
        <w:t xml:space="preserve"> density, rapid charge–discharge rate, excellent reversibility, and long cycle life. Supercapacitors can bridge the gap between the high energy density of batteries and the </w:t>
      </w:r>
      <w:proofErr w:type="gramStart"/>
      <w:r w:rsidRPr="0003172E">
        <w:rPr>
          <w:rFonts w:asciiTheme="minorBidi" w:hAnsiTheme="minorBidi" w:cstheme="minorBidi"/>
        </w:rPr>
        <w:t>high power</w:t>
      </w:r>
      <w:proofErr w:type="gramEnd"/>
      <w:r w:rsidRPr="0003172E">
        <w:rPr>
          <w:rFonts w:asciiTheme="minorBidi" w:hAnsiTheme="minorBidi" w:cstheme="minorBidi"/>
        </w:rPr>
        <w:t xml:space="preserve"> density of traditional capacitors, making them ideal for applications that require fast energy delivery and prolonged operational stability [1].</w:t>
      </w:r>
    </w:p>
    <w:p w14:paraId="517E306D"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In general, supercapacitors are categorized into two main types based on their energy storage mechanisms: electric double-layer capacitors (EDLCs) and pseudocapacitors. EDLCs store charge physically through electrostatic accumulation of ions at the electrode–electrolyte interface. Carbon-based materials such as activated carbon, carbon nanotubes, and graphene are widely used in EDLCs due to their high surface area, excellent conductivity, and chemical stability. On the other hand, pseudocapacitors store energy through fast and reversible Faradaic redox reactions occurring at or near the surface of the electrode material. Typical pseudocapacitive materials include transition metal oxides (e.g., </w:t>
      </w:r>
      <w:proofErr w:type="spellStart"/>
      <w:r w:rsidRPr="0003172E">
        <w:rPr>
          <w:rFonts w:asciiTheme="minorBidi" w:hAnsiTheme="minorBidi" w:cstheme="minorBidi"/>
        </w:rPr>
        <w:t>MnO</w:t>
      </w:r>
      <w:proofErr w:type="spellEnd"/>
      <w:r w:rsidRPr="0003172E">
        <w:rPr>
          <w:rFonts w:ascii="Cambria Math" w:hAnsi="Cambria Math" w:cs="Cambria Math"/>
        </w:rPr>
        <w:t>₂</w:t>
      </w:r>
      <w:r w:rsidRPr="0003172E">
        <w:rPr>
          <w:rFonts w:asciiTheme="minorBidi" w:hAnsiTheme="minorBidi" w:cstheme="minorBidi"/>
        </w:rPr>
        <w:t xml:space="preserve">, </w:t>
      </w:r>
      <w:proofErr w:type="spellStart"/>
      <w:r w:rsidRPr="0003172E">
        <w:rPr>
          <w:rFonts w:asciiTheme="minorBidi" w:hAnsiTheme="minorBidi" w:cstheme="minorBidi"/>
        </w:rPr>
        <w:t>RuO</w:t>
      </w:r>
      <w:proofErr w:type="spellEnd"/>
      <w:r w:rsidRPr="0003172E">
        <w:rPr>
          <w:rFonts w:ascii="Cambria Math" w:hAnsi="Cambria Math" w:cs="Cambria Math"/>
        </w:rPr>
        <w:t>₂</w:t>
      </w:r>
      <w:r w:rsidRPr="0003172E">
        <w:rPr>
          <w:rFonts w:asciiTheme="minorBidi" w:hAnsiTheme="minorBidi" w:cstheme="minorBidi"/>
        </w:rPr>
        <w:t xml:space="preserve">) and conducting polymers (e.g., polyaniline, </w:t>
      </w:r>
      <w:proofErr w:type="spellStart"/>
      <w:r w:rsidRPr="0003172E">
        <w:rPr>
          <w:rFonts w:asciiTheme="minorBidi" w:hAnsiTheme="minorBidi" w:cstheme="minorBidi"/>
        </w:rPr>
        <w:t>polypyrrole</w:t>
      </w:r>
      <w:proofErr w:type="spellEnd"/>
      <w:r w:rsidRPr="0003172E">
        <w:rPr>
          <w:rFonts w:asciiTheme="minorBidi" w:hAnsiTheme="minorBidi" w:cstheme="minorBidi"/>
        </w:rPr>
        <w:t>, polythiophene). While pseudocapacitors generally exhibit higher specific capacitance than EDLCs, their performance is often limited by structural degradation and poor cycling stability due to volumetric changes during repeated redox processes [2-3].</w:t>
      </w:r>
    </w:p>
    <w:p w14:paraId="7114A0C8"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To combine the advantages of both mechanisms—high capacitance and excellent stability—recent research has focused on hybrid electrode materials that integrate carbon-based structures with pseudocapacitive components. Among these, reduced graphene oxide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and </w:t>
      </w:r>
      <w:proofErr w:type="spellStart"/>
      <w:r w:rsidRPr="0003172E">
        <w:rPr>
          <w:rFonts w:asciiTheme="minorBidi" w:hAnsiTheme="minorBidi" w:cstheme="minorBidi"/>
        </w:rPr>
        <w:t>polypyrrole</w:t>
      </w:r>
      <w:proofErr w:type="spellEnd"/>
      <w:r w:rsidRPr="0003172E">
        <w:rPr>
          <w:rFonts w:asciiTheme="minorBidi" w:hAnsiTheme="minorBidi" w:cstheme="minorBidi"/>
        </w:rPr>
        <w:t xml:space="preserve">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stand out as two of the most promising materials. Reduced graphene oxide, a derivative of graphene, possesses remarkable electrical conductivity, a large specific surface area, and mechanical flexibility. It serves as an ideal substrate for the growth or deposition of pseudocapacitive materials, enhancing charge transfer and structural stability. Meanwhile, </w:t>
      </w:r>
      <w:proofErr w:type="spellStart"/>
      <w:r w:rsidRPr="0003172E">
        <w:rPr>
          <w:rFonts w:asciiTheme="minorBidi" w:hAnsiTheme="minorBidi" w:cstheme="minorBidi"/>
        </w:rPr>
        <w:t>polypyrrole</w:t>
      </w:r>
      <w:proofErr w:type="spellEnd"/>
      <w:r w:rsidRPr="0003172E">
        <w:rPr>
          <w:rFonts w:asciiTheme="minorBidi" w:hAnsiTheme="minorBidi" w:cstheme="minorBidi"/>
        </w:rPr>
        <w:t xml:space="preserve"> is one of the most extensively studied conducting polymers due to its high electrical conductivity, environmental stability, and simple synthesis via chemical or electrochemical polymerization.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exhibits </w:t>
      </w:r>
      <w:proofErr w:type="spellStart"/>
      <w:r w:rsidRPr="0003172E">
        <w:rPr>
          <w:rFonts w:asciiTheme="minorBidi" w:hAnsiTheme="minorBidi" w:cstheme="minorBidi"/>
        </w:rPr>
        <w:t>pseudocapacitance</w:t>
      </w:r>
      <w:proofErr w:type="spellEnd"/>
      <w:r w:rsidRPr="0003172E">
        <w:rPr>
          <w:rFonts w:asciiTheme="minorBidi" w:hAnsiTheme="minorBidi" w:cstheme="minorBidi"/>
        </w:rPr>
        <w:t xml:space="preserve"> derived from its reversible redox transitions between doped and undoped states, enabling rapid charge storage [4].</w:t>
      </w:r>
    </w:p>
    <w:p w14:paraId="3F691B08"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However, each of these materials has intrinsic limitations when used alone. Pristine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tends to suffer from poor mechanical integrity and limited cycle life because of volumetric swelling and contraction during redox cycling. This leads to cracking, delamination, and loss of electrical contact between polymer chains and the current collector. On the other hand, while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provides excellent conductivity and large surface area, it exhibits relatively low specific capacitance since its energy storage arises mainly from non-Faradaic electrostatic processes. Therefore, constructing </w:t>
      </w:r>
      <w:proofErr w:type="spellStart"/>
      <w:r w:rsidRPr="0003172E">
        <w:rPr>
          <w:rFonts w:asciiTheme="minorBidi" w:hAnsiTheme="minorBidi" w:cstheme="minorBidi"/>
        </w:rPr>
        <w:t>rGO</w:t>
      </w:r>
      <w:proofErr w:type="spellEnd"/>
      <w:r w:rsidRPr="0003172E">
        <w:rPr>
          <w:rFonts w:asciiTheme="minorBidi" w:hAnsiTheme="minorBidi" w:cstheme="minorBidi"/>
        </w:rPr>
        <w:t>/</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nanocomposites represents a rational strategy to combine the strengths of both components. In such hybrid materials,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can act as a conductive backbone that accommodates the volume changes of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while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introduces Faradaic </w:t>
      </w:r>
      <w:proofErr w:type="spellStart"/>
      <w:r w:rsidRPr="0003172E">
        <w:rPr>
          <w:rFonts w:asciiTheme="minorBidi" w:hAnsiTheme="minorBidi" w:cstheme="minorBidi"/>
        </w:rPr>
        <w:t>pseudocapacitance</w:t>
      </w:r>
      <w:proofErr w:type="spellEnd"/>
      <w:r w:rsidRPr="0003172E">
        <w:rPr>
          <w:rFonts w:asciiTheme="minorBidi" w:hAnsiTheme="minorBidi" w:cstheme="minorBidi"/>
        </w:rPr>
        <w:t>, resulting in a synergistic enhancement of overall electrochemical performance [5-7].</w:t>
      </w:r>
    </w:p>
    <w:p w14:paraId="3E3EDDD8"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The interaction between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sheets and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chains within the composite significantly improves several critical parameters. First, the conductivity of the electrode is increased because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provides efficient pathways for electron transport. Second, the ionic accessibility is improved, as the polymer coating prevents restacking of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sheets and maintains open channels for electrolyte ions to diffuse. Third, the structural stability is enhanced because the flexible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sheets can buffer the mechanical stress generated during </w:t>
      </w:r>
      <w:proofErr w:type="spellStart"/>
      <w:r w:rsidRPr="0003172E">
        <w:rPr>
          <w:rFonts w:asciiTheme="minorBidi" w:hAnsiTheme="minorBidi" w:cstheme="minorBidi"/>
        </w:rPr>
        <w:t>PPy’s</w:t>
      </w:r>
      <w:proofErr w:type="spellEnd"/>
      <w:r w:rsidRPr="0003172E">
        <w:rPr>
          <w:rFonts w:asciiTheme="minorBidi" w:hAnsiTheme="minorBidi" w:cstheme="minorBidi"/>
        </w:rPr>
        <w:t xml:space="preserve"> volumetric expansion and contraction. Consequently, the </w:t>
      </w:r>
      <w:proofErr w:type="spellStart"/>
      <w:r w:rsidRPr="0003172E">
        <w:rPr>
          <w:rFonts w:asciiTheme="minorBidi" w:hAnsiTheme="minorBidi" w:cstheme="minorBidi"/>
        </w:rPr>
        <w:t>rGO</w:t>
      </w:r>
      <w:proofErr w:type="spellEnd"/>
      <w:r w:rsidRPr="0003172E">
        <w:rPr>
          <w:rFonts w:asciiTheme="minorBidi" w:hAnsiTheme="minorBidi" w:cstheme="minorBidi"/>
        </w:rPr>
        <w:t>/</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nanocomposite typically exhibits higher specific capacitance, better rate capability, and superior long-term stability than either component alone [8].</w:t>
      </w:r>
    </w:p>
    <w:p w14:paraId="0CD17C71"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Recent studies have demonstrated that the synthesis route and microstructural design of </w:t>
      </w:r>
      <w:proofErr w:type="spellStart"/>
      <w:r w:rsidRPr="0003172E">
        <w:rPr>
          <w:rFonts w:asciiTheme="minorBidi" w:hAnsiTheme="minorBidi" w:cstheme="minorBidi"/>
        </w:rPr>
        <w:t>rGO</w:t>
      </w:r>
      <w:proofErr w:type="spellEnd"/>
      <w:r w:rsidRPr="0003172E">
        <w:rPr>
          <w:rFonts w:asciiTheme="minorBidi" w:hAnsiTheme="minorBidi" w:cstheme="minorBidi"/>
        </w:rPr>
        <w:t>/</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composites play a crucial role in determining their electrochemical behavior. Common methods for preparing such composites include in-situ chemical oxidative polymerization, electrochemical deposition, and solution blending. Among these, in-situ polymerization of pyrrole monomer in the presence of dispersed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has been widely </w:t>
      </w:r>
      <w:r w:rsidRPr="0003172E">
        <w:rPr>
          <w:rFonts w:asciiTheme="minorBidi" w:hAnsiTheme="minorBidi" w:cstheme="minorBidi"/>
        </w:rPr>
        <w:lastRenderedPageBreak/>
        <w:t xml:space="preserve">adopted due to its simplicity and ability to ensure uniform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coating on the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surface. This method promotes intimate contact between the two components, leading to enhanced charge transfer and mechanical integrity [9-11].</w:t>
      </w:r>
    </w:p>
    <w:p w14:paraId="5B9FADC7"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The performance of supercapacitor electrodes is typically evaluated by several electrochemical techniques, among which cyclic voltammetry (CV) is one of the most informative and fundamental tools. CV analysis provides insight into the charge storage mechanism, reversibility of redox reactions, capacitance behavior, and rate capability of the material. By sweeping the potential at various scan rates, one can distinguish between capacitive (surface-controlled) and diffusion-controlled processes, observe redox peaks characteristic of pseudocapacitive materials, and calculate the specific capacitance based on the integrated area under the CV curve. Moreover, the shape and symmetry of the CV curves reveal information about the electrode’s charge–discharge reversibility and internal resistance. In an ideal EDLC, the CV curve is nearly rectangular, indicating perfect capacitive behavior. In contrast, pseudocapacitive materials display redox peaks due to Faradaic processes. A well-designed </w:t>
      </w:r>
      <w:proofErr w:type="spellStart"/>
      <w:r w:rsidRPr="0003172E">
        <w:rPr>
          <w:rFonts w:asciiTheme="minorBidi" w:hAnsiTheme="minorBidi" w:cstheme="minorBidi"/>
        </w:rPr>
        <w:t>rGO</w:t>
      </w:r>
      <w:proofErr w:type="spellEnd"/>
      <w:r w:rsidRPr="0003172E">
        <w:rPr>
          <w:rFonts w:asciiTheme="minorBidi" w:hAnsiTheme="minorBidi" w:cstheme="minorBidi"/>
        </w:rPr>
        <w:t>/</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composite often exhibits a quasi-rectangular CV profile with small redox humps, signifying a balanced contribution from both double-layer and </w:t>
      </w:r>
      <w:proofErr w:type="spellStart"/>
      <w:r w:rsidRPr="0003172E">
        <w:rPr>
          <w:rFonts w:asciiTheme="minorBidi" w:hAnsiTheme="minorBidi" w:cstheme="minorBidi"/>
        </w:rPr>
        <w:t>pseudocapacitance</w:t>
      </w:r>
      <w:proofErr w:type="spellEnd"/>
      <w:r w:rsidRPr="0003172E">
        <w:rPr>
          <w:rFonts w:asciiTheme="minorBidi" w:hAnsiTheme="minorBidi" w:cstheme="minorBidi"/>
        </w:rPr>
        <w:t xml:space="preserve"> mechanisms [12].</w:t>
      </w:r>
    </w:p>
    <w:p w14:paraId="17DA8403"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In this study, the electrochemical performance of an </w:t>
      </w:r>
      <w:proofErr w:type="spellStart"/>
      <w:r w:rsidRPr="0003172E">
        <w:rPr>
          <w:rFonts w:asciiTheme="minorBidi" w:hAnsiTheme="minorBidi" w:cstheme="minorBidi"/>
        </w:rPr>
        <w:t>rGO</w:t>
      </w:r>
      <w:proofErr w:type="spellEnd"/>
      <w:r w:rsidRPr="0003172E">
        <w:rPr>
          <w:rFonts w:asciiTheme="minorBidi" w:hAnsiTheme="minorBidi" w:cstheme="minorBidi"/>
        </w:rPr>
        <w:t>/</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nanocomposite electrode was systematically evaluated using cyclic voltammetry in an aqueous electrolyte. The focus was placed on understanding how the composite structure influences the capacitive behavior, redox characteristics, and cycling stability of the electrode. The composite was synthesized via in-situ oxidative polymerization, ensuring strong interfacial contact between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and </w:t>
      </w:r>
      <w:proofErr w:type="spellStart"/>
      <w:r w:rsidRPr="0003172E">
        <w:rPr>
          <w:rFonts w:asciiTheme="minorBidi" w:hAnsiTheme="minorBidi" w:cstheme="minorBidi"/>
        </w:rPr>
        <w:t>PPy</w:t>
      </w:r>
      <w:proofErr w:type="spellEnd"/>
      <w:r w:rsidRPr="0003172E">
        <w:rPr>
          <w:rFonts w:asciiTheme="minorBidi" w:hAnsiTheme="minorBidi" w:cstheme="minorBidi"/>
        </w:rPr>
        <w:t>. The electrochemical tests were conducted at various scan rates to assess the rate capability and charge transfer kinetics.</w:t>
      </w:r>
    </w:p>
    <w:p w14:paraId="35071CF7"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By comparing the CV profiles of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and </w:t>
      </w:r>
      <w:proofErr w:type="spellStart"/>
      <w:r w:rsidRPr="0003172E">
        <w:rPr>
          <w:rFonts w:asciiTheme="minorBidi" w:hAnsiTheme="minorBidi" w:cstheme="minorBidi"/>
        </w:rPr>
        <w:t>rGO</w:t>
      </w:r>
      <w:proofErr w:type="spellEnd"/>
      <w:r w:rsidRPr="0003172E">
        <w:rPr>
          <w:rFonts w:asciiTheme="minorBidi" w:hAnsiTheme="minorBidi" w:cstheme="minorBidi"/>
        </w:rPr>
        <w:t>/</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electrodes, the synergistic effects of the hybrid composition can be elucidated. The incorporation of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is expected to facilitate rapid electron transport, reduce charge transfer resistance, and improve the mechanical durability of the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layer [13]. Meanwhile, the presence of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introduces reversible redox activity, enhancing the overall capacitance of the system. Furthermore, the role of scan rate on the shape and area of CV curves provides valuable information on ion diffusion and electrode utilization efficiency.</w:t>
      </w:r>
    </w:p>
    <w:p w14:paraId="6CEEFA35"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The overarching objective of this work is to demonstrate that the </w:t>
      </w:r>
      <w:proofErr w:type="spellStart"/>
      <w:r w:rsidRPr="0003172E">
        <w:rPr>
          <w:rFonts w:asciiTheme="minorBidi" w:hAnsiTheme="minorBidi" w:cstheme="minorBidi"/>
        </w:rPr>
        <w:t>rGO</w:t>
      </w:r>
      <w:proofErr w:type="spellEnd"/>
      <w:r w:rsidRPr="0003172E">
        <w:rPr>
          <w:rFonts w:asciiTheme="minorBidi" w:hAnsiTheme="minorBidi" w:cstheme="minorBidi"/>
        </w:rPr>
        <w:t>/</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nanocomposite can serve as a highly efficient electrode material for supercapacitors by combining the advantages of EDLC and pseudocapacitive mechanisms within a single structure. Through cyclic voltammetry analysis, the study aims to highlight the synergy between the conductive carbon framework and the redox-active polymer matrix. Understanding this relationship will not only advance the design of hybrid electrodes for next-generation energy storage devices but also provide insights into optimizing the interfacial engineering of composite materials for improved electrochemical performance.</w:t>
      </w:r>
    </w:p>
    <w:p w14:paraId="2F3FCE23" w14:textId="77777777" w:rsidR="0003172E" w:rsidRDefault="0003172E" w:rsidP="00441B6F">
      <w:pPr>
        <w:pStyle w:val="Body"/>
        <w:spacing w:after="0"/>
        <w:rPr>
          <w:rFonts w:ascii="Arial" w:hAnsi="Arial" w:cs="Arial"/>
        </w:rPr>
      </w:pPr>
    </w:p>
    <w:p w14:paraId="4BAE6C32" w14:textId="77777777" w:rsidR="00790ADA" w:rsidRPr="00FB3A86" w:rsidRDefault="00790ADA" w:rsidP="00441B6F">
      <w:pPr>
        <w:pStyle w:val="Body"/>
        <w:spacing w:after="0"/>
        <w:rPr>
          <w:rFonts w:ascii="Arial" w:hAnsi="Arial" w:cs="Arial"/>
        </w:rPr>
      </w:pPr>
    </w:p>
    <w:p w14:paraId="7D79871D" w14:textId="7D0020E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0E3A282" w14:textId="77777777" w:rsidR="0003172E" w:rsidRDefault="0003172E" w:rsidP="00441B6F">
      <w:pPr>
        <w:pStyle w:val="AbstHead"/>
        <w:spacing w:after="0"/>
        <w:jc w:val="both"/>
        <w:rPr>
          <w:rFonts w:ascii="Arial" w:hAnsi="Arial" w:cs="Arial"/>
        </w:rPr>
      </w:pPr>
    </w:p>
    <w:p w14:paraId="42C492CB" w14:textId="77777777" w:rsidR="0003172E" w:rsidRPr="0003172E" w:rsidRDefault="0003172E" w:rsidP="0003172E">
      <w:pPr>
        <w:jc w:val="both"/>
        <w:rPr>
          <w:rFonts w:asciiTheme="minorBidi" w:hAnsiTheme="minorBidi" w:cstheme="minorBidi"/>
          <w:b/>
          <w:bCs/>
        </w:rPr>
      </w:pPr>
      <w:r w:rsidRPr="0003172E">
        <w:rPr>
          <w:rFonts w:asciiTheme="minorBidi" w:hAnsiTheme="minorBidi" w:cstheme="minorBidi"/>
          <w:b/>
          <w:bCs/>
        </w:rPr>
        <w:t xml:space="preserve">2.1. Synthesis of </w:t>
      </w:r>
      <w:proofErr w:type="spellStart"/>
      <w:r w:rsidRPr="0003172E">
        <w:rPr>
          <w:rFonts w:asciiTheme="minorBidi" w:hAnsiTheme="minorBidi" w:cstheme="minorBidi"/>
          <w:b/>
          <w:bCs/>
        </w:rPr>
        <w:t>rGO</w:t>
      </w:r>
      <w:proofErr w:type="spellEnd"/>
    </w:p>
    <w:p w14:paraId="0A404420"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Graphene oxide (GO) was synthesized using a modified Hummers’ method and subsequently reduced with hydrazine hydrate to obtain </w:t>
      </w:r>
      <w:proofErr w:type="spellStart"/>
      <w:r w:rsidRPr="0003172E">
        <w:rPr>
          <w:rFonts w:asciiTheme="minorBidi" w:hAnsiTheme="minorBidi" w:cstheme="minorBidi"/>
        </w:rPr>
        <w:t>rGO</w:t>
      </w:r>
      <w:proofErr w:type="spellEnd"/>
      <w:r w:rsidRPr="0003172E">
        <w:rPr>
          <w:rFonts w:asciiTheme="minorBidi" w:hAnsiTheme="minorBidi" w:cstheme="minorBidi"/>
        </w:rPr>
        <w:t>. The product was washed with deionized water and ethanol, then dried under vacuum at 60 °C.</w:t>
      </w:r>
    </w:p>
    <w:p w14:paraId="5E8232F3" w14:textId="77777777" w:rsidR="0003172E" w:rsidRPr="0003172E" w:rsidRDefault="0003172E" w:rsidP="0003172E">
      <w:pPr>
        <w:jc w:val="both"/>
        <w:rPr>
          <w:rFonts w:asciiTheme="minorBidi" w:hAnsiTheme="minorBidi" w:cstheme="minorBidi"/>
          <w:b/>
          <w:bCs/>
        </w:rPr>
      </w:pPr>
      <w:r w:rsidRPr="0003172E">
        <w:rPr>
          <w:rFonts w:asciiTheme="minorBidi" w:hAnsiTheme="minorBidi" w:cstheme="minorBidi"/>
          <w:b/>
          <w:bCs/>
        </w:rPr>
        <w:t xml:space="preserve">2.2. Preparation of </w:t>
      </w:r>
      <w:proofErr w:type="spellStart"/>
      <w:r w:rsidRPr="0003172E">
        <w:rPr>
          <w:rFonts w:asciiTheme="minorBidi" w:hAnsiTheme="minorBidi" w:cstheme="minorBidi"/>
          <w:b/>
          <w:bCs/>
        </w:rPr>
        <w:t>rGO</w:t>
      </w:r>
      <w:proofErr w:type="spellEnd"/>
      <w:r w:rsidRPr="0003172E">
        <w:rPr>
          <w:rFonts w:asciiTheme="minorBidi" w:hAnsiTheme="minorBidi" w:cstheme="minorBidi"/>
          <w:b/>
          <w:bCs/>
        </w:rPr>
        <w:t>/</w:t>
      </w:r>
      <w:proofErr w:type="spellStart"/>
      <w:r w:rsidRPr="0003172E">
        <w:rPr>
          <w:rFonts w:asciiTheme="minorBidi" w:hAnsiTheme="minorBidi" w:cstheme="minorBidi"/>
          <w:b/>
          <w:bCs/>
        </w:rPr>
        <w:t>PPy</w:t>
      </w:r>
      <w:proofErr w:type="spellEnd"/>
      <w:r w:rsidRPr="0003172E">
        <w:rPr>
          <w:rFonts w:asciiTheme="minorBidi" w:hAnsiTheme="minorBidi" w:cstheme="minorBidi"/>
          <w:b/>
          <w:bCs/>
        </w:rPr>
        <w:t xml:space="preserve"> Nanocomposite</w:t>
      </w:r>
    </w:p>
    <w:p w14:paraId="43E97E60"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An in-situ oxidative polymerization method was employed.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(50 mg) was dispersed in 100 mL deionized water by ultrasonication. Pyrrole monomer (0.1 M) was added, followed by dropwise addition of ammonium persulfate (APS, 0.1 M) as the oxidant under stirring at 0–5 °C for 6 h. The resulting </w:t>
      </w:r>
      <w:proofErr w:type="spellStart"/>
      <w:r w:rsidRPr="0003172E">
        <w:rPr>
          <w:rFonts w:asciiTheme="minorBidi" w:hAnsiTheme="minorBidi" w:cstheme="minorBidi"/>
        </w:rPr>
        <w:t>rGO</w:t>
      </w:r>
      <w:proofErr w:type="spellEnd"/>
      <w:r w:rsidRPr="0003172E">
        <w:rPr>
          <w:rFonts w:asciiTheme="minorBidi" w:hAnsiTheme="minorBidi" w:cstheme="minorBidi"/>
        </w:rPr>
        <w:t>/</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composite was filtered, washed, and dried under vacuum.</w:t>
      </w:r>
    </w:p>
    <w:p w14:paraId="6FA20A81" w14:textId="77777777" w:rsidR="0003172E" w:rsidRPr="0003172E" w:rsidRDefault="0003172E" w:rsidP="0003172E">
      <w:pPr>
        <w:jc w:val="both"/>
        <w:rPr>
          <w:rFonts w:asciiTheme="minorBidi" w:hAnsiTheme="minorBidi" w:cstheme="minorBidi"/>
          <w:b/>
          <w:bCs/>
        </w:rPr>
      </w:pPr>
      <w:r w:rsidRPr="0003172E">
        <w:rPr>
          <w:rFonts w:asciiTheme="minorBidi" w:hAnsiTheme="minorBidi" w:cstheme="minorBidi"/>
          <w:b/>
          <w:bCs/>
        </w:rPr>
        <w:t>2.3. Electrode Preparation</w:t>
      </w:r>
    </w:p>
    <w:p w14:paraId="3679EAB4"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lastRenderedPageBreak/>
        <w:t>The working electrode was fabricated by coating a slurry of active material (</w:t>
      </w:r>
      <w:proofErr w:type="spellStart"/>
      <w:r w:rsidRPr="0003172E">
        <w:rPr>
          <w:rFonts w:asciiTheme="minorBidi" w:hAnsiTheme="minorBidi" w:cstheme="minorBidi"/>
        </w:rPr>
        <w:t>rGO</w:t>
      </w:r>
      <w:proofErr w:type="spellEnd"/>
      <w:r w:rsidRPr="0003172E">
        <w:rPr>
          <w:rFonts w:asciiTheme="minorBidi" w:hAnsiTheme="minorBidi" w:cstheme="minorBidi"/>
        </w:rPr>
        <w:t>/</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carbon black, and polyvinylidene fluoride (PVDF) binder (80:10:10 </w:t>
      </w:r>
      <w:proofErr w:type="spellStart"/>
      <w:r w:rsidRPr="0003172E">
        <w:rPr>
          <w:rFonts w:asciiTheme="minorBidi" w:hAnsiTheme="minorBidi" w:cstheme="minorBidi"/>
        </w:rPr>
        <w:t>wt</w:t>
      </w:r>
      <w:proofErr w:type="spellEnd"/>
      <w:r w:rsidRPr="0003172E">
        <w:rPr>
          <w:rFonts w:asciiTheme="minorBidi" w:hAnsiTheme="minorBidi" w:cstheme="minorBidi"/>
        </w:rPr>
        <w:t>%) onto a nickel foam substrate, followed by drying at 80 °C for 12 h. A platinum wire and Ag/AgCl electrode were used as counter and reference electrodes, respectively.</w:t>
      </w:r>
    </w:p>
    <w:p w14:paraId="7E2DCE55" w14:textId="77777777" w:rsidR="0003172E" w:rsidRPr="0003172E" w:rsidRDefault="0003172E" w:rsidP="0003172E">
      <w:pPr>
        <w:jc w:val="both"/>
        <w:rPr>
          <w:rFonts w:asciiTheme="minorBidi" w:hAnsiTheme="minorBidi" w:cstheme="minorBidi"/>
          <w:b/>
          <w:bCs/>
        </w:rPr>
      </w:pPr>
      <w:r w:rsidRPr="0003172E">
        <w:rPr>
          <w:rFonts w:asciiTheme="minorBidi" w:hAnsiTheme="minorBidi" w:cstheme="minorBidi"/>
          <w:b/>
          <w:bCs/>
        </w:rPr>
        <w:t>2.4. Electrochemical Measurements</w:t>
      </w:r>
    </w:p>
    <w:p w14:paraId="3E519601"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Cyclic voltammetry (CV) was performed in a 1 M H</w:t>
      </w:r>
      <w:r w:rsidRPr="0003172E">
        <w:rPr>
          <w:rFonts w:ascii="Cambria Math" w:hAnsi="Cambria Math" w:cs="Cambria Math"/>
        </w:rPr>
        <w:t>₂</w:t>
      </w:r>
      <w:r w:rsidRPr="0003172E">
        <w:rPr>
          <w:rFonts w:asciiTheme="minorBidi" w:hAnsiTheme="minorBidi" w:cstheme="minorBidi"/>
        </w:rPr>
        <w:t>SO</w:t>
      </w:r>
      <w:r w:rsidRPr="0003172E">
        <w:rPr>
          <w:rFonts w:ascii="Cambria Math" w:hAnsi="Cambria Math" w:cs="Cambria Math"/>
        </w:rPr>
        <w:t>₄</w:t>
      </w:r>
      <w:r w:rsidRPr="0003172E">
        <w:rPr>
          <w:rFonts w:asciiTheme="minorBidi" w:hAnsiTheme="minorBidi" w:cstheme="minorBidi"/>
        </w:rPr>
        <w:t xml:space="preserve"> aqueous electrolyte using a </w:t>
      </w:r>
      <w:proofErr w:type="spellStart"/>
      <w:r w:rsidRPr="0003172E">
        <w:rPr>
          <w:rFonts w:asciiTheme="minorBidi" w:hAnsiTheme="minorBidi" w:cstheme="minorBidi"/>
        </w:rPr>
        <w:t>potentiostat</w:t>
      </w:r>
      <w:proofErr w:type="spellEnd"/>
      <w:r w:rsidRPr="0003172E">
        <w:rPr>
          <w:rFonts w:asciiTheme="minorBidi" w:hAnsiTheme="minorBidi" w:cstheme="minorBidi"/>
        </w:rPr>
        <w:t xml:space="preserve">. The potential window was set from </w:t>
      </w:r>
      <w:r w:rsidRPr="0003172E">
        <w:rPr>
          <w:rFonts w:ascii="Arial" w:hAnsi="Arial" w:cs="Arial"/>
        </w:rPr>
        <w:t>–</w:t>
      </w:r>
      <w:r w:rsidRPr="0003172E">
        <w:rPr>
          <w:rFonts w:asciiTheme="minorBidi" w:hAnsiTheme="minorBidi" w:cstheme="minorBidi"/>
        </w:rPr>
        <w:t>0.2 V to 0.8 V at various scan rates (5</w:t>
      </w:r>
      <w:r w:rsidRPr="0003172E">
        <w:rPr>
          <w:rFonts w:ascii="Arial" w:hAnsi="Arial" w:cs="Arial"/>
        </w:rPr>
        <w:t>–</w:t>
      </w:r>
      <w:r w:rsidRPr="0003172E">
        <w:rPr>
          <w:rFonts w:asciiTheme="minorBidi" w:hAnsiTheme="minorBidi" w:cstheme="minorBidi"/>
        </w:rPr>
        <w:t>100 mV s</w:t>
      </w:r>
      <w:r w:rsidRPr="0003172E">
        <w:rPr>
          <w:rFonts w:ascii="Cambria Math" w:hAnsi="Cambria Math" w:cs="Cambria Math"/>
        </w:rPr>
        <w:t>⁻</w:t>
      </w:r>
      <w:r w:rsidRPr="0003172E">
        <w:rPr>
          <w:rFonts w:ascii="Arial" w:hAnsi="Arial" w:cs="Arial"/>
        </w:rPr>
        <w:t>¹</w:t>
      </w:r>
      <w:r w:rsidRPr="0003172E">
        <w:rPr>
          <w:rFonts w:asciiTheme="minorBidi" w:hAnsiTheme="minorBidi" w:cstheme="minorBidi"/>
        </w:rPr>
        <w:t>).</w:t>
      </w:r>
    </w:p>
    <w:p w14:paraId="3A415DBE" w14:textId="6F9338A6" w:rsidR="00790ADA" w:rsidRPr="0003172E" w:rsidRDefault="00790ADA" w:rsidP="00441B6F">
      <w:pPr>
        <w:pStyle w:val="AbstHead"/>
        <w:spacing w:after="0"/>
        <w:jc w:val="both"/>
        <w:rPr>
          <w:rFonts w:ascii="Arial" w:hAnsi="Arial" w:cs="Arial"/>
          <w:b w:val="0"/>
          <w:bCs/>
        </w:rPr>
      </w:pPr>
    </w:p>
    <w:p w14:paraId="44D9D6DB" w14:textId="77777777" w:rsidR="00790ADA" w:rsidRPr="00FB3A86" w:rsidRDefault="00790ADA" w:rsidP="00441B6F">
      <w:pPr>
        <w:pStyle w:val="Body"/>
        <w:spacing w:after="0"/>
        <w:rPr>
          <w:rFonts w:ascii="Arial" w:hAnsi="Arial" w:cs="Arial"/>
        </w:rPr>
      </w:pPr>
    </w:p>
    <w:p w14:paraId="741473E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FAEAD9F" w14:textId="77777777" w:rsidR="00790ADA" w:rsidRDefault="00790ADA" w:rsidP="00441B6F">
      <w:pPr>
        <w:pStyle w:val="Head1"/>
        <w:spacing w:after="0"/>
        <w:jc w:val="both"/>
        <w:rPr>
          <w:rFonts w:ascii="Arial" w:hAnsi="Arial" w:cs="Arial"/>
        </w:rPr>
      </w:pPr>
    </w:p>
    <w:p w14:paraId="764F4F10" w14:textId="77777777" w:rsidR="0003172E" w:rsidRPr="00482C88" w:rsidRDefault="0003172E" w:rsidP="0003172E">
      <w:pPr>
        <w:jc w:val="both"/>
        <w:rPr>
          <w:rFonts w:asciiTheme="minorBidi" w:hAnsiTheme="minorBidi" w:cstheme="minorBidi"/>
          <w:b/>
          <w:bCs/>
        </w:rPr>
      </w:pPr>
      <w:r w:rsidRPr="00482C88">
        <w:rPr>
          <w:rFonts w:asciiTheme="minorBidi" w:hAnsiTheme="minorBidi" w:cstheme="minorBidi"/>
          <w:b/>
          <w:bCs/>
        </w:rPr>
        <w:t>3.1. Cyclic Voltammetry Characterization</w:t>
      </w:r>
    </w:p>
    <w:p w14:paraId="5B9904A2" w14:textId="77777777" w:rsidR="0003172E" w:rsidRDefault="0003172E" w:rsidP="0003172E">
      <w:pPr>
        <w:jc w:val="both"/>
        <w:rPr>
          <w:rFonts w:asciiTheme="majorBidi" w:hAnsiTheme="majorBidi" w:cstheme="majorBidi"/>
        </w:rPr>
      </w:pPr>
    </w:p>
    <w:p w14:paraId="1853A361"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Cyclic voltammetry (CV) is a fundamental electrochemical technique widely used to evaluate the capacitive and redox characteristics of electrode materials [14]. In the present study, CV curves for a series of reduced graphene oxide/</w:t>
      </w:r>
      <w:proofErr w:type="spellStart"/>
      <w:r w:rsidRPr="0003172E">
        <w:rPr>
          <w:rFonts w:asciiTheme="minorBidi" w:hAnsiTheme="minorBidi" w:cstheme="minorBidi"/>
        </w:rPr>
        <w:t>polypyrrole</w:t>
      </w:r>
      <w:proofErr w:type="spellEnd"/>
      <w:r w:rsidRPr="0003172E">
        <w:rPr>
          <w:rFonts w:asciiTheme="minorBidi" w:hAnsiTheme="minorBidi" w:cstheme="minorBidi"/>
        </w:rPr>
        <w:t xml:space="preserve"> (</w:t>
      </w:r>
      <w:proofErr w:type="spellStart"/>
      <w:r w:rsidRPr="0003172E">
        <w:rPr>
          <w:rFonts w:asciiTheme="minorBidi" w:hAnsiTheme="minorBidi" w:cstheme="minorBidi"/>
        </w:rPr>
        <w:t>rGO</w:t>
      </w:r>
      <w:proofErr w:type="spellEnd"/>
      <w:r w:rsidRPr="0003172E">
        <w:rPr>
          <w:rFonts w:asciiTheme="minorBidi" w:hAnsiTheme="minorBidi" w:cstheme="minorBidi"/>
        </w:rPr>
        <w:t>/</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composites with varying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content—</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/PPy5,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/PPy10,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/PPy15, and </w:t>
      </w:r>
      <w:proofErr w:type="spellStart"/>
      <w:r w:rsidRPr="0003172E">
        <w:rPr>
          <w:rFonts w:asciiTheme="minorBidi" w:hAnsiTheme="minorBidi" w:cstheme="minorBidi"/>
        </w:rPr>
        <w:t>rGO</w:t>
      </w:r>
      <w:proofErr w:type="spellEnd"/>
      <w:r w:rsidRPr="0003172E">
        <w:rPr>
          <w:rFonts w:asciiTheme="minorBidi" w:hAnsiTheme="minorBidi" w:cstheme="minorBidi"/>
        </w:rPr>
        <w:t>/PPy20—were recorded at a scan rate of 10 mV/s to analyze their electrochemical behavior. Each curve reveals distinct features corresponding to the synergistic interactions between the conductive polymer and the graphene-based matrix.</w:t>
      </w:r>
    </w:p>
    <w:p w14:paraId="5FDDC00D" w14:textId="77777777" w:rsidR="0003172E" w:rsidRPr="00FB3A86" w:rsidRDefault="0003172E" w:rsidP="00441B6F">
      <w:pPr>
        <w:pStyle w:val="Head1"/>
        <w:spacing w:after="0"/>
        <w:jc w:val="both"/>
        <w:rPr>
          <w:rFonts w:ascii="Arial" w:hAnsi="Arial" w:cs="Arial"/>
        </w:rPr>
      </w:pPr>
    </w:p>
    <w:p w14:paraId="6228EB65" w14:textId="6DEA74B7" w:rsidR="0003172E" w:rsidRDefault="0003172E" w:rsidP="00441B6F">
      <w:pPr>
        <w:pStyle w:val="Body"/>
        <w:spacing w:after="0"/>
        <w:rPr>
          <w:rFonts w:ascii="Arial" w:hAnsi="Arial" w:cs="Arial"/>
        </w:rPr>
      </w:pPr>
      <w:r>
        <w:rPr>
          <w:rFonts w:ascii="Arial" w:hAnsi="Arial" w:cs="Arial"/>
        </w:rPr>
        <w:t xml:space="preserve">              </w:t>
      </w:r>
      <w:r w:rsidRPr="00AB690F">
        <w:rPr>
          <w:rFonts w:asciiTheme="majorBidi" w:hAnsiTheme="majorBidi" w:cstheme="majorBidi"/>
          <w:noProof/>
        </w:rPr>
        <w:drawing>
          <wp:inline distT="0" distB="0" distL="0" distR="0" wp14:anchorId="4F1E1CF9" wp14:editId="514A49EF">
            <wp:extent cx="4251960" cy="3271705"/>
            <wp:effectExtent l="0" t="0" r="0" b="0"/>
            <wp:docPr id="462626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9146" cy="3277234"/>
                    </a:xfrm>
                    <a:prstGeom prst="rect">
                      <a:avLst/>
                    </a:prstGeom>
                    <a:noFill/>
                    <a:ln>
                      <a:noFill/>
                    </a:ln>
                  </pic:spPr>
                </pic:pic>
              </a:graphicData>
            </a:graphic>
          </wp:inline>
        </w:drawing>
      </w:r>
    </w:p>
    <w:p w14:paraId="25CB2013" w14:textId="48311E24" w:rsidR="0003172E" w:rsidRDefault="0003172E" w:rsidP="00441B6F">
      <w:pPr>
        <w:pStyle w:val="Body"/>
        <w:spacing w:after="0"/>
        <w:rPr>
          <w:rFonts w:ascii="Arial" w:hAnsi="Arial" w:cs="Arial"/>
        </w:rPr>
      </w:pPr>
      <w:r w:rsidRPr="00AB690F">
        <w:rPr>
          <w:rFonts w:asciiTheme="majorBidi" w:hAnsiTheme="majorBidi" w:cstheme="majorBidi"/>
          <w:noProof/>
        </w:rPr>
        <w:lastRenderedPageBreak/>
        <w:drawing>
          <wp:inline distT="0" distB="0" distL="0" distR="0" wp14:anchorId="1F5E206C" wp14:editId="790EA4CD">
            <wp:extent cx="5156200" cy="3967480"/>
            <wp:effectExtent l="0" t="0" r="0" b="0"/>
            <wp:docPr id="1764312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6200" cy="3967480"/>
                    </a:xfrm>
                    <a:prstGeom prst="rect">
                      <a:avLst/>
                    </a:prstGeom>
                    <a:noFill/>
                    <a:ln>
                      <a:noFill/>
                    </a:ln>
                  </pic:spPr>
                </pic:pic>
              </a:graphicData>
            </a:graphic>
          </wp:inline>
        </w:drawing>
      </w:r>
    </w:p>
    <w:p w14:paraId="21E6D7A1" w14:textId="2BB10D87" w:rsidR="0003172E" w:rsidRDefault="0003172E" w:rsidP="00441B6F">
      <w:pPr>
        <w:pStyle w:val="Body"/>
        <w:spacing w:after="0"/>
        <w:rPr>
          <w:rFonts w:ascii="Arial" w:hAnsi="Arial" w:cs="Arial"/>
        </w:rPr>
      </w:pPr>
      <w:r w:rsidRPr="00AB690F">
        <w:rPr>
          <w:rFonts w:asciiTheme="majorBidi" w:hAnsiTheme="majorBidi" w:cstheme="majorBidi"/>
          <w:noProof/>
        </w:rPr>
        <w:lastRenderedPageBreak/>
        <w:drawing>
          <wp:inline distT="0" distB="0" distL="0" distR="0" wp14:anchorId="4260B8E7" wp14:editId="13A24CFD">
            <wp:extent cx="5156200" cy="3967480"/>
            <wp:effectExtent l="0" t="0" r="0" b="0"/>
            <wp:docPr id="20272669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6200" cy="3967480"/>
                    </a:xfrm>
                    <a:prstGeom prst="rect">
                      <a:avLst/>
                    </a:prstGeom>
                    <a:noFill/>
                    <a:ln>
                      <a:noFill/>
                    </a:ln>
                  </pic:spPr>
                </pic:pic>
              </a:graphicData>
            </a:graphic>
          </wp:inline>
        </w:drawing>
      </w:r>
    </w:p>
    <w:p w14:paraId="112297E6" w14:textId="77777777" w:rsidR="0003172E" w:rsidRDefault="0003172E" w:rsidP="00441B6F">
      <w:pPr>
        <w:pStyle w:val="Body"/>
        <w:spacing w:after="0"/>
        <w:rPr>
          <w:rFonts w:ascii="Arial" w:hAnsi="Arial" w:cs="Arial"/>
        </w:rPr>
      </w:pPr>
      <w:r>
        <w:rPr>
          <w:rFonts w:ascii="Arial" w:hAnsi="Arial" w:cs="Arial"/>
        </w:rPr>
        <w:t xml:space="preserve">    </w:t>
      </w:r>
    </w:p>
    <w:p w14:paraId="49FD48F4" w14:textId="54DB178D" w:rsidR="0003172E" w:rsidRDefault="0003172E" w:rsidP="0003172E">
      <w:pPr>
        <w:pStyle w:val="Body"/>
        <w:spacing w:after="0"/>
        <w:rPr>
          <w:rFonts w:ascii="Arial" w:hAnsi="Arial" w:cs="Arial"/>
        </w:rPr>
      </w:pPr>
      <w:r w:rsidRPr="00AB690F">
        <w:rPr>
          <w:rFonts w:asciiTheme="majorBidi" w:hAnsiTheme="majorBidi" w:cstheme="majorBidi"/>
          <w:noProof/>
        </w:rPr>
        <w:drawing>
          <wp:inline distT="0" distB="0" distL="0" distR="0" wp14:anchorId="563AC690" wp14:editId="0AA4C777">
            <wp:extent cx="4272280" cy="3287341"/>
            <wp:effectExtent l="0" t="0" r="0" b="0"/>
            <wp:docPr id="743877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3784" cy="3296193"/>
                    </a:xfrm>
                    <a:prstGeom prst="rect">
                      <a:avLst/>
                    </a:prstGeom>
                    <a:noFill/>
                    <a:ln>
                      <a:noFill/>
                    </a:ln>
                  </pic:spPr>
                </pic:pic>
              </a:graphicData>
            </a:graphic>
          </wp:inline>
        </w:drawing>
      </w:r>
      <w:r>
        <w:rPr>
          <w:rFonts w:ascii="Arial" w:hAnsi="Arial" w:cs="Arial"/>
        </w:rPr>
        <w:t xml:space="preserve"> </w:t>
      </w:r>
    </w:p>
    <w:p w14:paraId="6F509D59" w14:textId="77777777" w:rsidR="0003172E" w:rsidRDefault="0003172E" w:rsidP="0003172E">
      <w:pPr>
        <w:pStyle w:val="Body"/>
        <w:spacing w:after="0"/>
        <w:rPr>
          <w:rFonts w:ascii="Arial" w:hAnsi="Arial" w:cs="Arial"/>
        </w:rPr>
      </w:pPr>
    </w:p>
    <w:p w14:paraId="714A2782" w14:textId="77777777" w:rsidR="0003172E" w:rsidRDefault="0003172E" w:rsidP="0003172E">
      <w:pPr>
        <w:pStyle w:val="Body"/>
        <w:spacing w:after="0"/>
        <w:rPr>
          <w:rFonts w:ascii="Arial" w:hAnsi="Arial" w:cs="Arial"/>
        </w:rPr>
      </w:pPr>
    </w:p>
    <w:p w14:paraId="681C7680" w14:textId="77777777" w:rsidR="0003172E" w:rsidRDefault="0003172E" w:rsidP="0003172E">
      <w:pPr>
        <w:pStyle w:val="Body"/>
        <w:spacing w:after="0"/>
        <w:rPr>
          <w:rFonts w:ascii="Arial" w:hAnsi="Arial" w:cs="Arial"/>
        </w:rPr>
      </w:pPr>
    </w:p>
    <w:p w14:paraId="7A3D5763" w14:textId="67FB115E" w:rsidR="0003172E" w:rsidRDefault="0003172E" w:rsidP="0003172E">
      <w:pPr>
        <w:pStyle w:val="Body"/>
        <w:spacing w:after="0"/>
        <w:rPr>
          <w:rFonts w:ascii="Arial" w:hAnsi="Arial" w:cs="Arial"/>
        </w:rPr>
      </w:pPr>
      <w:r w:rsidRPr="00AB690F">
        <w:rPr>
          <w:rFonts w:asciiTheme="majorBidi" w:hAnsiTheme="majorBidi" w:cstheme="majorBidi"/>
          <w:b/>
          <w:bCs/>
          <w:noProof/>
        </w:rPr>
        <w:lastRenderedPageBreak/>
        <w:drawing>
          <wp:inline distT="0" distB="0" distL="0" distR="0" wp14:anchorId="25D62EF9" wp14:editId="24D4C88C">
            <wp:extent cx="5156200" cy="3967480"/>
            <wp:effectExtent l="0" t="0" r="0" b="0"/>
            <wp:docPr id="777690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6200" cy="3967480"/>
                    </a:xfrm>
                    <a:prstGeom prst="rect">
                      <a:avLst/>
                    </a:prstGeom>
                    <a:noFill/>
                    <a:ln>
                      <a:noFill/>
                    </a:ln>
                  </pic:spPr>
                </pic:pic>
              </a:graphicData>
            </a:graphic>
          </wp:inline>
        </w:drawing>
      </w:r>
    </w:p>
    <w:p w14:paraId="3366FC4B"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b/>
          <w:bCs/>
        </w:rPr>
        <w:t xml:space="preserve">Figure 1. </w:t>
      </w:r>
      <w:r w:rsidRPr="0003172E">
        <w:rPr>
          <w:rFonts w:asciiTheme="minorBidi" w:hAnsiTheme="minorBidi" w:cstheme="minorBidi"/>
        </w:rPr>
        <w:t xml:space="preserve">Cyclic Voltammetry Curves of </w:t>
      </w:r>
      <w:proofErr w:type="spellStart"/>
      <w:r w:rsidRPr="0003172E">
        <w:rPr>
          <w:rFonts w:asciiTheme="minorBidi" w:hAnsiTheme="minorBidi" w:cstheme="minorBidi"/>
        </w:rPr>
        <w:t>rGO</w:t>
      </w:r>
      <w:proofErr w:type="spellEnd"/>
      <w:r w:rsidRPr="0003172E">
        <w:rPr>
          <w:rFonts w:asciiTheme="minorBidi" w:hAnsiTheme="minorBidi" w:cstheme="minorBidi"/>
        </w:rPr>
        <w:t>/</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Composite at various concentrations</w:t>
      </w:r>
    </w:p>
    <w:p w14:paraId="6DB1E609" w14:textId="77777777" w:rsidR="0003172E" w:rsidRDefault="0003172E" w:rsidP="0003172E">
      <w:pPr>
        <w:pStyle w:val="Body"/>
        <w:spacing w:after="0"/>
        <w:rPr>
          <w:rFonts w:ascii="Arial" w:hAnsi="Arial" w:cs="Arial"/>
        </w:rPr>
      </w:pPr>
    </w:p>
    <w:p w14:paraId="4988875D" w14:textId="2BAE4973" w:rsidR="0003172E" w:rsidRDefault="0003172E" w:rsidP="00441B6F">
      <w:pPr>
        <w:pStyle w:val="Body"/>
        <w:spacing w:after="0"/>
        <w:rPr>
          <w:rFonts w:ascii="Arial" w:hAnsi="Arial" w:cs="Arial"/>
        </w:rPr>
      </w:pPr>
    </w:p>
    <w:p w14:paraId="07D630AD" w14:textId="7809C0C6" w:rsidR="0003172E" w:rsidRPr="0003172E" w:rsidRDefault="00482C88" w:rsidP="0003172E">
      <w:pPr>
        <w:spacing w:before="100" w:beforeAutospacing="1" w:after="100" w:afterAutospacing="1"/>
        <w:jc w:val="both"/>
        <w:outlineLvl w:val="2"/>
        <w:rPr>
          <w:rFonts w:asciiTheme="minorBidi" w:hAnsiTheme="minorBidi" w:cstheme="minorBidi"/>
          <w:b/>
          <w:bCs/>
          <w:lang w:eastAsia="en-IN"/>
        </w:rPr>
      </w:pPr>
      <w:r>
        <w:rPr>
          <w:rFonts w:asciiTheme="minorBidi" w:hAnsiTheme="minorBidi" w:cstheme="minorBidi"/>
          <w:b/>
          <w:bCs/>
          <w:lang w:eastAsia="en-IN"/>
        </w:rPr>
        <w:t>3.2</w:t>
      </w:r>
      <w:r w:rsidR="0003172E" w:rsidRPr="0003172E">
        <w:rPr>
          <w:rFonts w:asciiTheme="minorBidi" w:hAnsiTheme="minorBidi" w:cstheme="minorBidi"/>
          <w:b/>
          <w:bCs/>
          <w:lang w:eastAsia="en-IN"/>
        </w:rPr>
        <w:t xml:space="preserve"> General Electrochemical Behavior</w:t>
      </w:r>
    </w:p>
    <w:p w14:paraId="3F16023D"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All four CV profiles exhibit a quasi-rectangular shape with distinguishable redox humps, suggesting a combination of double-layer capacitance and pseudocapacitive behavior. The near-rectangular baseline reflects the capacitive response typically associated with the large surface area and high conductivity of reduced graphene oxide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 while the superimposed redox peaks correspond to the faradaic processes contributed by the </w:t>
      </w:r>
      <w:proofErr w:type="spellStart"/>
      <w:r w:rsidRPr="0003172E">
        <w:rPr>
          <w:rFonts w:asciiTheme="minorBidi" w:hAnsiTheme="minorBidi" w:cstheme="minorBidi"/>
          <w:lang w:eastAsia="en-IN"/>
        </w:rPr>
        <w:t>polypyrrole</w:t>
      </w:r>
      <w:proofErr w:type="spellEnd"/>
      <w:r w:rsidRPr="0003172E">
        <w:rPr>
          <w:rFonts w:asciiTheme="minorBidi" w:hAnsiTheme="minorBidi" w:cstheme="minorBidi"/>
          <w:lang w:eastAsia="en-IN"/>
        </w:rPr>
        <w:t xml:space="preserve">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component. This hybrid characteristic confirms that the charge storage mechanism in these composites is governed by both </w:t>
      </w:r>
      <w:r w:rsidRPr="0003172E">
        <w:rPr>
          <w:rFonts w:asciiTheme="minorBidi" w:hAnsiTheme="minorBidi" w:cstheme="minorBidi"/>
          <w:b/>
          <w:bCs/>
          <w:lang w:eastAsia="en-IN"/>
        </w:rPr>
        <w:t>electrostatic ion adsorption (EDLC behavior)</w:t>
      </w:r>
      <w:r w:rsidRPr="0003172E">
        <w:rPr>
          <w:rFonts w:asciiTheme="minorBidi" w:hAnsiTheme="minorBidi" w:cstheme="minorBidi"/>
          <w:lang w:eastAsia="en-IN"/>
        </w:rPr>
        <w:t xml:space="preserve"> and </w:t>
      </w:r>
      <w:r w:rsidRPr="0003172E">
        <w:rPr>
          <w:rFonts w:asciiTheme="minorBidi" w:hAnsiTheme="minorBidi" w:cstheme="minorBidi"/>
          <w:b/>
          <w:bCs/>
          <w:lang w:eastAsia="en-IN"/>
        </w:rPr>
        <w:t>reversible redox reactions</w:t>
      </w:r>
      <w:r w:rsidRPr="0003172E">
        <w:rPr>
          <w:rFonts w:asciiTheme="minorBidi" w:hAnsiTheme="minorBidi" w:cstheme="minorBidi"/>
          <w:lang w:eastAsia="en-IN"/>
        </w:rPr>
        <w:t xml:space="preserve"> involving the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chains [15].</w:t>
      </w:r>
    </w:p>
    <w:p w14:paraId="4A60AA23"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The anodic and cathodic currents increase gradually with potential, showing good symmetry, which indicates efficient redox reversibility and stable charge propagation within the electrode structure. Moreover, the absence of any pronounced distortion or peak splitting in the CV profiles suggests minimal internal resistance and satisfactory electron transport across the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interfaces [15-16].</w:t>
      </w:r>
    </w:p>
    <w:p w14:paraId="796BE198" w14:textId="77CDF12E" w:rsidR="0003172E" w:rsidRPr="0003172E" w:rsidRDefault="00482C88" w:rsidP="0003172E">
      <w:pPr>
        <w:spacing w:before="100" w:beforeAutospacing="1" w:after="100" w:afterAutospacing="1"/>
        <w:jc w:val="both"/>
        <w:outlineLvl w:val="2"/>
        <w:rPr>
          <w:rFonts w:asciiTheme="minorBidi" w:hAnsiTheme="minorBidi" w:cstheme="minorBidi"/>
          <w:b/>
          <w:bCs/>
          <w:lang w:eastAsia="en-IN"/>
        </w:rPr>
      </w:pPr>
      <w:r>
        <w:rPr>
          <w:rFonts w:asciiTheme="minorBidi" w:hAnsiTheme="minorBidi" w:cstheme="minorBidi"/>
          <w:b/>
          <w:bCs/>
          <w:lang w:eastAsia="en-IN"/>
        </w:rPr>
        <w:t>3.3</w:t>
      </w:r>
      <w:r w:rsidR="0003172E" w:rsidRPr="0003172E">
        <w:rPr>
          <w:rFonts w:asciiTheme="minorBidi" w:hAnsiTheme="minorBidi" w:cstheme="minorBidi"/>
          <w:b/>
          <w:bCs/>
          <w:lang w:eastAsia="en-IN"/>
        </w:rPr>
        <w:t xml:space="preserve"> Influence of </w:t>
      </w:r>
      <w:proofErr w:type="spellStart"/>
      <w:r w:rsidR="0003172E" w:rsidRPr="0003172E">
        <w:rPr>
          <w:rFonts w:asciiTheme="minorBidi" w:hAnsiTheme="minorBidi" w:cstheme="minorBidi"/>
          <w:b/>
          <w:bCs/>
          <w:lang w:eastAsia="en-IN"/>
        </w:rPr>
        <w:t>PPy</w:t>
      </w:r>
      <w:proofErr w:type="spellEnd"/>
      <w:r w:rsidR="0003172E" w:rsidRPr="0003172E">
        <w:rPr>
          <w:rFonts w:asciiTheme="minorBidi" w:hAnsiTheme="minorBidi" w:cstheme="minorBidi"/>
          <w:b/>
          <w:bCs/>
          <w:lang w:eastAsia="en-IN"/>
        </w:rPr>
        <w:t xml:space="preserve"> Loading</w:t>
      </w:r>
    </w:p>
    <w:p w14:paraId="3ABA7F1A"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The CV curves show a clear dependence of current response on the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content. The sample with the lowest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fraction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/PPy5) displays a smaller integrated area under the </w:t>
      </w:r>
      <w:r w:rsidRPr="0003172E">
        <w:rPr>
          <w:rFonts w:asciiTheme="minorBidi" w:hAnsiTheme="minorBidi" w:cstheme="minorBidi"/>
          <w:lang w:eastAsia="en-IN"/>
        </w:rPr>
        <w:lastRenderedPageBreak/>
        <w:t xml:space="preserve">curve, implying a lower overall capacitance. As the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content increases to 10 and 15 </w:t>
      </w:r>
      <w:proofErr w:type="spellStart"/>
      <w:r w:rsidRPr="0003172E">
        <w:rPr>
          <w:rFonts w:asciiTheme="minorBidi" w:hAnsiTheme="minorBidi" w:cstheme="minorBidi"/>
          <w:lang w:eastAsia="en-IN"/>
        </w:rPr>
        <w:t>wt</w:t>
      </w:r>
      <w:proofErr w:type="spellEnd"/>
      <w:r w:rsidRPr="0003172E">
        <w:rPr>
          <w:rFonts w:asciiTheme="minorBidi" w:hAnsiTheme="minorBidi" w:cstheme="minorBidi"/>
          <w:lang w:eastAsia="en-IN"/>
        </w:rPr>
        <w:t xml:space="preserve">%, the CV area expands progressively, suggesting an enhancement in the electrochemical activity. This improvement can be attributed to the introduction of more redox-active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sites that participate in charge transfer processes, thereby boosting pseudocapacitive contributions.</w:t>
      </w:r>
    </w:p>
    <w:p w14:paraId="1FAADE17"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At 15 </w:t>
      </w:r>
      <w:proofErr w:type="spellStart"/>
      <w:r w:rsidRPr="0003172E">
        <w:rPr>
          <w:rFonts w:asciiTheme="minorBidi" w:hAnsiTheme="minorBidi" w:cstheme="minorBidi"/>
          <w:lang w:eastAsia="en-IN"/>
        </w:rPr>
        <w:t>wt</w:t>
      </w:r>
      <w:proofErr w:type="spellEnd"/>
      <w:r w:rsidRPr="0003172E">
        <w:rPr>
          <w:rFonts w:asciiTheme="minorBidi" w:hAnsiTheme="minorBidi" w:cstheme="minorBidi"/>
          <w:lang w:eastAsia="en-IN"/>
        </w:rPr>
        <w:t xml:space="preserve">%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the CV curve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/PPy15) exhibits the most pronounced redox peaks and the broadest enclosed area among the four samples. This indicates that an optimal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content exists where the composite achieves maximum electrochemical synergy [17]. Beyond this point, however, a further increase in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loading (as in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/PPy20) results in a slight decrease in the current response, as reflected by the smaller CV area compared to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/PPy15. The reduction in electrochemical activity at higher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content is likely due to the polymer’s intrinsic limitations—namely, its poor long-term conductivity and tendency to form dense, agglomerated layers that impede ion diffusion [18].</w:t>
      </w:r>
    </w:p>
    <w:p w14:paraId="7916E36E" w14:textId="61A95047" w:rsidR="0003172E" w:rsidRPr="0003172E" w:rsidRDefault="0003172E" w:rsidP="0003172E">
      <w:pPr>
        <w:spacing w:before="100" w:beforeAutospacing="1" w:after="100" w:afterAutospacing="1"/>
        <w:jc w:val="both"/>
        <w:outlineLvl w:val="2"/>
        <w:rPr>
          <w:rFonts w:asciiTheme="minorBidi" w:hAnsiTheme="minorBidi" w:cstheme="minorBidi"/>
          <w:b/>
          <w:bCs/>
          <w:lang w:eastAsia="en-IN"/>
        </w:rPr>
      </w:pPr>
      <w:r w:rsidRPr="0003172E">
        <w:rPr>
          <w:rFonts w:asciiTheme="minorBidi" w:hAnsiTheme="minorBidi" w:cstheme="minorBidi"/>
          <w:b/>
          <w:bCs/>
          <w:lang w:eastAsia="en-IN"/>
        </w:rPr>
        <w:t>3.</w:t>
      </w:r>
      <w:r w:rsidR="00482C88">
        <w:rPr>
          <w:rFonts w:asciiTheme="minorBidi" w:hAnsiTheme="minorBidi" w:cstheme="minorBidi"/>
          <w:b/>
          <w:bCs/>
          <w:lang w:eastAsia="en-IN"/>
        </w:rPr>
        <w:t>4</w:t>
      </w:r>
      <w:r w:rsidRPr="0003172E">
        <w:rPr>
          <w:rFonts w:asciiTheme="minorBidi" w:hAnsiTheme="minorBidi" w:cstheme="minorBidi"/>
          <w:b/>
          <w:bCs/>
          <w:lang w:eastAsia="en-IN"/>
        </w:rPr>
        <w:t xml:space="preserve"> Redox Behavior and Charge Storage Mechanism</w:t>
      </w:r>
    </w:p>
    <w:p w14:paraId="7E1FF34F"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The redox features observed around 0.3–0.5 V are characteristic of the </w:t>
      </w:r>
      <w:r w:rsidRPr="0003172E">
        <w:rPr>
          <w:rFonts w:asciiTheme="minorBidi" w:hAnsiTheme="minorBidi" w:cstheme="minorBidi"/>
          <w:b/>
          <w:bCs/>
          <w:lang w:eastAsia="en-IN"/>
        </w:rPr>
        <w:t xml:space="preserve">doping and </w:t>
      </w:r>
      <w:proofErr w:type="spellStart"/>
      <w:r w:rsidRPr="0003172E">
        <w:rPr>
          <w:rFonts w:asciiTheme="minorBidi" w:hAnsiTheme="minorBidi" w:cstheme="minorBidi"/>
          <w:b/>
          <w:bCs/>
          <w:lang w:eastAsia="en-IN"/>
        </w:rPr>
        <w:t>dedoping</w:t>
      </w:r>
      <w:proofErr w:type="spellEnd"/>
      <w:r w:rsidRPr="0003172E">
        <w:rPr>
          <w:rFonts w:asciiTheme="minorBidi" w:hAnsiTheme="minorBidi" w:cstheme="minorBidi"/>
          <w:b/>
          <w:bCs/>
          <w:lang w:eastAsia="en-IN"/>
        </w:rPr>
        <w:t xml:space="preserve"> processes</w:t>
      </w:r>
      <w:r w:rsidRPr="0003172E">
        <w:rPr>
          <w:rFonts w:asciiTheme="minorBidi" w:hAnsiTheme="minorBidi" w:cstheme="minorBidi"/>
          <w:lang w:eastAsia="en-IN"/>
        </w:rPr>
        <w:t xml:space="preserve"> in </w:t>
      </w:r>
      <w:proofErr w:type="spellStart"/>
      <w:r w:rsidRPr="0003172E">
        <w:rPr>
          <w:rFonts w:asciiTheme="minorBidi" w:hAnsiTheme="minorBidi" w:cstheme="minorBidi"/>
          <w:lang w:eastAsia="en-IN"/>
        </w:rPr>
        <w:t>polypyrrole</w:t>
      </w:r>
      <w:proofErr w:type="spellEnd"/>
      <w:r w:rsidRPr="0003172E">
        <w:rPr>
          <w:rFonts w:asciiTheme="minorBidi" w:hAnsiTheme="minorBidi" w:cstheme="minorBidi"/>
          <w:lang w:eastAsia="en-IN"/>
        </w:rPr>
        <w:t xml:space="preserve">. The peaks can be ascribed to the transition between the </w:t>
      </w:r>
      <w:proofErr w:type="spellStart"/>
      <w:r w:rsidRPr="0003172E">
        <w:rPr>
          <w:rFonts w:asciiTheme="minorBidi" w:hAnsiTheme="minorBidi" w:cstheme="minorBidi"/>
          <w:lang w:eastAsia="en-IN"/>
        </w:rPr>
        <w:t>leucoemeraldine</w:t>
      </w:r>
      <w:proofErr w:type="spellEnd"/>
      <w:r w:rsidRPr="0003172E">
        <w:rPr>
          <w:rFonts w:asciiTheme="minorBidi" w:hAnsiTheme="minorBidi" w:cstheme="minorBidi"/>
          <w:lang w:eastAsia="en-IN"/>
        </w:rPr>
        <w:t xml:space="preserve"> (reduced) and </w:t>
      </w:r>
      <w:proofErr w:type="spellStart"/>
      <w:r w:rsidRPr="0003172E">
        <w:rPr>
          <w:rFonts w:asciiTheme="minorBidi" w:hAnsiTheme="minorBidi" w:cstheme="minorBidi"/>
          <w:lang w:eastAsia="en-IN"/>
        </w:rPr>
        <w:t>pernigraniline</w:t>
      </w:r>
      <w:proofErr w:type="spellEnd"/>
      <w:r w:rsidRPr="0003172E">
        <w:rPr>
          <w:rFonts w:asciiTheme="minorBidi" w:hAnsiTheme="minorBidi" w:cstheme="minorBidi"/>
          <w:lang w:eastAsia="en-IN"/>
        </w:rPr>
        <w:t xml:space="preserve"> (oxidized) states of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which involve the exchange of counter ions from the electrolyte. The general redox process can be described as:</w:t>
      </w:r>
    </w:p>
    <w:p w14:paraId="2AC623BF" w14:textId="77777777" w:rsidR="0003172E" w:rsidRPr="0003172E" w:rsidRDefault="004603CF" w:rsidP="0003172E">
      <w:pPr>
        <w:jc w:val="both"/>
        <w:rPr>
          <w:rFonts w:asciiTheme="minorBidi" w:hAnsiTheme="minorBidi" w:cstheme="minorBidi"/>
          <w:lang w:eastAsia="en-IN"/>
        </w:rPr>
      </w:pPr>
      <m:oMathPara>
        <m:oMath>
          <m:sSup>
            <m:sSupPr>
              <m:ctrlPr>
                <w:rPr>
                  <w:rFonts w:ascii="Cambria Math" w:hAnsi="Cambria Math" w:cstheme="minorBidi"/>
                  <w:lang w:eastAsia="en-IN"/>
                </w:rPr>
              </m:ctrlPr>
            </m:sSupPr>
            <m:e>
              <m:r>
                <m:rPr>
                  <m:nor/>
                </m:rPr>
                <w:rPr>
                  <w:rFonts w:asciiTheme="minorBidi" w:hAnsiTheme="minorBidi" w:cstheme="minorBidi"/>
                  <w:lang w:eastAsia="en-IN"/>
                </w:rPr>
                <m:t>PPy</m:t>
              </m:r>
            </m:e>
            <m:sup>
              <m:r>
                <w:rPr>
                  <w:rFonts w:ascii="Cambria Math" w:hAnsi="Cambria Math" w:cstheme="minorBidi"/>
                  <w:lang w:eastAsia="en-IN"/>
                </w:rPr>
                <m:t>0</m:t>
              </m:r>
            </m:sup>
          </m:sSup>
          <m:r>
            <w:rPr>
              <w:rFonts w:ascii="Cambria Math" w:hAnsi="Cambria Math" w:cstheme="minorBidi"/>
              <w:lang w:eastAsia="en-IN"/>
            </w:rPr>
            <m:t>+</m:t>
          </m:r>
          <m:sSup>
            <m:sSupPr>
              <m:ctrlPr>
                <w:rPr>
                  <w:rFonts w:ascii="Cambria Math" w:hAnsi="Cambria Math" w:cstheme="minorBidi"/>
                  <w:lang w:eastAsia="en-IN"/>
                </w:rPr>
              </m:ctrlPr>
            </m:sSupPr>
            <m:e>
              <m:r>
                <w:rPr>
                  <w:rFonts w:ascii="Cambria Math" w:hAnsi="Cambria Math" w:cstheme="minorBidi"/>
                  <w:lang w:eastAsia="en-IN"/>
                </w:rPr>
                <m:t>A</m:t>
              </m:r>
            </m:e>
            <m:sup>
              <m:r>
                <w:rPr>
                  <w:rFonts w:ascii="Cambria Math" w:hAnsi="Cambria Math" w:cstheme="minorBidi"/>
                  <w:lang w:eastAsia="en-IN"/>
                </w:rPr>
                <m:t>-</m:t>
              </m:r>
            </m:sup>
          </m:sSup>
          <m:r>
            <w:rPr>
              <w:rFonts w:ascii="Cambria Math" w:hAnsi="Cambria Math" w:cstheme="minorBidi"/>
              <w:lang w:eastAsia="en-IN"/>
            </w:rPr>
            <m:t>↔</m:t>
          </m:r>
          <m:sSup>
            <m:sSupPr>
              <m:ctrlPr>
                <w:rPr>
                  <w:rFonts w:ascii="Cambria Math" w:hAnsi="Cambria Math" w:cstheme="minorBidi"/>
                  <w:lang w:eastAsia="en-IN"/>
                </w:rPr>
              </m:ctrlPr>
            </m:sSupPr>
            <m:e>
              <m:r>
                <m:rPr>
                  <m:nor/>
                </m:rPr>
                <w:rPr>
                  <w:rFonts w:asciiTheme="minorBidi" w:hAnsiTheme="minorBidi" w:cstheme="minorBidi"/>
                  <w:lang w:eastAsia="en-IN"/>
                </w:rPr>
                <m:t>PPy</m:t>
              </m:r>
            </m:e>
            <m:sup>
              <m:r>
                <w:rPr>
                  <w:rFonts w:ascii="Cambria Math" w:hAnsi="Cambria Math" w:cstheme="minorBidi"/>
                  <w:lang w:eastAsia="en-IN"/>
                </w:rPr>
                <m:t>+</m:t>
              </m:r>
            </m:sup>
          </m:sSup>
          <m:sSup>
            <m:sSupPr>
              <m:ctrlPr>
                <w:rPr>
                  <w:rFonts w:ascii="Cambria Math" w:hAnsi="Cambria Math" w:cstheme="minorBidi"/>
                  <w:lang w:eastAsia="en-IN"/>
                </w:rPr>
              </m:ctrlPr>
            </m:sSupPr>
            <m:e>
              <m:r>
                <w:rPr>
                  <w:rFonts w:ascii="Cambria Math" w:hAnsi="Cambria Math" w:cstheme="minorBidi"/>
                  <w:lang w:eastAsia="en-IN"/>
                </w:rPr>
                <m:t>A</m:t>
              </m:r>
            </m:e>
            <m:sup>
              <m:r>
                <w:rPr>
                  <w:rFonts w:ascii="Cambria Math" w:hAnsi="Cambria Math" w:cstheme="minorBidi"/>
                  <w:lang w:eastAsia="en-IN"/>
                </w:rPr>
                <m:t>-</m:t>
              </m:r>
            </m:sup>
          </m:sSup>
          <m:r>
            <w:rPr>
              <w:rFonts w:ascii="Cambria Math" w:hAnsi="Cambria Math" w:cstheme="minorBidi"/>
              <w:lang w:eastAsia="en-IN"/>
            </w:rPr>
            <m:t>+</m:t>
          </m:r>
          <m:sSup>
            <m:sSupPr>
              <m:ctrlPr>
                <w:rPr>
                  <w:rFonts w:ascii="Cambria Math" w:hAnsi="Cambria Math" w:cstheme="minorBidi"/>
                  <w:lang w:eastAsia="en-IN"/>
                </w:rPr>
              </m:ctrlPr>
            </m:sSupPr>
            <m:e>
              <m:r>
                <w:rPr>
                  <w:rFonts w:ascii="Cambria Math" w:hAnsi="Cambria Math" w:cstheme="minorBidi"/>
                  <w:lang w:eastAsia="en-IN"/>
                </w:rPr>
                <m:t>e</m:t>
              </m:r>
            </m:e>
            <m:sup>
              <m:r>
                <w:rPr>
                  <w:rFonts w:ascii="Cambria Math" w:hAnsi="Cambria Math" w:cstheme="minorBidi"/>
                  <w:lang w:eastAsia="en-IN"/>
                </w:rPr>
                <m:t>-</m:t>
              </m:r>
            </m:sup>
          </m:sSup>
          <m:r>
            <m:rPr>
              <m:sty m:val="p"/>
            </m:rPr>
            <w:rPr>
              <w:rFonts w:ascii="Cambria Math" w:hAnsi="Cambria Math" w:cstheme="minorBidi"/>
              <w:lang w:eastAsia="en-IN"/>
            </w:rPr>
            <w:br/>
          </m:r>
        </m:oMath>
      </m:oMathPara>
    </w:p>
    <w:p w14:paraId="0E562E95"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where </w:t>
      </w:r>
      <m:oMath>
        <m:sSup>
          <m:sSupPr>
            <m:ctrlPr>
              <w:rPr>
                <w:rFonts w:ascii="Cambria Math" w:hAnsi="Cambria Math" w:cstheme="minorBidi"/>
                <w:lang w:eastAsia="en-IN"/>
              </w:rPr>
            </m:ctrlPr>
          </m:sSupPr>
          <m:e>
            <m:r>
              <w:rPr>
                <w:rFonts w:ascii="Cambria Math" w:hAnsi="Cambria Math" w:cstheme="minorBidi"/>
                <w:lang w:eastAsia="en-IN"/>
              </w:rPr>
              <m:t>A</m:t>
            </m:r>
          </m:e>
          <m:sup>
            <m:r>
              <w:rPr>
                <w:rFonts w:ascii="Cambria Math" w:hAnsi="Cambria Math" w:cstheme="minorBidi"/>
                <w:lang w:eastAsia="en-IN"/>
              </w:rPr>
              <m:t>-</m:t>
            </m:r>
          </m:sup>
        </m:sSup>
      </m:oMath>
      <w:r w:rsidRPr="0003172E">
        <w:rPr>
          <w:rFonts w:asciiTheme="minorBidi" w:hAnsiTheme="minorBidi" w:cstheme="minorBidi"/>
          <w:lang w:eastAsia="en-IN"/>
        </w:rPr>
        <w:t>represents an anion from the electrolyte that compensates the positive charge on the polymer backbone during oxidation [19].</w:t>
      </w:r>
    </w:p>
    <w:p w14:paraId="1B45B597"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The presence of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 provides an electronically conductive scaffold that facilitates rapid charge transfer and enhances the stability of the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during continuous cycling. The two components thus exhibit a </w:t>
      </w:r>
      <w:r w:rsidRPr="0003172E">
        <w:rPr>
          <w:rFonts w:asciiTheme="minorBidi" w:hAnsiTheme="minorBidi" w:cstheme="minorBidi"/>
          <w:b/>
          <w:bCs/>
          <w:lang w:eastAsia="en-IN"/>
        </w:rPr>
        <w:t>mutual reinforcement effect</w:t>
      </w:r>
      <w:r w:rsidRPr="0003172E">
        <w:rPr>
          <w:rFonts w:asciiTheme="minorBidi" w:hAnsiTheme="minorBidi" w:cstheme="minorBidi"/>
          <w:lang w:eastAsia="en-IN"/>
        </w:rPr>
        <w:t>—</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 prevents the volumetric swelling and shrinkage of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during redox cycling, while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improves the wettability and </w:t>
      </w:r>
      <w:proofErr w:type="spellStart"/>
      <w:r w:rsidRPr="0003172E">
        <w:rPr>
          <w:rFonts w:asciiTheme="minorBidi" w:hAnsiTheme="minorBidi" w:cstheme="minorBidi"/>
          <w:lang w:eastAsia="en-IN"/>
        </w:rPr>
        <w:t>pseudocapacitance</w:t>
      </w:r>
      <w:proofErr w:type="spellEnd"/>
      <w:r w:rsidRPr="0003172E">
        <w:rPr>
          <w:rFonts w:asciiTheme="minorBidi" w:hAnsiTheme="minorBidi" w:cstheme="minorBidi"/>
          <w:lang w:eastAsia="en-IN"/>
        </w:rPr>
        <w:t xml:space="preserve"> of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 This synergy explains the improved current density and overall capacitive performance seen in the composite samples relative to pristine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 or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alone [20-22].</w:t>
      </w:r>
    </w:p>
    <w:p w14:paraId="5C5422D1" w14:textId="42C2CC7B" w:rsidR="0003172E" w:rsidRPr="0003172E" w:rsidRDefault="00482C88" w:rsidP="0003172E">
      <w:pPr>
        <w:spacing w:before="100" w:beforeAutospacing="1" w:after="100" w:afterAutospacing="1"/>
        <w:jc w:val="both"/>
        <w:outlineLvl w:val="2"/>
        <w:rPr>
          <w:rFonts w:asciiTheme="minorBidi" w:hAnsiTheme="minorBidi" w:cstheme="minorBidi"/>
          <w:b/>
          <w:bCs/>
          <w:lang w:eastAsia="en-IN"/>
        </w:rPr>
      </w:pPr>
      <w:r>
        <w:rPr>
          <w:rFonts w:asciiTheme="minorBidi" w:hAnsiTheme="minorBidi" w:cstheme="minorBidi"/>
          <w:b/>
          <w:bCs/>
          <w:lang w:eastAsia="en-IN"/>
        </w:rPr>
        <w:t>3.5</w:t>
      </w:r>
      <w:r w:rsidR="0003172E" w:rsidRPr="0003172E">
        <w:rPr>
          <w:rFonts w:asciiTheme="minorBidi" w:hAnsiTheme="minorBidi" w:cstheme="minorBidi"/>
          <w:b/>
          <w:bCs/>
          <w:lang w:eastAsia="en-IN"/>
        </w:rPr>
        <w:t xml:space="preserve"> Comparative Evaluation of Electrochemical Performance</w:t>
      </w:r>
    </w:p>
    <w:p w14:paraId="22C89846" w14:textId="77777777" w:rsidR="0003172E" w:rsidRPr="0003172E" w:rsidRDefault="0003172E" w:rsidP="0003172E">
      <w:pPr>
        <w:spacing w:before="100" w:beforeAutospacing="1" w:after="100" w:afterAutospacing="1"/>
        <w:jc w:val="both"/>
        <w:outlineLvl w:val="3"/>
        <w:rPr>
          <w:rFonts w:asciiTheme="minorBidi" w:hAnsiTheme="minorBidi" w:cstheme="minorBidi"/>
          <w:b/>
          <w:bCs/>
          <w:lang w:eastAsia="en-IN"/>
        </w:rPr>
      </w:pPr>
      <w:proofErr w:type="spellStart"/>
      <w:r w:rsidRPr="0003172E">
        <w:rPr>
          <w:rFonts w:asciiTheme="minorBidi" w:hAnsiTheme="minorBidi" w:cstheme="minorBidi"/>
          <w:b/>
          <w:bCs/>
          <w:lang w:eastAsia="en-IN"/>
        </w:rPr>
        <w:t>rGO</w:t>
      </w:r>
      <w:proofErr w:type="spellEnd"/>
      <w:r w:rsidRPr="0003172E">
        <w:rPr>
          <w:rFonts w:asciiTheme="minorBidi" w:hAnsiTheme="minorBidi" w:cstheme="minorBidi"/>
          <w:b/>
          <w:bCs/>
          <w:lang w:eastAsia="en-IN"/>
        </w:rPr>
        <w:t>/PPy5</w:t>
      </w:r>
    </w:p>
    <w:p w14:paraId="048681EF"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The CV profile of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/PPy5 shows modest current response and relatively less defined redox peaks. The limited presence of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restricts the pseudocapacitive contribution, and the overall behavior is dominated by electric double-layer capacitance. Nevertheless, the linearity of the curve near the origin indicates good reversibility and stable ion transport. This composition may be beneficial for applications demanding fast charge–discharge cycles but moderate energy density.</w:t>
      </w:r>
    </w:p>
    <w:p w14:paraId="373372C2" w14:textId="77777777" w:rsidR="0003172E" w:rsidRPr="0003172E" w:rsidRDefault="0003172E" w:rsidP="0003172E">
      <w:pPr>
        <w:spacing w:before="100" w:beforeAutospacing="1" w:after="100" w:afterAutospacing="1"/>
        <w:jc w:val="both"/>
        <w:outlineLvl w:val="3"/>
        <w:rPr>
          <w:rFonts w:asciiTheme="minorBidi" w:hAnsiTheme="minorBidi" w:cstheme="minorBidi"/>
          <w:b/>
          <w:bCs/>
          <w:lang w:eastAsia="en-IN"/>
        </w:rPr>
      </w:pPr>
      <w:proofErr w:type="spellStart"/>
      <w:r w:rsidRPr="0003172E">
        <w:rPr>
          <w:rFonts w:asciiTheme="minorBidi" w:hAnsiTheme="minorBidi" w:cstheme="minorBidi"/>
          <w:b/>
          <w:bCs/>
          <w:lang w:eastAsia="en-IN"/>
        </w:rPr>
        <w:t>rGO</w:t>
      </w:r>
      <w:proofErr w:type="spellEnd"/>
      <w:r w:rsidRPr="0003172E">
        <w:rPr>
          <w:rFonts w:asciiTheme="minorBidi" w:hAnsiTheme="minorBidi" w:cstheme="minorBidi"/>
          <w:b/>
          <w:bCs/>
          <w:lang w:eastAsia="en-IN"/>
        </w:rPr>
        <w:t>/PPy10</w:t>
      </w:r>
    </w:p>
    <w:p w14:paraId="4BC65A83"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lastRenderedPageBreak/>
        <w:t xml:space="preserve">Increasing the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content to 10 </w:t>
      </w:r>
      <w:proofErr w:type="spellStart"/>
      <w:r w:rsidRPr="0003172E">
        <w:rPr>
          <w:rFonts w:asciiTheme="minorBidi" w:hAnsiTheme="minorBidi" w:cstheme="minorBidi"/>
          <w:lang w:eastAsia="en-IN"/>
        </w:rPr>
        <w:t>wt</w:t>
      </w:r>
      <w:proofErr w:type="spellEnd"/>
      <w:r w:rsidRPr="0003172E">
        <w:rPr>
          <w:rFonts w:asciiTheme="minorBidi" w:hAnsiTheme="minorBidi" w:cstheme="minorBidi"/>
          <w:lang w:eastAsia="en-IN"/>
        </w:rPr>
        <w:t xml:space="preserve">% enhances both the current magnitude and the peak definition, reflecting improved redox kinetics. The CV curve becomes broader, and the area enclosed by the loop increases significantly. This suggests that the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content is now sufficient to contribute actively to </w:t>
      </w:r>
      <w:proofErr w:type="spellStart"/>
      <w:r w:rsidRPr="0003172E">
        <w:rPr>
          <w:rFonts w:asciiTheme="minorBidi" w:hAnsiTheme="minorBidi" w:cstheme="minorBidi"/>
          <w:lang w:eastAsia="en-IN"/>
        </w:rPr>
        <w:t>pseudocapacitance</w:t>
      </w:r>
      <w:proofErr w:type="spellEnd"/>
      <w:r w:rsidRPr="0003172E">
        <w:rPr>
          <w:rFonts w:asciiTheme="minorBidi" w:hAnsiTheme="minorBidi" w:cstheme="minorBidi"/>
          <w:lang w:eastAsia="en-IN"/>
        </w:rPr>
        <w:t xml:space="preserve"> without compromising the structural conductivity provided by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The smooth and nearly symmetrical shape of the forward and reverse scans demonstrates good charge–discharge reversibility.</w:t>
      </w:r>
    </w:p>
    <w:p w14:paraId="138B2BDC" w14:textId="77777777" w:rsidR="0003172E" w:rsidRPr="0003172E" w:rsidRDefault="0003172E" w:rsidP="0003172E">
      <w:pPr>
        <w:spacing w:before="100" w:beforeAutospacing="1" w:after="100" w:afterAutospacing="1"/>
        <w:jc w:val="both"/>
        <w:outlineLvl w:val="3"/>
        <w:rPr>
          <w:rFonts w:asciiTheme="minorBidi" w:hAnsiTheme="minorBidi" w:cstheme="minorBidi"/>
          <w:b/>
          <w:bCs/>
          <w:lang w:eastAsia="en-IN"/>
        </w:rPr>
      </w:pPr>
      <w:proofErr w:type="spellStart"/>
      <w:r w:rsidRPr="0003172E">
        <w:rPr>
          <w:rFonts w:asciiTheme="minorBidi" w:hAnsiTheme="minorBidi" w:cstheme="minorBidi"/>
          <w:b/>
          <w:bCs/>
          <w:lang w:eastAsia="en-IN"/>
        </w:rPr>
        <w:t>rGO</w:t>
      </w:r>
      <w:proofErr w:type="spellEnd"/>
      <w:r w:rsidRPr="0003172E">
        <w:rPr>
          <w:rFonts w:asciiTheme="minorBidi" w:hAnsiTheme="minorBidi" w:cstheme="minorBidi"/>
          <w:b/>
          <w:bCs/>
          <w:lang w:eastAsia="en-IN"/>
        </w:rPr>
        <w:t>/PPy15</w:t>
      </w:r>
    </w:p>
    <w:p w14:paraId="5D1E4959"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At this intermediate loading, the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/PPy15 composite shows the most balanced electrochemical response. The CV loop area is the largest among all samples, and both anodic and cathodic peaks are well developed, indicating efficient utilization of active sites. This composition achieves the optimal compromise between electronic conductivity and pseudocapacitive activity. The high surface interaction between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 sheets and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chains likely creates a porous, interconnected network that maximizes ion accessibility and minimizes charge transfer resistance. Consequently,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/PPy15 can be regarded as the composition with the best overall electrochemical performance at the tested scan rate.</w:t>
      </w:r>
    </w:p>
    <w:p w14:paraId="6DF0BE89" w14:textId="77777777" w:rsidR="0003172E" w:rsidRPr="0003172E" w:rsidRDefault="0003172E" w:rsidP="0003172E">
      <w:pPr>
        <w:spacing w:before="100" w:beforeAutospacing="1" w:after="100" w:afterAutospacing="1"/>
        <w:jc w:val="both"/>
        <w:outlineLvl w:val="3"/>
        <w:rPr>
          <w:rFonts w:asciiTheme="minorBidi" w:hAnsiTheme="minorBidi" w:cstheme="minorBidi"/>
          <w:b/>
          <w:bCs/>
          <w:lang w:eastAsia="en-IN"/>
        </w:rPr>
      </w:pPr>
      <w:proofErr w:type="spellStart"/>
      <w:r w:rsidRPr="0003172E">
        <w:rPr>
          <w:rFonts w:asciiTheme="minorBidi" w:hAnsiTheme="minorBidi" w:cstheme="minorBidi"/>
          <w:b/>
          <w:bCs/>
          <w:lang w:eastAsia="en-IN"/>
        </w:rPr>
        <w:t>rGO</w:t>
      </w:r>
      <w:proofErr w:type="spellEnd"/>
      <w:r w:rsidRPr="0003172E">
        <w:rPr>
          <w:rFonts w:asciiTheme="minorBidi" w:hAnsiTheme="minorBidi" w:cstheme="minorBidi"/>
          <w:b/>
          <w:bCs/>
          <w:lang w:eastAsia="en-IN"/>
        </w:rPr>
        <w:t>/PPy20</w:t>
      </w:r>
    </w:p>
    <w:p w14:paraId="47CA7A7E"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Further increasing the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fraction to 20 </w:t>
      </w:r>
      <w:proofErr w:type="spellStart"/>
      <w:r w:rsidRPr="0003172E">
        <w:rPr>
          <w:rFonts w:asciiTheme="minorBidi" w:hAnsiTheme="minorBidi" w:cstheme="minorBidi"/>
          <w:lang w:eastAsia="en-IN"/>
        </w:rPr>
        <w:t>wt</w:t>
      </w:r>
      <w:proofErr w:type="spellEnd"/>
      <w:r w:rsidRPr="0003172E">
        <w:rPr>
          <w:rFonts w:asciiTheme="minorBidi" w:hAnsiTheme="minorBidi" w:cstheme="minorBidi"/>
          <w:lang w:eastAsia="en-IN"/>
        </w:rPr>
        <w:t xml:space="preserve">% results in a decrease in the CV area and slightly distorted redox symmetry. The excessive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coating possibly leads to a denser morphology, which hinders electrolyte penetration and slows ion diffusion within the electrode. Moreover, the overaccumulation of polymer on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 may block conductive pathways, thereby reducing electronic connectivity. As a result, although the sample still exhibits redox activity, the effective capacitance and rate performance appear reduced compared to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/PPy15.</w:t>
      </w:r>
    </w:p>
    <w:p w14:paraId="3DC9FCD4" w14:textId="4D08AE86" w:rsidR="0003172E" w:rsidRPr="0003172E" w:rsidRDefault="00482C88" w:rsidP="0003172E">
      <w:pPr>
        <w:spacing w:before="100" w:beforeAutospacing="1" w:after="100" w:afterAutospacing="1"/>
        <w:jc w:val="both"/>
        <w:outlineLvl w:val="2"/>
        <w:rPr>
          <w:rFonts w:asciiTheme="minorBidi" w:hAnsiTheme="minorBidi" w:cstheme="minorBidi"/>
          <w:b/>
          <w:bCs/>
          <w:lang w:eastAsia="en-IN"/>
        </w:rPr>
      </w:pPr>
      <w:r>
        <w:rPr>
          <w:rFonts w:asciiTheme="minorBidi" w:hAnsiTheme="minorBidi" w:cstheme="minorBidi"/>
          <w:b/>
          <w:bCs/>
          <w:lang w:eastAsia="en-IN"/>
        </w:rPr>
        <w:t>3.6</w:t>
      </w:r>
      <w:r w:rsidR="0003172E" w:rsidRPr="0003172E">
        <w:rPr>
          <w:rFonts w:asciiTheme="minorBidi" w:hAnsiTheme="minorBidi" w:cstheme="minorBidi"/>
          <w:b/>
          <w:bCs/>
          <w:lang w:eastAsia="en-IN"/>
        </w:rPr>
        <w:t xml:space="preserve"> Effect of Structural and Interfacial Properties</w:t>
      </w:r>
    </w:p>
    <w:p w14:paraId="410C7EA3" w14:textId="342F9D04"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The electrochemical response of the composites is strongly dependent on the microstructure and interface quality between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and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 In well-balanced composites,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is uniformly distributed on the graphene sheets, providing continuous conductive channels and abundant electroactive sites. However, at low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loading, the insufficient coverage of graphene limits the pseudocapacitive effect, whereas at high loading, polymer agglomeration restricts the effective utilization of the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 network. Hence, achieving a uniform nanoscale dispersion is crucial for optimizing the capacitive behavior [23].</w:t>
      </w:r>
      <w:r>
        <w:rPr>
          <w:rFonts w:asciiTheme="minorBidi" w:hAnsiTheme="minorBidi" w:cstheme="minorBidi"/>
          <w:lang w:eastAsia="en-IN"/>
        </w:rPr>
        <w:t xml:space="preserve"> </w:t>
      </w:r>
      <w:r w:rsidRPr="0003172E">
        <w:rPr>
          <w:rFonts w:asciiTheme="minorBidi" w:hAnsiTheme="minorBidi" w:cstheme="minorBidi"/>
          <w:lang w:eastAsia="en-IN"/>
        </w:rPr>
        <w:t xml:space="preserve">The observed trends also highlight the role of electron–ion coupling at the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interface.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 offers rapid electronic conduction, while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facilitates ion storage through its reversible redox transitions. The interfacial contact between these two phases dictates the overall charge transfer resistance, influencing both the shape and magnitude of the CV curves. The best-performing sample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/PPy15) likely exhibits the most efficient coupling, resulting in an enhanced electrochemical response.</w:t>
      </w:r>
    </w:p>
    <w:p w14:paraId="1762FA40" w14:textId="782E2B11" w:rsidR="0003172E" w:rsidRPr="0003172E" w:rsidRDefault="00482C88" w:rsidP="0003172E">
      <w:pPr>
        <w:spacing w:before="100" w:beforeAutospacing="1" w:after="100" w:afterAutospacing="1"/>
        <w:jc w:val="both"/>
        <w:outlineLvl w:val="2"/>
        <w:rPr>
          <w:rFonts w:asciiTheme="minorBidi" w:hAnsiTheme="minorBidi" w:cstheme="minorBidi"/>
          <w:b/>
          <w:bCs/>
          <w:lang w:eastAsia="en-IN"/>
        </w:rPr>
      </w:pPr>
      <w:r>
        <w:rPr>
          <w:rFonts w:asciiTheme="minorBidi" w:hAnsiTheme="minorBidi" w:cstheme="minorBidi"/>
          <w:b/>
          <w:bCs/>
          <w:lang w:eastAsia="en-IN"/>
        </w:rPr>
        <w:t>3.7</w:t>
      </w:r>
      <w:r w:rsidR="0003172E" w:rsidRPr="0003172E">
        <w:rPr>
          <w:rFonts w:asciiTheme="minorBidi" w:hAnsiTheme="minorBidi" w:cstheme="minorBidi"/>
          <w:b/>
          <w:bCs/>
          <w:lang w:eastAsia="en-IN"/>
        </w:rPr>
        <w:t xml:space="preserve"> Capacitance Estimation and Comparative Insight</w:t>
      </w:r>
    </w:p>
    <w:p w14:paraId="4B272438"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Although quantitative capacitance values cannot be determined precisely without integrating current over potential, the relative CV areas can serve as qualitative indicators. Based on the visual comparison of the loop areas, the sequence of areal capacitance can be estimated as:</w:t>
      </w:r>
    </w:p>
    <w:p w14:paraId="37A5504F" w14:textId="77777777" w:rsidR="0003172E" w:rsidRPr="0003172E" w:rsidRDefault="0003172E" w:rsidP="0003172E">
      <w:pPr>
        <w:jc w:val="both"/>
        <w:rPr>
          <w:rFonts w:asciiTheme="minorBidi" w:hAnsiTheme="minorBidi" w:cstheme="minorBidi"/>
          <w:lang w:eastAsia="en-IN"/>
        </w:rPr>
      </w:pPr>
      <w:proofErr w:type="spellStart"/>
      <m:oMathPara>
        <m:oMath>
          <m:r>
            <m:rPr>
              <m:nor/>
            </m:rPr>
            <w:rPr>
              <w:rFonts w:asciiTheme="minorBidi" w:hAnsiTheme="minorBidi" w:cstheme="minorBidi"/>
              <w:lang w:eastAsia="en-IN"/>
            </w:rPr>
            <w:lastRenderedPageBreak/>
            <m:t>rGO</m:t>
          </m:r>
          <w:proofErr w:type="spellEnd"/>
          <m:r>
            <m:rPr>
              <m:nor/>
            </m:rPr>
            <w:rPr>
              <w:rFonts w:asciiTheme="minorBidi" w:hAnsiTheme="minorBidi" w:cstheme="minorBidi"/>
              <w:lang w:eastAsia="en-IN"/>
            </w:rPr>
            <m:t>/PPy15</m:t>
          </m:r>
          <m:r>
            <w:rPr>
              <w:rFonts w:ascii="Cambria Math" w:hAnsi="Cambria Math" w:cstheme="minorBidi"/>
              <w:lang w:eastAsia="en-IN"/>
            </w:rPr>
            <m:t>&gt;</m:t>
          </m:r>
          <m:r>
            <m:rPr>
              <m:nor/>
            </m:rPr>
            <w:rPr>
              <w:rFonts w:asciiTheme="minorBidi" w:hAnsiTheme="minorBidi" w:cstheme="minorBidi"/>
              <w:lang w:eastAsia="en-IN"/>
            </w:rPr>
            <m:t>rGO/PPy10</m:t>
          </m:r>
          <m:r>
            <w:rPr>
              <w:rFonts w:ascii="Cambria Math" w:hAnsi="Cambria Math" w:cstheme="minorBidi"/>
              <w:lang w:eastAsia="en-IN"/>
            </w:rPr>
            <m:t>&gt;</m:t>
          </m:r>
          <m:r>
            <m:rPr>
              <m:nor/>
            </m:rPr>
            <w:rPr>
              <w:rFonts w:asciiTheme="minorBidi" w:hAnsiTheme="minorBidi" w:cstheme="minorBidi"/>
              <w:lang w:eastAsia="en-IN"/>
            </w:rPr>
            <m:t>rGO/PPy20</m:t>
          </m:r>
          <m:r>
            <w:rPr>
              <w:rFonts w:ascii="Cambria Math" w:hAnsi="Cambria Math" w:cstheme="minorBidi"/>
              <w:lang w:eastAsia="en-IN"/>
            </w:rPr>
            <m:t>&gt;</m:t>
          </m:r>
          <m:r>
            <m:rPr>
              <m:nor/>
            </m:rPr>
            <w:rPr>
              <w:rFonts w:asciiTheme="minorBidi" w:hAnsiTheme="minorBidi" w:cstheme="minorBidi"/>
              <w:lang w:eastAsia="en-IN"/>
            </w:rPr>
            <m:t>rGO/PPy5</m:t>
          </m:r>
          <m:r>
            <m:rPr>
              <m:sty m:val="p"/>
            </m:rPr>
            <w:rPr>
              <w:rFonts w:ascii="Cambria Math" w:hAnsi="Cambria Math" w:cstheme="minorBidi"/>
              <w:lang w:eastAsia="en-IN"/>
            </w:rPr>
            <w:br/>
          </m:r>
        </m:oMath>
      </m:oMathPara>
    </w:p>
    <w:p w14:paraId="5C06C9FA"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This trend confirms that moderate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incorporation (around 15 </w:t>
      </w:r>
      <w:proofErr w:type="spellStart"/>
      <w:r w:rsidRPr="0003172E">
        <w:rPr>
          <w:rFonts w:asciiTheme="minorBidi" w:hAnsiTheme="minorBidi" w:cstheme="minorBidi"/>
          <w:lang w:eastAsia="en-IN"/>
        </w:rPr>
        <w:t>wt</w:t>
      </w:r>
      <w:proofErr w:type="spellEnd"/>
      <w:r w:rsidRPr="0003172E">
        <w:rPr>
          <w:rFonts w:asciiTheme="minorBidi" w:hAnsiTheme="minorBidi" w:cstheme="minorBidi"/>
          <w:lang w:eastAsia="en-IN"/>
        </w:rPr>
        <w:t xml:space="preserve">%) optimizes the capacitive contribution by balancing conductivity, porosity, and active site availability. Similar observations have been reported in previous studies on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or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/polyaniline composites, where excessive polymer loading diminished the performance due to hindered charge mobility [24].</w:t>
      </w:r>
    </w:p>
    <w:p w14:paraId="0B7F6F83" w14:textId="3DF874A8" w:rsidR="0003172E" w:rsidRPr="0003172E" w:rsidRDefault="00482C88" w:rsidP="0003172E">
      <w:pPr>
        <w:spacing w:before="100" w:beforeAutospacing="1" w:after="100" w:afterAutospacing="1"/>
        <w:jc w:val="both"/>
        <w:outlineLvl w:val="2"/>
        <w:rPr>
          <w:rFonts w:asciiTheme="minorBidi" w:hAnsiTheme="minorBidi" w:cstheme="minorBidi"/>
          <w:b/>
          <w:bCs/>
          <w:lang w:eastAsia="en-IN"/>
        </w:rPr>
      </w:pPr>
      <w:r>
        <w:rPr>
          <w:rFonts w:asciiTheme="minorBidi" w:hAnsiTheme="minorBidi" w:cstheme="minorBidi"/>
          <w:b/>
          <w:bCs/>
          <w:lang w:eastAsia="en-IN"/>
        </w:rPr>
        <w:t>3.8</w:t>
      </w:r>
      <w:r w:rsidR="0003172E" w:rsidRPr="0003172E">
        <w:rPr>
          <w:rFonts w:asciiTheme="minorBidi" w:hAnsiTheme="minorBidi" w:cstheme="minorBidi"/>
          <w:b/>
          <w:bCs/>
          <w:lang w:eastAsia="en-IN"/>
        </w:rPr>
        <w:t xml:space="preserve"> Implications for Supercapacitor Applications</w:t>
      </w:r>
    </w:p>
    <w:p w14:paraId="32E5B973"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The shape and stability of the CV curves at 10 mV/s suggest that all the composites possess good electrochemical reversibility and are suitable for supercapacitor electrodes [25]. The combination of EDLC and pseudocapacitive behavior enables enhanced energy and power density, where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 serves as the conductive backbone and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provides redox activity. The optimal composition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/PPy15) is expected to deliver high specific capacitance, good cycling stability, and efficient ion diffusion, making it a promising candidate for next-generation hybrid supercapacitors [26].</w:t>
      </w:r>
    </w:p>
    <w:p w14:paraId="320847D8"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Moreover, the gentle slopes and absence of significant hysteresis between anodic and cathodic scans indicate low internal resistance and stable electrode–electrolyte interaction. This is particularly advantageous for long-term cycling and rapid charge–discharge operation, which are critical for practical energy storage devices [27-30].</w:t>
      </w:r>
    </w:p>
    <w:p w14:paraId="02B905DC" w14:textId="49191310" w:rsidR="0003172E" w:rsidRPr="0003172E" w:rsidRDefault="00482C88" w:rsidP="0003172E">
      <w:pPr>
        <w:spacing w:before="100" w:beforeAutospacing="1" w:after="100" w:afterAutospacing="1"/>
        <w:jc w:val="both"/>
        <w:outlineLvl w:val="2"/>
        <w:rPr>
          <w:rFonts w:asciiTheme="minorBidi" w:hAnsiTheme="minorBidi" w:cstheme="minorBidi"/>
          <w:b/>
          <w:bCs/>
          <w:lang w:eastAsia="en-IN"/>
        </w:rPr>
      </w:pPr>
      <w:r>
        <w:rPr>
          <w:rFonts w:asciiTheme="minorBidi" w:hAnsiTheme="minorBidi" w:cstheme="minorBidi"/>
          <w:b/>
          <w:bCs/>
          <w:lang w:eastAsia="en-IN"/>
        </w:rPr>
        <w:t>3.9</w:t>
      </w:r>
      <w:r w:rsidR="0003172E" w:rsidRPr="0003172E">
        <w:rPr>
          <w:rFonts w:asciiTheme="minorBidi" w:hAnsiTheme="minorBidi" w:cstheme="minorBidi"/>
          <w:b/>
          <w:bCs/>
          <w:lang w:eastAsia="en-IN"/>
        </w:rPr>
        <w:t xml:space="preserve"> Summary of CV findings</w:t>
      </w:r>
    </w:p>
    <w:p w14:paraId="0F227AFA"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The CV analysis reveals that:</w:t>
      </w:r>
    </w:p>
    <w:p w14:paraId="38D48930" w14:textId="77777777" w:rsidR="0003172E" w:rsidRPr="0003172E" w:rsidRDefault="0003172E" w:rsidP="0003172E">
      <w:pPr>
        <w:numPr>
          <w:ilvl w:val="0"/>
          <w:numId w:val="31"/>
        </w:num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All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composites exhibit combined EDLC and pseudocapacitive characteristics.</w:t>
      </w:r>
    </w:p>
    <w:p w14:paraId="4C9FC20A" w14:textId="77777777" w:rsidR="0003172E" w:rsidRPr="0003172E" w:rsidRDefault="0003172E" w:rsidP="0003172E">
      <w:pPr>
        <w:numPr>
          <w:ilvl w:val="0"/>
          <w:numId w:val="31"/>
        </w:num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The current response and redox peak intensity increase with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content up to 15 </w:t>
      </w:r>
      <w:proofErr w:type="spellStart"/>
      <w:r w:rsidRPr="0003172E">
        <w:rPr>
          <w:rFonts w:asciiTheme="minorBidi" w:hAnsiTheme="minorBidi" w:cstheme="minorBidi"/>
          <w:lang w:eastAsia="en-IN"/>
        </w:rPr>
        <w:t>wt</w:t>
      </w:r>
      <w:proofErr w:type="spellEnd"/>
      <w:r w:rsidRPr="0003172E">
        <w:rPr>
          <w:rFonts w:asciiTheme="minorBidi" w:hAnsiTheme="minorBidi" w:cstheme="minorBidi"/>
          <w:lang w:eastAsia="en-IN"/>
        </w:rPr>
        <w:t xml:space="preserve">%, then slightly decline at 20 </w:t>
      </w:r>
      <w:proofErr w:type="spellStart"/>
      <w:r w:rsidRPr="0003172E">
        <w:rPr>
          <w:rFonts w:asciiTheme="minorBidi" w:hAnsiTheme="minorBidi" w:cstheme="minorBidi"/>
          <w:lang w:eastAsia="en-IN"/>
        </w:rPr>
        <w:t>wt</w:t>
      </w:r>
      <w:proofErr w:type="spellEnd"/>
      <w:r w:rsidRPr="0003172E">
        <w:rPr>
          <w:rFonts w:asciiTheme="minorBidi" w:hAnsiTheme="minorBidi" w:cstheme="minorBidi"/>
          <w:lang w:eastAsia="en-IN"/>
        </w:rPr>
        <w:t>%.</w:t>
      </w:r>
    </w:p>
    <w:p w14:paraId="27E3DE0A" w14:textId="77777777" w:rsidR="0003172E" w:rsidRPr="0003172E" w:rsidRDefault="0003172E" w:rsidP="0003172E">
      <w:pPr>
        <w:numPr>
          <w:ilvl w:val="0"/>
          <w:numId w:val="31"/>
        </w:num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The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/PPy15 electrode exhibits the most favorable electrochemical characteristics, indicating an optimal synergy between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 and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w:t>
      </w:r>
    </w:p>
    <w:p w14:paraId="6BC9E864" w14:textId="77777777" w:rsidR="0003172E" w:rsidRPr="0003172E" w:rsidRDefault="0003172E" w:rsidP="0003172E">
      <w:pPr>
        <w:numPr>
          <w:ilvl w:val="0"/>
          <w:numId w:val="31"/>
        </w:num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The performance deterioration at higher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loading is attributed to reduced electrical conductivity and hindered ion transport resulting from dense polymer coverage.</w:t>
      </w:r>
    </w:p>
    <w:p w14:paraId="649A11B4" w14:textId="52E24782" w:rsidR="0003172E" w:rsidRPr="0003172E" w:rsidRDefault="0003172E" w:rsidP="0003172E">
      <w:pPr>
        <w:numPr>
          <w:ilvl w:val="0"/>
          <w:numId w:val="31"/>
        </w:num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The results emphasize the importance of balancing conductive support and redox-active material to achieve superior capacitive behavior.</w:t>
      </w:r>
    </w:p>
    <w:p w14:paraId="05A60242"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b/>
          <w:bCs/>
          <w:lang w:eastAsia="en-IN"/>
        </w:rPr>
        <w:t>Table 1.</w:t>
      </w:r>
      <w:r w:rsidRPr="0003172E">
        <w:rPr>
          <w:rFonts w:asciiTheme="minorBidi" w:hAnsiTheme="minorBidi" w:cstheme="minorBidi"/>
          <w:lang w:eastAsia="en-IN"/>
        </w:rPr>
        <w:t xml:space="preserve"> Capacitance Analysis</w:t>
      </w:r>
    </w:p>
    <w:tbl>
      <w:tblPr>
        <w:tblW w:w="7863" w:type="dxa"/>
        <w:tblBorders>
          <w:top w:val="single" w:sz="4" w:space="0" w:color="auto"/>
          <w:bottom w:val="single" w:sz="4" w:space="0" w:color="auto"/>
        </w:tblBorders>
        <w:tblLook w:val="04A0" w:firstRow="1" w:lastRow="0" w:firstColumn="1" w:lastColumn="0" w:noHBand="0" w:noVBand="1"/>
      </w:tblPr>
      <w:tblGrid>
        <w:gridCol w:w="1721"/>
        <w:gridCol w:w="1413"/>
        <w:gridCol w:w="1322"/>
        <w:gridCol w:w="1165"/>
        <w:gridCol w:w="1076"/>
        <w:gridCol w:w="1166"/>
      </w:tblGrid>
      <w:tr w:rsidR="0003172E" w:rsidRPr="0003172E" w14:paraId="625477F3" w14:textId="77777777" w:rsidTr="0003172E">
        <w:trPr>
          <w:trHeight w:val="466"/>
        </w:trPr>
        <w:tc>
          <w:tcPr>
            <w:tcW w:w="1721" w:type="dxa"/>
            <w:tcBorders>
              <w:top w:val="single" w:sz="4" w:space="0" w:color="auto"/>
              <w:bottom w:val="single" w:sz="4" w:space="0" w:color="auto"/>
            </w:tcBorders>
            <w:noWrap/>
            <w:vAlign w:val="bottom"/>
            <w:hideMark/>
          </w:tcPr>
          <w:p w14:paraId="4CB1459D" w14:textId="77777777"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Sample Name</w:t>
            </w:r>
          </w:p>
        </w:tc>
        <w:tc>
          <w:tcPr>
            <w:tcW w:w="1413" w:type="dxa"/>
            <w:tcBorders>
              <w:top w:val="single" w:sz="4" w:space="0" w:color="auto"/>
              <w:bottom w:val="single" w:sz="4" w:space="0" w:color="auto"/>
            </w:tcBorders>
            <w:noWrap/>
            <w:vAlign w:val="bottom"/>
            <w:hideMark/>
          </w:tcPr>
          <w:p w14:paraId="47C8753F" w14:textId="77777777"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Area</w:t>
            </w:r>
          </w:p>
        </w:tc>
        <w:tc>
          <w:tcPr>
            <w:tcW w:w="1322" w:type="dxa"/>
            <w:tcBorders>
              <w:top w:val="single" w:sz="4" w:space="0" w:color="auto"/>
              <w:bottom w:val="single" w:sz="4" w:space="0" w:color="auto"/>
            </w:tcBorders>
            <w:noWrap/>
            <w:vAlign w:val="bottom"/>
            <w:hideMark/>
          </w:tcPr>
          <w:p w14:paraId="7046CA39" w14:textId="77777777"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Pot Window</w:t>
            </w:r>
          </w:p>
        </w:tc>
        <w:tc>
          <w:tcPr>
            <w:tcW w:w="1165" w:type="dxa"/>
            <w:tcBorders>
              <w:top w:val="single" w:sz="4" w:space="0" w:color="auto"/>
              <w:bottom w:val="single" w:sz="4" w:space="0" w:color="auto"/>
            </w:tcBorders>
            <w:noWrap/>
            <w:vAlign w:val="bottom"/>
            <w:hideMark/>
          </w:tcPr>
          <w:p w14:paraId="66C8F2D4" w14:textId="77777777"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Mass Load</w:t>
            </w:r>
          </w:p>
        </w:tc>
        <w:tc>
          <w:tcPr>
            <w:tcW w:w="1076" w:type="dxa"/>
            <w:tcBorders>
              <w:top w:val="single" w:sz="4" w:space="0" w:color="auto"/>
              <w:bottom w:val="single" w:sz="4" w:space="0" w:color="auto"/>
            </w:tcBorders>
            <w:noWrap/>
            <w:vAlign w:val="bottom"/>
            <w:hideMark/>
          </w:tcPr>
          <w:p w14:paraId="46188E40" w14:textId="77777777"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Scan Rate</w:t>
            </w:r>
          </w:p>
        </w:tc>
        <w:tc>
          <w:tcPr>
            <w:tcW w:w="1166" w:type="dxa"/>
            <w:tcBorders>
              <w:top w:val="single" w:sz="4" w:space="0" w:color="auto"/>
              <w:bottom w:val="single" w:sz="4" w:space="0" w:color="auto"/>
            </w:tcBorders>
            <w:noWrap/>
            <w:vAlign w:val="bottom"/>
            <w:hideMark/>
          </w:tcPr>
          <w:p w14:paraId="371601EB" w14:textId="77777777"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Cap.</w:t>
            </w:r>
          </w:p>
        </w:tc>
      </w:tr>
      <w:tr w:rsidR="0003172E" w:rsidRPr="0003172E" w14:paraId="57D5B1D6" w14:textId="77777777" w:rsidTr="0003172E">
        <w:trPr>
          <w:trHeight w:val="466"/>
        </w:trPr>
        <w:tc>
          <w:tcPr>
            <w:tcW w:w="1721" w:type="dxa"/>
            <w:tcBorders>
              <w:top w:val="single" w:sz="4" w:space="0" w:color="auto"/>
            </w:tcBorders>
            <w:noWrap/>
            <w:vAlign w:val="bottom"/>
            <w:hideMark/>
          </w:tcPr>
          <w:p w14:paraId="5D8A8E7A" w14:textId="0522996E"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w:t>
            </w:r>
            <w:proofErr w:type="spellStart"/>
            <w:r w:rsidRPr="0003172E">
              <w:rPr>
                <w:rFonts w:asciiTheme="minorBidi" w:hAnsiTheme="minorBidi" w:cstheme="minorBidi"/>
                <w:color w:val="000000"/>
                <w:lang w:eastAsia="en-IN"/>
              </w:rPr>
              <w:t>rGO</w:t>
            </w:r>
            <w:proofErr w:type="spellEnd"/>
            <w:r w:rsidRPr="0003172E">
              <w:rPr>
                <w:rFonts w:asciiTheme="minorBidi" w:hAnsiTheme="minorBidi" w:cstheme="minorBidi"/>
                <w:color w:val="000000"/>
                <w:lang w:eastAsia="en-IN"/>
              </w:rPr>
              <w:t>/</w:t>
            </w:r>
            <w:proofErr w:type="spellStart"/>
            <w:r w:rsidRPr="0003172E">
              <w:rPr>
                <w:rFonts w:asciiTheme="minorBidi" w:hAnsiTheme="minorBidi" w:cstheme="minorBidi"/>
                <w:color w:val="000000"/>
                <w:lang w:eastAsia="en-IN"/>
              </w:rPr>
              <w:t>PPy</w:t>
            </w:r>
            <w:proofErr w:type="spellEnd"/>
            <w:r w:rsidRPr="0003172E">
              <w:rPr>
                <w:rFonts w:asciiTheme="minorBidi" w:hAnsiTheme="minorBidi" w:cstheme="minorBidi"/>
                <w:color w:val="000000"/>
                <w:lang w:eastAsia="en-IN"/>
              </w:rPr>
              <w:t>)5</w:t>
            </w:r>
          </w:p>
        </w:tc>
        <w:tc>
          <w:tcPr>
            <w:tcW w:w="1413" w:type="dxa"/>
            <w:tcBorders>
              <w:top w:val="single" w:sz="4" w:space="0" w:color="auto"/>
            </w:tcBorders>
            <w:noWrap/>
            <w:vAlign w:val="bottom"/>
            <w:hideMark/>
          </w:tcPr>
          <w:p w14:paraId="2788B90F"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0.00124912</w:t>
            </w:r>
          </w:p>
        </w:tc>
        <w:tc>
          <w:tcPr>
            <w:tcW w:w="1322" w:type="dxa"/>
            <w:tcBorders>
              <w:top w:val="single" w:sz="4" w:space="0" w:color="auto"/>
            </w:tcBorders>
            <w:noWrap/>
            <w:vAlign w:val="bottom"/>
            <w:hideMark/>
          </w:tcPr>
          <w:p w14:paraId="43304D04"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0.6</w:t>
            </w:r>
          </w:p>
        </w:tc>
        <w:tc>
          <w:tcPr>
            <w:tcW w:w="1165" w:type="dxa"/>
            <w:tcBorders>
              <w:top w:val="single" w:sz="4" w:space="0" w:color="auto"/>
            </w:tcBorders>
            <w:noWrap/>
            <w:vAlign w:val="bottom"/>
            <w:hideMark/>
          </w:tcPr>
          <w:p w14:paraId="2F0760C1" w14:textId="3E3EAA93"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0.001</w:t>
            </w:r>
          </w:p>
        </w:tc>
        <w:tc>
          <w:tcPr>
            <w:tcW w:w="1076" w:type="dxa"/>
            <w:tcBorders>
              <w:top w:val="single" w:sz="4" w:space="0" w:color="auto"/>
            </w:tcBorders>
            <w:noWrap/>
            <w:vAlign w:val="bottom"/>
            <w:hideMark/>
          </w:tcPr>
          <w:p w14:paraId="49179ED5"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0.01</w:t>
            </w:r>
          </w:p>
        </w:tc>
        <w:tc>
          <w:tcPr>
            <w:tcW w:w="1166" w:type="dxa"/>
            <w:tcBorders>
              <w:top w:val="single" w:sz="4" w:space="0" w:color="auto"/>
            </w:tcBorders>
            <w:noWrap/>
            <w:vAlign w:val="bottom"/>
            <w:hideMark/>
          </w:tcPr>
          <w:p w14:paraId="2A353F9A"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115.6592</w:t>
            </w:r>
          </w:p>
        </w:tc>
      </w:tr>
      <w:tr w:rsidR="0003172E" w:rsidRPr="0003172E" w14:paraId="0A6AB753" w14:textId="77777777" w:rsidTr="0003172E">
        <w:trPr>
          <w:trHeight w:val="466"/>
        </w:trPr>
        <w:tc>
          <w:tcPr>
            <w:tcW w:w="1721" w:type="dxa"/>
            <w:noWrap/>
            <w:vAlign w:val="bottom"/>
            <w:hideMark/>
          </w:tcPr>
          <w:p w14:paraId="3C14561B" w14:textId="0C6F0512"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w:t>
            </w:r>
            <w:proofErr w:type="spellStart"/>
            <w:r w:rsidRPr="0003172E">
              <w:rPr>
                <w:rFonts w:asciiTheme="minorBidi" w:hAnsiTheme="minorBidi" w:cstheme="minorBidi"/>
                <w:color w:val="000000"/>
                <w:lang w:eastAsia="en-IN"/>
              </w:rPr>
              <w:t>rGO</w:t>
            </w:r>
            <w:proofErr w:type="spellEnd"/>
            <w:r w:rsidRPr="0003172E">
              <w:rPr>
                <w:rFonts w:asciiTheme="minorBidi" w:hAnsiTheme="minorBidi" w:cstheme="minorBidi"/>
                <w:color w:val="000000"/>
                <w:lang w:eastAsia="en-IN"/>
              </w:rPr>
              <w:t>/</w:t>
            </w:r>
            <w:proofErr w:type="spellStart"/>
            <w:r w:rsidRPr="0003172E">
              <w:rPr>
                <w:rFonts w:asciiTheme="minorBidi" w:hAnsiTheme="minorBidi" w:cstheme="minorBidi"/>
                <w:color w:val="000000"/>
                <w:lang w:eastAsia="en-IN"/>
              </w:rPr>
              <w:t>Ppy</w:t>
            </w:r>
            <w:proofErr w:type="spellEnd"/>
            <w:r w:rsidRPr="0003172E">
              <w:rPr>
                <w:rFonts w:asciiTheme="minorBidi" w:hAnsiTheme="minorBidi" w:cstheme="minorBidi"/>
                <w:color w:val="000000"/>
                <w:lang w:eastAsia="en-IN"/>
              </w:rPr>
              <w:t>)10</w:t>
            </w:r>
          </w:p>
        </w:tc>
        <w:tc>
          <w:tcPr>
            <w:tcW w:w="1413" w:type="dxa"/>
            <w:noWrap/>
            <w:vAlign w:val="bottom"/>
            <w:hideMark/>
          </w:tcPr>
          <w:p w14:paraId="73380AD8"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5.35E-04</w:t>
            </w:r>
          </w:p>
        </w:tc>
        <w:tc>
          <w:tcPr>
            <w:tcW w:w="1322" w:type="dxa"/>
            <w:noWrap/>
            <w:vAlign w:val="bottom"/>
            <w:hideMark/>
          </w:tcPr>
          <w:p w14:paraId="4804F3C9"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0.6</w:t>
            </w:r>
          </w:p>
        </w:tc>
        <w:tc>
          <w:tcPr>
            <w:tcW w:w="1165" w:type="dxa"/>
            <w:noWrap/>
            <w:vAlign w:val="bottom"/>
            <w:hideMark/>
          </w:tcPr>
          <w:p w14:paraId="01092E7B"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0.001</w:t>
            </w:r>
          </w:p>
        </w:tc>
        <w:tc>
          <w:tcPr>
            <w:tcW w:w="1076" w:type="dxa"/>
            <w:noWrap/>
            <w:vAlign w:val="bottom"/>
            <w:hideMark/>
          </w:tcPr>
          <w:p w14:paraId="5848CA99"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0.01</w:t>
            </w:r>
          </w:p>
        </w:tc>
        <w:tc>
          <w:tcPr>
            <w:tcW w:w="1166" w:type="dxa"/>
            <w:noWrap/>
            <w:vAlign w:val="bottom"/>
            <w:hideMark/>
          </w:tcPr>
          <w:p w14:paraId="7B9125F9"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89.20338</w:t>
            </w:r>
          </w:p>
        </w:tc>
      </w:tr>
      <w:tr w:rsidR="0003172E" w:rsidRPr="0003172E" w14:paraId="1096C00A" w14:textId="77777777" w:rsidTr="0003172E">
        <w:trPr>
          <w:trHeight w:val="466"/>
        </w:trPr>
        <w:tc>
          <w:tcPr>
            <w:tcW w:w="1721" w:type="dxa"/>
            <w:noWrap/>
            <w:vAlign w:val="bottom"/>
            <w:hideMark/>
          </w:tcPr>
          <w:p w14:paraId="3B0793FD" w14:textId="1A223691" w:rsidR="0003172E" w:rsidRPr="0003172E" w:rsidRDefault="0003172E" w:rsidP="00C8786B">
            <w:pPr>
              <w:rPr>
                <w:rFonts w:asciiTheme="minorBidi" w:hAnsiTheme="minorBidi" w:cstheme="minorBidi"/>
                <w:color w:val="7030A0"/>
                <w:lang w:eastAsia="en-IN"/>
              </w:rPr>
            </w:pPr>
            <w:r w:rsidRPr="0003172E">
              <w:rPr>
                <w:rFonts w:asciiTheme="minorBidi" w:hAnsiTheme="minorBidi" w:cstheme="minorBidi"/>
                <w:color w:val="7030A0"/>
                <w:lang w:eastAsia="en-IN"/>
              </w:rPr>
              <w:t>(</w:t>
            </w:r>
            <w:proofErr w:type="spellStart"/>
            <w:r w:rsidRPr="0003172E">
              <w:rPr>
                <w:rFonts w:asciiTheme="minorBidi" w:hAnsiTheme="minorBidi" w:cstheme="minorBidi"/>
                <w:color w:val="7030A0"/>
                <w:lang w:eastAsia="en-IN"/>
              </w:rPr>
              <w:t>rGO</w:t>
            </w:r>
            <w:proofErr w:type="spellEnd"/>
            <w:r w:rsidRPr="0003172E">
              <w:rPr>
                <w:rFonts w:asciiTheme="minorBidi" w:hAnsiTheme="minorBidi" w:cstheme="minorBidi"/>
                <w:color w:val="7030A0"/>
                <w:lang w:eastAsia="en-IN"/>
              </w:rPr>
              <w:t>/</w:t>
            </w:r>
            <w:proofErr w:type="spellStart"/>
            <w:r w:rsidRPr="0003172E">
              <w:rPr>
                <w:rFonts w:asciiTheme="minorBidi" w:hAnsiTheme="minorBidi" w:cstheme="minorBidi"/>
                <w:color w:val="7030A0"/>
                <w:lang w:eastAsia="en-IN"/>
              </w:rPr>
              <w:t>Ppy</w:t>
            </w:r>
            <w:proofErr w:type="spellEnd"/>
            <w:r w:rsidRPr="0003172E">
              <w:rPr>
                <w:rFonts w:asciiTheme="minorBidi" w:hAnsiTheme="minorBidi" w:cstheme="minorBidi"/>
                <w:color w:val="7030A0"/>
                <w:lang w:eastAsia="en-IN"/>
              </w:rPr>
              <w:t>)15</w:t>
            </w:r>
          </w:p>
        </w:tc>
        <w:tc>
          <w:tcPr>
            <w:tcW w:w="1413" w:type="dxa"/>
            <w:noWrap/>
            <w:vAlign w:val="bottom"/>
            <w:hideMark/>
          </w:tcPr>
          <w:p w14:paraId="2CC52A87" w14:textId="77777777" w:rsidR="0003172E" w:rsidRPr="0003172E" w:rsidRDefault="0003172E" w:rsidP="00C8786B">
            <w:pPr>
              <w:jc w:val="right"/>
              <w:rPr>
                <w:rFonts w:asciiTheme="minorBidi" w:hAnsiTheme="minorBidi" w:cstheme="minorBidi"/>
                <w:color w:val="7030A0"/>
                <w:lang w:eastAsia="en-IN"/>
              </w:rPr>
            </w:pPr>
            <w:r w:rsidRPr="0003172E">
              <w:rPr>
                <w:rFonts w:asciiTheme="minorBidi" w:hAnsiTheme="minorBidi" w:cstheme="minorBidi"/>
                <w:color w:val="7030A0"/>
                <w:lang w:eastAsia="en-IN"/>
              </w:rPr>
              <w:t>0.00138219</w:t>
            </w:r>
          </w:p>
        </w:tc>
        <w:tc>
          <w:tcPr>
            <w:tcW w:w="1322" w:type="dxa"/>
            <w:noWrap/>
            <w:vAlign w:val="bottom"/>
            <w:hideMark/>
          </w:tcPr>
          <w:p w14:paraId="22FD39D0" w14:textId="77777777" w:rsidR="0003172E" w:rsidRPr="0003172E" w:rsidRDefault="0003172E" w:rsidP="00C8786B">
            <w:pPr>
              <w:jc w:val="right"/>
              <w:rPr>
                <w:rFonts w:asciiTheme="minorBidi" w:hAnsiTheme="minorBidi" w:cstheme="minorBidi"/>
                <w:color w:val="7030A0"/>
                <w:lang w:eastAsia="en-IN"/>
              </w:rPr>
            </w:pPr>
            <w:r w:rsidRPr="0003172E">
              <w:rPr>
                <w:rFonts w:asciiTheme="minorBidi" w:hAnsiTheme="minorBidi" w:cstheme="minorBidi"/>
                <w:color w:val="7030A0"/>
                <w:lang w:eastAsia="en-IN"/>
              </w:rPr>
              <w:t>0.6</w:t>
            </w:r>
          </w:p>
        </w:tc>
        <w:tc>
          <w:tcPr>
            <w:tcW w:w="1165" w:type="dxa"/>
            <w:noWrap/>
            <w:vAlign w:val="bottom"/>
            <w:hideMark/>
          </w:tcPr>
          <w:p w14:paraId="679F9FF3" w14:textId="77777777" w:rsidR="0003172E" w:rsidRPr="0003172E" w:rsidRDefault="0003172E" w:rsidP="00C8786B">
            <w:pPr>
              <w:jc w:val="right"/>
              <w:rPr>
                <w:rFonts w:asciiTheme="minorBidi" w:hAnsiTheme="minorBidi" w:cstheme="minorBidi"/>
                <w:color w:val="7030A0"/>
                <w:lang w:eastAsia="en-IN"/>
              </w:rPr>
            </w:pPr>
            <w:r w:rsidRPr="0003172E">
              <w:rPr>
                <w:rFonts w:asciiTheme="minorBidi" w:hAnsiTheme="minorBidi" w:cstheme="minorBidi"/>
                <w:color w:val="7030A0"/>
                <w:lang w:eastAsia="en-IN"/>
              </w:rPr>
              <w:t>0.001</w:t>
            </w:r>
          </w:p>
        </w:tc>
        <w:tc>
          <w:tcPr>
            <w:tcW w:w="1076" w:type="dxa"/>
            <w:noWrap/>
            <w:vAlign w:val="bottom"/>
            <w:hideMark/>
          </w:tcPr>
          <w:p w14:paraId="71C820BD" w14:textId="77777777" w:rsidR="0003172E" w:rsidRPr="0003172E" w:rsidRDefault="0003172E" w:rsidP="00C8786B">
            <w:pPr>
              <w:jc w:val="right"/>
              <w:rPr>
                <w:rFonts w:asciiTheme="minorBidi" w:hAnsiTheme="minorBidi" w:cstheme="minorBidi"/>
                <w:color w:val="7030A0"/>
                <w:lang w:eastAsia="en-IN"/>
              </w:rPr>
            </w:pPr>
            <w:r w:rsidRPr="0003172E">
              <w:rPr>
                <w:rFonts w:asciiTheme="minorBidi" w:hAnsiTheme="minorBidi" w:cstheme="minorBidi"/>
                <w:color w:val="7030A0"/>
                <w:lang w:eastAsia="en-IN"/>
              </w:rPr>
              <w:t>0.01</w:t>
            </w:r>
          </w:p>
        </w:tc>
        <w:tc>
          <w:tcPr>
            <w:tcW w:w="1166" w:type="dxa"/>
            <w:noWrap/>
            <w:vAlign w:val="bottom"/>
            <w:hideMark/>
          </w:tcPr>
          <w:p w14:paraId="259CEF58" w14:textId="77777777" w:rsidR="0003172E" w:rsidRPr="0003172E" w:rsidRDefault="0003172E" w:rsidP="00C8786B">
            <w:pPr>
              <w:jc w:val="right"/>
              <w:rPr>
                <w:rFonts w:asciiTheme="minorBidi" w:hAnsiTheme="minorBidi" w:cstheme="minorBidi"/>
                <w:color w:val="7030A0"/>
                <w:lang w:eastAsia="en-IN"/>
              </w:rPr>
            </w:pPr>
            <w:r w:rsidRPr="0003172E">
              <w:rPr>
                <w:rFonts w:asciiTheme="minorBidi" w:hAnsiTheme="minorBidi" w:cstheme="minorBidi"/>
                <w:color w:val="7030A0"/>
                <w:lang w:eastAsia="en-IN"/>
              </w:rPr>
              <w:t>230.3644</w:t>
            </w:r>
          </w:p>
        </w:tc>
      </w:tr>
      <w:tr w:rsidR="0003172E" w:rsidRPr="0003172E" w14:paraId="2FF4F72A" w14:textId="77777777" w:rsidTr="0003172E">
        <w:trPr>
          <w:trHeight w:val="466"/>
        </w:trPr>
        <w:tc>
          <w:tcPr>
            <w:tcW w:w="1721" w:type="dxa"/>
            <w:noWrap/>
            <w:vAlign w:val="bottom"/>
            <w:hideMark/>
          </w:tcPr>
          <w:p w14:paraId="0251F489" w14:textId="715ADF31"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w:t>
            </w:r>
            <w:proofErr w:type="spellStart"/>
            <w:r w:rsidRPr="0003172E">
              <w:rPr>
                <w:rFonts w:asciiTheme="minorBidi" w:hAnsiTheme="minorBidi" w:cstheme="minorBidi"/>
                <w:color w:val="000000"/>
                <w:lang w:eastAsia="en-IN"/>
              </w:rPr>
              <w:t>rGO</w:t>
            </w:r>
            <w:proofErr w:type="spellEnd"/>
            <w:r w:rsidRPr="0003172E">
              <w:rPr>
                <w:rFonts w:asciiTheme="minorBidi" w:hAnsiTheme="minorBidi" w:cstheme="minorBidi"/>
                <w:color w:val="000000"/>
                <w:lang w:eastAsia="en-IN"/>
              </w:rPr>
              <w:t>/</w:t>
            </w:r>
            <w:proofErr w:type="spellStart"/>
            <w:r w:rsidRPr="0003172E">
              <w:rPr>
                <w:rFonts w:asciiTheme="minorBidi" w:hAnsiTheme="minorBidi" w:cstheme="minorBidi"/>
                <w:color w:val="000000"/>
                <w:lang w:eastAsia="en-IN"/>
              </w:rPr>
              <w:t>Ppy</w:t>
            </w:r>
            <w:proofErr w:type="spellEnd"/>
            <w:r w:rsidRPr="0003172E">
              <w:rPr>
                <w:rFonts w:asciiTheme="minorBidi" w:hAnsiTheme="minorBidi" w:cstheme="minorBidi"/>
                <w:color w:val="000000"/>
                <w:lang w:eastAsia="en-IN"/>
              </w:rPr>
              <w:t>)20</w:t>
            </w:r>
          </w:p>
        </w:tc>
        <w:tc>
          <w:tcPr>
            <w:tcW w:w="1413" w:type="dxa"/>
            <w:noWrap/>
            <w:vAlign w:val="bottom"/>
            <w:hideMark/>
          </w:tcPr>
          <w:p w14:paraId="1D1EE864"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0.00113958</w:t>
            </w:r>
          </w:p>
        </w:tc>
        <w:tc>
          <w:tcPr>
            <w:tcW w:w="1322" w:type="dxa"/>
            <w:noWrap/>
            <w:vAlign w:val="bottom"/>
            <w:hideMark/>
          </w:tcPr>
          <w:p w14:paraId="45C5F5C8"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0.6</w:t>
            </w:r>
          </w:p>
        </w:tc>
        <w:tc>
          <w:tcPr>
            <w:tcW w:w="1165" w:type="dxa"/>
            <w:noWrap/>
            <w:vAlign w:val="bottom"/>
            <w:hideMark/>
          </w:tcPr>
          <w:p w14:paraId="5672E600"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0.001</w:t>
            </w:r>
          </w:p>
        </w:tc>
        <w:tc>
          <w:tcPr>
            <w:tcW w:w="1076" w:type="dxa"/>
            <w:noWrap/>
            <w:vAlign w:val="bottom"/>
            <w:hideMark/>
          </w:tcPr>
          <w:p w14:paraId="10EE80DE"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0.01</w:t>
            </w:r>
          </w:p>
        </w:tc>
        <w:tc>
          <w:tcPr>
            <w:tcW w:w="1166" w:type="dxa"/>
            <w:noWrap/>
            <w:vAlign w:val="bottom"/>
            <w:hideMark/>
          </w:tcPr>
          <w:p w14:paraId="28D28996"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189.9295</w:t>
            </w:r>
          </w:p>
        </w:tc>
      </w:tr>
    </w:tbl>
    <w:p w14:paraId="12F79379" w14:textId="77777777" w:rsidR="0003172E" w:rsidRPr="00C53684" w:rsidRDefault="0003172E" w:rsidP="0003172E">
      <w:pPr>
        <w:spacing w:before="100" w:beforeAutospacing="1" w:after="100" w:afterAutospacing="1"/>
        <w:jc w:val="both"/>
        <w:rPr>
          <w:rFonts w:ascii="Times New Roman" w:hAnsi="Times New Roman"/>
          <w:lang w:eastAsia="en-IN"/>
        </w:rPr>
      </w:pPr>
      <w:r w:rsidRPr="0003172E">
        <w:rPr>
          <w:rFonts w:asciiTheme="minorBidi" w:hAnsiTheme="minorBidi" w:cstheme="minorBidi"/>
          <w:lang w:eastAsia="en-IN"/>
        </w:rPr>
        <w:lastRenderedPageBreak/>
        <w:t xml:space="preserve">The cyclic voltammetry data at 10 mV/s highlight the tunable electrochemical properties of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composites as a function of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content. The results confirm that a moderate incorporation of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xml:space="preserve"> significantly enhances the overall capacitance through synergistic contributions of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 xml:space="preserve"> and </w:t>
      </w:r>
      <w:proofErr w:type="spellStart"/>
      <w:r w:rsidRPr="0003172E">
        <w:rPr>
          <w:rFonts w:asciiTheme="minorBidi" w:hAnsiTheme="minorBidi" w:cstheme="minorBidi"/>
          <w:lang w:eastAsia="en-IN"/>
        </w:rPr>
        <w:t>PPy</w:t>
      </w:r>
      <w:proofErr w:type="spellEnd"/>
      <w:r w:rsidRPr="0003172E">
        <w:rPr>
          <w:rFonts w:asciiTheme="minorBidi" w:hAnsiTheme="minorBidi" w:cstheme="minorBidi"/>
          <w:lang w:eastAsia="en-IN"/>
        </w:rPr>
        <w:t>. The optimized composite (</w:t>
      </w:r>
      <w:proofErr w:type="spellStart"/>
      <w:r w:rsidRPr="0003172E">
        <w:rPr>
          <w:rFonts w:asciiTheme="minorBidi" w:hAnsiTheme="minorBidi" w:cstheme="minorBidi"/>
          <w:lang w:eastAsia="en-IN"/>
        </w:rPr>
        <w:t>rGO</w:t>
      </w:r>
      <w:proofErr w:type="spellEnd"/>
      <w:r w:rsidRPr="0003172E">
        <w:rPr>
          <w:rFonts w:asciiTheme="minorBidi" w:hAnsiTheme="minorBidi" w:cstheme="minorBidi"/>
          <w:lang w:eastAsia="en-IN"/>
        </w:rPr>
        <w:t>/PPy15) exhibits the highest capacitive current and most pronounced redox response, attributed to efficient interfacial electron transport and accessible active sites. These findings demonstrate that careful control over polymer loading and dispersion within the graphene network is crucial for developing high-performance hybrid electrodes for supercapacitor applications.</w:t>
      </w:r>
    </w:p>
    <w:p w14:paraId="2EA68553" w14:textId="77777777" w:rsidR="0003172E" w:rsidRDefault="0003172E" w:rsidP="00441B6F">
      <w:pPr>
        <w:pStyle w:val="Body"/>
        <w:spacing w:after="0"/>
        <w:rPr>
          <w:rFonts w:ascii="Arial" w:hAnsi="Arial" w:cs="Arial"/>
        </w:rPr>
      </w:pPr>
    </w:p>
    <w:p w14:paraId="7A7A89D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07FA91" w14:textId="77777777" w:rsidR="00790ADA" w:rsidRPr="00FB3A86" w:rsidRDefault="00790ADA" w:rsidP="00441B6F">
      <w:pPr>
        <w:pStyle w:val="ConcHead"/>
        <w:spacing w:after="0"/>
        <w:jc w:val="both"/>
        <w:rPr>
          <w:rFonts w:ascii="Arial" w:hAnsi="Arial" w:cs="Arial"/>
        </w:rPr>
      </w:pPr>
    </w:p>
    <w:p w14:paraId="1971F1BB"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In this work, a series of reduced graphene oxide/</w:t>
      </w:r>
      <w:proofErr w:type="spellStart"/>
      <w:r w:rsidRPr="0003172E">
        <w:rPr>
          <w:rFonts w:asciiTheme="minorBidi" w:hAnsiTheme="minorBidi" w:cstheme="minorBidi"/>
        </w:rPr>
        <w:t>polypyrrole</w:t>
      </w:r>
      <w:proofErr w:type="spellEnd"/>
      <w:r w:rsidRPr="0003172E">
        <w:rPr>
          <w:rFonts w:asciiTheme="minorBidi" w:hAnsiTheme="minorBidi" w:cstheme="minorBidi"/>
        </w:rPr>
        <w:t xml:space="preserve"> (</w:t>
      </w:r>
      <w:proofErr w:type="spellStart"/>
      <w:r w:rsidRPr="0003172E">
        <w:rPr>
          <w:rFonts w:asciiTheme="minorBidi" w:hAnsiTheme="minorBidi" w:cstheme="minorBidi"/>
        </w:rPr>
        <w:t>rGO</w:t>
      </w:r>
      <w:proofErr w:type="spellEnd"/>
      <w:r w:rsidRPr="0003172E">
        <w:rPr>
          <w:rFonts w:asciiTheme="minorBidi" w:hAnsiTheme="minorBidi" w:cstheme="minorBidi"/>
        </w:rPr>
        <w:t>/</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nanocomposites with varying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content was successfully synthesized via an in-situ oxidative polymerization route and evaluated as electrode materials for supercapacitor applications through cyclic voltammetry (CV) at a scan rate of 10 mV s</w:t>
      </w:r>
      <w:r w:rsidRPr="0003172E">
        <w:rPr>
          <w:rFonts w:ascii="Cambria Math" w:hAnsi="Cambria Math" w:cs="Cambria Math"/>
        </w:rPr>
        <w:t>⁻</w:t>
      </w:r>
      <w:r w:rsidRPr="0003172E">
        <w:rPr>
          <w:rFonts w:ascii="Arial" w:hAnsi="Arial" w:cs="Arial"/>
        </w:rPr>
        <w:t>¹</w:t>
      </w:r>
      <w:r w:rsidRPr="0003172E">
        <w:rPr>
          <w:rFonts w:asciiTheme="minorBidi" w:hAnsiTheme="minorBidi" w:cstheme="minorBidi"/>
        </w:rPr>
        <w:t xml:space="preserve">. The investigation focused on understanding how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loading influences the electrochemical performance of the </w:t>
      </w:r>
      <w:proofErr w:type="spellStart"/>
      <w:r w:rsidRPr="0003172E">
        <w:rPr>
          <w:rFonts w:asciiTheme="minorBidi" w:hAnsiTheme="minorBidi" w:cstheme="minorBidi"/>
        </w:rPr>
        <w:t>rGO</w:t>
      </w:r>
      <w:proofErr w:type="spellEnd"/>
      <w:r w:rsidRPr="0003172E">
        <w:rPr>
          <w:rFonts w:asciiTheme="minorBidi" w:hAnsiTheme="minorBidi" w:cstheme="minorBidi"/>
        </w:rPr>
        <w:t>/</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system, emphasizing the synergistic interaction between the conductive carbon framework of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and the redox-active polymer matrix of </w:t>
      </w:r>
      <w:proofErr w:type="spellStart"/>
      <w:r w:rsidRPr="0003172E">
        <w:rPr>
          <w:rFonts w:asciiTheme="minorBidi" w:hAnsiTheme="minorBidi" w:cstheme="minorBidi"/>
        </w:rPr>
        <w:t>PPy</w:t>
      </w:r>
      <w:proofErr w:type="spellEnd"/>
      <w:r w:rsidRPr="0003172E">
        <w:rPr>
          <w:rFonts w:asciiTheme="minorBidi" w:hAnsiTheme="minorBidi" w:cstheme="minorBidi"/>
        </w:rPr>
        <w:t>.</w:t>
      </w:r>
    </w:p>
    <w:p w14:paraId="4353491B"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The specific capacitance values derived from the CV data clearly demonstrate a composition-dependent performance trend: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/PPy15 exhibited the highest capacitance of </w:t>
      </w:r>
      <w:r w:rsidRPr="0003172E">
        <w:rPr>
          <w:rFonts w:asciiTheme="minorBidi" w:hAnsiTheme="minorBidi" w:cstheme="minorBidi"/>
          <w:b/>
          <w:bCs/>
        </w:rPr>
        <w:t>230.36 F g</w:t>
      </w:r>
      <w:r w:rsidRPr="0003172E">
        <w:rPr>
          <w:rFonts w:ascii="Cambria Math" w:hAnsi="Cambria Math" w:cs="Cambria Math"/>
          <w:b/>
          <w:bCs/>
        </w:rPr>
        <w:t>⁻</w:t>
      </w:r>
      <w:r w:rsidRPr="0003172E">
        <w:rPr>
          <w:rFonts w:ascii="Arial" w:hAnsi="Arial" w:cs="Arial"/>
          <w:b/>
          <w:bCs/>
        </w:rPr>
        <w:t>¹</w:t>
      </w:r>
      <w:r w:rsidRPr="0003172E">
        <w:rPr>
          <w:rFonts w:asciiTheme="minorBidi" w:hAnsiTheme="minorBidi" w:cstheme="minorBidi"/>
        </w:rPr>
        <w:t xml:space="preserve">, followed by </w:t>
      </w:r>
      <w:proofErr w:type="spellStart"/>
      <w:r w:rsidRPr="0003172E">
        <w:rPr>
          <w:rFonts w:asciiTheme="minorBidi" w:hAnsiTheme="minorBidi" w:cstheme="minorBidi"/>
        </w:rPr>
        <w:t>rGO</w:t>
      </w:r>
      <w:proofErr w:type="spellEnd"/>
      <w:r w:rsidRPr="0003172E">
        <w:rPr>
          <w:rFonts w:asciiTheme="minorBidi" w:hAnsiTheme="minorBidi" w:cstheme="minorBidi"/>
        </w:rPr>
        <w:t>/PPy20 (</w:t>
      </w:r>
      <w:r w:rsidRPr="0003172E">
        <w:rPr>
          <w:rFonts w:asciiTheme="minorBidi" w:hAnsiTheme="minorBidi" w:cstheme="minorBidi"/>
          <w:b/>
          <w:bCs/>
        </w:rPr>
        <w:t>189.93 F g</w:t>
      </w:r>
      <w:r w:rsidRPr="0003172E">
        <w:rPr>
          <w:rFonts w:ascii="Cambria Math" w:hAnsi="Cambria Math" w:cs="Cambria Math"/>
          <w:b/>
          <w:bCs/>
        </w:rPr>
        <w:t>⁻</w:t>
      </w:r>
      <w:r w:rsidRPr="0003172E">
        <w:rPr>
          <w:rFonts w:ascii="Arial" w:hAnsi="Arial" w:cs="Arial"/>
          <w:b/>
          <w:bCs/>
        </w:rPr>
        <w:t>¹</w:t>
      </w:r>
      <w:r w:rsidRPr="0003172E">
        <w:rPr>
          <w:rFonts w:asciiTheme="minorBidi" w:hAnsiTheme="minorBidi" w:cstheme="minorBidi"/>
        </w:rPr>
        <w:t xml:space="preserve">), </w:t>
      </w:r>
      <w:proofErr w:type="spellStart"/>
      <w:r w:rsidRPr="0003172E">
        <w:rPr>
          <w:rFonts w:asciiTheme="minorBidi" w:hAnsiTheme="minorBidi" w:cstheme="minorBidi"/>
        </w:rPr>
        <w:t>rGO</w:t>
      </w:r>
      <w:proofErr w:type="spellEnd"/>
      <w:r w:rsidRPr="0003172E">
        <w:rPr>
          <w:rFonts w:asciiTheme="minorBidi" w:hAnsiTheme="minorBidi" w:cstheme="minorBidi"/>
        </w:rPr>
        <w:t>/PPy5 (</w:t>
      </w:r>
      <w:r w:rsidRPr="0003172E">
        <w:rPr>
          <w:rFonts w:asciiTheme="minorBidi" w:hAnsiTheme="minorBidi" w:cstheme="minorBidi"/>
          <w:b/>
          <w:bCs/>
        </w:rPr>
        <w:t>115.66 F g</w:t>
      </w:r>
      <w:r w:rsidRPr="0003172E">
        <w:rPr>
          <w:rFonts w:ascii="Cambria Math" w:hAnsi="Cambria Math" w:cs="Cambria Math"/>
          <w:b/>
          <w:bCs/>
        </w:rPr>
        <w:t>⁻</w:t>
      </w:r>
      <w:r w:rsidRPr="0003172E">
        <w:rPr>
          <w:rFonts w:ascii="Arial" w:hAnsi="Arial" w:cs="Arial"/>
          <w:b/>
          <w:bCs/>
        </w:rPr>
        <w:t>¹</w:t>
      </w:r>
      <w:r w:rsidRPr="0003172E">
        <w:rPr>
          <w:rFonts w:asciiTheme="minorBidi" w:hAnsiTheme="minorBidi" w:cstheme="minorBidi"/>
        </w:rPr>
        <w:t xml:space="preserve">), and </w:t>
      </w:r>
      <w:proofErr w:type="spellStart"/>
      <w:r w:rsidRPr="0003172E">
        <w:rPr>
          <w:rFonts w:asciiTheme="minorBidi" w:hAnsiTheme="minorBidi" w:cstheme="minorBidi"/>
        </w:rPr>
        <w:t>rGO</w:t>
      </w:r>
      <w:proofErr w:type="spellEnd"/>
      <w:r w:rsidRPr="0003172E">
        <w:rPr>
          <w:rFonts w:asciiTheme="minorBidi" w:hAnsiTheme="minorBidi" w:cstheme="minorBidi"/>
        </w:rPr>
        <w:t>/PPy10 (</w:t>
      </w:r>
      <w:r w:rsidRPr="0003172E">
        <w:rPr>
          <w:rFonts w:asciiTheme="minorBidi" w:hAnsiTheme="minorBidi" w:cstheme="minorBidi"/>
          <w:b/>
          <w:bCs/>
        </w:rPr>
        <w:t>89.20 F g</w:t>
      </w:r>
      <w:r w:rsidRPr="0003172E">
        <w:rPr>
          <w:rFonts w:ascii="Cambria Math" w:hAnsi="Cambria Math" w:cs="Cambria Math"/>
          <w:b/>
          <w:bCs/>
        </w:rPr>
        <w:t>⁻</w:t>
      </w:r>
      <w:r w:rsidRPr="0003172E">
        <w:rPr>
          <w:rFonts w:ascii="Arial" w:hAnsi="Arial" w:cs="Arial"/>
          <w:b/>
          <w:bCs/>
        </w:rPr>
        <w:t>¹</w:t>
      </w:r>
      <w:r w:rsidRPr="0003172E">
        <w:rPr>
          <w:rFonts w:asciiTheme="minorBidi" w:hAnsiTheme="minorBidi" w:cstheme="minorBidi"/>
        </w:rPr>
        <w:t xml:space="preserve">). This variation indicates that moderate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incorporation significantly enhances charge storage ability due to the optimal balance between double-layer and pseudocapacitive mechanisms. At lower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contents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/PPy5 and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/PPy10), the limited redox contribution results in lower capacitance, whereas excessive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/PPy20) reduces conductivity and ion accessibility due to polymer agglomeration. The superior performance of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/PPy15 confirms that an optimal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loading maximizes interfacial contact, facilitating rapid charge transfer and efficient ion diffusion.</w:t>
      </w:r>
    </w:p>
    <w:p w14:paraId="6D287729"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The quasi-rectangular CV profiles with minor redox humps further confirm the coexistence of </w:t>
      </w:r>
      <w:r w:rsidRPr="0003172E">
        <w:rPr>
          <w:rFonts w:asciiTheme="minorBidi" w:hAnsiTheme="minorBidi" w:cstheme="minorBidi"/>
          <w:b/>
          <w:bCs/>
        </w:rPr>
        <w:t>electric double-layer capacitance (EDLC)</w:t>
      </w:r>
      <w:r w:rsidRPr="0003172E">
        <w:rPr>
          <w:rFonts w:asciiTheme="minorBidi" w:hAnsiTheme="minorBidi" w:cstheme="minorBidi"/>
        </w:rPr>
        <w:t xml:space="preserve"> and </w:t>
      </w:r>
      <w:proofErr w:type="spellStart"/>
      <w:r w:rsidRPr="0003172E">
        <w:rPr>
          <w:rFonts w:asciiTheme="minorBidi" w:hAnsiTheme="minorBidi" w:cstheme="minorBidi"/>
          <w:b/>
          <w:bCs/>
        </w:rPr>
        <w:t>pseudocapacitance</w:t>
      </w:r>
      <w:proofErr w:type="spellEnd"/>
      <w:r w:rsidRPr="0003172E">
        <w:rPr>
          <w:rFonts w:asciiTheme="minorBidi" w:hAnsiTheme="minorBidi" w:cstheme="minorBidi"/>
        </w:rPr>
        <w:t xml:space="preserve"> within the hybrid structure. The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network contributes to EDLC through high surface area and conductivity, enabling rapid electron transport, while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provides additional Faradaic charge storage through reversible redox transitions. The intimate integration of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with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reduces charge-transfer resistance and ensures uniform utilization of electroactive sites. As a result, </w:t>
      </w:r>
      <w:proofErr w:type="spellStart"/>
      <w:r w:rsidRPr="0003172E">
        <w:rPr>
          <w:rFonts w:asciiTheme="minorBidi" w:hAnsiTheme="minorBidi" w:cstheme="minorBidi"/>
        </w:rPr>
        <w:t>rGO</w:t>
      </w:r>
      <w:proofErr w:type="spellEnd"/>
      <w:r w:rsidRPr="0003172E">
        <w:rPr>
          <w:rFonts w:asciiTheme="minorBidi" w:hAnsiTheme="minorBidi" w:cstheme="minorBidi"/>
        </w:rPr>
        <w:t>/PPy15 displays the most favorable electrochemical characteristics, combining high capacitance with excellent reversibility and structural stability.</w:t>
      </w:r>
    </w:p>
    <w:p w14:paraId="44703E61"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Overall, the capacitance analysis establishes that the electrochemical performance of </w:t>
      </w:r>
      <w:proofErr w:type="spellStart"/>
      <w:r w:rsidRPr="0003172E">
        <w:rPr>
          <w:rFonts w:asciiTheme="minorBidi" w:hAnsiTheme="minorBidi" w:cstheme="minorBidi"/>
        </w:rPr>
        <w:t>rGO</w:t>
      </w:r>
      <w:proofErr w:type="spellEnd"/>
      <w:r w:rsidRPr="0003172E">
        <w:rPr>
          <w:rFonts w:asciiTheme="minorBidi" w:hAnsiTheme="minorBidi" w:cstheme="minorBidi"/>
        </w:rPr>
        <w:t>/</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composites is strongly governed by the balance between conductivity and redox activity. The synergistic coupling between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and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enables a dual charge storage mechanism, where </w:t>
      </w:r>
      <w:proofErr w:type="spellStart"/>
      <w:r w:rsidRPr="0003172E">
        <w:rPr>
          <w:rFonts w:asciiTheme="minorBidi" w:hAnsiTheme="minorBidi" w:cstheme="minorBidi"/>
        </w:rPr>
        <w:t>rGO</w:t>
      </w:r>
      <w:proofErr w:type="spellEnd"/>
      <w:r w:rsidRPr="0003172E">
        <w:rPr>
          <w:rFonts w:asciiTheme="minorBidi" w:hAnsiTheme="minorBidi" w:cstheme="minorBidi"/>
        </w:rPr>
        <w:t xml:space="preserve"> stabilizes the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phase and enhances electron transport, while </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imparts pseudocapacitive functionality. The optimized composite (</w:t>
      </w:r>
      <w:proofErr w:type="spellStart"/>
      <w:r w:rsidRPr="0003172E">
        <w:rPr>
          <w:rFonts w:asciiTheme="minorBidi" w:hAnsiTheme="minorBidi" w:cstheme="minorBidi"/>
        </w:rPr>
        <w:t>rGO</w:t>
      </w:r>
      <w:proofErr w:type="spellEnd"/>
      <w:r w:rsidRPr="0003172E">
        <w:rPr>
          <w:rFonts w:asciiTheme="minorBidi" w:hAnsiTheme="minorBidi" w:cstheme="minorBidi"/>
        </w:rPr>
        <w:t>/PPy15) thus demonstrates the best integration of these effects, confirming its potential as a high-performance electrode material for energy storage applications.</w:t>
      </w:r>
    </w:p>
    <w:p w14:paraId="2115EB07"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 xml:space="preserve">Future work should focus on fine-tuning the </w:t>
      </w:r>
      <w:proofErr w:type="spellStart"/>
      <w:r w:rsidRPr="0003172E">
        <w:rPr>
          <w:rFonts w:asciiTheme="minorBidi" w:hAnsiTheme="minorBidi" w:cstheme="minorBidi"/>
        </w:rPr>
        <w:t>rGO</w:t>
      </w:r>
      <w:proofErr w:type="spellEnd"/>
      <w:r w:rsidRPr="0003172E">
        <w:rPr>
          <w:rFonts w:asciiTheme="minorBidi" w:hAnsiTheme="minorBidi" w:cstheme="minorBidi"/>
        </w:rPr>
        <w:t>-to-</w:t>
      </w:r>
      <w:proofErr w:type="spellStart"/>
      <w:r w:rsidRPr="0003172E">
        <w:rPr>
          <w:rFonts w:asciiTheme="minorBidi" w:hAnsiTheme="minorBidi" w:cstheme="minorBidi"/>
        </w:rPr>
        <w:t>PPy</w:t>
      </w:r>
      <w:proofErr w:type="spellEnd"/>
      <w:r w:rsidRPr="0003172E">
        <w:rPr>
          <w:rFonts w:asciiTheme="minorBidi" w:hAnsiTheme="minorBidi" w:cstheme="minorBidi"/>
        </w:rPr>
        <w:t xml:space="preserve"> ratio and optimizing the morphology to further enhance capacitive behavior and cycling durability. Incorporating complementary analyses such as galvanostatic charge–discharge (GCD) and electrochemical impedance spectroscopy (EIS) would provide deeper insight into ion transport dynamics and resistance behavior. Nevertheless, the present results conclusively show that the </w:t>
      </w:r>
      <w:proofErr w:type="spellStart"/>
      <w:r w:rsidRPr="0003172E">
        <w:rPr>
          <w:rFonts w:asciiTheme="minorBidi" w:hAnsiTheme="minorBidi" w:cstheme="minorBidi"/>
        </w:rPr>
        <w:t>rGO</w:t>
      </w:r>
      <w:proofErr w:type="spellEnd"/>
      <w:r w:rsidRPr="0003172E">
        <w:rPr>
          <w:rFonts w:asciiTheme="minorBidi" w:hAnsiTheme="minorBidi" w:cstheme="minorBidi"/>
        </w:rPr>
        <w:t>/PPy15 composition offers the most efficient electrochemical performance, validating the critical role of compositional optimization in designing advanced, durable, and high-capacitance hybrid electrodes for supercapacitor devices.</w:t>
      </w:r>
    </w:p>
    <w:p w14:paraId="793B74C3" w14:textId="77777777" w:rsidR="00315186" w:rsidRPr="00315186" w:rsidRDefault="00315186" w:rsidP="00441B6F"/>
    <w:p w14:paraId="34823EC2" w14:textId="77777777" w:rsidR="002B685A" w:rsidRDefault="002B685A" w:rsidP="00441B6F">
      <w:pPr>
        <w:pStyle w:val="ReferHead"/>
        <w:spacing w:after="0"/>
        <w:jc w:val="both"/>
        <w:rPr>
          <w:rFonts w:ascii="Arial" w:hAnsi="Arial" w:cs="Arial"/>
          <w:b w:val="0"/>
          <w:caps w:val="0"/>
          <w:sz w:val="20"/>
        </w:rPr>
      </w:pPr>
    </w:p>
    <w:p w14:paraId="03AE5EB0"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37340FB" w14:textId="77777777" w:rsidR="002B685A" w:rsidRPr="002B685A" w:rsidRDefault="002B685A" w:rsidP="00441B6F">
      <w:pPr>
        <w:pStyle w:val="ReferHead"/>
        <w:spacing w:after="0"/>
        <w:jc w:val="both"/>
        <w:rPr>
          <w:rFonts w:ascii="Arial" w:hAnsi="Arial" w:cs="Arial"/>
          <w:bCs/>
        </w:rPr>
      </w:pPr>
    </w:p>
    <w:p w14:paraId="0A73F9AC" w14:textId="18C46F8E"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1E3DF974" w14:textId="77777777" w:rsidR="001A29D8" w:rsidRDefault="001A29D8" w:rsidP="00441B6F">
      <w:pPr>
        <w:pStyle w:val="ReferHead"/>
        <w:spacing w:after="0"/>
        <w:jc w:val="both"/>
        <w:rPr>
          <w:rFonts w:ascii="Arial" w:hAnsi="Arial" w:cs="Arial"/>
          <w:b w:val="0"/>
          <w:caps w:val="0"/>
          <w:sz w:val="20"/>
        </w:rPr>
      </w:pPr>
    </w:p>
    <w:p w14:paraId="4A9792EF" w14:textId="77777777" w:rsidR="005C784C" w:rsidRDefault="005C784C" w:rsidP="00441B6F">
      <w:pPr>
        <w:pStyle w:val="ReferHead"/>
        <w:spacing w:after="0"/>
        <w:jc w:val="both"/>
        <w:rPr>
          <w:rFonts w:ascii="Arial" w:hAnsi="Arial" w:cs="Arial"/>
          <w:b w:val="0"/>
          <w:caps w:val="0"/>
          <w:sz w:val="20"/>
        </w:rPr>
      </w:pPr>
    </w:p>
    <w:p w14:paraId="33ECB2B7"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A90F2CB" w14:textId="77777777" w:rsidR="005C784C" w:rsidRPr="002B685A" w:rsidRDefault="005C784C" w:rsidP="00441B6F">
      <w:pPr>
        <w:pStyle w:val="ReferHead"/>
        <w:spacing w:after="0"/>
        <w:jc w:val="both"/>
        <w:rPr>
          <w:rFonts w:ascii="Arial" w:hAnsi="Arial" w:cs="Arial"/>
          <w:bCs/>
        </w:rPr>
      </w:pPr>
    </w:p>
    <w:p w14:paraId="27EFB868" w14:textId="60F0F867" w:rsidR="0041027F"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p>
    <w:p w14:paraId="32822BAC" w14:textId="77777777" w:rsidR="00860000" w:rsidRDefault="00860000" w:rsidP="00441B6F">
      <w:pPr>
        <w:pStyle w:val="ReferHead"/>
        <w:spacing w:after="0"/>
        <w:jc w:val="both"/>
        <w:rPr>
          <w:rFonts w:ascii="Arial" w:hAnsi="Arial" w:cs="Arial"/>
        </w:rPr>
      </w:pPr>
    </w:p>
    <w:p w14:paraId="46D240A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B07E280" w14:textId="77777777" w:rsidR="00790ADA" w:rsidRDefault="00790ADA" w:rsidP="00441B6F">
      <w:pPr>
        <w:pStyle w:val="ReferHead"/>
        <w:spacing w:after="0"/>
        <w:jc w:val="both"/>
        <w:rPr>
          <w:rFonts w:ascii="Arial" w:hAnsi="Arial" w:cs="Arial"/>
        </w:rPr>
      </w:pPr>
    </w:p>
    <w:p w14:paraId="15786A1F"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Simon P, </w:t>
      </w:r>
      <w:proofErr w:type="spellStart"/>
      <w:r w:rsidRPr="00482C88">
        <w:rPr>
          <w:rFonts w:asciiTheme="minorBidi" w:hAnsiTheme="minorBidi" w:cstheme="minorBidi"/>
        </w:rPr>
        <w:t>Gogotsi</w:t>
      </w:r>
      <w:proofErr w:type="spellEnd"/>
      <w:r w:rsidRPr="00482C88">
        <w:rPr>
          <w:rFonts w:asciiTheme="minorBidi" w:hAnsiTheme="minorBidi" w:cstheme="minorBidi"/>
        </w:rPr>
        <w:t xml:space="preserve"> Y. Materials for electrochemical capacitors. </w:t>
      </w:r>
      <w:r w:rsidRPr="00482C88">
        <w:rPr>
          <w:rStyle w:val="Emphasis"/>
          <w:rFonts w:asciiTheme="minorBidi" w:hAnsiTheme="minorBidi" w:cstheme="minorBidi"/>
        </w:rPr>
        <w:t>Nat Mater.</w:t>
      </w:r>
      <w:r w:rsidRPr="00482C88">
        <w:rPr>
          <w:rFonts w:asciiTheme="minorBidi" w:hAnsiTheme="minorBidi" w:cstheme="minorBidi"/>
        </w:rPr>
        <w:t xml:space="preserve"> 2008;7(11):845–54.</w:t>
      </w:r>
    </w:p>
    <w:p w14:paraId="478BD4F8"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Conway BE. </w:t>
      </w:r>
      <w:r w:rsidRPr="00482C88">
        <w:rPr>
          <w:rStyle w:val="Emphasis"/>
          <w:rFonts w:asciiTheme="minorBidi" w:hAnsiTheme="minorBidi" w:cstheme="minorBidi"/>
        </w:rPr>
        <w:t>Electrochemical Supercapacitors: Scientific Fundamentals and Technological Applications.</w:t>
      </w:r>
      <w:r w:rsidRPr="00482C88">
        <w:rPr>
          <w:rFonts w:asciiTheme="minorBidi" w:hAnsiTheme="minorBidi" w:cstheme="minorBidi"/>
        </w:rPr>
        <w:t xml:space="preserve"> Springer; 1999.</w:t>
      </w:r>
    </w:p>
    <w:p w14:paraId="5A76004A"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Zhang LL, Zhao XS. Carbon-based materials as supercapacitor electrodes. </w:t>
      </w:r>
      <w:r w:rsidRPr="00482C88">
        <w:rPr>
          <w:rStyle w:val="Emphasis"/>
          <w:rFonts w:asciiTheme="minorBidi" w:hAnsiTheme="minorBidi" w:cstheme="minorBidi"/>
        </w:rPr>
        <w:t>Chem Soc Rev.</w:t>
      </w:r>
      <w:r w:rsidRPr="00482C88">
        <w:rPr>
          <w:rFonts w:asciiTheme="minorBidi" w:hAnsiTheme="minorBidi" w:cstheme="minorBidi"/>
        </w:rPr>
        <w:t xml:space="preserve"> 2009;38(9):2520–31.</w:t>
      </w:r>
    </w:p>
    <w:p w14:paraId="7BF5FAAF"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Miller JR, Simon P. Electrochemical capacitors for energy management. </w:t>
      </w:r>
      <w:r w:rsidRPr="00482C88">
        <w:rPr>
          <w:rStyle w:val="Emphasis"/>
          <w:rFonts w:asciiTheme="minorBidi" w:hAnsiTheme="minorBidi" w:cstheme="minorBidi"/>
        </w:rPr>
        <w:t>Science.</w:t>
      </w:r>
      <w:r w:rsidRPr="00482C88">
        <w:rPr>
          <w:rFonts w:asciiTheme="minorBidi" w:hAnsiTheme="minorBidi" w:cstheme="minorBidi"/>
        </w:rPr>
        <w:t xml:space="preserve"> 2008;321(5889):651–52.</w:t>
      </w:r>
    </w:p>
    <w:p w14:paraId="269F09AE"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Wang G, Zhang L, Zhang J. A review of electrode materials for electrochemical supercapacitors. </w:t>
      </w:r>
      <w:r w:rsidRPr="00482C88">
        <w:rPr>
          <w:rStyle w:val="Emphasis"/>
          <w:rFonts w:asciiTheme="minorBidi" w:hAnsiTheme="minorBidi" w:cstheme="minorBidi"/>
        </w:rPr>
        <w:t>Chem Soc Rev.</w:t>
      </w:r>
      <w:r w:rsidRPr="00482C88">
        <w:rPr>
          <w:rFonts w:asciiTheme="minorBidi" w:hAnsiTheme="minorBidi" w:cstheme="minorBidi"/>
        </w:rPr>
        <w:t xml:space="preserve"> 2012;41(2):797–828.</w:t>
      </w:r>
    </w:p>
    <w:p w14:paraId="3E4326A9" w14:textId="77777777" w:rsidR="00482C88" w:rsidRPr="00482C88" w:rsidRDefault="00482C88" w:rsidP="00482C88">
      <w:pPr>
        <w:pStyle w:val="NormalWeb"/>
        <w:numPr>
          <w:ilvl w:val="0"/>
          <w:numId w:val="32"/>
        </w:numPr>
        <w:ind w:left="284" w:hanging="284"/>
        <w:jc w:val="both"/>
        <w:rPr>
          <w:rFonts w:asciiTheme="minorBidi" w:hAnsiTheme="minorBidi" w:cstheme="minorBidi"/>
        </w:rPr>
      </w:pPr>
      <w:proofErr w:type="spellStart"/>
      <w:r w:rsidRPr="00482C88">
        <w:rPr>
          <w:rFonts w:asciiTheme="minorBidi" w:hAnsiTheme="minorBidi" w:cstheme="minorBidi"/>
        </w:rPr>
        <w:t>Frackowiak</w:t>
      </w:r>
      <w:proofErr w:type="spellEnd"/>
      <w:r w:rsidRPr="00482C88">
        <w:rPr>
          <w:rFonts w:asciiTheme="minorBidi" w:hAnsiTheme="minorBidi" w:cstheme="minorBidi"/>
        </w:rPr>
        <w:t xml:space="preserve"> E, </w:t>
      </w:r>
      <w:proofErr w:type="spellStart"/>
      <w:r w:rsidRPr="00482C88">
        <w:rPr>
          <w:rFonts w:asciiTheme="minorBidi" w:hAnsiTheme="minorBidi" w:cstheme="minorBidi"/>
        </w:rPr>
        <w:t>Béguin</w:t>
      </w:r>
      <w:proofErr w:type="spellEnd"/>
      <w:r w:rsidRPr="00482C88">
        <w:rPr>
          <w:rFonts w:asciiTheme="minorBidi" w:hAnsiTheme="minorBidi" w:cstheme="minorBidi"/>
        </w:rPr>
        <w:t xml:space="preserve"> F. Carbon materials for the electrochemical storage of energy in capacitors. </w:t>
      </w:r>
      <w:r w:rsidRPr="00482C88">
        <w:rPr>
          <w:rStyle w:val="Emphasis"/>
          <w:rFonts w:asciiTheme="minorBidi" w:hAnsiTheme="minorBidi" w:cstheme="minorBidi"/>
        </w:rPr>
        <w:t>Carbon.</w:t>
      </w:r>
      <w:r w:rsidRPr="00482C88">
        <w:rPr>
          <w:rFonts w:asciiTheme="minorBidi" w:hAnsiTheme="minorBidi" w:cstheme="minorBidi"/>
        </w:rPr>
        <w:t xml:space="preserve"> 2001;39(6):937–50.</w:t>
      </w:r>
    </w:p>
    <w:p w14:paraId="312F020E"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Zhao X, Sánchez BM, Dobson PJ, Grant PS. The role of nanomaterials in redox-based supercapacitors for next-generation energy storage devices. </w:t>
      </w:r>
      <w:r w:rsidRPr="00482C88">
        <w:rPr>
          <w:rStyle w:val="Emphasis"/>
          <w:rFonts w:asciiTheme="minorBidi" w:hAnsiTheme="minorBidi" w:cstheme="minorBidi"/>
        </w:rPr>
        <w:t>Nanoscale.</w:t>
      </w:r>
      <w:r w:rsidRPr="00482C88">
        <w:rPr>
          <w:rFonts w:asciiTheme="minorBidi" w:hAnsiTheme="minorBidi" w:cstheme="minorBidi"/>
        </w:rPr>
        <w:t xml:space="preserve"> 2011;3(3):839–55.</w:t>
      </w:r>
    </w:p>
    <w:p w14:paraId="736E92B2"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Zhang J, Zhao XS. Conducting polymers directly coated on reduced graphene oxide sheets as high-performance supercapacitor electrodes. </w:t>
      </w:r>
      <w:r w:rsidRPr="00482C88">
        <w:rPr>
          <w:rStyle w:val="Emphasis"/>
          <w:rFonts w:asciiTheme="minorBidi" w:hAnsiTheme="minorBidi" w:cstheme="minorBidi"/>
        </w:rPr>
        <w:t>J Phys Chem C.</w:t>
      </w:r>
      <w:r w:rsidRPr="00482C88">
        <w:rPr>
          <w:rFonts w:asciiTheme="minorBidi" w:hAnsiTheme="minorBidi" w:cstheme="minorBidi"/>
        </w:rPr>
        <w:t xml:space="preserve"> 2012;116(10):5420–26.</w:t>
      </w:r>
    </w:p>
    <w:p w14:paraId="73FEBF08"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Zhang K, Zhang LL, Zhao XS, Wu J. Graphene/polyaniline nanofiber composites as supercapacitor electrodes. </w:t>
      </w:r>
      <w:r w:rsidRPr="00482C88">
        <w:rPr>
          <w:rStyle w:val="Emphasis"/>
          <w:rFonts w:asciiTheme="minorBidi" w:hAnsiTheme="minorBidi" w:cstheme="minorBidi"/>
        </w:rPr>
        <w:t>Chem Mater.</w:t>
      </w:r>
      <w:r w:rsidRPr="00482C88">
        <w:rPr>
          <w:rFonts w:asciiTheme="minorBidi" w:hAnsiTheme="minorBidi" w:cstheme="minorBidi"/>
        </w:rPr>
        <w:t xml:space="preserve"> 2010;22(4):1392–401.</w:t>
      </w:r>
    </w:p>
    <w:p w14:paraId="0EF3863A"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Yu G, Hu L, Liu N, Wang H, </w:t>
      </w:r>
      <w:proofErr w:type="spellStart"/>
      <w:r w:rsidRPr="00482C88">
        <w:rPr>
          <w:rFonts w:asciiTheme="minorBidi" w:hAnsiTheme="minorBidi" w:cstheme="minorBidi"/>
        </w:rPr>
        <w:t>Vosgueritchian</w:t>
      </w:r>
      <w:proofErr w:type="spellEnd"/>
      <w:r w:rsidRPr="00482C88">
        <w:rPr>
          <w:rFonts w:asciiTheme="minorBidi" w:hAnsiTheme="minorBidi" w:cstheme="minorBidi"/>
        </w:rPr>
        <w:t xml:space="preserve"> M, Yang Y, et al. Enhancing the supercapacitor performance of graphene/</w:t>
      </w:r>
      <w:proofErr w:type="spellStart"/>
      <w:r w:rsidRPr="00482C88">
        <w:rPr>
          <w:rFonts w:asciiTheme="minorBidi" w:hAnsiTheme="minorBidi" w:cstheme="minorBidi"/>
        </w:rPr>
        <w:t>PPy</w:t>
      </w:r>
      <w:proofErr w:type="spellEnd"/>
      <w:r w:rsidRPr="00482C88">
        <w:rPr>
          <w:rFonts w:asciiTheme="minorBidi" w:hAnsiTheme="minorBidi" w:cstheme="minorBidi"/>
        </w:rPr>
        <w:t xml:space="preserve"> nanofibers by active mass balance. </w:t>
      </w:r>
      <w:r w:rsidRPr="00482C88">
        <w:rPr>
          <w:rStyle w:val="Emphasis"/>
          <w:rFonts w:asciiTheme="minorBidi" w:hAnsiTheme="minorBidi" w:cstheme="minorBidi"/>
        </w:rPr>
        <w:t>Nano Lett.</w:t>
      </w:r>
      <w:r w:rsidRPr="00482C88">
        <w:rPr>
          <w:rFonts w:asciiTheme="minorBidi" w:hAnsiTheme="minorBidi" w:cstheme="minorBidi"/>
        </w:rPr>
        <w:t xml:space="preserve"> 2011;11(10):4438–42.</w:t>
      </w:r>
    </w:p>
    <w:p w14:paraId="2F711D56"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Li Q, Li Z, Chen G, Wang L. Facile synthesis of graphene/</w:t>
      </w:r>
      <w:proofErr w:type="spellStart"/>
      <w:r w:rsidRPr="00482C88">
        <w:rPr>
          <w:rFonts w:asciiTheme="minorBidi" w:hAnsiTheme="minorBidi" w:cstheme="minorBidi"/>
        </w:rPr>
        <w:t>polypyrrole</w:t>
      </w:r>
      <w:proofErr w:type="spellEnd"/>
      <w:r w:rsidRPr="00482C88">
        <w:rPr>
          <w:rFonts w:asciiTheme="minorBidi" w:hAnsiTheme="minorBidi" w:cstheme="minorBidi"/>
        </w:rPr>
        <w:t xml:space="preserve"> nanocomposites with enhanced electrochemical performance. </w:t>
      </w:r>
      <w:proofErr w:type="spellStart"/>
      <w:r w:rsidRPr="00482C88">
        <w:rPr>
          <w:rStyle w:val="Emphasis"/>
          <w:rFonts w:asciiTheme="minorBidi" w:hAnsiTheme="minorBidi" w:cstheme="minorBidi"/>
        </w:rPr>
        <w:t>Electrochim</w:t>
      </w:r>
      <w:proofErr w:type="spellEnd"/>
      <w:r w:rsidRPr="00482C88">
        <w:rPr>
          <w:rStyle w:val="Emphasis"/>
          <w:rFonts w:asciiTheme="minorBidi" w:hAnsiTheme="minorBidi" w:cstheme="minorBidi"/>
        </w:rPr>
        <w:t xml:space="preserve"> Acta.</w:t>
      </w:r>
      <w:r w:rsidRPr="00482C88">
        <w:rPr>
          <w:rFonts w:asciiTheme="minorBidi" w:hAnsiTheme="minorBidi" w:cstheme="minorBidi"/>
        </w:rPr>
        <w:t xml:space="preserve"> </w:t>
      </w:r>
      <w:proofErr w:type="gramStart"/>
      <w:r w:rsidRPr="00482C88">
        <w:rPr>
          <w:rFonts w:asciiTheme="minorBidi" w:hAnsiTheme="minorBidi" w:cstheme="minorBidi"/>
        </w:rPr>
        <w:t>2013;111:292</w:t>
      </w:r>
      <w:proofErr w:type="gramEnd"/>
      <w:r w:rsidRPr="00482C88">
        <w:rPr>
          <w:rFonts w:asciiTheme="minorBidi" w:hAnsiTheme="minorBidi" w:cstheme="minorBidi"/>
        </w:rPr>
        <w:t>–99.</w:t>
      </w:r>
    </w:p>
    <w:p w14:paraId="217F43E9"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lastRenderedPageBreak/>
        <w:t xml:space="preserve">Dubal DP, Gund GS, Lokhande CD, Holze R. Decoration of reduced graphene oxide by conducting polymer: A novel hybrid electrode for supercapacitors. </w:t>
      </w:r>
      <w:proofErr w:type="spellStart"/>
      <w:r w:rsidRPr="00482C88">
        <w:rPr>
          <w:rStyle w:val="Emphasis"/>
          <w:rFonts w:asciiTheme="minorBidi" w:hAnsiTheme="minorBidi" w:cstheme="minorBidi"/>
        </w:rPr>
        <w:t>Electrochim</w:t>
      </w:r>
      <w:proofErr w:type="spellEnd"/>
      <w:r w:rsidRPr="00482C88">
        <w:rPr>
          <w:rStyle w:val="Emphasis"/>
          <w:rFonts w:asciiTheme="minorBidi" w:hAnsiTheme="minorBidi" w:cstheme="minorBidi"/>
        </w:rPr>
        <w:t xml:space="preserve"> Acta.</w:t>
      </w:r>
      <w:r w:rsidRPr="00482C88">
        <w:rPr>
          <w:rFonts w:asciiTheme="minorBidi" w:hAnsiTheme="minorBidi" w:cstheme="minorBidi"/>
        </w:rPr>
        <w:t xml:space="preserve"> </w:t>
      </w:r>
      <w:proofErr w:type="gramStart"/>
      <w:r w:rsidRPr="00482C88">
        <w:rPr>
          <w:rFonts w:asciiTheme="minorBidi" w:hAnsiTheme="minorBidi" w:cstheme="minorBidi"/>
        </w:rPr>
        <w:t>2013;100:123</w:t>
      </w:r>
      <w:proofErr w:type="gramEnd"/>
      <w:r w:rsidRPr="00482C88">
        <w:rPr>
          <w:rFonts w:asciiTheme="minorBidi" w:hAnsiTheme="minorBidi" w:cstheme="minorBidi"/>
        </w:rPr>
        <w:t>–31.</w:t>
      </w:r>
    </w:p>
    <w:p w14:paraId="2A5D090E"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Wu ZS, Parvez K, Feng X, </w:t>
      </w:r>
      <w:proofErr w:type="spellStart"/>
      <w:r w:rsidRPr="00482C88">
        <w:rPr>
          <w:rFonts w:asciiTheme="minorBidi" w:hAnsiTheme="minorBidi" w:cstheme="minorBidi"/>
        </w:rPr>
        <w:t>Müllen</w:t>
      </w:r>
      <w:proofErr w:type="spellEnd"/>
      <w:r w:rsidRPr="00482C88">
        <w:rPr>
          <w:rFonts w:asciiTheme="minorBidi" w:hAnsiTheme="minorBidi" w:cstheme="minorBidi"/>
        </w:rPr>
        <w:t xml:space="preserve"> K. Graphene-based in-plane micro-supercapacitors with high power and energy densities. </w:t>
      </w:r>
      <w:r w:rsidRPr="00482C88">
        <w:rPr>
          <w:rStyle w:val="Emphasis"/>
          <w:rFonts w:asciiTheme="minorBidi" w:hAnsiTheme="minorBidi" w:cstheme="minorBidi"/>
        </w:rPr>
        <w:t>Nat Commun.</w:t>
      </w:r>
      <w:r w:rsidRPr="00482C88">
        <w:rPr>
          <w:rFonts w:asciiTheme="minorBidi" w:hAnsiTheme="minorBidi" w:cstheme="minorBidi"/>
        </w:rPr>
        <w:t xml:space="preserve"> </w:t>
      </w:r>
      <w:proofErr w:type="gramStart"/>
      <w:r w:rsidRPr="00482C88">
        <w:rPr>
          <w:rFonts w:asciiTheme="minorBidi" w:hAnsiTheme="minorBidi" w:cstheme="minorBidi"/>
        </w:rPr>
        <w:t>2013;4:2487</w:t>
      </w:r>
      <w:proofErr w:type="gramEnd"/>
      <w:r w:rsidRPr="00482C88">
        <w:rPr>
          <w:rFonts w:asciiTheme="minorBidi" w:hAnsiTheme="minorBidi" w:cstheme="minorBidi"/>
        </w:rPr>
        <w:t>.</w:t>
      </w:r>
    </w:p>
    <w:p w14:paraId="4E311588"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Xiong G, Meng C, </w:t>
      </w:r>
      <w:proofErr w:type="spellStart"/>
      <w:r w:rsidRPr="00482C88">
        <w:rPr>
          <w:rFonts w:asciiTheme="minorBidi" w:hAnsiTheme="minorBidi" w:cstheme="minorBidi"/>
        </w:rPr>
        <w:t>Reifenberger</w:t>
      </w:r>
      <w:proofErr w:type="spellEnd"/>
      <w:r w:rsidRPr="00482C88">
        <w:rPr>
          <w:rFonts w:asciiTheme="minorBidi" w:hAnsiTheme="minorBidi" w:cstheme="minorBidi"/>
        </w:rPr>
        <w:t xml:space="preserve"> RG, </w:t>
      </w:r>
      <w:proofErr w:type="spellStart"/>
      <w:r w:rsidRPr="00482C88">
        <w:rPr>
          <w:rFonts w:asciiTheme="minorBidi" w:hAnsiTheme="minorBidi" w:cstheme="minorBidi"/>
        </w:rPr>
        <w:t>Irazoqui</w:t>
      </w:r>
      <w:proofErr w:type="spellEnd"/>
      <w:r w:rsidRPr="00482C88">
        <w:rPr>
          <w:rFonts w:asciiTheme="minorBidi" w:hAnsiTheme="minorBidi" w:cstheme="minorBidi"/>
        </w:rPr>
        <w:t xml:space="preserve"> PP, Fisher TS. A review of graphene-based electrochemical </w:t>
      </w:r>
      <w:proofErr w:type="spellStart"/>
      <w:r w:rsidRPr="00482C88">
        <w:rPr>
          <w:rFonts w:asciiTheme="minorBidi" w:hAnsiTheme="minorBidi" w:cstheme="minorBidi"/>
        </w:rPr>
        <w:t>microsupercapacitors</w:t>
      </w:r>
      <w:proofErr w:type="spellEnd"/>
      <w:r w:rsidRPr="00482C88">
        <w:rPr>
          <w:rFonts w:asciiTheme="minorBidi" w:hAnsiTheme="minorBidi" w:cstheme="minorBidi"/>
        </w:rPr>
        <w:t xml:space="preserve">. </w:t>
      </w:r>
      <w:proofErr w:type="spellStart"/>
      <w:r w:rsidRPr="00482C88">
        <w:rPr>
          <w:rStyle w:val="Emphasis"/>
          <w:rFonts w:asciiTheme="minorBidi" w:hAnsiTheme="minorBidi" w:cstheme="minorBidi"/>
        </w:rPr>
        <w:t>Electrochim</w:t>
      </w:r>
      <w:proofErr w:type="spellEnd"/>
      <w:r w:rsidRPr="00482C88">
        <w:rPr>
          <w:rStyle w:val="Emphasis"/>
          <w:rFonts w:asciiTheme="minorBidi" w:hAnsiTheme="minorBidi" w:cstheme="minorBidi"/>
        </w:rPr>
        <w:t xml:space="preserve"> Acta.</w:t>
      </w:r>
      <w:r w:rsidRPr="00482C88">
        <w:rPr>
          <w:rFonts w:asciiTheme="minorBidi" w:hAnsiTheme="minorBidi" w:cstheme="minorBidi"/>
        </w:rPr>
        <w:t xml:space="preserve"> </w:t>
      </w:r>
      <w:proofErr w:type="gramStart"/>
      <w:r w:rsidRPr="00482C88">
        <w:rPr>
          <w:rFonts w:asciiTheme="minorBidi" w:hAnsiTheme="minorBidi" w:cstheme="minorBidi"/>
        </w:rPr>
        <w:t>2014;130:947</w:t>
      </w:r>
      <w:proofErr w:type="gramEnd"/>
      <w:r w:rsidRPr="00482C88">
        <w:rPr>
          <w:rFonts w:asciiTheme="minorBidi" w:hAnsiTheme="minorBidi" w:cstheme="minorBidi"/>
        </w:rPr>
        <w:t>–58.</w:t>
      </w:r>
    </w:p>
    <w:p w14:paraId="4C13EC21"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Zhou Y, Wang D, Li Y, Zhang J. Synergistic effect of graphene and </w:t>
      </w:r>
      <w:proofErr w:type="spellStart"/>
      <w:r w:rsidRPr="00482C88">
        <w:rPr>
          <w:rFonts w:asciiTheme="minorBidi" w:hAnsiTheme="minorBidi" w:cstheme="minorBidi"/>
        </w:rPr>
        <w:t>polypyrrole</w:t>
      </w:r>
      <w:proofErr w:type="spellEnd"/>
      <w:r w:rsidRPr="00482C88">
        <w:rPr>
          <w:rFonts w:asciiTheme="minorBidi" w:hAnsiTheme="minorBidi" w:cstheme="minorBidi"/>
        </w:rPr>
        <w:t xml:space="preserve"> for high-performance flexible supercapacitors. </w:t>
      </w:r>
      <w:r w:rsidRPr="00482C88">
        <w:rPr>
          <w:rStyle w:val="Emphasis"/>
          <w:rFonts w:asciiTheme="minorBidi" w:hAnsiTheme="minorBidi" w:cstheme="minorBidi"/>
        </w:rPr>
        <w:t>J Power Sources.</w:t>
      </w:r>
      <w:r w:rsidRPr="00482C88">
        <w:rPr>
          <w:rFonts w:asciiTheme="minorBidi" w:hAnsiTheme="minorBidi" w:cstheme="minorBidi"/>
        </w:rPr>
        <w:t xml:space="preserve"> </w:t>
      </w:r>
      <w:proofErr w:type="gramStart"/>
      <w:r w:rsidRPr="00482C88">
        <w:rPr>
          <w:rFonts w:asciiTheme="minorBidi" w:hAnsiTheme="minorBidi" w:cstheme="minorBidi"/>
        </w:rPr>
        <w:t>2015;293:657</w:t>
      </w:r>
      <w:proofErr w:type="gramEnd"/>
      <w:r w:rsidRPr="00482C88">
        <w:rPr>
          <w:rFonts w:asciiTheme="minorBidi" w:hAnsiTheme="minorBidi" w:cstheme="minorBidi"/>
        </w:rPr>
        <w:t>–65.</w:t>
      </w:r>
    </w:p>
    <w:p w14:paraId="33569324"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Raj CJ, Rajesh M, Kim BC. Enhanced electrochemical performance of </w:t>
      </w:r>
      <w:proofErr w:type="spellStart"/>
      <w:r w:rsidRPr="00482C88">
        <w:rPr>
          <w:rFonts w:asciiTheme="minorBidi" w:hAnsiTheme="minorBidi" w:cstheme="minorBidi"/>
        </w:rPr>
        <w:t>polypyrrole</w:t>
      </w:r>
      <w:proofErr w:type="spellEnd"/>
      <w:r w:rsidRPr="00482C88">
        <w:rPr>
          <w:rFonts w:asciiTheme="minorBidi" w:hAnsiTheme="minorBidi" w:cstheme="minorBidi"/>
        </w:rPr>
        <w:t xml:space="preserve">/reduced graphene oxide composites for supercapacitor applications. </w:t>
      </w:r>
      <w:proofErr w:type="spellStart"/>
      <w:r w:rsidRPr="00482C88">
        <w:rPr>
          <w:rStyle w:val="Emphasis"/>
          <w:rFonts w:asciiTheme="minorBidi" w:hAnsiTheme="minorBidi" w:cstheme="minorBidi"/>
        </w:rPr>
        <w:t>Electrochim</w:t>
      </w:r>
      <w:proofErr w:type="spellEnd"/>
      <w:r w:rsidRPr="00482C88">
        <w:rPr>
          <w:rStyle w:val="Emphasis"/>
          <w:rFonts w:asciiTheme="minorBidi" w:hAnsiTheme="minorBidi" w:cstheme="minorBidi"/>
        </w:rPr>
        <w:t xml:space="preserve"> Acta.</w:t>
      </w:r>
      <w:r w:rsidRPr="00482C88">
        <w:rPr>
          <w:rFonts w:asciiTheme="minorBidi" w:hAnsiTheme="minorBidi" w:cstheme="minorBidi"/>
        </w:rPr>
        <w:t xml:space="preserve"> </w:t>
      </w:r>
      <w:proofErr w:type="gramStart"/>
      <w:r w:rsidRPr="00482C88">
        <w:rPr>
          <w:rFonts w:asciiTheme="minorBidi" w:hAnsiTheme="minorBidi" w:cstheme="minorBidi"/>
        </w:rPr>
        <w:t>2017;232:370</w:t>
      </w:r>
      <w:proofErr w:type="gramEnd"/>
      <w:r w:rsidRPr="00482C88">
        <w:rPr>
          <w:rFonts w:asciiTheme="minorBidi" w:hAnsiTheme="minorBidi" w:cstheme="minorBidi"/>
        </w:rPr>
        <w:t>–77.</w:t>
      </w:r>
    </w:p>
    <w:p w14:paraId="1B57AE29"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Sahoo S, Rout CS. Polypyrrole/reduced graphene oxide hybrid nanostructures for flexible supercapacitors. </w:t>
      </w:r>
      <w:r w:rsidRPr="00482C88">
        <w:rPr>
          <w:rStyle w:val="Emphasis"/>
          <w:rFonts w:asciiTheme="minorBidi" w:hAnsiTheme="minorBidi" w:cstheme="minorBidi"/>
        </w:rPr>
        <w:t>ACS Appl Mater Interfaces.</w:t>
      </w:r>
      <w:r w:rsidRPr="00482C88">
        <w:rPr>
          <w:rFonts w:asciiTheme="minorBidi" w:hAnsiTheme="minorBidi" w:cstheme="minorBidi"/>
        </w:rPr>
        <w:t xml:space="preserve"> 2017;9(29):24355–65.</w:t>
      </w:r>
    </w:p>
    <w:p w14:paraId="0DC12BD2"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Sharma RK, Rastogi AC. Enhanced pseudocapacitive performance of </w:t>
      </w:r>
      <w:proofErr w:type="spellStart"/>
      <w:r w:rsidRPr="00482C88">
        <w:rPr>
          <w:rFonts w:asciiTheme="minorBidi" w:hAnsiTheme="minorBidi" w:cstheme="minorBidi"/>
        </w:rPr>
        <w:t>rGO</w:t>
      </w:r>
      <w:proofErr w:type="spellEnd"/>
      <w:r w:rsidRPr="00482C88">
        <w:rPr>
          <w:rFonts w:asciiTheme="minorBidi" w:hAnsiTheme="minorBidi" w:cstheme="minorBidi"/>
        </w:rPr>
        <w:t>/</w:t>
      </w:r>
      <w:proofErr w:type="spellStart"/>
      <w:r w:rsidRPr="00482C88">
        <w:rPr>
          <w:rFonts w:asciiTheme="minorBidi" w:hAnsiTheme="minorBidi" w:cstheme="minorBidi"/>
        </w:rPr>
        <w:t>PPy</w:t>
      </w:r>
      <w:proofErr w:type="spellEnd"/>
      <w:r w:rsidRPr="00482C88">
        <w:rPr>
          <w:rFonts w:asciiTheme="minorBidi" w:hAnsiTheme="minorBidi" w:cstheme="minorBidi"/>
        </w:rPr>
        <w:t xml:space="preserve"> nanocomposite films. </w:t>
      </w:r>
      <w:proofErr w:type="spellStart"/>
      <w:r w:rsidRPr="00482C88">
        <w:rPr>
          <w:rStyle w:val="Emphasis"/>
          <w:rFonts w:asciiTheme="minorBidi" w:hAnsiTheme="minorBidi" w:cstheme="minorBidi"/>
        </w:rPr>
        <w:t>Electrochim</w:t>
      </w:r>
      <w:proofErr w:type="spellEnd"/>
      <w:r w:rsidRPr="00482C88">
        <w:rPr>
          <w:rStyle w:val="Emphasis"/>
          <w:rFonts w:asciiTheme="minorBidi" w:hAnsiTheme="minorBidi" w:cstheme="minorBidi"/>
        </w:rPr>
        <w:t xml:space="preserve"> Acta.</w:t>
      </w:r>
      <w:r w:rsidRPr="00482C88">
        <w:rPr>
          <w:rFonts w:asciiTheme="minorBidi" w:hAnsiTheme="minorBidi" w:cstheme="minorBidi"/>
        </w:rPr>
        <w:t xml:space="preserve"> </w:t>
      </w:r>
      <w:proofErr w:type="gramStart"/>
      <w:r w:rsidRPr="00482C88">
        <w:rPr>
          <w:rFonts w:asciiTheme="minorBidi" w:hAnsiTheme="minorBidi" w:cstheme="minorBidi"/>
        </w:rPr>
        <w:t>2018;274:59</w:t>
      </w:r>
      <w:proofErr w:type="gramEnd"/>
      <w:r w:rsidRPr="00482C88">
        <w:rPr>
          <w:rFonts w:asciiTheme="minorBidi" w:hAnsiTheme="minorBidi" w:cstheme="minorBidi"/>
        </w:rPr>
        <w:t>–68.</w:t>
      </w:r>
    </w:p>
    <w:p w14:paraId="46BAD15C"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Wang J, Xu Y, Wang D, Xiong W. Improved electrochemical performance of </w:t>
      </w:r>
      <w:proofErr w:type="spellStart"/>
      <w:r w:rsidRPr="00482C88">
        <w:rPr>
          <w:rFonts w:asciiTheme="minorBidi" w:hAnsiTheme="minorBidi" w:cstheme="minorBidi"/>
        </w:rPr>
        <w:t>rGO</w:t>
      </w:r>
      <w:proofErr w:type="spellEnd"/>
      <w:r w:rsidRPr="00482C88">
        <w:rPr>
          <w:rFonts w:asciiTheme="minorBidi" w:hAnsiTheme="minorBidi" w:cstheme="minorBidi"/>
        </w:rPr>
        <w:t>/</w:t>
      </w:r>
      <w:proofErr w:type="spellStart"/>
      <w:r w:rsidRPr="00482C88">
        <w:rPr>
          <w:rFonts w:asciiTheme="minorBidi" w:hAnsiTheme="minorBidi" w:cstheme="minorBidi"/>
        </w:rPr>
        <w:t>PPy</w:t>
      </w:r>
      <w:proofErr w:type="spellEnd"/>
      <w:r w:rsidRPr="00482C88">
        <w:rPr>
          <w:rFonts w:asciiTheme="minorBidi" w:hAnsiTheme="minorBidi" w:cstheme="minorBidi"/>
        </w:rPr>
        <w:t xml:space="preserve"> nanocomposites synthesized by in-situ oxidative polymerization. </w:t>
      </w:r>
      <w:r w:rsidRPr="00482C88">
        <w:rPr>
          <w:rStyle w:val="Emphasis"/>
          <w:rFonts w:asciiTheme="minorBidi" w:hAnsiTheme="minorBidi" w:cstheme="minorBidi"/>
        </w:rPr>
        <w:t xml:space="preserve">J </w:t>
      </w:r>
      <w:proofErr w:type="spellStart"/>
      <w:r w:rsidRPr="00482C88">
        <w:rPr>
          <w:rStyle w:val="Emphasis"/>
          <w:rFonts w:asciiTheme="minorBidi" w:hAnsiTheme="minorBidi" w:cstheme="minorBidi"/>
        </w:rPr>
        <w:t>Appl</w:t>
      </w:r>
      <w:proofErr w:type="spellEnd"/>
      <w:r w:rsidRPr="00482C88">
        <w:rPr>
          <w:rStyle w:val="Emphasis"/>
          <w:rFonts w:asciiTheme="minorBidi" w:hAnsiTheme="minorBidi" w:cstheme="minorBidi"/>
        </w:rPr>
        <w:t xml:space="preserve"> </w:t>
      </w:r>
      <w:proofErr w:type="spellStart"/>
      <w:r w:rsidRPr="00482C88">
        <w:rPr>
          <w:rStyle w:val="Emphasis"/>
          <w:rFonts w:asciiTheme="minorBidi" w:hAnsiTheme="minorBidi" w:cstheme="minorBidi"/>
        </w:rPr>
        <w:t>Electrochem</w:t>
      </w:r>
      <w:proofErr w:type="spellEnd"/>
      <w:r w:rsidRPr="00482C88">
        <w:rPr>
          <w:rStyle w:val="Emphasis"/>
          <w:rFonts w:asciiTheme="minorBidi" w:hAnsiTheme="minorBidi" w:cstheme="minorBidi"/>
        </w:rPr>
        <w:t>.</w:t>
      </w:r>
      <w:r w:rsidRPr="00482C88">
        <w:rPr>
          <w:rFonts w:asciiTheme="minorBidi" w:hAnsiTheme="minorBidi" w:cstheme="minorBidi"/>
        </w:rPr>
        <w:t xml:space="preserve"> 2018;48(3):339–48.</w:t>
      </w:r>
    </w:p>
    <w:p w14:paraId="07FE877F"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Dubal DP, Ayyad O, Ruiz V, Gómez-Romero P. Hybrid energy storage: the merging of battery and supercapacitor chemistries. </w:t>
      </w:r>
      <w:r w:rsidRPr="00482C88">
        <w:rPr>
          <w:rStyle w:val="Emphasis"/>
          <w:rFonts w:asciiTheme="minorBidi" w:hAnsiTheme="minorBidi" w:cstheme="minorBidi"/>
        </w:rPr>
        <w:t>Chem Soc Rev.</w:t>
      </w:r>
      <w:r w:rsidRPr="00482C88">
        <w:rPr>
          <w:rFonts w:asciiTheme="minorBidi" w:hAnsiTheme="minorBidi" w:cstheme="minorBidi"/>
        </w:rPr>
        <w:t xml:space="preserve"> 2015;44(7):1777–90.</w:t>
      </w:r>
    </w:p>
    <w:p w14:paraId="4AA0DB24"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Zhang S, Pan N, Feng X. Polypyrrole/graphene composites: From synthesis to energy storage applications. </w:t>
      </w:r>
      <w:r w:rsidRPr="00482C88">
        <w:rPr>
          <w:rStyle w:val="Emphasis"/>
          <w:rFonts w:asciiTheme="minorBidi" w:hAnsiTheme="minorBidi" w:cstheme="minorBidi"/>
        </w:rPr>
        <w:t>J Mater Chem A.</w:t>
      </w:r>
      <w:r w:rsidRPr="00482C88">
        <w:rPr>
          <w:rFonts w:asciiTheme="minorBidi" w:hAnsiTheme="minorBidi" w:cstheme="minorBidi"/>
        </w:rPr>
        <w:t xml:space="preserve"> 2019;7(20):12152–76.</w:t>
      </w:r>
    </w:p>
    <w:p w14:paraId="1803E346"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Xu K, Zou R, Li W, Xia D. Rational design of graphene–conducting polymer composites for high-performance energy storage. </w:t>
      </w:r>
      <w:r w:rsidRPr="00482C88">
        <w:rPr>
          <w:rStyle w:val="Emphasis"/>
          <w:rFonts w:asciiTheme="minorBidi" w:hAnsiTheme="minorBidi" w:cstheme="minorBidi"/>
        </w:rPr>
        <w:t>Adv Energy Mater.</w:t>
      </w:r>
      <w:r w:rsidRPr="00482C88">
        <w:rPr>
          <w:rFonts w:asciiTheme="minorBidi" w:hAnsiTheme="minorBidi" w:cstheme="minorBidi"/>
        </w:rPr>
        <w:t xml:space="preserve"> 2019;9(3):1803628.</w:t>
      </w:r>
    </w:p>
    <w:p w14:paraId="6832BD2F"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Lee YH, Kim J, Kim SY. High-capacitance </w:t>
      </w:r>
      <w:proofErr w:type="spellStart"/>
      <w:r w:rsidRPr="00482C88">
        <w:rPr>
          <w:rFonts w:asciiTheme="minorBidi" w:hAnsiTheme="minorBidi" w:cstheme="minorBidi"/>
        </w:rPr>
        <w:t>polypyrrole</w:t>
      </w:r>
      <w:proofErr w:type="spellEnd"/>
      <w:r w:rsidRPr="00482C88">
        <w:rPr>
          <w:rFonts w:asciiTheme="minorBidi" w:hAnsiTheme="minorBidi" w:cstheme="minorBidi"/>
        </w:rPr>
        <w:t xml:space="preserve">/reduced graphene oxide electrodes prepared via interfacial polymerization. </w:t>
      </w:r>
      <w:r w:rsidRPr="00482C88">
        <w:rPr>
          <w:rStyle w:val="Emphasis"/>
          <w:rFonts w:asciiTheme="minorBidi" w:hAnsiTheme="minorBidi" w:cstheme="minorBidi"/>
        </w:rPr>
        <w:t>Carbon.</w:t>
      </w:r>
      <w:r w:rsidRPr="00482C88">
        <w:rPr>
          <w:rFonts w:asciiTheme="minorBidi" w:hAnsiTheme="minorBidi" w:cstheme="minorBidi"/>
        </w:rPr>
        <w:t xml:space="preserve"> </w:t>
      </w:r>
      <w:proofErr w:type="gramStart"/>
      <w:r w:rsidRPr="00482C88">
        <w:rPr>
          <w:rFonts w:asciiTheme="minorBidi" w:hAnsiTheme="minorBidi" w:cstheme="minorBidi"/>
        </w:rPr>
        <w:t>2020;157:796</w:t>
      </w:r>
      <w:proofErr w:type="gramEnd"/>
      <w:r w:rsidRPr="00482C88">
        <w:rPr>
          <w:rFonts w:asciiTheme="minorBidi" w:hAnsiTheme="minorBidi" w:cstheme="minorBidi"/>
        </w:rPr>
        <w:t>–805.</w:t>
      </w:r>
    </w:p>
    <w:p w14:paraId="7D909C39"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Borenstein A, Hanna O, Attias R, Luski S, </w:t>
      </w:r>
      <w:proofErr w:type="spellStart"/>
      <w:r w:rsidRPr="00482C88">
        <w:rPr>
          <w:rFonts w:asciiTheme="minorBidi" w:hAnsiTheme="minorBidi" w:cstheme="minorBidi"/>
        </w:rPr>
        <w:t>Brousse</w:t>
      </w:r>
      <w:proofErr w:type="spellEnd"/>
      <w:r w:rsidRPr="00482C88">
        <w:rPr>
          <w:rFonts w:asciiTheme="minorBidi" w:hAnsiTheme="minorBidi" w:cstheme="minorBidi"/>
        </w:rPr>
        <w:t xml:space="preserve"> T, </w:t>
      </w:r>
      <w:proofErr w:type="spellStart"/>
      <w:r w:rsidRPr="00482C88">
        <w:rPr>
          <w:rFonts w:asciiTheme="minorBidi" w:hAnsiTheme="minorBidi" w:cstheme="minorBidi"/>
        </w:rPr>
        <w:t>Aurbach</w:t>
      </w:r>
      <w:proofErr w:type="spellEnd"/>
      <w:r w:rsidRPr="00482C88">
        <w:rPr>
          <w:rFonts w:asciiTheme="minorBidi" w:hAnsiTheme="minorBidi" w:cstheme="minorBidi"/>
        </w:rPr>
        <w:t xml:space="preserve"> D. Carbon-based composite materials for supercapacitor electrodes: a review. </w:t>
      </w:r>
      <w:r w:rsidRPr="00482C88">
        <w:rPr>
          <w:rStyle w:val="Emphasis"/>
          <w:rFonts w:asciiTheme="minorBidi" w:hAnsiTheme="minorBidi" w:cstheme="minorBidi"/>
        </w:rPr>
        <w:t>J Mater Chem A.</w:t>
      </w:r>
      <w:r w:rsidRPr="00482C88">
        <w:rPr>
          <w:rFonts w:asciiTheme="minorBidi" w:hAnsiTheme="minorBidi" w:cstheme="minorBidi"/>
        </w:rPr>
        <w:t xml:space="preserve"> 2017;5(25):12653–72.</w:t>
      </w:r>
    </w:p>
    <w:p w14:paraId="2FC622FB"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Wang Y, Shi Z, Huang Y, Ma Y, Wang C, Chen M, Chen Y. Supercapacitor devices based on graphene materials. </w:t>
      </w:r>
      <w:r w:rsidRPr="00482C88">
        <w:rPr>
          <w:rStyle w:val="Emphasis"/>
          <w:rFonts w:asciiTheme="minorBidi" w:hAnsiTheme="minorBidi" w:cstheme="minorBidi"/>
        </w:rPr>
        <w:t>J Phys Chem C.</w:t>
      </w:r>
      <w:r w:rsidRPr="00482C88">
        <w:rPr>
          <w:rFonts w:asciiTheme="minorBidi" w:hAnsiTheme="minorBidi" w:cstheme="minorBidi"/>
        </w:rPr>
        <w:t xml:space="preserve"> 2009;113(30):13103–07.</w:t>
      </w:r>
    </w:p>
    <w:p w14:paraId="5F38BCCA"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Wang DW, Li F, Liu M, Lu GQ, Cheng HM. 3D aperiodic hierarchical porous graphitic carbon material for high-rate electrochemical capacitive energy storage. </w:t>
      </w:r>
      <w:proofErr w:type="spellStart"/>
      <w:r w:rsidRPr="00482C88">
        <w:rPr>
          <w:rStyle w:val="Emphasis"/>
          <w:rFonts w:asciiTheme="minorBidi" w:hAnsiTheme="minorBidi" w:cstheme="minorBidi"/>
        </w:rPr>
        <w:t>Angew</w:t>
      </w:r>
      <w:proofErr w:type="spellEnd"/>
      <w:r w:rsidRPr="00482C88">
        <w:rPr>
          <w:rStyle w:val="Emphasis"/>
          <w:rFonts w:asciiTheme="minorBidi" w:hAnsiTheme="minorBidi" w:cstheme="minorBidi"/>
        </w:rPr>
        <w:t xml:space="preserve"> Chem Int Ed.</w:t>
      </w:r>
      <w:r w:rsidRPr="00482C88">
        <w:rPr>
          <w:rFonts w:asciiTheme="minorBidi" w:hAnsiTheme="minorBidi" w:cstheme="minorBidi"/>
        </w:rPr>
        <w:t xml:space="preserve"> 2008;47(2):373–76.</w:t>
      </w:r>
    </w:p>
    <w:p w14:paraId="1EAF87C6"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lastRenderedPageBreak/>
        <w:t xml:space="preserve">Biswas S, Drzal LT. A novel approach to create a highly ordered monolayer film of graphene nanosheets at the liquid–liquid interface. </w:t>
      </w:r>
      <w:r w:rsidRPr="00482C88">
        <w:rPr>
          <w:rStyle w:val="Emphasis"/>
          <w:rFonts w:asciiTheme="minorBidi" w:hAnsiTheme="minorBidi" w:cstheme="minorBidi"/>
        </w:rPr>
        <w:t>Nano Lett.</w:t>
      </w:r>
      <w:r w:rsidRPr="00482C88">
        <w:rPr>
          <w:rFonts w:asciiTheme="minorBidi" w:hAnsiTheme="minorBidi" w:cstheme="minorBidi"/>
        </w:rPr>
        <w:t xml:space="preserve"> 2009;9(1):167–72.</w:t>
      </w:r>
    </w:p>
    <w:p w14:paraId="4EF86A1B"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Zhou M, Wang HL, Guo S. Towards high-efficiency electrochemical energy storage: from two-dimensional materials to device integration. </w:t>
      </w:r>
      <w:r w:rsidRPr="00482C88">
        <w:rPr>
          <w:rStyle w:val="Emphasis"/>
          <w:rFonts w:asciiTheme="minorBidi" w:hAnsiTheme="minorBidi" w:cstheme="minorBidi"/>
        </w:rPr>
        <w:t>Energy Environ Sci.</w:t>
      </w:r>
      <w:r w:rsidRPr="00482C88">
        <w:rPr>
          <w:rFonts w:asciiTheme="minorBidi" w:hAnsiTheme="minorBidi" w:cstheme="minorBidi"/>
        </w:rPr>
        <w:t xml:space="preserve"> 2016;9(1):141–60.</w:t>
      </w:r>
    </w:p>
    <w:p w14:paraId="2B0B69F9"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Chen T, Dai L. Carbon nanomaterials for high-performance supercapacitors. </w:t>
      </w:r>
      <w:r w:rsidRPr="00482C88">
        <w:rPr>
          <w:rStyle w:val="Emphasis"/>
          <w:rFonts w:asciiTheme="minorBidi" w:hAnsiTheme="minorBidi" w:cstheme="minorBidi"/>
        </w:rPr>
        <w:t>Mater Today.</w:t>
      </w:r>
      <w:r w:rsidRPr="00482C88">
        <w:rPr>
          <w:rFonts w:asciiTheme="minorBidi" w:hAnsiTheme="minorBidi" w:cstheme="minorBidi"/>
        </w:rPr>
        <w:t xml:space="preserve"> 2013;16(7–8):272–80.</w:t>
      </w:r>
    </w:p>
    <w:p w14:paraId="6FED38F7" w14:textId="77777777" w:rsidR="00482C88" w:rsidRPr="00482C88" w:rsidRDefault="00482C88" w:rsidP="00482C88">
      <w:pPr>
        <w:pStyle w:val="NormalWeb"/>
        <w:numPr>
          <w:ilvl w:val="0"/>
          <w:numId w:val="32"/>
        </w:numPr>
        <w:ind w:left="284" w:hanging="284"/>
        <w:jc w:val="both"/>
        <w:rPr>
          <w:rFonts w:asciiTheme="minorBidi" w:hAnsiTheme="minorBidi" w:cstheme="minorBidi"/>
        </w:rPr>
      </w:pPr>
      <w:r w:rsidRPr="00482C88">
        <w:rPr>
          <w:rFonts w:asciiTheme="minorBidi" w:hAnsiTheme="minorBidi" w:cstheme="minorBidi"/>
        </w:rPr>
        <w:t xml:space="preserve">Borenstein A, Hanna O, Attias R, </w:t>
      </w:r>
      <w:proofErr w:type="spellStart"/>
      <w:r w:rsidRPr="00482C88">
        <w:rPr>
          <w:rFonts w:asciiTheme="minorBidi" w:hAnsiTheme="minorBidi" w:cstheme="minorBidi"/>
        </w:rPr>
        <w:t>Luski</w:t>
      </w:r>
      <w:proofErr w:type="spellEnd"/>
      <w:r w:rsidRPr="00482C88">
        <w:rPr>
          <w:rFonts w:asciiTheme="minorBidi" w:hAnsiTheme="minorBidi" w:cstheme="minorBidi"/>
        </w:rPr>
        <w:t xml:space="preserve"> S, </w:t>
      </w:r>
      <w:proofErr w:type="spellStart"/>
      <w:r w:rsidRPr="00482C88">
        <w:rPr>
          <w:rFonts w:asciiTheme="minorBidi" w:hAnsiTheme="minorBidi" w:cstheme="minorBidi"/>
        </w:rPr>
        <w:t>Aurbach</w:t>
      </w:r>
      <w:proofErr w:type="spellEnd"/>
      <w:r w:rsidRPr="00482C88">
        <w:rPr>
          <w:rFonts w:asciiTheme="minorBidi" w:hAnsiTheme="minorBidi" w:cstheme="minorBidi"/>
        </w:rPr>
        <w:t xml:space="preserve"> D. On the limits of energy storage devices: A comparative study of supercapacitors and batteries. </w:t>
      </w:r>
      <w:r w:rsidRPr="00482C88">
        <w:rPr>
          <w:rStyle w:val="Emphasis"/>
          <w:rFonts w:asciiTheme="minorBidi" w:hAnsiTheme="minorBidi" w:cstheme="minorBidi"/>
        </w:rPr>
        <w:t>Energy Storage Mater.</w:t>
      </w:r>
      <w:r w:rsidRPr="00482C88">
        <w:rPr>
          <w:rFonts w:asciiTheme="minorBidi" w:hAnsiTheme="minorBidi" w:cstheme="minorBidi"/>
        </w:rPr>
        <w:t xml:space="preserve"> </w:t>
      </w:r>
      <w:proofErr w:type="gramStart"/>
      <w:r w:rsidRPr="00482C88">
        <w:rPr>
          <w:rFonts w:asciiTheme="minorBidi" w:hAnsiTheme="minorBidi" w:cstheme="minorBidi"/>
        </w:rPr>
        <w:t>2018;15:1</w:t>
      </w:r>
      <w:proofErr w:type="gramEnd"/>
      <w:r w:rsidRPr="00482C88">
        <w:rPr>
          <w:rFonts w:asciiTheme="minorBidi" w:hAnsiTheme="minorBidi" w:cstheme="minorBidi"/>
        </w:rPr>
        <w:t>–23.</w:t>
      </w:r>
    </w:p>
    <w:p w14:paraId="7AAF4ED1" w14:textId="77777777" w:rsidR="00482C88" w:rsidRPr="00E7238C" w:rsidRDefault="00482C88" w:rsidP="00482C88">
      <w:pPr>
        <w:jc w:val="both"/>
        <w:rPr>
          <w:rFonts w:asciiTheme="majorBidi" w:hAnsiTheme="majorBidi" w:cstheme="majorBidi"/>
        </w:rPr>
      </w:pPr>
    </w:p>
    <w:p w14:paraId="1ACA5BD4" w14:textId="77777777" w:rsidR="00482C88" w:rsidRPr="00FB3A86" w:rsidRDefault="00482C88" w:rsidP="00441B6F">
      <w:pPr>
        <w:pStyle w:val="ReferHead"/>
        <w:spacing w:after="0"/>
        <w:jc w:val="both"/>
        <w:rPr>
          <w:rFonts w:ascii="Arial" w:hAnsi="Arial" w:cs="Arial"/>
        </w:rPr>
      </w:pPr>
    </w:p>
    <w:sectPr w:rsidR="00482C88" w:rsidRPr="00FB3A86" w:rsidSect="0020315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AE2CB" w14:textId="77777777" w:rsidR="004603CF" w:rsidRDefault="004603CF" w:rsidP="00C37E61">
      <w:r>
        <w:separator/>
      </w:r>
    </w:p>
  </w:endnote>
  <w:endnote w:type="continuationSeparator" w:id="0">
    <w:p w14:paraId="68CF262F" w14:textId="77777777" w:rsidR="004603CF" w:rsidRDefault="004603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84EF9" w14:textId="77777777" w:rsidR="00CA3C40" w:rsidRDefault="00CA3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8CC2" w14:textId="77777777" w:rsidR="00CA3C40" w:rsidRDefault="00CA3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2630" w14:textId="77777777" w:rsidR="009E048A" w:rsidRDefault="009E048A">
    <w:pPr>
      <w:pStyle w:val="Footer"/>
      <w:rPr>
        <w:rFonts w:ascii="Arial" w:hAnsi="Arial" w:cs="Arial"/>
        <w:sz w:val="16"/>
      </w:rPr>
    </w:pPr>
  </w:p>
  <w:p w14:paraId="473FCC8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96A072" w14:textId="77777777" w:rsidR="009E048A" w:rsidRDefault="009E048A">
    <w:pPr>
      <w:pStyle w:val="Footer"/>
      <w:rPr>
        <w:rFonts w:ascii="Arial" w:hAnsi="Arial" w:cs="Arial"/>
        <w:sz w:val="16"/>
      </w:rPr>
    </w:pPr>
  </w:p>
  <w:p w14:paraId="2E963F3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97C34" w14:textId="77777777" w:rsidR="004603CF" w:rsidRDefault="004603CF" w:rsidP="00C37E61">
      <w:r>
        <w:separator/>
      </w:r>
    </w:p>
  </w:footnote>
  <w:footnote w:type="continuationSeparator" w:id="0">
    <w:p w14:paraId="651F8A73" w14:textId="77777777" w:rsidR="004603CF" w:rsidRDefault="004603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7DD3" w14:textId="150D4843" w:rsidR="00CA3C40" w:rsidRDefault="00CA3C40">
    <w:pPr>
      <w:pStyle w:val="Header"/>
    </w:pPr>
    <w:r>
      <w:rPr>
        <w:noProof/>
      </w:rPr>
      <w:pict w14:anchorId="36FFF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40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87054" w14:textId="6D4FAFC9" w:rsidR="00CA3C40" w:rsidRDefault="00CA3C40">
    <w:pPr>
      <w:pStyle w:val="Header"/>
    </w:pPr>
    <w:r>
      <w:rPr>
        <w:noProof/>
      </w:rPr>
      <w:pict w14:anchorId="5819B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40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8067" w14:textId="1F3A71D6" w:rsidR="00296529" w:rsidRPr="00296529" w:rsidRDefault="00CA3C40" w:rsidP="00296529">
    <w:pPr>
      <w:ind w:left="2160"/>
      <w:jc w:val="center"/>
      <w:rPr>
        <w:rFonts w:ascii="Times New Roman" w:eastAsia="Calibri" w:hAnsi="Times New Roman"/>
        <w:i/>
        <w:sz w:val="18"/>
        <w:szCs w:val="22"/>
      </w:rPr>
    </w:pPr>
    <w:r>
      <w:rPr>
        <w:noProof/>
      </w:rPr>
      <w:pict w14:anchorId="38047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40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FCFC9A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771A0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2D5D2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5B4B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5B202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EDECE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B85EE9"/>
    <w:multiLevelType w:val="hybridMultilevel"/>
    <w:tmpl w:val="B874B78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30425D"/>
    <w:multiLevelType w:val="multilevel"/>
    <w:tmpl w:val="4576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2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7D2"/>
    <w:rsid w:val="00030174"/>
    <w:rsid w:val="0003172E"/>
    <w:rsid w:val="0004579C"/>
    <w:rsid w:val="00062D75"/>
    <w:rsid w:val="000A47FA"/>
    <w:rsid w:val="000A65D3"/>
    <w:rsid w:val="000B1E33"/>
    <w:rsid w:val="000B3D9F"/>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1E65"/>
    <w:rsid w:val="00200595"/>
    <w:rsid w:val="0020315C"/>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76EF"/>
    <w:rsid w:val="003F401D"/>
    <w:rsid w:val="00401927"/>
    <w:rsid w:val="0041027F"/>
    <w:rsid w:val="00412475"/>
    <w:rsid w:val="00423789"/>
    <w:rsid w:val="00440F43"/>
    <w:rsid w:val="00441B6F"/>
    <w:rsid w:val="00446221"/>
    <w:rsid w:val="00450E62"/>
    <w:rsid w:val="004539DB"/>
    <w:rsid w:val="004603CF"/>
    <w:rsid w:val="00471A80"/>
    <w:rsid w:val="00482C88"/>
    <w:rsid w:val="004D305E"/>
    <w:rsid w:val="004D4277"/>
    <w:rsid w:val="00502516"/>
    <w:rsid w:val="00505F06"/>
    <w:rsid w:val="00506828"/>
    <w:rsid w:val="00507B40"/>
    <w:rsid w:val="0053056E"/>
    <w:rsid w:val="00554FDA"/>
    <w:rsid w:val="005C009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26F7"/>
    <w:rsid w:val="0077749E"/>
    <w:rsid w:val="00790ADA"/>
    <w:rsid w:val="007C3526"/>
    <w:rsid w:val="007D2288"/>
    <w:rsid w:val="007E088F"/>
    <w:rsid w:val="007F7B32"/>
    <w:rsid w:val="00804BC2"/>
    <w:rsid w:val="0081431A"/>
    <w:rsid w:val="0083216F"/>
    <w:rsid w:val="00860000"/>
    <w:rsid w:val="00863BD3"/>
    <w:rsid w:val="008641ED"/>
    <w:rsid w:val="00866D66"/>
    <w:rsid w:val="008671C6"/>
    <w:rsid w:val="00875803"/>
    <w:rsid w:val="008B2DE9"/>
    <w:rsid w:val="008B459E"/>
    <w:rsid w:val="008E13AE"/>
    <w:rsid w:val="008E1506"/>
    <w:rsid w:val="008E710C"/>
    <w:rsid w:val="008F69D6"/>
    <w:rsid w:val="00902823"/>
    <w:rsid w:val="00915CA6"/>
    <w:rsid w:val="00916C9C"/>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0404"/>
    <w:rsid w:val="00A51431"/>
    <w:rsid w:val="00A539AD"/>
    <w:rsid w:val="00A94063"/>
    <w:rsid w:val="00AA6219"/>
    <w:rsid w:val="00AA74E0"/>
    <w:rsid w:val="00AB703F"/>
    <w:rsid w:val="00AC6BB8"/>
    <w:rsid w:val="00AE008F"/>
    <w:rsid w:val="00B01FCD"/>
    <w:rsid w:val="00B17099"/>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C40"/>
    <w:rsid w:val="00C70F1B"/>
    <w:rsid w:val="00C71A47"/>
    <w:rsid w:val="00C71C52"/>
    <w:rsid w:val="00C7464C"/>
    <w:rsid w:val="00C85588"/>
    <w:rsid w:val="00CA3C40"/>
    <w:rsid w:val="00CC56CB"/>
    <w:rsid w:val="00CD6755"/>
    <w:rsid w:val="00CD6856"/>
    <w:rsid w:val="00CE0089"/>
    <w:rsid w:val="00CE793C"/>
    <w:rsid w:val="00CF193C"/>
    <w:rsid w:val="00D173F1"/>
    <w:rsid w:val="00D74CB0"/>
    <w:rsid w:val="00D8295D"/>
    <w:rsid w:val="00DC2A65"/>
    <w:rsid w:val="00DE15F0"/>
    <w:rsid w:val="00DE44AE"/>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2E71"/>
    <w:rsid w:val="00EC6A55"/>
    <w:rsid w:val="00ED0288"/>
    <w:rsid w:val="00ED713A"/>
    <w:rsid w:val="00EE52CB"/>
    <w:rsid w:val="00EF581D"/>
    <w:rsid w:val="00EF7FD8"/>
    <w:rsid w:val="00F06F59"/>
    <w:rsid w:val="00F17988"/>
    <w:rsid w:val="00F469F0"/>
    <w:rsid w:val="00F53273"/>
    <w:rsid w:val="00F755E4"/>
    <w:rsid w:val="00F77D02"/>
    <w:rsid w:val="00FB3A86"/>
    <w:rsid w:val="00FD36C8"/>
    <w:rsid w:val="00FF5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EAFB5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482C88"/>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8079B-68ED-41B8-A2E7-B5A8BE7B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14</Pages>
  <Words>4618</Words>
  <Characters>26324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30881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29</cp:revision>
  <cp:lastPrinted>1999-07-06T11:00:00Z</cp:lastPrinted>
  <dcterms:created xsi:type="dcterms:W3CDTF">2014-10-25T14:34:00Z</dcterms:created>
  <dcterms:modified xsi:type="dcterms:W3CDTF">2025-10-30T07:18:00Z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dd51fb69-280f-44a2-89bb-c929186e15c9</vt:lpwstr>
  </property>
</Properties>
</file>