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BA3F2" w14:textId="77777777" w:rsidR="001F6BBE" w:rsidRDefault="001F6BBE" w:rsidP="00441B6F">
      <w:pPr>
        <w:pStyle w:val="Author"/>
        <w:spacing w:line="240" w:lineRule="auto"/>
        <w:rPr>
          <w:rFonts w:ascii="Arial" w:hAnsi="Arial" w:cs="Arial"/>
          <w:bCs/>
          <w:iCs/>
          <w:color w:val="000000" w:themeColor="text1"/>
          <w:kern w:val="28"/>
          <w:sz w:val="36"/>
        </w:rPr>
      </w:pPr>
      <w:r w:rsidRPr="001F6BBE">
        <w:rPr>
          <w:rFonts w:ascii="Arial" w:hAnsi="Arial" w:cs="Arial"/>
          <w:bCs/>
          <w:iCs/>
          <w:color w:val="000000" w:themeColor="text1"/>
          <w:kern w:val="28"/>
          <w:sz w:val="36"/>
        </w:rPr>
        <w:t>Original Research Article</w:t>
      </w:r>
    </w:p>
    <w:p w14:paraId="46927408" w14:textId="77777777" w:rsidR="001F6BBE" w:rsidRDefault="001F6BBE" w:rsidP="00441B6F">
      <w:pPr>
        <w:pStyle w:val="Author"/>
        <w:spacing w:line="240" w:lineRule="auto"/>
        <w:rPr>
          <w:rFonts w:ascii="Arial" w:hAnsi="Arial" w:cs="Arial"/>
          <w:bCs/>
          <w:iCs/>
          <w:color w:val="000000" w:themeColor="text1"/>
          <w:kern w:val="28"/>
          <w:sz w:val="36"/>
        </w:rPr>
      </w:pPr>
    </w:p>
    <w:p w14:paraId="7EA6824B" w14:textId="71B1A1A0" w:rsidR="00163BC4" w:rsidRPr="00E121F4" w:rsidRDefault="00E121F4" w:rsidP="00441B6F">
      <w:pPr>
        <w:pStyle w:val="Author"/>
        <w:spacing w:line="240" w:lineRule="auto"/>
        <w:rPr>
          <w:rFonts w:ascii="Arial" w:hAnsi="Arial" w:cs="Arial"/>
          <w:bCs/>
          <w:iCs/>
          <w:color w:val="000000" w:themeColor="text1"/>
          <w:kern w:val="28"/>
          <w:sz w:val="36"/>
        </w:rPr>
      </w:pPr>
      <w:r w:rsidRPr="00E121F4">
        <w:rPr>
          <w:rFonts w:ascii="Arial" w:hAnsi="Arial" w:cs="Arial"/>
          <w:bCs/>
          <w:iCs/>
          <w:color w:val="000000" w:themeColor="text1"/>
          <w:kern w:val="28"/>
          <w:sz w:val="36"/>
        </w:rPr>
        <w:t>A Cross-Jurisdictional PLS-SEM Multi-Group Analysis of Transaction Cost Economics and Competitiveness in European Financial Market Infrastructures</w:t>
      </w:r>
    </w:p>
    <w:p w14:paraId="54E177E6" w14:textId="77777777" w:rsidR="00A258C3" w:rsidRPr="00E121F4" w:rsidRDefault="00A258C3" w:rsidP="00441B6F">
      <w:pPr>
        <w:pStyle w:val="Author"/>
        <w:spacing w:line="240" w:lineRule="auto"/>
        <w:jc w:val="both"/>
        <w:rPr>
          <w:rFonts w:ascii="Arial" w:hAnsi="Arial" w:cs="Arial"/>
          <w:color w:val="000000" w:themeColor="text1"/>
          <w:sz w:val="36"/>
        </w:rPr>
      </w:pPr>
    </w:p>
    <w:p w14:paraId="476B6A3C" w14:textId="77777777" w:rsidR="00CD0256" w:rsidRDefault="00CD0256" w:rsidP="00441B6F">
      <w:pPr>
        <w:pStyle w:val="Copyright"/>
        <w:spacing w:after="0" w:line="240" w:lineRule="auto"/>
        <w:jc w:val="both"/>
        <w:rPr>
          <w:rFonts w:ascii="Arial" w:hAnsi="Arial" w:cs="Arial"/>
          <w:color w:val="000000" w:themeColor="text1"/>
        </w:rPr>
      </w:pPr>
    </w:p>
    <w:bookmarkStart w:id="0" w:name="_GoBack"/>
    <w:bookmarkEnd w:id="0"/>
    <w:p w14:paraId="5DD7FB75" w14:textId="1C0A04EB" w:rsidR="00B01FCD" w:rsidRPr="00E121F4" w:rsidRDefault="00612B8B" w:rsidP="00441B6F">
      <w:pPr>
        <w:pStyle w:val="Copyright"/>
        <w:spacing w:after="0" w:line="240" w:lineRule="auto"/>
        <w:jc w:val="both"/>
        <w:rPr>
          <w:rFonts w:ascii="Arial" w:hAnsi="Arial" w:cs="Arial"/>
          <w:color w:val="000000" w:themeColor="text1"/>
        </w:rPr>
        <w:sectPr w:rsidR="00B01FCD" w:rsidRPr="00E121F4" w:rsidSect="00CD02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E121F4">
        <w:rPr>
          <w:rFonts w:ascii="Arial" w:hAnsi="Arial" w:cs="Arial"/>
          <w:noProof/>
          <w:color w:val="000000" w:themeColor="text1"/>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E121F4">
        <w:rPr>
          <w:rFonts w:ascii="Arial" w:hAnsi="Arial" w:cs="Arial"/>
          <w:color w:val="000000" w:themeColor="text1"/>
        </w:rPr>
        <w:t>.</w:t>
      </w:r>
    </w:p>
    <w:p w14:paraId="41D6A07B" w14:textId="6A88ED7A" w:rsidR="00B01FCD" w:rsidRPr="00E121F4" w:rsidRDefault="00B01FCD" w:rsidP="00441B6F">
      <w:pPr>
        <w:pStyle w:val="AbstHead"/>
        <w:spacing w:after="0"/>
        <w:jc w:val="both"/>
        <w:rPr>
          <w:rFonts w:ascii="Arial" w:hAnsi="Arial" w:cs="Arial"/>
          <w:color w:val="000000" w:themeColor="text1"/>
        </w:rPr>
      </w:pPr>
      <w:r w:rsidRPr="00E121F4">
        <w:rPr>
          <w:rFonts w:ascii="Arial" w:hAnsi="Arial" w:cs="Arial"/>
          <w:color w:val="000000" w:themeColor="text1"/>
        </w:rPr>
        <w:t>ABSTRACT</w:t>
      </w:r>
    </w:p>
    <w:p w14:paraId="61D75484" w14:textId="77777777" w:rsidR="00790ADA" w:rsidRPr="00E121F4"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E121F4" w:rsidRPr="00E121F4" w14:paraId="7A3DC078" w14:textId="77777777" w:rsidTr="001E44FE">
        <w:tc>
          <w:tcPr>
            <w:tcW w:w="9576" w:type="dxa"/>
            <w:shd w:val="clear" w:color="auto" w:fill="F2F2F2"/>
          </w:tcPr>
          <w:p w14:paraId="6177B4B3" w14:textId="67EB1F8C"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Aims</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This study examines how MiFID II/</w:t>
            </w:r>
            <w:proofErr w:type="spellStart"/>
            <w:r w:rsidR="00E121F4" w:rsidRPr="00E121F4">
              <w:rPr>
                <w:rFonts w:ascii="Arial" w:eastAsia="Calibri" w:hAnsi="Arial" w:cs="Arial"/>
                <w:color w:val="000000" w:themeColor="text1"/>
                <w:szCs w:val="22"/>
              </w:rPr>
              <w:t>MiFIR</w:t>
            </w:r>
            <w:proofErr w:type="spellEnd"/>
            <w:r w:rsidR="00E121F4" w:rsidRPr="00E121F4">
              <w:rPr>
                <w:rFonts w:ascii="Arial" w:eastAsia="Calibri" w:hAnsi="Arial" w:cs="Arial"/>
                <w:color w:val="000000" w:themeColor="text1"/>
                <w:szCs w:val="22"/>
              </w:rPr>
              <w:t xml:space="preserve"> have reshaped transaction costs and competitive dynamics in European financial market infrastructures by analyzing the structural interactions among trading activity, market economics, operational intensity, and cost formation.</w:t>
            </w:r>
          </w:p>
          <w:p w14:paraId="485C234C" w14:textId="65940A6B"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Study Design</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A cross-jurisdictional, comparative design using Partial Least Squares Structural Equation Modeling (PLS-SEM) and permutation-based Multi-Group Analysis (MGA).</w:t>
            </w:r>
          </w:p>
          <w:p w14:paraId="11C30682" w14:textId="2B488FC2"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Place and Duration of Study</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Two anonymized European financial market infrastructure provider (2012–2023).</w:t>
            </w:r>
          </w:p>
          <w:p w14:paraId="01DD7249" w14:textId="2FEA3FF7"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Methodology</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Using 120 observations and 31 indicators, the study estimates structural relationships and evaluates group differences across regulatory periods. Bootstrapping (5,000 subsamples) and 10,000-permutation MGA ensure statistical robustness.</w:t>
            </w:r>
          </w:p>
          <w:p w14:paraId="277611D2" w14:textId="2E124166"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Results:</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ABC Group exhibits volume-driven cost structures, while XYZ Group shows efficiency-driven, technology-intensive dynamics. Three of five hypothesized inter-group differences are statistically significant.</w:t>
            </w:r>
          </w:p>
          <w:p w14:paraId="002A8505" w14:textId="617A087B" w:rsidR="00505F06" w:rsidRPr="00E121F4" w:rsidRDefault="00FD78CB" w:rsidP="00E121F4">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Conclusion:</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MiFID II/</w:t>
            </w:r>
            <w:proofErr w:type="spellStart"/>
            <w:r w:rsidR="00E121F4" w:rsidRPr="00E121F4">
              <w:rPr>
                <w:rFonts w:ascii="Arial" w:eastAsia="Calibri" w:hAnsi="Arial" w:cs="Arial"/>
                <w:color w:val="000000" w:themeColor="text1"/>
                <w:szCs w:val="22"/>
              </w:rPr>
              <w:t>MiFIR</w:t>
            </w:r>
            <w:proofErr w:type="spellEnd"/>
            <w:r w:rsidR="00E121F4" w:rsidRPr="00E121F4">
              <w:rPr>
                <w:rFonts w:ascii="Arial" w:eastAsia="Calibri" w:hAnsi="Arial" w:cs="Arial"/>
                <w:color w:val="000000" w:themeColor="text1"/>
                <w:szCs w:val="22"/>
              </w:rPr>
              <w:t xml:space="preserve"> produce heterogeneous effects across financial market infrastructures, reflecting distinct organizational strategies and levels of digital transformation.</w:t>
            </w:r>
          </w:p>
        </w:tc>
      </w:tr>
    </w:tbl>
    <w:p w14:paraId="2E0DA984" w14:textId="77777777" w:rsidR="00636EB2" w:rsidRPr="00E121F4" w:rsidRDefault="00636EB2" w:rsidP="00441B6F">
      <w:pPr>
        <w:pStyle w:val="Body"/>
        <w:spacing w:after="0"/>
        <w:rPr>
          <w:rFonts w:ascii="Arial" w:hAnsi="Arial" w:cs="Arial"/>
          <w:i/>
          <w:color w:val="000000" w:themeColor="text1"/>
        </w:rPr>
      </w:pPr>
    </w:p>
    <w:p w14:paraId="6E3B7A3E" w14:textId="1F57DC75" w:rsidR="00FD78CB" w:rsidRPr="00E121F4" w:rsidRDefault="00FD78CB" w:rsidP="00FD78CB">
      <w:pPr>
        <w:pStyle w:val="Body"/>
        <w:spacing w:after="0"/>
        <w:rPr>
          <w:rFonts w:ascii="Arial" w:hAnsi="Arial" w:cs="Arial"/>
          <w:i/>
          <w:color w:val="000000" w:themeColor="text1"/>
        </w:rPr>
      </w:pPr>
      <w:r w:rsidRPr="00E121F4">
        <w:rPr>
          <w:rFonts w:ascii="Arial" w:hAnsi="Arial" w:cs="Arial"/>
          <w:i/>
          <w:color w:val="000000" w:themeColor="text1"/>
        </w:rPr>
        <w:t xml:space="preserve">Keywords: </w:t>
      </w:r>
      <w:r w:rsidR="00E121F4" w:rsidRPr="00E121F4">
        <w:rPr>
          <w:rFonts w:ascii="Arial" w:eastAsia="Calibri" w:hAnsi="Arial" w:cs="Arial"/>
          <w:i/>
          <w:color w:val="000000" w:themeColor="text1"/>
          <w:szCs w:val="22"/>
        </w:rPr>
        <w:t>Transaction Cost Economics; Financial Market Infrastructure; MiFID II; PLS-SEM; Multi-Group Analysis</w:t>
      </w:r>
    </w:p>
    <w:p w14:paraId="5A86E88E" w14:textId="77777777" w:rsidR="00FD78CB" w:rsidRPr="00E121F4" w:rsidRDefault="00FD78CB" w:rsidP="00FD78CB">
      <w:pPr>
        <w:pStyle w:val="Body"/>
        <w:spacing w:after="0"/>
        <w:rPr>
          <w:rFonts w:ascii="Arial" w:hAnsi="Arial" w:cs="Arial"/>
          <w:i/>
          <w:color w:val="000000" w:themeColor="text1"/>
        </w:rPr>
      </w:pPr>
    </w:p>
    <w:p w14:paraId="68028E6C" w14:textId="77777777" w:rsidR="00E121F4" w:rsidRPr="00E121F4" w:rsidRDefault="00E121F4">
      <w:pPr>
        <w:rPr>
          <w:rFonts w:ascii="Arial" w:hAnsi="Arial" w:cs="Arial"/>
          <w:b/>
          <w:caps/>
          <w:color w:val="000000" w:themeColor="text1"/>
          <w:sz w:val="22"/>
        </w:rPr>
      </w:pPr>
      <w:r w:rsidRPr="00E121F4">
        <w:rPr>
          <w:rFonts w:ascii="Arial" w:hAnsi="Arial" w:cs="Arial"/>
          <w:color w:val="000000" w:themeColor="text1"/>
        </w:rPr>
        <w:br w:type="page"/>
      </w:r>
    </w:p>
    <w:p w14:paraId="495461DA" w14:textId="6CB49D47" w:rsidR="00FD78CB" w:rsidRPr="00E121F4" w:rsidRDefault="00FD78CB" w:rsidP="00FD78CB">
      <w:pPr>
        <w:pStyle w:val="AbstHead"/>
        <w:spacing w:after="0"/>
        <w:jc w:val="both"/>
        <w:rPr>
          <w:rFonts w:ascii="Arial" w:hAnsi="Arial" w:cs="Arial"/>
          <w:color w:val="000000" w:themeColor="text1"/>
        </w:rPr>
      </w:pPr>
      <w:r w:rsidRPr="00E121F4">
        <w:rPr>
          <w:rFonts w:ascii="Arial" w:hAnsi="Arial" w:cs="Arial"/>
          <w:color w:val="000000" w:themeColor="text1"/>
        </w:rPr>
        <w:lastRenderedPageBreak/>
        <w:t xml:space="preserve">1. INTRODUCTION </w:t>
      </w:r>
    </w:p>
    <w:p w14:paraId="453AB8F8" w14:textId="77777777" w:rsidR="00FD78CB" w:rsidRPr="00E121F4" w:rsidRDefault="00FD78CB" w:rsidP="00FD78CB">
      <w:pPr>
        <w:pStyle w:val="AbstHead"/>
        <w:spacing w:after="0"/>
        <w:jc w:val="both"/>
        <w:rPr>
          <w:rFonts w:ascii="Arial" w:hAnsi="Arial" w:cs="Arial"/>
          <w:color w:val="000000" w:themeColor="text1"/>
        </w:rPr>
      </w:pPr>
    </w:p>
    <w:p w14:paraId="3DDEE9FD" w14:textId="3321BDAE" w:rsidR="005020A0" w:rsidRPr="00E121F4" w:rsidRDefault="005020A0" w:rsidP="005020A0">
      <w:pPr>
        <w:jc w:val="both"/>
        <w:rPr>
          <w:color w:val="000000" w:themeColor="text1"/>
        </w:rPr>
      </w:pPr>
      <w:r w:rsidRPr="00E121F4">
        <w:rPr>
          <w:color w:val="000000" w:themeColor="text1"/>
        </w:rPr>
        <w:t>Following the global financial crisis, regulatory authorities intensified oversight to strengthen market integrity, improve transparency, and enhance investor protection.</w:t>
      </w:r>
      <w:r w:rsidRPr="00E121F4">
        <w:rPr>
          <w:rStyle w:val="FootnoteReference"/>
          <w:rFonts w:ascii="Arial" w:hAnsi="Arial" w:cs="Arial"/>
          <w:color w:val="000000" w:themeColor="text1"/>
        </w:rPr>
        <w:footnoteReference w:id="1"/>
      </w:r>
      <w:r w:rsidRPr="00E121F4">
        <w:rPr>
          <w:color w:val="000000" w:themeColor="text1"/>
        </w:rPr>
        <w:t xml:space="preserve"> Within the European Union, the MiFID I and MiFID II frameworks – together  with </w:t>
      </w:r>
      <w:proofErr w:type="spellStart"/>
      <w:r w:rsidRPr="00E121F4">
        <w:rPr>
          <w:color w:val="000000" w:themeColor="text1"/>
        </w:rPr>
        <w:t>MiFIR</w:t>
      </w:r>
      <w:proofErr w:type="spellEnd"/>
      <w:r w:rsidRPr="00E121F4">
        <w:rPr>
          <w:color w:val="000000" w:themeColor="text1"/>
        </w:rPr>
        <w:t xml:space="preserve"> – have become central regulatory cornerstones, reshaping both the structural and operational landscape of financial market infrastructures.</w:t>
      </w:r>
      <w:r w:rsidRPr="00E121F4">
        <w:rPr>
          <w:rStyle w:val="FootnoteReference"/>
          <w:rFonts w:ascii="Arial" w:hAnsi="Arial" w:cs="Arial"/>
          <w:color w:val="000000" w:themeColor="text1"/>
        </w:rPr>
        <w:footnoteReference w:id="2"/>
      </w:r>
      <w:r w:rsidRPr="00E121F4">
        <w:rPr>
          <w:color w:val="000000" w:themeColor="text1"/>
        </w:rPr>
        <w:t xml:space="preserve"> These regulatory regimes influence not only how stock exchange organizations conduct their activities but also affect the economic mechanisms that drive market functioning, including transaction costs, infrastructure investments, and institutional competitiveness.</w:t>
      </w:r>
    </w:p>
    <w:p w14:paraId="00DABC52" w14:textId="77777777" w:rsidR="005020A0" w:rsidRPr="00E121F4" w:rsidRDefault="005020A0" w:rsidP="005020A0">
      <w:pPr>
        <w:jc w:val="both"/>
        <w:rPr>
          <w:color w:val="000000" w:themeColor="text1"/>
        </w:rPr>
      </w:pPr>
    </w:p>
    <w:p w14:paraId="2BC3612F" w14:textId="4A2CD990" w:rsidR="005020A0" w:rsidRPr="00E121F4" w:rsidRDefault="005020A0" w:rsidP="005020A0">
      <w:pPr>
        <w:jc w:val="both"/>
        <w:rPr>
          <w:color w:val="000000" w:themeColor="text1"/>
        </w:rPr>
      </w:pPr>
      <w:r w:rsidRPr="00E121F4">
        <w:rPr>
          <w:color w:val="000000" w:themeColor="text1"/>
        </w:rPr>
        <w:t>In this environment, stock exchanges must operate within increasingly complex regulatory and technological ecosystems. Efficient transaction cost management has become a critical determinant of market leadership, particularly as exchanges expand their operational capabilities through cloud-based systems</w:t>
      </w:r>
      <w:r w:rsidRPr="00E121F4">
        <w:rPr>
          <w:rStyle w:val="FootnoteReference"/>
          <w:rFonts w:ascii="Arial" w:hAnsi="Arial" w:cs="Arial"/>
          <w:color w:val="000000" w:themeColor="text1"/>
        </w:rPr>
        <w:footnoteReference w:id="3"/>
      </w:r>
      <w:r w:rsidRPr="00E121F4">
        <w:rPr>
          <w:color w:val="000000" w:themeColor="text1"/>
        </w:rPr>
        <w:t xml:space="preserve"> and artificial intelligence solutions</w:t>
      </w:r>
      <w:r w:rsidR="00A86288" w:rsidRPr="00E121F4">
        <w:rPr>
          <w:color w:val="000000" w:themeColor="text1"/>
        </w:rPr>
        <w:t>.</w:t>
      </w:r>
      <w:r w:rsidRPr="00E121F4">
        <w:rPr>
          <w:rStyle w:val="FootnoteReference"/>
          <w:rFonts w:ascii="Arial" w:hAnsi="Arial" w:cs="Arial"/>
          <w:color w:val="000000" w:themeColor="text1"/>
        </w:rPr>
        <w:footnoteReference w:id="4"/>
      </w:r>
      <w:r w:rsidRPr="00E121F4">
        <w:rPr>
          <w:color w:val="000000" w:themeColor="text1"/>
        </w:rPr>
        <w:t xml:space="preserve"> Such technological advancements support the reduction of operational inefficiencies, improve scalability, and reinforce competitive positioning. In this sense, regulatory compliance has evolved into a strategic asset – an enabler of long-term organizational resilience rather than a mere external constraint.</w:t>
      </w:r>
    </w:p>
    <w:p w14:paraId="29840238" w14:textId="77777777" w:rsidR="005020A0" w:rsidRPr="00E121F4" w:rsidRDefault="005020A0" w:rsidP="005020A0">
      <w:pPr>
        <w:jc w:val="both"/>
        <w:rPr>
          <w:color w:val="000000" w:themeColor="text1"/>
        </w:rPr>
      </w:pPr>
    </w:p>
    <w:p w14:paraId="0F25EDC7" w14:textId="1B1ABEB0" w:rsidR="005020A0" w:rsidRPr="00E121F4" w:rsidRDefault="005020A0" w:rsidP="005020A0">
      <w:pPr>
        <w:jc w:val="both"/>
        <w:rPr>
          <w:color w:val="000000" w:themeColor="text1"/>
        </w:rPr>
      </w:pPr>
      <w:r w:rsidRPr="00E121F4">
        <w:rPr>
          <w:color w:val="000000" w:themeColor="text1"/>
        </w:rPr>
        <w:t xml:space="preserve">Against this backdrop, the present study investigates how infrastructure transactions, market economics, infrastructure operations, and transaction costs interact within the post-MiFID II environment. By employing a Partial Least Squares Structural Equation Modeling (PLS-SEM) approach combined with permutation-based Multi-Group Analysis (MGA), the study evaluates whether these relationships differ systematically across regulatory periods and between two anonymized </w:t>
      </w:r>
      <w:r w:rsidR="00A86288" w:rsidRPr="00E121F4">
        <w:rPr>
          <w:color w:val="000000" w:themeColor="text1"/>
        </w:rPr>
        <w:t>financial market infrastructure providers</w:t>
      </w:r>
      <w:r w:rsidRPr="00E121F4">
        <w:rPr>
          <w:color w:val="000000" w:themeColor="text1"/>
        </w:rPr>
        <w:t>. This analytical design enables a nuanced examination of how MiFID II/</w:t>
      </w:r>
      <w:proofErr w:type="spellStart"/>
      <w:r w:rsidRPr="00E121F4">
        <w:rPr>
          <w:color w:val="000000" w:themeColor="text1"/>
        </w:rPr>
        <w:t>MiFIR</w:t>
      </w:r>
      <w:proofErr w:type="spellEnd"/>
      <w:r w:rsidRPr="00E121F4">
        <w:rPr>
          <w:color w:val="000000" w:themeColor="text1"/>
        </w:rPr>
        <w:t xml:space="preserve"> has reshaped cost structures, operational dependencies, and competitive dynamics.</w:t>
      </w:r>
      <w:r w:rsidR="00A86288" w:rsidRPr="00E121F4">
        <w:rPr>
          <w:color w:val="000000" w:themeColor="text1"/>
        </w:rPr>
        <w:t xml:space="preserve"> </w:t>
      </w:r>
      <w:r w:rsidRPr="00E121F4">
        <w:rPr>
          <w:color w:val="000000" w:themeColor="text1"/>
        </w:rPr>
        <w:t>Based on the theoretical model and regulatory context, the following sub-hypotheses are formulated for empirical testing within the MGA framework.</w:t>
      </w:r>
      <w:r w:rsidR="00A86288" w:rsidRPr="00E121F4">
        <w:rPr>
          <w:rStyle w:val="FootnoteReference"/>
          <w:rFonts w:ascii="Arial" w:hAnsi="Arial" w:cs="Arial"/>
          <w:color w:val="000000" w:themeColor="text1"/>
        </w:rPr>
        <w:t xml:space="preserve"> </w:t>
      </w:r>
      <w:r w:rsidR="00A86288" w:rsidRPr="00E121F4">
        <w:rPr>
          <w:rStyle w:val="FootnoteReference"/>
          <w:rFonts w:ascii="Arial" w:hAnsi="Arial" w:cs="Arial"/>
          <w:color w:val="000000" w:themeColor="text1"/>
        </w:rPr>
        <w:footnoteReference w:id="5"/>
      </w:r>
    </w:p>
    <w:p w14:paraId="17C3C78B" w14:textId="77777777" w:rsidR="005020A0" w:rsidRPr="00E121F4" w:rsidRDefault="005020A0" w:rsidP="00FD78CB">
      <w:pPr>
        <w:jc w:val="both"/>
        <w:rPr>
          <w:color w:val="000000" w:themeColor="text1"/>
        </w:rPr>
      </w:pPr>
    </w:p>
    <w:p w14:paraId="24BA2373" w14:textId="77777777"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1.1 Research objects and subjects</w:t>
      </w:r>
    </w:p>
    <w:p w14:paraId="13EEC6A0" w14:textId="77777777" w:rsidR="00FD78CB" w:rsidRPr="00E121F4" w:rsidRDefault="00FD78CB" w:rsidP="00FD78CB">
      <w:pPr>
        <w:pStyle w:val="Body"/>
        <w:spacing w:after="0"/>
        <w:rPr>
          <w:rFonts w:ascii="Arial" w:hAnsi="Arial" w:cs="Arial"/>
          <w:color w:val="000000" w:themeColor="text1"/>
        </w:rPr>
      </w:pPr>
    </w:p>
    <w:p w14:paraId="7398189F" w14:textId="0082AC4E" w:rsidR="00A86288" w:rsidRPr="00E121F4" w:rsidRDefault="00A86288" w:rsidP="00A86288">
      <w:pPr>
        <w:jc w:val="both"/>
        <w:rPr>
          <w:color w:val="000000" w:themeColor="text1"/>
        </w:rPr>
      </w:pPr>
      <w:r w:rsidRPr="00E121F4">
        <w:rPr>
          <w:color w:val="000000" w:themeColor="text1"/>
        </w:rPr>
        <w:t xml:space="preserve">This study investigates how the European regulatory framework – most notably MiFID II and </w:t>
      </w:r>
      <w:proofErr w:type="spellStart"/>
      <w:r w:rsidRPr="00E121F4">
        <w:rPr>
          <w:color w:val="000000" w:themeColor="text1"/>
        </w:rPr>
        <w:t>MiFIR</w:t>
      </w:r>
      <w:proofErr w:type="spellEnd"/>
      <w:r w:rsidRPr="00E121F4">
        <w:rPr>
          <w:color w:val="000000" w:themeColor="text1"/>
        </w:rPr>
        <w:t xml:space="preserve"> – has reshaped the cost structures and competitive dynamics of financial market infrastructures. The analysis centers on stock exchange organizations operating regulated trading venues, as these institutions are directly affected by regulatory requirements that influence transaction costs, operational complexity, and market efficiency.</w:t>
      </w:r>
      <w:r w:rsidRPr="00E121F4">
        <w:rPr>
          <w:rStyle w:val="FootnoteReference"/>
          <w:rFonts w:ascii="Arial" w:hAnsi="Arial" w:cs="Arial"/>
          <w:color w:val="000000" w:themeColor="text1"/>
        </w:rPr>
        <w:footnoteReference w:id="6"/>
      </w:r>
    </w:p>
    <w:p w14:paraId="06BB2E78" w14:textId="77777777" w:rsidR="00E121F4" w:rsidRPr="00E121F4" w:rsidRDefault="00E121F4" w:rsidP="00A86288">
      <w:pPr>
        <w:jc w:val="both"/>
        <w:rPr>
          <w:color w:val="000000" w:themeColor="text1"/>
        </w:rPr>
      </w:pPr>
    </w:p>
    <w:p w14:paraId="421B8B47" w14:textId="0F81EF04" w:rsidR="00A86288" w:rsidRPr="00E121F4" w:rsidRDefault="00A86288" w:rsidP="00A86288">
      <w:pPr>
        <w:jc w:val="both"/>
        <w:rPr>
          <w:color w:val="000000" w:themeColor="text1"/>
        </w:rPr>
      </w:pPr>
      <w:r w:rsidRPr="00E121F4">
        <w:rPr>
          <w:color w:val="000000" w:themeColor="text1"/>
        </w:rPr>
        <w:t>The empirical focus lies on the interdependence between transaction costs</w:t>
      </w:r>
      <w:r w:rsidRPr="00E121F4">
        <w:rPr>
          <w:rStyle w:val="FootnoteReference"/>
          <w:color w:val="000000" w:themeColor="text1"/>
        </w:rPr>
        <w:footnoteReference w:id="7"/>
      </w:r>
      <w:r w:rsidRPr="00E121F4">
        <w:rPr>
          <w:color w:val="000000" w:themeColor="text1"/>
        </w:rPr>
        <w:t>, infrastructure operations, trading activity, and market economics.</w:t>
      </w:r>
      <w:r w:rsidRPr="00E121F4">
        <w:rPr>
          <w:rStyle w:val="FootnoteReference"/>
          <w:color w:val="000000" w:themeColor="text1"/>
        </w:rPr>
        <w:footnoteReference w:id="8"/>
      </w:r>
      <w:r w:rsidRPr="00E121F4">
        <w:rPr>
          <w:color w:val="000000" w:themeColor="text1"/>
        </w:rPr>
        <w:t xml:space="preserve"> By examining these relationships across two anonymized stock exchange groups, the study evaluates how regulatory intervention </w:t>
      </w:r>
      <w:r w:rsidRPr="00E121F4">
        <w:rPr>
          <w:color w:val="000000" w:themeColor="text1"/>
        </w:rPr>
        <w:lastRenderedPageBreak/>
        <w:t>alters the structural determinants of cost efficiency and strategic positioning.</w:t>
      </w:r>
      <w:r w:rsidRPr="00E121F4">
        <w:rPr>
          <w:rStyle w:val="FootnoteReference"/>
          <w:rFonts w:ascii="Arial" w:hAnsi="Arial" w:cs="Arial"/>
          <w:color w:val="000000" w:themeColor="text1"/>
        </w:rPr>
        <w:footnoteReference w:id="9"/>
      </w:r>
      <w:r w:rsidRPr="00E121F4">
        <w:rPr>
          <w:color w:val="000000" w:themeColor="text1"/>
        </w:rPr>
        <w:t xml:space="preserve"> A permutation-based Multi-Group Analysis (MGA) enables a comparative assessment of these effects across institutional settings, offering evidence on how MiFID II/</w:t>
      </w:r>
      <w:proofErr w:type="spellStart"/>
      <w:r w:rsidRPr="00E121F4">
        <w:rPr>
          <w:color w:val="000000" w:themeColor="text1"/>
        </w:rPr>
        <w:t>MiFIR</w:t>
      </w:r>
      <w:proofErr w:type="spellEnd"/>
      <w:r w:rsidRPr="00E121F4">
        <w:rPr>
          <w:color w:val="000000" w:themeColor="text1"/>
        </w:rPr>
        <w:t xml:space="preserve"> has reshaped the financial market infrastructure landscape.</w:t>
      </w:r>
      <w:r w:rsidRPr="00E121F4">
        <w:rPr>
          <w:rStyle w:val="FootnoteReference"/>
          <w:color w:val="000000" w:themeColor="text1"/>
        </w:rPr>
        <w:footnoteReference w:id="10"/>
      </w:r>
    </w:p>
    <w:p w14:paraId="56C17877" w14:textId="77777777" w:rsidR="00A86288" w:rsidRPr="00E121F4" w:rsidRDefault="00A86288" w:rsidP="00FD78CB">
      <w:pPr>
        <w:jc w:val="both"/>
        <w:rPr>
          <w:color w:val="000000" w:themeColor="text1"/>
        </w:rPr>
      </w:pPr>
    </w:p>
    <w:p w14:paraId="412282C3" w14:textId="77777777"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1.2 Research hypotheses for the empirical tests</w:t>
      </w:r>
    </w:p>
    <w:p w14:paraId="63FF5751" w14:textId="77777777" w:rsidR="00FD78CB" w:rsidRPr="00E121F4" w:rsidRDefault="00FD78CB" w:rsidP="00FD78CB">
      <w:pPr>
        <w:pStyle w:val="Body"/>
        <w:spacing w:after="0"/>
        <w:rPr>
          <w:rFonts w:ascii="Arial" w:hAnsi="Arial" w:cs="Arial"/>
          <w:color w:val="000000" w:themeColor="text1"/>
        </w:rPr>
      </w:pPr>
    </w:p>
    <w:p w14:paraId="571E3912" w14:textId="77777777" w:rsidR="005020A0" w:rsidRPr="00E121F4" w:rsidRDefault="005020A0" w:rsidP="005020A0">
      <w:pPr>
        <w:pStyle w:val="Body"/>
        <w:rPr>
          <w:rFonts w:ascii="Arial" w:hAnsi="Arial" w:cs="Arial"/>
          <w:color w:val="000000" w:themeColor="text1"/>
        </w:rPr>
      </w:pPr>
      <w:r w:rsidRPr="00E121F4">
        <w:rPr>
          <w:rFonts w:ascii="Arial" w:hAnsi="Arial" w:cs="Arial"/>
          <w:color w:val="000000" w:themeColor="text1"/>
        </w:rPr>
        <w:t>The positioning and competitive strength of stock exchange organizations depend on how effectively they align trading activity, market structure, operational capacity, and the transaction costs arising within financial market infrastructures. The interaction of these elements determines an organization’s ability to manage costs, maintain efficient markets, and respond to regulatory pressures.</w:t>
      </w:r>
    </w:p>
    <w:p w14:paraId="5F26BE29" w14:textId="35B082C1" w:rsidR="0092425A" w:rsidRPr="00E121F4" w:rsidRDefault="005020A0" w:rsidP="0092425A">
      <w:pPr>
        <w:pStyle w:val="Body"/>
        <w:rPr>
          <w:rFonts w:ascii="Arial" w:hAnsi="Arial" w:cs="Arial"/>
          <w:color w:val="000000" w:themeColor="text1"/>
        </w:rPr>
      </w:pPr>
      <w:r w:rsidRPr="00E121F4">
        <w:rPr>
          <w:rFonts w:ascii="Arial" w:hAnsi="Arial" w:cs="Arial"/>
          <w:color w:val="000000" w:themeColor="text1"/>
        </w:rPr>
        <w:t xml:space="preserve">The introduction of MiFID II fundamentally reshaped these relationships by altering transparency requirements, market structure, and operational demands across European exchanges. To assess how these regulatory changes influenced the determinants of transaction costs, a set of empirically testable sub-hypotheses was developed for the multi-group analysis (MGA), comparing the pre- and post-MiFID II periods. </w:t>
      </w:r>
      <w:r w:rsidR="0092425A" w:rsidRPr="00E121F4">
        <w:rPr>
          <w:rFonts w:ascii="Arial" w:hAnsi="Arial" w:cs="Arial"/>
          <w:color w:val="000000" w:themeColor="text1"/>
        </w:rPr>
        <w:t>The effect of post-MiFID II developments on transaction costs – across infrastructure operations, infrastructure transactions, and market economics – is expected to differ between ABC Group and XYZ Group, reflecting their distinct competitive positions and strategic business model evolution.</w:t>
      </w:r>
    </w:p>
    <w:p w14:paraId="4EE62BE7" w14:textId="6C5A046E" w:rsidR="0092425A" w:rsidRPr="00E121F4" w:rsidRDefault="0092425A" w:rsidP="0092425A">
      <w:pPr>
        <w:pStyle w:val="Body"/>
        <w:spacing w:after="0"/>
        <w:rPr>
          <w:rFonts w:ascii="Arial" w:hAnsi="Arial" w:cs="Arial"/>
          <w:color w:val="000000" w:themeColor="text1"/>
        </w:rPr>
      </w:pPr>
      <w:r w:rsidRPr="00E121F4">
        <w:rPr>
          <w:rFonts w:ascii="Arial" w:hAnsi="Arial" w:cs="Arial"/>
          <w:color w:val="000000" w:themeColor="text1"/>
        </w:rPr>
        <w:t>Accordingly, the following sub-hypotheses guide the multi-group analysis comparing ABC Group and XYZ Group:</w:t>
      </w:r>
    </w:p>
    <w:p w14:paraId="6DD027CA" w14:textId="77777777" w:rsidR="00FD78CB" w:rsidRPr="00E121F4" w:rsidRDefault="00FD78CB" w:rsidP="00FD78CB">
      <w:pPr>
        <w:pStyle w:val="Body"/>
        <w:spacing w:after="0"/>
        <w:rPr>
          <w:rFonts w:ascii="Arial" w:hAnsi="Arial" w:cs="Arial"/>
          <w:color w:val="000000" w:themeColor="text1"/>
        </w:rPr>
      </w:pPr>
    </w:p>
    <w:p w14:paraId="65936126" w14:textId="4A2891F8" w:rsidR="00FD78CB" w:rsidRPr="00E121F4" w:rsidRDefault="00FD78CB" w:rsidP="0092425A">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1</w:t>
      </w:r>
      <w:r w:rsidRPr="00E121F4">
        <w:rPr>
          <w:rFonts w:ascii="Arial" w:hAnsi="Arial" w:cs="Arial"/>
          <w:color w:val="000000" w:themeColor="text1"/>
        </w:rPr>
        <w:t xml:space="preserve">: </w:t>
      </w:r>
      <w:r w:rsidR="0092425A" w:rsidRPr="00E121F4">
        <w:rPr>
          <w:rFonts w:ascii="Arial" w:hAnsi="Arial" w:cs="Arial"/>
          <w:color w:val="000000" w:themeColor="text1"/>
        </w:rPr>
        <w:t xml:space="preserve">Infrastructure transactions on transaction costs: Increases in infrastructure transactions – particularly during periods of market stress such as the COVID-19 pandemic or the Russia–Ukraine conflict – are expected to exhibit a stronger positive association with transaction costs for ABC Group than for XYZ Group. This reflects ABC Group’s greater sensitivity to </w:t>
      </w:r>
      <w:r w:rsidR="000C789C" w:rsidRPr="00E121F4">
        <w:rPr>
          <w:rFonts w:ascii="Arial" w:hAnsi="Arial" w:cs="Arial"/>
          <w:color w:val="000000" w:themeColor="text1"/>
        </w:rPr>
        <w:t>volatility</w:t>
      </w:r>
      <w:r w:rsidR="0092425A" w:rsidRPr="00E121F4">
        <w:rPr>
          <w:rFonts w:ascii="Arial" w:hAnsi="Arial" w:cs="Arial"/>
          <w:color w:val="000000" w:themeColor="text1"/>
        </w:rPr>
        <w:t xml:space="preserve"> in trading volumes and turnover</w:t>
      </w:r>
      <w:r w:rsidRPr="00E121F4">
        <w:rPr>
          <w:rFonts w:ascii="Arial" w:hAnsi="Arial" w:cs="Arial"/>
          <w:color w:val="000000" w:themeColor="text1"/>
        </w:rPr>
        <w:t>.</w:t>
      </w:r>
    </w:p>
    <w:p w14:paraId="6202D6E1" w14:textId="6C9AFFEF" w:rsidR="00FD78CB" w:rsidRPr="00E121F4" w:rsidRDefault="00FD78CB" w:rsidP="007B0AEE">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2</w:t>
      </w:r>
      <w:r w:rsidRPr="00E121F4">
        <w:rPr>
          <w:rFonts w:ascii="Arial" w:hAnsi="Arial" w:cs="Arial"/>
          <w:color w:val="000000" w:themeColor="text1"/>
        </w:rPr>
        <w:t xml:space="preserve">: </w:t>
      </w:r>
      <w:r w:rsidR="0092425A" w:rsidRPr="00E121F4">
        <w:rPr>
          <w:rFonts w:ascii="Arial" w:hAnsi="Arial" w:cs="Arial"/>
          <w:color w:val="000000" w:themeColor="text1"/>
        </w:rPr>
        <w:t>Infrastructure operations on transaction costs: The influence of infrastructure operations on transaction costs is anticipated to be more pronounced for ABC Group. In contrast, XYZ Group’s ongoing strategic shift toward a more information</w:t>
      </w:r>
      <w:r w:rsidR="000C789C" w:rsidRPr="00E121F4">
        <w:rPr>
          <w:rFonts w:ascii="Arial" w:hAnsi="Arial" w:cs="Arial"/>
          <w:color w:val="000000" w:themeColor="text1"/>
        </w:rPr>
        <w:t xml:space="preserve"> and analytic</w:t>
      </w:r>
      <w:r w:rsidR="0092425A" w:rsidRPr="00E121F4">
        <w:rPr>
          <w:rFonts w:ascii="Arial" w:hAnsi="Arial" w:cs="Arial"/>
          <w:color w:val="000000" w:themeColor="text1"/>
        </w:rPr>
        <w:t xml:space="preserve">-centric business model is expected to reduce the relative operational cost pressure associated with infrastructure service provision. </w:t>
      </w:r>
    </w:p>
    <w:p w14:paraId="21FA5B0B" w14:textId="034BF701" w:rsidR="00FD78CB" w:rsidRPr="00E121F4" w:rsidRDefault="00FD78CB" w:rsidP="00443FD8">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3</w:t>
      </w:r>
      <w:r w:rsidRPr="00E121F4">
        <w:rPr>
          <w:rFonts w:ascii="Arial" w:hAnsi="Arial" w:cs="Arial"/>
          <w:color w:val="000000" w:themeColor="text1"/>
        </w:rPr>
        <w:t xml:space="preserve">: </w:t>
      </w:r>
      <w:r w:rsidR="00443FD8" w:rsidRPr="00E121F4">
        <w:rPr>
          <w:rFonts w:ascii="Arial" w:hAnsi="Arial" w:cs="Arial"/>
          <w:color w:val="000000" w:themeColor="text1"/>
        </w:rPr>
        <w:t>Market economics on transaction costs: Given ABC Group’s higher market capitalization and its continued growth in listings, the direct effect of market economics on transaction costs should be greater for ABC Group than for XYZ Group. This difference may also be shaped by the increased mobility of liquidity within the European Capital Markets Union, facilitated by the “European passport,” which encourages cross-border issuance and may redirect activity between trading venues.</w:t>
      </w:r>
    </w:p>
    <w:p w14:paraId="0A83284B" w14:textId="56FB1332" w:rsidR="00443FD8" w:rsidRPr="00E121F4" w:rsidRDefault="00FD78CB" w:rsidP="0013156E">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4</w:t>
      </w:r>
      <w:r w:rsidRPr="00E121F4">
        <w:rPr>
          <w:rFonts w:ascii="Arial" w:hAnsi="Arial" w:cs="Arial"/>
          <w:color w:val="000000" w:themeColor="text1"/>
        </w:rPr>
        <w:t xml:space="preserve">: </w:t>
      </w:r>
      <w:r w:rsidR="00443FD8" w:rsidRPr="00E121F4">
        <w:rPr>
          <w:rFonts w:ascii="Arial" w:hAnsi="Arial" w:cs="Arial"/>
          <w:color w:val="000000" w:themeColor="text1"/>
        </w:rPr>
        <w:t xml:space="preserve">Market economics on infrastructure operations: Post-MiFID II, the relationship between market economics and infrastructure operations is expected to be more strongly correlated for ABC Group. The expansion of market capitalization and listings typically increases capacity requirements and necessitates adjustments across asset </w:t>
      </w:r>
      <w:r w:rsidR="00443FD8" w:rsidRPr="00E121F4">
        <w:rPr>
          <w:rFonts w:ascii="Arial" w:hAnsi="Arial" w:cs="Arial"/>
          <w:color w:val="000000" w:themeColor="text1"/>
        </w:rPr>
        <w:lastRenderedPageBreak/>
        <w:t>classes, particularly in resource-intensive post-trading functions such as clearing, settlement, and custody.</w:t>
      </w:r>
    </w:p>
    <w:p w14:paraId="7B9E9558" w14:textId="08EAD634" w:rsidR="00FD78CB" w:rsidRPr="00E121F4" w:rsidRDefault="00FD78CB" w:rsidP="008B11C5">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5</w:t>
      </w:r>
      <w:r w:rsidRPr="00E121F4">
        <w:rPr>
          <w:rFonts w:ascii="Arial" w:hAnsi="Arial" w:cs="Arial"/>
          <w:color w:val="000000" w:themeColor="text1"/>
        </w:rPr>
        <w:t xml:space="preserve">: </w:t>
      </w:r>
      <w:r w:rsidR="00443FD8" w:rsidRPr="00E121F4">
        <w:rPr>
          <w:rFonts w:ascii="Arial" w:hAnsi="Arial" w:cs="Arial"/>
          <w:color w:val="000000" w:themeColor="text1"/>
        </w:rPr>
        <w:t>Infrastructure transactions on infrastructure operations: Although trading volume and turnover positively affect infrastructure operations for both organizations, this effect is projected to be weaker for XYZ Group. This reflects XYZ Group’s strategic reorientation away from traditional transaction-driven infrastructure models toward a business model centered on data, analytics, and information services</w:t>
      </w:r>
      <w:r w:rsidRPr="00E121F4">
        <w:rPr>
          <w:rFonts w:ascii="Arial" w:hAnsi="Arial" w:cs="Arial"/>
          <w:color w:val="000000" w:themeColor="text1"/>
        </w:rPr>
        <w:t>.</w:t>
      </w:r>
    </w:p>
    <w:p w14:paraId="3AFBCC22" w14:textId="75637718" w:rsidR="00443FD8" w:rsidRPr="00E121F4" w:rsidRDefault="00443FD8" w:rsidP="00FD78CB">
      <w:pPr>
        <w:pStyle w:val="Body"/>
        <w:spacing w:after="0"/>
        <w:rPr>
          <w:rFonts w:ascii="Arial" w:hAnsi="Arial" w:cs="Arial"/>
          <w:color w:val="000000" w:themeColor="text1"/>
        </w:rPr>
      </w:pPr>
      <w:r w:rsidRPr="00E121F4">
        <w:rPr>
          <w:rFonts w:ascii="Arial" w:hAnsi="Arial" w:cs="Arial"/>
          <w:color w:val="000000" w:themeColor="text1"/>
        </w:rPr>
        <w:t>To ensure an ethically robust and conflict-free research design when working with real-world data from ABC Group and XYZ Group, all variables were transformed using the natural logarithm (LN). This transformation supports the normalization of skewed distributions, reduces heteroscedasticity, and enhances the precision and interpretability of the statistical tests – thereby improving the generalizability of findings within business and economic research.</w:t>
      </w:r>
    </w:p>
    <w:p w14:paraId="26548A0F" w14:textId="77777777" w:rsidR="00FD78CB" w:rsidRPr="00E121F4" w:rsidRDefault="00FD78CB" w:rsidP="00FD78CB">
      <w:pPr>
        <w:pStyle w:val="Body"/>
        <w:spacing w:after="0"/>
        <w:rPr>
          <w:rFonts w:ascii="Arial" w:hAnsi="Arial" w:cs="Arial"/>
          <w:color w:val="000000" w:themeColor="text1"/>
        </w:rPr>
      </w:pPr>
    </w:p>
    <w:p w14:paraId="14412D94" w14:textId="77777777" w:rsidR="00FD78CB" w:rsidRPr="00E121F4" w:rsidRDefault="00FD78CB" w:rsidP="00FD78CB">
      <w:pPr>
        <w:pStyle w:val="AbstHead"/>
        <w:spacing w:after="0"/>
        <w:jc w:val="both"/>
        <w:rPr>
          <w:rFonts w:ascii="Arial" w:hAnsi="Arial" w:cs="Arial"/>
          <w:color w:val="000000" w:themeColor="text1"/>
        </w:rPr>
      </w:pPr>
      <w:r w:rsidRPr="00E121F4">
        <w:rPr>
          <w:rFonts w:ascii="Arial" w:hAnsi="Arial" w:cs="Arial"/>
          <w:color w:val="000000" w:themeColor="text1"/>
        </w:rPr>
        <w:t xml:space="preserve">2. METHoDOLOGY </w:t>
      </w:r>
    </w:p>
    <w:p w14:paraId="237E4F39" w14:textId="77777777" w:rsidR="00FD78CB" w:rsidRPr="00E121F4" w:rsidRDefault="00FD78CB" w:rsidP="00FD78CB">
      <w:pPr>
        <w:pStyle w:val="AbstHead"/>
        <w:spacing w:after="0"/>
        <w:jc w:val="both"/>
        <w:rPr>
          <w:rFonts w:ascii="Arial" w:hAnsi="Arial" w:cs="Arial"/>
          <w:color w:val="000000" w:themeColor="text1"/>
        </w:rPr>
      </w:pPr>
    </w:p>
    <w:p w14:paraId="405655DE" w14:textId="1AF027A3"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 xml:space="preserve">The empirical analysis was carried out using a structural equation modeling framework based on </w:t>
      </w:r>
      <w:proofErr w:type="spellStart"/>
      <w:r w:rsidRPr="00E121F4">
        <w:rPr>
          <w:rFonts w:ascii="Arial" w:hAnsi="Arial" w:cs="Arial"/>
          <w:b w:val="0"/>
          <w:caps w:val="0"/>
          <w:color w:val="000000" w:themeColor="text1"/>
          <w:sz w:val="20"/>
        </w:rPr>
        <w:t>SmartPLS</w:t>
      </w:r>
      <w:proofErr w:type="spellEnd"/>
      <w:r w:rsidRPr="00E121F4">
        <w:rPr>
          <w:rFonts w:ascii="Arial" w:hAnsi="Arial" w:cs="Arial"/>
          <w:b w:val="0"/>
          <w:caps w:val="0"/>
          <w:color w:val="000000" w:themeColor="text1"/>
          <w:sz w:val="20"/>
        </w:rPr>
        <w:t xml:space="preserve"> (Version 4.1.0.8). The methodological design aimed to investigate the structural interactions among four core dimensions of financial market infrastructures – infrastructure transactions, market economics, infrastructure operations, and transaction costs – within two independent organizational settings. By applying Partial Least Squares Structural Equation Modeling (PLS-SEM), the study ensured a robust assessment of both measurement quality and causal relationships across complex, interdependent constructs.</w:t>
      </w:r>
    </w:p>
    <w:p w14:paraId="4B28F632" w14:textId="77777777"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To harmonize scale differences and reduce skewness inherent in financial and operational datasets, all numerical variables were transformed using the natural logarithm (LN). The final dataset comprised 120 observations and 31 indicators, derived from audited financial statements, historical trading activity, and regulatory transparency disclosures. This representation of archival data enabled the model to capture structural patterns in the cost dynamics of the ABC Group and XYZ Group over time.</w:t>
      </w:r>
    </w:p>
    <w:p w14:paraId="7D79C01D" w14:textId="77777777"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initial model estimation employed the standard PLS algorithm with the path weighting scheme, using default initialization parameters and standardized latent variable scores. Reliability and parameter stability were evaluated through a bootstrapping procedure with 5,000 replications, executed in parallel mode. Bias-corrected and accelerated (</w:t>
      </w:r>
      <w:proofErr w:type="spellStart"/>
      <w:r w:rsidRPr="00E121F4">
        <w:rPr>
          <w:rFonts w:ascii="Arial" w:hAnsi="Arial" w:cs="Arial"/>
          <w:b w:val="0"/>
          <w:caps w:val="0"/>
          <w:color w:val="000000" w:themeColor="text1"/>
          <w:sz w:val="20"/>
        </w:rPr>
        <w:t>BCa</w:t>
      </w:r>
      <w:proofErr w:type="spellEnd"/>
      <w:r w:rsidRPr="00E121F4">
        <w:rPr>
          <w:rFonts w:ascii="Arial" w:hAnsi="Arial" w:cs="Arial"/>
          <w:b w:val="0"/>
          <w:caps w:val="0"/>
          <w:color w:val="000000" w:themeColor="text1"/>
          <w:sz w:val="20"/>
        </w:rPr>
        <w:t>) confidence intervals were generated, and two-tailed significance testing at the 5% threshold was applied using a fixed seed to ensure full reproducibility of results.</w:t>
      </w:r>
    </w:p>
    <w:p w14:paraId="42CC2494" w14:textId="71A87F1F"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Model assessment followed established PLS-SEM guidelines.</w:t>
      </w:r>
      <w:r w:rsidR="00F15C10" w:rsidRPr="00E121F4">
        <w:rPr>
          <w:rStyle w:val="FootnoteReference"/>
          <w:rFonts w:ascii="Arial" w:hAnsi="Arial" w:cs="Arial"/>
          <w:b w:val="0"/>
          <w:caps w:val="0"/>
          <w:color w:val="000000" w:themeColor="text1"/>
          <w:sz w:val="20"/>
        </w:rPr>
        <w:footnoteReference w:id="11"/>
      </w:r>
      <w:r w:rsidRPr="00E121F4">
        <w:rPr>
          <w:rFonts w:ascii="Arial" w:hAnsi="Arial" w:cs="Arial"/>
          <w:b w:val="0"/>
          <w:caps w:val="0"/>
          <w:color w:val="000000" w:themeColor="text1"/>
          <w:sz w:val="20"/>
        </w:rPr>
        <w:t xml:space="preserve"> The measurement model was evaluated through inspection of outer loadings, outer weights, and indicator significance levels. Convergent and discriminant validity were assessed using conventional thresholds. The structural model was subsequently examined through path coefficients, associated T-statistics, and P-values. R</w:t>
      </w:r>
      <w:r w:rsidRPr="00E121F4">
        <w:rPr>
          <w:rFonts w:ascii="Arial" w:hAnsi="Arial" w:cs="Arial"/>
          <w:b w:val="0"/>
          <w:caps w:val="0"/>
          <w:color w:val="000000" w:themeColor="text1"/>
          <w:sz w:val="20"/>
          <w:vertAlign w:val="superscript"/>
        </w:rPr>
        <w:t>2</w:t>
      </w:r>
      <w:r w:rsidRPr="00E121F4">
        <w:rPr>
          <w:rFonts w:ascii="Arial" w:hAnsi="Arial" w:cs="Arial"/>
          <w:b w:val="0"/>
          <w:caps w:val="0"/>
          <w:color w:val="000000" w:themeColor="text1"/>
          <w:sz w:val="20"/>
        </w:rPr>
        <w:t xml:space="preserve"> estimates were used to evaluate the explanatory power of the latent constructs, providing insight into how well infrastructure operations and transaction costs were predicted within each organizational context.</w:t>
      </w:r>
    </w:p>
    <w:p w14:paraId="2CA407FA" w14:textId="77777777"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 xml:space="preserve">To compare structural differences between the two stock exchange organizations, a permutation-based Multi-Group Analysis (MGA) with 10,000 permutations was conducted. This procedure enabled a statistically rigorous comparison of path coefficients across the ABC </w:t>
      </w:r>
      <w:r w:rsidRPr="00E121F4">
        <w:rPr>
          <w:rFonts w:ascii="Arial" w:hAnsi="Arial" w:cs="Arial"/>
          <w:b w:val="0"/>
          <w:caps w:val="0"/>
          <w:color w:val="000000" w:themeColor="text1"/>
          <w:sz w:val="20"/>
        </w:rPr>
        <w:lastRenderedPageBreak/>
        <w:t>Group and XYZ Group, ensuring that detected differences in regulatory impact, operational efficiency, and market responsiveness were not attributable to sampling variability.</w:t>
      </w:r>
    </w:p>
    <w:p w14:paraId="406B79D2" w14:textId="1491A496" w:rsidR="00213158" w:rsidRPr="00E121F4" w:rsidRDefault="00213158" w:rsidP="00213158">
      <w:pPr>
        <w:pStyle w:val="AbstHead"/>
        <w:spacing w:after="0"/>
        <w:jc w:val="both"/>
        <w:rPr>
          <w:rFonts w:ascii="Arial" w:hAnsi="Arial" w:cs="Arial"/>
          <w:b w:val="0"/>
          <w:caps w:val="0"/>
          <w:color w:val="000000" w:themeColor="text1"/>
          <w:sz w:val="20"/>
        </w:rPr>
      </w:pPr>
      <w:r w:rsidRPr="00E121F4">
        <w:rPr>
          <w:rFonts w:ascii="Arial" w:hAnsi="Arial" w:cs="Arial"/>
          <w:b w:val="0"/>
          <w:caps w:val="0"/>
          <w:color w:val="000000" w:themeColor="text1"/>
          <w:sz w:val="20"/>
        </w:rPr>
        <w:t>Together, these methodological steps provide a comprehensive and replicable analytical framework for examining how regulatory reforms shape the transaction cost structures and operational behavior of European financial market infrastructures.</w:t>
      </w:r>
    </w:p>
    <w:p w14:paraId="7B61438C" w14:textId="77777777" w:rsidR="00FD78CB" w:rsidRPr="00E121F4" w:rsidRDefault="00FD78CB" w:rsidP="00FD78CB">
      <w:pPr>
        <w:pStyle w:val="Body"/>
        <w:spacing w:after="0"/>
        <w:rPr>
          <w:rFonts w:ascii="Arial" w:hAnsi="Arial" w:cs="Arial"/>
          <w:b/>
          <w:color w:val="000000" w:themeColor="text1"/>
          <w:szCs w:val="16"/>
        </w:rPr>
      </w:pPr>
    </w:p>
    <w:p w14:paraId="5D693909" w14:textId="77777777"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2.1 Research process</w:t>
      </w:r>
    </w:p>
    <w:p w14:paraId="28BDECC1" w14:textId="77777777" w:rsidR="00FD78CB" w:rsidRPr="00E121F4" w:rsidRDefault="00FD78CB" w:rsidP="00FD78CB">
      <w:pPr>
        <w:pStyle w:val="Body"/>
        <w:spacing w:after="0"/>
        <w:rPr>
          <w:rFonts w:ascii="Arial" w:hAnsi="Arial" w:cs="Arial"/>
          <w:color w:val="000000" w:themeColor="text1"/>
        </w:rPr>
      </w:pPr>
    </w:p>
    <w:p w14:paraId="09CCA84A" w14:textId="5AF6CAB3" w:rsidR="000863C9" w:rsidRPr="00E121F4" w:rsidRDefault="000863C9" w:rsidP="00FD78CB">
      <w:pPr>
        <w:pStyle w:val="Body"/>
        <w:rPr>
          <w:rFonts w:ascii="Arial" w:hAnsi="Arial" w:cs="Arial"/>
          <w:color w:val="000000" w:themeColor="text1"/>
        </w:rPr>
      </w:pPr>
      <w:r w:rsidRPr="00E121F4">
        <w:rPr>
          <w:rFonts w:ascii="Arial" w:hAnsi="Arial" w:cs="Arial"/>
          <w:color w:val="000000" w:themeColor="text1"/>
        </w:rPr>
        <w:t>The research process was designed as a multi-stage inquiry beginning with an in-depth examination of the existing academic literature on transaction cost economics, financial market infrastructures, and the organizational structures of stock exchanges. A systematic literature review framework was applied to identify relevant theoretical and empirical contributions. Out of an initial pool of 52,180 records, a total of 77 peer-reviewed publications dated between 1998 and 2023 were screened and retained based on predefined inclusion criteria.</w:t>
      </w:r>
      <w:r w:rsidRPr="00E121F4">
        <w:rPr>
          <w:rStyle w:val="FootnoteReference"/>
          <w:rFonts w:ascii="Arial" w:hAnsi="Arial" w:cs="Arial"/>
          <w:color w:val="000000" w:themeColor="text1"/>
        </w:rPr>
        <w:footnoteReference w:id="12"/>
      </w:r>
      <w:r w:rsidRPr="00E121F4">
        <w:rPr>
          <w:rFonts w:ascii="Arial" w:hAnsi="Arial" w:cs="Arial"/>
          <w:color w:val="000000" w:themeColor="text1"/>
        </w:rPr>
        <w:t xml:space="preserve"> This review also incorporated an analysis of the evolving regulatory environment, with particular attention to European policy developments that influence transaction cost structures and operational behavior within financial market infrastructures.</w:t>
      </w:r>
      <w:r w:rsidRPr="00E121F4">
        <w:rPr>
          <w:rStyle w:val="FootnoteReference"/>
          <w:rFonts w:ascii="Arial" w:hAnsi="Arial" w:cs="Arial"/>
          <w:color w:val="000000" w:themeColor="text1"/>
        </w:rPr>
        <w:footnoteReference w:id="13"/>
      </w:r>
    </w:p>
    <w:p w14:paraId="5C759025" w14:textId="0FA41A84" w:rsidR="000863C9" w:rsidRPr="00E121F4" w:rsidRDefault="000863C9" w:rsidP="00FD78CB">
      <w:pPr>
        <w:pStyle w:val="Body"/>
        <w:rPr>
          <w:rFonts w:ascii="Arial" w:hAnsi="Arial" w:cs="Arial"/>
          <w:color w:val="000000" w:themeColor="text1"/>
        </w:rPr>
      </w:pPr>
      <w:r w:rsidRPr="00E121F4">
        <w:rPr>
          <w:rFonts w:ascii="Arial" w:hAnsi="Arial" w:cs="Arial"/>
          <w:color w:val="000000" w:themeColor="text1"/>
        </w:rPr>
        <w:t>Building on the theoretical foundations of the study, a conceptual framework – referred to as the Transaction Cost Economics in Financial Market Infrastructures (TCE-FMI) model – was formulated to analyze the relationships between transaction costs, market structures, and regulatory change in a systematic manner. Guided by this framework, an extensive dataset was assembled using audited annual financial reports, historical and contemporary trading statistics, and factbooks produced by stock exchange organizations and industry associations. The database further incorporates archival documentation, including secondary market reports, historical corporate information, and past listings of regulated markets, covering the observation period from 2012 to 2023. Together, these secondary and archival sources provide the empirical foundation for the subsequent analysis.</w:t>
      </w:r>
      <w:r w:rsidRPr="00E121F4">
        <w:rPr>
          <w:rStyle w:val="FootnoteReference"/>
          <w:rFonts w:ascii="Arial" w:hAnsi="Arial" w:cs="Arial"/>
          <w:color w:val="000000" w:themeColor="text1"/>
        </w:rPr>
        <w:t xml:space="preserve"> </w:t>
      </w:r>
      <w:r w:rsidRPr="00E121F4">
        <w:rPr>
          <w:rStyle w:val="FootnoteReference"/>
          <w:rFonts w:ascii="Arial" w:hAnsi="Arial" w:cs="Arial"/>
          <w:color w:val="000000" w:themeColor="text1"/>
        </w:rPr>
        <w:footnoteReference w:id="14"/>
      </w:r>
    </w:p>
    <w:p w14:paraId="39A71D17" w14:textId="13ADDFDE" w:rsidR="000863C9" w:rsidRPr="00E121F4" w:rsidRDefault="000863C9" w:rsidP="000863C9">
      <w:pPr>
        <w:pStyle w:val="Body"/>
        <w:rPr>
          <w:rFonts w:ascii="Arial" w:hAnsi="Arial" w:cs="Arial"/>
          <w:color w:val="000000" w:themeColor="text1"/>
        </w:rPr>
      </w:pPr>
      <w:r w:rsidRPr="00E121F4">
        <w:rPr>
          <w:rFonts w:ascii="Arial" w:hAnsi="Arial" w:cs="Arial"/>
          <w:color w:val="000000" w:themeColor="text1"/>
        </w:rPr>
        <w:t>To maintain research integrity, promote external validity, and comply with ethical standards, all institutional data were systematically anonymized to prevent any risk of disclosure or conflicts of interest. The anonymization procedure followed a structured, multi-step approach. First, all numerical variables were standardized through scaling and transformed using natural logarithms (LN) to ensure comparability across indicators and robustness in statistical estimation. Second, sensitive financial information was converted into anonymized ratios, safeguarding proprietary details while preserving analytical relevance. Third, data masking procedures – supported by resampling techniques such as permutation and bootstrapping – were applied to further obscure identifiable patterns without compromising the validity of the empirical tests.</w:t>
      </w:r>
    </w:p>
    <w:p w14:paraId="42EC1964" w14:textId="5B13D39F" w:rsidR="000863C9" w:rsidRPr="00E121F4" w:rsidRDefault="000863C9" w:rsidP="000863C9">
      <w:pPr>
        <w:pStyle w:val="Body"/>
        <w:spacing w:after="0"/>
        <w:rPr>
          <w:rFonts w:ascii="Arial" w:hAnsi="Arial" w:cs="Arial"/>
          <w:color w:val="000000" w:themeColor="text1"/>
        </w:rPr>
      </w:pPr>
      <w:r w:rsidRPr="00E121F4">
        <w:rPr>
          <w:rFonts w:ascii="Arial" w:hAnsi="Arial" w:cs="Arial"/>
          <w:color w:val="000000" w:themeColor="text1"/>
        </w:rPr>
        <w:t>After completing the empirical evaluation, the results were synthesized to derive conceptual and managerial implications. These interpretations contribute to a deeper understanding of transaction cost behavior, operational efficiency, and competitive dynamics within European financial market infrastructures.</w:t>
      </w:r>
    </w:p>
    <w:p w14:paraId="48D955B4" w14:textId="77777777" w:rsidR="00FD78CB" w:rsidRPr="00E121F4" w:rsidRDefault="00FD78CB" w:rsidP="00FD78CB">
      <w:pPr>
        <w:pStyle w:val="Body"/>
        <w:spacing w:after="0"/>
        <w:rPr>
          <w:rFonts w:ascii="Arial" w:hAnsi="Arial" w:cs="Arial"/>
          <w:color w:val="000000" w:themeColor="text1"/>
        </w:rPr>
      </w:pPr>
    </w:p>
    <w:p w14:paraId="54B9A731" w14:textId="241F90C3" w:rsidR="00FD78CB" w:rsidRPr="00E121F4" w:rsidRDefault="00FD78CB" w:rsidP="00FD78CB">
      <w:pPr>
        <w:pStyle w:val="Body"/>
        <w:spacing w:after="0"/>
        <w:rPr>
          <w:rFonts w:ascii="Arial" w:hAnsi="Arial" w:cs="Arial"/>
          <w:b/>
          <w:color w:val="000000" w:themeColor="text1"/>
        </w:rPr>
      </w:pPr>
      <w:r w:rsidRPr="00E121F4">
        <w:rPr>
          <w:rFonts w:ascii="Arial" w:hAnsi="Arial" w:cs="Arial"/>
          <w:b/>
          <w:color w:val="000000" w:themeColor="text1"/>
        </w:rPr>
        <w:t xml:space="preserve">2.2 </w:t>
      </w:r>
      <w:r w:rsidR="00575CFE" w:rsidRPr="00E121F4">
        <w:rPr>
          <w:rFonts w:ascii="Arial" w:hAnsi="Arial" w:cs="Arial"/>
          <w:b/>
          <w:color w:val="000000" w:themeColor="text1"/>
        </w:rPr>
        <w:t>Conceptual Foundation and Theoretical Research Design</w:t>
      </w:r>
    </w:p>
    <w:p w14:paraId="714FE39B" w14:textId="77777777" w:rsidR="00FD78CB" w:rsidRPr="00E121F4" w:rsidRDefault="00FD78CB" w:rsidP="00FD78CB">
      <w:pPr>
        <w:pStyle w:val="Body"/>
        <w:spacing w:after="0"/>
        <w:rPr>
          <w:rFonts w:ascii="Arial" w:hAnsi="Arial" w:cs="Arial"/>
          <w:color w:val="000000" w:themeColor="text1"/>
        </w:rPr>
      </w:pPr>
    </w:p>
    <w:p w14:paraId="34C9FA10" w14:textId="73625659"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lastRenderedPageBreak/>
        <w:t>The empirical design of this study builds on a theoretically grounded framework that integrates principles from Transaction Cost Economics (TCE) with the structural characteristics of European financial market infrastructures. To operationalize this framework, the analysis draws on a comprehensive set of secondary data sources, including audited financial statements, trading activity reports, industry factbooks, archival listings, and MiFID II transparency disclosures published by stock exchange organizations and relevant industry bodies. Together, these sources provide a robust empirical basis for investigating how market structure, operational processes, and trading intensity shape transaction cost dynamics.</w:t>
      </w:r>
      <w:r w:rsidR="00F15C10" w:rsidRPr="00E121F4">
        <w:rPr>
          <w:rStyle w:val="FootnoteReference"/>
          <w:rFonts w:ascii="Arial" w:hAnsi="Arial" w:cs="Arial"/>
          <w:color w:val="000000" w:themeColor="text1"/>
        </w:rPr>
        <w:footnoteReference w:id="15"/>
      </w:r>
    </w:p>
    <w:p w14:paraId="5A7B3E52" w14:textId="77777777"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The central theoretical model – Transaction Cost Economics in Financial Market Infrastructures (TCE-FMI) – is depicted in Figure 1. </w:t>
      </w:r>
    </w:p>
    <w:p w14:paraId="680DD6FE" w14:textId="77777777" w:rsidR="00575CFE" w:rsidRPr="00E121F4" w:rsidRDefault="00575CFE" w:rsidP="00575CFE">
      <w:pPr>
        <w:pStyle w:val="Body"/>
        <w:spacing w:after="0"/>
        <w:jc w:val="center"/>
        <w:rPr>
          <w:rFonts w:ascii="Arial" w:hAnsi="Arial" w:cs="Arial"/>
          <w:color w:val="000000" w:themeColor="text1"/>
        </w:rPr>
      </w:pPr>
      <w:r w:rsidRPr="00E121F4">
        <w:rPr>
          <w:noProof/>
          <w:color w:val="000000" w:themeColor="text1"/>
        </w:rPr>
        <w:drawing>
          <wp:inline distT="0" distB="0" distL="0" distR="0" wp14:anchorId="48653450" wp14:editId="6D94CC6F">
            <wp:extent cx="5212080" cy="2280920"/>
            <wp:effectExtent l="0" t="0" r="0" b="5080"/>
            <wp:docPr id="2115994269" name="Picture 1" descr="A diagram of a multi-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4269" name="Picture 1" descr="A diagram of a multi-group&#10;&#10;AI-generated content may be incorrect."/>
                    <pic:cNvPicPr/>
                  </pic:nvPicPr>
                  <pic:blipFill>
                    <a:blip r:embed="rId14"/>
                    <a:stretch>
                      <a:fillRect/>
                    </a:stretch>
                  </pic:blipFill>
                  <pic:spPr>
                    <a:xfrm>
                      <a:off x="0" y="0"/>
                      <a:ext cx="5212080" cy="2280920"/>
                    </a:xfrm>
                    <a:prstGeom prst="rect">
                      <a:avLst/>
                    </a:prstGeom>
                  </pic:spPr>
                </pic:pic>
              </a:graphicData>
            </a:graphic>
          </wp:inline>
        </w:drawing>
      </w:r>
    </w:p>
    <w:p w14:paraId="75FDB6F2" w14:textId="77777777" w:rsidR="00575CFE" w:rsidRPr="00E121F4" w:rsidRDefault="00575CFE" w:rsidP="00575CFE">
      <w:pPr>
        <w:pStyle w:val="Body"/>
        <w:spacing w:after="0"/>
        <w:jc w:val="center"/>
        <w:rPr>
          <w:rFonts w:ascii="Arial" w:hAnsi="Arial" w:cs="Arial"/>
          <w:color w:val="000000" w:themeColor="text1"/>
        </w:rPr>
      </w:pPr>
    </w:p>
    <w:p w14:paraId="2160589A" w14:textId="77777777" w:rsidR="00575CFE" w:rsidRPr="00E121F4" w:rsidRDefault="00575CFE" w:rsidP="00575CFE">
      <w:pPr>
        <w:pStyle w:val="Body"/>
        <w:spacing w:after="0"/>
        <w:jc w:val="center"/>
        <w:rPr>
          <w:rFonts w:ascii="Arial" w:hAnsi="Arial" w:cs="Arial"/>
          <w:b/>
          <w:bCs/>
          <w:color w:val="000000" w:themeColor="text1"/>
        </w:rPr>
      </w:pPr>
      <w:r w:rsidRPr="00E121F4">
        <w:rPr>
          <w:rFonts w:ascii="Arial" w:hAnsi="Arial" w:cs="Arial"/>
          <w:b/>
          <w:bCs/>
          <w:color w:val="000000" w:themeColor="text1"/>
        </w:rPr>
        <w:t xml:space="preserve"> </w:t>
      </w:r>
    </w:p>
    <w:p w14:paraId="0833DB00" w14:textId="77777777" w:rsidR="00575CFE" w:rsidRPr="00E121F4" w:rsidRDefault="00575CFE" w:rsidP="00575CFE">
      <w:pPr>
        <w:pStyle w:val="Body"/>
        <w:spacing w:after="0"/>
        <w:jc w:val="center"/>
        <w:rPr>
          <w:rFonts w:ascii="Arial" w:hAnsi="Arial" w:cs="Arial"/>
          <w:b/>
          <w:bCs/>
          <w:color w:val="000000" w:themeColor="text1"/>
        </w:rPr>
      </w:pPr>
      <w:r w:rsidRPr="00E121F4">
        <w:rPr>
          <w:rFonts w:ascii="Arial" w:hAnsi="Arial" w:cs="Arial"/>
          <w:b/>
          <w:bCs/>
          <w:color w:val="000000" w:themeColor="text1"/>
        </w:rPr>
        <w:t>Fig. 1 The Theoretical Research – TCE-FMI-Model</w:t>
      </w:r>
      <w:r w:rsidRPr="00E121F4">
        <w:rPr>
          <w:rStyle w:val="FootnoteReference"/>
          <w:rFonts w:ascii="Arial" w:hAnsi="Arial" w:cs="Arial"/>
          <w:b/>
          <w:bCs/>
          <w:color w:val="000000" w:themeColor="text1"/>
        </w:rPr>
        <w:footnoteReference w:id="16"/>
      </w:r>
    </w:p>
    <w:p w14:paraId="1C885C57" w14:textId="77777777" w:rsidR="00575CFE" w:rsidRPr="00E121F4" w:rsidRDefault="00575CFE" w:rsidP="00575CFE">
      <w:pPr>
        <w:pStyle w:val="Body"/>
        <w:rPr>
          <w:rFonts w:ascii="Arial" w:hAnsi="Arial" w:cs="Arial"/>
          <w:color w:val="000000" w:themeColor="text1"/>
        </w:rPr>
      </w:pPr>
    </w:p>
    <w:p w14:paraId="438B0284" w14:textId="4468A62C"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It conceptualizes transaction costs (Y) as the outcome of interactions among three key latent constructs: Infrastructure Transactions (X</w:t>
      </w:r>
      <w:r w:rsidRPr="00E121F4">
        <w:rPr>
          <w:rFonts w:ascii="Arial" w:hAnsi="Arial" w:cs="Arial"/>
          <w:color w:val="000000" w:themeColor="text1"/>
          <w:vertAlign w:val="subscript"/>
        </w:rPr>
        <w:t>1</w:t>
      </w:r>
      <w:r w:rsidRPr="00E121F4">
        <w:rPr>
          <w:rFonts w:ascii="Arial" w:hAnsi="Arial" w:cs="Arial"/>
          <w:color w:val="000000" w:themeColor="text1"/>
        </w:rPr>
        <w:t>), Market Economics (X</w:t>
      </w:r>
      <w:r w:rsidRPr="00E121F4">
        <w:rPr>
          <w:rFonts w:ascii="Arial" w:hAnsi="Arial" w:cs="Arial"/>
          <w:color w:val="000000" w:themeColor="text1"/>
          <w:vertAlign w:val="subscript"/>
        </w:rPr>
        <w:t>2</w:t>
      </w:r>
      <w:r w:rsidRPr="00E121F4">
        <w:rPr>
          <w:rFonts w:ascii="Arial" w:hAnsi="Arial" w:cs="Arial"/>
          <w:color w:val="000000" w:themeColor="text1"/>
        </w:rPr>
        <w:t>), and Infrastructure Operations (X</w:t>
      </w:r>
      <w:r w:rsidRPr="00E121F4">
        <w:rPr>
          <w:rFonts w:ascii="Arial" w:hAnsi="Arial" w:cs="Arial"/>
          <w:color w:val="000000" w:themeColor="text1"/>
          <w:vertAlign w:val="subscript"/>
        </w:rPr>
        <w:t>3</w:t>
      </w:r>
      <w:r w:rsidRPr="00E121F4">
        <w:rPr>
          <w:rFonts w:ascii="Arial" w:hAnsi="Arial" w:cs="Arial"/>
          <w:color w:val="000000" w:themeColor="text1"/>
        </w:rPr>
        <w:t>). The model also incorporates five directional hypotheses (H</w:t>
      </w:r>
      <w:r w:rsidRPr="00E121F4">
        <w:rPr>
          <w:rFonts w:ascii="Arial" w:hAnsi="Arial" w:cs="Arial"/>
          <w:color w:val="000000" w:themeColor="text1"/>
          <w:vertAlign w:val="subscript"/>
        </w:rPr>
        <w:t xml:space="preserve">1 </w:t>
      </w:r>
      <w:r w:rsidRPr="00E121F4">
        <w:rPr>
          <w:rFonts w:ascii="Arial" w:hAnsi="Arial" w:cs="Arial"/>
          <w:color w:val="000000" w:themeColor="text1"/>
        </w:rPr>
        <w:t>– H</w:t>
      </w:r>
      <w:r w:rsidRPr="00E121F4">
        <w:rPr>
          <w:rFonts w:ascii="Arial" w:hAnsi="Arial" w:cs="Arial"/>
          <w:color w:val="000000" w:themeColor="text1"/>
          <w:vertAlign w:val="subscript"/>
        </w:rPr>
        <w:t>5</w:t>
      </w:r>
      <w:r w:rsidRPr="00E121F4">
        <w:rPr>
          <w:rFonts w:ascii="Arial" w:hAnsi="Arial" w:cs="Arial"/>
          <w:color w:val="000000" w:themeColor="text1"/>
        </w:rPr>
        <w:t>), capturing how trading activity, economic scale, and internal cost structures jointly determine the cost of financial intermediation.</w:t>
      </w:r>
    </w:p>
    <w:p w14:paraId="46EC5F77" w14:textId="6FA7187D"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Infrastructure transactions (X</w:t>
      </w:r>
      <w:r w:rsidRPr="00E121F4">
        <w:rPr>
          <w:rFonts w:ascii="Arial" w:hAnsi="Arial" w:cs="Arial"/>
          <w:color w:val="000000" w:themeColor="text1"/>
          <w:vertAlign w:val="subscript"/>
        </w:rPr>
        <w:t>1</w:t>
      </w:r>
      <w:r w:rsidRPr="00E121F4">
        <w:rPr>
          <w:rFonts w:ascii="Arial" w:hAnsi="Arial" w:cs="Arial"/>
          <w:color w:val="000000" w:themeColor="text1"/>
        </w:rPr>
        <w:t>) represent the intensity of market activity, measured through electronic order book trading days, processed trades, and turnover across both EOB and off-order-book segments. This construct reflects the technological and operational load placed on the trading infrastructure.</w:t>
      </w:r>
    </w:p>
    <w:p w14:paraId="75172614" w14:textId="0465129A"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Market economics (X</w:t>
      </w:r>
      <w:r w:rsidRPr="00E121F4">
        <w:rPr>
          <w:rFonts w:ascii="Arial" w:hAnsi="Arial" w:cs="Arial"/>
          <w:color w:val="000000" w:themeColor="text1"/>
          <w:vertAlign w:val="subscript"/>
        </w:rPr>
        <w:t>2</w:t>
      </w:r>
      <w:r w:rsidRPr="00E121F4">
        <w:rPr>
          <w:rFonts w:ascii="Arial" w:hAnsi="Arial" w:cs="Arial"/>
          <w:color w:val="000000" w:themeColor="text1"/>
        </w:rPr>
        <w:t xml:space="preserve">) captures the broader economic environment in which financial market infrastructures operate. It includes aggregate indicators such as market capitalization and the </w:t>
      </w:r>
      <w:r w:rsidRPr="00E121F4">
        <w:rPr>
          <w:rFonts w:ascii="Arial" w:hAnsi="Arial" w:cs="Arial"/>
          <w:color w:val="000000" w:themeColor="text1"/>
        </w:rPr>
        <w:lastRenderedPageBreak/>
        <w:t>number of domestic, foreign, and total listings. These variables represent the scope, complexity, and economic significance of the market ecosystem.</w:t>
      </w:r>
    </w:p>
    <w:p w14:paraId="141CC2E8" w14:textId="358B70B2"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Infrastructure operations (X</w:t>
      </w:r>
      <w:r w:rsidRPr="00E121F4">
        <w:rPr>
          <w:rFonts w:ascii="Arial" w:hAnsi="Arial" w:cs="Arial"/>
          <w:color w:val="000000" w:themeColor="text1"/>
          <w:vertAlign w:val="subscript"/>
        </w:rPr>
        <w:t>3</w:t>
      </w:r>
      <w:r w:rsidRPr="00E121F4">
        <w:rPr>
          <w:rFonts w:ascii="Arial" w:hAnsi="Arial" w:cs="Arial"/>
          <w:color w:val="000000" w:themeColor="text1"/>
        </w:rPr>
        <w:t>) denote the internal resource and cost structures of financial market infrastructure providers, including personnel expenditures, other operating costs, depreciation, and amortization. This construct reflects the operational capacity and efficiency required to support trading, clearing, settlement, and data services.</w:t>
      </w:r>
    </w:p>
    <w:p w14:paraId="2E6DF880" w14:textId="79DB6B97"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In this framework, transaction costs (Y) are operationalized through revenue components associated with listing, trading, clearing, settlement, information, indices, and connectivity services. These revenues offer a measurable proxy for the cost burden borne by financial market participants.</w:t>
      </w:r>
    </w:p>
    <w:p w14:paraId="4BE32582" w14:textId="120BD721"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To further enrich the theoretical model, the study incorporates a Multi-Group Analysis (MGA) comparing two anonymized groups – ABC Group and XYZ Group – across two regulatory periods: pre-MiFID II and post-MiFID II. As illustrated in Figure 1, this design enables a systematic examination of how regulatory transformation and strategic positioning influence the relationships among the constructs. By comparing the structural model across groups and time periods, the analysis captures heterogeneous regulatory impacts and competitive adjustments in the European financial market infrastructure landscape.</w:t>
      </w:r>
    </w:p>
    <w:p w14:paraId="1B5C4D3F" w14:textId="6422D25A"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Overall, the integrated theoretical model provides a holistic analytical lens that links trading dynamics, economic scale, operational efficiency, and regulatory intervention to the formation of transaction costs. This framework supports a rigorous evaluation of how financial market infrastructures adapt to technological, economic, and regulatory change.</w:t>
      </w:r>
    </w:p>
    <w:p w14:paraId="4E62FC28" w14:textId="77777777" w:rsidR="00FD78CB" w:rsidRPr="00E121F4" w:rsidRDefault="00FD78CB" w:rsidP="00FD78CB">
      <w:pPr>
        <w:pStyle w:val="Body"/>
        <w:spacing w:after="0"/>
        <w:rPr>
          <w:rFonts w:ascii="Arial" w:hAnsi="Arial" w:cs="Arial"/>
          <w:color w:val="000000" w:themeColor="text1"/>
        </w:rPr>
      </w:pPr>
    </w:p>
    <w:p w14:paraId="467069EA" w14:textId="77777777" w:rsidR="00FD78CB" w:rsidRPr="00E121F4" w:rsidRDefault="00FD78CB" w:rsidP="00FD78CB">
      <w:pPr>
        <w:pStyle w:val="Head1"/>
        <w:spacing w:after="0"/>
        <w:jc w:val="both"/>
        <w:rPr>
          <w:rFonts w:ascii="Arial" w:hAnsi="Arial" w:cs="Arial"/>
          <w:color w:val="000000" w:themeColor="text1"/>
        </w:rPr>
      </w:pPr>
      <w:r w:rsidRPr="00E121F4">
        <w:rPr>
          <w:rFonts w:ascii="Arial" w:hAnsi="Arial" w:cs="Arial"/>
          <w:color w:val="000000" w:themeColor="text1"/>
        </w:rPr>
        <w:t>3. results and discussion</w:t>
      </w:r>
    </w:p>
    <w:p w14:paraId="619C189D" w14:textId="77777777" w:rsidR="00FD78CB" w:rsidRPr="00E121F4" w:rsidRDefault="00FD78CB" w:rsidP="00FD78CB">
      <w:pPr>
        <w:pStyle w:val="Body"/>
        <w:spacing w:after="0"/>
        <w:rPr>
          <w:rFonts w:ascii="Arial" w:hAnsi="Arial" w:cs="Arial"/>
          <w:color w:val="000000" w:themeColor="text1"/>
        </w:rPr>
      </w:pPr>
    </w:p>
    <w:p w14:paraId="3C691A60" w14:textId="488C98DE"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 xml:space="preserve">3.1 </w:t>
      </w:r>
      <w:r w:rsidR="00B56273" w:rsidRPr="00E121F4">
        <w:rPr>
          <w:rFonts w:ascii="Arial" w:hAnsi="Arial" w:cs="Arial"/>
          <w:b/>
          <w:bCs/>
          <w:color w:val="000000" w:themeColor="text1"/>
        </w:rPr>
        <w:t>Explanatory Power of the Structural Model (ABC vs. XYZ Group)</w:t>
      </w:r>
    </w:p>
    <w:p w14:paraId="27259876" w14:textId="77777777" w:rsidR="00FD78CB" w:rsidRPr="00E121F4" w:rsidRDefault="00FD78CB" w:rsidP="00FD78CB">
      <w:pPr>
        <w:pStyle w:val="Body"/>
        <w:spacing w:after="0"/>
        <w:rPr>
          <w:rFonts w:ascii="Arial" w:hAnsi="Arial" w:cs="Arial"/>
          <w:color w:val="000000" w:themeColor="text1"/>
        </w:rPr>
      </w:pPr>
    </w:p>
    <w:p w14:paraId="2E3B3AA3" w14:textId="77777777"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The explanatory power of the Transaction Cost Economics in Financial Market Infrastructures (TCE-FMI) model was evaluated through the coefficient of determination (R²), which reflects the extent to which the exogenous latent constructs account for the variance in the endogenous variables. A comparison between the ABC Group and the XYZ Group reveals substantial differences in how transaction costs and infrastructure operations are structurally determined within each organization.</w:t>
      </w:r>
    </w:p>
    <w:p w14:paraId="314559CE" w14:textId="1002CFEB"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For the ABC Group, the model yields a high R</w:t>
      </w:r>
      <w:r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t</w:t>
      </w:r>
      <w:r w:rsidRPr="00E121F4">
        <w:rPr>
          <w:rFonts w:ascii="Arial" w:hAnsi="Arial" w:cs="Arial"/>
          <w:color w:val="000000" w:themeColor="text1"/>
        </w:rPr>
        <w:t xml:space="preserve">ransaction </w:t>
      </w:r>
      <w:r w:rsidR="008640D9" w:rsidRPr="00E121F4">
        <w:rPr>
          <w:rFonts w:ascii="Arial" w:hAnsi="Arial" w:cs="Arial"/>
          <w:color w:val="000000" w:themeColor="text1"/>
        </w:rPr>
        <w:t>c</w:t>
      </w:r>
      <w:r w:rsidRPr="00E121F4">
        <w:rPr>
          <w:rFonts w:ascii="Arial" w:hAnsi="Arial" w:cs="Arial"/>
          <w:color w:val="000000" w:themeColor="text1"/>
        </w:rPr>
        <w:t>osts (0.960), indicating that the combined influence of infrastructure transactions, infrastructure operations, and market economics explains 96</w:t>
      </w:r>
      <w:r w:rsidR="008640D9" w:rsidRPr="00E121F4">
        <w:rPr>
          <w:rFonts w:ascii="Arial" w:hAnsi="Arial" w:cs="Arial"/>
          <w:color w:val="000000" w:themeColor="text1"/>
        </w:rPr>
        <w:t>.0</w:t>
      </w:r>
      <w:r w:rsidRPr="00E121F4">
        <w:rPr>
          <w:rFonts w:ascii="Arial" w:hAnsi="Arial" w:cs="Arial"/>
          <w:color w:val="000000" w:themeColor="text1"/>
        </w:rPr>
        <w:t>% of the variance in transaction costs. This exceptionally strong explanatory power suggests that ABC Group's cost structure is highly integrated with, and responsive to, operational and market-driven dynamics. Similarly, the R</w:t>
      </w:r>
      <w:r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i</w:t>
      </w:r>
      <w:r w:rsidRPr="00E121F4">
        <w:rPr>
          <w:rFonts w:ascii="Arial" w:hAnsi="Arial" w:cs="Arial"/>
          <w:color w:val="000000" w:themeColor="text1"/>
        </w:rPr>
        <w:t xml:space="preserve">nfrastructure </w:t>
      </w:r>
      <w:r w:rsidR="008640D9" w:rsidRPr="00E121F4">
        <w:rPr>
          <w:rFonts w:ascii="Arial" w:hAnsi="Arial" w:cs="Arial"/>
          <w:color w:val="000000" w:themeColor="text1"/>
        </w:rPr>
        <w:t>o</w:t>
      </w:r>
      <w:r w:rsidRPr="00E121F4">
        <w:rPr>
          <w:rFonts w:ascii="Arial" w:hAnsi="Arial" w:cs="Arial"/>
          <w:color w:val="000000" w:themeColor="text1"/>
        </w:rPr>
        <w:t>perations (0.919) shows that over 91</w:t>
      </w:r>
      <w:r w:rsidR="008640D9" w:rsidRPr="00E121F4">
        <w:rPr>
          <w:rFonts w:ascii="Arial" w:hAnsi="Arial" w:cs="Arial"/>
          <w:color w:val="000000" w:themeColor="text1"/>
        </w:rPr>
        <w:t>.9</w:t>
      </w:r>
      <w:r w:rsidRPr="00E121F4">
        <w:rPr>
          <w:rFonts w:ascii="Arial" w:hAnsi="Arial" w:cs="Arial"/>
          <w:color w:val="000000" w:themeColor="text1"/>
        </w:rPr>
        <w:t>% of its variance is accounted for by infrastructure transactions and market economics, highlighting a tightly coupled operational system where internal resource allocation and market development move in parallel.</w:t>
      </w:r>
    </w:p>
    <w:p w14:paraId="4C92FE77" w14:textId="260B71F0"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In contrast, the XYZ Group displays markedly lower explanatory power. The R</w:t>
      </w:r>
      <w:r w:rsidR="008640D9"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t</w:t>
      </w:r>
      <w:r w:rsidRPr="00E121F4">
        <w:rPr>
          <w:rFonts w:ascii="Arial" w:hAnsi="Arial" w:cs="Arial"/>
          <w:color w:val="000000" w:themeColor="text1"/>
        </w:rPr>
        <w:t xml:space="preserve">ransaction </w:t>
      </w:r>
      <w:r w:rsidR="008640D9" w:rsidRPr="00E121F4">
        <w:rPr>
          <w:rFonts w:ascii="Arial" w:hAnsi="Arial" w:cs="Arial"/>
          <w:color w:val="000000" w:themeColor="text1"/>
        </w:rPr>
        <w:t>c</w:t>
      </w:r>
      <w:r w:rsidRPr="00E121F4">
        <w:rPr>
          <w:rFonts w:ascii="Arial" w:hAnsi="Arial" w:cs="Arial"/>
          <w:color w:val="000000" w:themeColor="text1"/>
        </w:rPr>
        <w:t>osts is 0.990, which</w:t>
      </w:r>
      <w:r w:rsidR="008640D9" w:rsidRPr="00E121F4">
        <w:rPr>
          <w:rFonts w:ascii="Arial" w:hAnsi="Arial" w:cs="Arial"/>
          <w:color w:val="000000" w:themeColor="text1"/>
        </w:rPr>
        <w:t xml:space="preserve"> – </w:t>
      </w:r>
      <w:r w:rsidRPr="00E121F4">
        <w:rPr>
          <w:rFonts w:ascii="Arial" w:hAnsi="Arial" w:cs="Arial"/>
          <w:color w:val="000000" w:themeColor="text1"/>
        </w:rPr>
        <w:t>although numerically high</w:t>
      </w:r>
      <w:r w:rsidR="008640D9" w:rsidRPr="00E121F4">
        <w:rPr>
          <w:rFonts w:ascii="Arial" w:hAnsi="Arial" w:cs="Arial"/>
          <w:color w:val="000000" w:themeColor="text1"/>
        </w:rPr>
        <w:t xml:space="preserve"> – </w:t>
      </w:r>
      <w:r w:rsidRPr="00E121F4">
        <w:rPr>
          <w:rFonts w:ascii="Arial" w:hAnsi="Arial" w:cs="Arial"/>
          <w:color w:val="000000" w:themeColor="text1"/>
        </w:rPr>
        <w:t xml:space="preserve">must be interpreted in light of the underlying path coefficients. The negative and attenuated relationships found in XYZ's structural model suggest that variance in transaction costs is driven less by traditional trading- and listing-related activities and more by strategic repositioning toward </w:t>
      </w:r>
      <w:r w:rsidR="008640D9" w:rsidRPr="00E121F4">
        <w:rPr>
          <w:rFonts w:ascii="Arial" w:hAnsi="Arial" w:cs="Arial"/>
          <w:color w:val="000000" w:themeColor="text1"/>
        </w:rPr>
        <w:t>analytical</w:t>
      </w:r>
      <w:r w:rsidRPr="00E121F4">
        <w:rPr>
          <w:rFonts w:ascii="Arial" w:hAnsi="Arial" w:cs="Arial"/>
          <w:color w:val="000000" w:themeColor="text1"/>
        </w:rPr>
        <w:t>-rich, information-driven service</w:t>
      </w:r>
      <w:r w:rsidR="008640D9" w:rsidRPr="00E121F4">
        <w:rPr>
          <w:rFonts w:ascii="Arial" w:hAnsi="Arial" w:cs="Arial"/>
          <w:color w:val="000000" w:themeColor="text1"/>
        </w:rPr>
        <w:t>s</w:t>
      </w:r>
      <w:r w:rsidRPr="00E121F4">
        <w:rPr>
          <w:rFonts w:ascii="Arial" w:hAnsi="Arial" w:cs="Arial"/>
          <w:color w:val="000000" w:themeColor="text1"/>
        </w:rPr>
        <w:t>. The R</w:t>
      </w:r>
      <w:r w:rsidR="008640D9" w:rsidRPr="00E121F4">
        <w:rPr>
          <w:rFonts w:ascii="Arial" w:hAnsi="Arial" w:cs="Arial"/>
          <w:color w:val="000000" w:themeColor="text1"/>
          <w:vertAlign w:val="superscript"/>
        </w:rPr>
        <w:t>2</w:t>
      </w:r>
      <w:r w:rsidR="008640D9" w:rsidRPr="00E121F4">
        <w:rPr>
          <w:rFonts w:ascii="Arial" w:hAnsi="Arial" w:cs="Arial"/>
          <w:color w:val="000000" w:themeColor="text1"/>
        </w:rPr>
        <w:t xml:space="preserve"> </w:t>
      </w:r>
      <w:r w:rsidRPr="00E121F4">
        <w:rPr>
          <w:rFonts w:ascii="Arial" w:hAnsi="Arial" w:cs="Arial"/>
          <w:color w:val="000000" w:themeColor="text1"/>
        </w:rPr>
        <w:t xml:space="preserve">for </w:t>
      </w:r>
      <w:r w:rsidR="008640D9" w:rsidRPr="00E121F4">
        <w:rPr>
          <w:rFonts w:ascii="Arial" w:hAnsi="Arial" w:cs="Arial"/>
          <w:color w:val="000000" w:themeColor="text1"/>
        </w:rPr>
        <w:t>i</w:t>
      </w:r>
      <w:r w:rsidRPr="00E121F4">
        <w:rPr>
          <w:rFonts w:ascii="Arial" w:hAnsi="Arial" w:cs="Arial"/>
          <w:color w:val="000000" w:themeColor="text1"/>
        </w:rPr>
        <w:t xml:space="preserve">nfrastructure </w:t>
      </w:r>
      <w:r w:rsidR="008640D9" w:rsidRPr="00E121F4">
        <w:rPr>
          <w:rFonts w:ascii="Arial" w:hAnsi="Arial" w:cs="Arial"/>
          <w:color w:val="000000" w:themeColor="text1"/>
        </w:rPr>
        <w:t>o</w:t>
      </w:r>
      <w:r w:rsidRPr="00E121F4">
        <w:rPr>
          <w:rFonts w:ascii="Arial" w:hAnsi="Arial" w:cs="Arial"/>
          <w:color w:val="000000" w:themeColor="text1"/>
        </w:rPr>
        <w:t xml:space="preserve">perations (0.719) confirms this </w:t>
      </w:r>
      <w:r w:rsidRPr="00E121F4">
        <w:rPr>
          <w:rFonts w:ascii="Arial" w:hAnsi="Arial" w:cs="Arial"/>
          <w:color w:val="000000" w:themeColor="text1"/>
        </w:rPr>
        <w:lastRenderedPageBreak/>
        <w:t>development: 7</w:t>
      </w:r>
      <w:r w:rsidR="008640D9" w:rsidRPr="00E121F4">
        <w:rPr>
          <w:rFonts w:ascii="Arial" w:hAnsi="Arial" w:cs="Arial"/>
          <w:color w:val="000000" w:themeColor="text1"/>
        </w:rPr>
        <w:t>1.9</w:t>
      </w:r>
      <w:r w:rsidRPr="00E121F4">
        <w:rPr>
          <w:rFonts w:ascii="Arial" w:hAnsi="Arial" w:cs="Arial"/>
          <w:color w:val="000000" w:themeColor="text1"/>
        </w:rPr>
        <w:t>% of the variance is explained by the model, indicating a looser coupling between operational cost structures and market variables compared with ABC Group.</w:t>
      </w:r>
    </w:p>
    <w:p w14:paraId="377BB713" w14:textId="1B0B8EB1" w:rsidR="00B56273" w:rsidRPr="00E121F4" w:rsidRDefault="00B56273" w:rsidP="00B56273">
      <w:pPr>
        <w:pStyle w:val="Body"/>
        <w:spacing w:after="0"/>
        <w:rPr>
          <w:rFonts w:ascii="Arial" w:hAnsi="Arial" w:cs="Arial"/>
          <w:color w:val="000000" w:themeColor="text1"/>
        </w:rPr>
      </w:pPr>
      <w:r w:rsidRPr="00E121F4">
        <w:rPr>
          <w:rFonts w:ascii="Arial" w:hAnsi="Arial" w:cs="Arial"/>
          <w:color w:val="000000" w:themeColor="text1"/>
        </w:rPr>
        <w:t>Overall, the strong explanatory power for ABC Group reflects a traditional, transaction-volume-oriented business model where operating costs, trading activity, and market size remain deeply interconnected. For XYZ Group, the comparatively lower R</w:t>
      </w:r>
      <w:r w:rsidR="008640D9" w:rsidRPr="00E121F4">
        <w:rPr>
          <w:rFonts w:ascii="Arial" w:hAnsi="Arial" w:cs="Arial"/>
          <w:color w:val="000000" w:themeColor="text1"/>
          <w:vertAlign w:val="superscript"/>
        </w:rPr>
        <w:t>2</w:t>
      </w:r>
      <w:r w:rsidR="008640D9" w:rsidRPr="00E121F4">
        <w:rPr>
          <w:rFonts w:ascii="Arial" w:hAnsi="Arial" w:cs="Arial"/>
          <w:color w:val="000000" w:themeColor="text1"/>
        </w:rPr>
        <w:t xml:space="preserve"> – </w:t>
      </w:r>
      <w:r w:rsidRPr="00E121F4">
        <w:rPr>
          <w:rFonts w:ascii="Arial" w:hAnsi="Arial" w:cs="Arial"/>
          <w:color w:val="000000" w:themeColor="text1"/>
        </w:rPr>
        <w:t>particularly for infrastructure operations</w:t>
      </w:r>
      <w:r w:rsidR="008640D9" w:rsidRPr="00E121F4">
        <w:rPr>
          <w:rFonts w:ascii="Arial" w:hAnsi="Arial" w:cs="Arial"/>
          <w:color w:val="000000" w:themeColor="text1"/>
        </w:rPr>
        <w:t xml:space="preserve"> – </w:t>
      </w:r>
      <w:r w:rsidRPr="00E121F4">
        <w:rPr>
          <w:rFonts w:ascii="Arial" w:hAnsi="Arial" w:cs="Arial"/>
          <w:color w:val="000000" w:themeColor="text1"/>
        </w:rPr>
        <w:t xml:space="preserve">signals an advanced transformation of the business model. Its operational activities appear less dependent on transaction throughput and more influenced by internal strategic realignment, technology investment cycles, and </w:t>
      </w:r>
      <w:r w:rsidR="008640D9" w:rsidRPr="00E121F4">
        <w:rPr>
          <w:rFonts w:ascii="Arial" w:hAnsi="Arial" w:cs="Arial"/>
          <w:color w:val="000000" w:themeColor="text1"/>
        </w:rPr>
        <w:t>information</w:t>
      </w:r>
      <w:r w:rsidRPr="00E121F4">
        <w:rPr>
          <w:rFonts w:ascii="Arial" w:hAnsi="Arial" w:cs="Arial"/>
          <w:color w:val="000000" w:themeColor="text1"/>
        </w:rPr>
        <w:t>-centric value creation. These divergent patterns of explanatory power capture the evolving competitive logic of European financial market infrastructures and provide a structural basis for the differences later observed in the multi-group analysis.</w:t>
      </w:r>
    </w:p>
    <w:p w14:paraId="6A75DA3E" w14:textId="7B0BCB69" w:rsidR="00FD78CB" w:rsidRPr="00E121F4" w:rsidRDefault="00FD78CB" w:rsidP="00FD78CB">
      <w:pPr>
        <w:pStyle w:val="Body"/>
        <w:spacing w:after="0"/>
        <w:rPr>
          <w:rFonts w:ascii="Arial" w:hAnsi="Arial" w:cs="Arial"/>
          <w:color w:val="000000" w:themeColor="text1"/>
        </w:rPr>
      </w:pPr>
    </w:p>
    <w:p w14:paraId="7B0081F1" w14:textId="754E396C"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3.2 Relationship Between Variable Constructs (</w:t>
      </w:r>
      <w:r w:rsidR="00721374" w:rsidRPr="00E121F4">
        <w:rPr>
          <w:rFonts w:ascii="Arial" w:hAnsi="Arial" w:cs="Arial"/>
          <w:b/>
          <w:bCs/>
          <w:color w:val="000000" w:themeColor="text1"/>
        </w:rPr>
        <w:t>ABC</w:t>
      </w:r>
      <w:r w:rsidRPr="00E121F4">
        <w:rPr>
          <w:rFonts w:ascii="Arial" w:hAnsi="Arial" w:cs="Arial"/>
          <w:b/>
          <w:bCs/>
          <w:color w:val="000000" w:themeColor="text1"/>
        </w:rPr>
        <w:t>)</w:t>
      </w:r>
    </w:p>
    <w:p w14:paraId="5D85FA01" w14:textId="77777777" w:rsidR="00FD78CB" w:rsidRPr="00E121F4" w:rsidRDefault="00FD78CB" w:rsidP="00FD78CB">
      <w:pPr>
        <w:pStyle w:val="Body"/>
        <w:spacing w:after="0"/>
        <w:rPr>
          <w:rFonts w:ascii="Arial" w:hAnsi="Arial" w:cs="Arial"/>
          <w:color w:val="000000" w:themeColor="text1"/>
        </w:rPr>
      </w:pPr>
    </w:p>
    <w:p w14:paraId="7F095EBC" w14:textId="276D7ACF"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structural model for the ABC Group reveals a clear pattern in how transactional activity, operational structures, and market conditions interact to shape transaction cost formation. The model contains five structural paths, each reflecting a different channel through which trading activity and market scale influence operational intensity and cost outcomes.</w:t>
      </w:r>
    </w:p>
    <w:p w14:paraId="25845AE5" w14:textId="42D6039C"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t>3.2.1 Structural Path Relationships (β)</w:t>
      </w:r>
    </w:p>
    <w:p w14:paraId="619FBBC3" w14:textId="214736B2"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strongest relationship in the ABC Group model is the effect of infrastructure transactions on transaction costs (β = 0.726). This indicates that ABC Group’s transaction costs are highly sensitive to variations in trading activity, particularly electronic order-book (EOB) trades, turnover, and off-order-book volumes. The magnitude of this coefficient suggests that transaction-driven revenue streams remain an important element of ABC’s business model.</w:t>
      </w:r>
    </w:p>
    <w:p w14:paraId="47F30700" w14:textId="450565B7"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In contrast, the direct effect of infrastructure operations on transaction costs is comparatively small (β = 0.082). Although operations are traditionally central to cost structures in financial market infrastructures, this low coefficient suggests that for ABC Group, operational expenditures are not the dominant direct explanation for observed transaction cost outcomes. Instead, operational factors may contribute indirectly or be monetized through non-transaction categories.</w:t>
      </w:r>
    </w:p>
    <w:p w14:paraId="516058B3" w14:textId="5F6165B6"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Market economics – capturing market capitalization and listing activity – also exhibit a moderate direct effect on transaction costs (β = 0.362). Larger, more active markets appear to generate higher levels of fee-based revenues, likely through listing services, data/information products, and connectivity.</w:t>
      </w:r>
    </w:p>
    <w:p w14:paraId="0BD07266" w14:textId="2C3BB495"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On the operational side, both exogenous constructs exert meaningful influence. Market economics on infrastructure operations (β = 0.519) demonstrates that growth in capitalization and the number of listed companies increases operational workload, particularly in issuer services, surveillance, regulatory compliance, and data processing.</w:t>
      </w:r>
    </w:p>
    <w:p w14:paraId="56C16B06" w14:textId="764DE804"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At the same time, infrastructure transactions on infrastructure operations (β = 0.668) confirms that trading activity directly increases resource requirements for </w:t>
      </w:r>
      <w:r w:rsidR="0007400E" w:rsidRPr="00E121F4">
        <w:rPr>
          <w:rFonts w:ascii="Arial" w:hAnsi="Arial" w:cs="Arial"/>
          <w:color w:val="000000" w:themeColor="text1"/>
        </w:rPr>
        <w:t xml:space="preserve">e.g. </w:t>
      </w:r>
      <w:r w:rsidRPr="00E121F4">
        <w:rPr>
          <w:rFonts w:ascii="Arial" w:hAnsi="Arial" w:cs="Arial"/>
          <w:color w:val="000000" w:themeColor="text1"/>
        </w:rPr>
        <w:t>clearing, settlement, and related support services.</w:t>
      </w:r>
      <w:r w:rsidR="0007400E" w:rsidRPr="00E121F4">
        <w:rPr>
          <w:rFonts w:ascii="Arial" w:hAnsi="Arial" w:cs="Arial"/>
          <w:color w:val="000000" w:themeColor="text1"/>
        </w:rPr>
        <w:t xml:space="preserve"> </w:t>
      </w:r>
    </w:p>
    <w:p w14:paraId="5533B951" w14:textId="77777777"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Taken together, these results show that ABC Group exhibits a dual-channel mechanism: trading activity and market dynamics both raise operational intensity, while trading activity is the primary direct driver of transaction-cost revenues.</w:t>
      </w:r>
    </w:p>
    <w:p w14:paraId="3C594718" w14:textId="77777777"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lastRenderedPageBreak/>
        <w:t>3.2.2 Measurement Model: Indicator Loadings</w:t>
      </w:r>
    </w:p>
    <w:p w14:paraId="272C35DF" w14:textId="317CC2E3"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outer loadings confirm that the indicators reliably capture their respective latent constructs.</w:t>
      </w:r>
      <w:r w:rsidR="0007400E" w:rsidRPr="00E121F4">
        <w:rPr>
          <w:rFonts w:ascii="Arial" w:hAnsi="Arial" w:cs="Arial"/>
          <w:color w:val="000000" w:themeColor="text1"/>
        </w:rPr>
        <w:t xml:space="preserve"> </w:t>
      </w:r>
      <w:r w:rsidRPr="00E121F4">
        <w:rPr>
          <w:rFonts w:ascii="Arial" w:hAnsi="Arial" w:cs="Arial"/>
          <w:color w:val="000000" w:themeColor="text1"/>
        </w:rPr>
        <w:t xml:space="preserve">Transaction </w:t>
      </w:r>
      <w:r w:rsidR="0007400E" w:rsidRPr="00E121F4">
        <w:rPr>
          <w:rFonts w:ascii="Arial" w:hAnsi="Arial" w:cs="Arial"/>
          <w:color w:val="000000" w:themeColor="text1"/>
        </w:rPr>
        <w:t>c</w:t>
      </w:r>
      <w:r w:rsidRPr="00E121F4">
        <w:rPr>
          <w:rFonts w:ascii="Arial" w:hAnsi="Arial" w:cs="Arial"/>
          <w:color w:val="000000" w:themeColor="text1"/>
        </w:rPr>
        <w:t>osts show loadings ranging from 0.560 (Cash CCP) to 0.987 (Listing &amp; Admission). The strongest loadings are linked to listing</w:t>
      </w:r>
      <w:r w:rsidR="0007400E" w:rsidRPr="00E121F4">
        <w:rPr>
          <w:rFonts w:ascii="Arial" w:hAnsi="Arial" w:cs="Arial"/>
          <w:color w:val="000000" w:themeColor="text1"/>
        </w:rPr>
        <w:t xml:space="preserve"> &amp; admission</w:t>
      </w:r>
      <w:r w:rsidRPr="00E121F4">
        <w:rPr>
          <w:rFonts w:ascii="Arial" w:hAnsi="Arial" w:cs="Arial"/>
          <w:color w:val="000000" w:themeColor="text1"/>
        </w:rPr>
        <w:t>, settlement and custody, indices/data/analytics, and market connectivity, indicating that ABC Group’s transaction</w:t>
      </w:r>
      <w:r w:rsidR="0007400E" w:rsidRPr="00E121F4">
        <w:rPr>
          <w:rFonts w:ascii="Arial" w:hAnsi="Arial" w:cs="Arial"/>
          <w:color w:val="000000" w:themeColor="text1"/>
        </w:rPr>
        <w:t xml:space="preserve"> </w:t>
      </w:r>
      <w:r w:rsidRPr="00E121F4">
        <w:rPr>
          <w:rFonts w:ascii="Arial" w:hAnsi="Arial" w:cs="Arial"/>
          <w:color w:val="000000" w:themeColor="text1"/>
        </w:rPr>
        <w:t xml:space="preserve">cost construct is strongly represented by post-trading, information, and </w:t>
      </w:r>
      <w:r w:rsidR="0007400E" w:rsidRPr="00E121F4">
        <w:rPr>
          <w:rFonts w:ascii="Arial" w:hAnsi="Arial" w:cs="Arial"/>
          <w:color w:val="000000" w:themeColor="text1"/>
        </w:rPr>
        <w:t>service-related</w:t>
      </w:r>
      <w:r w:rsidRPr="00E121F4">
        <w:rPr>
          <w:rFonts w:ascii="Arial" w:hAnsi="Arial" w:cs="Arial"/>
          <w:color w:val="000000" w:themeColor="text1"/>
        </w:rPr>
        <w:t xml:space="preserve"> categories. Moderate loadings for Cash CCP and Derivatives CCP indicate these components remain relevant but play a smaller role in the overall </w:t>
      </w:r>
      <w:r w:rsidR="0007400E" w:rsidRPr="00E121F4">
        <w:rPr>
          <w:rFonts w:ascii="Arial" w:hAnsi="Arial" w:cs="Arial"/>
          <w:color w:val="000000" w:themeColor="text1"/>
        </w:rPr>
        <w:t xml:space="preserve">transaction </w:t>
      </w:r>
      <w:r w:rsidRPr="00E121F4">
        <w:rPr>
          <w:rFonts w:ascii="Arial" w:hAnsi="Arial" w:cs="Arial"/>
          <w:color w:val="000000" w:themeColor="text1"/>
        </w:rPr>
        <w:t>cost structure.</w:t>
      </w:r>
    </w:p>
    <w:p w14:paraId="661B6F4C" w14:textId="2DEC09AC"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Infrastructure </w:t>
      </w:r>
      <w:r w:rsidR="0007400E" w:rsidRPr="00E121F4">
        <w:rPr>
          <w:rFonts w:ascii="Arial" w:hAnsi="Arial" w:cs="Arial"/>
          <w:color w:val="000000" w:themeColor="text1"/>
        </w:rPr>
        <w:t>o</w:t>
      </w:r>
      <w:r w:rsidRPr="00E121F4">
        <w:rPr>
          <w:rFonts w:ascii="Arial" w:hAnsi="Arial" w:cs="Arial"/>
          <w:color w:val="000000" w:themeColor="text1"/>
        </w:rPr>
        <w:t>perations exhibit consistently high loadings, ranging from 0.753 (Headcount) to 0.984 (Depreciation &amp; Amortization). These results confirm that the construct effectively captures the fixed-cost and resource-intensive nature of operational activities, with personnel-related and depreciation items playing a central role.</w:t>
      </w:r>
    </w:p>
    <w:p w14:paraId="458994CB" w14:textId="370B80C6"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Infrastructure </w:t>
      </w:r>
      <w:r w:rsidR="0007400E" w:rsidRPr="00E121F4">
        <w:rPr>
          <w:rFonts w:ascii="Arial" w:hAnsi="Arial" w:cs="Arial"/>
          <w:color w:val="000000" w:themeColor="text1"/>
        </w:rPr>
        <w:t>t</w:t>
      </w:r>
      <w:r w:rsidRPr="00E121F4">
        <w:rPr>
          <w:rFonts w:ascii="Arial" w:hAnsi="Arial" w:cs="Arial"/>
          <w:color w:val="000000" w:themeColor="text1"/>
        </w:rPr>
        <w:t>ransactions have very strong loadings across all indicators (0.940</w:t>
      </w:r>
      <w:r w:rsidR="0007400E" w:rsidRPr="00E121F4">
        <w:rPr>
          <w:rFonts w:ascii="Arial" w:hAnsi="Arial" w:cs="Arial"/>
          <w:color w:val="000000" w:themeColor="text1"/>
        </w:rPr>
        <w:t xml:space="preserve"> to </w:t>
      </w:r>
      <w:r w:rsidRPr="00E121F4">
        <w:rPr>
          <w:rFonts w:ascii="Arial" w:hAnsi="Arial" w:cs="Arial"/>
          <w:color w:val="000000" w:themeColor="text1"/>
        </w:rPr>
        <w:t>0.982). This reflects the highly coherent nature of the construct: all transactional variables</w:t>
      </w:r>
      <w:r w:rsidR="0007400E" w:rsidRPr="00E121F4">
        <w:rPr>
          <w:rFonts w:ascii="Arial" w:hAnsi="Arial" w:cs="Arial"/>
          <w:color w:val="000000" w:themeColor="text1"/>
        </w:rPr>
        <w:t xml:space="preserve"> – </w:t>
      </w:r>
      <w:r w:rsidRPr="00E121F4">
        <w:rPr>
          <w:rFonts w:ascii="Arial" w:hAnsi="Arial" w:cs="Arial"/>
          <w:color w:val="000000" w:themeColor="text1"/>
        </w:rPr>
        <w:t>EOB trades, turnover, trading days, and off-order-book activity</w:t>
      </w:r>
      <w:r w:rsidR="0007400E" w:rsidRPr="00E121F4">
        <w:rPr>
          <w:rFonts w:ascii="Arial" w:hAnsi="Arial" w:cs="Arial"/>
          <w:color w:val="000000" w:themeColor="text1"/>
        </w:rPr>
        <w:t xml:space="preserve"> – </w:t>
      </w:r>
      <w:r w:rsidRPr="00E121F4">
        <w:rPr>
          <w:rFonts w:ascii="Arial" w:hAnsi="Arial" w:cs="Arial"/>
          <w:color w:val="000000" w:themeColor="text1"/>
        </w:rPr>
        <w:t>contribute significantly to ABC’s representation of trading intensity.</w:t>
      </w:r>
    </w:p>
    <w:p w14:paraId="4A1E15F3" w14:textId="45E9C3B8"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Market </w:t>
      </w:r>
      <w:r w:rsidR="0007400E" w:rsidRPr="00E121F4">
        <w:rPr>
          <w:rFonts w:ascii="Arial" w:hAnsi="Arial" w:cs="Arial"/>
          <w:color w:val="000000" w:themeColor="text1"/>
        </w:rPr>
        <w:t>e</w:t>
      </w:r>
      <w:r w:rsidRPr="00E121F4">
        <w:rPr>
          <w:rFonts w:ascii="Arial" w:hAnsi="Arial" w:cs="Arial"/>
          <w:color w:val="000000" w:themeColor="text1"/>
        </w:rPr>
        <w:t xml:space="preserve">conomics show the highest block reliability, with loadings from 0.944 </w:t>
      </w:r>
      <w:r w:rsidR="0007400E" w:rsidRPr="00E121F4">
        <w:rPr>
          <w:rFonts w:ascii="Arial" w:hAnsi="Arial" w:cs="Arial"/>
          <w:color w:val="000000" w:themeColor="text1"/>
        </w:rPr>
        <w:t>for m</w:t>
      </w:r>
      <w:r w:rsidRPr="00E121F4">
        <w:rPr>
          <w:rFonts w:ascii="Arial" w:hAnsi="Arial" w:cs="Arial"/>
          <w:color w:val="000000" w:themeColor="text1"/>
        </w:rPr>
        <w:t xml:space="preserve">arket </w:t>
      </w:r>
      <w:r w:rsidR="0007400E" w:rsidRPr="00E121F4">
        <w:rPr>
          <w:rFonts w:ascii="Arial" w:hAnsi="Arial" w:cs="Arial"/>
          <w:color w:val="000000" w:themeColor="text1"/>
        </w:rPr>
        <w:t>c</w:t>
      </w:r>
      <w:r w:rsidRPr="00E121F4">
        <w:rPr>
          <w:rFonts w:ascii="Arial" w:hAnsi="Arial" w:cs="Arial"/>
          <w:color w:val="000000" w:themeColor="text1"/>
        </w:rPr>
        <w:t xml:space="preserve">apitalization to 0.994 </w:t>
      </w:r>
      <w:r w:rsidR="0007400E" w:rsidRPr="00E121F4">
        <w:rPr>
          <w:rFonts w:ascii="Arial" w:hAnsi="Arial" w:cs="Arial"/>
          <w:color w:val="000000" w:themeColor="text1"/>
        </w:rPr>
        <w:t>for t</w:t>
      </w:r>
      <w:r w:rsidRPr="00E121F4">
        <w:rPr>
          <w:rFonts w:ascii="Arial" w:hAnsi="Arial" w:cs="Arial"/>
          <w:color w:val="000000" w:themeColor="text1"/>
        </w:rPr>
        <w:t xml:space="preserve">otal </w:t>
      </w:r>
      <w:r w:rsidR="0007400E" w:rsidRPr="00E121F4">
        <w:rPr>
          <w:rFonts w:ascii="Arial" w:hAnsi="Arial" w:cs="Arial"/>
          <w:color w:val="000000" w:themeColor="text1"/>
        </w:rPr>
        <w:t>l</w:t>
      </w:r>
      <w:r w:rsidRPr="00E121F4">
        <w:rPr>
          <w:rFonts w:ascii="Arial" w:hAnsi="Arial" w:cs="Arial"/>
          <w:color w:val="000000" w:themeColor="text1"/>
        </w:rPr>
        <w:t>istings</w:t>
      </w:r>
      <w:r w:rsidR="0007400E" w:rsidRPr="00E121F4">
        <w:rPr>
          <w:rFonts w:ascii="Arial" w:hAnsi="Arial" w:cs="Arial"/>
          <w:color w:val="000000" w:themeColor="text1"/>
        </w:rPr>
        <w:t xml:space="preserve"> which is driven by domestic shares</w:t>
      </w:r>
      <w:r w:rsidRPr="00E121F4">
        <w:rPr>
          <w:rFonts w:ascii="Arial" w:hAnsi="Arial" w:cs="Arial"/>
          <w:color w:val="000000" w:themeColor="text1"/>
        </w:rPr>
        <w:t>. These values demonstrate that capitalization and listing measures provide a robust representation of market structure within ABC Group’s environment.</w:t>
      </w:r>
    </w:p>
    <w:p w14:paraId="7F3CDBD2" w14:textId="77777777"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t>3.2.3 Analytical Summary</w:t>
      </w:r>
    </w:p>
    <w:p w14:paraId="7DAA0A38" w14:textId="0DFE7222"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For the ABC Group, the structural configuration indicates that transaction-cost outcomes are primarily volume-driven rather than operations-driven, supported by the dominant path from </w:t>
      </w:r>
      <w:r w:rsidR="0007400E" w:rsidRPr="00E121F4">
        <w:rPr>
          <w:rFonts w:ascii="Arial" w:hAnsi="Arial" w:cs="Arial"/>
          <w:color w:val="000000" w:themeColor="text1"/>
        </w:rPr>
        <w:t>i</w:t>
      </w:r>
      <w:r w:rsidRPr="00E121F4">
        <w:rPr>
          <w:rFonts w:ascii="Arial" w:hAnsi="Arial" w:cs="Arial"/>
          <w:color w:val="000000" w:themeColor="text1"/>
        </w:rPr>
        <w:t xml:space="preserve">nfrastructure </w:t>
      </w:r>
      <w:r w:rsidR="0007400E" w:rsidRPr="00E121F4">
        <w:rPr>
          <w:rFonts w:ascii="Arial" w:hAnsi="Arial" w:cs="Arial"/>
          <w:color w:val="000000" w:themeColor="text1"/>
        </w:rPr>
        <w:t>t</w:t>
      </w:r>
      <w:r w:rsidRPr="00E121F4">
        <w:rPr>
          <w:rFonts w:ascii="Arial" w:hAnsi="Arial" w:cs="Arial"/>
          <w:color w:val="000000" w:themeColor="text1"/>
        </w:rPr>
        <w:t xml:space="preserve">ransactions to </w:t>
      </w:r>
      <w:r w:rsidR="0007400E" w:rsidRPr="00E121F4">
        <w:rPr>
          <w:rFonts w:ascii="Arial" w:hAnsi="Arial" w:cs="Arial"/>
          <w:color w:val="000000" w:themeColor="text1"/>
        </w:rPr>
        <w:t>t</w:t>
      </w:r>
      <w:r w:rsidRPr="00E121F4">
        <w:rPr>
          <w:rFonts w:ascii="Arial" w:hAnsi="Arial" w:cs="Arial"/>
          <w:color w:val="000000" w:themeColor="text1"/>
        </w:rPr>
        <w:t xml:space="preserve">ransaction </w:t>
      </w:r>
      <w:r w:rsidR="0007400E" w:rsidRPr="00E121F4">
        <w:rPr>
          <w:rFonts w:ascii="Arial" w:hAnsi="Arial" w:cs="Arial"/>
          <w:color w:val="000000" w:themeColor="text1"/>
        </w:rPr>
        <w:t>c</w:t>
      </w:r>
      <w:r w:rsidRPr="00E121F4">
        <w:rPr>
          <w:rFonts w:ascii="Arial" w:hAnsi="Arial" w:cs="Arial"/>
          <w:color w:val="000000" w:themeColor="text1"/>
        </w:rPr>
        <w:t>osts. Market structure also plays an important role, influencing both operational demand and transaction</w:t>
      </w:r>
      <w:r w:rsidR="0007400E" w:rsidRPr="00E121F4">
        <w:rPr>
          <w:rFonts w:ascii="Arial" w:hAnsi="Arial" w:cs="Arial"/>
          <w:color w:val="000000" w:themeColor="text1"/>
        </w:rPr>
        <w:t xml:space="preserve"> </w:t>
      </w:r>
      <w:r w:rsidRPr="00E121F4">
        <w:rPr>
          <w:rFonts w:ascii="Arial" w:hAnsi="Arial" w:cs="Arial"/>
          <w:color w:val="000000" w:themeColor="text1"/>
        </w:rPr>
        <w:t>cost</w:t>
      </w:r>
      <w:r w:rsidR="0007400E" w:rsidRPr="00E121F4">
        <w:rPr>
          <w:rFonts w:ascii="Arial" w:hAnsi="Arial" w:cs="Arial"/>
          <w:color w:val="000000" w:themeColor="text1"/>
        </w:rPr>
        <w:t>s for financial market participants</w:t>
      </w:r>
      <w:r w:rsidRPr="00E121F4">
        <w:rPr>
          <w:rFonts w:ascii="Arial" w:hAnsi="Arial" w:cs="Arial"/>
          <w:color w:val="000000" w:themeColor="text1"/>
        </w:rPr>
        <w:t>. The measurement model reinforces this interpretation, showing that transaction</w:t>
      </w:r>
      <w:r w:rsidR="0007400E" w:rsidRPr="00E121F4">
        <w:rPr>
          <w:rFonts w:ascii="Arial" w:hAnsi="Arial" w:cs="Arial"/>
          <w:color w:val="000000" w:themeColor="text1"/>
        </w:rPr>
        <w:t xml:space="preserve"> </w:t>
      </w:r>
      <w:r w:rsidRPr="00E121F4">
        <w:rPr>
          <w:rFonts w:ascii="Arial" w:hAnsi="Arial" w:cs="Arial"/>
          <w:color w:val="000000" w:themeColor="text1"/>
        </w:rPr>
        <w:t>cost indicators are strongly associated with listing, post-trading, and data/analytics services. Overall, the model portrays ABC Group as a financial market infrastructure whose cost dynamics are closely tied to transactional intensity and the broader economic environment, with operational complexity serving as a secondary amplification mechanism.</w:t>
      </w:r>
    </w:p>
    <w:p w14:paraId="2AA41887" w14:textId="040FD5F4" w:rsidR="00A60C34" w:rsidRPr="00E121F4" w:rsidRDefault="00A60C34" w:rsidP="00267B2C">
      <w:pPr>
        <w:pStyle w:val="Body"/>
        <w:rPr>
          <w:rFonts w:ascii="Arial" w:hAnsi="Arial" w:cs="Arial"/>
          <w:color w:val="000000" w:themeColor="text1"/>
        </w:rPr>
      </w:pPr>
      <w:r w:rsidRPr="00E121F4">
        <w:rPr>
          <w:rFonts w:ascii="Arial" w:hAnsi="Arial" w:cs="Arial"/>
          <w:color w:val="000000" w:themeColor="text1"/>
        </w:rPr>
        <w:t xml:space="preserve">Figure </w:t>
      </w:r>
      <w:r w:rsidR="00267B2C" w:rsidRPr="00E121F4">
        <w:rPr>
          <w:rFonts w:ascii="Arial" w:hAnsi="Arial" w:cs="Arial"/>
          <w:color w:val="000000" w:themeColor="text1"/>
        </w:rPr>
        <w:t>2</w:t>
      </w:r>
      <w:r w:rsidRPr="00E121F4">
        <w:rPr>
          <w:rFonts w:ascii="Arial" w:hAnsi="Arial" w:cs="Arial"/>
          <w:color w:val="000000" w:themeColor="text1"/>
        </w:rPr>
        <w:t xml:space="preserve">, depicts the multigroup PLS-SEM model for the </w:t>
      </w:r>
      <w:r w:rsidR="00267B2C" w:rsidRPr="00E121F4">
        <w:rPr>
          <w:rFonts w:ascii="Arial" w:hAnsi="Arial" w:cs="Arial"/>
          <w:color w:val="000000" w:themeColor="text1"/>
        </w:rPr>
        <w:t>ABC Group</w:t>
      </w:r>
      <w:r w:rsidRPr="00E121F4">
        <w:rPr>
          <w:rFonts w:ascii="Arial" w:hAnsi="Arial" w:cs="Arial"/>
          <w:color w:val="000000" w:themeColor="text1"/>
        </w:rPr>
        <w:t>.</w:t>
      </w:r>
    </w:p>
    <w:p w14:paraId="744DB19B" w14:textId="77777777" w:rsidR="00A60C34" w:rsidRPr="00E121F4" w:rsidRDefault="00A60C34" w:rsidP="00A60C34">
      <w:pPr>
        <w:pStyle w:val="Body"/>
        <w:spacing w:after="0"/>
        <w:rPr>
          <w:rFonts w:ascii="Arial" w:hAnsi="Arial" w:cs="Arial"/>
          <w:color w:val="000000" w:themeColor="text1"/>
        </w:rPr>
      </w:pPr>
    </w:p>
    <w:p w14:paraId="63A37AD9" w14:textId="77777777" w:rsidR="00A60C34" w:rsidRPr="00E121F4" w:rsidRDefault="00A60C34" w:rsidP="00A60C34">
      <w:pPr>
        <w:pStyle w:val="Body"/>
        <w:spacing w:after="0"/>
        <w:rPr>
          <w:rFonts w:ascii="Arial" w:hAnsi="Arial" w:cs="Arial"/>
          <w:color w:val="000000" w:themeColor="text1"/>
        </w:rPr>
      </w:pPr>
      <w:r w:rsidRPr="00E121F4">
        <w:rPr>
          <w:rFonts w:ascii="Times New Roman" w:hAnsi="Times New Roman"/>
          <w:noProof/>
          <w:color w:val="000000" w:themeColor="text1"/>
          <w:sz w:val="24"/>
        </w:rPr>
        <w:drawing>
          <wp:inline distT="0" distB="0" distL="0" distR="0" wp14:anchorId="2986C235" wp14:editId="31D546E4">
            <wp:extent cx="5212080" cy="1966833"/>
            <wp:effectExtent l="0" t="0" r="0" b="1905"/>
            <wp:docPr id="173332626"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0222" name="Picture 1" descr="A diagram of a group&#10;&#10;Description automatically generated"/>
                    <pic:cNvPicPr/>
                  </pic:nvPicPr>
                  <pic:blipFill rotWithShape="1">
                    <a:blip r:embed="rId15"/>
                    <a:srcRect t="3657"/>
                    <a:stretch/>
                  </pic:blipFill>
                  <pic:spPr bwMode="auto">
                    <a:xfrm>
                      <a:off x="0" y="0"/>
                      <a:ext cx="5212080" cy="1966833"/>
                    </a:xfrm>
                    <a:prstGeom prst="rect">
                      <a:avLst/>
                    </a:prstGeom>
                    <a:ln>
                      <a:noFill/>
                    </a:ln>
                    <a:extLst>
                      <a:ext uri="{53640926-AAD7-44D8-BBD7-CCE9431645EC}">
                        <a14:shadowObscured xmlns:a14="http://schemas.microsoft.com/office/drawing/2010/main"/>
                      </a:ext>
                    </a:extLst>
                  </pic:spPr>
                </pic:pic>
              </a:graphicData>
            </a:graphic>
          </wp:inline>
        </w:drawing>
      </w:r>
    </w:p>
    <w:p w14:paraId="64FBD0FB" w14:textId="11ACB41F" w:rsidR="00FD78CB" w:rsidRPr="00E121F4" w:rsidRDefault="00FD78CB" w:rsidP="00A60C34">
      <w:pPr>
        <w:pStyle w:val="Body"/>
        <w:spacing w:after="0"/>
        <w:rPr>
          <w:rFonts w:ascii="Arial" w:hAnsi="Arial" w:cs="Arial"/>
          <w:color w:val="000000" w:themeColor="text1"/>
        </w:rPr>
      </w:pPr>
    </w:p>
    <w:p w14:paraId="2B8D1A5B" w14:textId="0C506FB2" w:rsidR="00FD78CB" w:rsidRPr="00E121F4" w:rsidRDefault="00FD78CB" w:rsidP="00FD78CB">
      <w:pPr>
        <w:pStyle w:val="Body"/>
        <w:spacing w:after="0"/>
        <w:jc w:val="center"/>
        <w:rPr>
          <w:rFonts w:ascii="Arial" w:hAnsi="Arial" w:cs="Arial"/>
          <w:b/>
          <w:bCs/>
          <w:color w:val="000000" w:themeColor="text1"/>
        </w:rPr>
      </w:pPr>
      <w:r w:rsidRPr="00E121F4">
        <w:rPr>
          <w:rFonts w:ascii="Arial" w:hAnsi="Arial" w:cs="Arial"/>
          <w:b/>
          <w:bCs/>
          <w:color w:val="000000" w:themeColor="text1"/>
        </w:rPr>
        <w:t>Fig.</w:t>
      </w:r>
      <w:r w:rsidR="00C46F82" w:rsidRPr="00E121F4">
        <w:rPr>
          <w:rFonts w:ascii="Arial" w:hAnsi="Arial" w:cs="Arial"/>
          <w:b/>
          <w:bCs/>
          <w:color w:val="000000" w:themeColor="text1"/>
        </w:rPr>
        <w:t xml:space="preserve"> </w:t>
      </w:r>
      <w:r w:rsidRPr="00E121F4">
        <w:rPr>
          <w:rFonts w:ascii="Arial" w:hAnsi="Arial" w:cs="Arial"/>
          <w:b/>
          <w:bCs/>
          <w:color w:val="000000" w:themeColor="text1"/>
        </w:rPr>
        <w:t xml:space="preserve">2 Transaction Cost Analysis </w:t>
      </w:r>
      <w:r w:rsidR="00721374" w:rsidRPr="00E121F4">
        <w:rPr>
          <w:rFonts w:ascii="Arial" w:hAnsi="Arial" w:cs="Arial"/>
          <w:b/>
          <w:bCs/>
          <w:color w:val="000000" w:themeColor="text1"/>
        </w:rPr>
        <w:t>ABC</w:t>
      </w:r>
      <w:r w:rsidRPr="00E121F4">
        <w:rPr>
          <w:rFonts w:ascii="Arial" w:hAnsi="Arial" w:cs="Arial"/>
          <w:b/>
          <w:bCs/>
          <w:color w:val="000000" w:themeColor="text1"/>
        </w:rPr>
        <w:t xml:space="preserve"> – Multi-Group-Analysis</w:t>
      </w:r>
      <w:r w:rsidRPr="00E121F4">
        <w:rPr>
          <w:rStyle w:val="FootnoteReference"/>
          <w:rFonts w:ascii="Arial" w:hAnsi="Arial" w:cs="Arial"/>
          <w:b/>
          <w:bCs/>
          <w:color w:val="000000" w:themeColor="text1"/>
        </w:rPr>
        <w:footnoteReference w:id="17"/>
      </w:r>
    </w:p>
    <w:p w14:paraId="5F38E17C" w14:textId="77777777" w:rsidR="00FD78CB" w:rsidRPr="00E121F4" w:rsidRDefault="00FD78CB" w:rsidP="00FD78CB">
      <w:pPr>
        <w:pStyle w:val="Body"/>
        <w:spacing w:after="0"/>
        <w:rPr>
          <w:rFonts w:ascii="Arial" w:hAnsi="Arial" w:cs="Arial"/>
          <w:color w:val="000000" w:themeColor="text1"/>
        </w:rPr>
      </w:pPr>
    </w:p>
    <w:p w14:paraId="242F3661" w14:textId="77777777" w:rsidR="00FD78CB" w:rsidRPr="00E121F4" w:rsidRDefault="00FD78CB" w:rsidP="00FD78CB">
      <w:pPr>
        <w:pStyle w:val="Body"/>
        <w:spacing w:after="0"/>
        <w:rPr>
          <w:rFonts w:ascii="Arial" w:hAnsi="Arial" w:cs="Arial"/>
          <w:b/>
          <w:bCs/>
          <w:color w:val="000000" w:themeColor="text1"/>
        </w:rPr>
      </w:pPr>
    </w:p>
    <w:p w14:paraId="4245E308" w14:textId="34F61D02"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3.3 Relationship Between Variable Constructs (</w:t>
      </w:r>
      <w:r w:rsidR="00721374" w:rsidRPr="00E121F4">
        <w:rPr>
          <w:rFonts w:ascii="Arial" w:hAnsi="Arial" w:cs="Arial"/>
          <w:b/>
          <w:bCs/>
          <w:color w:val="000000" w:themeColor="text1"/>
        </w:rPr>
        <w:t>XYZ</w:t>
      </w:r>
      <w:r w:rsidRPr="00E121F4">
        <w:rPr>
          <w:rFonts w:ascii="Arial" w:hAnsi="Arial" w:cs="Arial"/>
          <w:b/>
          <w:bCs/>
          <w:color w:val="000000" w:themeColor="text1"/>
        </w:rPr>
        <w:t>)</w:t>
      </w:r>
    </w:p>
    <w:p w14:paraId="0E2381CD" w14:textId="77777777" w:rsidR="00FD78CB" w:rsidRPr="00E121F4" w:rsidRDefault="00FD78CB" w:rsidP="00FD78CB">
      <w:pPr>
        <w:pStyle w:val="Body"/>
        <w:spacing w:after="0"/>
        <w:rPr>
          <w:rFonts w:ascii="Arial" w:hAnsi="Arial" w:cs="Arial"/>
          <w:color w:val="000000" w:themeColor="text1"/>
        </w:rPr>
      </w:pPr>
    </w:p>
    <w:p w14:paraId="4CB24C44" w14:textId="1922F3F8"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structural model for the XYZ Group reveals a distinctly different pattern of interactions among trading activity, operational structures, and market conditions when compared to the ABC Group. The configuration of path coefficients indicates that XYZ’s transaction cost dynamics are more heavily shaped by operational complexity, while market-related drivers exert weaker – and in some cases negative – effects. This reflects a business model that is less dependent on transactional developments and more oriented toward data, information, and service-based activities.</w:t>
      </w:r>
    </w:p>
    <w:p w14:paraId="6F24A4AB" w14:textId="5FE3571F"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3.3.1 Structural Path Relationships (β)</w:t>
      </w:r>
    </w:p>
    <w:p w14:paraId="6BCE1766" w14:textId="7F5AD012"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strongest relationship in the XYZ Group model is the effect of infrastructure operations on transaction costs, with a path coefficient of 0.693. This indicates that XYZ’s transaction costs are predominantly driven by its internal operational structures, such as personnel costs, depreciation, and ongoing operating expenses. Compared to the ABC Group, operations play a considerably more direct role in shaping transaction costs for XYZ.</w:t>
      </w:r>
    </w:p>
    <w:p w14:paraId="5C6497D1" w14:textId="31D28DAD"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infrastructure transactions on transaction costs path are moderately positive (β = 0.324). This coefficient is noticeably smaller than in the ABC Group, suggesting that trading volumes and turnover exert a weaker direct influence on transaction costs. This aligns with a more diversified business model in which XYZ derives substantial income from non-trading services.</w:t>
      </w:r>
    </w:p>
    <w:p w14:paraId="1A211F32" w14:textId="404BD54F"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A particularly notable result is the negative path from market economics to transaction costs (β = –0.135). This implies that increases in market capitalization or listings are associated with slightly lower transaction costs. This counterintuitive relationship may reflect economies of scale in </w:t>
      </w:r>
      <w:proofErr w:type="spellStart"/>
      <w:proofErr w:type="gramStart"/>
      <w:r w:rsidRPr="00E121F4">
        <w:rPr>
          <w:rFonts w:ascii="Arial" w:hAnsi="Arial" w:cs="Arial"/>
          <w:color w:val="000000" w:themeColor="text1"/>
        </w:rPr>
        <w:t>a</w:t>
      </w:r>
      <w:proofErr w:type="spellEnd"/>
      <w:proofErr w:type="gramEnd"/>
      <w:r w:rsidRPr="00E121F4">
        <w:rPr>
          <w:rFonts w:ascii="Arial" w:hAnsi="Arial" w:cs="Arial"/>
          <w:color w:val="000000" w:themeColor="text1"/>
        </w:rPr>
        <w:t xml:space="preserve"> information- or service-driven model: as the market grows, operational efficiencies may offset the marginal increase in demand for transaction-related services.</w:t>
      </w:r>
    </w:p>
    <w:p w14:paraId="03B674B8" w14:textId="4578AF7B"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model also shows a strong negative effect of market economics on infrastructure operations (β = –0.622). This suggests that as the market environment expands, XYZ Group requires relatively fewer incremental resources to maintain its infrastructure. This finding is consistent with automation, cloud-based platforms, or other scalable technologies that reduce the need for operational expansion even as the market grows.</w:t>
      </w:r>
    </w:p>
    <w:p w14:paraId="09A86920" w14:textId="4A5EE7D9"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Finally,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t</w:t>
      </w:r>
      <w:r w:rsidRPr="00E121F4">
        <w:rPr>
          <w:rFonts w:ascii="Arial" w:hAnsi="Arial" w:cs="Arial"/>
          <w:color w:val="000000" w:themeColor="text1"/>
        </w:rPr>
        <w:t xml:space="preserve">ransactions </w:t>
      </w:r>
      <w:r w:rsidR="002C5AE9" w:rsidRPr="00E121F4">
        <w:rPr>
          <w:rFonts w:ascii="Arial" w:hAnsi="Arial" w:cs="Arial"/>
          <w:color w:val="000000" w:themeColor="text1"/>
        </w:rPr>
        <w:t>on</w:t>
      </w:r>
      <w:r w:rsidRPr="00E121F4">
        <w:rPr>
          <w:rFonts w:ascii="Arial" w:hAnsi="Arial" w:cs="Arial"/>
          <w:color w:val="000000" w:themeColor="text1"/>
        </w:rPr>
        <w:t xml:space="preserve">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o</w:t>
      </w:r>
      <w:r w:rsidRPr="00E121F4">
        <w:rPr>
          <w:rFonts w:ascii="Arial" w:hAnsi="Arial" w:cs="Arial"/>
          <w:color w:val="000000" w:themeColor="text1"/>
        </w:rPr>
        <w:t>perations (β = 0.542) remains positive and meaningful. Trading activity still increases operational load, although the effect is weaker than in the ABC Group, further indicating that XYZ’s operational structure is less sensitive to transaction-driven fluctuations.</w:t>
      </w:r>
    </w:p>
    <w:p w14:paraId="1CD59F88" w14:textId="77777777"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Overall, the structural paths characterize the XYZ Group as an infrastructure provider whose transaction cost dynamics are dominated by scalable operations and efficiency effects rather than by market size or trading intensity.</w:t>
      </w:r>
    </w:p>
    <w:p w14:paraId="4A55F301" w14:textId="77777777"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3.3.2 Measurement Model: Indicator Loadings</w:t>
      </w:r>
    </w:p>
    <w:p w14:paraId="7ECCA3BC" w14:textId="573C8DB4"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lastRenderedPageBreak/>
        <w:t>The outer loadings provide further insight into the construct reliability and the nature of XYZ Group’s business model.</w:t>
      </w:r>
      <w:r w:rsidR="002C5AE9" w:rsidRPr="00E121F4">
        <w:rPr>
          <w:rFonts w:ascii="Arial" w:hAnsi="Arial" w:cs="Arial"/>
          <w:color w:val="000000" w:themeColor="text1"/>
        </w:rPr>
        <w:t xml:space="preserve"> </w:t>
      </w:r>
      <w:r w:rsidRPr="00E121F4">
        <w:rPr>
          <w:rFonts w:ascii="Arial" w:hAnsi="Arial" w:cs="Arial"/>
          <w:color w:val="000000" w:themeColor="text1"/>
        </w:rPr>
        <w:t xml:space="preserve">The </w:t>
      </w:r>
      <w:r w:rsidR="002C5AE9" w:rsidRPr="00E121F4">
        <w:rPr>
          <w:rFonts w:ascii="Arial" w:hAnsi="Arial" w:cs="Arial"/>
          <w:color w:val="000000" w:themeColor="text1"/>
        </w:rPr>
        <w:t>t</w:t>
      </w:r>
      <w:r w:rsidRPr="00E121F4">
        <w:rPr>
          <w:rFonts w:ascii="Arial" w:hAnsi="Arial" w:cs="Arial"/>
          <w:color w:val="000000" w:themeColor="text1"/>
        </w:rPr>
        <w:t xml:space="preserve">ransaction </w:t>
      </w:r>
      <w:r w:rsidR="002C5AE9" w:rsidRPr="00E121F4">
        <w:rPr>
          <w:rFonts w:ascii="Arial" w:hAnsi="Arial" w:cs="Arial"/>
          <w:color w:val="000000" w:themeColor="text1"/>
        </w:rPr>
        <w:t>c</w:t>
      </w:r>
      <w:r w:rsidRPr="00E121F4">
        <w:rPr>
          <w:rFonts w:ascii="Arial" w:hAnsi="Arial" w:cs="Arial"/>
          <w:color w:val="000000" w:themeColor="text1"/>
        </w:rPr>
        <w:t>ost</w:t>
      </w:r>
      <w:r w:rsidR="002C5AE9" w:rsidRPr="00E121F4">
        <w:rPr>
          <w:rFonts w:ascii="Arial" w:hAnsi="Arial" w:cs="Arial"/>
          <w:color w:val="000000" w:themeColor="text1"/>
        </w:rPr>
        <w:t>s</w:t>
      </w:r>
      <w:r w:rsidRPr="00E121F4">
        <w:rPr>
          <w:rFonts w:ascii="Arial" w:hAnsi="Arial" w:cs="Arial"/>
          <w:color w:val="000000" w:themeColor="text1"/>
        </w:rPr>
        <w:t xml:space="preserve"> indicators show substantial variation, ranging from –0.461 (</w:t>
      </w:r>
      <w:r w:rsidR="002C5AE9" w:rsidRPr="00E121F4">
        <w:rPr>
          <w:rFonts w:ascii="Arial" w:hAnsi="Arial" w:cs="Arial"/>
          <w:color w:val="000000" w:themeColor="text1"/>
        </w:rPr>
        <w:t>l</w:t>
      </w:r>
      <w:r w:rsidRPr="00E121F4">
        <w:rPr>
          <w:rFonts w:ascii="Arial" w:hAnsi="Arial" w:cs="Arial"/>
          <w:color w:val="000000" w:themeColor="text1"/>
        </w:rPr>
        <w:t xml:space="preserve">isting &amp; </w:t>
      </w:r>
      <w:r w:rsidR="002C5AE9" w:rsidRPr="00E121F4">
        <w:rPr>
          <w:rFonts w:ascii="Arial" w:hAnsi="Arial" w:cs="Arial"/>
          <w:color w:val="000000" w:themeColor="text1"/>
        </w:rPr>
        <w:t>a</w:t>
      </w:r>
      <w:r w:rsidRPr="00E121F4">
        <w:rPr>
          <w:rFonts w:ascii="Arial" w:hAnsi="Arial" w:cs="Arial"/>
          <w:color w:val="000000" w:themeColor="text1"/>
        </w:rPr>
        <w:t>dmission) to 0.988 (</w:t>
      </w:r>
      <w:r w:rsidR="002C5AE9" w:rsidRPr="00E121F4">
        <w:rPr>
          <w:rFonts w:ascii="Arial" w:hAnsi="Arial" w:cs="Arial"/>
          <w:color w:val="000000" w:themeColor="text1"/>
        </w:rPr>
        <w:t>i</w:t>
      </w:r>
      <w:r w:rsidRPr="00E121F4">
        <w:rPr>
          <w:rFonts w:ascii="Arial" w:hAnsi="Arial" w:cs="Arial"/>
          <w:color w:val="000000" w:themeColor="text1"/>
        </w:rPr>
        <w:t xml:space="preserve">ndices, </w:t>
      </w:r>
      <w:r w:rsidR="002C5AE9" w:rsidRPr="00E121F4">
        <w:rPr>
          <w:rFonts w:ascii="Arial" w:hAnsi="Arial" w:cs="Arial"/>
          <w:color w:val="000000" w:themeColor="text1"/>
        </w:rPr>
        <w:t>i</w:t>
      </w:r>
      <w:r w:rsidRPr="00E121F4">
        <w:rPr>
          <w:rFonts w:ascii="Arial" w:hAnsi="Arial" w:cs="Arial"/>
          <w:color w:val="000000" w:themeColor="text1"/>
        </w:rPr>
        <w:t xml:space="preserve">nformation, </w:t>
      </w:r>
      <w:r w:rsidR="002C5AE9" w:rsidRPr="00E121F4">
        <w:rPr>
          <w:rFonts w:ascii="Arial" w:hAnsi="Arial" w:cs="Arial"/>
          <w:color w:val="000000" w:themeColor="text1"/>
        </w:rPr>
        <w:t>d</w:t>
      </w:r>
      <w:r w:rsidRPr="00E121F4">
        <w:rPr>
          <w:rFonts w:ascii="Arial" w:hAnsi="Arial" w:cs="Arial"/>
          <w:color w:val="000000" w:themeColor="text1"/>
        </w:rPr>
        <w:t xml:space="preserve">ata &amp; </w:t>
      </w:r>
      <w:r w:rsidR="002C5AE9" w:rsidRPr="00E121F4">
        <w:rPr>
          <w:rFonts w:ascii="Arial" w:hAnsi="Arial" w:cs="Arial"/>
          <w:color w:val="000000" w:themeColor="text1"/>
        </w:rPr>
        <w:t>a</w:t>
      </w:r>
      <w:r w:rsidRPr="00E121F4">
        <w:rPr>
          <w:rFonts w:ascii="Arial" w:hAnsi="Arial" w:cs="Arial"/>
          <w:color w:val="000000" w:themeColor="text1"/>
        </w:rPr>
        <w:t xml:space="preserve">nalytics). Negative and low loadings for traditional </w:t>
      </w:r>
      <w:r w:rsidR="002C5AE9" w:rsidRPr="00E121F4">
        <w:rPr>
          <w:rFonts w:ascii="Arial" w:hAnsi="Arial" w:cs="Arial"/>
          <w:color w:val="000000" w:themeColor="text1"/>
        </w:rPr>
        <w:t>transaction costs</w:t>
      </w:r>
      <w:r w:rsidRPr="00E121F4">
        <w:rPr>
          <w:rFonts w:ascii="Arial" w:hAnsi="Arial" w:cs="Arial"/>
          <w:color w:val="000000" w:themeColor="text1"/>
        </w:rPr>
        <w:t xml:space="preserve"> such as listing and cash trading indicate that these activities do not align well with the latent transaction-cost construct for XYZ. In contrast, extremely high loadings for data, information, and connectivity services highlight their central role in XYZ’s revenue architecture.</w:t>
      </w:r>
    </w:p>
    <w:p w14:paraId="0BB26C6B" w14:textId="70250458"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The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o</w:t>
      </w:r>
      <w:r w:rsidRPr="00E121F4">
        <w:rPr>
          <w:rFonts w:ascii="Arial" w:hAnsi="Arial" w:cs="Arial"/>
          <w:color w:val="000000" w:themeColor="text1"/>
        </w:rPr>
        <w:t>perations construct exhibits strong loadings across all indicators (0.786</w:t>
      </w:r>
      <w:r w:rsidR="002C5AE9" w:rsidRPr="00E121F4">
        <w:rPr>
          <w:rFonts w:ascii="Arial" w:hAnsi="Arial" w:cs="Arial"/>
          <w:color w:val="000000" w:themeColor="text1"/>
        </w:rPr>
        <w:t xml:space="preserve"> to </w:t>
      </w:r>
      <w:r w:rsidRPr="00E121F4">
        <w:rPr>
          <w:rFonts w:ascii="Arial" w:hAnsi="Arial" w:cs="Arial"/>
          <w:color w:val="000000" w:themeColor="text1"/>
        </w:rPr>
        <w:t>0.984), confirming that personnel</w:t>
      </w:r>
      <w:r w:rsidR="002C5AE9" w:rsidRPr="00E121F4">
        <w:rPr>
          <w:rFonts w:ascii="Arial" w:hAnsi="Arial" w:cs="Arial"/>
          <w:color w:val="000000" w:themeColor="text1"/>
        </w:rPr>
        <w:t>/staff</w:t>
      </w:r>
      <w:r w:rsidRPr="00E121F4">
        <w:rPr>
          <w:rFonts w:ascii="Arial" w:hAnsi="Arial" w:cs="Arial"/>
          <w:color w:val="000000" w:themeColor="text1"/>
        </w:rPr>
        <w:t xml:space="preserve"> costs, other operating expenses, depreciation, and headcount reliably represent operational intensity. Notably, </w:t>
      </w:r>
      <w:r w:rsidR="002C5AE9" w:rsidRPr="00E121F4">
        <w:rPr>
          <w:rFonts w:ascii="Arial" w:hAnsi="Arial" w:cs="Arial"/>
          <w:color w:val="000000" w:themeColor="text1"/>
        </w:rPr>
        <w:t>o</w:t>
      </w:r>
      <w:r w:rsidRPr="00E121F4">
        <w:rPr>
          <w:rFonts w:ascii="Arial" w:hAnsi="Arial" w:cs="Arial"/>
          <w:color w:val="000000" w:themeColor="text1"/>
        </w:rPr>
        <w:t xml:space="preserve">ther </w:t>
      </w:r>
      <w:r w:rsidR="002C5AE9" w:rsidRPr="00E121F4">
        <w:rPr>
          <w:rFonts w:ascii="Arial" w:hAnsi="Arial" w:cs="Arial"/>
          <w:color w:val="000000" w:themeColor="text1"/>
        </w:rPr>
        <w:t>o</w:t>
      </w:r>
      <w:r w:rsidRPr="00E121F4">
        <w:rPr>
          <w:rFonts w:ascii="Arial" w:hAnsi="Arial" w:cs="Arial"/>
          <w:color w:val="000000" w:themeColor="text1"/>
        </w:rPr>
        <w:t xml:space="preserve">perating </w:t>
      </w:r>
      <w:r w:rsidR="002C5AE9" w:rsidRPr="00E121F4">
        <w:rPr>
          <w:rFonts w:ascii="Arial" w:hAnsi="Arial" w:cs="Arial"/>
          <w:color w:val="000000" w:themeColor="text1"/>
        </w:rPr>
        <w:t>c</w:t>
      </w:r>
      <w:r w:rsidRPr="00E121F4">
        <w:rPr>
          <w:rFonts w:ascii="Arial" w:hAnsi="Arial" w:cs="Arial"/>
          <w:color w:val="000000" w:themeColor="text1"/>
        </w:rPr>
        <w:t>osts show the highest loading, which may reflect a more technology-driven cost structure with substantial ongoing platform expenses.</w:t>
      </w:r>
    </w:p>
    <w:p w14:paraId="56F607C8" w14:textId="3C294F3E"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For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t</w:t>
      </w:r>
      <w:r w:rsidRPr="00E121F4">
        <w:rPr>
          <w:rFonts w:ascii="Arial" w:hAnsi="Arial" w:cs="Arial"/>
          <w:color w:val="000000" w:themeColor="text1"/>
        </w:rPr>
        <w:t xml:space="preserve">ransactions, the indicators range from 0.888 </w:t>
      </w:r>
      <w:r w:rsidR="002C5AE9" w:rsidRPr="00E121F4">
        <w:rPr>
          <w:rFonts w:ascii="Arial" w:hAnsi="Arial" w:cs="Arial"/>
          <w:color w:val="000000" w:themeColor="text1"/>
        </w:rPr>
        <w:t xml:space="preserve">for </w:t>
      </w:r>
      <w:r w:rsidRPr="00E121F4">
        <w:rPr>
          <w:rFonts w:ascii="Arial" w:hAnsi="Arial" w:cs="Arial"/>
          <w:color w:val="000000" w:themeColor="text1"/>
        </w:rPr>
        <w:t xml:space="preserve">Off-EOB </w:t>
      </w:r>
      <w:r w:rsidR="002C5AE9" w:rsidRPr="00E121F4">
        <w:rPr>
          <w:rFonts w:ascii="Arial" w:hAnsi="Arial" w:cs="Arial"/>
          <w:color w:val="000000" w:themeColor="text1"/>
        </w:rPr>
        <w:t>t</w:t>
      </w:r>
      <w:r w:rsidRPr="00E121F4">
        <w:rPr>
          <w:rFonts w:ascii="Arial" w:hAnsi="Arial" w:cs="Arial"/>
          <w:color w:val="000000" w:themeColor="text1"/>
        </w:rPr>
        <w:t xml:space="preserve">urnover to 0.950 </w:t>
      </w:r>
      <w:r w:rsidR="002C5AE9" w:rsidRPr="00E121F4">
        <w:rPr>
          <w:rFonts w:ascii="Arial" w:hAnsi="Arial" w:cs="Arial"/>
          <w:color w:val="000000" w:themeColor="text1"/>
        </w:rPr>
        <w:t xml:space="preserve">for </w:t>
      </w:r>
      <w:r w:rsidRPr="00E121F4">
        <w:rPr>
          <w:rFonts w:ascii="Arial" w:hAnsi="Arial" w:cs="Arial"/>
          <w:color w:val="000000" w:themeColor="text1"/>
        </w:rPr>
        <w:t xml:space="preserve">EOB </w:t>
      </w:r>
      <w:r w:rsidR="002C5AE9" w:rsidRPr="00E121F4">
        <w:rPr>
          <w:rFonts w:ascii="Arial" w:hAnsi="Arial" w:cs="Arial"/>
          <w:color w:val="000000" w:themeColor="text1"/>
        </w:rPr>
        <w:t>t</w:t>
      </w:r>
      <w:r w:rsidRPr="00E121F4">
        <w:rPr>
          <w:rFonts w:ascii="Arial" w:hAnsi="Arial" w:cs="Arial"/>
          <w:color w:val="000000" w:themeColor="text1"/>
        </w:rPr>
        <w:t xml:space="preserve">rading </w:t>
      </w:r>
      <w:r w:rsidR="002C5AE9" w:rsidRPr="00E121F4">
        <w:rPr>
          <w:rFonts w:ascii="Arial" w:hAnsi="Arial" w:cs="Arial"/>
          <w:color w:val="000000" w:themeColor="text1"/>
        </w:rPr>
        <w:t>d</w:t>
      </w:r>
      <w:r w:rsidRPr="00E121F4">
        <w:rPr>
          <w:rFonts w:ascii="Arial" w:hAnsi="Arial" w:cs="Arial"/>
          <w:color w:val="000000" w:themeColor="text1"/>
        </w:rPr>
        <w:t xml:space="preserve">ays. All values fall within a very strong range, indicating that transactional activity is consistently measured and remains an important input to the operational system, even if its influence on </w:t>
      </w:r>
      <w:r w:rsidR="002C5AE9" w:rsidRPr="00E121F4">
        <w:rPr>
          <w:rFonts w:ascii="Arial" w:hAnsi="Arial" w:cs="Arial"/>
          <w:color w:val="000000" w:themeColor="text1"/>
        </w:rPr>
        <w:t>transaction costs</w:t>
      </w:r>
      <w:r w:rsidRPr="00E121F4">
        <w:rPr>
          <w:rFonts w:ascii="Arial" w:hAnsi="Arial" w:cs="Arial"/>
          <w:color w:val="000000" w:themeColor="text1"/>
        </w:rPr>
        <w:t xml:space="preserve"> is more muted compared to ABC.</w:t>
      </w:r>
    </w:p>
    <w:p w14:paraId="3795655D" w14:textId="1853379E"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Market </w:t>
      </w:r>
      <w:r w:rsidR="002C5AE9" w:rsidRPr="00E121F4">
        <w:rPr>
          <w:rFonts w:ascii="Arial" w:hAnsi="Arial" w:cs="Arial"/>
          <w:color w:val="000000" w:themeColor="text1"/>
        </w:rPr>
        <w:t>e</w:t>
      </w:r>
      <w:r w:rsidRPr="00E121F4">
        <w:rPr>
          <w:rFonts w:ascii="Arial" w:hAnsi="Arial" w:cs="Arial"/>
          <w:color w:val="000000" w:themeColor="text1"/>
        </w:rPr>
        <w:t xml:space="preserve">conomics indicators range from 0.518 </w:t>
      </w:r>
      <w:r w:rsidR="002C5AE9" w:rsidRPr="00E121F4">
        <w:rPr>
          <w:rFonts w:ascii="Arial" w:hAnsi="Arial" w:cs="Arial"/>
          <w:color w:val="000000" w:themeColor="text1"/>
        </w:rPr>
        <w:t>for m</w:t>
      </w:r>
      <w:r w:rsidRPr="00E121F4">
        <w:rPr>
          <w:rFonts w:ascii="Arial" w:hAnsi="Arial" w:cs="Arial"/>
          <w:color w:val="000000" w:themeColor="text1"/>
        </w:rPr>
        <w:t xml:space="preserve">arket </w:t>
      </w:r>
      <w:r w:rsidR="002C5AE9" w:rsidRPr="00E121F4">
        <w:rPr>
          <w:rFonts w:ascii="Arial" w:hAnsi="Arial" w:cs="Arial"/>
          <w:color w:val="000000" w:themeColor="text1"/>
        </w:rPr>
        <w:t>c</w:t>
      </w:r>
      <w:r w:rsidRPr="00E121F4">
        <w:rPr>
          <w:rFonts w:ascii="Arial" w:hAnsi="Arial" w:cs="Arial"/>
          <w:color w:val="000000" w:themeColor="text1"/>
        </w:rPr>
        <w:t xml:space="preserve">apitalization to 0.993 </w:t>
      </w:r>
      <w:r w:rsidR="002C5AE9" w:rsidRPr="00E121F4">
        <w:rPr>
          <w:rFonts w:ascii="Arial" w:hAnsi="Arial" w:cs="Arial"/>
          <w:color w:val="000000" w:themeColor="text1"/>
        </w:rPr>
        <w:t>for t</w:t>
      </w:r>
      <w:r w:rsidRPr="00E121F4">
        <w:rPr>
          <w:rFonts w:ascii="Arial" w:hAnsi="Arial" w:cs="Arial"/>
          <w:color w:val="000000" w:themeColor="text1"/>
        </w:rPr>
        <w:t xml:space="preserve">otal </w:t>
      </w:r>
      <w:r w:rsidR="002C5AE9" w:rsidRPr="00E121F4">
        <w:rPr>
          <w:rFonts w:ascii="Arial" w:hAnsi="Arial" w:cs="Arial"/>
          <w:color w:val="000000" w:themeColor="text1"/>
        </w:rPr>
        <w:t>l</w:t>
      </w:r>
      <w:r w:rsidRPr="00E121F4">
        <w:rPr>
          <w:rFonts w:ascii="Arial" w:hAnsi="Arial" w:cs="Arial"/>
          <w:color w:val="000000" w:themeColor="text1"/>
        </w:rPr>
        <w:t xml:space="preserve">istings. The highest loadings are associated with listing measures </w:t>
      </w:r>
      <w:r w:rsidR="002C5AE9" w:rsidRPr="00E121F4">
        <w:rPr>
          <w:rFonts w:ascii="Arial" w:hAnsi="Arial" w:cs="Arial"/>
          <w:color w:val="000000" w:themeColor="text1"/>
        </w:rPr>
        <w:t>–</w:t>
      </w:r>
      <w:r w:rsidRPr="00E121F4">
        <w:rPr>
          <w:rFonts w:ascii="Arial" w:hAnsi="Arial" w:cs="Arial"/>
          <w:color w:val="000000" w:themeColor="text1"/>
        </w:rPr>
        <w:t xml:space="preserve"> particularly domestic listings </w:t>
      </w:r>
      <w:r w:rsidR="002C5AE9" w:rsidRPr="00E121F4">
        <w:rPr>
          <w:rFonts w:ascii="Arial" w:hAnsi="Arial" w:cs="Arial"/>
          <w:color w:val="000000" w:themeColor="text1"/>
        </w:rPr>
        <w:t>–</w:t>
      </w:r>
      <w:r w:rsidRPr="00E121F4">
        <w:rPr>
          <w:rFonts w:ascii="Arial" w:hAnsi="Arial" w:cs="Arial"/>
          <w:color w:val="000000" w:themeColor="text1"/>
        </w:rPr>
        <w:t xml:space="preserve"> underscoring their importance as a representation of the market environment. The lower loading on </w:t>
      </w:r>
      <w:r w:rsidR="002C5AE9" w:rsidRPr="00E121F4">
        <w:rPr>
          <w:rFonts w:ascii="Arial" w:hAnsi="Arial" w:cs="Arial"/>
          <w:color w:val="000000" w:themeColor="text1"/>
        </w:rPr>
        <w:t>m</w:t>
      </w:r>
      <w:r w:rsidRPr="00E121F4">
        <w:rPr>
          <w:rFonts w:ascii="Arial" w:hAnsi="Arial" w:cs="Arial"/>
          <w:color w:val="000000" w:themeColor="text1"/>
        </w:rPr>
        <w:t xml:space="preserve">arket </w:t>
      </w:r>
      <w:r w:rsidR="002C5AE9" w:rsidRPr="00E121F4">
        <w:rPr>
          <w:rFonts w:ascii="Arial" w:hAnsi="Arial" w:cs="Arial"/>
          <w:color w:val="000000" w:themeColor="text1"/>
        </w:rPr>
        <w:t>c</w:t>
      </w:r>
      <w:r w:rsidRPr="00E121F4">
        <w:rPr>
          <w:rFonts w:ascii="Arial" w:hAnsi="Arial" w:cs="Arial"/>
          <w:color w:val="000000" w:themeColor="text1"/>
        </w:rPr>
        <w:t>apitalization suggests that capitalization fluctuations may be less central to XYZ’s strategic orientation.</w:t>
      </w:r>
    </w:p>
    <w:p w14:paraId="795E753A" w14:textId="77777777"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3.3.3 Analytical Summary</w:t>
      </w:r>
    </w:p>
    <w:p w14:paraId="7E5F6417" w14:textId="04E637FB" w:rsidR="00B7249B" w:rsidRPr="00E121F4" w:rsidRDefault="00B7249B" w:rsidP="00B7249B">
      <w:pPr>
        <w:pStyle w:val="Body"/>
        <w:spacing w:after="0"/>
        <w:rPr>
          <w:rFonts w:ascii="Arial" w:hAnsi="Arial" w:cs="Arial"/>
          <w:color w:val="000000" w:themeColor="text1"/>
        </w:rPr>
      </w:pPr>
      <w:r w:rsidRPr="00E121F4">
        <w:rPr>
          <w:rFonts w:ascii="Arial" w:hAnsi="Arial" w:cs="Arial"/>
          <w:color w:val="000000" w:themeColor="text1"/>
        </w:rPr>
        <w:t>The XYZ Group exhibits transaction</w:t>
      </w:r>
      <w:r w:rsidR="002C5AE9" w:rsidRPr="00E121F4">
        <w:rPr>
          <w:rFonts w:ascii="Arial" w:hAnsi="Arial" w:cs="Arial"/>
          <w:color w:val="000000" w:themeColor="text1"/>
        </w:rPr>
        <w:t xml:space="preserve"> </w:t>
      </w:r>
      <w:r w:rsidRPr="00E121F4">
        <w:rPr>
          <w:rFonts w:ascii="Arial" w:hAnsi="Arial" w:cs="Arial"/>
          <w:color w:val="000000" w:themeColor="text1"/>
        </w:rPr>
        <w:t>cost structure</w:t>
      </w:r>
      <w:r w:rsidR="002C5AE9" w:rsidRPr="00E121F4">
        <w:rPr>
          <w:rFonts w:ascii="Arial" w:hAnsi="Arial" w:cs="Arial"/>
          <w:color w:val="000000" w:themeColor="text1"/>
        </w:rPr>
        <w:t>s</w:t>
      </w:r>
      <w:r w:rsidRPr="00E121F4">
        <w:rPr>
          <w:rFonts w:ascii="Arial" w:hAnsi="Arial" w:cs="Arial"/>
          <w:color w:val="000000" w:themeColor="text1"/>
        </w:rPr>
        <w:t xml:space="preserve"> that </w:t>
      </w:r>
      <w:r w:rsidR="002C5AE9" w:rsidRPr="00E121F4">
        <w:rPr>
          <w:rFonts w:ascii="Arial" w:hAnsi="Arial" w:cs="Arial"/>
          <w:color w:val="000000" w:themeColor="text1"/>
        </w:rPr>
        <w:t>are</w:t>
      </w:r>
      <w:r w:rsidRPr="00E121F4">
        <w:rPr>
          <w:rFonts w:ascii="Arial" w:hAnsi="Arial" w:cs="Arial"/>
          <w:color w:val="000000" w:themeColor="text1"/>
        </w:rPr>
        <w:t xml:space="preserve"> fundamentally different from that of the ABC Group. Operational intensity is the dominant direct driver of transaction costs, while trading activity plays a secondary role and market characteristics display negative effects. This reflects a strategic orientation toward scalable, data-driven, and technology-enabled services, in which growth in listings and market size may reduce marginal infrastructure burdens rather than increase them. The measurement model reinforces this interpretation: post-trading and especially </w:t>
      </w:r>
      <w:r w:rsidR="002C5AE9" w:rsidRPr="00E121F4">
        <w:rPr>
          <w:rFonts w:ascii="Arial" w:hAnsi="Arial" w:cs="Arial"/>
          <w:color w:val="000000" w:themeColor="text1"/>
        </w:rPr>
        <w:t xml:space="preserve">index, </w:t>
      </w:r>
      <w:r w:rsidRPr="00E121F4">
        <w:rPr>
          <w:rFonts w:ascii="Arial" w:hAnsi="Arial" w:cs="Arial"/>
          <w:color w:val="000000" w:themeColor="text1"/>
        </w:rPr>
        <w:t>information</w:t>
      </w:r>
      <w:r w:rsidR="002C5AE9" w:rsidRPr="00E121F4">
        <w:rPr>
          <w:rFonts w:ascii="Arial" w:hAnsi="Arial" w:cs="Arial"/>
          <w:color w:val="000000" w:themeColor="text1"/>
        </w:rPr>
        <w:t>,</w:t>
      </w:r>
      <w:r w:rsidRPr="00E121F4">
        <w:rPr>
          <w:rFonts w:ascii="Arial" w:hAnsi="Arial" w:cs="Arial"/>
          <w:color w:val="000000" w:themeColor="text1"/>
        </w:rPr>
        <w:t xml:space="preserve"> data </w:t>
      </w:r>
      <w:r w:rsidR="002C5AE9" w:rsidRPr="00E121F4">
        <w:rPr>
          <w:rFonts w:ascii="Arial" w:hAnsi="Arial" w:cs="Arial"/>
          <w:color w:val="000000" w:themeColor="text1"/>
        </w:rPr>
        <w:t xml:space="preserve">&amp; analytics </w:t>
      </w:r>
      <w:r w:rsidRPr="00E121F4">
        <w:rPr>
          <w:rFonts w:ascii="Arial" w:hAnsi="Arial" w:cs="Arial"/>
          <w:color w:val="000000" w:themeColor="text1"/>
        </w:rPr>
        <w:t xml:space="preserve">services are core elements of the </w:t>
      </w:r>
      <w:r w:rsidR="002C5AE9" w:rsidRPr="00E121F4">
        <w:rPr>
          <w:rFonts w:ascii="Arial" w:hAnsi="Arial" w:cs="Arial"/>
          <w:color w:val="000000" w:themeColor="text1"/>
        </w:rPr>
        <w:t>transaction cost</w:t>
      </w:r>
      <w:r w:rsidRPr="00E121F4">
        <w:rPr>
          <w:rFonts w:ascii="Arial" w:hAnsi="Arial" w:cs="Arial"/>
          <w:color w:val="000000" w:themeColor="text1"/>
        </w:rPr>
        <w:t xml:space="preserve"> structure, whereas traditional listing or trading play a diminished or inconsistent role. In sum, XYZ Group appears to operate a leaner, more technology-intensive business model, where cost dynamics are shaped less by transaction volumes and more by operational efficiency and service diversification.</w:t>
      </w:r>
    </w:p>
    <w:p w14:paraId="40A23B1F" w14:textId="77777777" w:rsidR="00FD78CB" w:rsidRPr="00E121F4" w:rsidRDefault="00FD78CB" w:rsidP="00FD78CB">
      <w:pPr>
        <w:pStyle w:val="Body"/>
        <w:spacing w:after="0"/>
        <w:rPr>
          <w:rFonts w:ascii="Arial" w:hAnsi="Arial" w:cs="Arial"/>
          <w:color w:val="000000" w:themeColor="text1"/>
        </w:rPr>
      </w:pPr>
    </w:p>
    <w:p w14:paraId="31E11F96" w14:textId="53B2237F"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multigroup PLS-SEM model for the XYZ Group is illustrated in figure 3.</w:t>
      </w:r>
    </w:p>
    <w:p w14:paraId="65161309" w14:textId="77777777" w:rsidR="00B7249B" w:rsidRPr="00E121F4" w:rsidRDefault="00B7249B" w:rsidP="00FD78CB">
      <w:pPr>
        <w:pStyle w:val="Body"/>
        <w:spacing w:after="0"/>
        <w:rPr>
          <w:rFonts w:ascii="Arial" w:hAnsi="Arial" w:cs="Arial"/>
          <w:color w:val="000000" w:themeColor="text1"/>
        </w:rPr>
      </w:pPr>
    </w:p>
    <w:p w14:paraId="2AC2DFB7" w14:textId="2FA31389" w:rsidR="00FD78CB" w:rsidRPr="00E121F4" w:rsidRDefault="00B7249B" w:rsidP="00FD78CB">
      <w:pPr>
        <w:pStyle w:val="Body"/>
        <w:spacing w:after="0"/>
        <w:rPr>
          <w:rFonts w:ascii="Arial" w:hAnsi="Arial" w:cs="Arial"/>
          <w:color w:val="000000" w:themeColor="text1"/>
        </w:rPr>
      </w:pPr>
      <w:r w:rsidRPr="00E121F4">
        <w:rPr>
          <w:noProof/>
          <w:color w:val="000000" w:themeColor="text1"/>
        </w:rPr>
        <w:lastRenderedPageBreak/>
        <w:drawing>
          <wp:inline distT="0" distB="0" distL="0" distR="0" wp14:anchorId="1E313222" wp14:editId="70D9DE4B">
            <wp:extent cx="5212080" cy="1978730"/>
            <wp:effectExtent l="0" t="0" r="0" b="2540"/>
            <wp:docPr id="1107191827"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91827" name="Picture 1" descr="A diagram of a group&#10;&#10;Description automatically generated"/>
                    <pic:cNvPicPr/>
                  </pic:nvPicPr>
                  <pic:blipFill rotWithShape="1">
                    <a:blip r:embed="rId16"/>
                    <a:srcRect t="4134"/>
                    <a:stretch/>
                  </pic:blipFill>
                  <pic:spPr bwMode="auto">
                    <a:xfrm>
                      <a:off x="0" y="0"/>
                      <a:ext cx="5212080" cy="1978730"/>
                    </a:xfrm>
                    <a:prstGeom prst="rect">
                      <a:avLst/>
                    </a:prstGeom>
                    <a:ln>
                      <a:noFill/>
                    </a:ln>
                    <a:extLst>
                      <a:ext uri="{53640926-AAD7-44D8-BBD7-CCE9431645EC}">
                        <a14:shadowObscured xmlns:a14="http://schemas.microsoft.com/office/drawing/2010/main"/>
                      </a:ext>
                    </a:extLst>
                  </pic:spPr>
                </pic:pic>
              </a:graphicData>
            </a:graphic>
          </wp:inline>
        </w:drawing>
      </w:r>
    </w:p>
    <w:p w14:paraId="110D45F3" w14:textId="713E91AE" w:rsidR="00FD78CB" w:rsidRPr="00E121F4" w:rsidRDefault="00FD78CB" w:rsidP="00FD78CB">
      <w:pPr>
        <w:pStyle w:val="Body"/>
        <w:spacing w:after="0"/>
        <w:rPr>
          <w:rFonts w:ascii="Arial" w:hAnsi="Arial" w:cs="Arial"/>
          <w:color w:val="000000" w:themeColor="text1"/>
        </w:rPr>
      </w:pPr>
    </w:p>
    <w:p w14:paraId="45414648" w14:textId="6A3352A7" w:rsidR="00FD78CB" w:rsidRPr="00E121F4" w:rsidRDefault="00FD78CB" w:rsidP="00FD78CB">
      <w:pPr>
        <w:pStyle w:val="Body"/>
        <w:spacing w:after="0"/>
        <w:jc w:val="center"/>
        <w:rPr>
          <w:rFonts w:ascii="Arial" w:hAnsi="Arial" w:cs="Arial"/>
          <w:b/>
          <w:bCs/>
          <w:color w:val="000000" w:themeColor="text1"/>
        </w:rPr>
      </w:pPr>
      <w:r w:rsidRPr="00E121F4">
        <w:rPr>
          <w:rFonts w:ascii="Arial" w:hAnsi="Arial" w:cs="Arial"/>
          <w:b/>
          <w:bCs/>
          <w:color w:val="000000" w:themeColor="text1"/>
        </w:rPr>
        <w:t>Fig.</w:t>
      </w:r>
      <w:r w:rsidR="00C46F82" w:rsidRPr="00E121F4">
        <w:rPr>
          <w:rFonts w:ascii="Arial" w:hAnsi="Arial" w:cs="Arial"/>
          <w:b/>
          <w:bCs/>
          <w:color w:val="000000" w:themeColor="text1"/>
        </w:rPr>
        <w:t xml:space="preserve"> </w:t>
      </w:r>
      <w:r w:rsidRPr="00E121F4">
        <w:rPr>
          <w:rFonts w:ascii="Arial" w:hAnsi="Arial" w:cs="Arial"/>
          <w:b/>
          <w:bCs/>
          <w:color w:val="000000" w:themeColor="text1"/>
        </w:rPr>
        <w:t xml:space="preserve">3 </w:t>
      </w:r>
      <w:r w:rsidR="00721374" w:rsidRPr="00E121F4">
        <w:rPr>
          <w:rFonts w:ascii="Arial" w:hAnsi="Arial" w:cs="Arial"/>
          <w:b/>
          <w:bCs/>
          <w:color w:val="000000" w:themeColor="text1"/>
        </w:rPr>
        <w:t xml:space="preserve">Transaction Cost Analysis </w:t>
      </w:r>
      <w:r w:rsidR="00B7249B" w:rsidRPr="00E121F4">
        <w:rPr>
          <w:rFonts w:ascii="Arial" w:hAnsi="Arial" w:cs="Arial"/>
          <w:b/>
          <w:bCs/>
          <w:color w:val="000000" w:themeColor="text1"/>
        </w:rPr>
        <w:t>XYZ</w:t>
      </w:r>
      <w:r w:rsidR="00721374" w:rsidRPr="00E121F4">
        <w:rPr>
          <w:rFonts w:ascii="Arial" w:hAnsi="Arial" w:cs="Arial"/>
          <w:b/>
          <w:bCs/>
          <w:color w:val="000000" w:themeColor="text1"/>
        </w:rPr>
        <w:t xml:space="preserve"> – Multi-Group-Analysis</w:t>
      </w:r>
      <w:r w:rsidR="00721374" w:rsidRPr="00E121F4">
        <w:rPr>
          <w:rStyle w:val="FootnoteReference"/>
          <w:rFonts w:ascii="Arial" w:hAnsi="Arial" w:cs="Arial"/>
          <w:b/>
          <w:bCs/>
          <w:color w:val="000000" w:themeColor="text1"/>
        </w:rPr>
        <w:t xml:space="preserve"> </w:t>
      </w:r>
      <w:r w:rsidRPr="00E121F4">
        <w:rPr>
          <w:rStyle w:val="FootnoteReference"/>
          <w:rFonts w:ascii="Arial" w:hAnsi="Arial" w:cs="Arial"/>
          <w:b/>
          <w:bCs/>
          <w:color w:val="000000" w:themeColor="text1"/>
        </w:rPr>
        <w:footnoteReference w:id="18"/>
      </w:r>
    </w:p>
    <w:p w14:paraId="74320B2D" w14:textId="77777777" w:rsidR="00FD78CB" w:rsidRPr="00E121F4" w:rsidRDefault="00FD78CB" w:rsidP="00FD78CB">
      <w:pPr>
        <w:pStyle w:val="Body"/>
        <w:spacing w:after="0"/>
        <w:rPr>
          <w:rFonts w:ascii="Arial" w:hAnsi="Arial" w:cs="Arial"/>
          <w:b/>
          <w:bCs/>
          <w:color w:val="000000" w:themeColor="text1"/>
        </w:rPr>
      </w:pPr>
    </w:p>
    <w:p w14:paraId="56462B00" w14:textId="13B575BB" w:rsidR="00FD78CB" w:rsidRPr="00E121F4" w:rsidRDefault="00FD78CB" w:rsidP="00FD78CB">
      <w:pPr>
        <w:pStyle w:val="Body"/>
        <w:spacing w:after="0"/>
        <w:rPr>
          <w:rFonts w:ascii="Arial" w:hAnsi="Arial" w:cs="Arial"/>
          <w:color w:val="000000" w:themeColor="text1"/>
        </w:rPr>
      </w:pPr>
      <w:r w:rsidRPr="00E121F4">
        <w:rPr>
          <w:rFonts w:ascii="Arial" w:hAnsi="Arial" w:cs="Arial"/>
          <w:b/>
          <w:bCs/>
          <w:color w:val="000000" w:themeColor="text1"/>
        </w:rPr>
        <w:t>3.4 Permutation Multi-Group-Analysis (MGA) Path Coefficients</w:t>
      </w:r>
      <w:r w:rsidR="001E0339" w:rsidRPr="00E121F4">
        <w:rPr>
          <w:rFonts w:ascii="Arial" w:hAnsi="Arial" w:cs="Arial"/>
          <w:b/>
          <w:bCs/>
          <w:color w:val="000000" w:themeColor="text1"/>
        </w:rPr>
        <w:t xml:space="preserve"> (β)</w:t>
      </w:r>
      <w:r w:rsidRPr="00E121F4">
        <w:rPr>
          <w:rFonts w:ascii="Arial" w:hAnsi="Arial" w:cs="Arial"/>
          <w:b/>
          <w:bCs/>
          <w:color w:val="000000" w:themeColor="text1"/>
        </w:rPr>
        <w:t xml:space="preserve"> with Permutation P-Value</w:t>
      </w:r>
      <w:r w:rsidR="001E0339" w:rsidRPr="00E121F4">
        <w:rPr>
          <w:rFonts w:ascii="Arial" w:hAnsi="Arial" w:cs="Arial"/>
          <w:b/>
          <w:bCs/>
          <w:color w:val="000000" w:themeColor="text1"/>
        </w:rPr>
        <w:t xml:space="preserve"> (PP)</w:t>
      </w:r>
      <w:r w:rsidRPr="00E121F4">
        <w:rPr>
          <w:rFonts w:ascii="Arial" w:hAnsi="Arial" w:cs="Arial"/>
          <w:b/>
          <w:bCs/>
          <w:color w:val="000000" w:themeColor="text1"/>
        </w:rPr>
        <w:t xml:space="preserve"> with Summary of Sub Hypotheses-Test Conclusion </w:t>
      </w:r>
    </w:p>
    <w:p w14:paraId="5CEC7431" w14:textId="77777777" w:rsidR="00FD78CB" w:rsidRPr="00E121F4" w:rsidRDefault="00FD78CB" w:rsidP="00FD78CB">
      <w:pPr>
        <w:pStyle w:val="Body"/>
        <w:spacing w:after="0"/>
        <w:rPr>
          <w:rFonts w:ascii="Arial" w:hAnsi="Arial" w:cs="Arial"/>
          <w:color w:val="000000" w:themeColor="text1"/>
        </w:rPr>
      </w:pPr>
    </w:p>
    <w:p w14:paraId="44C8FF05" w14:textId="72A0CB1D"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To assess whether the structural relationships within the TCE-FMI model differ systematically between ABC Group and XYZ Group, a permutation-based Multi-Group Analysis (MGA) was conducted using 10,000 permutations (two-tailed, α = 0.05). MGA evaluates whether the path coefficients between constructs differ significantly across groups by comparing observed coefficient differences against a non-parametric reference distribution. The results are summarized in Table 1 (path coefficients and permutation statistics) and Table 2 (hypothesis testing summary).</w:t>
      </w:r>
    </w:p>
    <w:p w14:paraId="18C642E4" w14:textId="6AB788EE"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1</w:t>
      </w:r>
      <w:r w:rsidRPr="00E121F4">
        <w:rPr>
          <w:rFonts w:ascii="Arial" w:hAnsi="Arial" w:cs="Arial"/>
          <w:color w:val="000000" w:themeColor="text1"/>
        </w:rPr>
        <w:t>: Infrastructure transactions on transaction costs: The relationship between infrastructure transactions and transaction costs differs significantly across the two groups (PP = 0.001). ABC Group exhibits a notably stronger positive effect (β = 0.726) compared to XYZ Group (β = 0.324), yielding an original difference of 0.403. This indicates that ABC Group’s cost structure is more sensitive to trading volume, turnover, and market volatility. These findings preliminarily support H</w:t>
      </w:r>
      <w:r w:rsidRPr="00E121F4">
        <w:rPr>
          <w:rFonts w:ascii="Arial" w:hAnsi="Arial" w:cs="Arial"/>
          <w:color w:val="000000" w:themeColor="text1"/>
          <w:vertAlign w:val="subscript"/>
        </w:rPr>
        <w:t>1</w:t>
      </w:r>
      <w:r w:rsidRPr="00E121F4">
        <w:rPr>
          <w:rFonts w:ascii="Arial" w:hAnsi="Arial" w:cs="Arial"/>
          <w:color w:val="000000" w:themeColor="text1"/>
        </w:rPr>
        <w:t>, suggesting that ABC Group relies more heavily on volume-driven revenue and displays higher cost elasticity with respect to trading activity.</w:t>
      </w:r>
    </w:p>
    <w:p w14:paraId="00E9F4D7" w14:textId="25115D43"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2</w:t>
      </w:r>
      <w:r w:rsidRPr="00E121F4">
        <w:rPr>
          <w:rFonts w:ascii="Arial" w:hAnsi="Arial" w:cs="Arial"/>
          <w:color w:val="000000" w:themeColor="text1"/>
        </w:rPr>
        <w:t>: Infrastructure operations on transaction costs: The MGA reveals a statistically significant group difference (PP = 0.000), but in the opposite direction to what the hypothesis predicted. XYZ Group demonstrates a markedly stronger operational cost effect on transaction costs (β = 0.693) compared to ABC Group (β = 0.082), resulting in an original difference of –0.612. This implies that XYZ Group experiences a higher cost dependency on operational intensity – likely reflecting its strategic transformation into a more information-, technology-, and service-driven financial infrastructure provider. As the direction of the effect contradicts the expected pattern, H</w:t>
      </w:r>
      <w:r w:rsidRPr="00E121F4">
        <w:rPr>
          <w:rFonts w:ascii="Arial" w:hAnsi="Arial" w:cs="Arial"/>
          <w:color w:val="000000" w:themeColor="text1"/>
          <w:vertAlign w:val="subscript"/>
        </w:rPr>
        <w:t>2</w:t>
      </w:r>
      <w:r w:rsidRPr="00E121F4">
        <w:rPr>
          <w:rFonts w:ascii="Arial" w:hAnsi="Arial" w:cs="Arial"/>
          <w:color w:val="000000" w:themeColor="text1"/>
        </w:rPr>
        <w:t xml:space="preserve"> is not confirmed.</w:t>
      </w:r>
    </w:p>
    <w:p w14:paraId="2064ED3D" w14:textId="33D951BA"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3</w:t>
      </w:r>
      <w:r w:rsidRPr="00E121F4">
        <w:rPr>
          <w:rFonts w:ascii="Arial" w:hAnsi="Arial" w:cs="Arial"/>
          <w:color w:val="000000" w:themeColor="text1"/>
        </w:rPr>
        <w:t xml:space="preserve">: Market economics on transaction costs: Market economics shows a significant difference between the two groups (PP = 0.000). ABC Group displays a positive effect (β = 0.362), whereas XYZ Group shows a negative coefficient (β = –0.135), producing an original difference of 0.497. This suggests that ABC Group’s transaction cost dynamics remain positively linked to market size and listing activity, whereas XYZ Group benefits from cost efficiencies and liquidity mobility – potentially due to cross-border competition and harmonized </w:t>
      </w:r>
      <w:r w:rsidRPr="00E121F4">
        <w:rPr>
          <w:rFonts w:ascii="Arial" w:hAnsi="Arial" w:cs="Arial"/>
          <w:color w:val="000000" w:themeColor="text1"/>
        </w:rPr>
        <w:lastRenderedPageBreak/>
        <w:t>regulatory frameworks. Because the effect aligns with the hypothesized direction, H</w:t>
      </w:r>
      <w:r w:rsidRPr="00E121F4">
        <w:rPr>
          <w:rFonts w:ascii="Arial" w:hAnsi="Arial" w:cs="Arial"/>
          <w:color w:val="000000" w:themeColor="text1"/>
          <w:vertAlign w:val="subscript"/>
        </w:rPr>
        <w:t>3</w:t>
      </w:r>
      <w:r w:rsidRPr="00E121F4">
        <w:rPr>
          <w:rFonts w:ascii="Arial" w:hAnsi="Arial" w:cs="Arial"/>
          <w:color w:val="000000" w:themeColor="text1"/>
        </w:rPr>
        <w:t xml:space="preserve"> is preliminarily supported.</w:t>
      </w:r>
    </w:p>
    <w:p w14:paraId="76B52D9E" w14:textId="2602C139"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4</w:t>
      </w:r>
      <w:r w:rsidRPr="00E121F4">
        <w:rPr>
          <w:rFonts w:ascii="Arial" w:hAnsi="Arial" w:cs="Arial"/>
          <w:color w:val="000000" w:themeColor="text1"/>
        </w:rPr>
        <w:t>: Market economics on infrastructure operations</w:t>
      </w:r>
      <w:r w:rsidR="00BE2641" w:rsidRPr="00E121F4">
        <w:rPr>
          <w:rFonts w:ascii="Arial" w:hAnsi="Arial" w:cs="Arial"/>
          <w:color w:val="000000" w:themeColor="text1"/>
        </w:rPr>
        <w:t>:</w:t>
      </w:r>
      <w:r w:rsidRPr="00E121F4">
        <w:rPr>
          <w:rFonts w:ascii="Arial" w:hAnsi="Arial" w:cs="Arial"/>
          <w:color w:val="000000" w:themeColor="text1"/>
        </w:rPr>
        <w:t xml:space="preserve"> The strongest group difference is observed in H</w:t>
      </w:r>
      <w:r w:rsidR="00BE2641" w:rsidRPr="00E121F4">
        <w:rPr>
          <w:rFonts w:ascii="Arial" w:hAnsi="Arial" w:cs="Arial"/>
          <w:color w:val="000000" w:themeColor="text1"/>
          <w:vertAlign w:val="subscript"/>
        </w:rPr>
        <w:t>4</w:t>
      </w:r>
      <w:r w:rsidRPr="00E121F4">
        <w:rPr>
          <w:rFonts w:ascii="Arial" w:hAnsi="Arial" w:cs="Arial"/>
          <w:color w:val="000000" w:themeColor="text1"/>
        </w:rPr>
        <w:t xml:space="preserve"> (PP = 0.000). ABC Group shows a positive relationship (β = 0.519), whereas XYZ Group displays a negative effect (β = –0.622), resulting in an original difference of 1.141. For ABC Group, increases in market capitalization and listings translate into higher operational efforts</w:t>
      </w:r>
      <w:r w:rsidR="00BE2641" w:rsidRPr="00E121F4">
        <w:rPr>
          <w:rFonts w:ascii="Arial" w:hAnsi="Arial" w:cs="Arial"/>
          <w:color w:val="000000" w:themeColor="text1"/>
        </w:rPr>
        <w:t xml:space="preserve"> – </w:t>
      </w:r>
      <w:r w:rsidRPr="00E121F4">
        <w:rPr>
          <w:rFonts w:ascii="Arial" w:hAnsi="Arial" w:cs="Arial"/>
          <w:color w:val="000000" w:themeColor="text1"/>
        </w:rPr>
        <w:t xml:space="preserve">consistent with its traditional exchange-driven, listing-oriented business model. Conversely, the negative coefficient for XYZ Group indicates operational decoupling from market size as the </w:t>
      </w:r>
      <w:r w:rsidR="00BE2641" w:rsidRPr="00E121F4">
        <w:rPr>
          <w:rFonts w:ascii="Arial" w:hAnsi="Arial" w:cs="Arial"/>
          <w:color w:val="000000" w:themeColor="text1"/>
        </w:rPr>
        <w:t>organization</w:t>
      </w:r>
      <w:r w:rsidRPr="00E121F4">
        <w:rPr>
          <w:rFonts w:ascii="Arial" w:hAnsi="Arial" w:cs="Arial"/>
          <w:color w:val="000000" w:themeColor="text1"/>
        </w:rPr>
        <w:t xml:space="preserve"> relies increasingly on scalable digital and information services. This empirical evidence </w:t>
      </w:r>
      <w:r w:rsidR="00BE2641" w:rsidRPr="00E121F4">
        <w:rPr>
          <w:rFonts w:ascii="Arial" w:hAnsi="Arial" w:cs="Arial"/>
          <w:color w:val="000000" w:themeColor="text1"/>
        </w:rPr>
        <w:t xml:space="preserve">preliminarily </w:t>
      </w:r>
      <w:r w:rsidRPr="00E121F4">
        <w:rPr>
          <w:rFonts w:ascii="Arial" w:hAnsi="Arial" w:cs="Arial"/>
          <w:color w:val="000000" w:themeColor="text1"/>
        </w:rPr>
        <w:t>supports H</w:t>
      </w:r>
      <w:r w:rsidR="00BE2641" w:rsidRPr="00E121F4">
        <w:rPr>
          <w:rFonts w:ascii="Arial" w:hAnsi="Arial" w:cs="Arial"/>
          <w:color w:val="000000" w:themeColor="text1"/>
          <w:vertAlign w:val="subscript"/>
        </w:rPr>
        <w:t>4</w:t>
      </w:r>
      <w:r w:rsidRPr="00E121F4">
        <w:rPr>
          <w:rFonts w:ascii="Arial" w:hAnsi="Arial" w:cs="Arial"/>
          <w:color w:val="000000" w:themeColor="text1"/>
        </w:rPr>
        <w:t>.</w:t>
      </w:r>
    </w:p>
    <w:p w14:paraId="4ED1455C" w14:textId="10411DA3"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Infrastructure </w:t>
      </w:r>
      <w:r w:rsidR="00BE2641" w:rsidRPr="00E121F4">
        <w:rPr>
          <w:rFonts w:ascii="Arial" w:hAnsi="Arial" w:cs="Arial"/>
          <w:color w:val="000000" w:themeColor="text1"/>
        </w:rPr>
        <w:t>t</w:t>
      </w:r>
      <w:r w:rsidRPr="00E121F4">
        <w:rPr>
          <w:rFonts w:ascii="Arial" w:hAnsi="Arial" w:cs="Arial"/>
          <w:color w:val="000000" w:themeColor="text1"/>
        </w:rPr>
        <w:t xml:space="preserve">ransactions </w:t>
      </w:r>
      <w:r w:rsidR="00BE2641" w:rsidRPr="00E121F4">
        <w:rPr>
          <w:rFonts w:ascii="Arial" w:hAnsi="Arial" w:cs="Arial"/>
          <w:color w:val="000000" w:themeColor="text1"/>
        </w:rPr>
        <w:t>on</w:t>
      </w:r>
      <w:r w:rsidRPr="00E121F4">
        <w:rPr>
          <w:rFonts w:ascii="Arial" w:hAnsi="Arial" w:cs="Arial"/>
          <w:color w:val="000000" w:themeColor="text1"/>
        </w:rPr>
        <w:t xml:space="preserve"> </w:t>
      </w:r>
      <w:r w:rsidR="00BE2641" w:rsidRPr="00E121F4">
        <w:rPr>
          <w:rFonts w:ascii="Arial" w:hAnsi="Arial" w:cs="Arial"/>
          <w:color w:val="000000" w:themeColor="text1"/>
        </w:rPr>
        <w:t>i</w:t>
      </w:r>
      <w:r w:rsidRPr="00E121F4">
        <w:rPr>
          <w:rFonts w:ascii="Arial" w:hAnsi="Arial" w:cs="Arial"/>
          <w:color w:val="000000" w:themeColor="text1"/>
        </w:rPr>
        <w:t xml:space="preserve">nfrastructure </w:t>
      </w:r>
      <w:r w:rsidR="00BE2641" w:rsidRPr="00E121F4">
        <w:rPr>
          <w:rFonts w:ascii="Arial" w:hAnsi="Arial" w:cs="Arial"/>
          <w:color w:val="000000" w:themeColor="text1"/>
        </w:rPr>
        <w:t>o</w:t>
      </w:r>
      <w:r w:rsidRPr="00E121F4">
        <w:rPr>
          <w:rFonts w:ascii="Arial" w:hAnsi="Arial" w:cs="Arial"/>
          <w:color w:val="000000" w:themeColor="text1"/>
        </w:rPr>
        <w:t>perations</w:t>
      </w:r>
      <w:r w:rsidR="00BE2641" w:rsidRPr="00E121F4">
        <w:rPr>
          <w:rFonts w:ascii="Arial" w:hAnsi="Arial" w:cs="Arial"/>
          <w:color w:val="000000" w:themeColor="text1"/>
        </w:rPr>
        <w:t xml:space="preserve">: </w:t>
      </w:r>
      <w:r w:rsidRPr="00E121F4">
        <w:rPr>
          <w:rFonts w:ascii="Arial" w:hAnsi="Arial" w:cs="Arial"/>
          <w:color w:val="000000" w:themeColor="text1"/>
        </w:rPr>
        <w:t>The MGA for 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shows no statistically significant difference between the groups (PP = 0.091). Although ABC Group exhibits a slightly higher coefficient (β = 0.668) compared to XYZ Group (β = 0.542), the original difference of 0.125 falls within the permutation-based confidence bounds. This suggests that both groups maintain broadly comparable operational responses to trading activity</w:t>
      </w:r>
      <w:r w:rsidR="00BE2641" w:rsidRPr="00E121F4">
        <w:rPr>
          <w:rFonts w:ascii="Arial" w:hAnsi="Arial" w:cs="Arial"/>
          <w:color w:val="000000" w:themeColor="text1"/>
        </w:rPr>
        <w:t xml:space="preserve"> – </w:t>
      </w:r>
      <w:r w:rsidRPr="00E121F4">
        <w:rPr>
          <w:rFonts w:ascii="Arial" w:hAnsi="Arial" w:cs="Arial"/>
          <w:color w:val="000000" w:themeColor="text1"/>
        </w:rPr>
        <w:t>likely due to high automation and standardized clearing and settlement infrastructures across both market operators. Thus, 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is not confirmed.</w:t>
      </w:r>
    </w:p>
    <w:p w14:paraId="0214F7D4" w14:textId="37199B04" w:rsidR="001E0339" w:rsidRPr="00E121F4" w:rsidRDefault="00A6713D" w:rsidP="00FD78CB">
      <w:pPr>
        <w:pStyle w:val="Body"/>
        <w:rPr>
          <w:rFonts w:ascii="Arial" w:hAnsi="Arial" w:cs="Arial"/>
          <w:color w:val="000000" w:themeColor="text1"/>
        </w:rPr>
      </w:pPr>
      <w:r w:rsidRPr="00A6713D">
        <w:rPr>
          <w:rFonts w:ascii="Arial" w:hAnsi="Arial" w:cs="Arial"/>
          <w:noProof/>
          <w:color w:val="000000" w:themeColor="text1"/>
        </w:rPr>
        <w:object w:dxaOrig="19460" w:dyaOrig="2480" w14:anchorId="1A0B0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7pt;height:51.55pt;mso-width-percent:0;mso-height-percent:0;mso-width-percent:0;mso-height-percent:0" o:ole="">
            <v:imagedata r:id="rId17" o:title=""/>
          </v:shape>
          <o:OLEObject Type="Embed" ProgID="Excel.Sheet.12" ShapeID="_x0000_i1025" DrawAspect="Content" ObjectID="_1826466412" r:id="rId18"/>
        </w:object>
      </w:r>
    </w:p>
    <w:p w14:paraId="45ED234D" w14:textId="21439877" w:rsidR="00FD78CB" w:rsidRPr="00E121F4" w:rsidRDefault="00BE2641" w:rsidP="00575CFE">
      <w:pPr>
        <w:pStyle w:val="Body"/>
        <w:jc w:val="center"/>
        <w:rPr>
          <w:rFonts w:ascii="Arial" w:hAnsi="Arial" w:cs="Arial"/>
          <w:b/>
          <w:bCs/>
          <w:color w:val="000000" w:themeColor="text1"/>
        </w:rPr>
      </w:pPr>
      <w:r w:rsidRPr="00E121F4">
        <w:rPr>
          <w:rFonts w:ascii="Arial" w:hAnsi="Arial" w:cs="Arial"/>
          <w:b/>
          <w:bCs/>
          <w:color w:val="000000" w:themeColor="text1"/>
        </w:rPr>
        <w:t>Table 1. Permutation Multi-Group Analysis (MGA): Path Coefficients and Permutation Statistics</w:t>
      </w:r>
      <w:r w:rsidR="00FD78CB" w:rsidRPr="00E121F4">
        <w:rPr>
          <w:rStyle w:val="FootnoteReference"/>
          <w:rFonts w:ascii="Arial" w:hAnsi="Arial" w:cs="Arial"/>
          <w:b/>
          <w:bCs/>
          <w:color w:val="000000" w:themeColor="text1"/>
        </w:rPr>
        <w:footnoteReference w:id="19"/>
      </w:r>
    </w:p>
    <w:p w14:paraId="144938CD" w14:textId="270EA00F" w:rsidR="00B774AF" w:rsidRPr="00E121F4" w:rsidRDefault="00A6713D" w:rsidP="00FD78CB">
      <w:pPr>
        <w:pStyle w:val="Body"/>
        <w:rPr>
          <w:rFonts w:ascii="Arial" w:hAnsi="Arial" w:cs="Arial"/>
          <w:color w:val="000000" w:themeColor="text1"/>
        </w:rPr>
      </w:pPr>
      <w:r w:rsidRPr="00A6713D">
        <w:rPr>
          <w:rFonts w:ascii="Arial" w:hAnsi="Arial" w:cs="Arial"/>
          <w:noProof/>
          <w:color w:val="000000" w:themeColor="text1"/>
        </w:rPr>
        <w:object w:dxaOrig="15840" w:dyaOrig="2220" w14:anchorId="517DF382">
          <v:shape id="_x0000_i1026" type="#_x0000_t75" alt="" style="width:397.15pt;height:55.35pt;mso-width-percent:0;mso-height-percent:0;mso-width-percent:0;mso-height-percent:0" o:ole="">
            <v:imagedata r:id="rId19" o:title=""/>
          </v:shape>
          <o:OLEObject Type="Embed" ProgID="Excel.Sheet.12" ShapeID="_x0000_i1026" DrawAspect="Content" ObjectID="_1826466413" r:id="rId20"/>
        </w:object>
      </w:r>
    </w:p>
    <w:p w14:paraId="5D2E5807" w14:textId="7B6DAAA7" w:rsidR="00B56273" w:rsidRPr="00E121F4" w:rsidRDefault="00B56273" w:rsidP="00575CFE">
      <w:pPr>
        <w:pStyle w:val="Body"/>
        <w:jc w:val="center"/>
        <w:rPr>
          <w:rFonts w:ascii="Arial" w:hAnsi="Arial" w:cs="Arial"/>
          <w:color w:val="000000" w:themeColor="text1"/>
        </w:rPr>
      </w:pPr>
      <w:r w:rsidRPr="00E121F4">
        <w:rPr>
          <w:rFonts w:ascii="Arial" w:hAnsi="Arial" w:cs="Arial"/>
          <w:b/>
          <w:bCs/>
          <w:color w:val="000000" w:themeColor="text1"/>
        </w:rPr>
        <w:t>Table 2. Hypotheses (H</w:t>
      </w:r>
      <w:r w:rsidRPr="00E121F4">
        <w:rPr>
          <w:rFonts w:ascii="Cambria Math" w:hAnsi="Cambria Math" w:cs="Cambria Math"/>
          <w:b/>
          <w:bCs/>
          <w:color w:val="000000" w:themeColor="text1"/>
        </w:rPr>
        <w:t>₁</w:t>
      </w:r>
      <w:r w:rsidRPr="00E121F4">
        <w:rPr>
          <w:rFonts w:ascii="Arial" w:hAnsi="Arial" w:cs="Arial"/>
          <w:b/>
          <w:bCs/>
          <w:color w:val="000000" w:themeColor="text1"/>
        </w:rPr>
        <w:t>–H</w:t>
      </w:r>
      <w:r w:rsidRPr="00E121F4">
        <w:rPr>
          <w:rFonts w:ascii="Cambria Math" w:hAnsi="Cambria Math" w:cs="Cambria Math"/>
          <w:b/>
          <w:bCs/>
          <w:color w:val="000000" w:themeColor="text1"/>
        </w:rPr>
        <w:t>₅</w:t>
      </w:r>
      <w:r w:rsidRPr="00E121F4">
        <w:rPr>
          <w:rFonts w:ascii="Arial" w:hAnsi="Arial" w:cs="Arial"/>
          <w:b/>
          <w:bCs/>
          <w:color w:val="000000" w:themeColor="text1"/>
        </w:rPr>
        <w:t>) – ABC Group vs. XYZ Group</w:t>
      </w:r>
      <w:r w:rsidRPr="00E121F4">
        <w:rPr>
          <w:rStyle w:val="FootnoteReference"/>
          <w:rFonts w:ascii="Arial" w:hAnsi="Arial" w:cs="Arial"/>
          <w:b/>
          <w:bCs/>
          <w:color w:val="000000" w:themeColor="text1"/>
        </w:rPr>
        <w:footnoteReference w:id="20"/>
      </w:r>
    </w:p>
    <w:p w14:paraId="302FAF48" w14:textId="6D7AD7DD"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The MGA results reveal pronounced structural differences between the two financial market infrastructure provider organizations. Three of the five hypotheses (H</w:t>
      </w:r>
      <w:r w:rsidRPr="00E121F4">
        <w:rPr>
          <w:rFonts w:ascii="Arial" w:hAnsi="Arial" w:cs="Arial"/>
          <w:color w:val="000000" w:themeColor="text1"/>
          <w:vertAlign w:val="subscript"/>
        </w:rPr>
        <w:t>1</w:t>
      </w:r>
      <w:r w:rsidRPr="00E121F4">
        <w:rPr>
          <w:rFonts w:ascii="Arial" w:hAnsi="Arial" w:cs="Arial"/>
          <w:color w:val="000000" w:themeColor="text1"/>
        </w:rPr>
        <w:t>, H</w:t>
      </w:r>
      <w:r w:rsidRPr="00E121F4">
        <w:rPr>
          <w:rFonts w:ascii="Arial" w:hAnsi="Arial" w:cs="Arial"/>
          <w:color w:val="000000" w:themeColor="text1"/>
          <w:vertAlign w:val="subscript"/>
        </w:rPr>
        <w:t>3</w:t>
      </w:r>
      <w:r w:rsidRPr="00E121F4">
        <w:rPr>
          <w:rFonts w:ascii="Arial" w:hAnsi="Arial" w:cs="Arial"/>
          <w:color w:val="000000" w:themeColor="text1"/>
        </w:rPr>
        <w:t>, H</w:t>
      </w:r>
      <w:r w:rsidRPr="00E121F4">
        <w:rPr>
          <w:rFonts w:ascii="Arial" w:hAnsi="Arial" w:cs="Arial"/>
          <w:color w:val="000000" w:themeColor="text1"/>
          <w:vertAlign w:val="subscript"/>
        </w:rPr>
        <w:t>4</w:t>
      </w:r>
      <w:r w:rsidRPr="00E121F4">
        <w:rPr>
          <w:rFonts w:ascii="Arial" w:hAnsi="Arial" w:cs="Arial"/>
          <w:color w:val="000000" w:themeColor="text1"/>
        </w:rPr>
        <w:t>) are statistically supported and demonstrate that ABC Group’s cost and operational structures remain tightly linked to market volume and listing dynamics. In contrast, XYZ Group exhibits patterns consistent with a digital-service-oriented infrastructure provider: lower dependency on trading activity, a strong operational cost load, and a decoupled relationship between market size and operational capacity. This comprehensive MGA thus provides substantial empirical evidence that post-MiFID II competitive positioning, technology adoption, and business-model evolution can lead to fundamentally different transaction-cost structures between financial market infrastructures.</w:t>
      </w:r>
    </w:p>
    <w:p w14:paraId="52B75FA7" w14:textId="77777777" w:rsidR="00E121F4" w:rsidRPr="00E121F4" w:rsidRDefault="00E121F4" w:rsidP="00B56273">
      <w:pPr>
        <w:pStyle w:val="Body"/>
        <w:rPr>
          <w:rFonts w:ascii="Arial" w:hAnsi="Arial" w:cs="Arial"/>
          <w:color w:val="000000" w:themeColor="text1"/>
        </w:rPr>
      </w:pPr>
    </w:p>
    <w:p w14:paraId="48779EE0" w14:textId="77777777" w:rsidR="00FD78CB" w:rsidRPr="00E121F4" w:rsidRDefault="00FD78CB" w:rsidP="00FD78CB">
      <w:pPr>
        <w:pStyle w:val="Body"/>
        <w:spacing w:after="0"/>
        <w:rPr>
          <w:rFonts w:ascii="Arial" w:hAnsi="Arial" w:cs="Arial"/>
          <w:color w:val="000000" w:themeColor="text1"/>
        </w:rPr>
      </w:pPr>
      <w:r w:rsidRPr="00E121F4">
        <w:rPr>
          <w:rFonts w:ascii="Arial" w:hAnsi="Arial" w:cs="Arial"/>
          <w:b/>
          <w:bCs/>
          <w:color w:val="000000" w:themeColor="text1"/>
        </w:rPr>
        <w:t xml:space="preserve">3.5 Limitations </w:t>
      </w:r>
    </w:p>
    <w:p w14:paraId="12B005FA" w14:textId="77777777" w:rsidR="003B1F00" w:rsidRPr="00E121F4" w:rsidRDefault="003B1F00" w:rsidP="00FD78CB">
      <w:pPr>
        <w:pStyle w:val="Body"/>
        <w:rPr>
          <w:rFonts w:ascii="Arial" w:hAnsi="Arial" w:cs="Arial"/>
          <w:color w:val="000000" w:themeColor="text1"/>
        </w:rPr>
      </w:pPr>
    </w:p>
    <w:p w14:paraId="0409DC42" w14:textId="1133FE50" w:rsidR="003B1F00" w:rsidRPr="00E121F4" w:rsidRDefault="003B1F00" w:rsidP="00FD78CB">
      <w:pPr>
        <w:pStyle w:val="Body"/>
        <w:rPr>
          <w:rFonts w:ascii="Arial" w:hAnsi="Arial" w:cs="Arial"/>
          <w:color w:val="000000" w:themeColor="text1"/>
        </w:rPr>
      </w:pPr>
      <w:r w:rsidRPr="00E121F4">
        <w:rPr>
          <w:rFonts w:ascii="Arial" w:hAnsi="Arial" w:cs="Arial"/>
          <w:color w:val="000000" w:themeColor="text1"/>
        </w:rPr>
        <w:t xml:space="preserve">A primary limitation of this study stems from the necessary anonymization of institutional data. While this approach ensures compliance with ethical standards and safeguards sensitive information, it also reduces the level of contextual specificity available for interpretation. The use of coded identifiers in place of actual organizational names may constrain the extent to which the findings can be directly linked to institutional environments or compared across individual market operators. As a result, the generalizability of the conclusions to specific organizations or national market settings remains limited. </w:t>
      </w:r>
    </w:p>
    <w:p w14:paraId="01C92897" w14:textId="77777777" w:rsidR="00FD78CB" w:rsidRPr="00E121F4" w:rsidRDefault="00FD78CB" w:rsidP="00FD78CB">
      <w:pPr>
        <w:pStyle w:val="Body"/>
        <w:spacing w:after="0"/>
        <w:rPr>
          <w:rFonts w:ascii="Arial" w:hAnsi="Arial" w:cs="Arial"/>
          <w:color w:val="000000" w:themeColor="text1"/>
        </w:rPr>
      </w:pPr>
    </w:p>
    <w:p w14:paraId="1D26D9F0" w14:textId="77777777" w:rsidR="00FD78CB" w:rsidRPr="00E121F4" w:rsidRDefault="00FD78CB" w:rsidP="00FD78CB">
      <w:pPr>
        <w:pStyle w:val="ConcHead"/>
        <w:spacing w:after="0"/>
        <w:jc w:val="both"/>
        <w:rPr>
          <w:rFonts w:ascii="Arial" w:hAnsi="Arial" w:cs="Arial"/>
          <w:color w:val="000000" w:themeColor="text1"/>
        </w:rPr>
      </w:pPr>
      <w:r w:rsidRPr="00E121F4">
        <w:rPr>
          <w:rFonts w:ascii="Arial" w:hAnsi="Arial" w:cs="Arial"/>
          <w:color w:val="000000" w:themeColor="text1"/>
        </w:rPr>
        <w:t>4. Conclusion</w:t>
      </w:r>
    </w:p>
    <w:p w14:paraId="76837EB0" w14:textId="77777777" w:rsidR="00FD78CB" w:rsidRPr="00E121F4" w:rsidRDefault="00FD78CB" w:rsidP="00FD78CB">
      <w:pPr>
        <w:pStyle w:val="Body"/>
        <w:spacing w:after="0"/>
        <w:rPr>
          <w:rFonts w:ascii="Arial" w:hAnsi="Arial" w:cs="Arial"/>
          <w:color w:val="000000" w:themeColor="text1"/>
        </w:rPr>
      </w:pPr>
    </w:p>
    <w:p w14:paraId="47BC1FC3" w14:textId="27413F6A"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 xml:space="preserve">This study investigated how transaction costs in European financial market infrastructures are shaped by trading activity, market structure, and operational complexity under the regulatory environment introduced by MiFID II and </w:t>
      </w:r>
      <w:proofErr w:type="spellStart"/>
      <w:r w:rsidRPr="00E121F4">
        <w:rPr>
          <w:rFonts w:ascii="Arial" w:hAnsi="Arial" w:cs="Arial"/>
          <w:color w:val="000000" w:themeColor="text1"/>
        </w:rPr>
        <w:t>MiFIR</w:t>
      </w:r>
      <w:proofErr w:type="spellEnd"/>
      <w:r w:rsidRPr="00E121F4">
        <w:rPr>
          <w:rFonts w:ascii="Arial" w:hAnsi="Arial" w:cs="Arial"/>
          <w:color w:val="000000" w:themeColor="text1"/>
        </w:rPr>
        <w:t>. Using a cross-jurisdictional PLS-SEM framework combined with a permutation-based Multi-Group Analysis, the research provides empirical evidence on how two anonymized stock exchange organizations – ABC Group and XYZ Group – exhibit fundamentally different structural cost dynamics and competitive behaviors. These differences reflect divergent strategic orientations within the European financial market infrastructure ecosystem.</w:t>
      </w:r>
    </w:p>
    <w:p w14:paraId="171B4F2A" w14:textId="77777777"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For the ABC Group, transaction costs are primarily driven by trading intensity and the economic scale of the market. Strong positive relationships between infrastructure transactions, market economics, and operational capacity indicate a business model still tightly linked to transaction-based income and traditional exchange functions. In contrast, XYZ Group demonstrates a markedly different cost structure: transaction costs are dominated by operational intensity, while market-related factors exert weaker or even negative effects. These patterns suggest a strategic transition toward scalable, technology-enabled, and information-centric services.</w:t>
      </w:r>
    </w:p>
    <w:p w14:paraId="0DB8B123" w14:textId="4BF30D98"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The permutation-based MGA preliminarily confirms significant structural differences across the two groups for three of the five hypothesized relationships (H</w:t>
      </w:r>
      <w:r w:rsidRPr="00E121F4">
        <w:rPr>
          <w:rFonts w:ascii="Arial" w:hAnsi="Arial" w:cs="Arial"/>
          <w:color w:val="000000" w:themeColor="text1"/>
          <w:vertAlign w:val="subscript"/>
        </w:rPr>
        <w:t>1</w:t>
      </w:r>
      <w:r w:rsidRPr="00E121F4">
        <w:rPr>
          <w:rFonts w:ascii="Arial" w:hAnsi="Arial" w:cs="Arial"/>
          <w:color w:val="000000" w:themeColor="text1"/>
        </w:rPr>
        <w:t>, H</w:t>
      </w:r>
      <w:r w:rsidRPr="00E121F4">
        <w:rPr>
          <w:rFonts w:ascii="Arial" w:hAnsi="Arial" w:cs="Arial"/>
          <w:color w:val="000000" w:themeColor="text1"/>
          <w:vertAlign w:val="subscript"/>
        </w:rPr>
        <w:t>3</w:t>
      </w:r>
      <w:r w:rsidRPr="00E121F4">
        <w:rPr>
          <w:rFonts w:ascii="Arial" w:hAnsi="Arial" w:cs="Arial"/>
          <w:color w:val="000000" w:themeColor="text1"/>
        </w:rPr>
        <w:t>, H</w:t>
      </w:r>
      <w:r w:rsidRPr="00E121F4">
        <w:rPr>
          <w:rFonts w:ascii="Arial" w:hAnsi="Arial" w:cs="Arial"/>
          <w:color w:val="000000" w:themeColor="text1"/>
          <w:vertAlign w:val="subscript"/>
        </w:rPr>
        <w:t>4</w:t>
      </w:r>
      <w:r w:rsidRPr="00E121F4">
        <w:rPr>
          <w:rFonts w:ascii="Arial" w:hAnsi="Arial" w:cs="Arial"/>
          <w:color w:val="000000" w:themeColor="text1"/>
        </w:rPr>
        <w:t>). These findings reveal that regulatory reforms do not produce homogeneous effects across financial market infrastructures; rather, their impact depends on the organizations’ technological maturity, operational design, and strategic orientation. The results underscore that MiFID II/</w:t>
      </w:r>
      <w:proofErr w:type="spellStart"/>
      <w:r w:rsidRPr="00E121F4">
        <w:rPr>
          <w:rFonts w:ascii="Arial" w:hAnsi="Arial" w:cs="Arial"/>
          <w:color w:val="000000" w:themeColor="text1"/>
        </w:rPr>
        <w:t>MiFIR</w:t>
      </w:r>
      <w:proofErr w:type="spellEnd"/>
      <w:r w:rsidRPr="00E121F4">
        <w:rPr>
          <w:rFonts w:ascii="Arial" w:hAnsi="Arial" w:cs="Arial"/>
          <w:color w:val="000000" w:themeColor="text1"/>
        </w:rPr>
        <w:t xml:space="preserve"> can reshape competitive positioning by altering the cost elasticity of trading, the responsiveness to market growth, and the operational scalability of infrastructure providers.</w:t>
      </w:r>
    </w:p>
    <w:p w14:paraId="5C16DDE2" w14:textId="4C483DCA" w:rsidR="00FD78CB" w:rsidRPr="00E121F4" w:rsidRDefault="00DF4CD0" w:rsidP="00DF4CD0">
      <w:pPr>
        <w:pStyle w:val="Body"/>
        <w:spacing w:after="0"/>
        <w:rPr>
          <w:rFonts w:ascii="Arial" w:hAnsi="Arial" w:cs="Arial"/>
          <w:color w:val="000000" w:themeColor="text1"/>
        </w:rPr>
      </w:pPr>
      <w:r w:rsidRPr="00E121F4">
        <w:rPr>
          <w:rFonts w:ascii="Arial" w:hAnsi="Arial" w:cs="Arial"/>
          <w:color w:val="000000" w:themeColor="text1"/>
        </w:rPr>
        <w:t>Overall, this study contributes to the literature by integrating Transaction Cost Economics with PLS-SEM and MGA to evaluate regulatory impact across heterogeneous institutional settings. Future research could extend this analysis by examining additional European trading venues, incorporating qualitative strategic data, or assessing long-term post-MiFID II adaptations as digital transformation accelerates across the industry.</w:t>
      </w:r>
    </w:p>
    <w:p w14:paraId="744B1A1D" w14:textId="77777777" w:rsidR="00FD78CB" w:rsidRPr="00E121F4" w:rsidRDefault="00FD78CB" w:rsidP="00FD78CB">
      <w:pPr>
        <w:pStyle w:val="Body"/>
        <w:spacing w:after="0"/>
        <w:rPr>
          <w:rFonts w:ascii="Arial" w:hAnsi="Arial" w:cs="Arial"/>
          <w:color w:val="000000" w:themeColor="text1"/>
        </w:rPr>
      </w:pPr>
    </w:p>
    <w:p w14:paraId="0035C3C6" w14:textId="77777777" w:rsidR="00FD78CB" w:rsidRPr="00E121F4" w:rsidRDefault="00FD78CB" w:rsidP="00FD78CB">
      <w:pPr>
        <w:pStyle w:val="ReferHead"/>
        <w:spacing w:after="0"/>
        <w:jc w:val="both"/>
        <w:rPr>
          <w:rFonts w:ascii="Arial" w:hAnsi="Arial" w:cs="Arial"/>
          <w:b w:val="0"/>
          <w:caps w:val="0"/>
          <w:color w:val="000000" w:themeColor="text1"/>
          <w:sz w:val="20"/>
        </w:rPr>
      </w:pPr>
    </w:p>
    <w:p w14:paraId="29A4325C"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(data usage and research intent)</w:t>
      </w:r>
    </w:p>
    <w:p w14:paraId="1B2CCC71" w14:textId="77777777" w:rsidR="00FD78CB" w:rsidRPr="00E121F4" w:rsidRDefault="00FD78CB" w:rsidP="00FD78CB">
      <w:pPr>
        <w:pStyle w:val="ReferHead"/>
        <w:spacing w:after="0"/>
        <w:jc w:val="both"/>
        <w:rPr>
          <w:rFonts w:ascii="Arial" w:hAnsi="Arial" w:cs="Arial"/>
          <w:color w:val="000000" w:themeColor="text1"/>
        </w:rPr>
      </w:pPr>
    </w:p>
    <w:p w14:paraId="20ABC4D3"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 xml:space="preserve">The author hereby declares that the research presented in this document is based exclusively on publicly available data, including audited financial reports, trading statistics, and industry </w:t>
      </w:r>
      <w:r w:rsidRPr="00E121F4">
        <w:rPr>
          <w:rFonts w:ascii="Arial" w:hAnsi="Arial" w:cs="Arial"/>
          <w:b w:val="0"/>
          <w:caps w:val="0"/>
          <w:color w:val="000000" w:themeColor="text1"/>
          <w:sz w:val="20"/>
        </w:rPr>
        <w:lastRenderedPageBreak/>
        <w:t>association reports. The use of this data serves solely to contribute to the academic body of knowledge and does not aim to derive any business-related insights or conclusions.</w:t>
      </w:r>
    </w:p>
    <w:p w14:paraId="78AA87D9"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412A8EB0"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(financial instrument projections)</w:t>
      </w:r>
    </w:p>
    <w:p w14:paraId="18B0BD59" w14:textId="77777777" w:rsidR="00FD78CB" w:rsidRPr="00E121F4" w:rsidRDefault="00FD78CB" w:rsidP="00FD78CB">
      <w:pPr>
        <w:pStyle w:val="ReferHead"/>
        <w:spacing w:after="0"/>
        <w:jc w:val="both"/>
        <w:rPr>
          <w:rFonts w:ascii="Arial" w:hAnsi="Arial" w:cs="Arial"/>
          <w:color w:val="000000" w:themeColor="text1"/>
        </w:rPr>
      </w:pPr>
    </w:p>
    <w:p w14:paraId="4F5CB6C7"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2DCDA05"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(Artificial Intelligence)</w:t>
      </w:r>
    </w:p>
    <w:p w14:paraId="5DA4B09B" w14:textId="77777777" w:rsidR="00FD78CB" w:rsidRPr="00E121F4" w:rsidRDefault="00FD78CB" w:rsidP="00FD78CB">
      <w:pPr>
        <w:pStyle w:val="ReferHead"/>
        <w:spacing w:after="0"/>
        <w:jc w:val="both"/>
        <w:rPr>
          <w:rFonts w:ascii="Arial" w:hAnsi="Arial" w:cs="Arial"/>
          <w:color w:val="000000" w:themeColor="text1"/>
        </w:rPr>
      </w:pPr>
    </w:p>
    <w:p w14:paraId="12180C65" w14:textId="062528FE" w:rsidR="00FD78CB" w:rsidRPr="00E121F4" w:rsidRDefault="00FD78CB" w:rsidP="00FD78CB">
      <w:pPr>
        <w:pStyle w:val="ReferHead"/>
        <w:spacing w:after="0"/>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author hereby declares that generative AI technologies were utilized in the writing and editing of this manuscript to enhance grammar, sentence structure, and overall clarity. Specifically, ChatGPT-</w:t>
      </w:r>
      <w:r w:rsidR="00213158" w:rsidRPr="00E121F4">
        <w:rPr>
          <w:rFonts w:ascii="Arial" w:hAnsi="Arial" w:cs="Arial"/>
          <w:b w:val="0"/>
          <w:caps w:val="0"/>
          <w:color w:val="000000" w:themeColor="text1"/>
          <w:sz w:val="20"/>
        </w:rPr>
        <w:t>5.1</w:t>
      </w:r>
      <w:r w:rsidRPr="00E121F4">
        <w:rPr>
          <w:rFonts w:ascii="Arial" w:hAnsi="Arial" w:cs="Arial"/>
          <w:b w:val="0"/>
          <w:caps w:val="0"/>
          <w:color w:val="000000" w:themeColor="text1"/>
          <w:sz w:val="20"/>
        </w:rPr>
        <w:t xml:space="preserve"> (OpenAI) was employed for linguistic refinement, sentence restructuring, and improving coherence. AI-assisted revisions were guided by targeted prompts requesting rewriting, summarization, and clarity enhancements for specific sections.</w:t>
      </w:r>
    </w:p>
    <w:p w14:paraId="61B45E99" w14:textId="77777777" w:rsidR="001E5FAA" w:rsidRPr="00E121F4" w:rsidRDefault="001E5FAA" w:rsidP="00FD78CB">
      <w:pPr>
        <w:pStyle w:val="ReferHead"/>
        <w:spacing w:after="0"/>
        <w:jc w:val="both"/>
        <w:rPr>
          <w:rFonts w:ascii="Arial" w:hAnsi="Arial" w:cs="Arial"/>
          <w:b w:val="0"/>
          <w:caps w:val="0"/>
          <w:color w:val="000000" w:themeColor="text1"/>
          <w:sz w:val="20"/>
        </w:rPr>
      </w:pPr>
    </w:p>
    <w:p w14:paraId="23DDF198" w14:textId="77777777" w:rsidR="001E5FAA" w:rsidRPr="00E121F4" w:rsidRDefault="001E5FAA" w:rsidP="001E5FAA">
      <w:pPr>
        <w:pStyle w:val="ReferHead"/>
        <w:keepNext w:val="0"/>
        <w:widowControl w:val="0"/>
        <w:spacing w:after="0"/>
        <w:jc w:val="both"/>
        <w:rPr>
          <w:rFonts w:ascii="Arial" w:hAnsi="Arial" w:cs="Arial"/>
          <w:bCs/>
          <w:color w:val="000000" w:themeColor="text1"/>
        </w:rPr>
      </w:pPr>
      <w:r w:rsidRPr="00E121F4">
        <w:rPr>
          <w:rFonts w:ascii="Arial" w:hAnsi="Arial" w:cs="Arial"/>
          <w:bCs/>
          <w:color w:val="000000" w:themeColor="text1"/>
        </w:rPr>
        <w:t>Competing interests</w:t>
      </w:r>
    </w:p>
    <w:p w14:paraId="148A19FB" w14:textId="77777777" w:rsidR="001E5FAA" w:rsidRPr="00E121F4" w:rsidRDefault="001E5FAA" w:rsidP="001E5FAA">
      <w:pPr>
        <w:pStyle w:val="ReferHead"/>
        <w:keepNext w:val="0"/>
        <w:widowControl w:val="0"/>
        <w:spacing w:after="0"/>
        <w:rPr>
          <w:rFonts w:ascii="Arial" w:hAnsi="Arial" w:cs="Arial"/>
          <w:color w:val="000000" w:themeColor="text1"/>
        </w:rPr>
      </w:pPr>
    </w:p>
    <w:p w14:paraId="111369C9" w14:textId="77777777" w:rsidR="001E5FAA" w:rsidRPr="00E121F4" w:rsidRDefault="001E5FAA" w:rsidP="001E5FAA">
      <w:pPr>
        <w:pStyle w:val="ReferHead"/>
        <w:keepNext w:val="0"/>
        <w:widowControl w:val="0"/>
        <w:spacing w:after="0"/>
        <w:jc w:val="both"/>
        <w:rPr>
          <w:rFonts w:ascii="Arial" w:hAnsi="Arial" w:cs="Arial"/>
          <w:b w:val="0"/>
          <w:caps w:val="0"/>
          <w:color w:val="000000" w:themeColor="text1"/>
          <w:sz w:val="20"/>
        </w:rPr>
      </w:pPr>
      <w:r w:rsidRPr="00E121F4">
        <w:rPr>
          <w:rFonts w:ascii="Arial" w:hAnsi="Arial" w:cs="Arial"/>
          <w:b w:val="0"/>
          <w:caps w:val="0"/>
          <w:color w:val="000000" w:themeColor="text1"/>
          <w:sz w:val="20"/>
        </w:rPr>
        <w:t>Author has declared that no competing interests exist.</w:t>
      </w:r>
    </w:p>
    <w:p w14:paraId="11FF76A6" w14:textId="77777777" w:rsidR="00FD78CB" w:rsidRDefault="00FD78CB" w:rsidP="00FD78CB">
      <w:pPr>
        <w:pStyle w:val="ReferHead"/>
        <w:spacing w:after="0"/>
        <w:jc w:val="both"/>
        <w:rPr>
          <w:rFonts w:ascii="Arial" w:hAnsi="Arial" w:cs="Arial"/>
          <w:b w:val="0"/>
          <w:caps w:val="0"/>
          <w:color w:val="000000" w:themeColor="text1"/>
          <w:sz w:val="20"/>
        </w:rPr>
      </w:pPr>
    </w:p>
    <w:p w14:paraId="121E3D17" w14:textId="77777777" w:rsidR="001E5FAA" w:rsidRPr="00B774AF" w:rsidRDefault="001E5FAA" w:rsidP="00FD78CB">
      <w:pPr>
        <w:pStyle w:val="ReferHead"/>
        <w:spacing w:after="0"/>
        <w:jc w:val="both"/>
        <w:rPr>
          <w:rFonts w:ascii="Arial" w:hAnsi="Arial" w:cs="Arial"/>
          <w:b w:val="0"/>
          <w:caps w:val="0"/>
          <w:color w:val="000000" w:themeColor="text1"/>
          <w:sz w:val="20"/>
        </w:rPr>
      </w:pPr>
    </w:p>
    <w:p w14:paraId="10778650" w14:textId="77777777" w:rsidR="00FD78CB" w:rsidRPr="00B774AF" w:rsidRDefault="00FD78CB" w:rsidP="00FD78CB">
      <w:pPr>
        <w:pStyle w:val="ReferHead"/>
        <w:spacing w:after="0"/>
        <w:jc w:val="both"/>
        <w:rPr>
          <w:rFonts w:ascii="Arial" w:hAnsi="Arial" w:cs="Arial"/>
          <w:color w:val="000000" w:themeColor="text1"/>
        </w:rPr>
      </w:pPr>
      <w:r w:rsidRPr="00B774AF">
        <w:rPr>
          <w:rFonts w:ascii="Arial" w:hAnsi="Arial" w:cs="Arial"/>
          <w:color w:val="000000" w:themeColor="text1"/>
        </w:rPr>
        <w:t>References</w:t>
      </w:r>
    </w:p>
    <w:p w14:paraId="546873E4" w14:textId="77777777" w:rsidR="00FD78CB" w:rsidRPr="00B774AF" w:rsidRDefault="00FD78CB" w:rsidP="00FD78CB">
      <w:pPr>
        <w:pStyle w:val="Body"/>
        <w:spacing w:after="0"/>
        <w:rPr>
          <w:color w:val="000000" w:themeColor="text1"/>
        </w:rPr>
      </w:pPr>
    </w:p>
    <w:p w14:paraId="4632E0F2" w14:textId="77777777" w:rsidR="00FD78CB" w:rsidRPr="00B774AF" w:rsidRDefault="00FD78CB" w:rsidP="00FD78CB">
      <w:pPr>
        <w:pStyle w:val="Body"/>
        <w:spacing w:after="0"/>
        <w:rPr>
          <w:color w:val="000000" w:themeColor="text1"/>
        </w:rPr>
      </w:pPr>
    </w:p>
    <w:p w14:paraId="1EE134B9" w14:textId="77777777" w:rsidR="00F227A2" w:rsidRPr="00F227A2" w:rsidRDefault="00FD78CB" w:rsidP="007D4FEC">
      <w:pPr>
        <w:pStyle w:val="EndNoteBibliography"/>
        <w:ind w:left="360"/>
        <w:rPr>
          <w:noProof/>
          <w:lang w:val="de-DE"/>
        </w:rPr>
      </w:pPr>
      <w:r w:rsidRPr="00B774AF">
        <w:rPr>
          <w:color w:val="000000" w:themeColor="text1"/>
        </w:rPr>
        <w:fldChar w:fldCharType="begin"/>
      </w:r>
      <w:r w:rsidRPr="00F227A2">
        <w:rPr>
          <w:color w:val="000000" w:themeColor="text1"/>
        </w:rPr>
        <w:instrText xml:space="preserve"> ADDIN EN.REFLIST </w:instrText>
      </w:r>
      <w:r w:rsidRPr="00B774AF">
        <w:rPr>
          <w:color w:val="000000" w:themeColor="text1"/>
        </w:rPr>
        <w:fldChar w:fldCharType="separate"/>
      </w:r>
      <w:r w:rsidR="00F227A2" w:rsidRPr="00F227A2">
        <w:t xml:space="preserve"> </w:t>
      </w:r>
      <w:r w:rsidR="00F227A2" w:rsidRPr="00F227A2">
        <w:rPr>
          <w:noProof/>
        </w:rPr>
        <w:t>Benston, G. J., &amp; Smith, C. W. (1976). A transactions cost approach to the theory of financial intermediation. The Journal of Finance, 31(2), 215-231. https://doi.org/10.2307/2326596</w:t>
      </w:r>
      <w:r w:rsidR="00F227A2">
        <w:rPr>
          <w:noProof/>
        </w:rPr>
        <w:t xml:space="preserve"> </w:t>
      </w:r>
    </w:p>
    <w:p w14:paraId="095A8112" w14:textId="77777777" w:rsidR="00F227A2" w:rsidRPr="00F227A2" w:rsidRDefault="00F227A2" w:rsidP="007D4FEC">
      <w:pPr>
        <w:pStyle w:val="EndNoteBibliography"/>
        <w:ind w:left="360"/>
        <w:rPr>
          <w:noProof/>
          <w:lang w:val="de-DE"/>
        </w:rPr>
      </w:pPr>
      <w:r w:rsidRPr="00F227A2">
        <w:rPr>
          <w:noProof/>
        </w:rPr>
        <w:t>Berndsen, R. J., León, C., &amp; Renneboog, L. (2018). Financial stability in networks of financial institutions and market infrastructures. Journal of Financial Stability, 35, 120-135. https://doi.org/10.1016/j.jfs.2016.12.007</w:t>
      </w:r>
      <w:r>
        <w:rPr>
          <w:noProof/>
        </w:rPr>
        <w:t xml:space="preserve"> </w:t>
      </w:r>
    </w:p>
    <w:p w14:paraId="3D87CA8B" w14:textId="27FBFE60" w:rsidR="00F15C10" w:rsidRPr="00DF4CD0" w:rsidRDefault="00F15C10" w:rsidP="007D4FEC">
      <w:pPr>
        <w:pStyle w:val="EndNoteBibliography"/>
        <w:ind w:left="360"/>
        <w:rPr>
          <w:noProof/>
          <w:lang w:val="de-DE"/>
        </w:rPr>
      </w:pPr>
      <w:r w:rsidRPr="00DF4CD0">
        <w:rPr>
          <w:noProof/>
          <w:lang w:val="de-DE"/>
        </w:rPr>
        <w:t xml:space="preserve">Bitz, M. (2007). </w:t>
      </w:r>
      <w:r w:rsidRPr="00DF4CD0">
        <w:rPr>
          <w:i/>
          <w:noProof/>
          <w:lang w:val="de-DE"/>
        </w:rPr>
        <w:t>Banken und Börsen/Banking and Stock Markets - KE 3: „Wertpapierbörsen: Funktionen und institutionelle Rahmenbedingungen“</w:t>
      </w:r>
      <w:r w:rsidRPr="00DF4CD0">
        <w:rPr>
          <w:noProof/>
          <w:lang w:val="de-DE"/>
        </w:rPr>
        <w:t xml:space="preserve"> (Vol. 3). FernUniversität in Hagen - Lehrstuhl für Bank- und Finanzwirtschaft. </w:t>
      </w:r>
      <w:hyperlink r:id="rId21" w:history="1">
        <w:r w:rsidRPr="00DF4CD0">
          <w:rPr>
            <w:rStyle w:val="Hyperlink"/>
            <w:noProof/>
            <w:lang w:val="de-DE"/>
          </w:rPr>
          <w:t>https://d-nb.info/987173774</w:t>
        </w:r>
      </w:hyperlink>
      <w:r w:rsidRPr="00DF4CD0">
        <w:rPr>
          <w:noProof/>
          <w:lang w:val="de-DE"/>
        </w:rPr>
        <w:t xml:space="preserve"> </w:t>
      </w:r>
    </w:p>
    <w:p w14:paraId="4948340D" w14:textId="77777777" w:rsidR="00F227A2" w:rsidRPr="00F227A2" w:rsidRDefault="00F227A2" w:rsidP="007D4FEC">
      <w:pPr>
        <w:pStyle w:val="EndNoteBibliography"/>
        <w:ind w:left="360"/>
        <w:rPr>
          <w:noProof/>
        </w:rPr>
      </w:pPr>
      <w:r w:rsidRPr="00F227A2">
        <w:rPr>
          <w:noProof/>
          <w:lang w:val="de-DE"/>
        </w:rPr>
        <w:t>European Commission. (2017). *Commission Delegated Regulation (EU) 2017/565 of 25 April 2016 supplementing Directive 2014/65/EU of the European Parliament and of the Council as regards organisational requirements and operating conditions for investment firms and defined terms for the purposes of that Directive*. Official Journal of the European Union. https://eur-lex.europa.eu/legal-content/EN/TXT/?uri=CELEX%3A32017R0565</w:t>
      </w:r>
    </w:p>
    <w:p w14:paraId="5DA1F0CB" w14:textId="77777777" w:rsidR="00F227A2" w:rsidRDefault="00F227A2" w:rsidP="007D4FEC">
      <w:pPr>
        <w:pStyle w:val="EndNoteBibliography"/>
        <w:ind w:left="360"/>
        <w:rPr>
          <w:noProof/>
        </w:rPr>
      </w:pPr>
      <w:r w:rsidRPr="00F227A2">
        <w:rPr>
          <w:noProof/>
        </w:rPr>
        <w:t xml:space="preserve">European Commission. (2017). COMMISSION DELEGATED REGULATION (EU) 2017/567 of 18 May 2016 supplementing Regulation (EU) No 600/2014 of the European Parliament and of the Council with regard to definitions, </w:t>
      </w:r>
      <w:r w:rsidRPr="00F227A2">
        <w:rPr>
          <w:noProof/>
        </w:rPr>
        <w:lastRenderedPageBreak/>
        <w:t>transparency, portfolio compression and supervisory measures on product intervention and positions. Official Journal of the European Union. https://eur-lex.europa.eu/legal-content/EN/TXT/PDF/?uri=CELEX:32017R0567</w:t>
      </w:r>
      <w:r>
        <w:rPr>
          <w:noProof/>
        </w:rPr>
        <w:t xml:space="preserve"> </w:t>
      </w:r>
    </w:p>
    <w:p w14:paraId="30ABA5B3" w14:textId="77777777" w:rsidR="00F227A2" w:rsidRDefault="00F227A2" w:rsidP="007D4FEC">
      <w:pPr>
        <w:pStyle w:val="EndNoteBibliography"/>
        <w:ind w:left="360"/>
        <w:rPr>
          <w:noProof/>
        </w:rPr>
      </w:pPr>
      <w:r w:rsidRPr="00F227A2">
        <w:rPr>
          <w:noProof/>
        </w:rPr>
        <w:t>Commons, J. R. (1931). Institutional Economics. American Economic Review, 21, 648-657. https://EconPapers.repec.org/RePEc:hay:hetart:commons1931</w:t>
      </w:r>
      <w:r>
        <w:rPr>
          <w:noProof/>
        </w:rPr>
        <w:t xml:space="preserve"> </w:t>
      </w:r>
    </w:p>
    <w:p w14:paraId="4861D13B" w14:textId="77777777" w:rsidR="00F227A2" w:rsidRPr="00F227A2" w:rsidRDefault="00F227A2" w:rsidP="007D4FEC">
      <w:pPr>
        <w:pStyle w:val="EndNoteBibliography"/>
        <w:ind w:left="360"/>
        <w:rPr>
          <w:noProof/>
          <w:lang w:val="de-DE"/>
        </w:rPr>
      </w:pPr>
      <w:r w:rsidRPr="00F227A2">
        <w:rPr>
          <w:noProof/>
        </w:rPr>
        <w:t>Dugger, W. M. (1983). The Transaction Cost Analysis of Oliver E. Williamson: A New Synthesis? Journal of Economic Issues. https://doi.org/10.1080/00213624.1983.11504090</w:t>
      </w:r>
      <w:r>
        <w:rPr>
          <w:noProof/>
        </w:rPr>
        <w:t xml:space="preserve"> </w:t>
      </w:r>
    </w:p>
    <w:p w14:paraId="3BDBF47F" w14:textId="77777777" w:rsidR="00F227A2" w:rsidRDefault="00F227A2" w:rsidP="007D4FEC">
      <w:pPr>
        <w:pStyle w:val="EndNoteBibliography"/>
        <w:ind w:left="360"/>
        <w:rPr>
          <w:noProof/>
        </w:rPr>
      </w:pPr>
      <w:r w:rsidRPr="00F227A2">
        <w:rPr>
          <w:noProof/>
        </w:rPr>
        <w:t>Francioni, R. (2017). An Exchange and Its Value Chain. In R. Francioni &amp; R. A. Schwartz (Eds.), Equity Markets in Transition: The Value Chain, Price Discovery, Regulation, and Beyond (pp. 15-69). Springer International Publishing. https://doi.org/10.1007/978-3-319-45848-9_2</w:t>
      </w:r>
      <w:r>
        <w:rPr>
          <w:noProof/>
        </w:rPr>
        <w:t xml:space="preserve"> </w:t>
      </w:r>
    </w:p>
    <w:p w14:paraId="3ED33E3F" w14:textId="77777777" w:rsidR="00F227A2" w:rsidRPr="00F227A2" w:rsidRDefault="00F227A2" w:rsidP="007D4FEC">
      <w:pPr>
        <w:pStyle w:val="EndNoteBibliography"/>
        <w:ind w:left="360"/>
        <w:rPr>
          <w:noProof/>
        </w:rPr>
      </w:pPr>
      <w:r w:rsidRPr="00F227A2">
        <w:rPr>
          <w:noProof/>
          <w:lang w:val="de-DE"/>
        </w:rPr>
        <w:t>Francioni, R., Freis, J. H., &amp; Hachmeister, A. (2017). Financial Market Regulation. In R. Francioni &amp; R. A. Schwartz (Eds.), Equity Markets in Transition: The Value Chain, Price Discovery, Regulation, and Beyond (pp. 239-286). Springer International Publishing. https://doi.org/10.1007/978-3-319-45848-9_9</w:t>
      </w:r>
      <w:r>
        <w:rPr>
          <w:noProof/>
          <w:lang w:val="de-DE"/>
        </w:rPr>
        <w:t xml:space="preserve"> </w:t>
      </w:r>
    </w:p>
    <w:p w14:paraId="7E856486" w14:textId="77777777" w:rsidR="00F227A2" w:rsidRDefault="00F227A2" w:rsidP="007D4FEC">
      <w:pPr>
        <w:pStyle w:val="EndNoteBibliography"/>
        <w:ind w:left="360"/>
        <w:rPr>
          <w:noProof/>
        </w:rPr>
      </w:pPr>
      <w:r w:rsidRPr="00F227A2">
        <w:rPr>
          <w:noProof/>
        </w:rPr>
        <w:t>Geranio, M. (2016). Evolution of the exchange industry: From dealers’ clubs to multinational companies. Springer Cham. https://doi.org/10.1007/978-3-319-21027-8</w:t>
      </w:r>
      <w:r>
        <w:rPr>
          <w:noProof/>
        </w:rPr>
        <w:t xml:space="preserve"> </w:t>
      </w:r>
    </w:p>
    <w:p w14:paraId="44DA3EF7" w14:textId="77777777" w:rsidR="00F227A2" w:rsidRDefault="00F227A2" w:rsidP="007D4FEC">
      <w:pPr>
        <w:pStyle w:val="EndNoteBibliography"/>
        <w:ind w:left="360"/>
        <w:rPr>
          <w:noProof/>
        </w:rPr>
      </w:pPr>
      <w:r w:rsidRPr="00F227A2">
        <w:rPr>
          <w:noProof/>
        </w:rPr>
        <w:t>Ghosh, I., Chaudhuri, T. D., Alfaro-Cortés, E., Gámez, M., &amp; García, N. (2022). A hybrid approach to forecasting futures prices with simultaneous consideration of optimality in ensemble feature selection and advanced artificial intelligence. Technological Forecasting and Social Change, 181, 121757. https://doi.org/10.1016/j.techfore.2022.121757</w:t>
      </w:r>
      <w:r>
        <w:rPr>
          <w:noProof/>
        </w:rPr>
        <w:t xml:space="preserve"> </w:t>
      </w:r>
    </w:p>
    <w:p w14:paraId="10165C0D" w14:textId="77777777" w:rsidR="00F227A2" w:rsidRDefault="00F227A2" w:rsidP="007D4FEC">
      <w:pPr>
        <w:pStyle w:val="EndNoteBibliography"/>
        <w:ind w:left="360"/>
        <w:rPr>
          <w:noProof/>
        </w:rPr>
      </w:pPr>
      <w:r w:rsidRPr="00F227A2">
        <w:rPr>
          <w:noProof/>
        </w:rPr>
        <w:t>Hair Jr., J. F., Hult, G. T. M., Ringle, C. M., Sarstedt, M., Danks, N. P., &amp; Ray, S. (2021). Partial Least Squares Structural Equation Modeling (PLS-SEM) Using R. Springer International Publishing. https://doi.org/10.1007/978-3-030-80519-7</w:t>
      </w:r>
      <w:r>
        <w:rPr>
          <w:noProof/>
        </w:rPr>
        <w:t xml:space="preserve"> </w:t>
      </w:r>
    </w:p>
    <w:p w14:paraId="48EE0B95" w14:textId="77777777" w:rsidR="00F227A2" w:rsidRDefault="00F227A2" w:rsidP="007D4FEC">
      <w:pPr>
        <w:pStyle w:val="EndNoteBibliography"/>
        <w:ind w:left="360"/>
        <w:rPr>
          <w:noProof/>
        </w:rPr>
      </w:pPr>
      <w:r w:rsidRPr="00F227A2">
        <w:rPr>
          <w:noProof/>
        </w:rPr>
        <w:t>Kun, E. (2024). Challenges in regulating cloud service providers in EU financial regulation: From operational to systemic risks, and examining challenges of the new oversight regime for critical cloud service providers under the Digital Operational Resilience Act. Computer Law &amp; Security Review. https://doi.org/10.1016/j.clsr.2023.105931</w:t>
      </w:r>
    </w:p>
    <w:p w14:paraId="1825A516" w14:textId="77777777" w:rsidR="00F227A2" w:rsidRDefault="00F227A2" w:rsidP="007D4FEC">
      <w:pPr>
        <w:pStyle w:val="EndNoteBibliography"/>
        <w:ind w:left="360"/>
        <w:rPr>
          <w:noProof/>
        </w:rPr>
      </w:pPr>
      <w:r w:rsidRPr="00F227A2">
        <w:rPr>
          <w:noProof/>
        </w:rPr>
        <w:t>Laudenbach, H. (2025). Digital Transformation and Transaction Cost Drivers in European Financial Market Infrastructures: A Systematic Literature Review. Journal of Economics, Management and Trade, 31(9), 66–101. https://doi.org/10.9734/jemt/2025/v31i91351</w:t>
      </w:r>
      <w:r>
        <w:rPr>
          <w:noProof/>
        </w:rPr>
        <w:t xml:space="preserve"> V</w:t>
      </w:r>
    </w:p>
    <w:p w14:paraId="5A794119" w14:textId="77777777" w:rsidR="00F227A2" w:rsidRDefault="00F227A2" w:rsidP="007D4FEC">
      <w:pPr>
        <w:pStyle w:val="EndNoteBibliography"/>
        <w:ind w:left="360"/>
        <w:rPr>
          <w:noProof/>
        </w:rPr>
      </w:pPr>
      <w:r w:rsidRPr="00F227A2">
        <w:rPr>
          <w:noProof/>
        </w:rPr>
        <w:t>Laudenbach, H. (2025). A Longitudinal PLS-SEM Analysis of Regulatory Impact on Transaction Costs and Market Competitiveness in European Financial Markets. Journal of Economics, Management and Trade, 31(11), 54-67. https://doi.org/10.9734/jemt/2025/v31i111368</w:t>
      </w:r>
      <w:r>
        <w:rPr>
          <w:noProof/>
        </w:rPr>
        <w:t xml:space="preserve"> .</w:t>
      </w:r>
    </w:p>
    <w:p w14:paraId="14F73B0D" w14:textId="77777777" w:rsidR="00F227A2" w:rsidRPr="00F227A2" w:rsidRDefault="00F227A2" w:rsidP="007D4FEC">
      <w:pPr>
        <w:pStyle w:val="EndNoteBibliography"/>
        <w:ind w:left="360"/>
        <w:rPr>
          <w:noProof/>
          <w:lang w:val="de-DE"/>
        </w:rPr>
      </w:pPr>
      <w:r w:rsidRPr="00F227A2">
        <w:rPr>
          <w:noProof/>
        </w:rPr>
        <w:t>Laudenbach, H. (2025). Transaction Cost Economics in European Financial Markets: A PLS-SEM Analysis (2012–2023). Journal of Economics, Management and Trade, 31(10), 1-11. https://doi.org/10.9734/jemt/2025/v31i101358</w:t>
      </w:r>
      <w:r>
        <w:rPr>
          <w:noProof/>
        </w:rPr>
        <w:t xml:space="preserve"> </w:t>
      </w:r>
    </w:p>
    <w:p w14:paraId="6E18A085" w14:textId="3F0098EB" w:rsidR="00F15C10" w:rsidRPr="00DF4CD0" w:rsidRDefault="00F15C10" w:rsidP="007D4FEC">
      <w:pPr>
        <w:pStyle w:val="EndNoteBibliography"/>
        <w:ind w:left="360"/>
        <w:rPr>
          <w:noProof/>
          <w:lang w:val="de-DE"/>
        </w:rPr>
      </w:pPr>
      <w:r w:rsidRPr="00F15C10">
        <w:rPr>
          <w:noProof/>
        </w:rPr>
        <w:t xml:space="preserve">North, D. C. (1992). </w:t>
      </w:r>
      <w:r w:rsidRPr="00F15C10">
        <w:rPr>
          <w:i/>
          <w:noProof/>
        </w:rPr>
        <w:t>Transaction costs, institutions, and economic performance</w:t>
      </w:r>
      <w:r w:rsidRPr="00F15C10">
        <w:rPr>
          <w:noProof/>
        </w:rPr>
        <w:t xml:space="preserve">. </w:t>
      </w:r>
      <w:r w:rsidRPr="00DF4CD0">
        <w:rPr>
          <w:noProof/>
          <w:lang w:val="de-DE"/>
        </w:rPr>
        <w:t xml:space="preserve">ICS Press San Francisco, CA. </w:t>
      </w:r>
      <w:hyperlink r:id="rId22" w:history="1">
        <w:r w:rsidRPr="00DF4CD0">
          <w:rPr>
            <w:rStyle w:val="Hyperlink"/>
            <w:noProof/>
            <w:lang w:val="de-DE"/>
          </w:rPr>
          <w:t>https://pdf.usaid.gov/pdf_docs/pnabm255.pdf</w:t>
        </w:r>
      </w:hyperlink>
      <w:r w:rsidRPr="00DF4CD0">
        <w:rPr>
          <w:noProof/>
          <w:lang w:val="de-DE"/>
        </w:rPr>
        <w:t xml:space="preserve"> </w:t>
      </w:r>
    </w:p>
    <w:p w14:paraId="75502F66" w14:textId="77777777" w:rsidR="00F227A2" w:rsidRPr="00F227A2" w:rsidRDefault="00F227A2" w:rsidP="007D4FEC">
      <w:pPr>
        <w:pStyle w:val="EndNoteBibliography"/>
        <w:ind w:left="360"/>
        <w:rPr>
          <w:noProof/>
        </w:rPr>
      </w:pPr>
      <w:r w:rsidRPr="00F227A2">
        <w:rPr>
          <w:noProof/>
          <w:lang w:val="de-DE"/>
        </w:rPr>
        <w:t xml:space="preserve">Schmidt, H. (1983). Marktorganisationsbestimmte Kosten und Transaktionskosten als börsenpolitische Kategorien — Grundsätzliche Überlegungen zur Weiterentwicklung des Anlegerschutzes aus ökonomischer </w:t>
      </w:r>
      <w:r w:rsidRPr="00F227A2">
        <w:rPr>
          <w:noProof/>
          <w:lang w:val="de-DE"/>
        </w:rPr>
        <w:lastRenderedPageBreak/>
        <w:t>Sicht. Credit and Capital Markets – Kredit und Kapital, 16(2), 184-204. https://doi.org/10.3790/ccm.16.2.184</w:t>
      </w:r>
      <w:r>
        <w:rPr>
          <w:noProof/>
          <w:lang w:val="de-DE"/>
        </w:rPr>
        <w:t xml:space="preserve"> </w:t>
      </w:r>
    </w:p>
    <w:p w14:paraId="4D6096D0" w14:textId="77777777" w:rsidR="00F227A2" w:rsidRDefault="00F227A2" w:rsidP="007D4FEC">
      <w:pPr>
        <w:pStyle w:val="EndNoteBibliography"/>
        <w:ind w:left="360"/>
        <w:rPr>
          <w:noProof/>
        </w:rPr>
      </w:pPr>
      <w:r w:rsidRPr="00F227A2">
        <w:rPr>
          <w:noProof/>
        </w:rPr>
        <w:t>Tchuente, D., Lonlac, J., &amp; Kamsu-Foguem, B. (2024). A methodological and theoretical framework for implementing explainable artificial intelligence (XAI) in business applications. Computers in Industry, 155, Article 104044. https://doi.org/10.1016/j.compind.2023.104044</w:t>
      </w:r>
      <w:r>
        <w:rPr>
          <w:noProof/>
        </w:rPr>
        <w:t xml:space="preserve"> .</w:t>
      </w:r>
    </w:p>
    <w:p w14:paraId="7E84ABAA" w14:textId="77777777" w:rsidR="00F227A2" w:rsidRDefault="00F227A2" w:rsidP="007D4FEC">
      <w:pPr>
        <w:pStyle w:val="EndNoteBibliography"/>
        <w:ind w:left="360"/>
        <w:rPr>
          <w:noProof/>
        </w:rPr>
      </w:pPr>
      <w:r w:rsidRPr="00F227A2">
        <w:rPr>
          <w:noProof/>
        </w:rPr>
        <w:t>Williamson, O. E. (1979). Transaction-Cost Economics: The Governance of Contractual Relations. The Journal of Law &amp; Economics, 22(2), 233-261. https://doi.org/10.1086/466942</w:t>
      </w:r>
      <w:r>
        <w:rPr>
          <w:noProof/>
        </w:rPr>
        <w:t xml:space="preserve"> </w:t>
      </w:r>
    </w:p>
    <w:p w14:paraId="40A2AF93" w14:textId="77777777" w:rsidR="00F227A2" w:rsidRDefault="00F227A2" w:rsidP="007D4FEC">
      <w:pPr>
        <w:pStyle w:val="EndNoteBibliography"/>
        <w:ind w:left="360"/>
        <w:rPr>
          <w:noProof/>
        </w:rPr>
      </w:pPr>
      <w:r w:rsidRPr="00F227A2">
        <w:rPr>
          <w:noProof/>
        </w:rPr>
        <w:t>Williamson, O. E. (1981). The Modern Corporation: Origins, Evolution, Attributes. Journal of Economic Literature, 19(4), 1537-1568. https://www.jstor.org/stable/2724566</w:t>
      </w:r>
      <w:r>
        <w:rPr>
          <w:noProof/>
        </w:rPr>
        <w:t xml:space="preserve"> </w:t>
      </w:r>
    </w:p>
    <w:p w14:paraId="752900CB" w14:textId="007F01A7" w:rsidR="00FD78CB" w:rsidRPr="00B774AF" w:rsidRDefault="00F227A2" w:rsidP="007D4FEC">
      <w:pPr>
        <w:pStyle w:val="Body"/>
        <w:spacing w:after="0"/>
        <w:ind w:left="360"/>
        <w:rPr>
          <w:color w:val="000000" w:themeColor="text1"/>
        </w:rPr>
      </w:pPr>
      <w:r w:rsidRPr="00F227A2">
        <w:rPr>
          <w:noProof/>
          <w:sz w:val="22"/>
        </w:rPr>
        <w:t>Williamson, O. E. (2010). Transaction Cost Economics: The Natural Progression. The American Economic Review, 100(3), 673-690. https://doi.org/10.1257/aer.100.3.673</w:t>
      </w:r>
      <w:r w:rsidR="00FD78CB" w:rsidRPr="00B774AF">
        <w:rPr>
          <w:color w:val="000000" w:themeColor="text1"/>
        </w:rPr>
        <w:fldChar w:fldCharType="end"/>
      </w:r>
      <w:r>
        <w:rPr>
          <w:color w:val="000000" w:themeColor="text1"/>
        </w:rPr>
        <w:t xml:space="preserve">  </w:t>
      </w:r>
    </w:p>
    <w:p w14:paraId="113CAC3D" w14:textId="77777777" w:rsidR="00FD78CB" w:rsidRPr="00B774AF" w:rsidRDefault="00FD78CB" w:rsidP="00FD78CB">
      <w:pPr>
        <w:pStyle w:val="Body"/>
        <w:spacing w:after="0"/>
        <w:rPr>
          <w:rFonts w:ascii="Arial" w:hAnsi="Arial" w:cs="Arial"/>
          <w:i/>
          <w:color w:val="000000" w:themeColor="text1"/>
        </w:rPr>
      </w:pPr>
    </w:p>
    <w:sectPr w:rsidR="00FD78CB" w:rsidRPr="00B774AF" w:rsidSect="00CD02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E703C" w14:textId="77777777" w:rsidR="00D574AD" w:rsidRDefault="00D574AD" w:rsidP="00C37E61">
      <w:r>
        <w:separator/>
      </w:r>
    </w:p>
  </w:endnote>
  <w:endnote w:type="continuationSeparator" w:id="0">
    <w:p w14:paraId="57F563C0" w14:textId="77777777" w:rsidR="00D574AD" w:rsidRDefault="00D574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031E" w14:textId="77777777" w:rsidR="00CD0256" w:rsidRDefault="00CD0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83712" w14:textId="77777777" w:rsidR="00CD0256" w:rsidRDefault="00CD0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BD2B" w14:textId="77777777" w:rsidR="009E048A" w:rsidRDefault="009E048A">
    <w:pPr>
      <w:pStyle w:val="Footer"/>
      <w:rPr>
        <w:rFonts w:ascii="Arial" w:hAnsi="Arial" w:cs="Arial"/>
        <w:sz w:val="16"/>
      </w:rPr>
    </w:pPr>
  </w:p>
  <w:p w14:paraId="7DD8F9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A9BC0" w14:textId="77777777" w:rsidR="009E048A" w:rsidRDefault="009E048A">
    <w:pPr>
      <w:pStyle w:val="Footer"/>
      <w:rPr>
        <w:rFonts w:ascii="Arial" w:hAnsi="Arial" w:cs="Arial"/>
        <w:sz w:val="16"/>
      </w:rPr>
    </w:pPr>
  </w:p>
  <w:p w14:paraId="4E65BC1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02B57" w14:textId="77777777" w:rsidR="00D574AD" w:rsidRDefault="00D574AD" w:rsidP="00C37E61">
      <w:r>
        <w:separator/>
      </w:r>
    </w:p>
  </w:footnote>
  <w:footnote w:type="continuationSeparator" w:id="0">
    <w:p w14:paraId="63FD68B3" w14:textId="77777777" w:rsidR="00D574AD" w:rsidRDefault="00D574AD" w:rsidP="00C37E61">
      <w:r>
        <w:continuationSeparator/>
      </w:r>
    </w:p>
  </w:footnote>
  <w:footnote w:id="1">
    <w:p w14:paraId="68717144" w14:textId="77777777" w:rsidR="005020A0" w:rsidRPr="003B098A" w:rsidRDefault="005020A0" w:rsidP="005020A0">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 guid="e0eeaa4b-ea4a-4372-8f89-6044aeb4bba1"&gt;110&lt;/key&gt;&lt;/foreign-keys&gt;&lt;ref-type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04B89647" w14:textId="77777777" w:rsidR="005020A0" w:rsidRPr="00FB2EDA" w:rsidRDefault="005020A0" w:rsidP="005020A0">
      <w:pPr>
        <w:pStyle w:val="FootnoteText"/>
        <w:rPr>
          <w:lang w:val="de-DE"/>
        </w:rPr>
      </w:pPr>
      <w:r>
        <w:rPr>
          <w:rStyle w:val="FootnoteReference"/>
        </w:rPr>
        <w:footnoteRef/>
      </w:r>
      <w:r w:rsidRPr="00FB2EDA">
        <w:rPr>
          <w:lang w:val="de-DE"/>
        </w:rPr>
        <w:t xml:space="preserve"> </w:t>
      </w:r>
      <w:r w:rsidRPr="00254C4A">
        <w:rPr>
          <w:szCs w:val="16"/>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 </w:instrText>
      </w:r>
      <w:r>
        <w:rPr>
          <w:szCs w:val="16"/>
          <w:lang w:val="de-DE"/>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EN.CITE.DATA </w:instrText>
      </w:r>
      <w:r>
        <w:rPr>
          <w:szCs w:val="16"/>
          <w:lang w:val="de-DE"/>
        </w:rPr>
      </w:r>
      <w:r>
        <w:rPr>
          <w:szCs w:val="16"/>
          <w:lang w:val="de-DE"/>
        </w:rPr>
        <w:fldChar w:fldCharType="end"/>
      </w:r>
      <w:r w:rsidRPr="00254C4A">
        <w:rPr>
          <w:szCs w:val="16"/>
        </w:rPr>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3D67CBAA" w14:textId="77777777" w:rsidR="005020A0" w:rsidRPr="00DF4CD0" w:rsidRDefault="005020A0" w:rsidP="005020A0">
      <w:pPr>
        <w:pStyle w:val="FootnoteText"/>
        <w:rPr>
          <w:lang w:val="de-DE"/>
        </w:rPr>
      </w:pPr>
      <w:r>
        <w:rPr>
          <w:rStyle w:val="FootnoteReference"/>
        </w:rPr>
        <w:footnoteRef/>
      </w:r>
      <w:r w:rsidRPr="00DF4CD0">
        <w:rPr>
          <w:lang w:val="de-DE"/>
        </w:rPr>
        <w:t xml:space="preserve"> </w:t>
      </w:r>
      <w:r w:rsidRPr="00254C4A">
        <w:rPr>
          <w:szCs w:val="16"/>
        </w:rPr>
        <w:fldChar w:fldCharType="begin"/>
      </w:r>
      <w:r w:rsidRPr="00DF4CD0">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 guid="1c6b7614-76c3-4b16-b884-c667c709fd22"&gt;314&lt;/key&gt;&lt;/foreign-keys&gt;&lt;ref-type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DF4CD0">
        <w:rPr>
          <w:noProof/>
          <w:szCs w:val="16"/>
          <w:lang w:val="de-DE"/>
        </w:rPr>
        <w:t>Kun (2024), pp. 14-15</w:t>
      </w:r>
      <w:r w:rsidRPr="00254C4A">
        <w:rPr>
          <w:szCs w:val="16"/>
        </w:rPr>
        <w:fldChar w:fldCharType="end"/>
      </w:r>
      <w:r w:rsidRPr="00DF4CD0">
        <w:rPr>
          <w:szCs w:val="16"/>
          <w:lang w:val="de-DE"/>
        </w:rPr>
        <w:t xml:space="preserve"> </w:t>
      </w:r>
    </w:p>
  </w:footnote>
  <w:footnote w:id="4">
    <w:p w14:paraId="7EE5C696" w14:textId="77777777" w:rsidR="005020A0" w:rsidRPr="00201341" w:rsidRDefault="005020A0" w:rsidP="005020A0">
      <w:pPr>
        <w:pStyle w:val="FootnoteText"/>
      </w:pPr>
      <w:r>
        <w:rPr>
          <w:rStyle w:val="FootnoteReference"/>
        </w:rPr>
        <w:footnoteRef/>
      </w:r>
      <w:r>
        <w:t xml:space="preserve"> </w:t>
      </w:r>
      <w:r w:rsidRPr="00254C4A">
        <w:rPr>
          <w:szCs w:val="16"/>
        </w:rPr>
        <w:fldChar w:fldCharType="begin"/>
      </w:r>
      <w:r>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 guid="6fa8ab81-a747-4c65-8c76-b930e26ab04c"&gt;312&lt;/key&gt;&lt;/foreign-keys&gt;&lt;ref-type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 guid="98188974-fad3-4d0c-8693-c17085320eb9"&gt;316&lt;/key&gt;&lt;/foreign-keys&gt;&lt;ref-type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668BBEF5" w14:textId="77777777" w:rsidR="00A86288" w:rsidRPr="00236AA0" w:rsidRDefault="00A86288" w:rsidP="00A86288">
      <w:pPr>
        <w:pStyle w:val="FootnoteText"/>
        <w:rPr>
          <w:lang w:val="de-DE"/>
        </w:rPr>
      </w:pPr>
      <w:r>
        <w:rPr>
          <w:rStyle w:val="FootnoteReference"/>
        </w:rPr>
        <w:footnoteRef/>
      </w:r>
      <w:r>
        <w:t xml:space="preserve"> </w:t>
      </w:r>
      <w:r w:rsidRPr="00254C4A">
        <w:rPr>
          <w:color w:val="000000" w:themeColor="text1"/>
          <w:szCs w:val="16"/>
        </w:rPr>
        <w:fldChar w:fldCharType="begin"/>
      </w:r>
      <w:r>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w:instrText>
      </w:r>
      <w:r w:rsidRPr="00DF4CD0">
        <w:rPr>
          <w:szCs w:val="16"/>
          <w:lang w:val="en-GB"/>
        </w:rPr>
        <w:instrText>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DF4CD0">
        <w:rPr>
          <w:noProof/>
          <w:szCs w:val="16"/>
          <w:lang w:val="en-GB"/>
        </w:rPr>
        <w:t>Williamson (1981), pp. 1537-1538; 1543-1551</w:t>
      </w:r>
      <w:r w:rsidRPr="00254C4A">
        <w:rPr>
          <w:szCs w:val="16"/>
        </w:rPr>
        <w:fldChar w:fldCharType="end"/>
      </w:r>
      <w:r w:rsidRPr="00DF4CD0">
        <w:rPr>
          <w:szCs w:val="16"/>
          <w:lang w:val="en-GB"/>
        </w:rPr>
        <w:t xml:space="preserve">; </w:t>
      </w:r>
      <w:r w:rsidRPr="00254C4A">
        <w:rPr>
          <w:szCs w:val="16"/>
        </w:rPr>
        <w:fldChar w:fldCharType="begin"/>
      </w:r>
      <w:r w:rsidRPr="00DF4CD0">
        <w:rPr>
          <w:szCs w:val="16"/>
          <w:lang w:val="en-GB"/>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w:instrText>
      </w:r>
      <w:r w:rsidRPr="00236AA0">
        <w:rPr>
          <w:szCs w:val="16"/>
          <w:lang w:val="de-DE"/>
        </w:rPr>
        <w:instrText>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36AA0">
        <w:rPr>
          <w:noProof/>
          <w:szCs w:val="16"/>
          <w:lang w:val="de-DE"/>
        </w:rPr>
        <w:t>Schmidt (1983), p. 187</w:t>
      </w:r>
      <w:r w:rsidRPr="00254C4A">
        <w:rPr>
          <w:szCs w:val="16"/>
        </w:rPr>
        <w:fldChar w:fldCharType="end"/>
      </w:r>
      <w:r w:rsidRPr="00236AA0">
        <w:rPr>
          <w:szCs w:val="16"/>
          <w:lang w:val="de-DE"/>
        </w:rPr>
        <w:t xml:space="preserve">; </w:t>
      </w:r>
      <w:r w:rsidRPr="00254C4A">
        <w:rPr>
          <w:szCs w:val="16"/>
        </w:rPr>
        <w:fldChar w:fldCharType="begin"/>
      </w:r>
      <w:r w:rsidRPr="00236AA0">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236AA0">
        <w:rPr>
          <w:noProof/>
          <w:szCs w:val="16"/>
          <w:lang w:val="de-DE"/>
        </w:rPr>
        <w:t>Francioni (2017), pp. 15-70</w:t>
      </w:r>
      <w:r w:rsidRPr="00254C4A">
        <w:rPr>
          <w:szCs w:val="16"/>
        </w:rPr>
        <w:fldChar w:fldCharType="end"/>
      </w:r>
    </w:p>
  </w:footnote>
  <w:footnote w:id="6">
    <w:p w14:paraId="1250A513" w14:textId="77777777" w:rsidR="00A86288" w:rsidRPr="00A86288"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Pr="00A86288">
        <w:rPr>
          <w:szCs w:val="16"/>
          <w:lang w:val="en-GB"/>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A86288">
        <w:rPr>
          <w:noProof/>
          <w:szCs w:val="16"/>
          <w:lang w:val="en-GB"/>
        </w:rPr>
        <w:t>COMMISSION-DELEGATED-REGULATION-(EU)-2017/567 (2017)</w:t>
      </w:r>
      <w:r w:rsidRPr="00254C4A">
        <w:rPr>
          <w:szCs w:val="16"/>
        </w:rPr>
        <w:fldChar w:fldCharType="end"/>
      </w:r>
    </w:p>
  </w:footnote>
  <w:footnote w:id="7">
    <w:p w14:paraId="05884F2C" w14:textId="77777777" w:rsidR="00A86288" w:rsidRPr="00A86288"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Pr="00A86288">
        <w:rPr>
          <w:szCs w:val="16"/>
          <w:lang w:val="en-GB"/>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 guid="73f20573-ee29-4584-a4fa-fe8070b91103"&gt;236&lt;/key&gt;&lt;/foreign-keys&gt;&lt;ref-type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A86288">
        <w:rPr>
          <w:noProof/>
          <w:szCs w:val="16"/>
          <w:lang w:val="en-GB"/>
        </w:rPr>
        <w:t>Commons (1931), pp. 648-657</w:t>
      </w:r>
      <w:r w:rsidRPr="00254C4A">
        <w:rPr>
          <w:szCs w:val="16"/>
        </w:rPr>
        <w:fldChar w:fldCharType="end"/>
      </w:r>
    </w:p>
  </w:footnote>
  <w:footnote w:id="8">
    <w:p w14:paraId="674B4013" w14:textId="77777777" w:rsidR="00A86288" w:rsidRPr="00A86288"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Pr="00A86288">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 guid="f9fd324f-2ec6-4c27-b1ea-38a16f08e7d4"&gt;248&lt;/key&gt;&lt;/foreign-keys&gt;&lt;ref-type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A86288">
        <w:rPr>
          <w:noProof/>
          <w:szCs w:val="16"/>
          <w:lang w:val="en-GB"/>
        </w:rPr>
        <w:t>Williamson (2010), pp. 673, 686</w:t>
      </w:r>
      <w:r w:rsidRPr="00254C4A">
        <w:rPr>
          <w:szCs w:val="16"/>
        </w:rPr>
        <w:fldChar w:fldCharType="end"/>
      </w:r>
      <w:r w:rsidRPr="00A86288">
        <w:rPr>
          <w:szCs w:val="16"/>
          <w:lang w:val="en-GB"/>
        </w:rPr>
        <w:t xml:space="preserve">; </w:t>
      </w:r>
      <w:r w:rsidRPr="00254C4A">
        <w:rPr>
          <w:szCs w:val="16"/>
        </w:rPr>
        <w:fldChar w:fldCharType="begin"/>
      </w:r>
      <w:r w:rsidRPr="00A86288">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 guid="46950a9c-bc25-4875-9587-474ffdc6597e"&gt;241&lt;/key&gt;&lt;/foreign-keys&gt;&lt;ref-type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A86288">
        <w:rPr>
          <w:noProof/>
          <w:szCs w:val="16"/>
          <w:lang w:val="en-GB"/>
        </w:rPr>
        <w:t>North (1992), pp. 7-8</w:t>
      </w:r>
      <w:r w:rsidRPr="00254C4A">
        <w:rPr>
          <w:szCs w:val="16"/>
        </w:rPr>
        <w:fldChar w:fldCharType="end"/>
      </w:r>
    </w:p>
  </w:footnote>
  <w:footnote w:id="9">
    <w:p w14:paraId="00B21D3E" w14:textId="77777777" w:rsidR="00A86288" w:rsidRPr="00FD78CB" w:rsidRDefault="00A86288" w:rsidP="00A86288">
      <w:pPr>
        <w:pStyle w:val="FootnoteText"/>
        <w:rPr>
          <w:lang w:val="de-DE"/>
        </w:rPr>
      </w:pPr>
      <w:r>
        <w:rPr>
          <w:rStyle w:val="FootnoteReference"/>
        </w:rPr>
        <w:footnoteRef/>
      </w:r>
      <w:r w:rsidRPr="00A86288">
        <w:rPr>
          <w:lang w:val="en-GB"/>
        </w:rPr>
        <w:t xml:space="preserve"> </w:t>
      </w:r>
      <w:r w:rsidRPr="00254C4A">
        <w:rPr>
          <w:szCs w:val="16"/>
        </w:rPr>
        <w:fldChar w:fldCharType="begin"/>
      </w:r>
      <w:r w:rsidRPr="00A86288">
        <w:rPr>
          <w:szCs w:val="16"/>
          <w:lang w:val="en-GB"/>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 guid="0a7b97e5-3801-4687-9c8d-f88e773a5d99"&gt;249&lt;/key&gt;&lt;/foreign-keys&gt;&lt;ref-type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Pr="00254C4A">
        <w:rPr>
          <w:szCs w:val="16"/>
        </w:rPr>
        <w:fldChar w:fldCharType="separate"/>
      </w:r>
      <w:r w:rsidRPr="00A86288">
        <w:rPr>
          <w:noProof/>
          <w:szCs w:val="16"/>
          <w:lang w:val="en-GB"/>
        </w:rPr>
        <w:t>Williamson (1979), pp. 234-254, 259</w:t>
      </w:r>
      <w:r w:rsidRPr="00254C4A">
        <w:rPr>
          <w:szCs w:val="16"/>
        </w:rPr>
        <w:fldChar w:fldCharType="end"/>
      </w:r>
      <w:r w:rsidRPr="00A86288">
        <w:rPr>
          <w:szCs w:val="16"/>
          <w:lang w:val="en-GB"/>
        </w:rPr>
        <w:t xml:space="preserve">; </w:t>
      </w:r>
      <w:r w:rsidRPr="00254C4A">
        <w:rPr>
          <w:szCs w:val="16"/>
        </w:rPr>
        <w:fldChar w:fldCharType="begin"/>
      </w:r>
      <w:r w:rsidRPr="00A86288">
        <w:rPr>
          <w:szCs w:val="16"/>
          <w:lang w:val="en-GB"/>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 guid="93dc8828-d4d8-4e47-806b-d2e0fd034398"&gt;247&lt;/key&gt;&lt;/foreign-keys&gt;&lt;ref-type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Pr="00254C4A">
        <w:rPr>
          <w:szCs w:val="16"/>
        </w:rPr>
        <w:fldChar w:fldCharType="separate"/>
      </w:r>
      <w:r w:rsidRPr="00A86288">
        <w:rPr>
          <w:noProof/>
          <w:szCs w:val="16"/>
          <w:lang w:val="en-GB"/>
        </w:rPr>
        <w:t>Dugger (1983), pp. 96-99</w:t>
      </w:r>
      <w:r w:rsidRPr="00254C4A">
        <w:rPr>
          <w:szCs w:val="16"/>
        </w:rPr>
        <w:fldChar w:fldCharType="end"/>
      </w:r>
      <w:r w:rsidRPr="00A86288">
        <w:rPr>
          <w:szCs w:val="16"/>
          <w:lang w:val="en-GB"/>
        </w:rPr>
        <w:t xml:space="preserve">; </w:t>
      </w:r>
      <w:r w:rsidRPr="00254C4A">
        <w:rPr>
          <w:szCs w:val="16"/>
        </w:rPr>
        <w:fldChar w:fldCharType="begin"/>
      </w:r>
      <w:r w:rsidRPr="00A86288">
        <w:rPr>
          <w:szCs w:val="16"/>
          <w:lang w:val="en-GB"/>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 guid="8562bdec-18bb-43c9-9d24-aed0d1763584"&gt;245&lt;/key&gt;&lt;/foreign-keys&gt;&lt;ref-type name="Journal Article"&gt;17&lt;/ref-type&gt;&lt;contribut</w:instrText>
      </w:r>
      <w:r w:rsidRPr="00FD78CB">
        <w:rPr>
          <w:szCs w:val="16"/>
          <w:lang w:val="de-DE"/>
        </w:rPr>
        <w:instrTex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FD78CB">
        <w:rPr>
          <w:noProof/>
          <w:szCs w:val="16"/>
          <w:lang w:val="de-DE"/>
        </w:rPr>
        <w:t>Williamson (1981), pp. 1544-1548, 1562-1565</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FD78CB">
        <w:rPr>
          <w:noProof/>
          <w:szCs w:val="16"/>
          <w:lang w:val="de-DE"/>
        </w:rPr>
        <w:t>Francioni (2017), pp. 15-17</w:t>
      </w:r>
      <w:r w:rsidRPr="00254C4A">
        <w:rPr>
          <w:szCs w:val="16"/>
        </w:rPr>
        <w:fldChar w:fldCharType="end"/>
      </w:r>
    </w:p>
  </w:footnote>
  <w:footnote w:id="10">
    <w:p w14:paraId="4F0E851C" w14:textId="77777777" w:rsidR="00A86288" w:rsidRPr="00FD78CB" w:rsidRDefault="00A86288" w:rsidP="00A86288">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FD78CB">
        <w:rPr>
          <w:noProof/>
          <w:szCs w:val="16"/>
          <w:lang w:val="de-DE"/>
        </w:rPr>
        <w:t>Schmidt (1983), p. 187</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FD78CB">
        <w:rPr>
          <w:noProof/>
          <w:szCs w:val="16"/>
          <w:lang w:val="de-DE"/>
        </w:rPr>
        <w:t>Bitz (2007), pp. 2-4, 8-9</w:t>
      </w:r>
      <w:r w:rsidRPr="00254C4A">
        <w:rPr>
          <w:szCs w:val="16"/>
        </w:rPr>
        <w:fldChar w:fldCharType="end"/>
      </w:r>
    </w:p>
  </w:footnote>
  <w:footnote w:id="11">
    <w:p w14:paraId="6821C77D" w14:textId="6DC9CE5D" w:rsidR="00F15C10" w:rsidRPr="00F15C10" w:rsidRDefault="00F15C10">
      <w:pPr>
        <w:pStyle w:val="FootnoteText"/>
        <w:rPr>
          <w:lang w:val="de-DE"/>
        </w:rPr>
      </w:pPr>
      <w:r>
        <w:rPr>
          <w:rStyle w:val="FootnoteReference"/>
        </w:rPr>
        <w:footnoteRef/>
      </w:r>
      <w:r w:rsidRPr="00DF4CD0">
        <w:rPr>
          <w:lang w:val="de-DE"/>
        </w:rPr>
        <w:t xml:space="preserve"> </w:t>
      </w:r>
      <w:r>
        <w:fldChar w:fldCharType="begin"/>
      </w:r>
      <w:r w:rsidRPr="00DF4CD0">
        <w:rPr>
          <w:lang w:val="de-DE"/>
        </w:rPr>
        <w:instrText xml:space="preserve"> ADDIN EN.CITE &lt;EndNote&gt;&lt;Cite&gt;&lt;Author&gt;Hair Jr.&lt;/Author&gt;&lt;Year&gt;2021&lt;/Year&gt;&lt;RecNum&gt;714&lt;/RecNum&gt;&lt;DisplayText&gt;Hair Jr., Hult, Ringle, Sarstedt, Danks and Ray (2021)&lt;/DisplayText&gt;&lt;record&gt;&lt;rec-number&gt;714&lt;/rec-number&gt;&lt;foreign-keys&gt;&lt;key app="EN" db-id="td52tzxpls5etuefv0jxdpac2t5adrxxa2rv" timestamp="1758556628"&gt;714&lt;/key&gt;&lt;/foreign-keys&gt;&lt;ref-type name="Book"&gt;6&lt;/ref-type&gt;&lt;contributors&gt;&lt;authors&gt;&lt;author&gt;Hair Jr., Joseph F.&lt;/author&gt;&lt;author&gt;Hult, G. Tomas M.&lt;/author&gt;&lt;author&gt;Ringle, Christian M.&lt;/author&gt;&lt;author&gt;Sarstedt, Marko&lt;/author&gt;&lt;author&gt;Danks, Nicholas P.&lt;/author&gt;&lt;author&gt;Ray, Soumya&lt;/author&gt;&lt;/authors&gt;&lt;/contributors&gt;&lt;titles&gt;&lt;title&gt;Partial Least Squares Structural Equation Modeling (PLS-SEM) Using R&lt;/title&gt;&lt;/titles&gt;&lt;pages&gt;197&lt;/pages&gt;&lt;dates&gt;&lt;year&gt;2021&lt;/year&gt;&lt;/dates&gt;&lt;pub-location&gt;Cham, Switzerland&lt;/pub-location&gt;&lt;publisher&gt;Springer International Publishing&lt;/publisher&gt;&lt;isbn&gt;978-3-030-80518-0, 978-3-030-80519-7 (eBook)&lt;/isbn&gt;&lt;urls&gt;&lt;/urls&gt;&lt;electronic-resource-num&gt;https://doi.org/10.1007/978-3-030-80519-7&lt;/electronic-resource-num&gt;&lt;/record&gt;&lt;/Cite&gt;&lt;/EndNote&gt;</w:instrText>
      </w:r>
      <w:r>
        <w:fldChar w:fldCharType="separate"/>
      </w:r>
      <w:r w:rsidRPr="00DF4CD0">
        <w:rPr>
          <w:noProof/>
          <w:lang w:val="de-DE"/>
        </w:rPr>
        <w:t>Hair Jr., Hult, Ringle, Sarstedt, Danks and Ray (2021)</w:t>
      </w:r>
      <w:r>
        <w:fldChar w:fldCharType="end"/>
      </w:r>
    </w:p>
  </w:footnote>
  <w:footnote w:id="12">
    <w:p w14:paraId="033E3951" w14:textId="77777777" w:rsidR="000863C9" w:rsidRPr="00DF4CD0" w:rsidRDefault="000863C9" w:rsidP="000863C9">
      <w:pPr>
        <w:pStyle w:val="FootnoteText"/>
        <w:rPr>
          <w:lang w:val="en-GB"/>
        </w:rPr>
      </w:pPr>
      <w:r>
        <w:rPr>
          <w:rStyle w:val="FootnoteReference"/>
        </w:rPr>
        <w:footnoteRef/>
      </w:r>
      <w:r w:rsidRPr="00DF4CD0">
        <w:rPr>
          <w:lang w:val="en-GB"/>
        </w:rPr>
        <w:t xml:space="preserve"> </w:t>
      </w:r>
      <w:r>
        <w:fldChar w:fldCharType="begin"/>
      </w:r>
      <w:r w:rsidRPr="00DF4CD0">
        <w:rPr>
          <w:lang w:val="en-GB"/>
        </w:rPr>
        <w:instrText xml:space="preserve"> ADDIN EN.CITE &lt;EndNote&gt;&lt;Cite&gt;&lt;Author&gt;Laudenbach&lt;/Author&gt;&lt;Year&gt;2025&lt;/Year&gt;&lt;RecNum&gt;581&lt;/RecNum&gt;&lt;DisplayText&gt;Laudenbach (2025a)&lt;/DisplayText&gt;&lt;record&gt;&lt;rec-number&gt;581&lt;/rec-number&gt;&lt;foreign-keys&gt;&lt;key app="EN" db-id="td52tzxpls5etuefv0jxdpac2t5adrxxa2rv" timestamp="1757352831"&gt;581&lt;/key&gt;&lt;/foreign-keys&gt;&lt;ref-type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urls&gt;&lt;electronic-resource-num&gt;https://doi.org/10.9734/jemt/2025/v31i91351&lt;/electronic-resource-num&gt;&lt;/record&gt;&lt;/Cite&gt;&lt;/EndNote&gt;</w:instrText>
      </w:r>
      <w:r>
        <w:fldChar w:fldCharType="separate"/>
      </w:r>
      <w:r w:rsidRPr="00DF4CD0">
        <w:rPr>
          <w:noProof/>
          <w:lang w:val="en-GB"/>
        </w:rPr>
        <w:t>Laudenbach (2025a)</w:t>
      </w:r>
      <w:r>
        <w:fldChar w:fldCharType="end"/>
      </w:r>
    </w:p>
  </w:footnote>
  <w:footnote w:id="13">
    <w:p w14:paraId="1A7C61B0" w14:textId="77777777" w:rsidR="000863C9" w:rsidRPr="00A731E0" w:rsidRDefault="000863C9" w:rsidP="000863C9">
      <w:pPr>
        <w:pStyle w:val="FootnoteText"/>
      </w:pPr>
      <w:r>
        <w:rPr>
          <w:rStyle w:val="FootnoteReference"/>
        </w:rPr>
        <w:footnoteRef/>
      </w:r>
      <w:r w:rsidRPr="00AC3122">
        <w:rPr>
          <w:lang w:val="en-GB"/>
        </w:rPr>
        <w:t xml:space="preserve"> </w:t>
      </w:r>
      <w:r w:rsidRPr="00254C4A">
        <w:rPr>
          <w:szCs w:val="16"/>
        </w:rPr>
        <w:fldChar w:fldCharType="begin"/>
      </w:r>
      <w:r w:rsidRPr="00AC3122">
        <w:rPr>
          <w:szCs w:val="16"/>
          <w:lang w:val="en-GB"/>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AC3122">
        <w:rPr>
          <w:noProof/>
          <w:szCs w:val="16"/>
          <w:lang w:val="en-GB"/>
        </w:rPr>
        <w:t>Francioni (2017), p. 64</w:t>
      </w:r>
      <w:r w:rsidRPr="00254C4A">
        <w:rPr>
          <w:szCs w:val="16"/>
        </w:rPr>
        <w:fldChar w:fldCharType="end"/>
      </w:r>
      <w:r w:rsidRPr="00AC3122">
        <w:rPr>
          <w:szCs w:val="16"/>
          <w:lang w:val="en-GB"/>
        </w:rPr>
        <w:t xml:space="preserve">; </w:t>
      </w:r>
      <w:r w:rsidRPr="00254C4A">
        <w:rPr>
          <w:szCs w:val="16"/>
        </w:rPr>
        <w:fldChar w:fldCharType="begin"/>
      </w:r>
      <w:r w:rsidRPr="00AC3122">
        <w:rPr>
          <w:szCs w:val="16"/>
          <w:lang w:val="en-GB"/>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 guid="b1ece9a6-cd0c-4f44-8885-e077642244da"&gt;250&lt;/key&gt;&lt;/foreign-keys&gt;&lt;ref-type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w:instrText>
      </w:r>
      <w:r w:rsidRPr="00C630B8">
        <w:rPr>
          <w:szCs w:val="16"/>
          <w:lang w:val="en-GB"/>
        </w:rPr>
        <w:instrTex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C630B8">
        <w:rPr>
          <w:noProof/>
          <w:szCs w:val="16"/>
          <w:lang w:val="en-GB"/>
        </w:rPr>
        <w:t>Benston and Smith (1976), pp. 228-229</w:t>
      </w:r>
      <w:r w:rsidRPr="00254C4A">
        <w:rPr>
          <w:szCs w:val="16"/>
        </w:rPr>
        <w:fldChar w:fldCharType="end"/>
      </w:r>
      <w:r w:rsidRPr="00C630B8">
        <w:rPr>
          <w:szCs w:val="16"/>
          <w:lang w:val="en-GB"/>
        </w:rPr>
        <w:t xml:space="preserve">; </w:t>
      </w:r>
      <w:r w:rsidRPr="00254C4A">
        <w:rPr>
          <w:szCs w:val="16"/>
        </w:rPr>
        <w:fldChar w:fldCharType="begin"/>
      </w:r>
      <w:r w:rsidRPr="00C630B8">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 guid="e33821d4-7db4-4622-b462-4726edb83bfd"&gt;157&lt;/key&gt;&lt;/foreign-keys&gt;&lt;ref-type name="Electronic Book"&gt;44&lt;/ref-type&gt;&lt;contributors&gt;&lt;authors&gt;&lt;author&gt;Geranio, Manuela</w:instrText>
      </w:r>
      <w:r>
        <w:rPr>
          <w:szCs w:val="16"/>
          <w:lang w:val="en-GB"/>
        </w:rPr>
        <w:instrText>&lt;/author&gt;&lt;/authors&gt;&lt;/contributors&gt;&lt;titles&gt;&lt;title&gt;Evolution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4">
    <w:p w14:paraId="62A93005" w14:textId="4F64FFEE" w:rsidR="000863C9" w:rsidRPr="00405057" w:rsidRDefault="000863C9" w:rsidP="000863C9">
      <w:pPr>
        <w:pStyle w:val="FootnoteText"/>
      </w:pPr>
      <w:r>
        <w:rPr>
          <w:rStyle w:val="FootnoteReference"/>
        </w:rPr>
        <w:footnoteRef/>
      </w:r>
      <w:r>
        <w:t xml:space="preserve"> </w:t>
      </w:r>
      <w:r>
        <w:fldChar w:fldCharType="begin"/>
      </w:r>
      <w:r w:rsidR="00F15C10">
        <w:instrText xml:space="preserve"> ADDIN EN.CITE &lt;EndNote&gt;&lt;Cite&gt;&lt;Author&gt;Laudenbach&lt;/Author&gt;&lt;Year&gt;2025&lt;/Year&gt;&lt;RecNum&gt;716&lt;/RecNum&gt;&lt;DisplayText&gt;Laudenbach (2025c)&lt;/DisplayText&gt;&lt;record&gt;&lt;rec-number&gt;716&lt;/rec-number&gt;&lt;foreign-keys&gt;&lt;key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sidR="00F15C10">
        <w:rPr>
          <w:noProof/>
        </w:rPr>
        <w:t>Laudenbach (2025c)</w:t>
      </w:r>
      <w:r>
        <w:fldChar w:fldCharType="end"/>
      </w:r>
    </w:p>
  </w:footnote>
  <w:footnote w:id="15">
    <w:p w14:paraId="1E9790F1" w14:textId="1EB89CAC" w:rsidR="00F15C10" w:rsidRPr="00F15C10" w:rsidRDefault="00F15C10">
      <w:pPr>
        <w:pStyle w:val="FootnoteText"/>
      </w:pPr>
      <w:r>
        <w:rPr>
          <w:rStyle w:val="FootnoteReference"/>
        </w:rPr>
        <w:footnoteRef/>
      </w:r>
      <w:r>
        <w:t xml:space="preserve"> </w:t>
      </w:r>
      <w:r>
        <w:fldChar w:fldCharType="begin"/>
      </w:r>
      <w:r>
        <w:instrText xml:space="preserve"> ADDIN EN.CITE &lt;EndNote&gt;&lt;Cite&gt;&lt;Author&gt;COMMISSION-DELEGATED-REGULATION-(EU)-2017/565&lt;/Author&gt;&lt;Year&gt;2017&lt;/Year&gt;&lt;RecNum&gt;227&lt;/RecNum&gt;&lt;DisplayText&gt;COMMISSION-DELEGATED-REGULATION-(EU)-2017/565 (2017)&lt;/DisplayText&gt;&lt;record&gt;&lt;rec-number&gt;227&lt;/rec-number&gt;&lt;foreign-keys&gt;&lt;key app="EN" db-id="td52tzxpls5etuefv0jxdpac2t5adrxxa2rv" timestamp="1699617029" guid="6365c280-a934-487d-a0b3-48187bfd7e23"&gt;227&lt;/key&gt;&lt;/foreign-keys&gt;&lt;ref-type name="Web Page"&gt;12&lt;/ref-type&gt;&lt;contributors&gt;&lt;authors&gt;&lt;author&gt;COMMISSION-DELEGATED-REGULATION-(EU)-2017/565&lt;/author&gt;&lt;/authors&gt;&lt;secondary-authors&gt;&lt;author&gt;Official Journal of the European Union&lt;/author&gt;&lt;/secondary-authors&gt;&lt;/contributors&gt;&lt;titles&gt;&lt;title&gt;COMMISSION DELEGATED REGULATION (EU) 2017/565 of 25 April 2016 supplementing Directive 2014/65/EU of the European Parliament and of the Council as regards organisational requirements and operating conditions for investment firms and defined terms for the purposes of that Directive&lt;/title&gt;&lt;/titles&gt;&lt;volume&gt;2023&lt;/volume&gt;&lt;number&gt;10. November 2023&lt;/number&gt;&lt;dates&gt;&lt;year&gt;2017&lt;/year&gt;&lt;/dates&gt;&lt;publisher&gt;THE EUROPEAN PARLIAMENT AND THE COUNCIL OF THE EUROPEAN UNION&lt;/publisher&gt;&lt;urls&gt;&lt;related-urls&gt;&lt;url&gt;https://eur-lex.europa.eu/legal-content/EN/TXT/?uri=CELEX%3A32017R0565&amp;amp;qid=1699615896701&lt;/url&gt;&lt;/related-urls&gt;&lt;/urls&gt;&lt;electronic-resource-num&gt;http://data.europa.eu/eli/reg_del/2017/565/oj&lt;/electronic-resource-num&gt;&lt;/record&gt;&lt;/Cite&gt;&lt;/EndNote&gt;</w:instrText>
      </w:r>
      <w:r>
        <w:fldChar w:fldCharType="separate"/>
      </w:r>
      <w:r>
        <w:rPr>
          <w:noProof/>
        </w:rPr>
        <w:t>COMMISSION-DELEGATED-REGULATION-(EU)-2017/565 (2017)</w:t>
      </w:r>
      <w:r>
        <w:fldChar w:fldCharType="end"/>
      </w:r>
      <w:r>
        <w:t xml:space="preserve">; </w:t>
      </w:r>
      <w:r>
        <w:fldChar w:fldCharType="begin"/>
      </w:r>
      <w: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fldChar w:fldCharType="separate"/>
      </w:r>
      <w:r>
        <w:rPr>
          <w:noProof/>
        </w:rPr>
        <w:t>COMMISSION-DELEGATED-REGULATION-(EU)-2017/567 (2017)</w:t>
      </w:r>
      <w:r>
        <w:fldChar w:fldCharType="end"/>
      </w:r>
      <w:r>
        <w:t xml:space="preserve">; </w:t>
      </w:r>
      <w:r>
        <w:fldChar w:fldCharType="begin"/>
      </w:r>
      <w:r>
        <w:instrText xml:space="preserve"> ADDIN EN.CITE &lt;EndNote&gt;&lt;Cite&gt;&lt;Author&gt;Berndsen&lt;/Author&gt;&lt;Year&gt;2018&lt;/Year&gt;&lt;RecNum&gt;715&lt;/RecNum&gt;&lt;DisplayText&gt;Berndsen, León and Renneboog (2018)&lt;/DisplayText&gt;&lt;record&gt;&lt;rec-number&gt;715&lt;/rec-number&gt;&lt;foreign-keys&gt;&lt;key app="EN" db-id="td52tzxpls5etuefv0jxdpac2t5adrxxa2rv" timestamp="1758573059"&gt;715&lt;/key&gt;&lt;/foreign-keys&gt;&lt;ref-type name="Journal Article"&gt;17&lt;/ref-type&gt;&lt;contributors&gt;&lt;authors&gt;&lt;author&gt;Berndsen, Ron J.&lt;/author&gt;&lt;author&gt;León, Carlos&lt;/author&gt;&lt;author&gt;Renneboog, Luc&lt;/author&gt;&lt;/authors&gt;&lt;/contributors&gt;&lt;titles&gt;&lt;title&gt;Financial stability in networks of financial institutions and market infrastructures&lt;/title&gt;&lt;secondary-title&gt;Journal of Financial Stability&lt;/secondary-title&gt;&lt;/titles&gt;&lt;periodical&gt;&lt;full-title&gt;Journal of Financial Stability&lt;/full-title&gt;&lt;/periodical&gt;&lt;pages&gt;120-135&lt;/pages&gt;&lt;volume&gt;35&lt;/volume&gt;&lt;keywords&gt;&lt;keyword&gt;Systemic risk&lt;/keyword&gt;&lt;keyword&gt;Cross-system risk&lt;/keyword&gt;&lt;keyword&gt;Settlement risk&lt;/keyword&gt;&lt;keyword&gt;Interdependent networks&lt;/keyword&gt;&lt;keyword&gt;Contagion&lt;/keyword&gt;&lt;/keywords&gt;&lt;dates&gt;&lt;year&gt;2018&lt;/year&gt;&lt;pub-dates&gt;&lt;date&gt;2018/04/01/&lt;/date&gt;&lt;/pub-dates&gt;&lt;/dates&gt;&lt;isbn&gt;1572-3089&lt;/isbn&gt;&lt;urls&gt;&lt;related-urls&gt;&lt;url&gt;https://www.sciencedirect.com/science/article/pii/S1572308916302340&lt;/url&gt;&lt;/related-urls&gt;&lt;/urls&gt;&lt;electronic-resource-num&gt;https://doi.org/10.1016/j.jfs.2016.12.007&lt;/electronic-resource-num&gt;&lt;/record&gt;&lt;/Cite&gt;&lt;/EndNote&gt;</w:instrText>
      </w:r>
      <w:r>
        <w:fldChar w:fldCharType="separate"/>
      </w:r>
      <w:r>
        <w:rPr>
          <w:noProof/>
        </w:rPr>
        <w:t>Berndsen, León and Renneboog (2018)</w:t>
      </w:r>
      <w:r>
        <w:fldChar w:fldCharType="end"/>
      </w:r>
    </w:p>
  </w:footnote>
  <w:footnote w:id="16">
    <w:p w14:paraId="0073A355" w14:textId="2D3CD12F" w:rsidR="00575CFE" w:rsidRPr="00EC1F22" w:rsidRDefault="00575CFE" w:rsidP="00575CFE">
      <w:pPr>
        <w:pStyle w:val="FootnoteText"/>
      </w:pPr>
      <w:r>
        <w:rPr>
          <w:rStyle w:val="FootnoteReference"/>
        </w:rPr>
        <w:footnoteRef/>
      </w:r>
      <w:r>
        <w:t xml:space="preserve"> </w:t>
      </w:r>
      <w:r w:rsidRPr="00EC1F22">
        <w:t>Authors own figure</w:t>
      </w:r>
      <w:r>
        <w:t xml:space="preserve"> based on </w:t>
      </w:r>
      <w:r>
        <w:fldChar w:fldCharType="begin"/>
      </w:r>
      <w:r w:rsidR="00F15C10">
        <w:instrText xml:space="preserve"> ADDIN EN.CITE &lt;EndNote&gt;&lt;Cite&gt;&lt;Author&gt;Laudenbach&lt;/Author&gt;&lt;Year&gt;2025&lt;/Year&gt;&lt;RecNum&gt;716&lt;/RecNum&gt;&lt;DisplayText&gt;Laudenbach (2025c)&lt;/DisplayText&gt;&lt;record&gt;&lt;rec-number&gt;716&lt;/rec-number&gt;&lt;foreign-keys&gt;&lt;key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sidR="00F15C10">
        <w:rPr>
          <w:noProof/>
        </w:rPr>
        <w:t>Laudenbach (2025c)</w:t>
      </w:r>
      <w:r>
        <w:fldChar w:fldCharType="end"/>
      </w:r>
      <w:r w:rsidR="00F15C10">
        <w:t xml:space="preserve">; </w:t>
      </w:r>
      <w:r w:rsidR="00F15C10">
        <w:fldChar w:fldCharType="begin"/>
      </w:r>
      <w:r w:rsidR="00F15C10">
        <w:instrText xml:space="preserve"> ADDIN EN.CITE &lt;EndNote&gt;&lt;Cite&gt;&lt;Author&gt;Laudenbach&lt;/Author&gt;&lt;Year&gt;2025&lt;/Year&gt;&lt;RecNum&gt;720&lt;/RecNum&gt;&lt;DisplayText&gt;Laudenbach (2025b)&lt;/DisplayText&gt;&lt;record&gt;&lt;rec-number&gt;720&lt;/rec-number&gt;&lt;foreign-keys&gt;&lt;key app="EN" db-id="td52tzxpls5etuefv0jxdpac2t5adrxxa2rv" timestamp="1763813839"&gt;720&lt;/key&gt;&lt;/foreign-keys&gt;&lt;ref-type name="Journal Article"&gt;17&lt;/ref-type&gt;&lt;contributors&gt;&lt;authors&gt;&lt;author&gt;Laudenbach, Hannes&lt;/author&gt;&lt;/authors&gt;&lt;/contributors&gt;&lt;titles&gt;&lt;title&gt;A Longitudinal PLS-SEM Analysis of Regulatory Impact on Transaction Costs and Market Competitiveness in European Financial Markets&lt;/title&gt;&lt;secondary-title&gt;Journal of Economics, Management and Trade&lt;/secondary-title&gt;&lt;/titles&gt;&lt;periodical&gt;&lt;full-title&gt;Journal of Economics, Management and Trade&lt;/full-title&gt;&lt;/periodical&gt;&lt;pages&gt;54-67&lt;/pages&gt;&lt;volume&gt;31&lt;/volume&gt;&lt;number&gt;11&lt;/number&gt;&lt;dates&gt;&lt;year&gt;2025&lt;/year&gt;&lt;/dates&gt;&lt;isbn&gt; 2456-9216&lt;/isbn&gt;&lt;urls&gt;&lt;/urls&gt;&lt;electronic-resource-num&gt;https://doi.org/10.9734/jemt/2025/v31i111368 &lt;/electronic-resource-num&gt;&lt;/record&gt;&lt;/Cite&gt;&lt;/EndNote&gt;</w:instrText>
      </w:r>
      <w:r w:rsidR="00F15C10">
        <w:fldChar w:fldCharType="separate"/>
      </w:r>
      <w:r w:rsidR="00F15C10">
        <w:rPr>
          <w:noProof/>
        </w:rPr>
        <w:t>Laudenbach (2025b)</w:t>
      </w:r>
      <w:r w:rsidR="00F15C10">
        <w:fldChar w:fldCharType="end"/>
      </w:r>
    </w:p>
  </w:footnote>
  <w:footnote w:id="17">
    <w:p w14:paraId="64542A23"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8">
    <w:p w14:paraId="0BE17622"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9">
    <w:p w14:paraId="637D9BAA"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20">
    <w:p w14:paraId="1F2CE962" w14:textId="77777777" w:rsidR="00B56273" w:rsidRPr="00EC1F22" w:rsidRDefault="00B56273" w:rsidP="00B56273">
      <w:pPr>
        <w:pStyle w:val="FootnoteText"/>
      </w:pPr>
      <w:r>
        <w:rPr>
          <w:rStyle w:val="FootnoteReference"/>
        </w:rPr>
        <w:footnoteRef/>
      </w:r>
      <w:r>
        <w:t xml:space="preserve"> </w:t>
      </w:r>
      <w:r w:rsidRPr="00EC1F22">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19A3" w14:textId="32266494" w:rsidR="00CD0256" w:rsidRDefault="00CD0256">
    <w:pPr>
      <w:pStyle w:val="Header"/>
    </w:pPr>
    <w:r>
      <w:rPr>
        <w:noProof/>
      </w:rPr>
      <w:pict w14:anchorId="78A37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CCD1" w14:textId="6AAED154" w:rsidR="00CD0256" w:rsidRDefault="00CD0256">
    <w:pPr>
      <w:pStyle w:val="Header"/>
    </w:pPr>
    <w:r>
      <w:rPr>
        <w:noProof/>
      </w:rPr>
      <w:pict w14:anchorId="25272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AE2" w14:textId="0C8254F1" w:rsidR="00296529" w:rsidRPr="00296529" w:rsidRDefault="00CD0256" w:rsidP="00296529">
    <w:pPr>
      <w:ind w:left="2160"/>
      <w:jc w:val="center"/>
      <w:rPr>
        <w:rFonts w:ascii="Times New Roman" w:eastAsia="Calibri" w:hAnsi="Times New Roman"/>
        <w:i/>
        <w:sz w:val="18"/>
        <w:szCs w:val="22"/>
      </w:rPr>
    </w:pPr>
    <w:r>
      <w:rPr>
        <w:noProof/>
      </w:rPr>
      <w:pict w14:anchorId="0EC09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CB04A4F"/>
    <w:multiLevelType w:val="hybridMultilevel"/>
    <w:tmpl w:val="DDE4E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53E50"/>
    <w:multiLevelType w:val="hybridMultilevel"/>
    <w:tmpl w:val="8060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05ADE"/>
    <w:multiLevelType w:val="hybridMultilevel"/>
    <w:tmpl w:val="7F5A30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10"/>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4"/>
  </w:num>
  <w:num w:numId="24">
    <w:abstractNumId w:val="32"/>
  </w:num>
  <w:num w:numId="25">
    <w:abstractNumId w:val="4"/>
  </w:num>
  <w:num w:numId="26">
    <w:abstractNumId w:val="19"/>
  </w:num>
  <w:num w:numId="27">
    <w:abstractNumId w:val="25"/>
  </w:num>
  <w:num w:numId="28">
    <w:abstractNumId w:val="33"/>
  </w:num>
  <w:num w:numId="29">
    <w:abstractNumId w:val="29"/>
  </w:num>
  <w:num w:numId="30">
    <w:abstractNumId w:val="12"/>
  </w:num>
  <w:num w:numId="31">
    <w:abstractNumId w:val="31"/>
  </w:num>
  <w:num w:numId="32">
    <w:abstractNumId w:val="7"/>
  </w:num>
  <w:num w:numId="33">
    <w:abstractNumId w:val="9"/>
  </w:num>
  <w:num w:numId="34">
    <w:abstractNumId w:val="20"/>
  </w:num>
  <w:num w:numId="35">
    <w:abstractNumId w:val="1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V2 Dr.sc.admin.Ph.D.&lt;record-ids&gt;&lt;item&gt;110&lt;/item&gt;&lt;item&gt;112&lt;/item&gt;&lt;item&gt;157&lt;/item&gt;&lt;item&gt;165&lt;/item&gt;&lt;item&gt;221&lt;/item&gt;&lt;item&gt;227&lt;/item&gt;&lt;item&gt;236&lt;/item&gt;&lt;item&gt;241&lt;/item&gt;&lt;item&gt;242&lt;/item&gt;&lt;item&gt;245&lt;/item&gt;&lt;item&gt;247&lt;/item&gt;&lt;item&gt;248&lt;/item&gt;&lt;item&gt;249&lt;/item&gt;&lt;item&gt;250&lt;/item&gt;&lt;item&gt;312&lt;/item&gt;&lt;item&gt;314&lt;/item&gt;&lt;item&gt;316&lt;/item&gt;&lt;item&gt;714&lt;/item&gt;&lt;item&gt;715&lt;/item&gt;&lt;item&gt;716&lt;/item&gt;&lt;item&gt;720&lt;/item&gt;&lt;/record-ids&gt;&lt;/item&gt;&lt;/Libraries&gt;"/>
    <w:docVar w:name="EN.UseJSCitationFormat" w:val="False"/>
  </w:docVars>
  <w:rsids>
    <w:rsidRoot w:val="00AA6219"/>
    <w:rsid w:val="00000F8F"/>
    <w:rsid w:val="00022D85"/>
    <w:rsid w:val="00030174"/>
    <w:rsid w:val="0004247A"/>
    <w:rsid w:val="00042775"/>
    <w:rsid w:val="0004579C"/>
    <w:rsid w:val="0007400E"/>
    <w:rsid w:val="000863C9"/>
    <w:rsid w:val="00090AFE"/>
    <w:rsid w:val="00090CA3"/>
    <w:rsid w:val="00092A1E"/>
    <w:rsid w:val="000A47FA"/>
    <w:rsid w:val="000A5C1C"/>
    <w:rsid w:val="000A65D3"/>
    <w:rsid w:val="000A7B5B"/>
    <w:rsid w:val="000B1E33"/>
    <w:rsid w:val="000C789C"/>
    <w:rsid w:val="000D689F"/>
    <w:rsid w:val="000E7B7B"/>
    <w:rsid w:val="000E7D62"/>
    <w:rsid w:val="000F5F26"/>
    <w:rsid w:val="00103357"/>
    <w:rsid w:val="001118D9"/>
    <w:rsid w:val="0011766F"/>
    <w:rsid w:val="00123C9F"/>
    <w:rsid w:val="00126190"/>
    <w:rsid w:val="00130D8D"/>
    <w:rsid w:val="00130F17"/>
    <w:rsid w:val="001320BF"/>
    <w:rsid w:val="00163BC4"/>
    <w:rsid w:val="00175855"/>
    <w:rsid w:val="00191062"/>
    <w:rsid w:val="00192B72"/>
    <w:rsid w:val="001A29D8"/>
    <w:rsid w:val="001A5CAA"/>
    <w:rsid w:val="001B0427"/>
    <w:rsid w:val="001D3A51"/>
    <w:rsid w:val="001E0339"/>
    <w:rsid w:val="001E10D2"/>
    <w:rsid w:val="001E25B4"/>
    <w:rsid w:val="001E44FE"/>
    <w:rsid w:val="001E5FAA"/>
    <w:rsid w:val="001E69A4"/>
    <w:rsid w:val="001E6B5C"/>
    <w:rsid w:val="001F6BBE"/>
    <w:rsid w:val="00200595"/>
    <w:rsid w:val="00201341"/>
    <w:rsid w:val="00204835"/>
    <w:rsid w:val="00213158"/>
    <w:rsid w:val="00231920"/>
    <w:rsid w:val="0023195C"/>
    <w:rsid w:val="0024282C"/>
    <w:rsid w:val="002460DC"/>
    <w:rsid w:val="00250985"/>
    <w:rsid w:val="00253DFB"/>
    <w:rsid w:val="0025510F"/>
    <w:rsid w:val="002556F6"/>
    <w:rsid w:val="00256807"/>
    <w:rsid w:val="00267B2C"/>
    <w:rsid w:val="002745F9"/>
    <w:rsid w:val="00283105"/>
    <w:rsid w:val="00284C4C"/>
    <w:rsid w:val="00286008"/>
    <w:rsid w:val="00287E68"/>
    <w:rsid w:val="00296529"/>
    <w:rsid w:val="002B27FB"/>
    <w:rsid w:val="002B685A"/>
    <w:rsid w:val="002C57D2"/>
    <w:rsid w:val="002C5AE9"/>
    <w:rsid w:val="002E0D56"/>
    <w:rsid w:val="00315186"/>
    <w:rsid w:val="00321687"/>
    <w:rsid w:val="0033343E"/>
    <w:rsid w:val="003512C2"/>
    <w:rsid w:val="0036051A"/>
    <w:rsid w:val="00371FB6"/>
    <w:rsid w:val="003763C1"/>
    <w:rsid w:val="00376BBE"/>
    <w:rsid w:val="0039224F"/>
    <w:rsid w:val="003A43A4"/>
    <w:rsid w:val="003A7E18"/>
    <w:rsid w:val="003B098A"/>
    <w:rsid w:val="003B1F00"/>
    <w:rsid w:val="003B2112"/>
    <w:rsid w:val="003C4C86"/>
    <w:rsid w:val="003C6258"/>
    <w:rsid w:val="003E2904"/>
    <w:rsid w:val="003F59B6"/>
    <w:rsid w:val="00401927"/>
    <w:rsid w:val="00405057"/>
    <w:rsid w:val="0040534C"/>
    <w:rsid w:val="0041027F"/>
    <w:rsid w:val="00412475"/>
    <w:rsid w:val="00413E2B"/>
    <w:rsid w:val="00423789"/>
    <w:rsid w:val="00440F43"/>
    <w:rsid w:val="00441B6F"/>
    <w:rsid w:val="0044353C"/>
    <w:rsid w:val="00443FD8"/>
    <w:rsid w:val="00446221"/>
    <w:rsid w:val="00450E62"/>
    <w:rsid w:val="004539DB"/>
    <w:rsid w:val="004641AC"/>
    <w:rsid w:val="00471A80"/>
    <w:rsid w:val="004A7938"/>
    <w:rsid w:val="004C6350"/>
    <w:rsid w:val="004D305E"/>
    <w:rsid w:val="004D4277"/>
    <w:rsid w:val="004F6EC5"/>
    <w:rsid w:val="005020A0"/>
    <w:rsid w:val="00502516"/>
    <w:rsid w:val="00505F06"/>
    <w:rsid w:val="00506828"/>
    <w:rsid w:val="00510672"/>
    <w:rsid w:val="0053056E"/>
    <w:rsid w:val="00546B94"/>
    <w:rsid w:val="005470A6"/>
    <w:rsid w:val="00554FDA"/>
    <w:rsid w:val="00575CFE"/>
    <w:rsid w:val="005920AD"/>
    <w:rsid w:val="005A164B"/>
    <w:rsid w:val="005C617B"/>
    <w:rsid w:val="005C784C"/>
    <w:rsid w:val="005D17F6"/>
    <w:rsid w:val="005E5539"/>
    <w:rsid w:val="00602BF5"/>
    <w:rsid w:val="00612B8B"/>
    <w:rsid w:val="00617FDD"/>
    <w:rsid w:val="00633614"/>
    <w:rsid w:val="00633F68"/>
    <w:rsid w:val="00636EB2"/>
    <w:rsid w:val="006375B8"/>
    <w:rsid w:val="00643FBD"/>
    <w:rsid w:val="0066510A"/>
    <w:rsid w:val="00673F9F"/>
    <w:rsid w:val="00683332"/>
    <w:rsid w:val="00686953"/>
    <w:rsid w:val="00687DEA"/>
    <w:rsid w:val="00687E67"/>
    <w:rsid w:val="00693A2E"/>
    <w:rsid w:val="006967F7"/>
    <w:rsid w:val="006A250C"/>
    <w:rsid w:val="006B1363"/>
    <w:rsid w:val="006B21D3"/>
    <w:rsid w:val="006B57D0"/>
    <w:rsid w:val="006C5216"/>
    <w:rsid w:val="006C5D2D"/>
    <w:rsid w:val="006D30FF"/>
    <w:rsid w:val="006D6940"/>
    <w:rsid w:val="006E60FD"/>
    <w:rsid w:val="006F11EC"/>
    <w:rsid w:val="0070082C"/>
    <w:rsid w:val="00721374"/>
    <w:rsid w:val="007369E6"/>
    <w:rsid w:val="00740DFA"/>
    <w:rsid w:val="00741820"/>
    <w:rsid w:val="00746E59"/>
    <w:rsid w:val="00754C9A"/>
    <w:rsid w:val="0075599A"/>
    <w:rsid w:val="00761D52"/>
    <w:rsid w:val="007629E1"/>
    <w:rsid w:val="0077749E"/>
    <w:rsid w:val="00790ADA"/>
    <w:rsid w:val="007D2288"/>
    <w:rsid w:val="007D4FEC"/>
    <w:rsid w:val="007D7236"/>
    <w:rsid w:val="007E088F"/>
    <w:rsid w:val="007F51A5"/>
    <w:rsid w:val="007F7B32"/>
    <w:rsid w:val="00804BC2"/>
    <w:rsid w:val="0081431A"/>
    <w:rsid w:val="00823560"/>
    <w:rsid w:val="0083216F"/>
    <w:rsid w:val="00860000"/>
    <w:rsid w:val="00862D33"/>
    <w:rsid w:val="00863BD3"/>
    <w:rsid w:val="008640D9"/>
    <w:rsid w:val="008641ED"/>
    <w:rsid w:val="00866D66"/>
    <w:rsid w:val="008671C6"/>
    <w:rsid w:val="00875803"/>
    <w:rsid w:val="00880B6A"/>
    <w:rsid w:val="00881837"/>
    <w:rsid w:val="008931B8"/>
    <w:rsid w:val="008B459E"/>
    <w:rsid w:val="008C6F62"/>
    <w:rsid w:val="008E121C"/>
    <w:rsid w:val="008E13AE"/>
    <w:rsid w:val="008E1506"/>
    <w:rsid w:val="008E710C"/>
    <w:rsid w:val="008F69D6"/>
    <w:rsid w:val="00902823"/>
    <w:rsid w:val="00915CA6"/>
    <w:rsid w:val="0092425A"/>
    <w:rsid w:val="00927834"/>
    <w:rsid w:val="009500A6"/>
    <w:rsid w:val="0095555C"/>
    <w:rsid w:val="00957C18"/>
    <w:rsid w:val="009659BA"/>
    <w:rsid w:val="00966C87"/>
    <w:rsid w:val="00983040"/>
    <w:rsid w:val="009B3FB9"/>
    <w:rsid w:val="009C01BA"/>
    <w:rsid w:val="009C2465"/>
    <w:rsid w:val="009C272D"/>
    <w:rsid w:val="009D2A04"/>
    <w:rsid w:val="009D35A0"/>
    <w:rsid w:val="009D4939"/>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60C34"/>
    <w:rsid w:val="00A6713D"/>
    <w:rsid w:val="00A731E0"/>
    <w:rsid w:val="00A86288"/>
    <w:rsid w:val="00A94063"/>
    <w:rsid w:val="00A95D7C"/>
    <w:rsid w:val="00A96748"/>
    <w:rsid w:val="00AA2CEC"/>
    <w:rsid w:val="00AA6219"/>
    <w:rsid w:val="00AA74E0"/>
    <w:rsid w:val="00AB703F"/>
    <w:rsid w:val="00AC6BB8"/>
    <w:rsid w:val="00AE008F"/>
    <w:rsid w:val="00AE5A3D"/>
    <w:rsid w:val="00B01FCD"/>
    <w:rsid w:val="00B1574F"/>
    <w:rsid w:val="00B1776C"/>
    <w:rsid w:val="00B20E21"/>
    <w:rsid w:val="00B50008"/>
    <w:rsid w:val="00B52583"/>
    <w:rsid w:val="00B52896"/>
    <w:rsid w:val="00B56273"/>
    <w:rsid w:val="00B7249B"/>
    <w:rsid w:val="00B774AF"/>
    <w:rsid w:val="00B8311C"/>
    <w:rsid w:val="00B95236"/>
    <w:rsid w:val="00B96BD9"/>
    <w:rsid w:val="00B97DA1"/>
    <w:rsid w:val="00BA1B01"/>
    <w:rsid w:val="00BA2641"/>
    <w:rsid w:val="00BB37AA"/>
    <w:rsid w:val="00BC53A0"/>
    <w:rsid w:val="00BD233E"/>
    <w:rsid w:val="00BE0B61"/>
    <w:rsid w:val="00BE2641"/>
    <w:rsid w:val="00BE62AD"/>
    <w:rsid w:val="00BF121F"/>
    <w:rsid w:val="00BF1F80"/>
    <w:rsid w:val="00BF58A2"/>
    <w:rsid w:val="00C02A48"/>
    <w:rsid w:val="00C1159D"/>
    <w:rsid w:val="00C12B6F"/>
    <w:rsid w:val="00C166EF"/>
    <w:rsid w:val="00C17EB0"/>
    <w:rsid w:val="00C221D4"/>
    <w:rsid w:val="00C2299A"/>
    <w:rsid w:val="00C24AC7"/>
    <w:rsid w:val="00C27F5F"/>
    <w:rsid w:val="00C30A0F"/>
    <w:rsid w:val="00C3531E"/>
    <w:rsid w:val="00C37E61"/>
    <w:rsid w:val="00C43744"/>
    <w:rsid w:val="00C46F82"/>
    <w:rsid w:val="00C65532"/>
    <w:rsid w:val="00C70F1B"/>
    <w:rsid w:val="00C71A47"/>
    <w:rsid w:val="00C732A1"/>
    <w:rsid w:val="00C7464C"/>
    <w:rsid w:val="00C751EC"/>
    <w:rsid w:val="00C852BA"/>
    <w:rsid w:val="00C85588"/>
    <w:rsid w:val="00C90B2D"/>
    <w:rsid w:val="00CB1F5A"/>
    <w:rsid w:val="00CD0256"/>
    <w:rsid w:val="00CD6755"/>
    <w:rsid w:val="00CD6856"/>
    <w:rsid w:val="00CE0089"/>
    <w:rsid w:val="00CE2B57"/>
    <w:rsid w:val="00CE793C"/>
    <w:rsid w:val="00CF193C"/>
    <w:rsid w:val="00CF69CD"/>
    <w:rsid w:val="00D173F1"/>
    <w:rsid w:val="00D37DD4"/>
    <w:rsid w:val="00D47466"/>
    <w:rsid w:val="00D574AD"/>
    <w:rsid w:val="00D74CB0"/>
    <w:rsid w:val="00D8295D"/>
    <w:rsid w:val="00DA3C4B"/>
    <w:rsid w:val="00DC2A65"/>
    <w:rsid w:val="00DE15F0"/>
    <w:rsid w:val="00DE5663"/>
    <w:rsid w:val="00DE78AA"/>
    <w:rsid w:val="00DF4CD0"/>
    <w:rsid w:val="00E053D0"/>
    <w:rsid w:val="00E121F4"/>
    <w:rsid w:val="00E15994"/>
    <w:rsid w:val="00E171C9"/>
    <w:rsid w:val="00E2128C"/>
    <w:rsid w:val="00E302E7"/>
    <w:rsid w:val="00E3114E"/>
    <w:rsid w:val="00E31A70"/>
    <w:rsid w:val="00E35B02"/>
    <w:rsid w:val="00E5038A"/>
    <w:rsid w:val="00E66496"/>
    <w:rsid w:val="00E66B35"/>
    <w:rsid w:val="00E66E10"/>
    <w:rsid w:val="00E769F6"/>
    <w:rsid w:val="00E8407C"/>
    <w:rsid w:val="00E84F3C"/>
    <w:rsid w:val="00EA012C"/>
    <w:rsid w:val="00EA1729"/>
    <w:rsid w:val="00EC1F22"/>
    <w:rsid w:val="00EC6A55"/>
    <w:rsid w:val="00ED0288"/>
    <w:rsid w:val="00EE4D72"/>
    <w:rsid w:val="00EE52CB"/>
    <w:rsid w:val="00EF581D"/>
    <w:rsid w:val="00EF7FD8"/>
    <w:rsid w:val="00F040E1"/>
    <w:rsid w:val="00F05E65"/>
    <w:rsid w:val="00F06F59"/>
    <w:rsid w:val="00F11CB2"/>
    <w:rsid w:val="00F13A49"/>
    <w:rsid w:val="00F15C10"/>
    <w:rsid w:val="00F17988"/>
    <w:rsid w:val="00F227A2"/>
    <w:rsid w:val="00F469F0"/>
    <w:rsid w:val="00F53273"/>
    <w:rsid w:val="00F755E4"/>
    <w:rsid w:val="00F77D02"/>
    <w:rsid w:val="00F77F8F"/>
    <w:rsid w:val="00FB2EDA"/>
    <w:rsid w:val="00FB3A86"/>
    <w:rsid w:val="00FD36C8"/>
    <w:rsid w:val="00FD78CB"/>
    <w:rsid w:val="00FE10BF"/>
    <w:rsid w:val="00FF58E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hyperlink" Target="https://d-nb.info/98717377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df.usaid.gov/pdf_docs/pnabm25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DFEDA-AE72-4239-8E7E-449E6709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17</Pages>
  <Words>7041</Words>
  <Characters>40135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47082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2025-12-04T14:34:00Z</dcterms:created>
  <dcterms:modified xsi:type="dcterms:W3CDTF">2025-12-05T13:30:00Z</dcterms:modified>
</cp:coreProperties>
</file>