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734F1" w14:textId="77777777" w:rsidR="00754C9A" w:rsidRDefault="00754C9A" w:rsidP="00441B6F">
      <w:pPr>
        <w:pStyle w:val="Title"/>
        <w:spacing w:after="0"/>
        <w:jc w:val="both"/>
        <w:rPr>
          <w:rFonts w:ascii="Arial" w:hAnsi="Arial" w:cs="Arial"/>
        </w:rPr>
      </w:pPr>
    </w:p>
    <w:p w14:paraId="3926E74E" w14:textId="77777777" w:rsidR="001C49E1" w:rsidRPr="001C49E1" w:rsidRDefault="001C49E1" w:rsidP="001C49E1">
      <w:pPr>
        <w:pStyle w:val="Author"/>
        <w:spacing w:line="240" w:lineRule="auto"/>
        <w:jc w:val="both"/>
        <w:rPr>
          <w:rFonts w:ascii="Arial" w:hAnsi="Arial" w:cs="Arial"/>
          <w:bCs/>
          <w:iCs/>
          <w:kern w:val="28"/>
          <w:sz w:val="36"/>
          <w:lang w:val="en-IN"/>
        </w:rPr>
      </w:pPr>
      <w:r w:rsidRPr="001C49E1">
        <w:rPr>
          <w:rFonts w:ascii="Arial" w:hAnsi="Arial" w:cs="Arial"/>
          <w:bCs/>
          <w:iCs/>
          <w:kern w:val="28"/>
          <w:sz w:val="36"/>
          <w:lang w:val="en-IN"/>
        </w:rPr>
        <w:t>Evaluation of Granule Size Indices in Commercially Available Urea Fertilizers in India</w:t>
      </w:r>
    </w:p>
    <w:p w14:paraId="24846870" w14:textId="77777777" w:rsidR="00A258C3" w:rsidRPr="00790ADA" w:rsidRDefault="00A258C3" w:rsidP="00441B6F">
      <w:pPr>
        <w:pStyle w:val="Author"/>
        <w:spacing w:line="240" w:lineRule="auto"/>
        <w:jc w:val="both"/>
        <w:rPr>
          <w:rFonts w:ascii="Arial" w:hAnsi="Arial" w:cs="Arial"/>
          <w:sz w:val="36"/>
        </w:rPr>
      </w:pPr>
    </w:p>
    <w:p w14:paraId="6FB70D91" w14:textId="77777777" w:rsidR="00790ADA" w:rsidRDefault="00790ADA" w:rsidP="00A81A65">
      <w:pPr>
        <w:pStyle w:val="Affiliation"/>
        <w:spacing w:after="0" w:line="240" w:lineRule="auto"/>
        <w:rPr>
          <w:rFonts w:ascii="Arial" w:hAnsi="Arial" w:cs="Arial"/>
        </w:rPr>
      </w:pPr>
      <w:bookmarkStart w:id="0" w:name="_GoBack"/>
      <w:bookmarkEnd w:id="0"/>
    </w:p>
    <w:p w14:paraId="5C906F62" w14:textId="77777777" w:rsidR="002C57D2" w:rsidRPr="00FB3A86" w:rsidRDefault="002C57D2" w:rsidP="00441B6F">
      <w:pPr>
        <w:pStyle w:val="Affiliation"/>
        <w:spacing w:after="0" w:line="240" w:lineRule="auto"/>
        <w:jc w:val="both"/>
        <w:rPr>
          <w:rFonts w:ascii="Arial" w:hAnsi="Arial" w:cs="Arial"/>
        </w:rPr>
      </w:pPr>
    </w:p>
    <w:p w14:paraId="2C0DD83F" w14:textId="77777777" w:rsidR="00B01FCD" w:rsidRPr="00FB3A86" w:rsidRDefault="003A39B4" w:rsidP="00441B6F">
      <w:pPr>
        <w:pStyle w:val="Copyright"/>
        <w:spacing w:after="0" w:line="240" w:lineRule="auto"/>
        <w:jc w:val="both"/>
        <w:rPr>
          <w:rFonts w:ascii="Arial" w:hAnsi="Arial" w:cs="Arial"/>
        </w:rPr>
        <w:sectPr w:rsidR="00B01FCD" w:rsidRPr="00FB3A86" w:rsidSect="00B153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15B7F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2DB3F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65DE4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C7A14A" w14:textId="77777777" w:rsidTr="001E44FE">
        <w:tc>
          <w:tcPr>
            <w:tcW w:w="9576" w:type="dxa"/>
            <w:shd w:val="clear" w:color="auto" w:fill="F2F2F2"/>
          </w:tcPr>
          <w:p w14:paraId="4B1C4674" w14:textId="77777777" w:rsidR="00505F06" w:rsidRPr="00A81A65" w:rsidRDefault="00A81A65" w:rsidP="00A81A65">
            <w:pPr>
              <w:pStyle w:val="Body"/>
              <w:rPr>
                <w:rFonts w:ascii="Arial" w:eastAsia="Calibri" w:hAnsi="Arial" w:cs="Arial"/>
                <w:szCs w:val="22"/>
                <w:lang w:val="en-IN"/>
              </w:rPr>
            </w:pPr>
            <w:r w:rsidRPr="00A81A65">
              <w:rPr>
                <w:rFonts w:ascii="Arial" w:eastAsia="Calibri" w:hAnsi="Arial" w:cs="Arial"/>
                <w:szCs w:val="22"/>
                <w:lang w:val="en-IN"/>
              </w:rPr>
              <w:t xml:space="preserve">Urea is the most widely used nitrogen fertilizer in India, yet limited information is available on the granule size characteristics of commercially available products from different manufacturers. Granule size plays an important role in fertilizer handling, metering </w:t>
            </w:r>
            <w:proofErr w:type="spellStart"/>
            <w:r w:rsidRPr="00A81A65">
              <w:rPr>
                <w:rFonts w:ascii="Arial" w:eastAsia="Calibri" w:hAnsi="Arial" w:cs="Arial"/>
                <w:szCs w:val="22"/>
                <w:lang w:val="en-IN"/>
              </w:rPr>
              <w:t>behavior</w:t>
            </w:r>
            <w:proofErr w:type="spellEnd"/>
            <w:r w:rsidRPr="00A81A65">
              <w:rPr>
                <w:rFonts w:ascii="Arial" w:eastAsia="Calibri" w:hAnsi="Arial" w:cs="Arial"/>
                <w:szCs w:val="22"/>
                <w:lang w:val="en-IN"/>
              </w:rPr>
              <w:t>, and field application uniformity. In the present study, urea samples were collected from ten major Indian manufacturers, and their particle size characteristics were evaluated using percentile-based granule size indices, including d</w:t>
            </w:r>
            <w:r w:rsidRPr="00A81A65">
              <w:rPr>
                <w:rFonts w:ascii="Arial" w:eastAsia="Calibri" w:hAnsi="Arial" w:cs="Arial"/>
                <w:szCs w:val="22"/>
                <w:vertAlign w:val="subscript"/>
                <w:lang w:val="en-IN"/>
              </w:rPr>
              <w:t>5</w:t>
            </w:r>
            <w:r w:rsidRPr="00A81A65">
              <w:rPr>
                <w:rFonts w:ascii="Arial" w:eastAsia="Calibri" w:hAnsi="Arial" w:cs="Arial"/>
                <w:szCs w:val="22"/>
                <w:lang w:val="en-IN"/>
              </w:rPr>
              <w:t>, d</w:t>
            </w:r>
            <w:r w:rsidRPr="00A81A65">
              <w:rPr>
                <w:rFonts w:ascii="Arial" w:eastAsia="Calibri" w:hAnsi="Arial" w:cs="Arial"/>
                <w:szCs w:val="22"/>
                <w:vertAlign w:val="subscript"/>
                <w:lang w:val="en-IN"/>
              </w:rPr>
              <w:t>16</w:t>
            </w:r>
            <w:r w:rsidRPr="00A81A65">
              <w:rPr>
                <w:rFonts w:ascii="Arial" w:eastAsia="Calibri" w:hAnsi="Arial" w:cs="Arial"/>
                <w:szCs w:val="22"/>
                <w:lang w:val="en-IN"/>
              </w:rPr>
              <w:t>, d</w:t>
            </w:r>
            <w:r w:rsidRPr="00A81A65">
              <w:rPr>
                <w:rFonts w:ascii="Arial" w:eastAsia="Calibri" w:hAnsi="Arial" w:cs="Arial"/>
                <w:szCs w:val="22"/>
                <w:vertAlign w:val="subscript"/>
                <w:lang w:val="en-IN"/>
              </w:rPr>
              <w:t>84</w:t>
            </w:r>
            <w:r w:rsidRPr="00A81A65">
              <w:rPr>
                <w:rFonts w:ascii="Arial" w:eastAsia="Calibri" w:hAnsi="Arial" w:cs="Arial"/>
                <w:szCs w:val="22"/>
                <w:lang w:val="en-IN"/>
              </w:rPr>
              <w:t>, and d</w:t>
            </w:r>
            <w:r w:rsidRPr="00A81A65">
              <w:rPr>
                <w:rFonts w:ascii="Arial" w:eastAsia="Calibri" w:hAnsi="Arial" w:cs="Arial"/>
                <w:szCs w:val="22"/>
                <w:vertAlign w:val="subscript"/>
                <w:lang w:val="en-IN"/>
              </w:rPr>
              <w:t>90</w:t>
            </w:r>
            <w:r w:rsidRPr="00A81A65">
              <w:rPr>
                <w:rFonts w:ascii="Arial" w:eastAsia="Calibri" w:hAnsi="Arial" w:cs="Arial"/>
                <w:szCs w:val="22"/>
                <w:lang w:val="en-IN"/>
              </w:rPr>
              <w:t>. The d</w:t>
            </w:r>
            <w:r w:rsidRPr="00A81A65">
              <w:rPr>
                <w:rFonts w:ascii="Arial" w:eastAsia="Calibri" w:hAnsi="Arial" w:cs="Arial"/>
                <w:szCs w:val="22"/>
                <w:vertAlign w:val="subscript"/>
                <w:lang w:val="en-IN"/>
              </w:rPr>
              <w:t xml:space="preserve">5 </w:t>
            </w:r>
            <w:r w:rsidRPr="00A81A65">
              <w:rPr>
                <w:rFonts w:ascii="Arial" w:eastAsia="Calibri" w:hAnsi="Arial" w:cs="Arial"/>
                <w:szCs w:val="22"/>
                <w:lang w:val="en-IN"/>
              </w:rPr>
              <w:t>values ranged from 0.394 to 0.861 mm, d</w:t>
            </w:r>
            <w:r w:rsidRPr="00A81A65">
              <w:rPr>
                <w:rFonts w:ascii="Arial" w:eastAsia="Calibri" w:hAnsi="Arial" w:cs="Arial"/>
                <w:szCs w:val="22"/>
                <w:vertAlign w:val="subscript"/>
                <w:lang w:val="en-IN"/>
              </w:rPr>
              <w:t xml:space="preserve">16 </w:t>
            </w:r>
            <w:r w:rsidRPr="00A81A65">
              <w:rPr>
                <w:rFonts w:ascii="Arial" w:eastAsia="Calibri" w:hAnsi="Arial" w:cs="Arial"/>
                <w:szCs w:val="22"/>
                <w:lang w:val="en-IN"/>
              </w:rPr>
              <w:t>ranged from 0.650 to 0.943 mm, d</w:t>
            </w:r>
            <w:r w:rsidRPr="00A81A65">
              <w:rPr>
                <w:rFonts w:ascii="Arial" w:eastAsia="Calibri" w:hAnsi="Arial" w:cs="Arial"/>
                <w:szCs w:val="22"/>
                <w:vertAlign w:val="subscript"/>
                <w:lang w:val="en-IN"/>
              </w:rPr>
              <w:t xml:space="preserve">84 </w:t>
            </w:r>
            <w:r w:rsidRPr="00A81A65">
              <w:rPr>
                <w:rFonts w:ascii="Arial" w:eastAsia="Calibri" w:hAnsi="Arial" w:cs="Arial"/>
                <w:szCs w:val="22"/>
                <w:lang w:val="en-IN"/>
              </w:rPr>
              <w:t>ranged from 1.311 to 1.484 mm, and d</w:t>
            </w:r>
            <w:r w:rsidRPr="00A81A65">
              <w:rPr>
                <w:rFonts w:ascii="Arial" w:eastAsia="Calibri" w:hAnsi="Arial" w:cs="Arial"/>
                <w:szCs w:val="22"/>
                <w:vertAlign w:val="subscript"/>
                <w:lang w:val="en-IN"/>
              </w:rPr>
              <w:t xml:space="preserve">90 </w:t>
            </w:r>
            <w:r w:rsidRPr="00A81A65">
              <w:rPr>
                <w:rFonts w:ascii="Arial" w:eastAsia="Calibri" w:hAnsi="Arial" w:cs="Arial"/>
                <w:szCs w:val="22"/>
                <w:lang w:val="en-IN"/>
              </w:rPr>
              <w:t xml:space="preserve">ranged from 1.359 to 1.565 mm. One-way ANOVA showed statistically significant differences (p &lt; 0.05) for all granule size indices among the ten manufacturers, and Tukey post-hoc analysis indicated a high number of significantly different pairwise comparisons for each index. These findings highlight differences in size variability among Indian urea brands. </w:t>
            </w:r>
          </w:p>
        </w:tc>
      </w:tr>
    </w:tbl>
    <w:p w14:paraId="038362DC" w14:textId="77777777" w:rsidR="00636EB2" w:rsidRDefault="00636EB2" w:rsidP="00441B6F">
      <w:pPr>
        <w:pStyle w:val="Body"/>
        <w:spacing w:after="0"/>
        <w:rPr>
          <w:rFonts w:ascii="Arial" w:hAnsi="Arial" w:cs="Arial"/>
          <w:i/>
        </w:rPr>
      </w:pPr>
    </w:p>
    <w:p w14:paraId="627456A1" w14:textId="77777777" w:rsidR="00A24E7E" w:rsidRDefault="00A24E7E" w:rsidP="00441B6F">
      <w:pPr>
        <w:pStyle w:val="Body"/>
        <w:spacing w:after="0"/>
        <w:rPr>
          <w:rFonts w:ascii="Arial" w:hAnsi="Arial" w:cs="Arial"/>
          <w:i/>
        </w:rPr>
      </w:pPr>
      <w:r>
        <w:rPr>
          <w:rFonts w:ascii="Arial" w:hAnsi="Arial" w:cs="Arial"/>
          <w:i/>
        </w:rPr>
        <w:t xml:space="preserve">Keywords: </w:t>
      </w:r>
      <w:r w:rsidR="00A81A65" w:rsidRPr="00A81A65">
        <w:rPr>
          <w:rFonts w:ascii="Arial" w:hAnsi="Arial" w:cs="Arial"/>
          <w:i/>
        </w:rPr>
        <w:t>Urea fertilizer, Granule size indices, Particle size distribution, Percentile diameters</w:t>
      </w:r>
    </w:p>
    <w:p w14:paraId="242C4DFC" w14:textId="77777777" w:rsidR="00790ADA" w:rsidRDefault="00790ADA" w:rsidP="00441B6F">
      <w:pPr>
        <w:pStyle w:val="Body"/>
        <w:spacing w:after="0"/>
        <w:rPr>
          <w:rFonts w:ascii="Arial" w:hAnsi="Arial" w:cs="Arial"/>
          <w:i/>
        </w:rPr>
      </w:pPr>
    </w:p>
    <w:p w14:paraId="52B87AD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4C553B" w14:textId="77777777" w:rsidR="00790ADA" w:rsidRPr="00FB3A86" w:rsidRDefault="00790ADA" w:rsidP="00441B6F">
      <w:pPr>
        <w:pStyle w:val="AbstHead"/>
        <w:spacing w:after="0"/>
        <w:jc w:val="both"/>
        <w:rPr>
          <w:rFonts w:ascii="Arial" w:hAnsi="Arial" w:cs="Arial"/>
        </w:rPr>
      </w:pPr>
    </w:p>
    <w:p w14:paraId="2D6E7FD7" w14:textId="77777777" w:rsidR="00A81A65" w:rsidRPr="00A81A65" w:rsidRDefault="00A81A65" w:rsidP="00A81A65">
      <w:pPr>
        <w:pStyle w:val="Body"/>
        <w:rPr>
          <w:rFonts w:ascii="Arial" w:hAnsi="Arial" w:cs="Arial"/>
          <w:lang w:val="en-IN"/>
        </w:rPr>
      </w:pPr>
      <w:r w:rsidRPr="00A81A65">
        <w:rPr>
          <w:rFonts w:ascii="Arial" w:hAnsi="Arial" w:cs="Arial"/>
          <w:lang w:val="en-IN"/>
        </w:rPr>
        <w:t xml:space="preserve">Nitrogen (N) is one of the most essential macronutrients required for plant growth and crop yield. Urea has emerged as the most widely used nitrogen fertilizer and serves as the primary nitrogen source in agricultural production systems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{"citationItems":[{"id":"ITEM-1","itemData":{"DOI":"10.1007/BF01054389","abstract":"Physical properties are not governed in commerce by laws, however an attempt was made to analyse the urea being produced by six companies in Pakistan to identify and highlight the best quality control for important physical properties tests. The parameters indicated in tests were strictly followed for ensuring the standardized basis of comparison.","author":[{"dropping-particle":"","family":"Bhatti","given":"Mukammad Essa","non-dropping-particle":"","parse-names":false,"suffix":""}],"container-title":"Fertilizer Research","id":"ITEM-1","issued":{"date-parts":[["1992"]]},"page":"13-17","title":"Physical properties comparative study of urea of different companies in Pakistan","type":"article-journal","volume":"32"},"uris":["http://www.mendeley.com/documents/?uuid=fc8b6d5c-766a-35d7-837f-7dbfc913c826"]},{"id":"ITEM-2","itemData":{"DOI":"10.1007/s10533-005-3070-5","ISSN":"01682563","abstract":"While the global increase in the use of nitrogen-based fertilizers has been well recognized, another change in fertilizer usage has simultaneously occurred: a shift toward urea-based products. Worldwide use of urea has increased more than 100-fold in the past 4 decades and now constitutes &gt;50% of global nitrogenous fertilizer usage. Global urea usage extends beyond agricultural applications; urea is also used extensively in animal feeds and in manufacturing processes. This change has occurred to satisfy the world's need for food and more efficient agriculture. Long thought to be retained in soils, new data are suggestive of significant overland transport of urea to sensitive coastal waters. Urea concentrations in coastal and estuarine waters can be substantially elevated and can represent a large fraction of the total dissolved organic nitrogen pool. Urea is used as a nitrogen substrate by many coastal phytoplankton and is increasingly found to be important in the nitrogenous nutrition of some harmful algal bloom (HAB) species. The global increase from 1970 to 2000 in documented incidences of paralytic shellfish poisoning, caused by several HAB species, is similar to the global increase in urea use over the same 3 decades. The trend toward global urea use is expected to continue, with the potential for increasing pollution of sensitive coastal waters around the world. © Springer 2006.","author":[{"dropping-particle":"","family":"Glibert","given":"Patricia M.","non-dropping-particle":"","parse-names":false,"suffix":""},{"dropping-particle":"","family":"Harrison","given":"John","non-dropping-particle":"","parse-names":false,"suffix":""},{"dropping-particle":"","family":"Heil","given":"Cynthia","non-dropping-particle":"","parse-names":false,"suffix":""},{"dropping-particle":"","family":"Seitzinger","given":"Sybil","non-dropping-particle":"","parse-names":false,"suffix":""}],"container-title":"Biogeochemistry","id":"ITEM-2","issued":{"date-parts":[["2006"]]},"page":"441-463","title":"Escalating worldwide use of urea - A global change contributing to coastal eutrophication","type":"article-journal","volume":"77"},"uris":["http://www.mendeley.com/documents/?uuid=d7581668-df20-3def-a4f3-f6ec6ba6822d"]}],"mendeley":{"formattedCitation":"(Bhatti, 1992; Glibert et al., 2006)","plainTextFormattedCitation":"(Bhatti, 1992; Glibert et al., 2006)","previouslyFormattedCitation":"(Bhatti, 1992; Glibert et al., 2006)"},"properties":{"noteIndex":0},"schema":"https://github.com/citation-style-language/schema/raw/master/csl-citation.json"}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(Bhatti, 1992; Glibert et al., 2006)</w:t>
      </w:r>
      <w:r w:rsidRPr="00A81A65">
        <w:rPr>
          <w:rFonts w:ascii="Arial" w:hAnsi="Arial" w:cs="Arial"/>
        </w:rPr>
        <w:fldChar w:fldCharType="end"/>
      </w:r>
      <w:r w:rsidRPr="00A81A65">
        <w:rPr>
          <w:rFonts w:ascii="Arial" w:hAnsi="Arial" w:cs="Arial"/>
          <w:lang w:val="en-IN"/>
        </w:rPr>
        <w:t xml:space="preserve">. In India, the demand for urea has remained consistently high due to the country’s large agricultural sector and the extensive area under nitrogen-intensive crops such as rice and wheat. According to the recent governmental data, urea production in India increased from about 244.58 lakh metric tonnes per annum in 2019-20 to 314.09 lakh metric tonnes per annum in 2023-24 </w:t>
      </w:r>
      <w:r w:rsidRPr="00A81A65">
        <w:rPr>
          <w:rFonts w:ascii="Arial" w:hAnsi="Arial" w:cs="Arial"/>
          <w:lang w:val="en-IN"/>
        </w:rPr>
        <w:fldChar w:fldCharType="begin" w:fldLock="1"/>
      </w:r>
      <w:r w:rsidRPr="00A81A65">
        <w:rPr>
          <w:rFonts w:ascii="Arial" w:hAnsi="Arial" w:cs="Arial"/>
          <w:lang w:val="en-IN"/>
        </w:rPr>
        <w:instrText>ADDIN CSL_CITATION {"citationItems":[{"id":"ITEM-1","itemData":{"author":[{"dropping-particle":"","family":"Anonymous","given":"","non-dropping-particle":"","parse-names":false,"suffix":""}],"id":"ITEM-1","issued":{"date-parts":[["2024"]]},"title":"Annual Report 2023-24, Department of Fertilizers, Ministry of Chemicals &amp; Fertilizers, Government of India, New Delhi","type":"report"},"uris":["http://www.mendeley.com/documents/?uuid=eaa3f33a-6036-439f-a33f-dcd88a1dcd8d"]}],"mendeley":{"formattedCitation":"(Anonymous, 2024)","plainTextFormattedCitation":"(Anonymous, 2024)","previouslyFormattedCitation":"(Anonymous, 2024)"},"properties":{"noteIndex":0},"schema":"https://github.com/citation-style-language/schema/raw/master/csl-citation.json"}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(Anonymous, 2024)</w:t>
      </w:r>
      <w:r w:rsidRPr="00A81A65">
        <w:rPr>
          <w:rFonts w:ascii="Arial" w:hAnsi="Arial" w:cs="Arial"/>
        </w:rPr>
        <w:fldChar w:fldCharType="end"/>
      </w:r>
      <w:r w:rsidRPr="00A81A65">
        <w:rPr>
          <w:rFonts w:ascii="Arial" w:hAnsi="Arial" w:cs="Arial"/>
          <w:lang w:val="en-IN"/>
        </w:rPr>
        <w:t xml:space="preserve">. Domestic production meets a large portion of the urea demand, with reports indicating that around 87.78% of urea consumption is currently met by indigenous manufacturing </w:t>
      </w:r>
      <w:r w:rsidRPr="00A81A65">
        <w:rPr>
          <w:rFonts w:ascii="Arial" w:hAnsi="Arial" w:cs="Arial"/>
          <w:lang w:val="en-IN"/>
        </w:rPr>
        <w:fldChar w:fldCharType="begin" w:fldLock="1"/>
      </w:r>
      <w:r w:rsidRPr="00A81A65">
        <w:rPr>
          <w:rFonts w:ascii="Arial" w:hAnsi="Arial" w:cs="Arial"/>
          <w:lang w:val="en-IN"/>
        </w:rPr>
        <w:instrText>ADDIN CSL_CITATION {"citationItems":[{"id":"ITEM-1","itemData":{"author":[{"dropping-particle":"","family":"Anonymous","given":"","non-dropping-particle":"","parse-names":false,"suffix":""}],"id":"ITEM-1","issued":{"date-parts":[["2024"]]},"title":"Annual Report 2023-24, Department of Fertilizers, Ministry of Chemicals &amp; Fertilizers, Government of India, New Delhi","type":"report"},"uris":["http://www.mendeley.com/documents/?uuid=eaa3f33a-6036-439f-a33f-dcd88a1dcd8d"]}],"mendeley":{"formattedCitation":"(Anonymous, 2024)","plainTextFormattedCitation":"(Anonymous, 2024)","previouslyFormattedCitation":"(Anonymous, 2024)"},"properties":{"noteIndex":0},"schema":"https://github.com/citation-style-language/schema/raw/master/csl-citation.json"}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(Anonymous, 2024)</w:t>
      </w:r>
      <w:r w:rsidRPr="00A81A65">
        <w:rPr>
          <w:rFonts w:ascii="Arial" w:hAnsi="Arial" w:cs="Arial"/>
        </w:rPr>
        <w:fldChar w:fldCharType="end"/>
      </w:r>
      <w:r w:rsidRPr="00A81A65">
        <w:rPr>
          <w:rFonts w:ascii="Arial" w:hAnsi="Arial" w:cs="Arial"/>
          <w:lang w:val="en-IN"/>
        </w:rPr>
        <w:t xml:space="preserve">. </w:t>
      </w:r>
    </w:p>
    <w:p w14:paraId="032B38EB" w14:textId="77777777" w:rsidR="00A81A65" w:rsidRPr="00A81A65" w:rsidRDefault="00A81A65" w:rsidP="00A81A65">
      <w:pPr>
        <w:pStyle w:val="Body"/>
        <w:rPr>
          <w:rFonts w:ascii="Arial" w:hAnsi="Arial" w:cs="Arial"/>
          <w:lang w:val="en-IN"/>
        </w:rPr>
      </w:pPr>
      <w:r w:rsidRPr="00A81A65">
        <w:rPr>
          <w:rFonts w:ascii="Arial" w:hAnsi="Arial" w:cs="Arial"/>
          <w:lang w:val="en-IN"/>
        </w:rPr>
        <w:t xml:space="preserve">Despite this high production and use, there exist marked differences among commercially available urea fertilizers in terms of their physical properties. Particle size distribution is a key physical characteristic of granular fertilizers that affects their bulk </w:t>
      </w:r>
      <w:proofErr w:type="spellStart"/>
      <w:r w:rsidRPr="00A81A65">
        <w:rPr>
          <w:rFonts w:ascii="Arial" w:hAnsi="Arial" w:cs="Arial"/>
          <w:lang w:val="en-IN"/>
        </w:rPr>
        <w:t>behavior</w:t>
      </w:r>
      <w:proofErr w:type="spellEnd"/>
      <w:r w:rsidRPr="00A81A65">
        <w:rPr>
          <w:rFonts w:ascii="Arial" w:hAnsi="Arial" w:cs="Arial"/>
          <w:lang w:val="en-IN"/>
        </w:rPr>
        <w:t xml:space="preserve">, including packing and segregation </w:t>
      </w:r>
      <w:r w:rsidRPr="00A81A65">
        <w:rPr>
          <w:rFonts w:ascii="Arial" w:hAnsi="Arial" w:cs="Arial"/>
          <w:lang w:val="en-IN"/>
        </w:rPr>
        <w:fldChar w:fldCharType="begin" w:fldLock="1"/>
      </w:r>
      <w:r w:rsidRPr="00A81A65">
        <w:rPr>
          <w:rFonts w:ascii="Arial" w:hAnsi="Arial" w:cs="Arial"/>
          <w:lang w:val="en-IN"/>
        </w:rPr>
        <w:instrText>ADDIN CSL_CITATION {"citationItems":[{"id":"ITEM-1","itemData":{"abstract":"Particle size distribution is an important physical property of granular fertilizers that influences their bulk behavior (e.g., packing and segregation). Several parameter systems for fertilizer particle size distributions are analyzed in this paper. The most common system used by the fertilizer industry is the SGN-UI system, where SGN is the size guide number (the median particle size) and Ul is the uniformity index (the 10th percentile particle size expressed as a percentage of the 95th percentile particle size). This 2-parameter system, however, has many limitations. For example, it does not give a distribution function. Furthermore, the Ul parameter does not accurately reflect the spread of particle sizes. It is therefore necessary to find a better parameterization system. Three size distribution functions (the log-normal, the Rosin-Rammler and the Gaudin-Schuhmann equations) were tested on a size distribution database composed of 377 samples from 7 fertilizer materials. Each function was fitted to the data by nonlinear regression. The Rosin-Rammler function is the best parameter system on the basis of an analysis of variance of the sum of squares of error from the nonlinear fits. Comparisons between the Rosin-Rammler and the SGN-UI parameters were also made. The Rosin-Rammler system is more accurate than the SGN-UI system, possesses the ability of prediction, and provides a measure of the goodness of fit. Therefore , the Rosin-Rammler system should be used to characterize size distribution of granular fertilizer materials instead of the SGN-UI system.","author":[{"dropping-particle":"","family":"Perfect","given":"Edmund","non-dropping-particle":"","parse-names":false,"suffix":""},{"dropping-particle":"","family":"Xu","given":"Qiang","non-dropping-particle":"","parse-names":false,"suffix":""},{"dropping-particle":"","family":"Terry","given":"David L.","non-dropping-particle":"","parse-names":false,"suffix":""}],"container-title":"Journal of AOAC International","id":"ITEM-1","issue":"5","issued":{"date-parts":[["1998"]]},"page":"935-942","title":"Improved parameterization of fertilizer particle size distribution","type":"article-journal","volume":"81"},"uris":["http://www.mendeley.com/documents/?uuid=9d1dded2-cde7-37b0-af8c-c24a0913e32d"]}],"mendeley":{"formattedCitation":"(Perfect et al., 1998)","plainTextFormattedCitation":"(Perfect et al., 1998)","previouslyFormattedCitation":"(Perfect et al., 1998)"},"properties":{"noteIndex":0},"schema":"https://github.com/citation-style-language/schema/raw/master/csl-citation.json"}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(Perfect</w:t>
      </w:r>
      <w:r w:rsidRPr="00A81A65">
        <w:rPr>
          <w:rFonts w:ascii="Arial" w:hAnsi="Arial" w:cs="Arial"/>
          <w:i/>
          <w:lang w:val="en-IN"/>
        </w:rPr>
        <w:t xml:space="preserve"> et al.</w:t>
      </w:r>
      <w:r w:rsidRPr="00A81A65">
        <w:rPr>
          <w:rFonts w:ascii="Arial" w:hAnsi="Arial" w:cs="Arial"/>
          <w:lang w:val="en-IN"/>
        </w:rPr>
        <w:t>, 1998)</w:t>
      </w:r>
      <w:r w:rsidRPr="00A81A65">
        <w:rPr>
          <w:rFonts w:ascii="Arial" w:hAnsi="Arial" w:cs="Arial"/>
        </w:rPr>
        <w:fldChar w:fldCharType="end"/>
      </w:r>
      <w:r w:rsidRPr="00A81A65">
        <w:rPr>
          <w:rFonts w:ascii="Arial" w:hAnsi="Arial" w:cs="Arial"/>
          <w:lang w:val="en-IN"/>
        </w:rPr>
        <w:t xml:space="preserve">. Among the factors affecting the deposition of granular fertilizers, particle size is the most significant, followed by particle density </w:t>
      </w:r>
      <w:r w:rsidRPr="00A81A65">
        <w:rPr>
          <w:rFonts w:ascii="Arial" w:hAnsi="Arial" w:cs="Arial"/>
          <w:lang w:val="en-IN"/>
        </w:rPr>
        <w:fldChar w:fldCharType="begin" w:fldLock="1"/>
      </w:r>
      <w:r w:rsidRPr="00A81A65">
        <w:rPr>
          <w:rFonts w:ascii="Arial" w:hAnsi="Arial" w:cs="Arial"/>
          <w:lang w:val="en-IN"/>
        </w:rPr>
        <w:instrText>ADDIN CSL_CITATION {"citationItems":[{"id":"ITEM-1","itemData":{"author":[{"dropping-particle":"","family":"Fulton","given":"John","non-dropping-particle":"","parse-names":false,"suffix":""},{"dropping-particle":"","family":"Port","given":"Kaylee","non-dropping-particle":"","parse-names":false,"suffix":""}],"id":"ITEM-1","issued":{"date-parts":[["2016"]]},"title":"Physical Properties of Granular Fertilizers and Impact on Spreading","type":"report"},"uris":["http://www.mendeley.com/documents/?uuid=250d2e17-1d3c-367b-92e0-f9a9fb3b9fd0"]}],"mendeley":{"formattedCitation":"(Fulton &amp; Port, 2016)","plainTextFormattedCitation":"(Fulton &amp; Port, 2016)","previouslyFormattedCitation":"(Fulton &amp; Port, 2016)"},"properties":{"noteIndex":0},"schema":"https://github.com/citation-style-language/schema/raw/master/csl-citation.json"}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(Fulton &amp; Port, 2016)</w:t>
      </w:r>
      <w:r w:rsidRPr="00A81A65">
        <w:rPr>
          <w:rFonts w:ascii="Arial" w:hAnsi="Arial" w:cs="Arial"/>
        </w:rPr>
        <w:fldChar w:fldCharType="end"/>
      </w:r>
      <w:r w:rsidRPr="00A81A65">
        <w:rPr>
          <w:rFonts w:ascii="Arial" w:hAnsi="Arial" w:cs="Arial"/>
          <w:lang w:val="en-IN"/>
        </w:rPr>
        <w:t xml:space="preserve">. The larger differences in particle size within a fertilizer increase the likelihood of uneven distribution or segregation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{"citationItems":[{"id":"ITEM-1","itemData":{"DOI":"10.5937/jpea1804180G","abstract":"Mineral fertilizers have a pivotal role in contemporary agricultural production, especially when seeking to exploit the full biological potential of crops. This paper presents the results of a three-year experiment on the distribution uniformity of different mineral fertilizer application systems. One of the objectives in this study was to define the physical and mechanical properties of four different types of mineral fertilizers and examine their changes during storage, transportation and application. A total of four fertilizers were taken into account: UREA, CAN, MAP and NP. The main physical properties, i.e. particle size, particle size distribution, friction coefficient, angle of repose and particle resistance, were analyzed on samples collected from the storage, the trailer (prior to application) and the field (after application). The results obtained show that fertilizers with a particle size distribution of 3.3 to 4.75 mm exhibit higher values of the angle of repose, friction and resistance. The lowest value of the angle of friction (17.53 0) was observed in the UREA fertilizer after application, whereas the highest angle of friction (24.37 0) was measured in the MAP fertilizer obtained from the storage. The values of the static repose angle varied depending on the fertilizer type and the place of sampling (storage, trailer or field). The lowest value of the static repose angle (30.34 0) was measured in the MAP fertilizer after application, whereas the highest static repose angle (36.91 0) was measured in the NP fertilizer from the storage. The NP fertilizer exhibited the highest value of the dynamic friction angle, whereas the lowest value of the dynamic friction angle was calculated for the UREA fertilizer. The NP fertilizer particles showed the highest resistance, whereas the UREA fertilizer particles were most susceptible to breakage.","author":[{"dropping-particle":"","family":"Gavrilović","given":"Marija","non-dropping-particle":"","parse-names":false,"suffix":""},{"dropping-particle":"","family":"Dimitrijević","given":"Aleksandra","non-dropping-particle":"","parse-names":false,"suffix":""},{"dropping-particle":"","family":"Radojičin","given":"Milivoj","non-dropping-particle":"","parse-names":false,"suffix":""},{"dropping-particle":"","family":"Mileusnić","given":"Zoran","non-dropping-particle":"","parse-names":false,"suffix":""},{"dropping-particle":"","family":"Miodragović","given":"Rajko","non-dropping-particle":"","parse-names":false,"suffix":""}],"container-title":"Journal on Processing and Energy in Agriculture","id":"ITEM-1","issue":"4","issued":{"date-parts":[["2018"]]},"page":"180-183","title":"Effects of the application system on the physical and mechanical properties of mineral fertilizers","type":"article-journal","volume":"22"},"uris":["http://www.mendeley.com/documents/?uuid=9f45c844-0a18-34cd-8bb3-60130e73d85a"]}],"mendeley":{"formattedCitation":"(Gavrilović et al., 2018)","plainTextFormattedCitation":"(Gavrilović et al., 2018)","previouslyFormattedCitation":"(Gavrilović et al., 2018)"},"properties":{"noteIndex":0},"schema":"https://github.com/citation-style-language/schema/raw/master/csl-citation.json"}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 xml:space="preserve">(Gavrilović </w:t>
      </w:r>
      <w:r w:rsidRPr="00A81A65">
        <w:rPr>
          <w:rFonts w:ascii="Arial" w:hAnsi="Arial" w:cs="Arial"/>
          <w:i/>
          <w:lang w:val="en-IN"/>
        </w:rPr>
        <w:t>et al.</w:t>
      </w:r>
      <w:r w:rsidRPr="00A81A65">
        <w:rPr>
          <w:rFonts w:ascii="Arial" w:hAnsi="Arial" w:cs="Arial"/>
          <w:lang w:val="en-IN"/>
        </w:rPr>
        <w:t>, 2018)</w:t>
      </w:r>
      <w:r w:rsidRPr="00A81A65">
        <w:rPr>
          <w:rFonts w:ascii="Arial" w:hAnsi="Arial" w:cs="Arial"/>
        </w:rPr>
        <w:fldChar w:fldCharType="end"/>
      </w:r>
      <w:r w:rsidRPr="00A81A65">
        <w:rPr>
          <w:rFonts w:ascii="Arial" w:hAnsi="Arial" w:cs="Arial"/>
          <w:lang w:val="en-IN"/>
        </w:rPr>
        <w:t>. Granule size influences various aspects of fertilizer performance, including flowability, bulk density, storage behaviour, spreading uniformity (for broadcast application), and discharge rate in mechanical or automated fertilizer applicators. One critical property is granule size distribution, often expressed through metrics such as d</w:t>
      </w:r>
      <w:r w:rsidRPr="00A81A65">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 xml:space="preserve">90 </w:t>
      </w:r>
      <w:r w:rsidRPr="00A81A65">
        <w:rPr>
          <w:rFonts w:ascii="Arial" w:hAnsi="Arial" w:cs="Arial"/>
          <w:lang w:val="en-IN"/>
        </w:rPr>
        <w:t xml:space="preserve">- indicating the diameters at which </w:t>
      </w:r>
      <w:r w:rsidRPr="00A81A65">
        <w:rPr>
          <w:rFonts w:ascii="Arial" w:hAnsi="Arial" w:cs="Arial"/>
          <w:lang w:val="en-IN"/>
        </w:rPr>
        <w:lastRenderedPageBreak/>
        <w:t>5%, 16%, 84% and 90% of the sample’s mass falls below, respectively.   Uniformity and consistency in granule size distribution are particularly important when fertilizers are applied using precision or variable-rate application equipment, as uneven granule size may result in non-uniform discharge, misapplication, or blockages.</w:t>
      </w:r>
    </w:p>
    <w:p w14:paraId="2C3352BC" w14:textId="77777777" w:rsidR="00A81A65" w:rsidRPr="00A81A65" w:rsidRDefault="00A81A65" w:rsidP="00A81A65">
      <w:pPr>
        <w:pStyle w:val="Body"/>
        <w:rPr>
          <w:rFonts w:ascii="Arial" w:hAnsi="Arial" w:cs="Arial"/>
          <w:lang w:val="en-IN"/>
        </w:rPr>
      </w:pPr>
      <w:r w:rsidRPr="00A81A65">
        <w:rPr>
          <w:rFonts w:ascii="Arial" w:hAnsi="Arial" w:cs="Arial"/>
          <w:lang w:val="en-IN"/>
        </w:rPr>
        <w:t xml:space="preserve">Internationally, several researchers have evaluated the particle size distribution and physical characteristics of granular fertilizers such as by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{"citationItems":[{"id":"ITEM-1","itemData":{"DOI":"10.1007/BF01054389","abstract":"Physical properties are not governed in commerce by laws, however an attempt was made to analyse the urea being produced by six companies in Pakistan to identify and highlight the best quality control for important physical properties tests. The parameters indicated in tests were strictly followed for ensuring the standardized basis of comparison.","author":[{"dropping-particle":"","family":"Bhatti","given":"Mukammad Essa","non-dropping-particle":"","parse-names":false,"suffix":""}],"container-title":"Fertilizer Research","id":"ITEM-1","issued":{"date-parts":[["1992"]]},"page":"13-17","title":"Physical properties comparative study of urea of different companies in Pakistan","type":"article-journal","volume":"32"},"uris":["http://www.mendeley.com/documents/?uuid=fc8b6d5c-766a-35d7-837f-7dbfc913c826"]}],"mendeley":{"formattedCitation":"(Bhatti, 1992)","manualFormatting":"Bhatti (1992)","plainTextFormattedCitation":"(Bhatti, 1992)","previouslyFormattedCitation":"(Bhatti, 1992)"},"properties":{"noteIndex":0},"schema":"https://github.com/citation-style-language/schema/raw/master/csl-citation.json"}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Bhatti (1992)</w:t>
      </w:r>
      <w:r w:rsidRPr="00A81A65">
        <w:rPr>
          <w:rFonts w:ascii="Arial" w:hAnsi="Arial" w:cs="Arial"/>
        </w:rPr>
        <w:fldChar w:fldCharType="end"/>
      </w:r>
      <w:r w:rsidRPr="00A81A65">
        <w:rPr>
          <w:rFonts w:ascii="Arial" w:hAnsi="Arial" w:cs="Arial"/>
          <w:bCs/>
          <w:lang w:val="en-IN"/>
        </w:rPr>
        <w:t xml:space="preserve">, </w:t>
      </w:r>
      <w:r w:rsidRPr="00A81A65">
        <w:rPr>
          <w:rFonts w:ascii="Arial" w:hAnsi="Arial" w:cs="Arial"/>
          <w:bCs/>
          <w:lang w:val="en-IN"/>
        </w:rPr>
        <w:fldChar w:fldCharType="begin" w:fldLock="1"/>
      </w:r>
      <w:r w:rsidRPr="00A81A65">
        <w:rPr>
          <w:rFonts w:ascii="Arial" w:hAnsi="Arial" w:cs="Arial"/>
          <w:bCs/>
          <w:lang w:val="en-IN"/>
        </w:rPr>
        <w:instrText>ADDIN CSL_CITATION {"citationItems":[{"id":"ITEM-1","itemData":{"DOI":"10.1016/j.chemolab.2004.03.017","ISSN":"01697439","abstract":"Bulk blend fertilizers are a mixture of different kinds of fertilizers in order to obtain a predicted N-P-K chemical composition. Although this production method has some advantages, segregation appears at different stages, from the production to the final spreading on the field. An experiment has been implemented to predict and quantify the influence of some physical properties on the occurrence of segregation. The principle was to blend two fertilizers having identical physical properties except for one, such as size, shape or density and to measure the segregation of the blend following various operations, such as filling or emptying a container. Results show that the spread of the fragment size distribution has a big influence on the segregation of the generated heap. In order to reduce this phenomenon, the granulometric spread index (GSI) [(d84-d16)/2d50] must be smaller than 10. Other properties don't seem to have an influence. The granulometric segregation can lead to a chemical heterogeneity. The absolute sum of the difference between d16 and d84 must be limited around 0.5 mm. Above this value, the chemical segregation begins to be excessive. It seems also that if there is a limited difference in size for the components, the chemical segregation is amplified if the density of the fertilizer with the biggest particles is lower. It is not the case for the difference in shape. © 2004 Elsevier B.V. All rights reserved.","author":[{"dropping-particle":"","family":"Miserque","given":"O.","non-dropping-particle":"","parse-names":false,"suffix":""},{"dropping-particle":"","family":"Pirard","given":"E.","non-dropping-particle":"","parse-names":false,"suffix":""}],"container-title":"Chemometrics and Intelligent Laboratory Systems","id":"ITEM-1","issue":"1","issued":{"date-parts":[["2004","11","28"]]},"page":"215-224","title":"Segregation of the bulk blend fertilizers","type":"article-journal","volume":"74"},"uris":["http://www.mendeley.com/documents/?uuid=e43e6e4d-cb71-3555-878f-a522d1fc0ef4"]}],"mendeley":{"formattedCitation":"(Miserque &amp; Pirard, 2004)","manualFormatting":"Miserque &amp; Pirard, (2004)","plainTextFormattedCitation":"(Miserque &amp; Pirard, 2004)","previouslyFormattedCitation":"(Miserque &amp; Pirard, 2004)"},"properties":{"noteIndex":0},"schema":"https://github.com/citation-style-language/schema/raw/master/csl-citation.json"}</w:instrText>
      </w:r>
      <w:r w:rsidRPr="00A81A65">
        <w:rPr>
          <w:rFonts w:ascii="Arial" w:hAnsi="Arial" w:cs="Arial"/>
          <w:bCs/>
          <w:lang w:val="en-IN"/>
        </w:rPr>
        <w:fldChar w:fldCharType="separate"/>
      </w:r>
      <w:r w:rsidRPr="00A81A65">
        <w:rPr>
          <w:rFonts w:ascii="Arial" w:hAnsi="Arial" w:cs="Arial"/>
          <w:bCs/>
          <w:lang w:val="en-IN"/>
        </w:rPr>
        <w:t>Miserque &amp; Pirard, (2004)</w:t>
      </w:r>
      <w:r w:rsidRPr="00A81A65">
        <w:rPr>
          <w:rFonts w:ascii="Arial" w:hAnsi="Arial" w:cs="Arial"/>
        </w:rPr>
        <w:fldChar w:fldCharType="end"/>
      </w:r>
      <w:r w:rsidRPr="00A81A65">
        <w:rPr>
          <w:rFonts w:ascii="Arial" w:hAnsi="Arial" w:cs="Arial"/>
          <w:bCs/>
          <w:lang w:val="en-IN"/>
        </w:rPr>
        <w:t xml:space="preserve">, and </w:t>
      </w:r>
      <w:r w:rsidRPr="00A81A65">
        <w:rPr>
          <w:rFonts w:ascii="Arial" w:hAnsi="Arial" w:cs="Arial"/>
          <w:bCs/>
          <w:lang w:val="en-IN"/>
        </w:rPr>
        <w:fldChar w:fldCharType="begin" w:fldLock="1"/>
      </w:r>
      <w:r w:rsidRPr="00A81A65">
        <w:rPr>
          <w:rFonts w:ascii="Arial" w:hAnsi="Arial" w:cs="Arial"/>
          <w:bCs/>
          <w:lang w:val="en-IN"/>
        </w:rPr>
        <w:instrText>ADDIN CSL_CITATION {"citationItems":[{"id":"ITEM-1","itemData":{"DOI":"10.16984/saufenbilder.853343","abstract":"Fertilization is one of the most common applications in agricultural fields for achieving high yield. Fertilizer is the important input of agriculture. Raw material costs are nearly 80% of the production costs in chemical fertilizers. Because of high prices, fertilizer usage has started to decrease. The utilization of industrial wastes in the production reduces the costs. Not only is fertilizer expenditure significant, but also the physical properties should be considered. In this study, the physical characteristics of composited fertilizer containing boron which was obtained from the reaction between the diammonium phosphate and borogysum industrial waste were examined. Under laboratory conditions, diammonium phosphate was composited with borogysum at the mole ratio of 1:1 and during this process, the solid/liquid (S/L) ratio, temperature, time, pH of the pulp and speed were 1/3, 40°C, 90 min, 5.5 and 500 rpm respectively. The moisture content, grain (granule) size, tight and loose volume weights, granular fracture resistance and the agglomeration angle of the new product including boron were evaluated. As a consequence, the grain size was in range of 3 and 4 mm, loose volume weight was 1363.32 kg/m3, the granular fracture resistance was 2.92 kg/granule, agglomeration angle was 89.9 kg/granule and Granulometric Spread Index (GSI) and Uniformity Index (UI) were recorded as 16 and 76.9. These findings were compatible with National and International Standards.","author":[{"dropping-particle":"","family":"Simsek","given":"Havva MUMCU","non-dropping-particle":"","parse-names":false,"suffix":""},{"dropping-particle":"","family":"Guliyev","given":"Rövşen","non-dropping-particle":"","parse-names":false,"suffix":""}],"container-title":"Sakarya University Journal of Science","id":"ITEM-1","issue":"5","issued":{"date-parts":[["2021","10","30"]]},"page":"1245-1252","publisher":"Sakarya University Journal of Science","title":"The investigation of physical properties of composite fertilizer including boron micro element","type":"article-journal","volume":"25"},"uris":["http://www.mendeley.com/documents/?uuid=a1af4c09-f2d1-3262-8c11-c6d1fec95f0b"]}],"mendeley":{"formattedCitation":"(Simsek &amp; Guliyev, 2021)","manualFormatting":"Simsek &amp; Guliyev (2021)","plainTextFormattedCitation":"(Simsek &amp; Guliyev, 2021)","previouslyFormattedCitation":"(Simsek &amp; Guliyev, 2021)"},"properties":{"noteIndex":0},"schema":"https://github.com/citation-style-language/schema/raw/master/csl-citation.json"}</w:instrText>
      </w:r>
      <w:r w:rsidRPr="00A81A65">
        <w:rPr>
          <w:rFonts w:ascii="Arial" w:hAnsi="Arial" w:cs="Arial"/>
          <w:bCs/>
          <w:lang w:val="en-IN"/>
        </w:rPr>
        <w:fldChar w:fldCharType="separate"/>
      </w:r>
      <w:r w:rsidRPr="00A81A65">
        <w:rPr>
          <w:rFonts w:ascii="Arial" w:hAnsi="Arial" w:cs="Arial"/>
          <w:bCs/>
          <w:lang w:val="en-IN"/>
        </w:rPr>
        <w:t>Simsek &amp; Guliyev (2021)</w:t>
      </w:r>
      <w:r w:rsidRPr="00A81A65">
        <w:rPr>
          <w:rFonts w:ascii="Arial" w:hAnsi="Arial" w:cs="Arial"/>
        </w:rPr>
        <w:fldChar w:fldCharType="end"/>
      </w:r>
      <w:r w:rsidRPr="00A81A65">
        <w:rPr>
          <w:rFonts w:ascii="Arial" w:hAnsi="Arial" w:cs="Arial"/>
          <w:lang w:val="en-IN"/>
        </w:rPr>
        <w:t xml:space="preserve">. Other work, such as that by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{"citationItems":[{"id":"ITEM-1","itemData":{"DOI":"10.13031/aea.29.9774","ISSN":"08838542","abstract":"Blended fertilizers are commonly applied to crop and pasture land using spinner-disc spreaders. However, the nature of blended fertilizers can make it difficult to spread uniformly due to varying physical properties of the N, P, and K raw constituents, which can lead to segregation during application. Further, variable-rate application of blended fertilizer could pose challenges in terms of accuracy and uniformity to meet target prescription rates. Therefore, the objective of this study was to evaluate the potential of fertilizer segregation during application with a spinner-disc spreader. A series of standard pan and field tests were performed to evaluate mass and nutrient distribution for a blended fertilizer (17-17-17) using a spinner-disc spreader. Field tests were performed by generating prescription maps, randomly placing pans across the field, then applying the blended fertilizer and analyzing the collected material for N, P2O5 and K2O mass fractions. Both mass and nutrient distribution patterns were generated and then compared. Field data in combination with prescription and as-applied maps were used to evaluate spreader performance and product segregation. A rating of 17-18- 17 was determined for the blended fertilizer. P2O5 and K2O mass fraction varied significantly (coefficient of variation, CV, 25.0% and 26.0%, respectively) based on the single-pass pattern measurements. Field application also produced high variability of P 2O5 and K2O mass fractions with CV's ranging between 16.8% and 37.2%, respectively. These results indicated the occurrence of fertilizer segregation. Nitrogen mass fraction, spread variability was low (CV = 4%) based on the pan tests but was contributed to N beingprovided by both ammonium nitrate and diammonium phosphate (DAP) constituents of the blend. Particle size analysis supported the notion that segregation occurred mainly due to size variability between the constituents. During field tests, actual rates were consistently higher than the prescribed rates. While the prescription and as-applied maps showed high correlation (R = 0.75 to 0.94), the as-applied maps did not reflect the actual field application (R = 0.25 to 0.67). Finally, the existence of fertilizer segregation indicated further research is required to understand segregation of blended fertilizers when applied using spinner spreaders. © 2013 American Society of Agricultural and Biological Engineers.","author":[{"dropping-particle":"","family":"Virk","given":"S. S.","non-dropping-particle":"","parse-names":false,"suffix":""},{"dropping-particle":"","family":"Mullenix","given":"D. K.","non-dropping-particle":"","parse-names":false,"suffix":""},{"dropping-particle":"","family":"Sharda","given":"A.","non-dropping-particle":"","parse-names":false,"suffix":""},{"dropping-particle":"","family":"Hall","given":"J. B.","non-dropping-particle":"","parse-names":false,"suffix":""},{"dropping-particle":"","family":"Wood","given":"C. W.","non-dropping-particle":"","parse-names":false,"suffix":""},{"dropping-particle":"","family":"Fasina","given":"O. O.","non-dropping-particle":"","parse-names":false,"suffix":""},{"dropping-particle":"","family":"McDonald","given":"T. P.","non-dropping-particle":"","parse-names":false,"suffix":""},{"dropping-particle":"","family":"Pate","given":"G. L.","non-dropping-particle":"","parse-names":false,"suffix":""},{"dropping-particle":"","family":"Fulton","given":"J. P.","non-dropping-particle":"","parse-names":false,"suffix":""}],"container-title":"Applied Engineering in Agriculture","id":"ITEM-1","issue":"5","issued":{"date-parts":[["2013"]]},"page":"627-636","title":"Case study: Distribution uniformity of a blended fertilizer applied using a variable-rate spinner-disc spreader","type":"article-journal","volume":"29"},"uris":["http://www.mendeley.com/documents/?uuid=229b10ea-b8fe-300c-a404-9df414496495"]}],"mendeley":{"formattedCitation":"(Virk et al., 2013)","manualFormatting":"Virk et al. (2013","plainTextFormattedCitation":"(Virk et al., 2013)","previouslyFormattedCitation":"(Virk et al., 2013)"},"properties":{"noteIndex":0},"schema":"https://github.com/citation-style-language/schema/raw/master/csl-citation.json"}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 xml:space="preserve">Virk </w:t>
      </w:r>
      <w:r w:rsidRPr="00A81A65">
        <w:rPr>
          <w:rFonts w:ascii="Arial" w:hAnsi="Arial" w:cs="Arial"/>
          <w:i/>
          <w:lang w:val="en-IN"/>
        </w:rPr>
        <w:t>et al.</w:t>
      </w:r>
      <w:r w:rsidRPr="00A81A65">
        <w:rPr>
          <w:rFonts w:ascii="Arial" w:hAnsi="Arial" w:cs="Arial"/>
          <w:lang w:val="en-IN"/>
        </w:rPr>
        <w:t xml:space="preserve"> (2013</w:t>
      </w:r>
      <w:r w:rsidRPr="00A81A65">
        <w:rPr>
          <w:rFonts w:ascii="Arial" w:hAnsi="Arial" w:cs="Arial"/>
        </w:rPr>
        <w:fldChar w:fldCharType="end"/>
      </w:r>
      <w:r w:rsidRPr="00A81A65">
        <w:rPr>
          <w:rFonts w:ascii="Arial" w:hAnsi="Arial" w:cs="Arial"/>
          <w:lang w:val="en-IN"/>
        </w:rPr>
        <w:t>), obtained particle sizes (</w:t>
      </w:r>
      <w:r w:rsidR="00854BFD" w:rsidRPr="00854BFD">
        <w:rPr>
          <w:rFonts w:ascii="Arial" w:hAnsi="Arial" w:cs="Arial"/>
        </w:rPr>
        <w:t>d</w:t>
      </w:r>
      <w:r w:rsidR="00854BFD" w:rsidRPr="00854BFD">
        <w:rPr>
          <w:rFonts w:ascii="Arial" w:hAnsi="Arial" w:cs="Arial"/>
          <w:vertAlign w:val="subscript"/>
        </w:rPr>
        <w:t>16</w:t>
      </w:r>
      <w:r w:rsidR="00854BFD" w:rsidRPr="00854BFD">
        <w:rPr>
          <w:rFonts w:ascii="Arial" w:hAnsi="Arial" w:cs="Arial"/>
        </w:rPr>
        <w:t>, d</w:t>
      </w:r>
      <w:r w:rsidR="00854BFD" w:rsidRPr="00854BFD">
        <w:rPr>
          <w:rFonts w:ascii="Arial" w:hAnsi="Arial" w:cs="Arial"/>
          <w:vertAlign w:val="subscript"/>
        </w:rPr>
        <w:t>50</w:t>
      </w:r>
      <w:r w:rsidR="00854BFD" w:rsidRPr="00854BFD">
        <w:rPr>
          <w:rFonts w:ascii="Arial" w:hAnsi="Arial" w:cs="Arial"/>
        </w:rPr>
        <w:t>, and d</w:t>
      </w:r>
      <w:r w:rsidR="00854BFD" w:rsidRPr="00854BFD">
        <w:rPr>
          <w:rFonts w:ascii="Arial" w:hAnsi="Arial" w:cs="Arial"/>
          <w:vertAlign w:val="subscript"/>
        </w:rPr>
        <w:t>84</w:t>
      </w:r>
      <w:r w:rsidRPr="00A81A65">
        <w:rPr>
          <w:rFonts w:ascii="Arial" w:hAnsi="Arial" w:cs="Arial"/>
          <w:lang w:val="en-IN"/>
        </w:rPr>
        <w:t xml:space="preserve">) from the </w:t>
      </w:r>
      <w:proofErr w:type="spellStart"/>
      <w:r w:rsidRPr="00A81A65">
        <w:rPr>
          <w:rFonts w:ascii="Arial" w:hAnsi="Arial" w:cs="Arial"/>
          <w:lang w:val="en-IN"/>
        </w:rPr>
        <w:t>camsizer</w:t>
      </w:r>
      <w:proofErr w:type="spellEnd"/>
      <w:r w:rsidRPr="00A81A65">
        <w:rPr>
          <w:rFonts w:ascii="Arial" w:hAnsi="Arial" w:cs="Arial"/>
          <w:lang w:val="en-IN"/>
        </w:rPr>
        <w:t xml:space="preserve"> data. Although such research provides valuable insights into fertilizer performance at a global scale, </w:t>
      </w:r>
      <w:r w:rsidRPr="00A81A65">
        <w:rPr>
          <w:rFonts w:ascii="Arial" w:hAnsi="Arial" w:cs="Arial"/>
          <w:bCs/>
          <w:lang w:val="en-IN"/>
        </w:rPr>
        <w:t>studies focusing on the particle size characteristics of Indian urea fertilizers remain limited</w:t>
      </w:r>
      <w:r w:rsidRPr="00A81A65">
        <w:rPr>
          <w:rFonts w:ascii="Arial" w:hAnsi="Arial" w:cs="Arial"/>
          <w:lang w:val="en-IN"/>
        </w:rPr>
        <w:t xml:space="preserve">, despite India being one of the largest producers and consumers of urea globally. Variations in manufacturing technology, prilling versus granulation processes, and quality control practices among Indian manufacturers can lead to significant differences in granule size distribution, which in turn may influence fertilizer application uniformity. Although certain physical properties of fertilizers are commonly assessed during manufacturing, individual factories often use their own procedures to evaluate these characteristics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{"citationItems":[{"id":"ITEM-1","itemData":{"DOI":"10.1016/j.biosystemseng.2003.09.007","ISSN":"15375110","abstract":"Organic-based fertilisers are granular fertilisers that make use of the synergy between the mineral and organic components. The physical properties of organic-based fertilisers are relatively unknown. The main objective of this research was to compare the physical properties of bulk-blended organic-based (BOF) and compound organic-based fertilisers (COF) with those of mineral fertilisers (MF). New and modified methods were used to measure their atmospheric moisture sorption, capillary rise, slaking and dissolution in water over time. Air moisture sorption by fertilisers increased quadratically with time and with relative humidity. At 82% relative humidity, major changes in fertiliser behaviour occurred. The processes varied among fertilisers. Water sorption from the atmosphere was affected by bulk density as well as by the organic matter (OM), initial moisture, and P contents, The water sorption rate over time during capillary rise took the form of an inverse power function and increased as OM content increased. Some fertilisers were highly affected by tensions while others were only slightly affected, indicating differential rates of release under field conditions. During submersion in water, COF granules dissolved, swelled and slaked to different extents and their diameter decreased quadratically over time. The loss of mass during submersion was affected by OM and nitrogen contents as well as by the initial granule size. Differences between fertilisers were mostly related to the organic matter type and content. Examples of uses and applications of dynamic properties are given for different situations: fast or slow release; dry to wet conditions; and application at the soil surface or incorporation in the soil. © 2003 Silsoe Research Institute. All rights reserved Published by Elsevier Ltd.","author":[{"dropping-particle":"","family":"Allaire","given":"S. E.","non-dropping-particle":"","parse-names":false,"suffix":""},{"dropping-particle":"","family":"Parent","given":"L. E.","non-dropping-particle":"","parse-names":false,"suffix":""}],"container-title":"Biosystems Engineering","id":"ITEM-1","issue":"2","issued":{"date-parts":[["2004"]]},"page":"225-236","publisher":"Academic Press","title":"Physical Properties of Granular Organic-based Fertilisers, Part 2: Dynamic Properties Related to Water","type":"article-journal","volume":"87"},"uris":["http://www.mendeley.com/documents/?uuid=165e579e-ce40-3039-a5e3-4db2dcb8fde9"]}],"mendeley":{"formattedCitation":"(Allaire &amp; Parent, 2004)","plainTextFormattedCitation":"(Allaire &amp; Parent, 2004)","previouslyFormattedCitation":"(Allaire &amp; Parent, 2004)"},"properties":{"noteIndex":0},"schema":"https://github.com/citation-style-language/schema/raw/master/csl-citation.json"}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(Allaire &amp; Parent, 2004)</w:t>
      </w:r>
      <w:r w:rsidRPr="00A81A65">
        <w:rPr>
          <w:rFonts w:ascii="Arial" w:hAnsi="Arial" w:cs="Arial"/>
        </w:rPr>
        <w:fldChar w:fldCharType="end"/>
      </w:r>
      <w:r w:rsidRPr="00A81A65">
        <w:rPr>
          <w:rFonts w:ascii="Arial" w:hAnsi="Arial" w:cs="Arial"/>
          <w:lang w:val="en-IN"/>
        </w:rPr>
        <w:t xml:space="preserve">. However, actual particle sizes may differ from their intended specifications, as granules are susceptible to breakage and abrasion during transportation and handling. Therefore, the present study was undertaken to </w:t>
      </w:r>
      <w:r w:rsidRPr="00A81A65">
        <w:rPr>
          <w:rFonts w:ascii="Arial" w:hAnsi="Arial" w:cs="Arial"/>
          <w:bCs/>
          <w:lang w:val="en-IN"/>
        </w:rPr>
        <w:t>evaluate the particle size characteristics of ten commercially available urea fertilizer brands in India</w:t>
      </w:r>
      <w:r w:rsidRPr="00A81A65">
        <w:rPr>
          <w:rFonts w:ascii="Arial" w:hAnsi="Arial" w:cs="Arial"/>
          <w:lang w:val="en-IN"/>
        </w:rPr>
        <w:t>. Sieve analysis was conducted to determine the d</w:t>
      </w:r>
      <w:r w:rsidRPr="00A81A65">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 xml:space="preserve">90 </w:t>
      </w:r>
      <w:r w:rsidRPr="00A81A65">
        <w:rPr>
          <w:rFonts w:ascii="Arial" w:hAnsi="Arial" w:cs="Arial"/>
          <w:lang w:val="en-IN"/>
        </w:rPr>
        <w:t>indices, which serve as key descriptors of granule size distribution. The findings aim to provide insights into the physical quality of urea available in Indian markets and to support the design and calibration of fertilizer application systems.</w:t>
      </w:r>
    </w:p>
    <w:p w14:paraId="47F9B517" w14:textId="77777777" w:rsidR="00790ADA" w:rsidRPr="00FB3A86" w:rsidRDefault="00790ADA" w:rsidP="00441B6F">
      <w:pPr>
        <w:pStyle w:val="Body"/>
        <w:spacing w:after="0"/>
        <w:rPr>
          <w:rFonts w:ascii="Arial" w:hAnsi="Arial" w:cs="Arial"/>
        </w:rPr>
      </w:pPr>
    </w:p>
    <w:p w14:paraId="51A50613" w14:textId="77777777" w:rsidR="00790ADA" w:rsidRPr="00FB3A86" w:rsidRDefault="00902823" w:rsidP="00A81A6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E6F51F" w14:textId="77777777" w:rsidR="00A81A65" w:rsidRPr="00A81A65" w:rsidRDefault="00AA74E0" w:rsidP="00A81A65">
      <w:pPr>
        <w:pStyle w:val="Body"/>
        <w:rPr>
          <w:rFonts w:ascii="Arial" w:hAnsi="Arial" w:cs="Arial"/>
          <w:b/>
          <w:sz w:val="22"/>
          <w:lang w:val="en-IN"/>
        </w:rPr>
      </w:pPr>
      <w:r w:rsidRPr="00C30A0F">
        <w:rPr>
          <w:rFonts w:ascii="Arial" w:hAnsi="Arial" w:cs="Arial"/>
          <w:b/>
          <w:caps/>
          <w:sz w:val="22"/>
        </w:rPr>
        <w:t xml:space="preserve">2.1 </w:t>
      </w:r>
      <w:r w:rsidR="00A81A65" w:rsidRPr="00A81A65">
        <w:rPr>
          <w:rFonts w:ascii="Arial" w:hAnsi="Arial" w:cs="Arial"/>
          <w:b/>
          <w:sz w:val="22"/>
          <w:lang w:val="en-IN"/>
        </w:rPr>
        <w:t>Sample Collection</w:t>
      </w:r>
    </w:p>
    <w:p w14:paraId="31568785" w14:textId="77777777" w:rsidR="00A81A65" w:rsidRPr="00A81A65" w:rsidRDefault="00A81A65" w:rsidP="00A81A65">
      <w:pPr>
        <w:pStyle w:val="Body"/>
        <w:rPr>
          <w:rFonts w:ascii="Arial" w:hAnsi="Arial" w:cs="Arial"/>
          <w:lang w:val="en-IN"/>
        </w:rPr>
      </w:pPr>
      <w:r w:rsidRPr="00A81A65">
        <w:rPr>
          <w:rFonts w:ascii="Arial" w:hAnsi="Arial" w:cs="Arial"/>
          <w:lang w:val="en-IN"/>
        </w:rPr>
        <w:t>Urea fertilizer samples were collected from ten different commercial brands commonly available in the Indian market. The manufacturers were selected based on their status as major urea producers in the country, considering factors such as production capacity, market presence, and distribution coverage. Together, these manufacturers represent a substantial portion of the commercial urea supply available to Indian farmers. A standard 45 kg bag of urea was procured from each manufacturer through authorized agricultural input suppliers and local fertilizer distribution outlets to ensure that the samples reflected the typical products available to end users. To maintain confidentiality, all collected samples were anonymized and labeled as Sample I, II, III, IV, V, VI, VII, VIII, IX, and X, with each designation corresponding to a distinct manufacturer widely represented in the Indian fertilizer market.</w:t>
      </w:r>
    </w:p>
    <w:p w14:paraId="5F99CA50" w14:textId="77777777" w:rsidR="00A81A65" w:rsidRPr="00A81A65" w:rsidRDefault="00A81A65" w:rsidP="00A81A65">
      <w:pPr>
        <w:pStyle w:val="Body"/>
        <w:rPr>
          <w:rFonts w:ascii="Arial" w:hAnsi="Arial" w:cs="Arial"/>
          <w:b/>
          <w:sz w:val="22"/>
          <w:lang w:val="en-IN"/>
        </w:rPr>
      </w:pPr>
      <w:r>
        <w:rPr>
          <w:rFonts w:ascii="Arial" w:hAnsi="Arial" w:cs="Arial"/>
          <w:b/>
          <w:caps/>
          <w:sz w:val="22"/>
        </w:rPr>
        <w:t>2.2</w:t>
      </w:r>
      <w:r w:rsidRPr="00C30A0F">
        <w:rPr>
          <w:rFonts w:ascii="Arial" w:hAnsi="Arial" w:cs="Arial"/>
          <w:b/>
          <w:caps/>
          <w:sz w:val="22"/>
        </w:rPr>
        <w:t xml:space="preserve"> </w:t>
      </w:r>
      <w:r w:rsidRPr="00A81A65">
        <w:rPr>
          <w:rFonts w:ascii="Arial" w:hAnsi="Arial" w:cs="Arial"/>
          <w:b/>
          <w:sz w:val="22"/>
          <w:lang w:val="en-IN"/>
        </w:rPr>
        <w:t>Sieve Analysis</w:t>
      </w:r>
    </w:p>
    <w:p w14:paraId="29F34677" w14:textId="77777777" w:rsidR="00A81A65" w:rsidRDefault="00A81A65" w:rsidP="00A81A65">
      <w:pPr>
        <w:pStyle w:val="Body"/>
        <w:rPr>
          <w:rFonts w:ascii="Arial" w:hAnsi="Arial" w:cs="Arial"/>
          <w:lang w:val="en-IN"/>
        </w:rPr>
      </w:pPr>
      <w:r w:rsidRPr="00A81A65">
        <w:rPr>
          <w:rFonts w:ascii="Arial" w:hAnsi="Arial" w:cs="Arial"/>
          <w:lang w:val="en-IN"/>
        </w:rPr>
        <w:t xml:space="preserve">In our previous work </w:t>
      </w:r>
      <w:r w:rsidRPr="00A81A65">
        <w:rPr>
          <w:rFonts w:ascii="Arial" w:hAnsi="Arial" w:cs="Arial"/>
          <w:lang w:val="en-IN"/>
        </w:rPr>
        <w:fldChar w:fldCharType="begin" w:fldLock="1"/>
      </w:r>
      <w:r w:rsidRPr="00A81A65">
        <w:rPr>
          <w:rFonts w:ascii="Arial" w:hAnsi="Arial" w:cs="Arial"/>
          <w:lang w:val="en-IN"/>
        </w:rPr>
        <w:instrText>ADDIN CSL_CITATION {"citationItems":[{"id":"ITEM-1","itemData":{"DOI":"https://www.doi.org/10.33545/2618060X.2025.v8.i7Sa.3189","abstract":"The particle size distribution (PSD) of granular urea plays a crucial role in determining its flow behaviour, spread uniformity, and compatibility with fertilizer applicators and spreaders. This study aimed to evaluate the PSD variability of urea fertilizers produced by ten leading manufacturers in India. The results indicated that the majority of urea granules were retained between the 1.0 mm and 1.7 mm sieves. The proportion of particles within the 1.0-1.7 mm range varied from 75.46% to 96.82%, with an overall average of 91.71%. A one-way analysis of variance (ANOVA) showed that the differences among manufacturers were statistically significant (p&lt;0.05), and the Tukey post hoc test revealed significant pairwise differences in 37 out of 45 comparisons. The findings highlight considerable variation in urea granule sizes, which can affect flowability and uniform discharge in fertilizer applicators.","author":[{"dropping-particle":"","family":"Kumar","given":"Vasu","non-dropping-particle":"","parse-names":false,"suffix":""},{"dropping-particle":"","family":"Rajan","given":"Pradeep","non-dropping-particle":"","parse-names":false,"suffix":""},{"dropping-particle":"","family":"Deshmukh","given":"Mrudulata M","non-dropping-particle":"","parse-names":false,"suffix":""},{"dropping-particle":"","family":"Gupta","given":"Chanchal","non-dropping-particle":"","parse-names":false,"suffix":""},{"dropping-particle":"","family":"Thakare","given":"S. K.","non-dropping-particle":"","parse-names":false,"suffix":""},{"dropping-particle":"","family":"Thakare","given":"S. H.","non-dropping-particle":"","parse-names":false,"suffix":""},{"dropping-particle":"V.","family":"Gajakos","given":"A.","non-dropping-particle":"","parse-names":false,"suffix":""},{"dropping-particle":"","family":"Kanade","given":"S. A.","non-dropping-particle":"","parse-names":false,"suffix":""}],"container-title":"International Journal of Research in Agronomy","id":"ITEM-1","issue":"7","issued":{"date-parts":[["2025"]]},"page":"10-13","title":"Comparative study of particle size distribution in commercial urea fertilizers from India","type":"article-journal","volume":"8"},"uris":["http://www.mendeley.com/documents/?uuid=9e6ac1f6-9d82-45fe-9e50-afc9963b77a4"]}],"mendeley":{"formattedCitation":"(Kumar et al., 2025)","plainTextFormattedCitation":"(Kumar et al., 2025)","previouslyFormattedCitation":"(Kumar et al., 2025)"},"properties":{"noteIndex":0},"schema":"https://github.com/citation-style-language/schema/raw/master/csl-citation.json"}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 xml:space="preserve">(Kumar </w:t>
      </w:r>
      <w:r w:rsidRPr="00A81A65">
        <w:rPr>
          <w:rFonts w:ascii="Arial" w:hAnsi="Arial" w:cs="Arial"/>
          <w:i/>
          <w:lang w:val="en-IN"/>
        </w:rPr>
        <w:t>et al.</w:t>
      </w:r>
      <w:r w:rsidRPr="00A81A65">
        <w:rPr>
          <w:rFonts w:ascii="Arial" w:hAnsi="Arial" w:cs="Arial"/>
          <w:lang w:val="en-IN"/>
        </w:rPr>
        <w:t>, 2025)</w:t>
      </w:r>
      <w:r w:rsidRPr="00A81A65">
        <w:rPr>
          <w:rFonts w:ascii="Arial" w:hAnsi="Arial" w:cs="Arial"/>
          <w:lang w:val="en-IN"/>
        </w:rPr>
        <w:fldChar w:fldCharType="end"/>
      </w:r>
      <w:r w:rsidRPr="00A81A65">
        <w:rPr>
          <w:rFonts w:ascii="Arial" w:hAnsi="Arial" w:cs="Arial"/>
          <w:lang w:val="en-IN"/>
        </w:rPr>
        <w:t>, the sieve analysis procedure and the corresponding mass fraction retained on each sieve were described in detail to characterize the particle size distribution of commercial urea fertilizers. A schematic representation of the sieve stack arrangement is shown in Fig. 1. From each ten samples, approximately 500 g of urea was placed on the top sieve, and the entire assembly was mounted on a mechanical sieve shaker for a fixed duration to ensure consistent vibration and complete separation of granules according to size. After sieving, the mass of material retained on each sieve was recorded, and the corresponding mass fraction was calculated. The present study employs these mass fraction data to compute percentile-based granule size indices, including d</w:t>
      </w:r>
      <w:r w:rsidRPr="00CE2222">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xml:space="preserve">, and </w:t>
      </w:r>
      <w:r w:rsidRPr="00A81A65">
        <w:rPr>
          <w:rFonts w:ascii="Arial" w:hAnsi="Arial" w:cs="Arial"/>
          <w:vertAlign w:val="subscript"/>
          <w:lang w:val="en-IN"/>
        </w:rPr>
        <w:t>d90</w:t>
      </w:r>
      <w:r w:rsidRPr="00A81A65">
        <w:rPr>
          <w:rFonts w:ascii="Arial" w:hAnsi="Arial" w:cs="Arial"/>
          <w:lang w:val="en-IN"/>
        </w:rPr>
        <w:t xml:space="preserve">. These indices enable a more detailed assessment of granule size variability by </w:t>
      </w:r>
      <w:r w:rsidRPr="00A81A65">
        <w:rPr>
          <w:rFonts w:ascii="Arial" w:hAnsi="Arial" w:cs="Arial"/>
          <w:lang w:val="en-IN"/>
        </w:rPr>
        <w:lastRenderedPageBreak/>
        <w:t>capturing both the finer and coarser fractions of the distribution, thereby providing deeper insights into the physical characteristics of urea fertilizers.</w:t>
      </w:r>
    </w:p>
    <w:p w14:paraId="74E3102E" w14:textId="77777777" w:rsidR="00A81A65" w:rsidRDefault="00A81A65" w:rsidP="00A81A65">
      <w:pPr>
        <w:pStyle w:val="NormalWeb"/>
        <w:spacing w:line="360" w:lineRule="auto"/>
        <w:jc w:val="center"/>
      </w:pPr>
      <w:r>
        <w:rPr>
          <w:noProof/>
          <w:lang w:val="en-IN" w:eastAsia="en-IN"/>
        </w:rPr>
        <w:drawing>
          <wp:inline distT="0" distB="0" distL="0" distR="0" wp14:anchorId="3E38FAFF" wp14:editId="2B01DA03">
            <wp:extent cx="1903730" cy="2477135"/>
            <wp:effectExtent l="19050" t="19050" r="1270" b="0"/>
            <wp:docPr id="1" name="Picture 1" descr="S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ve"/>
                    <pic:cNvPicPr>
                      <a:picLocks noChangeAspect="1" noChangeArrowheads="1"/>
                    </pic:cNvPicPr>
                  </pic:nvPicPr>
                  <pic:blipFill>
                    <a:blip r:embed="rId14" cstate="print">
                      <a:extLst>
                        <a:ext uri="{28A0092B-C50C-407E-A947-70E740481C1C}">
                          <a14:useLocalDpi xmlns:a14="http://schemas.microsoft.com/office/drawing/2010/main" val="0"/>
                        </a:ext>
                      </a:extLst>
                    </a:blip>
                    <a:srcRect t="1897"/>
                    <a:stretch>
                      <a:fillRect/>
                    </a:stretch>
                  </pic:blipFill>
                  <pic:spPr bwMode="auto">
                    <a:xfrm>
                      <a:off x="0" y="0"/>
                      <a:ext cx="1903730" cy="2477135"/>
                    </a:xfrm>
                    <a:prstGeom prst="rect">
                      <a:avLst/>
                    </a:prstGeom>
                    <a:noFill/>
                    <a:ln w="9525" cmpd="sng">
                      <a:solidFill>
                        <a:srgbClr val="000000"/>
                      </a:solidFill>
                      <a:miter lim="800000"/>
                      <a:headEnd/>
                      <a:tailEnd/>
                    </a:ln>
                    <a:effectLst/>
                  </pic:spPr>
                </pic:pic>
              </a:graphicData>
            </a:graphic>
          </wp:inline>
        </w:drawing>
      </w:r>
    </w:p>
    <w:p w14:paraId="45F0A374" w14:textId="77777777" w:rsidR="00A81A65" w:rsidRPr="00A81A65" w:rsidRDefault="00A81A65" w:rsidP="00A81A65">
      <w:pPr>
        <w:pStyle w:val="Body"/>
        <w:jc w:val="center"/>
        <w:rPr>
          <w:rFonts w:ascii="Arial" w:hAnsi="Arial" w:cs="Arial"/>
          <w:b/>
          <w:lang w:val="en-IN"/>
        </w:rPr>
      </w:pPr>
      <w:r w:rsidRPr="00A81A65">
        <w:rPr>
          <w:rFonts w:ascii="Arial" w:hAnsi="Arial" w:cs="Arial"/>
          <w:b/>
          <w:lang w:val="en-IN"/>
        </w:rPr>
        <w:t>Fig. 1 Sieve Stack Arrangement</w:t>
      </w:r>
    </w:p>
    <w:p w14:paraId="3BBB84F7" w14:textId="77777777" w:rsidR="00A81A65" w:rsidRPr="00A81A65" w:rsidRDefault="00A81A65" w:rsidP="00A81A65">
      <w:pPr>
        <w:pStyle w:val="Body"/>
        <w:rPr>
          <w:rFonts w:ascii="Arial" w:hAnsi="Arial" w:cs="Arial"/>
          <w:b/>
          <w:sz w:val="22"/>
          <w:lang w:val="en-IN"/>
        </w:rPr>
      </w:pPr>
      <w:r>
        <w:rPr>
          <w:rFonts w:ascii="Arial" w:hAnsi="Arial" w:cs="Arial"/>
          <w:b/>
          <w:caps/>
          <w:sz w:val="22"/>
        </w:rPr>
        <w:t>2.3</w:t>
      </w:r>
      <w:r w:rsidRPr="00C30A0F">
        <w:rPr>
          <w:rFonts w:ascii="Arial" w:hAnsi="Arial" w:cs="Arial"/>
          <w:b/>
          <w:caps/>
          <w:sz w:val="22"/>
        </w:rPr>
        <w:t xml:space="preserve"> </w:t>
      </w:r>
      <w:r w:rsidRPr="00A81A65">
        <w:rPr>
          <w:rFonts w:ascii="Arial" w:hAnsi="Arial" w:cs="Arial"/>
          <w:b/>
          <w:sz w:val="22"/>
          <w:lang w:val="en-IN"/>
        </w:rPr>
        <w:t>Determination of Granule Size Indices (Percentile Diameters d</w:t>
      </w:r>
      <w:r w:rsidRPr="00A81A65">
        <w:rPr>
          <w:rFonts w:ascii="Arial" w:hAnsi="Arial" w:cs="Arial"/>
          <w:b/>
          <w:sz w:val="22"/>
          <w:vertAlign w:val="subscript"/>
          <w:lang w:val="en-IN"/>
        </w:rPr>
        <w:t>5</w:t>
      </w:r>
      <w:r w:rsidRPr="00A81A65">
        <w:rPr>
          <w:rFonts w:ascii="Arial" w:hAnsi="Arial" w:cs="Arial"/>
          <w:b/>
          <w:sz w:val="22"/>
          <w:lang w:val="en-IN"/>
        </w:rPr>
        <w:t>, d</w:t>
      </w:r>
      <w:r w:rsidRPr="00A81A65">
        <w:rPr>
          <w:rFonts w:ascii="Arial" w:hAnsi="Arial" w:cs="Arial"/>
          <w:b/>
          <w:sz w:val="22"/>
          <w:vertAlign w:val="subscript"/>
          <w:lang w:val="en-IN"/>
        </w:rPr>
        <w:t>16</w:t>
      </w:r>
      <w:r w:rsidRPr="00A81A65">
        <w:rPr>
          <w:rFonts w:ascii="Arial" w:hAnsi="Arial" w:cs="Arial"/>
          <w:b/>
          <w:sz w:val="22"/>
          <w:lang w:val="en-IN"/>
        </w:rPr>
        <w:t>, d</w:t>
      </w:r>
      <w:r w:rsidRPr="00A81A65">
        <w:rPr>
          <w:rFonts w:ascii="Arial" w:hAnsi="Arial" w:cs="Arial"/>
          <w:b/>
          <w:sz w:val="22"/>
          <w:vertAlign w:val="subscript"/>
          <w:lang w:val="en-IN"/>
        </w:rPr>
        <w:t>84</w:t>
      </w:r>
      <w:r w:rsidRPr="00A81A65">
        <w:rPr>
          <w:rFonts w:ascii="Arial" w:hAnsi="Arial" w:cs="Arial"/>
          <w:b/>
          <w:sz w:val="22"/>
          <w:lang w:val="en-IN"/>
        </w:rPr>
        <w:t>, and d</w:t>
      </w:r>
      <w:r w:rsidRPr="00A81A65">
        <w:rPr>
          <w:rFonts w:ascii="Arial" w:hAnsi="Arial" w:cs="Arial"/>
          <w:b/>
          <w:sz w:val="22"/>
          <w:vertAlign w:val="subscript"/>
          <w:lang w:val="en-IN"/>
        </w:rPr>
        <w:t>90</w:t>
      </w:r>
      <w:r w:rsidRPr="00A81A65">
        <w:rPr>
          <w:rFonts w:ascii="Arial" w:hAnsi="Arial" w:cs="Arial"/>
          <w:b/>
          <w:sz w:val="22"/>
          <w:lang w:val="en-IN"/>
        </w:rPr>
        <w:t>)</w:t>
      </w:r>
    </w:p>
    <w:p w14:paraId="23E8B9D2" w14:textId="77777777" w:rsidR="00A81A65" w:rsidRPr="00A81A65" w:rsidRDefault="00A81A65" w:rsidP="00A81A65">
      <w:pPr>
        <w:pStyle w:val="Body"/>
        <w:rPr>
          <w:rFonts w:ascii="Arial" w:hAnsi="Arial" w:cs="Arial"/>
          <w:lang w:val="en-IN"/>
        </w:rPr>
      </w:pPr>
      <w:r w:rsidRPr="00A81A65">
        <w:rPr>
          <w:rFonts w:ascii="Arial" w:hAnsi="Arial" w:cs="Arial"/>
          <w:lang w:val="en-IN"/>
        </w:rPr>
        <w:t xml:space="preserve">The granule size indices of the urea samples were determined using percentile-based particle size parameters calculated from the cumulative mass distribution obtained through sieve analysis. For each sample, the cumulative percentage of material passing through successive sieves was plotted against the corresponding sieve aperture size to generate the particle size distribution curve. As described by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{"citationItems":[{"id":"ITEM-1","itemData":{"DOI":"10.1016/j.chemolab.2004.03.017","ISSN":"01697439","abstract":"Bulk blend fertilizers are a mixture of different kinds of fertilizers in order to obtain a predicted N-P-K chemical composition. Although this production method has some advantages, segregation appears at different stages, from the production to the final spreading on the field. An experiment has been implemented to predict and quantify the influence of some physical properties on the occurrence of segregation. The principle was to blend two fertilizers having identical physical properties except for one, such as size, shape or density and to measure the segregation of the blend following various operations, such as filling or emptying a container. Results show that the spread of the fragment size distribution has a big influence on the segregation of the generated heap. In order to reduce this phenomenon, the granulometric spread index (GSI) [(d84-d16)/2d50] must be smaller than 10. Other properties don't seem to have an influence. The granulometric segregation can lead to a chemical heterogeneity. The absolute sum of the difference between d16 and d84 must be limited around 0.5 mm. Above this value, the chemical segregation begins to be excessive. It seems also that if there is a limited difference in size for the components, the chemical segregation is amplified if the density of the fertilizer with the biggest particles is lower. It is not the case for the difference in shape. © 2004 Elsevier B.V. All rights reserved.","author":[{"dropping-particle":"","family":"Miserque","given":"O.","non-dropping-particle":"","parse-names":false,"suffix":""},{"dropping-particle":"","family":"Pirard","given":"E.","non-dropping-particle":"","parse-names":false,"suffix":""}],"container-title":"Chemometrics and Intelligent Laboratory Systems","id":"ITEM-1","issue":"1","issued":{"date-parts":[["2004","11","28"]]},"page":"215-224","title":"Segregation of the bulk blend fertilizers","type":"article-journal","volume":"74"},"uris":["http://www.mendeley.com/documents/?uuid=e43e6e4d-cb71-3555-878f-a522d1fc0ef4"]}],"mendeley":{"formattedCitation":"(Miserque &amp; Pirard, 2004)","manualFormatting":"Miserque &amp; Pirard (2004)","plainTextFormattedCitation":"(Miserque &amp; Pirard, 2004)"},"properties":{"noteIndex":0},"schema":"https://github.com/citation-style-language/schema/raw/master/csl-citation.json"}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lang w:val="en-IN"/>
        </w:rPr>
        <w:t>Miserque &amp; Pirard (2004)</w:t>
      </w:r>
      <w:r w:rsidRPr="00A81A65">
        <w:rPr>
          <w:rFonts w:ascii="Arial" w:hAnsi="Arial" w:cs="Arial"/>
          <w:lang w:val="en-IN"/>
        </w:rPr>
        <w:fldChar w:fldCharType="end"/>
      </w:r>
      <w:r w:rsidRPr="00A81A65">
        <w:rPr>
          <w:rFonts w:ascii="Arial" w:hAnsi="Arial" w:cs="Arial"/>
          <w:lang w:val="en-IN"/>
        </w:rPr>
        <w:t>, such curves are characterized by pe</w:t>
      </w:r>
      <w:r w:rsidR="009F556F">
        <w:rPr>
          <w:rFonts w:ascii="Arial" w:hAnsi="Arial" w:cs="Arial"/>
          <w:lang w:val="en-IN"/>
        </w:rPr>
        <w:t>rcentile diameters denoted as d</w:t>
      </w:r>
      <w:r w:rsidR="009F556F" w:rsidRPr="009F556F">
        <w:rPr>
          <w:rFonts w:ascii="Arial" w:hAnsi="Arial" w:cs="Arial"/>
          <w:vertAlign w:val="subscript"/>
          <w:lang w:val="en-IN"/>
        </w:rPr>
        <w:t>x</w:t>
      </w:r>
      <w:r w:rsidRPr="00A81A65">
        <w:rPr>
          <w:rFonts w:ascii="Arial" w:hAnsi="Arial" w:cs="Arial"/>
          <w:lang w:val="en-IN"/>
        </w:rPr>
        <w:t>, where x represents the weight fraction (in percent) of particles passing a sieve of mesh size d.</w:t>
      </w:r>
    </w:p>
    <w:p w14:paraId="322D68B5" w14:textId="77777777" w:rsidR="00A81A65" w:rsidRPr="00A81A65" w:rsidRDefault="00A81A65" w:rsidP="00A81A65">
      <w:pPr>
        <w:pStyle w:val="Body"/>
        <w:rPr>
          <w:rFonts w:ascii="Arial" w:hAnsi="Arial" w:cs="Arial"/>
          <w:lang w:val="en-IN"/>
        </w:rPr>
      </w:pPr>
      <w:r w:rsidRPr="00A81A65">
        <w:rPr>
          <w:rFonts w:ascii="Arial" w:hAnsi="Arial" w:cs="Arial"/>
          <w:lang w:val="en-IN"/>
        </w:rPr>
        <w:t>Based on this principle, the percentile diameters d</w:t>
      </w:r>
      <w:r w:rsidRPr="00A81A65">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90</w:t>
      </w:r>
      <w:r w:rsidRPr="00A81A65">
        <w:rPr>
          <w:rFonts w:ascii="Arial" w:hAnsi="Arial" w:cs="Arial"/>
          <w:lang w:val="en-IN"/>
        </w:rPr>
        <w:t xml:space="preserve"> were determined by interpolation. The lower percentile diameters- d</w:t>
      </w:r>
      <w:r w:rsidRPr="00A81A65">
        <w:rPr>
          <w:rFonts w:ascii="Arial" w:hAnsi="Arial" w:cs="Arial"/>
          <w:vertAlign w:val="subscript"/>
          <w:lang w:val="en-IN"/>
        </w:rPr>
        <w:t>5</w:t>
      </w:r>
      <w:r w:rsidRPr="00A81A65">
        <w:rPr>
          <w:rFonts w:ascii="Arial" w:hAnsi="Arial" w:cs="Arial"/>
          <w:lang w:val="en-IN"/>
        </w:rPr>
        <w:t xml:space="preserve"> and d</w:t>
      </w:r>
      <w:r w:rsidRPr="00A81A65">
        <w:rPr>
          <w:rFonts w:ascii="Arial" w:hAnsi="Arial" w:cs="Arial"/>
          <w:vertAlign w:val="subscript"/>
          <w:lang w:val="en-IN"/>
        </w:rPr>
        <w:t>16</w:t>
      </w:r>
      <w:r w:rsidRPr="00A81A65">
        <w:rPr>
          <w:rFonts w:ascii="Arial" w:hAnsi="Arial" w:cs="Arial"/>
          <w:lang w:val="en-IN"/>
        </w:rPr>
        <w:t>-correspond to the particle sizes at which 5% and 16% of the sample mass passed through the sieve, indicating that the remaining 95% and 84% of the material, respectively, consisted of larger particles retained above that size. Conversely, the upper percentile diameters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90</w:t>
      </w:r>
      <w:r w:rsidRPr="00A81A65">
        <w:rPr>
          <w:rFonts w:ascii="Arial" w:hAnsi="Arial" w:cs="Arial"/>
          <w:lang w:val="en-IN"/>
        </w:rPr>
        <w:t xml:space="preserve"> represent the particle sizes below which 84% and 90% of the total sample mass passed, leaving 16% and 10% as the coarser fraction.</w:t>
      </w:r>
    </w:p>
    <w:p w14:paraId="1316C32B" w14:textId="77777777" w:rsidR="00A81A65" w:rsidRPr="00A81A65" w:rsidRDefault="00A81A65" w:rsidP="00A81A65">
      <w:pPr>
        <w:pStyle w:val="Body"/>
        <w:rPr>
          <w:rFonts w:ascii="Arial" w:hAnsi="Arial" w:cs="Arial"/>
          <w:b/>
          <w:sz w:val="22"/>
          <w:lang w:val="en-IN"/>
        </w:rPr>
      </w:pPr>
      <w:r w:rsidRPr="00A81A65">
        <w:rPr>
          <w:rFonts w:ascii="Arial" w:hAnsi="Arial" w:cs="Arial"/>
          <w:lang w:val="en-IN"/>
        </w:rPr>
        <w:t xml:space="preserve">Together, these percentile-based parameters provide a detailed representation of the granule size distribution, capturing both fine and coarse components of the fertilizer samples. Their inclusion allows for a more comprehensive assessment of granule size variability than traditional single-point descriptors and offers deeper insight into the physical characteristics and handling </w:t>
      </w:r>
      <w:proofErr w:type="spellStart"/>
      <w:r w:rsidRPr="00A81A65">
        <w:rPr>
          <w:rFonts w:ascii="Arial" w:hAnsi="Arial" w:cs="Arial"/>
          <w:lang w:val="en-IN"/>
        </w:rPr>
        <w:t>behavior</w:t>
      </w:r>
      <w:proofErr w:type="spellEnd"/>
      <w:r w:rsidRPr="00A81A65">
        <w:rPr>
          <w:rFonts w:ascii="Arial" w:hAnsi="Arial" w:cs="Arial"/>
          <w:lang w:val="en-IN"/>
        </w:rPr>
        <w:t xml:space="preserve"> of commercially available urea fertilizers.</w:t>
      </w:r>
    </w:p>
    <w:p w14:paraId="6B4A132C" w14:textId="77777777" w:rsidR="009F556F" w:rsidRDefault="009F556F" w:rsidP="009F556F">
      <w:pPr>
        <w:pStyle w:val="Body"/>
        <w:rPr>
          <w:rFonts w:ascii="Arial" w:hAnsi="Arial" w:cs="Arial"/>
          <w:b/>
          <w:sz w:val="22"/>
          <w:lang w:val="en-IN"/>
        </w:rPr>
      </w:pPr>
      <w:r>
        <w:rPr>
          <w:rFonts w:ascii="Arial" w:hAnsi="Arial" w:cs="Arial"/>
          <w:b/>
          <w:caps/>
          <w:sz w:val="22"/>
        </w:rPr>
        <w:t>2.4</w:t>
      </w:r>
      <w:r w:rsidRPr="00C30A0F">
        <w:rPr>
          <w:rFonts w:ascii="Arial" w:hAnsi="Arial" w:cs="Arial"/>
          <w:b/>
          <w:caps/>
          <w:sz w:val="22"/>
        </w:rPr>
        <w:t xml:space="preserve"> </w:t>
      </w:r>
      <w:r w:rsidRPr="009F556F">
        <w:rPr>
          <w:rFonts w:ascii="Arial" w:hAnsi="Arial" w:cs="Arial"/>
          <w:b/>
          <w:sz w:val="22"/>
          <w:lang w:val="en-IN"/>
        </w:rPr>
        <w:t>Statistical Analysis</w:t>
      </w:r>
    </w:p>
    <w:p w14:paraId="13CE74ED" w14:textId="77777777" w:rsidR="009F556F" w:rsidRPr="009F556F" w:rsidRDefault="009F556F" w:rsidP="009F556F">
      <w:pPr>
        <w:pStyle w:val="Body"/>
        <w:rPr>
          <w:rFonts w:ascii="Arial" w:hAnsi="Arial" w:cs="Arial"/>
          <w:lang w:val="en-IN"/>
        </w:rPr>
      </w:pPr>
      <w:r w:rsidRPr="009F556F">
        <w:rPr>
          <w:rFonts w:ascii="Arial" w:hAnsi="Arial" w:cs="Arial"/>
          <w:lang w:val="en-IN"/>
        </w:rPr>
        <w:t xml:space="preserve">The statistical analysis was conducted to evaluate the variability in the granule size indices of urea samples obtained from ten different manufacturers. Each sample was analyzed with four replications. A one-way analysis of variance (ANOVA) with Tukey’s post hoc test was </w:t>
      </w:r>
      <w:r w:rsidRPr="009F556F">
        <w:rPr>
          <w:rFonts w:ascii="Arial" w:hAnsi="Arial" w:cs="Arial"/>
          <w:lang w:val="en-IN"/>
        </w:rPr>
        <w:lastRenderedPageBreak/>
        <w:t>performed to determine whether significant differences existed among the manufacturers for each of the granule size indices (d</w:t>
      </w:r>
      <w:r w:rsidRPr="009F556F">
        <w:rPr>
          <w:rFonts w:ascii="Arial" w:hAnsi="Arial" w:cs="Arial"/>
          <w:vertAlign w:val="subscript"/>
          <w:lang w:val="en-IN"/>
        </w:rPr>
        <w:t>5</w:t>
      </w:r>
      <w:r w:rsidRPr="009F556F">
        <w:rPr>
          <w:rFonts w:ascii="Arial" w:hAnsi="Arial" w:cs="Arial"/>
          <w:lang w:val="en-IN"/>
        </w:rPr>
        <w:t>, d</w:t>
      </w:r>
      <w:r w:rsidRPr="009F556F">
        <w:rPr>
          <w:rFonts w:ascii="Arial" w:hAnsi="Arial" w:cs="Arial"/>
          <w:vertAlign w:val="subscript"/>
          <w:lang w:val="en-IN"/>
        </w:rPr>
        <w:t>16</w:t>
      </w:r>
      <w:r w:rsidRPr="009F556F">
        <w:rPr>
          <w:rFonts w:ascii="Arial" w:hAnsi="Arial" w:cs="Arial"/>
          <w:lang w:val="en-IN"/>
        </w:rPr>
        <w:t>, d</w:t>
      </w:r>
      <w:r w:rsidRPr="009F556F">
        <w:rPr>
          <w:rFonts w:ascii="Arial" w:hAnsi="Arial" w:cs="Arial"/>
          <w:vertAlign w:val="subscript"/>
          <w:lang w:val="en-IN"/>
        </w:rPr>
        <w:t>84</w:t>
      </w:r>
      <w:r w:rsidRPr="009F556F">
        <w:rPr>
          <w:rFonts w:ascii="Arial" w:hAnsi="Arial" w:cs="Arial"/>
          <w:lang w:val="en-IN"/>
        </w:rPr>
        <w:t>, and d</w:t>
      </w:r>
      <w:r w:rsidRPr="009F556F">
        <w:rPr>
          <w:rFonts w:ascii="Arial" w:hAnsi="Arial" w:cs="Arial"/>
          <w:vertAlign w:val="subscript"/>
          <w:lang w:val="en-IN"/>
        </w:rPr>
        <w:t>90</w:t>
      </w:r>
      <w:r w:rsidRPr="009F556F">
        <w:rPr>
          <w:rFonts w:ascii="Arial" w:hAnsi="Arial" w:cs="Arial"/>
          <w:lang w:val="en-IN"/>
        </w:rPr>
        <w:t xml:space="preserve">). All statistical analyses were carried out using </w:t>
      </w:r>
      <w:proofErr w:type="spellStart"/>
      <w:r w:rsidRPr="009F556F">
        <w:rPr>
          <w:rFonts w:ascii="Arial" w:hAnsi="Arial" w:cs="Arial"/>
          <w:lang w:val="en-IN"/>
        </w:rPr>
        <w:t>OriginPro</w:t>
      </w:r>
      <w:proofErr w:type="spellEnd"/>
      <w:r w:rsidRPr="009F556F">
        <w:rPr>
          <w:rFonts w:ascii="Arial" w:hAnsi="Arial" w:cs="Arial"/>
          <w:lang w:val="en-IN"/>
        </w:rPr>
        <w:t xml:space="preserve"> 2025 (</w:t>
      </w:r>
      <w:proofErr w:type="spellStart"/>
      <w:r w:rsidRPr="009F556F">
        <w:rPr>
          <w:rFonts w:ascii="Arial" w:hAnsi="Arial" w:cs="Arial"/>
          <w:lang w:val="en-IN"/>
        </w:rPr>
        <w:t>OriginLab</w:t>
      </w:r>
      <w:proofErr w:type="spellEnd"/>
      <w:r w:rsidRPr="009F556F">
        <w:rPr>
          <w:rFonts w:ascii="Arial" w:hAnsi="Arial" w:cs="Arial"/>
          <w:lang w:val="en-IN"/>
        </w:rPr>
        <w:t xml:space="preserve"> Corporation, USA).</w:t>
      </w:r>
    </w:p>
    <w:p w14:paraId="726857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03EE49" w14:textId="77777777" w:rsidR="009F556F" w:rsidRPr="009F556F" w:rsidRDefault="009F556F" w:rsidP="009F556F">
      <w:pPr>
        <w:pStyle w:val="Body"/>
        <w:rPr>
          <w:rFonts w:ascii="Arial" w:hAnsi="Arial" w:cs="Arial"/>
          <w:b/>
          <w:sz w:val="22"/>
          <w:lang w:val="en-IN"/>
        </w:rPr>
      </w:pPr>
      <w:r w:rsidRPr="009F556F">
        <w:rPr>
          <w:rFonts w:ascii="Arial" w:hAnsi="Arial" w:cs="Arial"/>
          <w:b/>
          <w:sz w:val="22"/>
          <w:lang w:val="en-IN"/>
        </w:rPr>
        <w:t>3.1 d</w:t>
      </w:r>
      <w:r w:rsidRPr="009F556F">
        <w:rPr>
          <w:rFonts w:ascii="Arial" w:hAnsi="Arial" w:cs="Arial"/>
          <w:b/>
          <w:sz w:val="22"/>
          <w:vertAlign w:val="subscript"/>
          <w:lang w:val="en-IN"/>
        </w:rPr>
        <w:t>5</w:t>
      </w:r>
      <w:r w:rsidRPr="009F556F">
        <w:rPr>
          <w:rFonts w:ascii="Arial" w:hAnsi="Arial" w:cs="Arial"/>
          <w:b/>
          <w:sz w:val="22"/>
          <w:lang w:val="en-IN"/>
        </w:rPr>
        <w:t xml:space="preserve"> Granule Size Index </w:t>
      </w:r>
    </w:p>
    <w:p w14:paraId="39D91FB1" w14:textId="77777777" w:rsidR="009F556F" w:rsidRPr="009F556F" w:rsidRDefault="009F556F" w:rsidP="009F556F">
      <w:pPr>
        <w:pStyle w:val="Body"/>
        <w:rPr>
          <w:rFonts w:ascii="Arial" w:hAnsi="Arial" w:cs="Arial"/>
          <w:lang w:val="en-IN"/>
        </w:rPr>
      </w:pPr>
      <w:r w:rsidRPr="009F556F">
        <w:rPr>
          <w:rFonts w:ascii="Arial" w:hAnsi="Arial" w:cs="Arial"/>
          <w:lang w:val="en-IN"/>
        </w:rPr>
        <w:t>The d</w:t>
      </w:r>
      <w:r w:rsidRPr="009F556F">
        <w:rPr>
          <w:rFonts w:ascii="Arial" w:hAnsi="Arial" w:cs="Arial"/>
          <w:vertAlign w:val="subscript"/>
          <w:lang w:val="en-IN"/>
        </w:rPr>
        <w:t>5</w:t>
      </w:r>
      <w:r w:rsidRPr="009F556F">
        <w:rPr>
          <w:rFonts w:ascii="Arial" w:hAnsi="Arial" w:cs="Arial"/>
          <w:lang w:val="en-IN"/>
        </w:rPr>
        <w:t xml:space="preserve"> values of the ten urea samples ranged from 0.394 mm to 0.861 mm, indicating notable variation in the smallest percentile diameter among the manufacturers. The coefficient of variation (CV) for d</w:t>
      </w:r>
      <w:r w:rsidRPr="009F556F">
        <w:rPr>
          <w:rFonts w:ascii="Arial" w:hAnsi="Arial" w:cs="Arial"/>
          <w:vertAlign w:val="subscript"/>
          <w:lang w:val="en-IN"/>
        </w:rPr>
        <w:t>5</w:t>
      </w:r>
      <w:r w:rsidRPr="009F556F">
        <w:rPr>
          <w:rFonts w:ascii="Arial" w:hAnsi="Arial" w:cs="Arial"/>
          <w:lang w:val="en-IN"/>
        </w:rPr>
        <w:t xml:space="preserve"> ranged from 0.12% to 4.95%, indicating differences in consistency within the individual samples. As illustrated in Fig. 2, the minimum d</w:t>
      </w:r>
      <w:r w:rsidRPr="009F556F">
        <w:rPr>
          <w:rFonts w:ascii="Arial" w:hAnsi="Arial" w:cs="Arial"/>
          <w:vertAlign w:val="subscript"/>
          <w:lang w:val="en-IN"/>
        </w:rPr>
        <w:t>5</w:t>
      </w:r>
      <w:r w:rsidRPr="009F556F">
        <w:rPr>
          <w:rFonts w:ascii="Arial" w:hAnsi="Arial" w:cs="Arial"/>
          <w:lang w:val="en-IN"/>
        </w:rPr>
        <w:t xml:space="preserve"> value was observed for Sample III, whereas the maximum d</w:t>
      </w:r>
      <w:r w:rsidRPr="009F556F">
        <w:rPr>
          <w:rFonts w:ascii="Arial" w:hAnsi="Arial" w:cs="Arial"/>
          <w:vertAlign w:val="subscript"/>
          <w:lang w:val="en-IN"/>
        </w:rPr>
        <w:t>5</w:t>
      </w:r>
      <w:r w:rsidRPr="009F556F">
        <w:rPr>
          <w:rFonts w:ascii="Arial" w:hAnsi="Arial" w:cs="Arial"/>
          <w:lang w:val="en-IN"/>
        </w:rPr>
        <w:t xml:space="preserve"> value was recorded for Sample IX.</w:t>
      </w:r>
    </w:p>
    <w:p w14:paraId="59A1937B" w14:textId="77777777" w:rsidR="009F556F" w:rsidRPr="009F556F" w:rsidRDefault="009F556F" w:rsidP="009F556F">
      <w:pPr>
        <w:pStyle w:val="Body"/>
        <w:rPr>
          <w:rFonts w:ascii="Arial" w:hAnsi="Arial" w:cs="Arial"/>
          <w:lang w:val="en-IN"/>
        </w:rPr>
      </w:pPr>
      <w:r w:rsidRPr="009F556F">
        <w:rPr>
          <w:rFonts w:ascii="Arial" w:hAnsi="Arial" w:cs="Arial"/>
          <w:lang w:val="en-IN"/>
        </w:rPr>
        <w:t>The results of the one-way ANOVA, summarized in Table 1, demonstrated that the differences in the mean d</w:t>
      </w:r>
      <w:r w:rsidRPr="009F556F">
        <w:rPr>
          <w:rFonts w:ascii="Arial" w:hAnsi="Arial" w:cs="Arial"/>
          <w:vertAlign w:val="subscript"/>
          <w:lang w:val="en-IN"/>
        </w:rPr>
        <w:t>5</w:t>
      </w:r>
      <w:r w:rsidRPr="009F556F">
        <w:rPr>
          <w:rFonts w:ascii="Arial" w:hAnsi="Arial" w:cs="Arial"/>
          <w:lang w:val="en-IN"/>
        </w:rPr>
        <w:t xml:space="preserve"> values among the ten manufacturers were statistically significant at the 0.05 level. The Tukey post-hoc comparison further confirmed that 35 out of the 45 possible manufacturer pairings exhibited significant differences in d</w:t>
      </w:r>
      <w:r w:rsidRPr="009F556F">
        <w:rPr>
          <w:rFonts w:ascii="Arial" w:hAnsi="Arial" w:cs="Arial"/>
          <w:vertAlign w:val="subscript"/>
          <w:lang w:val="en-IN"/>
        </w:rPr>
        <w:t>5</w:t>
      </w:r>
      <w:r w:rsidRPr="009F556F">
        <w:rPr>
          <w:rFonts w:ascii="Arial" w:hAnsi="Arial" w:cs="Arial"/>
          <w:lang w:val="en-IN"/>
        </w:rPr>
        <w:t xml:space="preserve"> at the 0.05 significance level. These findings highlight the considerable variability in d</w:t>
      </w:r>
      <w:r w:rsidRPr="009F556F">
        <w:rPr>
          <w:rFonts w:ascii="Arial" w:hAnsi="Arial" w:cs="Arial"/>
          <w:vertAlign w:val="subscript"/>
          <w:lang w:val="en-IN"/>
        </w:rPr>
        <w:t>5</w:t>
      </w:r>
      <w:r w:rsidRPr="009F556F">
        <w:rPr>
          <w:rFonts w:ascii="Arial" w:hAnsi="Arial" w:cs="Arial"/>
          <w:lang w:val="en-IN"/>
        </w:rPr>
        <w:t xml:space="preserve"> among commercially available urea fertilizers, suggesting that manufacturers differ substantially in terms of granule size characteristics represented by this percentile diameter.</w:t>
      </w:r>
    </w:p>
    <w:p w14:paraId="26A3A8C8" w14:textId="77777777" w:rsidR="009F556F" w:rsidRDefault="009F556F" w:rsidP="009F556F">
      <w:pPr>
        <w:pStyle w:val="NormalWeb"/>
        <w:spacing w:line="360" w:lineRule="auto"/>
        <w:jc w:val="center"/>
      </w:pPr>
      <w:r>
        <w:rPr>
          <w:noProof/>
          <w:lang w:val="en-IN" w:eastAsia="en-IN"/>
        </w:rPr>
        <w:drawing>
          <wp:inline distT="0" distB="0" distL="0" distR="0" wp14:anchorId="0115629C" wp14:editId="2C74B305">
            <wp:extent cx="5458460" cy="3545205"/>
            <wp:effectExtent l="0" t="0" r="0" b="0"/>
            <wp:docPr id="3" name="Picture 3" descr="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8460" cy="3545205"/>
                    </a:xfrm>
                    <a:prstGeom prst="rect">
                      <a:avLst/>
                    </a:prstGeom>
                    <a:noFill/>
                    <a:ln>
                      <a:noFill/>
                    </a:ln>
                  </pic:spPr>
                </pic:pic>
              </a:graphicData>
            </a:graphic>
          </wp:inline>
        </w:drawing>
      </w:r>
    </w:p>
    <w:p w14:paraId="6F8EC4FD" w14:textId="77777777" w:rsidR="009F556F" w:rsidRPr="009F556F" w:rsidRDefault="009F556F" w:rsidP="009F556F">
      <w:pPr>
        <w:pStyle w:val="NormalWeb"/>
        <w:spacing w:line="360" w:lineRule="auto"/>
        <w:jc w:val="center"/>
        <w:rPr>
          <w:rFonts w:ascii="Arial" w:hAnsi="Arial" w:cs="Arial"/>
          <w:b/>
          <w:sz w:val="20"/>
        </w:rPr>
      </w:pPr>
      <w:r w:rsidRPr="009F556F">
        <w:rPr>
          <w:rFonts w:ascii="Arial" w:hAnsi="Arial" w:cs="Arial"/>
          <w:b/>
          <w:sz w:val="20"/>
        </w:rPr>
        <w:t>Fig. 2 d</w:t>
      </w:r>
      <w:r w:rsidRPr="009F556F">
        <w:rPr>
          <w:rFonts w:ascii="Arial" w:hAnsi="Arial" w:cs="Arial"/>
          <w:b/>
          <w:sz w:val="20"/>
          <w:vertAlign w:val="subscript"/>
        </w:rPr>
        <w:t>5</w:t>
      </w:r>
      <w:r w:rsidRPr="009F556F">
        <w:rPr>
          <w:rFonts w:ascii="Arial" w:hAnsi="Arial" w:cs="Arial"/>
          <w:b/>
          <w:sz w:val="20"/>
        </w:rPr>
        <w:t xml:space="preserve"> Granule Size Index for Urea Samples</w:t>
      </w:r>
    </w:p>
    <w:p w14:paraId="532810ED" w14:textId="77777777" w:rsidR="009F556F" w:rsidRPr="009F556F" w:rsidRDefault="009F556F" w:rsidP="009F556F">
      <w:pPr>
        <w:pStyle w:val="NormalWeb"/>
        <w:spacing w:line="360" w:lineRule="auto"/>
        <w:jc w:val="both"/>
        <w:rPr>
          <w:rFonts w:ascii="Arial" w:hAnsi="Arial" w:cs="Arial"/>
          <w:b/>
          <w:sz w:val="20"/>
        </w:rPr>
      </w:pPr>
      <w:r w:rsidRPr="009F556F">
        <w:rPr>
          <w:rFonts w:ascii="Arial" w:hAnsi="Arial" w:cs="Arial"/>
          <w:b/>
          <w:sz w:val="20"/>
        </w:rPr>
        <w:t>Table 1: One-Way ANOVA for d</w:t>
      </w:r>
      <w:r w:rsidRPr="009F556F">
        <w:rPr>
          <w:rFonts w:ascii="Arial" w:hAnsi="Arial" w:cs="Arial"/>
          <w:b/>
          <w:sz w:val="20"/>
          <w:vertAlign w:val="subscript"/>
        </w:rPr>
        <w:t>5</w:t>
      </w:r>
      <w:r w:rsidRPr="009F556F">
        <w:rPr>
          <w:rFonts w:ascii="Arial" w:hAnsi="Arial" w:cs="Arial"/>
          <w:sz w:val="20"/>
          <w:vertAlign w:val="subscript"/>
        </w:rPr>
        <w:t xml:space="preserve"> </w:t>
      </w:r>
      <w:r w:rsidRPr="009F556F">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1316"/>
        <w:gridCol w:w="1412"/>
        <w:gridCol w:w="1437"/>
        <w:gridCol w:w="1435"/>
        <w:gridCol w:w="1400"/>
      </w:tblGrid>
      <w:tr w:rsidR="009F556F" w:rsidRPr="009F556F" w14:paraId="249FC6AE" w14:textId="77777777" w:rsidTr="009F556F">
        <w:trPr>
          <w:trHeight w:val="699"/>
        </w:trPr>
        <w:tc>
          <w:tcPr>
            <w:tcW w:w="1502" w:type="dxa"/>
            <w:tcBorders>
              <w:top w:val="single" w:sz="4" w:space="0" w:color="auto"/>
              <w:left w:val="nil"/>
              <w:bottom w:val="single" w:sz="4" w:space="0" w:color="auto"/>
              <w:right w:val="nil"/>
            </w:tcBorders>
            <w:vAlign w:val="center"/>
            <w:hideMark/>
          </w:tcPr>
          <w:p w14:paraId="431E270B" w14:textId="77777777" w:rsidR="009F556F" w:rsidRPr="009F556F" w:rsidRDefault="009F556F">
            <w:pPr>
              <w:jc w:val="center"/>
              <w:rPr>
                <w:rFonts w:ascii="Arial" w:hAnsi="Arial" w:cs="Arial"/>
                <w:b/>
                <w:sz w:val="20"/>
                <w:szCs w:val="24"/>
              </w:rPr>
            </w:pPr>
            <w:r w:rsidRPr="009F556F">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76CCADC1" w14:textId="77777777" w:rsidR="009F556F" w:rsidRPr="009F556F" w:rsidRDefault="009F556F">
            <w:pPr>
              <w:jc w:val="center"/>
              <w:rPr>
                <w:rFonts w:ascii="Arial" w:hAnsi="Arial" w:cs="Arial"/>
                <w:b/>
                <w:sz w:val="20"/>
                <w:szCs w:val="24"/>
              </w:rPr>
            </w:pPr>
            <w:r w:rsidRPr="009F556F">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2532C05F" w14:textId="77777777" w:rsidR="009F556F" w:rsidRPr="009F556F" w:rsidRDefault="009F556F">
            <w:pPr>
              <w:jc w:val="center"/>
              <w:rPr>
                <w:rFonts w:ascii="Arial" w:hAnsi="Arial" w:cs="Arial"/>
                <w:b/>
                <w:sz w:val="20"/>
                <w:szCs w:val="24"/>
              </w:rPr>
            </w:pPr>
            <w:r w:rsidRPr="009F556F">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270ACEB6" w14:textId="77777777" w:rsidR="009F556F" w:rsidRPr="009F556F" w:rsidRDefault="009F556F">
            <w:pPr>
              <w:jc w:val="center"/>
              <w:rPr>
                <w:rFonts w:ascii="Arial" w:hAnsi="Arial" w:cs="Arial"/>
                <w:b/>
                <w:sz w:val="20"/>
                <w:szCs w:val="24"/>
              </w:rPr>
            </w:pPr>
            <w:r w:rsidRPr="009F556F">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64A8D98E" w14:textId="77777777" w:rsidR="009F556F" w:rsidRPr="009F556F" w:rsidRDefault="009F556F">
            <w:pPr>
              <w:jc w:val="center"/>
              <w:rPr>
                <w:rFonts w:ascii="Arial" w:hAnsi="Arial" w:cs="Arial"/>
                <w:b/>
                <w:sz w:val="20"/>
                <w:szCs w:val="24"/>
              </w:rPr>
            </w:pPr>
            <w:r w:rsidRPr="009F556F">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3CAF1AB1" w14:textId="77777777" w:rsidR="009F556F" w:rsidRPr="009F556F" w:rsidRDefault="009F556F">
            <w:pPr>
              <w:jc w:val="center"/>
              <w:rPr>
                <w:rFonts w:ascii="Arial" w:hAnsi="Arial" w:cs="Arial"/>
                <w:b/>
                <w:sz w:val="20"/>
                <w:szCs w:val="24"/>
              </w:rPr>
            </w:pPr>
            <w:r w:rsidRPr="009F556F">
              <w:rPr>
                <w:rFonts w:ascii="Arial" w:hAnsi="Arial" w:cs="Arial"/>
                <w:b/>
                <w:sz w:val="20"/>
                <w:szCs w:val="24"/>
              </w:rPr>
              <w:t>Tabular F (5%)</w:t>
            </w:r>
          </w:p>
        </w:tc>
      </w:tr>
      <w:tr w:rsidR="009F556F" w:rsidRPr="009F556F" w14:paraId="26872D20" w14:textId="77777777" w:rsidTr="00E2677B">
        <w:trPr>
          <w:trHeight w:val="397"/>
        </w:trPr>
        <w:tc>
          <w:tcPr>
            <w:tcW w:w="1502" w:type="dxa"/>
            <w:tcBorders>
              <w:top w:val="single" w:sz="4" w:space="0" w:color="auto"/>
              <w:left w:val="nil"/>
              <w:bottom w:val="nil"/>
              <w:right w:val="nil"/>
            </w:tcBorders>
            <w:vAlign w:val="center"/>
            <w:hideMark/>
          </w:tcPr>
          <w:p w14:paraId="2095B48A" w14:textId="77777777" w:rsidR="009F556F" w:rsidRPr="009F556F" w:rsidRDefault="009F556F">
            <w:pPr>
              <w:rPr>
                <w:rFonts w:ascii="Arial" w:hAnsi="Arial" w:cs="Arial"/>
                <w:sz w:val="20"/>
                <w:szCs w:val="24"/>
              </w:rPr>
            </w:pPr>
            <w:r w:rsidRPr="009F556F">
              <w:rPr>
                <w:rFonts w:ascii="Arial" w:hAnsi="Arial" w:cs="Arial"/>
                <w:sz w:val="20"/>
                <w:szCs w:val="24"/>
              </w:rPr>
              <w:lastRenderedPageBreak/>
              <w:t>Model</w:t>
            </w:r>
          </w:p>
        </w:tc>
        <w:tc>
          <w:tcPr>
            <w:tcW w:w="1502" w:type="dxa"/>
            <w:tcBorders>
              <w:top w:val="single" w:sz="4" w:space="0" w:color="auto"/>
              <w:left w:val="nil"/>
              <w:bottom w:val="nil"/>
              <w:right w:val="nil"/>
            </w:tcBorders>
            <w:vAlign w:val="center"/>
            <w:hideMark/>
          </w:tcPr>
          <w:p w14:paraId="2A3BD5DF" w14:textId="77777777" w:rsidR="009F556F" w:rsidRPr="009F556F" w:rsidRDefault="009F556F">
            <w:pPr>
              <w:jc w:val="center"/>
              <w:rPr>
                <w:rFonts w:ascii="Arial" w:hAnsi="Arial" w:cs="Arial"/>
                <w:sz w:val="20"/>
                <w:szCs w:val="24"/>
              </w:rPr>
            </w:pPr>
            <w:r w:rsidRPr="009F556F">
              <w:rPr>
                <w:rFonts w:ascii="Arial" w:hAnsi="Arial" w:cs="Arial"/>
                <w:sz w:val="20"/>
                <w:szCs w:val="24"/>
              </w:rPr>
              <w:t>9</w:t>
            </w:r>
          </w:p>
        </w:tc>
        <w:tc>
          <w:tcPr>
            <w:tcW w:w="1503" w:type="dxa"/>
            <w:tcBorders>
              <w:top w:val="single" w:sz="4" w:space="0" w:color="auto"/>
              <w:left w:val="nil"/>
              <w:bottom w:val="nil"/>
              <w:right w:val="nil"/>
            </w:tcBorders>
            <w:vAlign w:val="center"/>
            <w:hideMark/>
          </w:tcPr>
          <w:p w14:paraId="54888747"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1.00215</w:t>
            </w:r>
          </w:p>
        </w:tc>
        <w:tc>
          <w:tcPr>
            <w:tcW w:w="1503" w:type="dxa"/>
            <w:tcBorders>
              <w:top w:val="single" w:sz="4" w:space="0" w:color="auto"/>
              <w:left w:val="nil"/>
              <w:bottom w:val="nil"/>
              <w:right w:val="nil"/>
            </w:tcBorders>
            <w:vAlign w:val="center"/>
            <w:hideMark/>
          </w:tcPr>
          <w:p w14:paraId="14BAA2A3"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0.11135</w:t>
            </w:r>
          </w:p>
        </w:tc>
        <w:tc>
          <w:tcPr>
            <w:tcW w:w="1503" w:type="dxa"/>
            <w:tcBorders>
              <w:top w:val="single" w:sz="4" w:space="0" w:color="auto"/>
              <w:left w:val="nil"/>
              <w:bottom w:val="nil"/>
              <w:right w:val="nil"/>
            </w:tcBorders>
            <w:vAlign w:val="center"/>
            <w:hideMark/>
          </w:tcPr>
          <w:p w14:paraId="56FDF3A5"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431.8819*</w:t>
            </w:r>
          </w:p>
        </w:tc>
        <w:tc>
          <w:tcPr>
            <w:tcW w:w="1503" w:type="dxa"/>
            <w:tcBorders>
              <w:top w:val="single" w:sz="4" w:space="0" w:color="auto"/>
              <w:left w:val="nil"/>
              <w:bottom w:val="nil"/>
              <w:right w:val="nil"/>
            </w:tcBorders>
            <w:vAlign w:val="center"/>
            <w:hideMark/>
          </w:tcPr>
          <w:p w14:paraId="6778F621"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2.21</w:t>
            </w:r>
          </w:p>
        </w:tc>
      </w:tr>
      <w:tr w:rsidR="009F556F" w:rsidRPr="009F556F" w14:paraId="7DA0C07C" w14:textId="77777777" w:rsidTr="00E2677B">
        <w:trPr>
          <w:trHeight w:val="397"/>
        </w:trPr>
        <w:tc>
          <w:tcPr>
            <w:tcW w:w="1502" w:type="dxa"/>
            <w:vAlign w:val="center"/>
            <w:hideMark/>
          </w:tcPr>
          <w:p w14:paraId="2ADAF600" w14:textId="77777777" w:rsidR="009F556F" w:rsidRPr="009F556F" w:rsidRDefault="009F556F">
            <w:pPr>
              <w:rPr>
                <w:rFonts w:ascii="Arial" w:hAnsi="Arial" w:cs="Arial"/>
                <w:sz w:val="20"/>
                <w:szCs w:val="24"/>
              </w:rPr>
            </w:pPr>
            <w:r w:rsidRPr="009F556F">
              <w:rPr>
                <w:rFonts w:ascii="Arial" w:hAnsi="Arial" w:cs="Arial"/>
                <w:sz w:val="20"/>
                <w:szCs w:val="24"/>
              </w:rPr>
              <w:t>Error</w:t>
            </w:r>
          </w:p>
        </w:tc>
        <w:tc>
          <w:tcPr>
            <w:tcW w:w="1502" w:type="dxa"/>
            <w:vAlign w:val="center"/>
            <w:hideMark/>
          </w:tcPr>
          <w:p w14:paraId="2D1C1B85" w14:textId="77777777" w:rsidR="009F556F" w:rsidRPr="009F556F" w:rsidRDefault="009F556F">
            <w:pPr>
              <w:jc w:val="center"/>
              <w:rPr>
                <w:rFonts w:ascii="Arial" w:hAnsi="Arial" w:cs="Arial"/>
                <w:sz w:val="20"/>
                <w:szCs w:val="24"/>
              </w:rPr>
            </w:pPr>
            <w:r w:rsidRPr="009F556F">
              <w:rPr>
                <w:rFonts w:ascii="Arial" w:hAnsi="Arial" w:cs="Arial"/>
                <w:sz w:val="20"/>
                <w:szCs w:val="24"/>
              </w:rPr>
              <w:t>30</w:t>
            </w:r>
          </w:p>
        </w:tc>
        <w:tc>
          <w:tcPr>
            <w:tcW w:w="1503" w:type="dxa"/>
            <w:vAlign w:val="center"/>
            <w:hideMark/>
          </w:tcPr>
          <w:p w14:paraId="2A5875AA"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0.00773</w:t>
            </w:r>
          </w:p>
        </w:tc>
        <w:tc>
          <w:tcPr>
            <w:tcW w:w="1503" w:type="dxa"/>
            <w:vAlign w:val="center"/>
            <w:hideMark/>
          </w:tcPr>
          <w:p w14:paraId="1EA6C504"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2.57825E-4</w:t>
            </w:r>
          </w:p>
        </w:tc>
        <w:tc>
          <w:tcPr>
            <w:tcW w:w="1503" w:type="dxa"/>
            <w:vAlign w:val="center"/>
          </w:tcPr>
          <w:p w14:paraId="7EE0DE26" w14:textId="77777777" w:rsidR="009F556F" w:rsidRPr="009F556F" w:rsidRDefault="009F556F" w:rsidP="00E2677B">
            <w:pPr>
              <w:jc w:val="center"/>
              <w:rPr>
                <w:rFonts w:ascii="Arial" w:hAnsi="Arial" w:cs="Arial"/>
                <w:sz w:val="20"/>
                <w:szCs w:val="24"/>
              </w:rPr>
            </w:pPr>
          </w:p>
        </w:tc>
        <w:tc>
          <w:tcPr>
            <w:tcW w:w="1503" w:type="dxa"/>
            <w:vAlign w:val="center"/>
          </w:tcPr>
          <w:p w14:paraId="13B764BF" w14:textId="77777777" w:rsidR="009F556F" w:rsidRPr="009F556F" w:rsidRDefault="009F556F" w:rsidP="00E2677B">
            <w:pPr>
              <w:jc w:val="center"/>
              <w:rPr>
                <w:rFonts w:ascii="Arial" w:hAnsi="Arial" w:cs="Arial"/>
                <w:sz w:val="20"/>
                <w:szCs w:val="24"/>
              </w:rPr>
            </w:pPr>
          </w:p>
        </w:tc>
      </w:tr>
      <w:tr w:rsidR="009F556F" w:rsidRPr="009F556F" w14:paraId="560D143C" w14:textId="77777777" w:rsidTr="00E2677B">
        <w:trPr>
          <w:trHeight w:val="397"/>
        </w:trPr>
        <w:tc>
          <w:tcPr>
            <w:tcW w:w="1502" w:type="dxa"/>
            <w:tcBorders>
              <w:top w:val="nil"/>
              <w:left w:val="nil"/>
              <w:bottom w:val="single" w:sz="4" w:space="0" w:color="auto"/>
              <w:right w:val="nil"/>
            </w:tcBorders>
            <w:vAlign w:val="center"/>
            <w:hideMark/>
          </w:tcPr>
          <w:p w14:paraId="1B0551BB" w14:textId="77777777" w:rsidR="009F556F" w:rsidRPr="009F556F" w:rsidRDefault="009F556F">
            <w:pPr>
              <w:rPr>
                <w:rFonts w:ascii="Arial" w:hAnsi="Arial" w:cs="Arial"/>
                <w:sz w:val="20"/>
                <w:szCs w:val="24"/>
              </w:rPr>
            </w:pPr>
            <w:r w:rsidRPr="009F556F">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361D3000" w14:textId="77777777" w:rsidR="009F556F" w:rsidRPr="009F556F" w:rsidRDefault="009F556F">
            <w:pPr>
              <w:jc w:val="center"/>
              <w:rPr>
                <w:rFonts w:ascii="Arial" w:hAnsi="Arial" w:cs="Arial"/>
                <w:sz w:val="20"/>
                <w:szCs w:val="24"/>
              </w:rPr>
            </w:pPr>
            <w:r w:rsidRPr="009F556F">
              <w:rPr>
                <w:rFonts w:ascii="Arial" w:hAnsi="Arial" w:cs="Arial"/>
                <w:sz w:val="20"/>
                <w:szCs w:val="24"/>
              </w:rPr>
              <w:t>39</w:t>
            </w:r>
          </w:p>
        </w:tc>
        <w:tc>
          <w:tcPr>
            <w:tcW w:w="1503" w:type="dxa"/>
            <w:tcBorders>
              <w:top w:val="nil"/>
              <w:left w:val="nil"/>
              <w:bottom w:val="single" w:sz="4" w:space="0" w:color="auto"/>
              <w:right w:val="nil"/>
            </w:tcBorders>
            <w:vAlign w:val="center"/>
            <w:hideMark/>
          </w:tcPr>
          <w:p w14:paraId="18C74B44"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1.00988</w:t>
            </w:r>
          </w:p>
        </w:tc>
        <w:tc>
          <w:tcPr>
            <w:tcW w:w="1503" w:type="dxa"/>
            <w:tcBorders>
              <w:top w:val="nil"/>
              <w:left w:val="nil"/>
              <w:bottom w:val="single" w:sz="4" w:space="0" w:color="auto"/>
              <w:right w:val="nil"/>
            </w:tcBorders>
            <w:vAlign w:val="center"/>
          </w:tcPr>
          <w:p w14:paraId="309F2C52" w14:textId="77777777" w:rsidR="009F556F" w:rsidRPr="009F556F"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65741D9A" w14:textId="77777777" w:rsidR="009F556F" w:rsidRPr="009F556F"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32A098A7" w14:textId="77777777" w:rsidR="009F556F" w:rsidRPr="009F556F" w:rsidRDefault="009F556F" w:rsidP="00E2677B">
            <w:pPr>
              <w:jc w:val="center"/>
              <w:rPr>
                <w:rFonts w:ascii="Arial" w:hAnsi="Arial" w:cs="Arial"/>
                <w:sz w:val="20"/>
                <w:szCs w:val="24"/>
              </w:rPr>
            </w:pPr>
          </w:p>
        </w:tc>
      </w:tr>
    </w:tbl>
    <w:p w14:paraId="4ECE2C45" w14:textId="77777777" w:rsidR="009F556F" w:rsidRDefault="009F556F" w:rsidP="009F556F">
      <w:pPr>
        <w:pStyle w:val="Body"/>
        <w:rPr>
          <w:rFonts w:ascii="Arial" w:hAnsi="Arial" w:cs="Arial"/>
          <w:b/>
          <w:sz w:val="22"/>
          <w:lang w:val="en-IN"/>
        </w:rPr>
      </w:pPr>
    </w:p>
    <w:p w14:paraId="5685312D" w14:textId="77777777" w:rsidR="009F556F" w:rsidRPr="009F556F" w:rsidRDefault="009F556F" w:rsidP="009F556F">
      <w:pPr>
        <w:pStyle w:val="Body"/>
        <w:rPr>
          <w:rFonts w:ascii="Arial" w:hAnsi="Arial" w:cs="Arial"/>
          <w:b/>
          <w:sz w:val="22"/>
          <w:lang w:val="en-IN"/>
        </w:rPr>
      </w:pPr>
      <w:r>
        <w:rPr>
          <w:rFonts w:ascii="Arial" w:hAnsi="Arial" w:cs="Arial"/>
          <w:b/>
          <w:sz w:val="22"/>
          <w:lang w:val="en-IN"/>
        </w:rPr>
        <w:t>3.2</w:t>
      </w:r>
      <w:r w:rsidRPr="009F556F">
        <w:rPr>
          <w:rFonts w:ascii="Arial" w:hAnsi="Arial" w:cs="Arial"/>
          <w:b/>
          <w:sz w:val="22"/>
          <w:lang w:val="en-IN"/>
        </w:rPr>
        <w:t xml:space="preserve"> d</w:t>
      </w:r>
      <w:r w:rsidRPr="009F556F">
        <w:rPr>
          <w:rFonts w:ascii="Arial" w:hAnsi="Arial" w:cs="Arial"/>
          <w:b/>
          <w:sz w:val="22"/>
          <w:vertAlign w:val="subscript"/>
          <w:lang w:val="en-IN"/>
        </w:rPr>
        <w:t xml:space="preserve">16 </w:t>
      </w:r>
      <w:r w:rsidRPr="009F556F">
        <w:rPr>
          <w:rFonts w:ascii="Arial" w:hAnsi="Arial" w:cs="Arial"/>
          <w:b/>
          <w:sz w:val="22"/>
          <w:lang w:val="en-IN"/>
        </w:rPr>
        <w:t xml:space="preserve">Granule Size Index </w:t>
      </w:r>
    </w:p>
    <w:p w14:paraId="4EBC6A95" w14:textId="77777777" w:rsidR="009F556F" w:rsidRPr="009F556F" w:rsidRDefault="009F556F" w:rsidP="009F556F">
      <w:pPr>
        <w:pStyle w:val="Body"/>
        <w:rPr>
          <w:rFonts w:ascii="Arial" w:hAnsi="Arial" w:cs="Arial"/>
          <w:lang w:val="en-IN"/>
        </w:rPr>
      </w:pPr>
      <w:r w:rsidRPr="009F556F">
        <w:rPr>
          <w:rFonts w:ascii="Arial" w:hAnsi="Arial" w:cs="Arial"/>
          <w:lang w:val="en-IN"/>
        </w:rPr>
        <w:t>As shown in Fig. 3, the d</w:t>
      </w:r>
      <w:r w:rsidRPr="009F556F">
        <w:rPr>
          <w:rFonts w:ascii="Arial" w:hAnsi="Arial" w:cs="Arial"/>
          <w:vertAlign w:val="subscript"/>
          <w:lang w:val="en-IN"/>
        </w:rPr>
        <w:t>16</w:t>
      </w:r>
      <w:r w:rsidRPr="009F556F">
        <w:rPr>
          <w:rFonts w:ascii="Arial" w:hAnsi="Arial" w:cs="Arial"/>
          <w:lang w:val="en-IN"/>
        </w:rPr>
        <w:t xml:space="preserve"> values of the ten urea samples ranged from 0.650 mm (Sample III) to 0.943 mm (Sample IV), indicating variability in the lower percentile granule size among manufacturers. The CV for d</w:t>
      </w:r>
      <w:r w:rsidRPr="009F556F">
        <w:rPr>
          <w:rFonts w:ascii="Arial" w:hAnsi="Arial" w:cs="Arial"/>
          <w:vertAlign w:val="subscript"/>
          <w:lang w:val="en-IN"/>
        </w:rPr>
        <w:t>16</w:t>
      </w:r>
      <w:r w:rsidRPr="009F556F">
        <w:rPr>
          <w:rFonts w:ascii="Arial" w:hAnsi="Arial" w:cs="Arial"/>
          <w:lang w:val="en-IN"/>
        </w:rPr>
        <w:t xml:space="preserve"> varied from 0.00 to 1.06%. The results of the one-way ANOVA for d</w:t>
      </w:r>
      <w:r w:rsidRPr="009F556F">
        <w:rPr>
          <w:rFonts w:ascii="Arial" w:hAnsi="Arial" w:cs="Arial"/>
          <w:vertAlign w:val="subscript"/>
          <w:lang w:val="en-IN"/>
        </w:rPr>
        <w:t>16</w:t>
      </w:r>
      <w:r w:rsidRPr="009F556F">
        <w:rPr>
          <w:rFonts w:ascii="Arial" w:hAnsi="Arial" w:cs="Arial"/>
          <w:lang w:val="en-IN"/>
        </w:rPr>
        <w:t xml:space="preserve"> are presented in Table 2. The analysis showed that, at the 0.05 significance level, the differences in mean d</w:t>
      </w:r>
      <w:r w:rsidRPr="00E2677B">
        <w:rPr>
          <w:rFonts w:ascii="Arial" w:hAnsi="Arial" w:cs="Arial"/>
          <w:vertAlign w:val="subscript"/>
          <w:lang w:val="en-IN"/>
        </w:rPr>
        <w:t>16</w:t>
      </w:r>
      <w:r w:rsidRPr="009F556F">
        <w:rPr>
          <w:rFonts w:ascii="Arial" w:hAnsi="Arial" w:cs="Arial"/>
          <w:lang w:val="en-IN"/>
        </w:rPr>
        <w:t xml:space="preserve"> values across the ten manufacturers were statistically significant. A subsequent Tukey post-hoc test further identified that 40 out of the 45 possible </w:t>
      </w:r>
      <w:proofErr w:type="gramStart"/>
      <w:r w:rsidRPr="009F556F">
        <w:rPr>
          <w:rFonts w:ascii="Arial" w:hAnsi="Arial" w:cs="Arial"/>
          <w:lang w:val="en-IN"/>
        </w:rPr>
        <w:t>manufacturer</w:t>
      </w:r>
      <w:proofErr w:type="gramEnd"/>
      <w:r w:rsidRPr="009F556F">
        <w:rPr>
          <w:rFonts w:ascii="Arial" w:hAnsi="Arial" w:cs="Arial"/>
          <w:lang w:val="en-IN"/>
        </w:rPr>
        <w:t xml:space="preserve"> pairwise comparisons exhibited significant differences at the 0.05 level, confirming substantial variability in d</w:t>
      </w:r>
      <w:r w:rsidRPr="00E2677B">
        <w:rPr>
          <w:rFonts w:ascii="Arial" w:hAnsi="Arial" w:cs="Arial"/>
          <w:vertAlign w:val="subscript"/>
          <w:lang w:val="en-IN"/>
        </w:rPr>
        <w:t>16</w:t>
      </w:r>
      <w:r w:rsidRPr="009F556F">
        <w:rPr>
          <w:rFonts w:ascii="Arial" w:hAnsi="Arial" w:cs="Arial"/>
          <w:lang w:val="en-IN"/>
        </w:rPr>
        <w:t xml:space="preserve"> among the commercial urea brands.</w:t>
      </w:r>
    </w:p>
    <w:p w14:paraId="2D51AACD" w14:textId="77777777" w:rsidR="009F556F" w:rsidRDefault="009F556F" w:rsidP="009F556F">
      <w:pPr>
        <w:pStyle w:val="NormalWeb"/>
        <w:spacing w:line="360" w:lineRule="auto"/>
        <w:jc w:val="center"/>
      </w:pPr>
      <w:r>
        <w:rPr>
          <w:noProof/>
          <w:lang w:val="en-IN" w:eastAsia="en-IN"/>
        </w:rPr>
        <w:drawing>
          <wp:inline distT="0" distB="0" distL="0" distR="0" wp14:anchorId="14049113" wp14:editId="0E3E451C">
            <wp:extent cx="5401945" cy="3495040"/>
            <wp:effectExtent l="0" t="0" r="0" b="0"/>
            <wp:docPr id="4" name="Picture 4" descr="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945" cy="3495040"/>
                    </a:xfrm>
                    <a:prstGeom prst="rect">
                      <a:avLst/>
                    </a:prstGeom>
                    <a:noFill/>
                    <a:ln>
                      <a:noFill/>
                    </a:ln>
                  </pic:spPr>
                </pic:pic>
              </a:graphicData>
            </a:graphic>
          </wp:inline>
        </w:drawing>
      </w:r>
    </w:p>
    <w:p w14:paraId="311237B1" w14:textId="77777777" w:rsidR="009F556F" w:rsidRPr="00E2677B" w:rsidRDefault="009F556F" w:rsidP="009F556F">
      <w:pPr>
        <w:pStyle w:val="NormalWeb"/>
        <w:spacing w:line="360" w:lineRule="auto"/>
        <w:jc w:val="center"/>
        <w:rPr>
          <w:rFonts w:ascii="Arial" w:hAnsi="Arial" w:cs="Arial"/>
          <w:b/>
          <w:sz w:val="20"/>
        </w:rPr>
      </w:pPr>
      <w:r w:rsidRPr="00E2677B">
        <w:rPr>
          <w:rFonts w:ascii="Arial" w:hAnsi="Arial" w:cs="Arial"/>
          <w:b/>
          <w:sz w:val="20"/>
        </w:rPr>
        <w:t>Fig. 3 d</w:t>
      </w:r>
      <w:r w:rsidRPr="00E2677B">
        <w:rPr>
          <w:rFonts w:ascii="Arial" w:hAnsi="Arial" w:cs="Arial"/>
          <w:b/>
          <w:sz w:val="20"/>
          <w:vertAlign w:val="subscript"/>
        </w:rPr>
        <w:t>16</w:t>
      </w:r>
      <w:r w:rsidRPr="00E2677B">
        <w:rPr>
          <w:rFonts w:ascii="Arial" w:hAnsi="Arial" w:cs="Arial"/>
          <w:b/>
          <w:sz w:val="20"/>
        </w:rPr>
        <w:t xml:space="preserve"> Granule Size Index for Urea Samples</w:t>
      </w:r>
    </w:p>
    <w:p w14:paraId="22EF4424" w14:textId="77777777" w:rsidR="009F556F" w:rsidRPr="00E2677B" w:rsidRDefault="009F556F" w:rsidP="009F556F">
      <w:pPr>
        <w:pStyle w:val="NormalWeb"/>
        <w:spacing w:line="360" w:lineRule="auto"/>
        <w:jc w:val="both"/>
        <w:rPr>
          <w:rFonts w:ascii="Arial" w:hAnsi="Arial" w:cs="Arial"/>
          <w:b/>
          <w:sz w:val="20"/>
        </w:rPr>
      </w:pPr>
      <w:r w:rsidRPr="00E2677B">
        <w:rPr>
          <w:rFonts w:ascii="Arial" w:hAnsi="Arial" w:cs="Arial"/>
          <w:b/>
          <w:sz w:val="20"/>
        </w:rPr>
        <w:t>Table 2: One-Way ANOVA for d</w:t>
      </w:r>
      <w:r w:rsidRPr="00E2677B">
        <w:rPr>
          <w:rFonts w:ascii="Arial" w:hAnsi="Arial" w:cs="Arial"/>
          <w:b/>
          <w:sz w:val="20"/>
          <w:vertAlign w:val="subscript"/>
        </w:rPr>
        <w:t>16</w:t>
      </w:r>
      <w:r w:rsidRPr="00E2677B">
        <w:rPr>
          <w:rFonts w:ascii="Arial" w:hAnsi="Arial" w:cs="Arial"/>
          <w:sz w:val="20"/>
          <w:vertAlign w:val="subscript"/>
        </w:rPr>
        <w:t xml:space="preserve"> </w:t>
      </w:r>
      <w:r w:rsidRPr="00E2677B">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315"/>
        <w:gridCol w:w="1416"/>
        <w:gridCol w:w="1436"/>
        <w:gridCol w:w="1434"/>
        <w:gridCol w:w="1400"/>
      </w:tblGrid>
      <w:tr w:rsidR="009F556F" w:rsidRPr="00E2677B" w14:paraId="6A32B42B" w14:textId="77777777" w:rsidTr="009F556F">
        <w:trPr>
          <w:trHeight w:val="699"/>
        </w:trPr>
        <w:tc>
          <w:tcPr>
            <w:tcW w:w="1502" w:type="dxa"/>
            <w:tcBorders>
              <w:top w:val="single" w:sz="4" w:space="0" w:color="auto"/>
              <w:left w:val="nil"/>
              <w:bottom w:val="single" w:sz="4" w:space="0" w:color="auto"/>
              <w:right w:val="nil"/>
            </w:tcBorders>
            <w:vAlign w:val="center"/>
            <w:hideMark/>
          </w:tcPr>
          <w:p w14:paraId="5015CD74" w14:textId="77777777" w:rsidR="009F556F" w:rsidRPr="00E2677B" w:rsidRDefault="009F556F">
            <w:pPr>
              <w:jc w:val="center"/>
              <w:rPr>
                <w:rFonts w:ascii="Arial" w:hAnsi="Arial" w:cs="Arial"/>
                <w:b/>
                <w:sz w:val="20"/>
                <w:szCs w:val="24"/>
              </w:rPr>
            </w:pPr>
            <w:r w:rsidRPr="00E2677B">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6F77B3B4" w14:textId="77777777" w:rsidR="009F556F" w:rsidRPr="00E2677B" w:rsidRDefault="009F556F">
            <w:pPr>
              <w:jc w:val="center"/>
              <w:rPr>
                <w:rFonts w:ascii="Arial" w:hAnsi="Arial" w:cs="Arial"/>
                <w:b/>
                <w:sz w:val="20"/>
                <w:szCs w:val="24"/>
              </w:rPr>
            </w:pPr>
            <w:r w:rsidRPr="00E2677B">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5E35F50D" w14:textId="77777777" w:rsidR="009F556F" w:rsidRPr="00E2677B" w:rsidRDefault="009F556F">
            <w:pPr>
              <w:jc w:val="center"/>
              <w:rPr>
                <w:rFonts w:ascii="Arial" w:hAnsi="Arial" w:cs="Arial"/>
                <w:b/>
                <w:sz w:val="20"/>
                <w:szCs w:val="24"/>
              </w:rPr>
            </w:pPr>
            <w:r w:rsidRPr="00E2677B">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5706ECE1" w14:textId="77777777" w:rsidR="009F556F" w:rsidRPr="00E2677B" w:rsidRDefault="009F556F">
            <w:pPr>
              <w:jc w:val="center"/>
              <w:rPr>
                <w:rFonts w:ascii="Arial" w:hAnsi="Arial" w:cs="Arial"/>
                <w:b/>
                <w:sz w:val="20"/>
                <w:szCs w:val="24"/>
              </w:rPr>
            </w:pPr>
            <w:r w:rsidRPr="00E2677B">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3FBA68ED" w14:textId="77777777" w:rsidR="009F556F" w:rsidRPr="00E2677B" w:rsidRDefault="009F556F">
            <w:pPr>
              <w:jc w:val="center"/>
              <w:rPr>
                <w:rFonts w:ascii="Arial" w:hAnsi="Arial" w:cs="Arial"/>
                <w:b/>
                <w:sz w:val="20"/>
                <w:szCs w:val="24"/>
              </w:rPr>
            </w:pPr>
            <w:r w:rsidRPr="00E2677B">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6D58293B" w14:textId="77777777" w:rsidR="009F556F" w:rsidRPr="00E2677B" w:rsidRDefault="009F556F">
            <w:pPr>
              <w:jc w:val="center"/>
              <w:rPr>
                <w:rFonts w:ascii="Arial" w:hAnsi="Arial" w:cs="Arial"/>
                <w:b/>
                <w:sz w:val="20"/>
                <w:szCs w:val="24"/>
              </w:rPr>
            </w:pPr>
            <w:r w:rsidRPr="00E2677B">
              <w:rPr>
                <w:rFonts w:ascii="Arial" w:hAnsi="Arial" w:cs="Arial"/>
                <w:b/>
                <w:sz w:val="20"/>
                <w:szCs w:val="24"/>
              </w:rPr>
              <w:t>Tabular F (5%)</w:t>
            </w:r>
          </w:p>
        </w:tc>
      </w:tr>
      <w:tr w:rsidR="009F556F" w:rsidRPr="00E2677B" w14:paraId="7C5A6FF9" w14:textId="77777777" w:rsidTr="00E2677B">
        <w:trPr>
          <w:trHeight w:val="397"/>
        </w:trPr>
        <w:tc>
          <w:tcPr>
            <w:tcW w:w="1502" w:type="dxa"/>
            <w:tcBorders>
              <w:top w:val="single" w:sz="4" w:space="0" w:color="auto"/>
              <w:left w:val="nil"/>
              <w:bottom w:val="nil"/>
              <w:right w:val="nil"/>
            </w:tcBorders>
            <w:vAlign w:val="center"/>
            <w:hideMark/>
          </w:tcPr>
          <w:p w14:paraId="3636B9A7" w14:textId="77777777" w:rsidR="009F556F" w:rsidRPr="00E2677B" w:rsidRDefault="009F556F">
            <w:pPr>
              <w:rPr>
                <w:rFonts w:ascii="Arial" w:hAnsi="Arial" w:cs="Arial"/>
                <w:sz w:val="20"/>
                <w:szCs w:val="24"/>
              </w:rPr>
            </w:pPr>
            <w:r w:rsidRPr="00E2677B">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6C7D01F3" w14:textId="77777777" w:rsidR="009F556F" w:rsidRPr="00E2677B" w:rsidRDefault="009F556F">
            <w:pPr>
              <w:jc w:val="center"/>
              <w:rPr>
                <w:rFonts w:ascii="Arial" w:hAnsi="Arial" w:cs="Arial"/>
                <w:sz w:val="20"/>
                <w:szCs w:val="24"/>
              </w:rPr>
            </w:pPr>
            <w:r w:rsidRPr="00E2677B">
              <w:rPr>
                <w:rFonts w:ascii="Arial" w:hAnsi="Arial" w:cs="Arial"/>
                <w:sz w:val="20"/>
                <w:szCs w:val="24"/>
              </w:rPr>
              <w:t>9</w:t>
            </w:r>
          </w:p>
        </w:tc>
        <w:tc>
          <w:tcPr>
            <w:tcW w:w="1503" w:type="dxa"/>
            <w:tcBorders>
              <w:top w:val="single" w:sz="4" w:space="0" w:color="auto"/>
              <w:left w:val="nil"/>
              <w:bottom w:val="nil"/>
              <w:right w:val="nil"/>
            </w:tcBorders>
            <w:vAlign w:val="center"/>
            <w:hideMark/>
          </w:tcPr>
          <w:p w14:paraId="12C0AFA8"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0.24332</w:t>
            </w:r>
          </w:p>
        </w:tc>
        <w:tc>
          <w:tcPr>
            <w:tcW w:w="1503" w:type="dxa"/>
            <w:tcBorders>
              <w:top w:val="single" w:sz="4" w:space="0" w:color="auto"/>
              <w:left w:val="nil"/>
              <w:bottom w:val="nil"/>
              <w:right w:val="nil"/>
            </w:tcBorders>
            <w:vAlign w:val="center"/>
            <w:hideMark/>
          </w:tcPr>
          <w:p w14:paraId="051F748F"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0.02704</w:t>
            </w:r>
          </w:p>
        </w:tc>
        <w:tc>
          <w:tcPr>
            <w:tcW w:w="1503" w:type="dxa"/>
            <w:tcBorders>
              <w:top w:val="single" w:sz="4" w:space="0" w:color="auto"/>
              <w:left w:val="nil"/>
              <w:bottom w:val="nil"/>
              <w:right w:val="nil"/>
            </w:tcBorders>
            <w:vAlign w:val="center"/>
            <w:hideMark/>
          </w:tcPr>
          <w:p w14:paraId="22C75217"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1809.403*</w:t>
            </w:r>
          </w:p>
        </w:tc>
        <w:tc>
          <w:tcPr>
            <w:tcW w:w="1503" w:type="dxa"/>
            <w:tcBorders>
              <w:top w:val="single" w:sz="4" w:space="0" w:color="auto"/>
              <w:left w:val="nil"/>
              <w:bottom w:val="nil"/>
              <w:right w:val="nil"/>
            </w:tcBorders>
            <w:vAlign w:val="center"/>
            <w:hideMark/>
          </w:tcPr>
          <w:p w14:paraId="53A5026A"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2.21</w:t>
            </w:r>
          </w:p>
        </w:tc>
      </w:tr>
      <w:tr w:rsidR="009F556F" w:rsidRPr="00E2677B" w14:paraId="41933239" w14:textId="77777777" w:rsidTr="00E2677B">
        <w:trPr>
          <w:trHeight w:val="397"/>
        </w:trPr>
        <w:tc>
          <w:tcPr>
            <w:tcW w:w="1502" w:type="dxa"/>
            <w:vAlign w:val="center"/>
            <w:hideMark/>
          </w:tcPr>
          <w:p w14:paraId="3486B0FF" w14:textId="77777777" w:rsidR="009F556F" w:rsidRPr="00E2677B" w:rsidRDefault="009F556F">
            <w:pPr>
              <w:rPr>
                <w:rFonts w:ascii="Arial" w:hAnsi="Arial" w:cs="Arial"/>
                <w:sz w:val="20"/>
                <w:szCs w:val="24"/>
              </w:rPr>
            </w:pPr>
            <w:r w:rsidRPr="00E2677B">
              <w:rPr>
                <w:rFonts w:ascii="Arial" w:hAnsi="Arial" w:cs="Arial"/>
                <w:sz w:val="20"/>
                <w:szCs w:val="24"/>
              </w:rPr>
              <w:t>Error</w:t>
            </w:r>
          </w:p>
        </w:tc>
        <w:tc>
          <w:tcPr>
            <w:tcW w:w="1502" w:type="dxa"/>
            <w:vAlign w:val="center"/>
            <w:hideMark/>
          </w:tcPr>
          <w:p w14:paraId="2E41051F" w14:textId="77777777" w:rsidR="009F556F" w:rsidRPr="00E2677B" w:rsidRDefault="009F556F">
            <w:pPr>
              <w:jc w:val="center"/>
              <w:rPr>
                <w:rFonts w:ascii="Arial" w:hAnsi="Arial" w:cs="Arial"/>
                <w:sz w:val="20"/>
                <w:szCs w:val="24"/>
              </w:rPr>
            </w:pPr>
            <w:r w:rsidRPr="00E2677B">
              <w:rPr>
                <w:rFonts w:ascii="Arial" w:hAnsi="Arial" w:cs="Arial"/>
                <w:sz w:val="20"/>
                <w:szCs w:val="24"/>
              </w:rPr>
              <w:t>30</w:t>
            </w:r>
          </w:p>
        </w:tc>
        <w:tc>
          <w:tcPr>
            <w:tcW w:w="1503" w:type="dxa"/>
            <w:vAlign w:val="center"/>
            <w:hideMark/>
          </w:tcPr>
          <w:p w14:paraId="0F6E51FA"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4.4825E-4</w:t>
            </w:r>
          </w:p>
        </w:tc>
        <w:tc>
          <w:tcPr>
            <w:tcW w:w="1503" w:type="dxa"/>
            <w:vAlign w:val="center"/>
            <w:hideMark/>
          </w:tcPr>
          <w:p w14:paraId="164BA3E3"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1.49417E-5</w:t>
            </w:r>
          </w:p>
        </w:tc>
        <w:tc>
          <w:tcPr>
            <w:tcW w:w="1503" w:type="dxa"/>
            <w:vAlign w:val="center"/>
          </w:tcPr>
          <w:p w14:paraId="6EDAFA8D" w14:textId="77777777" w:rsidR="009F556F" w:rsidRPr="00E2677B" w:rsidRDefault="009F556F" w:rsidP="00E2677B">
            <w:pPr>
              <w:jc w:val="center"/>
              <w:rPr>
                <w:rFonts w:ascii="Arial" w:hAnsi="Arial" w:cs="Arial"/>
                <w:sz w:val="20"/>
                <w:szCs w:val="24"/>
              </w:rPr>
            </w:pPr>
          </w:p>
        </w:tc>
        <w:tc>
          <w:tcPr>
            <w:tcW w:w="1503" w:type="dxa"/>
            <w:vAlign w:val="center"/>
          </w:tcPr>
          <w:p w14:paraId="61CAF12D" w14:textId="77777777" w:rsidR="009F556F" w:rsidRPr="00E2677B" w:rsidRDefault="009F556F" w:rsidP="00E2677B">
            <w:pPr>
              <w:jc w:val="center"/>
              <w:rPr>
                <w:rFonts w:ascii="Arial" w:hAnsi="Arial" w:cs="Arial"/>
                <w:sz w:val="20"/>
                <w:szCs w:val="24"/>
              </w:rPr>
            </w:pPr>
          </w:p>
        </w:tc>
      </w:tr>
      <w:tr w:rsidR="009F556F" w:rsidRPr="00E2677B" w14:paraId="702392F6" w14:textId="77777777" w:rsidTr="00E2677B">
        <w:trPr>
          <w:trHeight w:val="397"/>
        </w:trPr>
        <w:tc>
          <w:tcPr>
            <w:tcW w:w="1502" w:type="dxa"/>
            <w:tcBorders>
              <w:top w:val="nil"/>
              <w:left w:val="nil"/>
              <w:bottom w:val="single" w:sz="4" w:space="0" w:color="auto"/>
              <w:right w:val="nil"/>
            </w:tcBorders>
            <w:vAlign w:val="center"/>
            <w:hideMark/>
          </w:tcPr>
          <w:p w14:paraId="46FA9D9B" w14:textId="77777777" w:rsidR="009F556F" w:rsidRPr="00E2677B" w:rsidRDefault="009F556F">
            <w:pPr>
              <w:rPr>
                <w:rFonts w:ascii="Arial" w:hAnsi="Arial" w:cs="Arial"/>
                <w:sz w:val="20"/>
                <w:szCs w:val="24"/>
              </w:rPr>
            </w:pPr>
            <w:r w:rsidRPr="00E2677B">
              <w:rPr>
                <w:rFonts w:ascii="Arial" w:hAnsi="Arial" w:cs="Arial"/>
                <w:sz w:val="20"/>
                <w:szCs w:val="24"/>
              </w:rPr>
              <w:lastRenderedPageBreak/>
              <w:t>Total</w:t>
            </w:r>
          </w:p>
        </w:tc>
        <w:tc>
          <w:tcPr>
            <w:tcW w:w="1502" w:type="dxa"/>
            <w:tcBorders>
              <w:top w:val="nil"/>
              <w:left w:val="nil"/>
              <w:bottom w:val="single" w:sz="4" w:space="0" w:color="auto"/>
              <w:right w:val="nil"/>
            </w:tcBorders>
            <w:vAlign w:val="center"/>
            <w:hideMark/>
          </w:tcPr>
          <w:p w14:paraId="177D288A" w14:textId="77777777" w:rsidR="009F556F" w:rsidRPr="00E2677B" w:rsidRDefault="009F556F">
            <w:pPr>
              <w:jc w:val="center"/>
              <w:rPr>
                <w:rFonts w:ascii="Arial" w:hAnsi="Arial" w:cs="Arial"/>
                <w:sz w:val="20"/>
                <w:szCs w:val="24"/>
              </w:rPr>
            </w:pPr>
            <w:r w:rsidRPr="00E2677B">
              <w:rPr>
                <w:rFonts w:ascii="Arial" w:hAnsi="Arial" w:cs="Arial"/>
                <w:sz w:val="20"/>
                <w:szCs w:val="24"/>
              </w:rPr>
              <w:t>39</w:t>
            </w:r>
          </w:p>
        </w:tc>
        <w:tc>
          <w:tcPr>
            <w:tcW w:w="1503" w:type="dxa"/>
            <w:tcBorders>
              <w:top w:val="nil"/>
              <w:left w:val="nil"/>
              <w:bottom w:val="single" w:sz="4" w:space="0" w:color="auto"/>
              <w:right w:val="nil"/>
            </w:tcBorders>
            <w:vAlign w:val="center"/>
            <w:hideMark/>
          </w:tcPr>
          <w:p w14:paraId="3788F8D2"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0.24377</w:t>
            </w:r>
          </w:p>
        </w:tc>
        <w:tc>
          <w:tcPr>
            <w:tcW w:w="1503" w:type="dxa"/>
            <w:tcBorders>
              <w:top w:val="nil"/>
              <w:left w:val="nil"/>
              <w:bottom w:val="single" w:sz="4" w:space="0" w:color="auto"/>
              <w:right w:val="nil"/>
            </w:tcBorders>
            <w:vAlign w:val="center"/>
          </w:tcPr>
          <w:p w14:paraId="1CBE5D18" w14:textId="77777777" w:rsidR="009F556F" w:rsidRPr="00E2677B"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4E061C2A" w14:textId="77777777" w:rsidR="009F556F" w:rsidRPr="00E2677B"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5B7344CF" w14:textId="77777777" w:rsidR="009F556F" w:rsidRPr="00E2677B" w:rsidRDefault="009F556F" w:rsidP="00E2677B">
            <w:pPr>
              <w:jc w:val="center"/>
              <w:rPr>
                <w:rFonts w:ascii="Arial" w:hAnsi="Arial" w:cs="Arial"/>
                <w:sz w:val="20"/>
                <w:szCs w:val="24"/>
              </w:rPr>
            </w:pPr>
          </w:p>
        </w:tc>
      </w:tr>
    </w:tbl>
    <w:p w14:paraId="1FC9D870" w14:textId="77777777" w:rsidR="009F556F" w:rsidRDefault="009F556F" w:rsidP="00441B6F">
      <w:pPr>
        <w:jc w:val="both"/>
        <w:rPr>
          <w:rFonts w:ascii="Arial" w:hAnsi="Arial" w:cs="Arial"/>
          <w:u w:val="single"/>
          <w:lang w:val="en-GB" w:eastAsia="en-GB"/>
        </w:rPr>
      </w:pPr>
    </w:p>
    <w:p w14:paraId="1D80F7E9" w14:textId="77777777" w:rsidR="00E2677B" w:rsidRPr="00E2677B" w:rsidRDefault="00E2677B" w:rsidP="00E2677B">
      <w:pPr>
        <w:pStyle w:val="Body"/>
        <w:rPr>
          <w:rFonts w:ascii="Arial" w:hAnsi="Arial" w:cs="Arial"/>
          <w:b/>
          <w:sz w:val="22"/>
          <w:lang w:val="en-IN"/>
        </w:rPr>
      </w:pPr>
      <w:r>
        <w:rPr>
          <w:rFonts w:ascii="Arial" w:hAnsi="Arial" w:cs="Arial"/>
          <w:b/>
          <w:sz w:val="22"/>
          <w:lang w:val="en-IN"/>
        </w:rPr>
        <w:t>3.3</w:t>
      </w:r>
      <w:r w:rsidRPr="009F556F">
        <w:rPr>
          <w:rFonts w:ascii="Arial" w:hAnsi="Arial" w:cs="Arial"/>
          <w:b/>
          <w:sz w:val="22"/>
          <w:lang w:val="en-IN"/>
        </w:rPr>
        <w:t xml:space="preserve"> </w:t>
      </w:r>
      <w:r w:rsidRPr="00E2677B">
        <w:rPr>
          <w:rFonts w:ascii="Arial" w:hAnsi="Arial" w:cs="Arial"/>
          <w:b/>
          <w:sz w:val="22"/>
          <w:lang w:val="en-IN"/>
        </w:rPr>
        <w:t>d</w:t>
      </w:r>
      <w:r w:rsidRPr="00E2677B">
        <w:rPr>
          <w:rFonts w:ascii="Arial" w:hAnsi="Arial" w:cs="Arial"/>
          <w:b/>
          <w:sz w:val="22"/>
          <w:vertAlign w:val="subscript"/>
          <w:lang w:val="en-IN"/>
        </w:rPr>
        <w:t xml:space="preserve">84 </w:t>
      </w:r>
      <w:r w:rsidRPr="00E2677B">
        <w:rPr>
          <w:rFonts w:ascii="Arial" w:hAnsi="Arial" w:cs="Arial"/>
          <w:b/>
          <w:sz w:val="22"/>
          <w:lang w:val="en-IN"/>
        </w:rPr>
        <w:t xml:space="preserve">Granule Size Index </w:t>
      </w:r>
    </w:p>
    <w:p w14:paraId="77B37A76" w14:textId="77777777" w:rsidR="00E2677B" w:rsidRPr="00E2677B" w:rsidRDefault="00E2677B" w:rsidP="00E2677B">
      <w:pPr>
        <w:pStyle w:val="Body"/>
        <w:rPr>
          <w:rFonts w:ascii="Arial" w:hAnsi="Arial" w:cs="Arial"/>
          <w:lang w:val="en-IN"/>
        </w:rPr>
      </w:pPr>
      <w:r w:rsidRPr="00E2677B">
        <w:rPr>
          <w:rFonts w:ascii="Arial" w:hAnsi="Arial" w:cs="Arial"/>
          <w:lang w:val="en-IN"/>
        </w:rPr>
        <w:t>The d</w:t>
      </w:r>
      <w:r w:rsidRPr="00E2677B">
        <w:rPr>
          <w:rFonts w:ascii="Arial" w:hAnsi="Arial" w:cs="Arial"/>
          <w:vertAlign w:val="subscript"/>
          <w:lang w:val="en-IN"/>
        </w:rPr>
        <w:t>84</w:t>
      </w:r>
      <w:r w:rsidRPr="00E2677B">
        <w:rPr>
          <w:rFonts w:ascii="Arial" w:hAnsi="Arial" w:cs="Arial"/>
          <w:b/>
          <w:vertAlign w:val="subscript"/>
          <w:lang w:val="en-IN"/>
        </w:rPr>
        <w:t xml:space="preserve"> </w:t>
      </w:r>
      <w:r w:rsidRPr="00E2677B">
        <w:rPr>
          <w:rFonts w:ascii="Arial" w:hAnsi="Arial" w:cs="Arial"/>
          <w:lang w:val="en-IN"/>
        </w:rPr>
        <w:t>values of the ten urea samples ranged from 1.311 mm to 1.484 mm, indicating moderate variability among the manufacturers in the upper portion of the granule size distribution. The CV values for d</w:t>
      </w:r>
      <w:r w:rsidRPr="00E2677B">
        <w:rPr>
          <w:rFonts w:ascii="Arial" w:hAnsi="Arial" w:cs="Arial"/>
          <w:vertAlign w:val="subscript"/>
          <w:lang w:val="en-IN"/>
        </w:rPr>
        <w:t xml:space="preserve">84 </w:t>
      </w:r>
      <w:r w:rsidRPr="00E2677B">
        <w:rPr>
          <w:rFonts w:ascii="Arial" w:hAnsi="Arial" w:cs="Arial"/>
          <w:lang w:val="en-IN"/>
        </w:rPr>
        <w:t>were relatively low, ranging from 0.07% to 0.76%, suggesting that the larger granule fractions were generally consistent within each manufacturer's product. As illustrated in Fig. 4, the minimum d</w:t>
      </w:r>
      <w:r w:rsidRPr="00E2677B">
        <w:rPr>
          <w:rFonts w:ascii="Arial" w:hAnsi="Arial" w:cs="Arial"/>
          <w:vertAlign w:val="subscript"/>
          <w:lang w:val="en-IN"/>
        </w:rPr>
        <w:t xml:space="preserve">84 </w:t>
      </w:r>
      <w:r w:rsidRPr="00E2677B">
        <w:rPr>
          <w:rFonts w:ascii="Arial" w:hAnsi="Arial" w:cs="Arial"/>
          <w:lang w:val="en-IN"/>
        </w:rPr>
        <w:t>value was recorded for Sample III, whereas the maximum d</w:t>
      </w:r>
      <w:r w:rsidRPr="00E2677B">
        <w:rPr>
          <w:rFonts w:ascii="Arial" w:hAnsi="Arial" w:cs="Arial"/>
          <w:vertAlign w:val="subscript"/>
          <w:lang w:val="en-IN"/>
        </w:rPr>
        <w:t xml:space="preserve">84 </w:t>
      </w:r>
      <w:r w:rsidRPr="00E2677B">
        <w:rPr>
          <w:rFonts w:ascii="Arial" w:hAnsi="Arial" w:cs="Arial"/>
          <w:lang w:val="en-IN"/>
        </w:rPr>
        <w:t>value was observed for Sample IX.</w:t>
      </w:r>
    </w:p>
    <w:p w14:paraId="3B6DF262" w14:textId="77777777" w:rsidR="00E2677B" w:rsidRPr="00E2677B" w:rsidRDefault="00E2677B" w:rsidP="00E2677B">
      <w:pPr>
        <w:pStyle w:val="Body"/>
        <w:rPr>
          <w:rFonts w:ascii="Arial" w:hAnsi="Arial" w:cs="Arial"/>
          <w:lang w:val="en-IN"/>
        </w:rPr>
      </w:pPr>
      <w:r w:rsidRPr="00E2677B">
        <w:rPr>
          <w:rFonts w:ascii="Arial" w:hAnsi="Arial" w:cs="Arial"/>
          <w:lang w:val="en-IN"/>
        </w:rPr>
        <w:t>The results of the one-way ANOVA for d</w:t>
      </w:r>
      <w:r w:rsidRPr="00E2677B">
        <w:rPr>
          <w:rFonts w:ascii="Arial" w:hAnsi="Arial" w:cs="Arial"/>
          <w:vertAlign w:val="subscript"/>
          <w:lang w:val="en-IN"/>
        </w:rPr>
        <w:t>84</w:t>
      </w:r>
      <w:r w:rsidRPr="00E2677B">
        <w:rPr>
          <w:rFonts w:ascii="Arial" w:hAnsi="Arial" w:cs="Arial"/>
          <w:lang w:val="en-IN"/>
        </w:rPr>
        <w:t xml:space="preserve"> presented in Table 3 showed that, at the 0.05 significance level, the differences in mean d</w:t>
      </w:r>
      <w:r w:rsidRPr="00E2677B">
        <w:rPr>
          <w:rFonts w:ascii="Arial" w:hAnsi="Arial" w:cs="Arial"/>
          <w:vertAlign w:val="subscript"/>
          <w:lang w:val="en-IN"/>
        </w:rPr>
        <w:t xml:space="preserve">84 </w:t>
      </w:r>
      <w:r w:rsidRPr="00E2677B">
        <w:rPr>
          <w:rFonts w:ascii="Arial" w:hAnsi="Arial" w:cs="Arial"/>
          <w:lang w:val="en-IN"/>
        </w:rPr>
        <w:t>values across the ten manufacturers were statistically significant, indicating non-uniformity in the coarser granule size characteristics among the brands. A subsequent Tukey post-hoc test revealed that 39 out of the 45 possible manufacturer pair comparisons exhibited significant differences at the 0.05 level. The high number of significant pairwise differences confirm substantial variability in the d</w:t>
      </w:r>
      <w:r w:rsidRPr="00E2677B">
        <w:rPr>
          <w:rFonts w:ascii="Arial" w:hAnsi="Arial" w:cs="Arial"/>
          <w:vertAlign w:val="subscript"/>
          <w:lang w:val="en-IN"/>
        </w:rPr>
        <w:t xml:space="preserve">84 </w:t>
      </w:r>
      <w:r w:rsidRPr="00E2677B">
        <w:rPr>
          <w:rFonts w:ascii="Arial" w:hAnsi="Arial" w:cs="Arial"/>
          <w:lang w:val="en-IN"/>
        </w:rPr>
        <w:t>granule size index among commercially available urea fertilizers in India.</w:t>
      </w:r>
    </w:p>
    <w:p w14:paraId="03F87AA3" w14:textId="77777777" w:rsidR="00E2677B" w:rsidRDefault="00E2677B" w:rsidP="00E2677B">
      <w:pPr>
        <w:pStyle w:val="NormalWeb"/>
        <w:spacing w:line="360" w:lineRule="auto"/>
        <w:jc w:val="center"/>
        <w:rPr>
          <w:b/>
          <w:vertAlign w:val="subscript"/>
        </w:rPr>
      </w:pPr>
      <w:r>
        <w:rPr>
          <w:b/>
          <w:noProof/>
          <w:vertAlign w:val="subscript"/>
          <w:lang w:val="en-IN" w:eastAsia="en-IN"/>
        </w:rPr>
        <w:drawing>
          <wp:inline distT="0" distB="0" distL="0" distR="0" wp14:anchorId="05EDEBAD" wp14:editId="1376F2ED">
            <wp:extent cx="5525770" cy="3495040"/>
            <wp:effectExtent l="0" t="0" r="0" b="0"/>
            <wp:docPr id="6" name="Picture 6" descr="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5770" cy="3495040"/>
                    </a:xfrm>
                    <a:prstGeom prst="rect">
                      <a:avLst/>
                    </a:prstGeom>
                    <a:noFill/>
                    <a:ln>
                      <a:noFill/>
                    </a:ln>
                  </pic:spPr>
                </pic:pic>
              </a:graphicData>
            </a:graphic>
          </wp:inline>
        </w:drawing>
      </w:r>
    </w:p>
    <w:p w14:paraId="6E857B4E" w14:textId="77777777" w:rsidR="00E2677B" w:rsidRPr="00E2677B" w:rsidRDefault="00E2677B" w:rsidP="00E2677B">
      <w:pPr>
        <w:pStyle w:val="NormalWeb"/>
        <w:spacing w:line="360" w:lineRule="auto"/>
        <w:jc w:val="center"/>
        <w:rPr>
          <w:rFonts w:ascii="Arial" w:hAnsi="Arial" w:cs="Arial"/>
          <w:b/>
          <w:sz w:val="20"/>
        </w:rPr>
      </w:pPr>
      <w:r w:rsidRPr="00E2677B">
        <w:rPr>
          <w:rFonts w:ascii="Arial" w:hAnsi="Arial" w:cs="Arial"/>
          <w:b/>
          <w:sz w:val="20"/>
        </w:rPr>
        <w:t>Fig. 4 d</w:t>
      </w:r>
      <w:r w:rsidRPr="00E2677B">
        <w:rPr>
          <w:rFonts w:ascii="Arial" w:hAnsi="Arial" w:cs="Arial"/>
          <w:b/>
          <w:sz w:val="20"/>
          <w:vertAlign w:val="subscript"/>
        </w:rPr>
        <w:t>84</w:t>
      </w:r>
      <w:r w:rsidRPr="00E2677B">
        <w:rPr>
          <w:rFonts w:ascii="Arial" w:hAnsi="Arial" w:cs="Arial"/>
          <w:b/>
          <w:sz w:val="20"/>
        </w:rPr>
        <w:t xml:space="preserve"> Granule Size Index for Urea Samples</w:t>
      </w:r>
    </w:p>
    <w:p w14:paraId="11D8531A" w14:textId="77777777" w:rsidR="00E2677B" w:rsidRPr="00E2677B" w:rsidRDefault="00E2677B" w:rsidP="00E2677B">
      <w:pPr>
        <w:pStyle w:val="NormalWeb"/>
        <w:spacing w:line="360" w:lineRule="auto"/>
        <w:jc w:val="both"/>
        <w:rPr>
          <w:rFonts w:ascii="Arial" w:hAnsi="Arial" w:cs="Arial"/>
          <w:b/>
          <w:sz w:val="20"/>
        </w:rPr>
      </w:pPr>
      <w:r w:rsidRPr="00E2677B">
        <w:rPr>
          <w:rFonts w:ascii="Arial" w:hAnsi="Arial" w:cs="Arial"/>
          <w:b/>
          <w:sz w:val="20"/>
        </w:rPr>
        <w:t>Table 3: One-Way ANOVA for d</w:t>
      </w:r>
      <w:r w:rsidRPr="00E2677B">
        <w:rPr>
          <w:rFonts w:ascii="Arial" w:hAnsi="Arial" w:cs="Arial"/>
          <w:b/>
          <w:sz w:val="20"/>
          <w:vertAlign w:val="subscript"/>
        </w:rPr>
        <w:t>84</w:t>
      </w:r>
      <w:r w:rsidRPr="00E2677B">
        <w:rPr>
          <w:rFonts w:ascii="Arial" w:hAnsi="Arial" w:cs="Arial"/>
          <w:sz w:val="20"/>
          <w:vertAlign w:val="subscript"/>
        </w:rPr>
        <w:t xml:space="preserve"> </w:t>
      </w:r>
      <w:r w:rsidRPr="00E2677B">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321"/>
        <w:gridCol w:w="1419"/>
        <w:gridCol w:w="1438"/>
        <w:gridCol w:w="1417"/>
        <w:gridCol w:w="1403"/>
      </w:tblGrid>
      <w:tr w:rsidR="00E2677B" w:rsidRPr="00E2677B" w14:paraId="441638A5" w14:textId="77777777" w:rsidTr="00E2677B">
        <w:trPr>
          <w:trHeight w:val="699"/>
        </w:trPr>
        <w:tc>
          <w:tcPr>
            <w:tcW w:w="1502" w:type="dxa"/>
            <w:tcBorders>
              <w:top w:val="single" w:sz="4" w:space="0" w:color="auto"/>
              <w:left w:val="nil"/>
              <w:bottom w:val="single" w:sz="4" w:space="0" w:color="auto"/>
              <w:right w:val="nil"/>
            </w:tcBorders>
            <w:vAlign w:val="center"/>
            <w:hideMark/>
          </w:tcPr>
          <w:p w14:paraId="32F8D859" w14:textId="77777777" w:rsidR="00E2677B" w:rsidRPr="00E2677B" w:rsidRDefault="00E2677B">
            <w:pPr>
              <w:jc w:val="center"/>
              <w:rPr>
                <w:rFonts w:ascii="Arial" w:hAnsi="Arial" w:cs="Arial"/>
                <w:b/>
                <w:sz w:val="20"/>
                <w:szCs w:val="24"/>
              </w:rPr>
            </w:pPr>
            <w:r w:rsidRPr="00E2677B">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0F90A840" w14:textId="77777777" w:rsidR="00E2677B" w:rsidRPr="00E2677B" w:rsidRDefault="00E2677B">
            <w:pPr>
              <w:jc w:val="center"/>
              <w:rPr>
                <w:rFonts w:ascii="Arial" w:hAnsi="Arial" w:cs="Arial"/>
                <w:b/>
                <w:sz w:val="20"/>
                <w:szCs w:val="24"/>
              </w:rPr>
            </w:pPr>
            <w:r w:rsidRPr="00E2677B">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3B935187" w14:textId="77777777" w:rsidR="00E2677B" w:rsidRPr="00E2677B" w:rsidRDefault="00E2677B">
            <w:pPr>
              <w:jc w:val="center"/>
              <w:rPr>
                <w:rFonts w:ascii="Arial" w:hAnsi="Arial" w:cs="Arial"/>
                <w:b/>
                <w:sz w:val="20"/>
                <w:szCs w:val="24"/>
              </w:rPr>
            </w:pPr>
            <w:r w:rsidRPr="00E2677B">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1DAB7D50" w14:textId="77777777" w:rsidR="00E2677B" w:rsidRPr="00E2677B" w:rsidRDefault="00E2677B">
            <w:pPr>
              <w:jc w:val="center"/>
              <w:rPr>
                <w:rFonts w:ascii="Arial" w:hAnsi="Arial" w:cs="Arial"/>
                <w:b/>
                <w:sz w:val="20"/>
                <w:szCs w:val="24"/>
              </w:rPr>
            </w:pPr>
            <w:r w:rsidRPr="00E2677B">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56F334A9" w14:textId="77777777" w:rsidR="00E2677B" w:rsidRPr="00E2677B" w:rsidRDefault="00E2677B">
            <w:pPr>
              <w:jc w:val="center"/>
              <w:rPr>
                <w:rFonts w:ascii="Arial" w:hAnsi="Arial" w:cs="Arial"/>
                <w:b/>
                <w:sz w:val="20"/>
                <w:szCs w:val="24"/>
              </w:rPr>
            </w:pPr>
            <w:r w:rsidRPr="00E2677B">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4B3825FD" w14:textId="77777777" w:rsidR="00E2677B" w:rsidRPr="00E2677B" w:rsidRDefault="00E2677B">
            <w:pPr>
              <w:jc w:val="center"/>
              <w:rPr>
                <w:rFonts w:ascii="Arial" w:hAnsi="Arial" w:cs="Arial"/>
                <w:b/>
                <w:sz w:val="20"/>
                <w:szCs w:val="24"/>
              </w:rPr>
            </w:pPr>
            <w:r w:rsidRPr="00E2677B">
              <w:rPr>
                <w:rFonts w:ascii="Arial" w:hAnsi="Arial" w:cs="Arial"/>
                <w:b/>
                <w:sz w:val="20"/>
                <w:szCs w:val="24"/>
              </w:rPr>
              <w:t>Tabular F (5%)</w:t>
            </w:r>
          </w:p>
        </w:tc>
      </w:tr>
      <w:tr w:rsidR="00E2677B" w:rsidRPr="00E2677B" w14:paraId="293EA0E6" w14:textId="77777777" w:rsidTr="00E2677B">
        <w:trPr>
          <w:trHeight w:val="397"/>
        </w:trPr>
        <w:tc>
          <w:tcPr>
            <w:tcW w:w="1502" w:type="dxa"/>
            <w:tcBorders>
              <w:top w:val="single" w:sz="4" w:space="0" w:color="auto"/>
              <w:left w:val="nil"/>
              <w:bottom w:val="nil"/>
              <w:right w:val="nil"/>
            </w:tcBorders>
            <w:vAlign w:val="center"/>
            <w:hideMark/>
          </w:tcPr>
          <w:p w14:paraId="2387F4B3" w14:textId="77777777" w:rsidR="00E2677B" w:rsidRPr="00E2677B" w:rsidRDefault="00E2677B">
            <w:pPr>
              <w:rPr>
                <w:rFonts w:ascii="Arial" w:hAnsi="Arial" w:cs="Arial"/>
                <w:sz w:val="20"/>
                <w:szCs w:val="24"/>
              </w:rPr>
            </w:pPr>
            <w:r w:rsidRPr="00E2677B">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31C339F1" w14:textId="77777777" w:rsidR="00E2677B" w:rsidRPr="00E2677B" w:rsidRDefault="00E2677B">
            <w:pPr>
              <w:jc w:val="center"/>
              <w:rPr>
                <w:rFonts w:ascii="Arial" w:hAnsi="Arial" w:cs="Arial"/>
                <w:sz w:val="20"/>
                <w:szCs w:val="24"/>
              </w:rPr>
            </w:pPr>
            <w:r w:rsidRPr="00E2677B">
              <w:rPr>
                <w:rFonts w:ascii="Arial" w:hAnsi="Arial" w:cs="Arial"/>
                <w:sz w:val="20"/>
                <w:szCs w:val="24"/>
              </w:rPr>
              <w:t>9</w:t>
            </w:r>
          </w:p>
        </w:tc>
        <w:tc>
          <w:tcPr>
            <w:tcW w:w="1503" w:type="dxa"/>
            <w:tcBorders>
              <w:top w:val="single" w:sz="4" w:space="0" w:color="auto"/>
              <w:left w:val="nil"/>
              <w:bottom w:val="nil"/>
              <w:right w:val="nil"/>
            </w:tcBorders>
            <w:vAlign w:val="center"/>
            <w:hideMark/>
          </w:tcPr>
          <w:p w14:paraId="29928DE5"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0.09569</w:t>
            </w:r>
          </w:p>
        </w:tc>
        <w:tc>
          <w:tcPr>
            <w:tcW w:w="1503" w:type="dxa"/>
            <w:tcBorders>
              <w:top w:val="single" w:sz="4" w:space="0" w:color="auto"/>
              <w:left w:val="nil"/>
              <w:bottom w:val="nil"/>
              <w:right w:val="nil"/>
            </w:tcBorders>
            <w:vAlign w:val="center"/>
            <w:hideMark/>
          </w:tcPr>
          <w:p w14:paraId="765A5EA2"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0.01063</w:t>
            </w:r>
          </w:p>
        </w:tc>
        <w:tc>
          <w:tcPr>
            <w:tcW w:w="1503" w:type="dxa"/>
            <w:tcBorders>
              <w:top w:val="single" w:sz="4" w:space="0" w:color="auto"/>
              <w:left w:val="nil"/>
              <w:bottom w:val="nil"/>
              <w:right w:val="nil"/>
            </w:tcBorders>
            <w:vAlign w:val="center"/>
            <w:hideMark/>
          </w:tcPr>
          <w:p w14:paraId="03ED61E5"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484.206*</w:t>
            </w:r>
          </w:p>
        </w:tc>
        <w:tc>
          <w:tcPr>
            <w:tcW w:w="1503" w:type="dxa"/>
            <w:tcBorders>
              <w:top w:val="single" w:sz="4" w:space="0" w:color="auto"/>
              <w:left w:val="nil"/>
              <w:bottom w:val="nil"/>
              <w:right w:val="nil"/>
            </w:tcBorders>
            <w:vAlign w:val="center"/>
            <w:hideMark/>
          </w:tcPr>
          <w:p w14:paraId="44D1372D"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2.21</w:t>
            </w:r>
          </w:p>
        </w:tc>
      </w:tr>
      <w:tr w:rsidR="00E2677B" w:rsidRPr="00E2677B" w14:paraId="6D456783" w14:textId="77777777" w:rsidTr="00E2677B">
        <w:trPr>
          <w:trHeight w:val="397"/>
        </w:trPr>
        <w:tc>
          <w:tcPr>
            <w:tcW w:w="1502" w:type="dxa"/>
            <w:vAlign w:val="center"/>
            <w:hideMark/>
          </w:tcPr>
          <w:p w14:paraId="62AF7271" w14:textId="77777777" w:rsidR="00E2677B" w:rsidRPr="00E2677B" w:rsidRDefault="00E2677B">
            <w:pPr>
              <w:rPr>
                <w:rFonts w:ascii="Arial" w:hAnsi="Arial" w:cs="Arial"/>
                <w:sz w:val="20"/>
                <w:szCs w:val="24"/>
              </w:rPr>
            </w:pPr>
            <w:r w:rsidRPr="00E2677B">
              <w:rPr>
                <w:rFonts w:ascii="Arial" w:hAnsi="Arial" w:cs="Arial"/>
                <w:sz w:val="20"/>
                <w:szCs w:val="24"/>
              </w:rPr>
              <w:lastRenderedPageBreak/>
              <w:t>Error</w:t>
            </w:r>
          </w:p>
        </w:tc>
        <w:tc>
          <w:tcPr>
            <w:tcW w:w="1502" w:type="dxa"/>
            <w:vAlign w:val="center"/>
            <w:hideMark/>
          </w:tcPr>
          <w:p w14:paraId="7FC63F8D" w14:textId="77777777" w:rsidR="00E2677B" w:rsidRPr="00E2677B" w:rsidRDefault="00E2677B">
            <w:pPr>
              <w:jc w:val="center"/>
              <w:rPr>
                <w:rFonts w:ascii="Arial" w:hAnsi="Arial" w:cs="Arial"/>
                <w:sz w:val="20"/>
                <w:szCs w:val="24"/>
              </w:rPr>
            </w:pPr>
            <w:r w:rsidRPr="00E2677B">
              <w:rPr>
                <w:rFonts w:ascii="Arial" w:hAnsi="Arial" w:cs="Arial"/>
                <w:sz w:val="20"/>
                <w:szCs w:val="24"/>
              </w:rPr>
              <w:t>30</w:t>
            </w:r>
          </w:p>
        </w:tc>
        <w:tc>
          <w:tcPr>
            <w:tcW w:w="1503" w:type="dxa"/>
            <w:vAlign w:val="center"/>
            <w:hideMark/>
          </w:tcPr>
          <w:p w14:paraId="7380F0A4"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6.5875E-4</w:t>
            </w:r>
          </w:p>
        </w:tc>
        <w:tc>
          <w:tcPr>
            <w:tcW w:w="1503" w:type="dxa"/>
            <w:vAlign w:val="center"/>
            <w:hideMark/>
          </w:tcPr>
          <w:p w14:paraId="349CBD7D"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2.19583E-5</w:t>
            </w:r>
          </w:p>
        </w:tc>
        <w:tc>
          <w:tcPr>
            <w:tcW w:w="1503" w:type="dxa"/>
            <w:vAlign w:val="center"/>
          </w:tcPr>
          <w:p w14:paraId="7C1E2C43" w14:textId="77777777" w:rsidR="00E2677B" w:rsidRPr="00E2677B" w:rsidRDefault="00E2677B" w:rsidP="00E2677B">
            <w:pPr>
              <w:jc w:val="center"/>
              <w:rPr>
                <w:rFonts w:ascii="Arial" w:hAnsi="Arial" w:cs="Arial"/>
                <w:sz w:val="20"/>
                <w:szCs w:val="24"/>
              </w:rPr>
            </w:pPr>
          </w:p>
        </w:tc>
        <w:tc>
          <w:tcPr>
            <w:tcW w:w="1503" w:type="dxa"/>
            <w:vAlign w:val="center"/>
          </w:tcPr>
          <w:p w14:paraId="2C950DF6" w14:textId="77777777" w:rsidR="00E2677B" w:rsidRPr="00E2677B" w:rsidRDefault="00E2677B" w:rsidP="00E2677B">
            <w:pPr>
              <w:jc w:val="center"/>
              <w:rPr>
                <w:rFonts w:ascii="Arial" w:hAnsi="Arial" w:cs="Arial"/>
                <w:sz w:val="20"/>
                <w:szCs w:val="24"/>
              </w:rPr>
            </w:pPr>
          </w:p>
        </w:tc>
      </w:tr>
      <w:tr w:rsidR="00E2677B" w:rsidRPr="00E2677B" w14:paraId="6374E78F" w14:textId="77777777" w:rsidTr="00E2677B">
        <w:trPr>
          <w:trHeight w:val="397"/>
        </w:trPr>
        <w:tc>
          <w:tcPr>
            <w:tcW w:w="1502" w:type="dxa"/>
            <w:tcBorders>
              <w:top w:val="nil"/>
              <w:left w:val="nil"/>
              <w:bottom w:val="single" w:sz="4" w:space="0" w:color="auto"/>
              <w:right w:val="nil"/>
            </w:tcBorders>
            <w:vAlign w:val="center"/>
            <w:hideMark/>
          </w:tcPr>
          <w:p w14:paraId="1AA101EE" w14:textId="77777777" w:rsidR="00E2677B" w:rsidRPr="00E2677B" w:rsidRDefault="00E2677B">
            <w:pPr>
              <w:rPr>
                <w:rFonts w:ascii="Arial" w:hAnsi="Arial" w:cs="Arial"/>
                <w:sz w:val="20"/>
                <w:szCs w:val="24"/>
              </w:rPr>
            </w:pPr>
            <w:r w:rsidRPr="00E2677B">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2DD3CC52" w14:textId="77777777" w:rsidR="00E2677B" w:rsidRPr="00E2677B" w:rsidRDefault="00E2677B">
            <w:pPr>
              <w:jc w:val="center"/>
              <w:rPr>
                <w:rFonts w:ascii="Arial" w:hAnsi="Arial" w:cs="Arial"/>
                <w:sz w:val="20"/>
                <w:szCs w:val="24"/>
              </w:rPr>
            </w:pPr>
            <w:r w:rsidRPr="00E2677B">
              <w:rPr>
                <w:rFonts w:ascii="Arial" w:hAnsi="Arial" w:cs="Arial"/>
                <w:sz w:val="20"/>
                <w:szCs w:val="24"/>
              </w:rPr>
              <w:t>39</w:t>
            </w:r>
          </w:p>
        </w:tc>
        <w:tc>
          <w:tcPr>
            <w:tcW w:w="1503" w:type="dxa"/>
            <w:tcBorders>
              <w:top w:val="nil"/>
              <w:left w:val="nil"/>
              <w:bottom w:val="single" w:sz="4" w:space="0" w:color="auto"/>
              <w:right w:val="nil"/>
            </w:tcBorders>
            <w:vAlign w:val="center"/>
            <w:hideMark/>
          </w:tcPr>
          <w:p w14:paraId="31523CDB"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0.09635</w:t>
            </w:r>
          </w:p>
        </w:tc>
        <w:tc>
          <w:tcPr>
            <w:tcW w:w="1503" w:type="dxa"/>
            <w:tcBorders>
              <w:top w:val="nil"/>
              <w:left w:val="nil"/>
              <w:bottom w:val="single" w:sz="4" w:space="0" w:color="auto"/>
              <w:right w:val="nil"/>
            </w:tcBorders>
            <w:vAlign w:val="center"/>
          </w:tcPr>
          <w:p w14:paraId="3AF579F2"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76541154"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1229AA3F" w14:textId="77777777" w:rsidR="00E2677B" w:rsidRPr="00E2677B" w:rsidRDefault="00E2677B" w:rsidP="00E2677B">
            <w:pPr>
              <w:jc w:val="center"/>
              <w:rPr>
                <w:rFonts w:ascii="Arial" w:hAnsi="Arial" w:cs="Arial"/>
                <w:sz w:val="20"/>
                <w:szCs w:val="24"/>
              </w:rPr>
            </w:pPr>
          </w:p>
        </w:tc>
      </w:tr>
    </w:tbl>
    <w:p w14:paraId="16E44D64" w14:textId="77777777" w:rsidR="00E2677B" w:rsidRPr="00E2677B" w:rsidRDefault="00E2677B" w:rsidP="00E2677B">
      <w:pPr>
        <w:pStyle w:val="NormalWeb"/>
        <w:spacing w:line="360" w:lineRule="auto"/>
        <w:jc w:val="both"/>
        <w:rPr>
          <w:b/>
          <w:lang w:eastAsia="en-IN"/>
        </w:rPr>
      </w:pPr>
    </w:p>
    <w:p w14:paraId="4F79B325" w14:textId="77777777" w:rsidR="00E2677B" w:rsidRPr="00E2677B" w:rsidRDefault="00E2677B" w:rsidP="00E2677B">
      <w:pPr>
        <w:pStyle w:val="Body"/>
        <w:rPr>
          <w:rFonts w:ascii="Arial" w:hAnsi="Arial" w:cs="Arial"/>
          <w:b/>
          <w:sz w:val="22"/>
          <w:lang w:val="en-IN"/>
        </w:rPr>
      </w:pPr>
      <w:r>
        <w:rPr>
          <w:rFonts w:ascii="Arial" w:hAnsi="Arial" w:cs="Arial"/>
          <w:b/>
          <w:sz w:val="22"/>
          <w:lang w:val="en-IN"/>
        </w:rPr>
        <w:t>3.4</w:t>
      </w:r>
      <w:r w:rsidRPr="009F556F">
        <w:rPr>
          <w:rFonts w:ascii="Arial" w:hAnsi="Arial" w:cs="Arial"/>
          <w:b/>
          <w:sz w:val="22"/>
          <w:lang w:val="en-IN"/>
        </w:rPr>
        <w:t xml:space="preserve"> </w:t>
      </w:r>
      <w:r w:rsidRPr="00E2677B">
        <w:rPr>
          <w:rFonts w:ascii="Arial" w:hAnsi="Arial" w:cs="Arial"/>
          <w:b/>
          <w:sz w:val="22"/>
          <w:lang w:val="en-IN"/>
        </w:rPr>
        <w:t>d</w:t>
      </w:r>
      <w:r w:rsidRPr="00E2677B">
        <w:rPr>
          <w:rFonts w:ascii="Arial" w:hAnsi="Arial" w:cs="Arial"/>
          <w:b/>
          <w:sz w:val="22"/>
          <w:vertAlign w:val="subscript"/>
          <w:lang w:val="en-IN"/>
        </w:rPr>
        <w:t xml:space="preserve">90 </w:t>
      </w:r>
      <w:r w:rsidRPr="00E2677B">
        <w:rPr>
          <w:rFonts w:ascii="Arial" w:hAnsi="Arial" w:cs="Arial"/>
          <w:b/>
          <w:sz w:val="22"/>
          <w:lang w:val="en-IN"/>
        </w:rPr>
        <w:t xml:space="preserve">Granule Size Index </w:t>
      </w:r>
    </w:p>
    <w:p w14:paraId="0ADA66AA" w14:textId="77777777" w:rsidR="00E2677B" w:rsidRPr="00E2677B" w:rsidRDefault="00E2677B" w:rsidP="00E2677B">
      <w:pPr>
        <w:pStyle w:val="Body"/>
        <w:rPr>
          <w:rFonts w:ascii="Arial" w:hAnsi="Arial" w:cs="Arial"/>
          <w:lang w:val="en-IN"/>
        </w:rPr>
      </w:pPr>
      <w:r w:rsidRPr="00E2677B">
        <w:rPr>
          <w:rFonts w:ascii="Arial" w:hAnsi="Arial" w:cs="Arial"/>
          <w:lang w:val="en-IN"/>
        </w:rPr>
        <w:t>As shown in Fig. 5, the d</w:t>
      </w:r>
      <w:r w:rsidRPr="00E2677B">
        <w:rPr>
          <w:rFonts w:ascii="Arial" w:hAnsi="Arial" w:cs="Arial"/>
          <w:vertAlign w:val="subscript"/>
          <w:lang w:val="en-IN"/>
        </w:rPr>
        <w:t>90</w:t>
      </w:r>
      <w:r w:rsidRPr="00E2677B">
        <w:rPr>
          <w:rFonts w:ascii="Arial" w:hAnsi="Arial" w:cs="Arial"/>
          <w:lang w:val="en-IN"/>
        </w:rPr>
        <w:t xml:space="preserve"> values of the ten urea samples ranged from </w:t>
      </w:r>
      <w:r w:rsidRPr="00E2677B">
        <w:rPr>
          <w:rFonts w:ascii="Arial" w:hAnsi="Arial" w:cs="Arial"/>
          <w:bCs/>
          <w:lang w:val="en-IN"/>
        </w:rPr>
        <w:t>1.359 mm (Sample III)</w:t>
      </w:r>
      <w:r w:rsidRPr="00E2677B">
        <w:rPr>
          <w:rFonts w:ascii="Arial" w:hAnsi="Arial" w:cs="Arial"/>
          <w:lang w:val="en-IN"/>
        </w:rPr>
        <w:t xml:space="preserve"> to </w:t>
      </w:r>
      <w:r w:rsidRPr="00E2677B">
        <w:rPr>
          <w:rFonts w:ascii="Arial" w:hAnsi="Arial" w:cs="Arial"/>
          <w:bCs/>
          <w:lang w:val="en-IN"/>
        </w:rPr>
        <w:t>1.565 mm (Sample IX)</w:t>
      </w:r>
      <w:r w:rsidRPr="00E2677B">
        <w:rPr>
          <w:rFonts w:ascii="Arial" w:hAnsi="Arial" w:cs="Arial"/>
          <w:lang w:val="en-IN"/>
        </w:rPr>
        <w:t>. The CV for d</w:t>
      </w:r>
      <w:r w:rsidRPr="00E2677B">
        <w:rPr>
          <w:rFonts w:ascii="Arial" w:hAnsi="Arial" w:cs="Arial"/>
          <w:vertAlign w:val="subscript"/>
          <w:lang w:val="en-IN"/>
        </w:rPr>
        <w:t xml:space="preserve">90 </w:t>
      </w:r>
      <w:r w:rsidRPr="00E2677B">
        <w:rPr>
          <w:rFonts w:ascii="Arial" w:hAnsi="Arial" w:cs="Arial"/>
          <w:lang w:val="en-IN"/>
        </w:rPr>
        <w:t xml:space="preserve">ranged from </w:t>
      </w:r>
      <w:r w:rsidRPr="00E2677B">
        <w:rPr>
          <w:rFonts w:ascii="Arial" w:hAnsi="Arial" w:cs="Arial"/>
          <w:bCs/>
          <w:lang w:val="en-IN"/>
        </w:rPr>
        <w:t>0.00 to 0.63%</w:t>
      </w:r>
      <w:r w:rsidRPr="00E2677B">
        <w:rPr>
          <w:rFonts w:ascii="Arial" w:hAnsi="Arial" w:cs="Arial"/>
          <w:lang w:val="en-IN"/>
        </w:rPr>
        <w:t>, indicating relatively low within-manufacturer variability. The results of the one-way ANOVA for d</w:t>
      </w:r>
      <w:r w:rsidRPr="00E2677B">
        <w:rPr>
          <w:rFonts w:ascii="Arial" w:hAnsi="Arial" w:cs="Arial"/>
          <w:vertAlign w:val="subscript"/>
          <w:lang w:val="en-IN"/>
        </w:rPr>
        <w:t xml:space="preserve">90 </w:t>
      </w:r>
      <w:r w:rsidRPr="00E2677B">
        <w:rPr>
          <w:rFonts w:ascii="Arial" w:hAnsi="Arial" w:cs="Arial"/>
          <w:lang w:val="en-IN"/>
        </w:rPr>
        <w:t>are presented in Table 4. The analysis showed that, at the 0.05 significance level, the differences in mean d</w:t>
      </w:r>
      <w:r w:rsidRPr="00E2677B">
        <w:rPr>
          <w:rFonts w:ascii="Arial" w:hAnsi="Arial" w:cs="Arial"/>
          <w:vertAlign w:val="subscript"/>
          <w:lang w:val="en-IN"/>
        </w:rPr>
        <w:t xml:space="preserve">90 </w:t>
      </w:r>
      <w:r w:rsidRPr="00E2677B">
        <w:rPr>
          <w:rFonts w:ascii="Arial" w:hAnsi="Arial" w:cs="Arial"/>
          <w:lang w:val="en-IN"/>
        </w:rPr>
        <w:t xml:space="preserve">values across the ten manufacturers were statistically significant. A subsequent Tukey post-hoc test revealed that </w:t>
      </w:r>
      <w:r w:rsidRPr="00E2677B">
        <w:rPr>
          <w:rFonts w:ascii="Arial" w:hAnsi="Arial" w:cs="Arial"/>
          <w:bCs/>
          <w:lang w:val="en-IN"/>
        </w:rPr>
        <w:t>40 out of the 45</w:t>
      </w:r>
      <w:r w:rsidRPr="00E2677B">
        <w:rPr>
          <w:rFonts w:ascii="Arial" w:hAnsi="Arial" w:cs="Arial"/>
          <w:lang w:val="en-IN"/>
        </w:rPr>
        <w:t xml:space="preserve"> possible </w:t>
      </w:r>
      <w:proofErr w:type="gramStart"/>
      <w:r w:rsidRPr="00E2677B">
        <w:rPr>
          <w:rFonts w:ascii="Arial" w:hAnsi="Arial" w:cs="Arial"/>
          <w:lang w:val="en-IN"/>
        </w:rPr>
        <w:t>manufacturer</w:t>
      </w:r>
      <w:proofErr w:type="gramEnd"/>
      <w:r w:rsidRPr="00E2677B">
        <w:rPr>
          <w:rFonts w:ascii="Arial" w:hAnsi="Arial" w:cs="Arial"/>
          <w:lang w:val="en-IN"/>
        </w:rPr>
        <w:t xml:space="preserve"> pairwise comparisons exhibited significant differences at the 0.05 level, indicating substantial variation in d</w:t>
      </w:r>
      <w:r w:rsidRPr="00E2677B">
        <w:rPr>
          <w:rFonts w:ascii="Arial" w:hAnsi="Arial" w:cs="Arial"/>
          <w:vertAlign w:val="subscript"/>
          <w:lang w:val="en-IN"/>
        </w:rPr>
        <w:t xml:space="preserve">90 </w:t>
      </w:r>
      <w:r w:rsidRPr="00E2677B">
        <w:rPr>
          <w:rFonts w:ascii="Arial" w:hAnsi="Arial" w:cs="Arial"/>
          <w:lang w:val="en-IN"/>
        </w:rPr>
        <w:t>among the commercially available urea brands.</w:t>
      </w:r>
    </w:p>
    <w:p w14:paraId="77A14186" w14:textId="77777777" w:rsidR="00E2677B" w:rsidRDefault="00E2677B" w:rsidP="00E2677B">
      <w:pPr>
        <w:pStyle w:val="NormalWeb"/>
        <w:spacing w:line="360" w:lineRule="auto"/>
        <w:jc w:val="center"/>
      </w:pPr>
      <w:r>
        <w:rPr>
          <w:noProof/>
          <w:lang w:val="en-IN" w:eastAsia="en-IN"/>
        </w:rPr>
        <w:drawing>
          <wp:inline distT="0" distB="0" distL="0" distR="0" wp14:anchorId="55522A3A" wp14:editId="4C2AD723">
            <wp:extent cx="5553710" cy="3534410"/>
            <wp:effectExtent l="0" t="0" r="0" b="0"/>
            <wp:docPr id="7" name="Picture 7" descr="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3710" cy="3534410"/>
                    </a:xfrm>
                    <a:prstGeom prst="rect">
                      <a:avLst/>
                    </a:prstGeom>
                    <a:noFill/>
                    <a:ln>
                      <a:noFill/>
                    </a:ln>
                  </pic:spPr>
                </pic:pic>
              </a:graphicData>
            </a:graphic>
          </wp:inline>
        </w:drawing>
      </w:r>
    </w:p>
    <w:p w14:paraId="005BB39C" w14:textId="77777777" w:rsidR="00E2677B" w:rsidRPr="00E2677B" w:rsidRDefault="00E2677B" w:rsidP="00E2677B">
      <w:pPr>
        <w:pStyle w:val="NormalWeb"/>
        <w:spacing w:line="360" w:lineRule="auto"/>
        <w:jc w:val="center"/>
        <w:rPr>
          <w:rFonts w:ascii="Arial" w:hAnsi="Arial" w:cs="Arial"/>
          <w:b/>
          <w:sz w:val="20"/>
        </w:rPr>
      </w:pPr>
      <w:r w:rsidRPr="00E2677B">
        <w:rPr>
          <w:rFonts w:ascii="Arial" w:hAnsi="Arial" w:cs="Arial"/>
          <w:b/>
          <w:sz w:val="20"/>
        </w:rPr>
        <w:t>Fig. 5 d</w:t>
      </w:r>
      <w:r w:rsidRPr="00E2677B">
        <w:rPr>
          <w:rFonts w:ascii="Arial" w:hAnsi="Arial" w:cs="Arial"/>
          <w:b/>
          <w:sz w:val="20"/>
          <w:vertAlign w:val="subscript"/>
        </w:rPr>
        <w:t>90</w:t>
      </w:r>
      <w:r w:rsidRPr="00E2677B">
        <w:rPr>
          <w:rFonts w:ascii="Arial" w:hAnsi="Arial" w:cs="Arial"/>
          <w:b/>
          <w:sz w:val="20"/>
        </w:rPr>
        <w:t xml:space="preserve"> Granule Size Index for Urea Samples</w:t>
      </w:r>
    </w:p>
    <w:p w14:paraId="590619F3" w14:textId="77777777" w:rsidR="00E2677B" w:rsidRPr="00E2677B" w:rsidRDefault="00E2677B" w:rsidP="00E2677B">
      <w:pPr>
        <w:pStyle w:val="NormalWeb"/>
        <w:spacing w:line="360" w:lineRule="auto"/>
        <w:jc w:val="both"/>
        <w:rPr>
          <w:rFonts w:ascii="Arial" w:hAnsi="Arial" w:cs="Arial"/>
          <w:b/>
          <w:sz w:val="20"/>
        </w:rPr>
      </w:pPr>
      <w:r w:rsidRPr="00E2677B">
        <w:rPr>
          <w:rFonts w:ascii="Arial" w:hAnsi="Arial" w:cs="Arial"/>
          <w:b/>
          <w:sz w:val="20"/>
        </w:rPr>
        <w:t>Table 4: One-Way ANOVA for d</w:t>
      </w:r>
      <w:r w:rsidRPr="00E2677B">
        <w:rPr>
          <w:rFonts w:ascii="Arial" w:hAnsi="Arial" w:cs="Arial"/>
          <w:b/>
          <w:sz w:val="20"/>
          <w:vertAlign w:val="subscript"/>
        </w:rPr>
        <w:t>90</w:t>
      </w:r>
      <w:r w:rsidRPr="00E2677B">
        <w:rPr>
          <w:rFonts w:ascii="Arial" w:hAnsi="Arial" w:cs="Arial"/>
          <w:sz w:val="20"/>
          <w:vertAlign w:val="subscript"/>
        </w:rPr>
        <w:t xml:space="preserve"> </w:t>
      </w:r>
      <w:r w:rsidRPr="00E2677B">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321"/>
        <w:gridCol w:w="1419"/>
        <w:gridCol w:w="1438"/>
        <w:gridCol w:w="1417"/>
        <w:gridCol w:w="1403"/>
      </w:tblGrid>
      <w:tr w:rsidR="00E2677B" w:rsidRPr="00E2677B" w14:paraId="4E8880CA" w14:textId="77777777" w:rsidTr="00E2677B">
        <w:trPr>
          <w:trHeight w:val="699"/>
        </w:trPr>
        <w:tc>
          <w:tcPr>
            <w:tcW w:w="1502" w:type="dxa"/>
            <w:tcBorders>
              <w:top w:val="single" w:sz="4" w:space="0" w:color="auto"/>
              <w:left w:val="nil"/>
              <w:bottom w:val="single" w:sz="4" w:space="0" w:color="auto"/>
              <w:right w:val="nil"/>
            </w:tcBorders>
            <w:vAlign w:val="center"/>
            <w:hideMark/>
          </w:tcPr>
          <w:p w14:paraId="5A1E548C" w14:textId="77777777" w:rsidR="00E2677B" w:rsidRPr="00E2677B" w:rsidRDefault="00E2677B">
            <w:pPr>
              <w:jc w:val="center"/>
              <w:rPr>
                <w:rFonts w:ascii="Arial" w:hAnsi="Arial" w:cs="Arial"/>
                <w:b/>
                <w:sz w:val="20"/>
                <w:szCs w:val="24"/>
              </w:rPr>
            </w:pPr>
            <w:r w:rsidRPr="00E2677B">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589E5BD8" w14:textId="77777777" w:rsidR="00E2677B" w:rsidRPr="00E2677B" w:rsidRDefault="00E2677B">
            <w:pPr>
              <w:jc w:val="center"/>
              <w:rPr>
                <w:rFonts w:ascii="Arial" w:hAnsi="Arial" w:cs="Arial"/>
                <w:b/>
                <w:sz w:val="20"/>
                <w:szCs w:val="24"/>
              </w:rPr>
            </w:pPr>
            <w:r w:rsidRPr="00E2677B">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4E365744" w14:textId="77777777" w:rsidR="00E2677B" w:rsidRPr="00E2677B" w:rsidRDefault="00E2677B">
            <w:pPr>
              <w:jc w:val="center"/>
              <w:rPr>
                <w:rFonts w:ascii="Arial" w:hAnsi="Arial" w:cs="Arial"/>
                <w:b/>
                <w:sz w:val="20"/>
                <w:szCs w:val="24"/>
              </w:rPr>
            </w:pPr>
            <w:r w:rsidRPr="00E2677B">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15BEB7D4" w14:textId="77777777" w:rsidR="00E2677B" w:rsidRPr="00E2677B" w:rsidRDefault="00E2677B">
            <w:pPr>
              <w:jc w:val="center"/>
              <w:rPr>
                <w:rFonts w:ascii="Arial" w:hAnsi="Arial" w:cs="Arial"/>
                <w:b/>
                <w:sz w:val="20"/>
                <w:szCs w:val="24"/>
              </w:rPr>
            </w:pPr>
            <w:r w:rsidRPr="00E2677B">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509EF79D" w14:textId="77777777" w:rsidR="00E2677B" w:rsidRPr="00E2677B" w:rsidRDefault="00E2677B">
            <w:pPr>
              <w:jc w:val="center"/>
              <w:rPr>
                <w:rFonts w:ascii="Arial" w:hAnsi="Arial" w:cs="Arial"/>
                <w:b/>
                <w:sz w:val="20"/>
                <w:szCs w:val="24"/>
              </w:rPr>
            </w:pPr>
            <w:r w:rsidRPr="00E2677B">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7D8E1354" w14:textId="77777777" w:rsidR="00E2677B" w:rsidRPr="00E2677B" w:rsidRDefault="00E2677B">
            <w:pPr>
              <w:jc w:val="center"/>
              <w:rPr>
                <w:rFonts w:ascii="Arial" w:hAnsi="Arial" w:cs="Arial"/>
                <w:b/>
                <w:sz w:val="20"/>
                <w:szCs w:val="24"/>
              </w:rPr>
            </w:pPr>
            <w:r w:rsidRPr="00E2677B">
              <w:rPr>
                <w:rFonts w:ascii="Arial" w:hAnsi="Arial" w:cs="Arial"/>
                <w:b/>
                <w:sz w:val="20"/>
                <w:szCs w:val="24"/>
              </w:rPr>
              <w:t>Tabular F (5%)</w:t>
            </w:r>
          </w:p>
        </w:tc>
      </w:tr>
      <w:tr w:rsidR="00E2677B" w:rsidRPr="00E2677B" w14:paraId="4370F759" w14:textId="77777777" w:rsidTr="00E2677B">
        <w:trPr>
          <w:trHeight w:val="397"/>
        </w:trPr>
        <w:tc>
          <w:tcPr>
            <w:tcW w:w="1502" w:type="dxa"/>
            <w:tcBorders>
              <w:top w:val="single" w:sz="4" w:space="0" w:color="auto"/>
              <w:left w:val="nil"/>
              <w:bottom w:val="nil"/>
              <w:right w:val="nil"/>
            </w:tcBorders>
            <w:vAlign w:val="center"/>
            <w:hideMark/>
          </w:tcPr>
          <w:p w14:paraId="65C1A836" w14:textId="77777777" w:rsidR="00E2677B" w:rsidRPr="00E2677B" w:rsidRDefault="00E2677B">
            <w:pPr>
              <w:rPr>
                <w:rFonts w:ascii="Arial" w:hAnsi="Arial" w:cs="Arial"/>
                <w:sz w:val="20"/>
                <w:szCs w:val="24"/>
              </w:rPr>
            </w:pPr>
            <w:r w:rsidRPr="00E2677B">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515F0FDC" w14:textId="77777777" w:rsidR="00E2677B" w:rsidRPr="00E2677B" w:rsidRDefault="00E2677B">
            <w:pPr>
              <w:jc w:val="center"/>
              <w:rPr>
                <w:rFonts w:ascii="Arial" w:hAnsi="Arial" w:cs="Arial"/>
                <w:sz w:val="20"/>
                <w:szCs w:val="24"/>
              </w:rPr>
            </w:pPr>
            <w:r w:rsidRPr="00E2677B">
              <w:rPr>
                <w:rFonts w:ascii="Arial" w:hAnsi="Arial" w:cs="Arial"/>
                <w:sz w:val="20"/>
                <w:szCs w:val="24"/>
              </w:rPr>
              <w:t>9</w:t>
            </w:r>
          </w:p>
        </w:tc>
        <w:tc>
          <w:tcPr>
            <w:tcW w:w="1503" w:type="dxa"/>
            <w:tcBorders>
              <w:top w:val="single" w:sz="4" w:space="0" w:color="auto"/>
              <w:left w:val="nil"/>
              <w:bottom w:val="nil"/>
              <w:right w:val="nil"/>
            </w:tcBorders>
            <w:vAlign w:val="center"/>
            <w:hideMark/>
          </w:tcPr>
          <w:p w14:paraId="46F04882"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0.19731</w:t>
            </w:r>
          </w:p>
        </w:tc>
        <w:tc>
          <w:tcPr>
            <w:tcW w:w="1503" w:type="dxa"/>
            <w:tcBorders>
              <w:top w:val="single" w:sz="4" w:space="0" w:color="auto"/>
              <w:left w:val="nil"/>
              <w:bottom w:val="nil"/>
              <w:right w:val="nil"/>
            </w:tcBorders>
            <w:vAlign w:val="center"/>
            <w:hideMark/>
          </w:tcPr>
          <w:p w14:paraId="0B1A780D"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0.02192</w:t>
            </w:r>
          </w:p>
        </w:tc>
        <w:tc>
          <w:tcPr>
            <w:tcW w:w="1503" w:type="dxa"/>
            <w:tcBorders>
              <w:top w:val="single" w:sz="4" w:space="0" w:color="auto"/>
              <w:left w:val="nil"/>
              <w:bottom w:val="nil"/>
              <w:right w:val="nil"/>
            </w:tcBorders>
            <w:vAlign w:val="center"/>
            <w:hideMark/>
          </w:tcPr>
          <w:p w14:paraId="117C2F84"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924.708*</w:t>
            </w:r>
          </w:p>
        </w:tc>
        <w:tc>
          <w:tcPr>
            <w:tcW w:w="1503" w:type="dxa"/>
            <w:tcBorders>
              <w:top w:val="single" w:sz="4" w:space="0" w:color="auto"/>
              <w:left w:val="nil"/>
              <w:bottom w:val="nil"/>
              <w:right w:val="nil"/>
            </w:tcBorders>
            <w:vAlign w:val="center"/>
            <w:hideMark/>
          </w:tcPr>
          <w:p w14:paraId="6437958C"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2.21</w:t>
            </w:r>
          </w:p>
        </w:tc>
      </w:tr>
      <w:tr w:rsidR="00E2677B" w:rsidRPr="00E2677B" w14:paraId="3C780EE1" w14:textId="77777777" w:rsidTr="00E2677B">
        <w:trPr>
          <w:trHeight w:val="397"/>
        </w:trPr>
        <w:tc>
          <w:tcPr>
            <w:tcW w:w="1502" w:type="dxa"/>
            <w:vAlign w:val="center"/>
            <w:hideMark/>
          </w:tcPr>
          <w:p w14:paraId="5FCDE2DA" w14:textId="77777777" w:rsidR="00E2677B" w:rsidRPr="00E2677B" w:rsidRDefault="00E2677B">
            <w:pPr>
              <w:rPr>
                <w:rFonts w:ascii="Arial" w:hAnsi="Arial" w:cs="Arial"/>
                <w:sz w:val="20"/>
                <w:szCs w:val="24"/>
              </w:rPr>
            </w:pPr>
            <w:r w:rsidRPr="00E2677B">
              <w:rPr>
                <w:rFonts w:ascii="Arial" w:hAnsi="Arial" w:cs="Arial"/>
                <w:sz w:val="20"/>
                <w:szCs w:val="24"/>
              </w:rPr>
              <w:t>Error</w:t>
            </w:r>
          </w:p>
        </w:tc>
        <w:tc>
          <w:tcPr>
            <w:tcW w:w="1502" w:type="dxa"/>
            <w:vAlign w:val="center"/>
            <w:hideMark/>
          </w:tcPr>
          <w:p w14:paraId="7884B702" w14:textId="77777777" w:rsidR="00E2677B" w:rsidRPr="00E2677B" w:rsidRDefault="00E2677B">
            <w:pPr>
              <w:jc w:val="center"/>
              <w:rPr>
                <w:rFonts w:ascii="Arial" w:hAnsi="Arial" w:cs="Arial"/>
                <w:sz w:val="20"/>
                <w:szCs w:val="24"/>
              </w:rPr>
            </w:pPr>
            <w:r w:rsidRPr="00E2677B">
              <w:rPr>
                <w:rFonts w:ascii="Arial" w:hAnsi="Arial" w:cs="Arial"/>
                <w:sz w:val="20"/>
                <w:szCs w:val="24"/>
              </w:rPr>
              <w:t>30</w:t>
            </w:r>
          </w:p>
        </w:tc>
        <w:tc>
          <w:tcPr>
            <w:tcW w:w="1503" w:type="dxa"/>
            <w:vAlign w:val="center"/>
            <w:hideMark/>
          </w:tcPr>
          <w:p w14:paraId="166DC48F"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7.1125E-4</w:t>
            </w:r>
          </w:p>
        </w:tc>
        <w:tc>
          <w:tcPr>
            <w:tcW w:w="1503" w:type="dxa"/>
            <w:vAlign w:val="center"/>
            <w:hideMark/>
          </w:tcPr>
          <w:p w14:paraId="0C1A6D1B"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2.37083E-5</w:t>
            </w:r>
          </w:p>
        </w:tc>
        <w:tc>
          <w:tcPr>
            <w:tcW w:w="1503" w:type="dxa"/>
            <w:vAlign w:val="center"/>
          </w:tcPr>
          <w:p w14:paraId="6CD85F66" w14:textId="77777777" w:rsidR="00E2677B" w:rsidRPr="00E2677B" w:rsidRDefault="00E2677B" w:rsidP="00E2677B">
            <w:pPr>
              <w:jc w:val="center"/>
              <w:rPr>
                <w:rFonts w:ascii="Arial" w:hAnsi="Arial" w:cs="Arial"/>
                <w:sz w:val="20"/>
                <w:szCs w:val="24"/>
              </w:rPr>
            </w:pPr>
          </w:p>
        </w:tc>
        <w:tc>
          <w:tcPr>
            <w:tcW w:w="1503" w:type="dxa"/>
            <w:vAlign w:val="center"/>
          </w:tcPr>
          <w:p w14:paraId="43D0CDE8" w14:textId="77777777" w:rsidR="00E2677B" w:rsidRPr="00E2677B" w:rsidRDefault="00E2677B" w:rsidP="00E2677B">
            <w:pPr>
              <w:jc w:val="center"/>
              <w:rPr>
                <w:rFonts w:ascii="Arial" w:hAnsi="Arial" w:cs="Arial"/>
                <w:sz w:val="20"/>
                <w:szCs w:val="24"/>
              </w:rPr>
            </w:pPr>
          </w:p>
        </w:tc>
      </w:tr>
      <w:tr w:rsidR="00E2677B" w:rsidRPr="00E2677B" w14:paraId="198F60B5" w14:textId="77777777" w:rsidTr="00E2677B">
        <w:trPr>
          <w:trHeight w:val="397"/>
        </w:trPr>
        <w:tc>
          <w:tcPr>
            <w:tcW w:w="1502" w:type="dxa"/>
            <w:tcBorders>
              <w:top w:val="nil"/>
              <w:left w:val="nil"/>
              <w:bottom w:val="single" w:sz="4" w:space="0" w:color="auto"/>
              <w:right w:val="nil"/>
            </w:tcBorders>
            <w:vAlign w:val="center"/>
            <w:hideMark/>
          </w:tcPr>
          <w:p w14:paraId="64DFA028" w14:textId="77777777" w:rsidR="00E2677B" w:rsidRPr="00E2677B" w:rsidRDefault="00E2677B">
            <w:pPr>
              <w:rPr>
                <w:rFonts w:ascii="Arial" w:hAnsi="Arial" w:cs="Arial"/>
                <w:sz w:val="20"/>
                <w:szCs w:val="24"/>
              </w:rPr>
            </w:pPr>
            <w:r w:rsidRPr="00E2677B">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7210173D" w14:textId="77777777" w:rsidR="00E2677B" w:rsidRPr="00E2677B" w:rsidRDefault="00E2677B">
            <w:pPr>
              <w:jc w:val="center"/>
              <w:rPr>
                <w:rFonts w:ascii="Arial" w:hAnsi="Arial" w:cs="Arial"/>
                <w:sz w:val="20"/>
                <w:szCs w:val="24"/>
              </w:rPr>
            </w:pPr>
            <w:r w:rsidRPr="00E2677B">
              <w:rPr>
                <w:rFonts w:ascii="Arial" w:hAnsi="Arial" w:cs="Arial"/>
                <w:sz w:val="20"/>
                <w:szCs w:val="24"/>
              </w:rPr>
              <w:t>39</w:t>
            </w:r>
          </w:p>
        </w:tc>
        <w:tc>
          <w:tcPr>
            <w:tcW w:w="1503" w:type="dxa"/>
            <w:tcBorders>
              <w:top w:val="nil"/>
              <w:left w:val="nil"/>
              <w:bottom w:val="single" w:sz="4" w:space="0" w:color="auto"/>
              <w:right w:val="nil"/>
            </w:tcBorders>
            <w:vAlign w:val="center"/>
            <w:hideMark/>
          </w:tcPr>
          <w:p w14:paraId="6E5870E6"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0.19802</w:t>
            </w:r>
          </w:p>
        </w:tc>
        <w:tc>
          <w:tcPr>
            <w:tcW w:w="1503" w:type="dxa"/>
            <w:tcBorders>
              <w:top w:val="nil"/>
              <w:left w:val="nil"/>
              <w:bottom w:val="single" w:sz="4" w:space="0" w:color="auto"/>
              <w:right w:val="nil"/>
            </w:tcBorders>
            <w:vAlign w:val="center"/>
          </w:tcPr>
          <w:p w14:paraId="51F01D91"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03AB20D1"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57169CEF" w14:textId="77777777" w:rsidR="00E2677B" w:rsidRPr="00E2677B" w:rsidRDefault="00E2677B" w:rsidP="00E2677B">
            <w:pPr>
              <w:jc w:val="center"/>
              <w:rPr>
                <w:rFonts w:ascii="Arial" w:hAnsi="Arial" w:cs="Arial"/>
                <w:sz w:val="20"/>
                <w:szCs w:val="24"/>
              </w:rPr>
            </w:pPr>
          </w:p>
        </w:tc>
      </w:tr>
    </w:tbl>
    <w:p w14:paraId="2C7DB81A" w14:textId="77777777" w:rsidR="00E2677B" w:rsidRPr="009F556F" w:rsidRDefault="00E2677B" w:rsidP="00E2677B">
      <w:pPr>
        <w:pStyle w:val="Body"/>
        <w:rPr>
          <w:rFonts w:ascii="Arial" w:hAnsi="Arial" w:cs="Arial"/>
          <w:b/>
          <w:sz w:val="22"/>
          <w:lang w:val="en-IN"/>
        </w:rPr>
      </w:pPr>
    </w:p>
    <w:p w14:paraId="6E0C87B2"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E2677B">
        <w:rPr>
          <w:rFonts w:ascii="Arial" w:hAnsi="Arial" w:cs="Arial"/>
        </w:rPr>
        <w:t xml:space="preserve">Summary and </w:t>
      </w:r>
      <w:r w:rsidR="00B01FCD" w:rsidRPr="00FB3A86">
        <w:rPr>
          <w:rFonts w:ascii="Arial" w:hAnsi="Arial" w:cs="Arial"/>
        </w:rPr>
        <w:t>Conclusion</w:t>
      </w:r>
    </w:p>
    <w:p w14:paraId="71BEB817" w14:textId="77777777" w:rsidR="00790ADA" w:rsidRPr="00FB3A86" w:rsidRDefault="00790ADA" w:rsidP="00441B6F">
      <w:pPr>
        <w:pStyle w:val="ConcHead"/>
        <w:spacing w:after="0"/>
        <w:jc w:val="both"/>
        <w:rPr>
          <w:rFonts w:ascii="Arial" w:hAnsi="Arial" w:cs="Arial"/>
        </w:rPr>
      </w:pPr>
    </w:p>
    <w:p w14:paraId="3CA93115" w14:textId="77777777" w:rsidR="00E2677B" w:rsidRPr="00E2677B" w:rsidRDefault="00E2677B" w:rsidP="00C2332E">
      <w:pPr>
        <w:pStyle w:val="Body"/>
        <w:spacing w:after="0"/>
        <w:rPr>
          <w:rFonts w:ascii="Arial" w:hAnsi="Arial" w:cs="Arial"/>
          <w:lang w:val="en-IN"/>
        </w:rPr>
      </w:pPr>
      <w:r w:rsidRPr="00E2677B">
        <w:rPr>
          <w:rFonts w:ascii="Arial" w:hAnsi="Arial" w:cs="Arial"/>
          <w:lang w:val="en-IN"/>
        </w:rPr>
        <w:t>The present study evaluated the granule size characteristics of ten commercially available urea fertilizers in India using percentile-based indices (d</w:t>
      </w:r>
      <w:r w:rsidRPr="00E2677B">
        <w:rPr>
          <w:rFonts w:ascii="Arial" w:hAnsi="Arial" w:cs="Arial"/>
          <w:vertAlign w:val="subscript"/>
          <w:lang w:val="en-IN"/>
        </w:rPr>
        <w:t>5</w:t>
      </w:r>
      <w:r w:rsidRPr="00E2677B">
        <w:rPr>
          <w:rFonts w:ascii="Arial" w:hAnsi="Arial" w:cs="Arial"/>
          <w:lang w:val="en-IN"/>
        </w:rPr>
        <w:t>, d</w:t>
      </w:r>
      <w:r w:rsidRPr="00E2677B">
        <w:rPr>
          <w:rFonts w:ascii="Arial" w:hAnsi="Arial" w:cs="Arial"/>
          <w:vertAlign w:val="subscript"/>
          <w:lang w:val="en-IN"/>
        </w:rPr>
        <w:t>16</w:t>
      </w:r>
      <w:r w:rsidRPr="00E2677B">
        <w:rPr>
          <w:rFonts w:ascii="Arial" w:hAnsi="Arial" w:cs="Arial"/>
          <w:lang w:val="en-IN"/>
        </w:rPr>
        <w:t>, d</w:t>
      </w:r>
      <w:r w:rsidRPr="00E2677B">
        <w:rPr>
          <w:rFonts w:ascii="Arial" w:hAnsi="Arial" w:cs="Arial"/>
          <w:vertAlign w:val="subscript"/>
          <w:lang w:val="en-IN"/>
        </w:rPr>
        <w:t>84</w:t>
      </w:r>
      <w:r w:rsidRPr="00E2677B">
        <w:rPr>
          <w:rFonts w:ascii="Arial" w:hAnsi="Arial" w:cs="Arial"/>
          <w:lang w:val="en-IN"/>
        </w:rPr>
        <w:t>, and d</w:t>
      </w:r>
      <w:r w:rsidRPr="00E2677B">
        <w:rPr>
          <w:rFonts w:ascii="Arial" w:hAnsi="Arial" w:cs="Arial"/>
          <w:vertAlign w:val="subscript"/>
          <w:lang w:val="en-IN"/>
        </w:rPr>
        <w:t>90</w:t>
      </w:r>
      <w:r w:rsidRPr="00E2677B">
        <w:rPr>
          <w:rFonts w:ascii="Arial" w:hAnsi="Arial" w:cs="Arial"/>
          <w:lang w:val="en-IN"/>
        </w:rPr>
        <w:t xml:space="preserve">). The results highlighted substantial variability in particle size distribution among manufacturers, as revealed through one-way ANOVA and Tukey’s post hoc analysis. Such differences in granule size indices have important implications for fertilizer handling, flow </w:t>
      </w:r>
      <w:proofErr w:type="spellStart"/>
      <w:r w:rsidRPr="00E2677B">
        <w:rPr>
          <w:rFonts w:ascii="Arial" w:hAnsi="Arial" w:cs="Arial"/>
          <w:lang w:val="en-IN"/>
        </w:rPr>
        <w:t>behavior</w:t>
      </w:r>
      <w:proofErr w:type="spellEnd"/>
      <w:r w:rsidRPr="00E2677B">
        <w:rPr>
          <w:rFonts w:ascii="Arial" w:hAnsi="Arial" w:cs="Arial"/>
          <w:lang w:val="en-IN"/>
        </w:rPr>
        <w:t>, segregation potential, and mechanical application efficiency. The key findings of the study are summarized below:</w:t>
      </w:r>
    </w:p>
    <w:p w14:paraId="41CCCDAB" w14:textId="77777777" w:rsidR="00E2677B" w:rsidRPr="00E2677B" w:rsidRDefault="00E2677B" w:rsidP="00C2332E">
      <w:pPr>
        <w:pStyle w:val="Body"/>
        <w:numPr>
          <w:ilvl w:val="0"/>
          <w:numId w:val="31"/>
        </w:numPr>
        <w:spacing w:after="0"/>
        <w:rPr>
          <w:rFonts w:ascii="Arial" w:hAnsi="Arial" w:cs="Arial"/>
          <w:b/>
          <w:lang w:val="en-IN"/>
        </w:rPr>
      </w:pPr>
      <w:r w:rsidRPr="00E2677B">
        <w:rPr>
          <w:rFonts w:ascii="Arial" w:hAnsi="Arial" w:cs="Arial"/>
          <w:lang w:val="en-IN"/>
        </w:rPr>
        <w:t>The percentile-based granule size indices (d</w:t>
      </w:r>
      <w:r w:rsidRPr="00E2677B">
        <w:rPr>
          <w:rFonts w:ascii="Arial" w:hAnsi="Arial" w:cs="Arial"/>
          <w:vertAlign w:val="subscript"/>
          <w:lang w:val="en-IN"/>
        </w:rPr>
        <w:t>5</w:t>
      </w:r>
      <w:r w:rsidRPr="00E2677B">
        <w:rPr>
          <w:rFonts w:ascii="Arial" w:hAnsi="Arial" w:cs="Arial"/>
          <w:lang w:val="en-IN"/>
        </w:rPr>
        <w:t>, d</w:t>
      </w:r>
      <w:r w:rsidRPr="00E2677B">
        <w:rPr>
          <w:rFonts w:ascii="Arial" w:hAnsi="Arial" w:cs="Arial"/>
          <w:vertAlign w:val="subscript"/>
          <w:lang w:val="en-IN"/>
        </w:rPr>
        <w:t>16</w:t>
      </w:r>
      <w:r w:rsidRPr="00E2677B">
        <w:rPr>
          <w:rFonts w:ascii="Arial" w:hAnsi="Arial" w:cs="Arial"/>
          <w:lang w:val="en-IN"/>
        </w:rPr>
        <w:t>, d</w:t>
      </w:r>
      <w:r w:rsidRPr="00E2677B">
        <w:rPr>
          <w:rFonts w:ascii="Arial" w:hAnsi="Arial" w:cs="Arial"/>
          <w:vertAlign w:val="subscript"/>
          <w:lang w:val="en-IN"/>
        </w:rPr>
        <w:t>84</w:t>
      </w:r>
      <w:r w:rsidRPr="00E2677B">
        <w:rPr>
          <w:rFonts w:ascii="Arial" w:hAnsi="Arial" w:cs="Arial"/>
          <w:lang w:val="en-IN"/>
        </w:rPr>
        <w:t>, and d</w:t>
      </w:r>
      <w:r w:rsidRPr="00E2677B">
        <w:rPr>
          <w:rFonts w:ascii="Arial" w:hAnsi="Arial" w:cs="Arial"/>
          <w:vertAlign w:val="subscript"/>
          <w:lang w:val="en-IN"/>
        </w:rPr>
        <w:t>90</w:t>
      </w:r>
      <w:r w:rsidRPr="00E2677B">
        <w:rPr>
          <w:rFonts w:ascii="Arial" w:hAnsi="Arial" w:cs="Arial"/>
          <w:lang w:val="en-IN"/>
        </w:rPr>
        <w:t>) varied considerably among the ten urea manufacturers, indicating significant differences in granule size across commercial brands.</w:t>
      </w:r>
    </w:p>
    <w:p w14:paraId="68FAE732"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d</w:t>
      </w:r>
      <w:r w:rsidRPr="00E2677B">
        <w:rPr>
          <w:rFonts w:ascii="Arial" w:hAnsi="Arial" w:cs="Arial"/>
          <w:vertAlign w:val="subscript"/>
          <w:lang w:val="en-IN"/>
        </w:rPr>
        <w:t xml:space="preserve">5 </w:t>
      </w:r>
      <w:r w:rsidRPr="00E2677B">
        <w:rPr>
          <w:rFonts w:ascii="Arial" w:hAnsi="Arial" w:cs="Arial"/>
          <w:bCs/>
          <w:lang w:val="en-IN"/>
        </w:rPr>
        <w:t>values</w:t>
      </w:r>
      <w:r w:rsidRPr="00E2677B">
        <w:rPr>
          <w:rFonts w:ascii="Arial" w:hAnsi="Arial" w:cs="Arial"/>
          <w:lang w:val="en-IN"/>
        </w:rPr>
        <w:t xml:space="preserve"> ranged from 0.394 to 0.861 mm, with the lowest value for Sample III and the highest for Sample IX. Similarly, d</w:t>
      </w:r>
      <w:r w:rsidRPr="00E2677B">
        <w:rPr>
          <w:rFonts w:ascii="Arial" w:hAnsi="Arial" w:cs="Arial"/>
          <w:vertAlign w:val="subscript"/>
          <w:lang w:val="en-IN"/>
        </w:rPr>
        <w:t xml:space="preserve">16 </w:t>
      </w:r>
      <w:r w:rsidRPr="00E2677B">
        <w:rPr>
          <w:rFonts w:ascii="Arial" w:hAnsi="Arial" w:cs="Arial"/>
          <w:bCs/>
          <w:lang w:val="en-IN"/>
        </w:rPr>
        <w:t>values</w:t>
      </w:r>
      <w:r w:rsidRPr="00E2677B">
        <w:rPr>
          <w:rFonts w:ascii="Arial" w:hAnsi="Arial" w:cs="Arial"/>
          <w:lang w:val="en-IN"/>
        </w:rPr>
        <w:t xml:space="preserve"> ranged from 0.650 to 0.943 mm, with Samples III and IV showing the minimum and maximum values, respectively.</w:t>
      </w:r>
    </w:p>
    <w:p w14:paraId="7C844D57"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d</w:t>
      </w:r>
      <w:r w:rsidRPr="00E2677B">
        <w:rPr>
          <w:rFonts w:ascii="Arial" w:hAnsi="Arial" w:cs="Arial"/>
          <w:vertAlign w:val="subscript"/>
          <w:lang w:val="en-IN"/>
        </w:rPr>
        <w:t xml:space="preserve">84 </w:t>
      </w:r>
      <w:r w:rsidRPr="00E2677B">
        <w:rPr>
          <w:rFonts w:ascii="Arial" w:hAnsi="Arial" w:cs="Arial"/>
          <w:bCs/>
          <w:lang w:val="en-IN"/>
        </w:rPr>
        <w:t>values</w:t>
      </w:r>
      <w:r w:rsidRPr="00E2677B">
        <w:rPr>
          <w:rFonts w:ascii="Arial" w:hAnsi="Arial" w:cs="Arial"/>
          <w:lang w:val="en-IN"/>
        </w:rPr>
        <w:t xml:space="preserve"> ranged from 1.311 to 1.484 mm, indicating variability in the coarser granule fraction. Sample III exhibited the lowest d</w:t>
      </w:r>
      <w:r w:rsidRPr="00E2677B">
        <w:rPr>
          <w:rFonts w:ascii="Arial" w:hAnsi="Arial" w:cs="Arial"/>
          <w:vertAlign w:val="subscript"/>
          <w:lang w:val="en-IN"/>
        </w:rPr>
        <w:t xml:space="preserve">84 </w:t>
      </w:r>
      <w:r w:rsidRPr="00E2677B">
        <w:rPr>
          <w:rFonts w:ascii="Arial" w:hAnsi="Arial" w:cs="Arial"/>
          <w:lang w:val="en-IN"/>
        </w:rPr>
        <w:t>and Sample IX the highest. d</w:t>
      </w:r>
      <w:r w:rsidRPr="00E2677B">
        <w:rPr>
          <w:rFonts w:ascii="Arial" w:hAnsi="Arial" w:cs="Arial"/>
          <w:vertAlign w:val="subscript"/>
          <w:lang w:val="en-IN"/>
        </w:rPr>
        <w:t xml:space="preserve">90 </w:t>
      </w:r>
      <w:r w:rsidRPr="00E2677B">
        <w:rPr>
          <w:rFonts w:ascii="Arial" w:hAnsi="Arial" w:cs="Arial"/>
          <w:bCs/>
          <w:lang w:val="en-IN"/>
        </w:rPr>
        <w:t>values</w:t>
      </w:r>
      <w:r w:rsidRPr="00E2677B">
        <w:rPr>
          <w:rFonts w:ascii="Arial" w:hAnsi="Arial" w:cs="Arial"/>
          <w:lang w:val="en-IN"/>
        </w:rPr>
        <w:t xml:space="preserve"> ranged from 1.359 to 1.565 mm, with clear variation across samples. </w:t>
      </w:r>
    </w:p>
    <w:p w14:paraId="7A97FD2F"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The coefficients of variation for all percentile diameters were generally below 5%.</w:t>
      </w:r>
    </w:p>
    <w:p w14:paraId="33D8FA92"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One-way ANOVA revealed statistically significant differences across all percentile diameters studied, and Tukey’s post-hoc comparisons confirmed that the majority of manufacturer pairs differed significantly for each d-value.</w:t>
      </w:r>
    </w:p>
    <w:p w14:paraId="26118EAE"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The granule size indices presented provide foundational data useful for calculating uniformity indices, enabling quantitative assessment of fertilizer distribution quality in field application.</w:t>
      </w:r>
    </w:p>
    <w:p w14:paraId="0A9B624F"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 xml:space="preserve">The results can also be utilized in particle simulation models of urea fertilizer, supporting virtual testing of flow </w:t>
      </w:r>
      <w:proofErr w:type="spellStart"/>
      <w:r w:rsidRPr="00E2677B">
        <w:rPr>
          <w:rFonts w:ascii="Arial" w:hAnsi="Arial" w:cs="Arial"/>
          <w:lang w:val="en-IN"/>
        </w:rPr>
        <w:t>behavior</w:t>
      </w:r>
      <w:proofErr w:type="spellEnd"/>
      <w:r w:rsidRPr="00E2677B">
        <w:rPr>
          <w:rFonts w:ascii="Arial" w:hAnsi="Arial" w:cs="Arial"/>
          <w:lang w:val="en-IN"/>
        </w:rPr>
        <w:t>, metering accuracy, and machine design optimization.</w:t>
      </w:r>
    </w:p>
    <w:p w14:paraId="061733E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32F48DC" w14:textId="77777777" w:rsidR="00860000" w:rsidRPr="00786D36" w:rsidRDefault="00860000" w:rsidP="00441B6F">
      <w:pPr>
        <w:pStyle w:val="ReferHead"/>
        <w:spacing w:after="0"/>
        <w:jc w:val="both"/>
        <w:rPr>
          <w:rFonts w:ascii="Arial" w:hAnsi="Arial" w:cs="Arial"/>
        </w:rPr>
      </w:pPr>
    </w:p>
    <w:p w14:paraId="080B0A40" w14:textId="77777777" w:rsidR="00860000" w:rsidRPr="00E2677B" w:rsidRDefault="00E66E10" w:rsidP="00441B6F">
      <w:pPr>
        <w:pStyle w:val="ReferHead"/>
        <w:spacing w:after="0"/>
        <w:jc w:val="both"/>
        <w:rPr>
          <w:rFonts w:ascii="Arial" w:hAnsi="Arial" w:cs="Arial"/>
          <w:b w:val="0"/>
          <w:caps w:val="0"/>
          <w:sz w:val="20"/>
        </w:rPr>
      </w:pPr>
      <w:r w:rsidRPr="00E2677B">
        <w:rPr>
          <w:rFonts w:ascii="Arial" w:hAnsi="Arial" w:cs="Arial"/>
          <w:b w:val="0"/>
          <w:caps w:val="0"/>
          <w:sz w:val="20"/>
        </w:rPr>
        <w:t>Authors have declared tha</w:t>
      </w:r>
      <w:r w:rsidR="00E2677B" w:rsidRPr="00E2677B">
        <w:rPr>
          <w:rFonts w:ascii="Arial" w:hAnsi="Arial" w:cs="Arial"/>
          <w:b w:val="0"/>
          <w:caps w:val="0"/>
          <w:sz w:val="20"/>
        </w:rPr>
        <w:t>t no competing interests exist.</w:t>
      </w:r>
    </w:p>
    <w:p w14:paraId="2A94E310" w14:textId="77777777" w:rsidR="00371FB6" w:rsidRDefault="00371FB6" w:rsidP="00441B6F">
      <w:pPr>
        <w:pStyle w:val="ReferHead"/>
        <w:spacing w:after="0"/>
        <w:jc w:val="both"/>
        <w:rPr>
          <w:rFonts w:ascii="Arial" w:hAnsi="Arial" w:cs="Arial"/>
          <w:b w:val="0"/>
          <w:caps w:val="0"/>
          <w:sz w:val="20"/>
        </w:rPr>
      </w:pPr>
    </w:p>
    <w:p w14:paraId="2CD79D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D26104" w14:textId="77777777" w:rsidR="00284C4C" w:rsidRPr="00C2332E" w:rsidRDefault="00284C4C" w:rsidP="00441B6F">
      <w:pPr>
        <w:pStyle w:val="Body"/>
        <w:spacing w:after="0"/>
        <w:rPr>
          <w:rFonts w:ascii="Arial" w:hAnsi="Arial" w:cs="Arial"/>
          <w:u w:val="single"/>
        </w:rPr>
      </w:pPr>
    </w:p>
    <w:p w14:paraId="5C5BE1F3" w14:textId="404037CB" w:rsidR="00C2332E" w:rsidRDefault="00C2332E" w:rsidP="00C2332E">
      <w:pPr>
        <w:pStyle w:val="Body"/>
        <w:spacing w:after="0"/>
        <w:rPr>
          <w:rFonts w:ascii="Arial" w:hAnsi="Arial" w:cs="Arial"/>
          <w:lang w:val="en-IN"/>
        </w:rPr>
      </w:pPr>
      <w:r w:rsidRPr="00C2332E">
        <w:rPr>
          <w:rFonts w:ascii="Arial" w:hAnsi="Arial" w:cs="Arial"/>
          <w:b/>
          <w:lang w:val="en-IN"/>
        </w:rPr>
        <w:fldChar w:fldCharType="begin" w:fldLock="1"/>
      </w:r>
      <w:r w:rsidRPr="00C2332E">
        <w:rPr>
          <w:rFonts w:ascii="Arial" w:hAnsi="Arial" w:cs="Arial"/>
          <w:b/>
          <w:lang w:val="en-IN"/>
        </w:rPr>
        <w:instrText xml:space="preserve">ADDIN Mendeley Bibliography CSL_BIBLIOGRAPHY </w:instrText>
      </w:r>
      <w:r w:rsidRPr="00C2332E">
        <w:rPr>
          <w:rFonts w:ascii="Arial" w:hAnsi="Arial" w:cs="Arial"/>
          <w:b/>
          <w:lang w:val="en-IN"/>
        </w:rPr>
        <w:fldChar w:fldCharType="separate"/>
      </w:r>
      <w:r w:rsidR="001D4C24" w:rsidRPr="001D4C24">
        <w:rPr>
          <w:rFonts w:ascii="Arial" w:hAnsi="Arial" w:cs="Arial"/>
          <w:lang w:val="en-IN"/>
        </w:rPr>
        <w:t>Allaire, S. E., &amp; Parent, L. E. (2004). Physical Properties of Granular Organic-based Fertilisers, Part 2: Dynamic Properties Related to Water. Biosystems Engineering, 87(2), 225–236. https://doi.org/10.1016/j.biosystemseng.2003.09.007</w:t>
      </w:r>
    </w:p>
    <w:p w14:paraId="7AA92B4D" w14:textId="77777777" w:rsidR="001D4C24" w:rsidRPr="00C2332E" w:rsidRDefault="001D4C24" w:rsidP="00C2332E">
      <w:pPr>
        <w:pStyle w:val="Body"/>
        <w:spacing w:after="0"/>
        <w:rPr>
          <w:rFonts w:ascii="Arial" w:hAnsi="Arial" w:cs="Arial"/>
          <w:lang w:val="en-IN"/>
        </w:rPr>
      </w:pPr>
    </w:p>
    <w:p w14:paraId="03E2727D" w14:textId="23025392" w:rsidR="00C2332E" w:rsidRDefault="001D4C24" w:rsidP="00C2332E">
      <w:pPr>
        <w:pStyle w:val="Body"/>
        <w:spacing w:after="0"/>
        <w:rPr>
          <w:rFonts w:ascii="Arial" w:hAnsi="Arial" w:cs="Arial"/>
          <w:lang w:val="en-IN"/>
        </w:rPr>
      </w:pPr>
      <w:r w:rsidRPr="001D4C24">
        <w:rPr>
          <w:rFonts w:ascii="Arial" w:hAnsi="Arial" w:cs="Arial"/>
          <w:lang w:val="en-IN"/>
        </w:rPr>
        <w:t>Anonymous. (2024). Annual Report 2023-2024. Department of Fertilizers, Ministry of Chemicals &amp; Fertilizers, Government of India. https://fert.nic.in/documents/annual-report-2023-2024</w:t>
      </w:r>
    </w:p>
    <w:p w14:paraId="2B4CD07F" w14:textId="77777777" w:rsidR="001D4C24" w:rsidRPr="00C2332E" w:rsidRDefault="001D4C24" w:rsidP="00C2332E">
      <w:pPr>
        <w:pStyle w:val="Body"/>
        <w:spacing w:after="0"/>
        <w:rPr>
          <w:rFonts w:ascii="Arial" w:hAnsi="Arial" w:cs="Arial"/>
          <w:lang w:val="en-IN"/>
        </w:rPr>
      </w:pPr>
    </w:p>
    <w:p w14:paraId="214EDB96" w14:textId="77777777" w:rsidR="00C2332E" w:rsidRPr="00C2332E" w:rsidRDefault="00C2332E" w:rsidP="00C2332E">
      <w:pPr>
        <w:pStyle w:val="Body"/>
        <w:spacing w:after="0"/>
        <w:rPr>
          <w:rFonts w:ascii="Arial" w:hAnsi="Arial" w:cs="Arial"/>
          <w:lang w:val="en-IN"/>
        </w:rPr>
      </w:pPr>
      <w:r w:rsidRPr="00C2332E">
        <w:rPr>
          <w:rFonts w:ascii="Arial" w:hAnsi="Arial" w:cs="Arial"/>
          <w:lang w:val="en-IN"/>
        </w:rPr>
        <w:t xml:space="preserve">Bhatti, M. E. (1992). Physical properties comparative study of urea of different companies in Pakistan. </w:t>
      </w:r>
      <w:r w:rsidRPr="00C2332E">
        <w:rPr>
          <w:rFonts w:ascii="Arial" w:hAnsi="Arial" w:cs="Arial"/>
          <w:iCs/>
          <w:lang w:val="en-IN"/>
        </w:rPr>
        <w:t>Fertilizer Research</w:t>
      </w:r>
      <w:r w:rsidRPr="00C2332E">
        <w:rPr>
          <w:rFonts w:ascii="Arial" w:hAnsi="Arial" w:cs="Arial"/>
          <w:lang w:val="en-IN"/>
        </w:rPr>
        <w:t xml:space="preserve">, </w:t>
      </w:r>
      <w:r w:rsidRPr="00C2332E">
        <w:rPr>
          <w:rFonts w:ascii="Arial" w:hAnsi="Arial" w:cs="Arial"/>
          <w:iCs/>
          <w:lang w:val="en-IN"/>
        </w:rPr>
        <w:t>32</w:t>
      </w:r>
      <w:r w:rsidRPr="00C2332E">
        <w:rPr>
          <w:rFonts w:ascii="Arial" w:hAnsi="Arial" w:cs="Arial"/>
          <w:lang w:val="en-IN"/>
        </w:rPr>
        <w:t>, 13–17. https://doi.org/10.1007/BF01054389</w:t>
      </w:r>
    </w:p>
    <w:p w14:paraId="694AC97B" w14:textId="77777777" w:rsidR="00C2332E" w:rsidRPr="00C2332E" w:rsidRDefault="00C2332E" w:rsidP="00C2332E">
      <w:pPr>
        <w:pStyle w:val="Body"/>
        <w:spacing w:after="0"/>
        <w:rPr>
          <w:rFonts w:ascii="Arial" w:hAnsi="Arial" w:cs="Arial"/>
          <w:lang w:val="en-IN"/>
        </w:rPr>
      </w:pPr>
    </w:p>
    <w:p w14:paraId="73FD1755" w14:textId="7D570EA8" w:rsidR="00C2332E" w:rsidRDefault="001D4C24" w:rsidP="00C2332E">
      <w:pPr>
        <w:pStyle w:val="Body"/>
        <w:spacing w:after="0"/>
        <w:rPr>
          <w:rFonts w:ascii="Arial" w:hAnsi="Arial" w:cs="Arial"/>
          <w:lang w:val="en-IN"/>
        </w:rPr>
      </w:pPr>
      <w:r w:rsidRPr="001D4C24">
        <w:rPr>
          <w:rFonts w:ascii="Arial" w:hAnsi="Arial" w:cs="Arial"/>
          <w:lang w:val="en-IN"/>
        </w:rPr>
        <w:t>Fulton, J., &amp; Port, K. (2016). Physical Properties of Granular Fertilizers and Impact on Spreading. The Ohio State University. https://ohioline.osu.edu/factsheet/fabe-5501</w:t>
      </w:r>
    </w:p>
    <w:p w14:paraId="0FDA330D" w14:textId="77777777" w:rsidR="001D4C24" w:rsidRPr="00C2332E" w:rsidRDefault="001D4C24" w:rsidP="00C2332E">
      <w:pPr>
        <w:pStyle w:val="Body"/>
        <w:spacing w:after="0"/>
        <w:rPr>
          <w:rFonts w:ascii="Arial" w:hAnsi="Arial" w:cs="Arial"/>
          <w:lang w:val="en-IN"/>
        </w:rPr>
      </w:pPr>
    </w:p>
    <w:p w14:paraId="4455F14B" w14:textId="77777777" w:rsidR="001D4C24" w:rsidRDefault="001D4C24" w:rsidP="00C2332E">
      <w:pPr>
        <w:pStyle w:val="Body"/>
        <w:spacing w:after="0"/>
        <w:rPr>
          <w:rFonts w:ascii="Arial" w:hAnsi="Arial" w:cs="Arial"/>
          <w:lang w:val="en-IN"/>
        </w:rPr>
      </w:pPr>
      <w:r w:rsidRPr="001D4C24">
        <w:rPr>
          <w:rFonts w:ascii="Arial" w:hAnsi="Arial" w:cs="Arial"/>
          <w:lang w:val="en-IN"/>
        </w:rPr>
        <w:t>Gavrilović, M., Dimitrijević, A., Radojičin, M., Mileusnić, Z., &amp; Miodragović, R. (2018). Effects of the application system on the physical and mechanical properties of mineral fertilizers. Journal on Processing and Energy in Agriculture, 22(4), 180–183. https://doi.org/10.5937/jpea1804180G</w:t>
      </w:r>
    </w:p>
    <w:p w14:paraId="569077CA" w14:textId="77777777" w:rsidR="001D4C24" w:rsidRDefault="001D4C24" w:rsidP="00C2332E">
      <w:pPr>
        <w:pStyle w:val="Body"/>
        <w:spacing w:after="0"/>
        <w:rPr>
          <w:rFonts w:ascii="Arial" w:hAnsi="Arial" w:cs="Arial"/>
          <w:lang w:val="en-IN"/>
        </w:rPr>
      </w:pPr>
    </w:p>
    <w:p w14:paraId="5D9B8BD8" w14:textId="2F9212E6" w:rsidR="00C2332E" w:rsidRDefault="001D4C24" w:rsidP="00C2332E">
      <w:pPr>
        <w:pStyle w:val="Body"/>
        <w:spacing w:after="0"/>
        <w:rPr>
          <w:rFonts w:ascii="Arial" w:hAnsi="Arial" w:cs="Arial"/>
          <w:lang w:val="en-IN"/>
        </w:rPr>
      </w:pPr>
      <w:r w:rsidRPr="001D4C24">
        <w:rPr>
          <w:rFonts w:ascii="Arial" w:hAnsi="Arial" w:cs="Arial"/>
          <w:lang w:val="en-IN"/>
        </w:rPr>
        <w:t>Glibert, P. M., Harrison, J., Heil, C., &amp; Seitzinger, S. (2006). Escalating worldwide use of urea: A global change contributing to coastal eutrophication. Biogeochemistry, 77, 441–463. https://doi.org/10.1007/s10533-005-3070-5</w:t>
      </w:r>
    </w:p>
    <w:p w14:paraId="11EBC704" w14:textId="77777777" w:rsidR="001D4C24" w:rsidRPr="00C2332E" w:rsidRDefault="001D4C24" w:rsidP="00C2332E">
      <w:pPr>
        <w:pStyle w:val="Body"/>
        <w:spacing w:after="0"/>
        <w:rPr>
          <w:rFonts w:ascii="Arial" w:hAnsi="Arial" w:cs="Arial"/>
          <w:lang w:val="en-IN"/>
        </w:rPr>
      </w:pPr>
    </w:p>
    <w:p w14:paraId="3BE8541C" w14:textId="42793516" w:rsidR="00C2332E" w:rsidRDefault="001D4C24" w:rsidP="00C2332E">
      <w:pPr>
        <w:pStyle w:val="Body"/>
        <w:spacing w:after="0"/>
        <w:rPr>
          <w:rFonts w:ascii="Arial" w:hAnsi="Arial" w:cs="Arial"/>
          <w:lang w:val="en-IN"/>
        </w:rPr>
      </w:pPr>
      <w:r w:rsidRPr="001D4C24">
        <w:rPr>
          <w:rFonts w:ascii="Arial" w:hAnsi="Arial" w:cs="Arial"/>
          <w:lang w:val="en-IN"/>
        </w:rPr>
        <w:t>Kumar, V., Rajan, P., Deshmukh, M. M., Gupta, C., Thakare, S. K., Thakare, S. H., Gajakos, A. V., &amp; Kanade, S. A. (2025). Comparative study of particle size distribution in Commercial urea fertilizers from India. International Journal of Research in Agronomy, 8(7), 10–13. https://doi.org/10.33545/2618060X.2025.v8.i7Sa.3189</w:t>
      </w:r>
    </w:p>
    <w:p w14:paraId="3EF66C3A" w14:textId="77777777" w:rsidR="001D4C24" w:rsidRPr="00C2332E" w:rsidRDefault="001D4C24" w:rsidP="00C2332E">
      <w:pPr>
        <w:pStyle w:val="Body"/>
        <w:spacing w:after="0"/>
        <w:rPr>
          <w:rFonts w:ascii="Arial" w:hAnsi="Arial" w:cs="Arial"/>
          <w:lang w:val="en-IN"/>
        </w:rPr>
      </w:pPr>
    </w:p>
    <w:p w14:paraId="677B8ED9" w14:textId="77777777" w:rsidR="001D4C24" w:rsidRDefault="001D4C24" w:rsidP="00C2332E">
      <w:pPr>
        <w:pStyle w:val="Body"/>
        <w:spacing w:after="0"/>
        <w:rPr>
          <w:rFonts w:ascii="Arial" w:hAnsi="Arial" w:cs="Arial"/>
          <w:lang w:val="en-IN"/>
        </w:rPr>
      </w:pPr>
      <w:r w:rsidRPr="001D4C24">
        <w:rPr>
          <w:rFonts w:ascii="Arial" w:hAnsi="Arial" w:cs="Arial"/>
          <w:lang w:val="en-IN"/>
        </w:rPr>
        <w:t>Miserque, O., &amp; Pirard, E. (2004). Segregation of the bulk blend fertilizers. Chemometrics and Intelligent Laboratory Systems, 74(1), 215–224. https://doi.org/10.1016/j.chemolab.2004.03.017</w:t>
      </w:r>
    </w:p>
    <w:p w14:paraId="10D89820" w14:textId="77777777" w:rsidR="001D4C24" w:rsidRDefault="001D4C24" w:rsidP="00C2332E">
      <w:pPr>
        <w:pStyle w:val="Body"/>
        <w:spacing w:after="0"/>
        <w:rPr>
          <w:rFonts w:ascii="Arial" w:hAnsi="Arial" w:cs="Arial"/>
          <w:lang w:val="en-IN"/>
        </w:rPr>
      </w:pPr>
    </w:p>
    <w:p w14:paraId="694C6BF5" w14:textId="77777777" w:rsidR="001D4C24" w:rsidRDefault="001D4C24" w:rsidP="00C2332E">
      <w:pPr>
        <w:pStyle w:val="Body"/>
        <w:spacing w:after="0"/>
        <w:rPr>
          <w:rFonts w:ascii="Arial" w:hAnsi="Arial" w:cs="Arial"/>
          <w:lang w:val="en-IN"/>
        </w:rPr>
      </w:pPr>
      <w:r w:rsidRPr="001D4C24">
        <w:rPr>
          <w:rFonts w:ascii="Arial" w:hAnsi="Arial" w:cs="Arial"/>
          <w:lang w:val="en-IN"/>
        </w:rPr>
        <w:t>Perfect, E., Xu, Q., &amp; Terry, D. L. (1998). Improved parameterization of fertilizer particle size distribution. Journal of AOAC International. https://doi.org/10.1093/jaoac/81.5.935</w:t>
      </w:r>
    </w:p>
    <w:p w14:paraId="7A6CB38A" w14:textId="77777777" w:rsidR="001D4C24" w:rsidRDefault="001D4C24" w:rsidP="00C2332E">
      <w:pPr>
        <w:pStyle w:val="Body"/>
        <w:spacing w:after="0"/>
        <w:rPr>
          <w:rFonts w:ascii="Arial" w:hAnsi="Arial" w:cs="Arial"/>
          <w:lang w:val="en-IN"/>
        </w:rPr>
      </w:pPr>
    </w:p>
    <w:p w14:paraId="5FDA4CD0" w14:textId="17663415" w:rsidR="00C2332E" w:rsidRDefault="001D4C24" w:rsidP="00C2332E">
      <w:pPr>
        <w:pStyle w:val="Body"/>
        <w:spacing w:after="0"/>
        <w:rPr>
          <w:rFonts w:ascii="Arial" w:hAnsi="Arial" w:cs="Arial"/>
          <w:lang w:val="en-IN"/>
        </w:rPr>
      </w:pPr>
      <w:r w:rsidRPr="001D4C24">
        <w:rPr>
          <w:rFonts w:ascii="Arial" w:hAnsi="Arial" w:cs="Arial"/>
          <w:lang w:val="en-IN"/>
        </w:rPr>
        <w:t>Şimşek, H. M., &amp; Guliyev, R. (2021). The investigation of physical properties of composite fertilizer including boron micro element. Sakarya University Journal of Science, 25(5), 1245–1252. https://doi.org/10.16984/saufenbilder.853343</w:t>
      </w:r>
      <w:r>
        <w:rPr>
          <w:rFonts w:ascii="Arial" w:hAnsi="Arial" w:cs="Arial"/>
          <w:lang w:val="en-IN"/>
        </w:rPr>
        <w:t xml:space="preserve"> </w:t>
      </w:r>
    </w:p>
    <w:p w14:paraId="3EB5D7D9" w14:textId="77777777" w:rsidR="001D4C24" w:rsidRPr="00C2332E" w:rsidRDefault="001D4C24" w:rsidP="00C2332E">
      <w:pPr>
        <w:pStyle w:val="Body"/>
        <w:spacing w:after="0"/>
        <w:rPr>
          <w:rFonts w:ascii="Arial" w:hAnsi="Arial" w:cs="Arial"/>
          <w:lang w:val="en-IN"/>
        </w:rPr>
      </w:pPr>
    </w:p>
    <w:p w14:paraId="2353FE5A" w14:textId="0FB5897D" w:rsidR="00C2332E" w:rsidRDefault="001D4C24" w:rsidP="00C2332E">
      <w:pPr>
        <w:pStyle w:val="Body"/>
        <w:spacing w:after="0"/>
        <w:rPr>
          <w:rFonts w:ascii="Arial" w:hAnsi="Arial" w:cs="Arial"/>
        </w:rPr>
      </w:pPr>
      <w:r w:rsidRPr="001D4C24">
        <w:rPr>
          <w:rFonts w:ascii="Arial" w:hAnsi="Arial" w:cs="Arial"/>
          <w:lang w:val="en-IN"/>
        </w:rPr>
        <w:t xml:space="preserve">Virk, S. S., Mullenix, D. K., Sharda, A., Hall, J. B., Wood, C. W., Fasina, O. O., McDonald, T. P., Pate, G. L., &amp; Fulton, J. P. (2013). Case study: Distribution uniformity of a blended fertilizer applied using a variable-rate spinner-disc spreader. Applied Engineering in Agriculture, 29(5), 627–636. </w:t>
      </w:r>
      <w:r>
        <w:rPr>
          <w:rFonts w:ascii="Arial" w:hAnsi="Arial" w:cs="Arial"/>
          <w:lang w:val="en-IN"/>
        </w:rPr>
        <w:t xml:space="preserve"> </w:t>
      </w:r>
      <w:r w:rsidRPr="001D4C24">
        <w:rPr>
          <w:rFonts w:ascii="Arial" w:hAnsi="Arial" w:cs="Arial"/>
          <w:lang w:val="en-IN"/>
        </w:rPr>
        <w:t>https://doi.org/10.13031/aea.29.9774</w:t>
      </w:r>
      <w:r w:rsidR="00C2332E" w:rsidRPr="00C2332E">
        <w:rPr>
          <w:rFonts w:ascii="Arial" w:hAnsi="Arial" w:cs="Arial"/>
        </w:rPr>
        <w:fldChar w:fldCharType="end"/>
      </w:r>
      <w:r>
        <w:rPr>
          <w:rFonts w:ascii="Arial" w:hAnsi="Arial" w:cs="Arial"/>
        </w:rPr>
        <w:t xml:space="preserve"> </w:t>
      </w:r>
    </w:p>
    <w:p w14:paraId="7DAB8D40" w14:textId="77777777" w:rsidR="001D4C24" w:rsidRPr="00C2332E" w:rsidRDefault="001D4C24" w:rsidP="00C2332E">
      <w:pPr>
        <w:pStyle w:val="Body"/>
        <w:spacing w:after="0"/>
        <w:rPr>
          <w:rFonts w:ascii="Arial" w:hAnsi="Arial" w:cs="Arial"/>
          <w:b/>
          <w:lang w:val="en-IN"/>
        </w:rPr>
      </w:pPr>
    </w:p>
    <w:p w14:paraId="68517DF6" w14:textId="77777777" w:rsidR="004D4277" w:rsidRPr="00C2332E" w:rsidRDefault="004D4277" w:rsidP="00C2332E">
      <w:pPr>
        <w:pStyle w:val="Body"/>
        <w:spacing w:after="0"/>
        <w:rPr>
          <w:rFonts w:ascii="Arial" w:hAnsi="Arial" w:cs="Arial"/>
        </w:rPr>
        <w:sectPr w:rsidR="004D4277" w:rsidRPr="00C2332E" w:rsidSect="00B1539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95A3A36" w14:textId="77777777" w:rsidR="00B01FCD" w:rsidRPr="00FB3A86" w:rsidRDefault="00B01FCD" w:rsidP="00441B6F">
      <w:pPr>
        <w:pStyle w:val="Appendix"/>
        <w:spacing w:after="0"/>
        <w:jc w:val="both"/>
        <w:rPr>
          <w:rFonts w:ascii="Arial" w:hAnsi="Arial" w:cs="Arial"/>
          <w:b w:val="0"/>
        </w:rPr>
      </w:pPr>
    </w:p>
    <w:sectPr w:rsidR="00B01FCD" w:rsidRPr="00FB3A86" w:rsidSect="00B153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0DFC" w14:textId="77777777" w:rsidR="003A39B4" w:rsidRDefault="003A39B4" w:rsidP="00C37E61">
      <w:r>
        <w:separator/>
      </w:r>
    </w:p>
  </w:endnote>
  <w:endnote w:type="continuationSeparator" w:id="0">
    <w:p w14:paraId="66A52A08" w14:textId="77777777" w:rsidR="003A39B4" w:rsidRDefault="003A39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3D76" w14:textId="77777777" w:rsidR="00B15398" w:rsidRDefault="00B15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DDED" w14:textId="77777777" w:rsidR="00B15398" w:rsidRDefault="00B15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4A8C" w14:textId="77777777" w:rsidR="001C49E1" w:rsidRDefault="001C49E1">
    <w:pPr>
      <w:pStyle w:val="Footer"/>
      <w:rPr>
        <w:rFonts w:ascii="Arial" w:hAnsi="Arial" w:cs="Arial"/>
        <w:sz w:val="16"/>
      </w:rPr>
    </w:pPr>
  </w:p>
  <w:p w14:paraId="21358C11" w14:textId="77777777" w:rsidR="001C49E1" w:rsidRDefault="001C49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4B2C4A" w14:textId="77777777" w:rsidR="001C49E1" w:rsidRDefault="001C49E1">
    <w:pPr>
      <w:pStyle w:val="Footer"/>
      <w:rPr>
        <w:rFonts w:ascii="Arial" w:hAnsi="Arial" w:cs="Arial"/>
        <w:sz w:val="16"/>
      </w:rPr>
    </w:pPr>
  </w:p>
  <w:p w14:paraId="44EECAA1" w14:textId="77777777" w:rsidR="001C49E1" w:rsidRPr="009E048A" w:rsidRDefault="001C49E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CAE1" w14:textId="77777777" w:rsidR="001C49E1" w:rsidRPr="00C37E61" w:rsidRDefault="001C49E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CA4C2" w14:textId="77777777" w:rsidR="003A39B4" w:rsidRDefault="003A39B4" w:rsidP="00C37E61">
      <w:r>
        <w:separator/>
      </w:r>
    </w:p>
  </w:footnote>
  <w:footnote w:type="continuationSeparator" w:id="0">
    <w:p w14:paraId="5F62B31E" w14:textId="77777777" w:rsidR="003A39B4" w:rsidRDefault="003A39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88EE" w14:textId="47AE8654" w:rsidR="00B15398" w:rsidRDefault="00B15398">
    <w:pPr>
      <w:pStyle w:val="Header"/>
    </w:pPr>
    <w:r>
      <w:rPr>
        <w:noProof/>
      </w:rPr>
      <w:pict w14:anchorId="325A2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13B7" w14:textId="02279F78" w:rsidR="00B15398" w:rsidRDefault="00B15398">
    <w:pPr>
      <w:pStyle w:val="Header"/>
    </w:pPr>
    <w:r>
      <w:rPr>
        <w:noProof/>
      </w:rPr>
      <w:pict w14:anchorId="242A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027B" w14:textId="42B9E8EC" w:rsidR="001C49E1" w:rsidRPr="00296529" w:rsidRDefault="00B15398" w:rsidP="00296529">
    <w:pPr>
      <w:ind w:left="2160"/>
      <w:jc w:val="center"/>
      <w:rPr>
        <w:rFonts w:ascii="Times New Roman" w:eastAsia="Calibri" w:hAnsi="Times New Roman"/>
        <w:i/>
        <w:sz w:val="18"/>
        <w:szCs w:val="22"/>
      </w:rPr>
    </w:pPr>
    <w:r>
      <w:rPr>
        <w:noProof/>
      </w:rPr>
      <w:pict w14:anchorId="6C639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AAE813" w14:textId="77777777" w:rsidR="001C49E1" w:rsidRPr="00296529" w:rsidRDefault="001C49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95EE02" w14:textId="77777777" w:rsidR="001C49E1" w:rsidRPr="00296529" w:rsidRDefault="001C49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D872AE" w14:textId="77777777" w:rsidR="001C49E1" w:rsidRPr="00296529" w:rsidRDefault="001C49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B460A4" w14:textId="77777777" w:rsidR="001C49E1" w:rsidRDefault="001C49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EC4ED8" w14:textId="77777777" w:rsidR="001C49E1" w:rsidRDefault="001C49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997115" w14:textId="77777777" w:rsidR="001C49E1" w:rsidRDefault="001C49E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30AF" w14:textId="7A857ECB" w:rsidR="00B15398" w:rsidRDefault="00B15398">
    <w:pPr>
      <w:pStyle w:val="Header"/>
    </w:pPr>
    <w:r>
      <w:rPr>
        <w:noProof/>
      </w:rPr>
      <w:pict w14:anchorId="3E1D0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2A22" w14:textId="3FCDE58F" w:rsidR="00B15398" w:rsidRDefault="00B15398">
    <w:pPr>
      <w:pStyle w:val="Header"/>
    </w:pPr>
    <w:r>
      <w:rPr>
        <w:noProof/>
      </w:rPr>
      <w:pict w14:anchorId="0526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D22B" w14:textId="75E85AE5" w:rsidR="00B15398" w:rsidRDefault="00B15398">
    <w:pPr>
      <w:pStyle w:val="Header"/>
    </w:pPr>
    <w:r>
      <w:rPr>
        <w:noProof/>
      </w:rPr>
      <w:pict w14:anchorId="2757F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C6F94"/>
    <w:multiLevelType w:val="hybridMultilevel"/>
    <w:tmpl w:val="94588F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39A2"/>
    <w:rsid w:val="000D689F"/>
    <w:rsid w:val="000E7B7B"/>
    <w:rsid w:val="000E7D62"/>
    <w:rsid w:val="00103357"/>
    <w:rsid w:val="00123C9F"/>
    <w:rsid w:val="00126190"/>
    <w:rsid w:val="00130F17"/>
    <w:rsid w:val="001320BF"/>
    <w:rsid w:val="00137D9C"/>
    <w:rsid w:val="00163BC4"/>
    <w:rsid w:val="00171A60"/>
    <w:rsid w:val="00191062"/>
    <w:rsid w:val="00192B72"/>
    <w:rsid w:val="001A29D8"/>
    <w:rsid w:val="001A5CAA"/>
    <w:rsid w:val="001B0427"/>
    <w:rsid w:val="001C49E1"/>
    <w:rsid w:val="001D3A51"/>
    <w:rsid w:val="001D4C24"/>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39B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3D3"/>
    <w:rsid w:val="006D30FF"/>
    <w:rsid w:val="006D6940"/>
    <w:rsid w:val="006F11EC"/>
    <w:rsid w:val="0070082C"/>
    <w:rsid w:val="007060E1"/>
    <w:rsid w:val="0073350A"/>
    <w:rsid w:val="007369E6"/>
    <w:rsid w:val="00746E59"/>
    <w:rsid w:val="00754C9A"/>
    <w:rsid w:val="0075599A"/>
    <w:rsid w:val="00761D52"/>
    <w:rsid w:val="0077749E"/>
    <w:rsid w:val="00790ADA"/>
    <w:rsid w:val="007D2288"/>
    <w:rsid w:val="007E088F"/>
    <w:rsid w:val="007F7B32"/>
    <w:rsid w:val="00804BC2"/>
    <w:rsid w:val="0081431A"/>
    <w:rsid w:val="0083216F"/>
    <w:rsid w:val="00854BFD"/>
    <w:rsid w:val="00860000"/>
    <w:rsid w:val="00863BD3"/>
    <w:rsid w:val="008641ED"/>
    <w:rsid w:val="00866D66"/>
    <w:rsid w:val="008671C6"/>
    <w:rsid w:val="00875803"/>
    <w:rsid w:val="008B459E"/>
    <w:rsid w:val="008E0AE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56F"/>
    <w:rsid w:val="009F5EC1"/>
    <w:rsid w:val="00A03B96"/>
    <w:rsid w:val="00A05B19"/>
    <w:rsid w:val="00A1134E"/>
    <w:rsid w:val="00A24E7E"/>
    <w:rsid w:val="00A258C3"/>
    <w:rsid w:val="00A347C0"/>
    <w:rsid w:val="00A51431"/>
    <w:rsid w:val="00A539AD"/>
    <w:rsid w:val="00A81A65"/>
    <w:rsid w:val="00A94063"/>
    <w:rsid w:val="00AA6219"/>
    <w:rsid w:val="00AA74E0"/>
    <w:rsid w:val="00AB703F"/>
    <w:rsid w:val="00AC6BB8"/>
    <w:rsid w:val="00AE008F"/>
    <w:rsid w:val="00B01FCD"/>
    <w:rsid w:val="00B15398"/>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332E"/>
    <w:rsid w:val="00C27F5F"/>
    <w:rsid w:val="00C30A0F"/>
    <w:rsid w:val="00C37E61"/>
    <w:rsid w:val="00C70F1B"/>
    <w:rsid w:val="00C71A47"/>
    <w:rsid w:val="00C7464C"/>
    <w:rsid w:val="00C85588"/>
    <w:rsid w:val="00CD6755"/>
    <w:rsid w:val="00CD6856"/>
    <w:rsid w:val="00CE0089"/>
    <w:rsid w:val="00CE2222"/>
    <w:rsid w:val="00CE793C"/>
    <w:rsid w:val="00CF193C"/>
    <w:rsid w:val="00D173F1"/>
    <w:rsid w:val="00D74CB0"/>
    <w:rsid w:val="00D8295D"/>
    <w:rsid w:val="00DC2A65"/>
    <w:rsid w:val="00DE15F0"/>
    <w:rsid w:val="00DE5663"/>
    <w:rsid w:val="00DE78AA"/>
    <w:rsid w:val="00E053D0"/>
    <w:rsid w:val="00E15994"/>
    <w:rsid w:val="00E2677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435C"/>
    <w:rsid w:val="00F40656"/>
    <w:rsid w:val="00F469F0"/>
    <w:rsid w:val="00F53273"/>
    <w:rsid w:val="00F755E4"/>
    <w:rsid w:val="00F77D02"/>
    <w:rsid w:val="00FB3A86"/>
    <w:rsid w:val="00FD36C8"/>
    <w:rsid w:val="00FF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B9F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A81A65"/>
    <w:rPr>
      <w:rFonts w:ascii="Times New Roman" w:hAnsi="Times New Roman"/>
      <w:sz w:val="24"/>
      <w:szCs w:val="24"/>
    </w:rPr>
  </w:style>
  <w:style w:type="character" w:styleId="UnresolvedMention">
    <w:name w:val="Unresolved Mention"/>
    <w:basedOn w:val="DefaultParagraphFont"/>
    <w:uiPriority w:val="99"/>
    <w:semiHidden/>
    <w:unhideWhenUsed/>
    <w:rsid w:val="0070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0936470">
      <w:bodyDiv w:val="1"/>
      <w:marLeft w:val="0"/>
      <w:marRight w:val="0"/>
      <w:marTop w:val="0"/>
      <w:marBottom w:val="0"/>
      <w:divBdr>
        <w:top w:val="none" w:sz="0" w:space="0" w:color="auto"/>
        <w:left w:val="none" w:sz="0" w:space="0" w:color="auto"/>
        <w:bottom w:val="none" w:sz="0" w:space="0" w:color="auto"/>
        <w:right w:val="none" w:sz="0" w:space="0" w:color="auto"/>
      </w:divBdr>
    </w:div>
    <w:div w:id="33238335">
      <w:bodyDiv w:val="1"/>
      <w:marLeft w:val="0"/>
      <w:marRight w:val="0"/>
      <w:marTop w:val="0"/>
      <w:marBottom w:val="0"/>
      <w:divBdr>
        <w:top w:val="none" w:sz="0" w:space="0" w:color="auto"/>
        <w:left w:val="none" w:sz="0" w:space="0" w:color="auto"/>
        <w:bottom w:val="none" w:sz="0" w:space="0" w:color="auto"/>
        <w:right w:val="none" w:sz="0" w:space="0" w:color="auto"/>
      </w:divBdr>
    </w:div>
    <w:div w:id="48457661">
      <w:bodyDiv w:val="1"/>
      <w:marLeft w:val="0"/>
      <w:marRight w:val="0"/>
      <w:marTop w:val="0"/>
      <w:marBottom w:val="0"/>
      <w:divBdr>
        <w:top w:val="none" w:sz="0" w:space="0" w:color="auto"/>
        <w:left w:val="none" w:sz="0" w:space="0" w:color="auto"/>
        <w:bottom w:val="none" w:sz="0" w:space="0" w:color="auto"/>
        <w:right w:val="none" w:sz="0" w:space="0" w:color="auto"/>
      </w:divBdr>
    </w:div>
    <w:div w:id="1091320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695344">
      <w:bodyDiv w:val="1"/>
      <w:marLeft w:val="0"/>
      <w:marRight w:val="0"/>
      <w:marTop w:val="0"/>
      <w:marBottom w:val="0"/>
      <w:divBdr>
        <w:top w:val="none" w:sz="0" w:space="0" w:color="auto"/>
        <w:left w:val="none" w:sz="0" w:space="0" w:color="auto"/>
        <w:bottom w:val="none" w:sz="0" w:space="0" w:color="auto"/>
        <w:right w:val="none" w:sz="0" w:space="0" w:color="auto"/>
      </w:divBdr>
    </w:div>
    <w:div w:id="1784002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659351">
      <w:bodyDiv w:val="1"/>
      <w:marLeft w:val="0"/>
      <w:marRight w:val="0"/>
      <w:marTop w:val="0"/>
      <w:marBottom w:val="0"/>
      <w:divBdr>
        <w:top w:val="none" w:sz="0" w:space="0" w:color="auto"/>
        <w:left w:val="none" w:sz="0" w:space="0" w:color="auto"/>
        <w:bottom w:val="none" w:sz="0" w:space="0" w:color="auto"/>
        <w:right w:val="none" w:sz="0" w:space="0" w:color="auto"/>
      </w:divBdr>
    </w:div>
    <w:div w:id="258149466">
      <w:bodyDiv w:val="1"/>
      <w:marLeft w:val="0"/>
      <w:marRight w:val="0"/>
      <w:marTop w:val="0"/>
      <w:marBottom w:val="0"/>
      <w:divBdr>
        <w:top w:val="none" w:sz="0" w:space="0" w:color="auto"/>
        <w:left w:val="none" w:sz="0" w:space="0" w:color="auto"/>
        <w:bottom w:val="none" w:sz="0" w:space="0" w:color="auto"/>
        <w:right w:val="none" w:sz="0" w:space="0" w:color="auto"/>
      </w:divBdr>
    </w:div>
    <w:div w:id="312612607">
      <w:bodyDiv w:val="1"/>
      <w:marLeft w:val="0"/>
      <w:marRight w:val="0"/>
      <w:marTop w:val="0"/>
      <w:marBottom w:val="0"/>
      <w:divBdr>
        <w:top w:val="none" w:sz="0" w:space="0" w:color="auto"/>
        <w:left w:val="none" w:sz="0" w:space="0" w:color="auto"/>
        <w:bottom w:val="none" w:sz="0" w:space="0" w:color="auto"/>
        <w:right w:val="none" w:sz="0" w:space="0" w:color="auto"/>
      </w:divBdr>
    </w:div>
    <w:div w:id="323583117">
      <w:bodyDiv w:val="1"/>
      <w:marLeft w:val="0"/>
      <w:marRight w:val="0"/>
      <w:marTop w:val="0"/>
      <w:marBottom w:val="0"/>
      <w:divBdr>
        <w:top w:val="none" w:sz="0" w:space="0" w:color="auto"/>
        <w:left w:val="none" w:sz="0" w:space="0" w:color="auto"/>
        <w:bottom w:val="none" w:sz="0" w:space="0" w:color="auto"/>
        <w:right w:val="none" w:sz="0" w:space="0" w:color="auto"/>
      </w:divBdr>
    </w:div>
    <w:div w:id="348482604">
      <w:bodyDiv w:val="1"/>
      <w:marLeft w:val="0"/>
      <w:marRight w:val="0"/>
      <w:marTop w:val="0"/>
      <w:marBottom w:val="0"/>
      <w:divBdr>
        <w:top w:val="none" w:sz="0" w:space="0" w:color="auto"/>
        <w:left w:val="none" w:sz="0" w:space="0" w:color="auto"/>
        <w:bottom w:val="none" w:sz="0" w:space="0" w:color="auto"/>
        <w:right w:val="none" w:sz="0" w:space="0" w:color="auto"/>
      </w:divBdr>
    </w:div>
    <w:div w:id="350496156">
      <w:bodyDiv w:val="1"/>
      <w:marLeft w:val="0"/>
      <w:marRight w:val="0"/>
      <w:marTop w:val="0"/>
      <w:marBottom w:val="0"/>
      <w:divBdr>
        <w:top w:val="none" w:sz="0" w:space="0" w:color="auto"/>
        <w:left w:val="none" w:sz="0" w:space="0" w:color="auto"/>
        <w:bottom w:val="none" w:sz="0" w:space="0" w:color="auto"/>
        <w:right w:val="none" w:sz="0" w:space="0" w:color="auto"/>
      </w:divBdr>
    </w:div>
    <w:div w:id="353580752">
      <w:bodyDiv w:val="1"/>
      <w:marLeft w:val="0"/>
      <w:marRight w:val="0"/>
      <w:marTop w:val="0"/>
      <w:marBottom w:val="0"/>
      <w:divBdr>
        <w:top w:val="none" w:sz="0" w:space="0" w:color="auto"/>
        <w:left w:val="none" w:sz="0" w:space="0" w:color="auto"/>
        <w:bottom w:val="none" w:sz="0" w:space="0" w:color="auto"/>
        <w:right w:val="none" w:sz="0" w:space="0" w:color="auto"/>
      </w:divBdr>
    </w:div>
    <w:div w:id="444544145">
      <w:bodyDiv w:val="1"/>
      <w:marLeft w:val="0"/>
      <w:marRight w:val="0"/>
      <w:marTop w:val="0"/>
      <w:marBottom w:val="0"/>
      <w:divBdr>
        <w:top w:val="none" w:sz="0" w:space="0" w:color="auto"/>
        <w:left w:val="none" w:sz="0" w:space="0" w:color="auto"/>
        <w:bottom w:val="none" w:sz="0" w:space="0" w:color="auto"/>
        <w:right w:val="none" w:sz="0" w:space="0" w:color="auto"/>
      </w:divBdr>
    </w:div>
    <w:div w:id="449710978">
      <w:bodyDiv w:val="1"/>
      <w:marLeft w:val="0"/>
      <w:marRight w:val="0"/>
      <w:marTop w:val="0"/>
      <w:marBottom w:val="0"/>
      <w:divBdr>
        <w:top w:val="none" w:sz="0" w:space="0" w:color="auto"/>
        <w:left w:val="none" w:sz="0" w:space="0" w:color="auto"/>
        <w:bottom w:val="none" w:sz="0" w:space="0" w:color="auto"/>
        <w:right w:val="none" w:sz="0" w:space="0" w:color="auto"/>
      </w:divBdr>
    </w:div>
    <w:div w:id="457992848">
      <w:bodyDiv w:val="1"/>
      <w:marLeft w:val="0"/>
      <w:marRight w:val="0"/>
      <w:marTop w:val="0"/>
      <w:marBottom w:val="0"/>
      <w:divBdr>
        <w:top w:val="none" w:sz="0" w:space="0" w:color="auto"/>
        <w:left w:val="none" w:sz="0" w:space="0" w:color="auto"/>
        <w:bottom w:val="none" w:sz="0" w:space="0" w:color="auto"/>
        <w:right w:val="none" w:sz="0" w:space="0" w:color="auto"/>
      </w:divBdr>
    </w:div>
    <w:div w:id="524178832">
      <w:bodyDiv w:val="1"/>
      <w:marLeft w:val="0"/>
      <w:marRight w:val="0"/>
      <w:marTop w:val="0"/>
      <w:marBottom w:val="0"/>
      <w:divBdr>
        <w:top w:val="none" w:sz="0" w:space="0" w:color="auto"/>
        <w:left w:val="none" w:sz="0" w:space="0" w:color="auto"/>
        <w:bottom w:val="none" w:sz="0" w:space="0" w:color="auto"/>
        <w:right w:val="none" w:sz="0" w:space="0" w:color="auto"/>
      </w:divBdr>
    </w:div>
    <w:div w:id="543561786">
      <w:bodyDiv w:val="1"/>
      <w:marLeft w:val="0"/>
      <w:marRight w:val="0"/>
      <w:marTop w:val="0"/>
      <w:marBottom w:val="0"/>
      <w:divBdr>
        <w:top w:val="none" w:sz="0" w:space="0" w:color="auto"/>
        <w:left w:val="none" w:sz="0" w:space="0" w:color="auto"/>
        <w:bottom w:val="none" w:sz="0" w:space="0" w:color="auto"/>
        <w:right w:val="none" w:sz="0" w:space="0" w:color="auto"/>
      </w:divBdr>
    </w:div>
    <w:div w:id="585069880">
      <w:bodyDiv w:val="1"/>
      <w:marLeft w:val="0"/>
      <w:marRight w:val="0"/>
      <w:marTop w:val="0"/>
      <w:marBottom w:val="0"/>
      <w:divBdr>
        <w:top w:val="none" w:sz="0" w:space="0" w:color="auto"/>
        <w:left w:val="none" w:sz="0" w:space="0" w:color="auto"/>
        <w:bottom w:val="none" w:sz="0" w:space="0" w:color="auto"/>
        <w:right w:val="none" w:sz="0" w:space="0" w:color="auto"/>
      </w:divBdr>
    </w:div>
    <w:div w:id="5942882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017905">
      <w:bodyDiv w:val="1"/>
      <w:marLeft w:val="0"/>
      <w:marRight w:val="0"/>
      <w:marTop w:val="0"/>
      <w:marBottom w:val="0"/>
      <w:divBdr>
        <w:top w:val="none" w:sz="0" w:space="0" w:color="auto"/>
        <w:left w:val="none" w:sz="0" w:space="0" w:color="auto"/>
        <w:bottom w:val="none" w:sz="0" w:space="0" w:color="auto"/>
        <w:right w:val="none" w:sz="0" w:space="0" w:color="auto"/>
      </w:divBdr>
    </w:div>
    <w:div w:id="689793254">
      <w:bodyDiv w:val="1"/>
      <w:marLeft w:val="0"/>
      <w:marRight w:val="0"/>
      <w:marTop w:val="0"/>
      <w:marBottom w:val="0"/>
      <w:divBdr>
        <w:top w:val="none" w:sz="0" w:space="0" w:color="auto"/>
        <w:left w:val="none" w:sz="0" w:space="0" w:color="auto"/>
        <w:bottom w:val="none" w:sz="0" w:space="0" w:color="auto"/>
        <w:right w:val="none" w:sz="0" w:space="0" w:color="auto"/>
      </w:divBdr>
    </w:div>
    <w:div w:id="821971942">
      <w:bodyDiv w:val="1"/>
      <w:marLeft w:val="0"/>
      <w:marRight w:val="0"/>
      <w:marTop w:val="0"/>
      <w:marBottom w:val="0"/>
      <w:divBdr>
        <w:top w:val="none" w:sz="0" w:space="0" w:color="auto"/>
        <w:left w:val="none" w:sz="0" w:space="0" w:color="auto"/>
        <w:bottom w:val="none" w:sz="0" w:space="0" w:color="auto"/>
        <w:right w:val="none" w:sz="0" w:space="0" w:color="auto"/>
      </w:divBdr>
    </w:div>
    <w:div w:id="867109672">
      <w:bodyDiv w:val="1"/>
      <w:marLeft w:val="0"/>
      <w:marRight w:val="0"/>
      <w:marTop w:val="0"/>
      <w:marBottom w:val="0"/>
      <w:divBdr>
        <w:top w:val="none" w:sz="0" w:space="0" w:color="auto"/>
        <w:left w:val="none" w:sz="0" w:space="0" w:color="auto"/>
        <w:bottom w:val="none" w:sz="0" w:space="0" w:color="auto"/>
        <w:right w:val="none" w:sz="0" w:space="0" w:color="auto"/>
      </w:divBdr>
    </w:div>
    <w:div w:id="919142684">
      <w:bodyDiv w:val="1"/>
      <w:marLeft w:val="0"/>
      <w:marRight w:val="0"/>
      <w:marTop w:val="0"/>
      <w:marBottom w:val="0"/>
      <w:divBdr>
        <w:top w:val="none" w:sz="0" w:space="0" w:color="auto"/>
        <w:left w:val="none" w:sz="0" w:space="0" w:color="auto"/>
        <w:bottom w:val="none" w:sz="0" w:space="0" w:color="auto"/>
        <w:right w:val="none" w:sz="0" w:space="0" w:color="auto"/>
      </w:divBdr>
    </w:div>
    <w:div w:id="922832631">
      <w:bodyDiv w:val="1"/>
      <w:marLeft w:val="0"/>
      <w:marRight w:val="0"/>
      <w:marTop w:val="0"/>
      <w:marBottom w:val="0"/>
      <w:divBdr>
        <w:top w:val="none" w:sz="0" w:space="0" w:color="auto"/>
        <w:left w:val="none" w:sz="0" w:space="0" w:color="auto"/>
        <w:bottom w:val="none" w:sz="0" w:space="0" w:color="auto"/>
        <w:right w:val="none" w:sz="0" w:space="0" w:color="auto"/>
      </w:divBdr>
    </w:div>
    <w:div w:id="9809649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874614">
      <w:bodyDiv w:val="1"/>
      <w:marLeft w:val="0"/>
      <w:marRight w:val="0"/>
      <w:marTop w:val="0"/>
      <w:marBottom w:val="0"/>
      <w:divBdr>
        <w:top w:val="none" w:sz="0" w:space="0" w:color="auto"/>
        <w:left w:val="none" w:sz="0" w:space="0" w:color="auto"/>
        <w:bottom w:val="none" w:sz="0" w:space="0" w:color="auto"/>
        <w:right w:val="none" w:sz="0" w:space="0" w:color="auto"/>
      </w:divBdr>
    </w:div>
    <w:div w:id="10057404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964287">
      <w:bodyDiv w:val="1"/>
      <w:marLeft w:val="0"/>
      <w:marRight w:val="0"/>
      <w:marTop w:val="0"/>
      <w:marBottom w:val="0"/>
      <w:divBdr>
        <w:top w:val="none" w:sz="0" w:space="0" w:color="auto"/>
        <w:left w:val="none" w:sz="0" w:space="0" w:color="auto"/>
        <w:bottom w:val="none" w:sz="0" w:space="0" w:color="auto"/>
        <w:right w:val="none" w:sz="0" w:space="0" w:color="auto"/>
      </w:divBdr>
    </w:div>
    <w:div w:id="1030181419">
      <w:bodyDiv w:val="1"/>
      <w:marLeft w:val="0"/>
      <w:marRight w:val="0"/>
      <w:marTop w:val="0"/>
      <w:marBottom w:val="0"/>
      <w:divBdr>
        <w:top w:val="none" w:sz="0" w:space="0" w:color="auto"/>
        <w:left w:val="none" w:sz="0" w:space="0" w:color="auto"/>
        <w:bottom w:val="none" w:sz="0" w:space="0" w:color="auto"/>
        <w:right w:val="none" w:sz="0" w:space="0" w:color="auto"/>
      </w:divBdr>
    </w:div>
    <w:div w:id="10550818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222440">
      <w:bodyDiv w:val="1"/>
      <w:marLeft w:val="0"/>
      <w:marRight w:val="0"/>
      <w:marTop w:val="0"/>
      <w:marBottom w:val="0"/>
      <w:divBdr>
        <w:top w:val="none" w:sz="0" w:space="0" w:color="auto"/>
        <w:left w:val="none" w:sz="0" w:space="0" w:color="auto"/>
        <w:bottom w:val="none" w:sz="0" w:space="0" w:color="auto"/>
        <w:right w:val="none" w:sz="0" w:space="0" w:color="auto"/>
      </w:divBdr>
    </w:div>
    <w:div w:id="1124887523">
      <w:bodyDiv w:val="1"/>
      <w:marLeft w:val="0"/>
      <w:marRight w:val="0"/>
      <w:marTop w:val="0"/>
      <w:marBottom w:val="0"/>
      <w:divBdr>
        <w:top w:val="none" w:sz="0" w:space="0" w:color="auto"/>
        <w:left w:val="none" w:sz="0" w:space="0" w:color="auto"/>
        <w:bottom w:val="none" w:sz="0" w:space="0" w:color="auto"/>
        <w:right w:val="none" w:sz="0" w:space="0" w:color="auto"/>
      </w:divBdr>
    </w:div>
    <w:div w:id="1193499988">
      <w:bodyDiv w:val="1"/>
      <w:marLeft w:val="0"/>
      <w:marRight w:val="0"/>
      <w:marTop w:val="0"/>
      <w:marBottom w:val="0"/>
      <w:divBdr>
        <w:top w:val="none" w:sz="0" w:space="0" w:color="auto"/>
        <w:left w:val="none" w:sz="0" w:space="0" w:color="auto"/>
        <w:bottom w:val="none" w:sz="0" w:space="0" w:color="auto"/>
        <w:right w:val="none" w:sz="0" w:space="0" w:color="auto"/>
      </w:divBdr>
    </w:div>
    <w:div w:id="1216040500">
      <w:bodyDiv w:val="1"/>
      <w:marLeft w:val="0"/>
      <w:marRight w:val="0"/>
      <w:marTop w:val="0"/>
      <w:marBottom w:val="0"/>
      <w:divBdr>
        <w:top w:val="none" w:sz="0" w:space="0" w:color="auto"/>
        <w:left w:val="none" w:sz="0" w:space="0" w:color="auto"/>
        <w:bottom w:val="none" w:sz="0" w:space="0" w:color="auto"/>
        <w:right w:val="none" w:sz="0" w:space="0" w:color="auto"/>
      </w:divBdr>
    </w:div>
    <w:div w:id="1219973660">
      <w:bodyDiv w:val="1"/>
      <w:marLeft w:val="0"/>
      <w:marRight w:val="0"/>
      <w:marTop w:val="0"/>
      <w:marBottom w:val="0"/>
      <w:divBdr>
        <w:top w:val="none" w:sz="0" w:space="0" w:color="auto"/>
        <w:left w:val="none" w:sz="0" w:space="0" w:color="auto"/>
        <w:bottom w:val="none" w:sz="0" w:space="0" w:color="auto"/>
        <w:right w:val="none" w:sz="0" w:space="0" w:color="auto"/>
      </w:divBdr>
    </w:div>
    <w:div w:id="1240482440">
      <w:bodyDiv w:val="1"/>
      <w:marLeft w:val="0"/>
      <w:marRight w:val="0"/>
      <w:marTop w:val="0"/>
      <w:marBottom w:val="0"/>
      <w:divBdr>
        <w:top w:val="none" w:sz="0" w:space="0" w:color="auto"/>
        <w:left w:val="none" w:sz="0" w:space="0" w:color="auto"/>
        <w:bottom w:val="none" w:sz="0" w:space="0" w:color="auto"/>
        <w:right w:val="none" w:sz="0" w:space="0" w:color="auto"/>
      </w:divBdr>
    </w:div>
    <w:div w:id="1248073498">
      <w:bodyDiv w:val="1"/>
      <w:marLeft w:val="0"/>
      <w:marRight w:val="0"/>
      <w:marTop w:val="0"/>
      <w:marBottom w:val="0"/>
      <w:divBdr>
        <w:top w:val="none" w:sz="0" w:space="0" w:color="auto"/>
        <w:left w:val="none" w:sz="0" w:space="0" w:color="auto"/>
        <w:bottom w:val="none" w:sz="0" w:space="0" w:color="auto"/>
        <w:right w:val="none" w:sz="0" w:space="0" w:color="auto"/>
      </w:divBdr>
    </w:div>
    <w:div w:id="1278096667">
      <w:bodyDiv w:val="1"/>
      <w:marLeft w:val="0"/>
      <w:marRight w:val="0"/>
      <w:marTop w:val="0"/>
      <w:marBottom w:val="0"/>
      <w:divBdr>
        <w:top w:val="none" w:sz="0" w:space="0" w:color="auto"/>
        <w:left w:val="none" w:sz="0" w:space="0" w:color="auto"/>
        <w:bottom w:val="none" w:sz="0" w:space="0" w:color="auto"/>
        <w:right w:val="none" w:sz="0" w:space="0" w:color="auto"/>
      </w:divBdr>
    </w:div>
    <w:div w:id="1338922226">
      <w:bodyDiv w:val="1"/>
      <w:marLeft w:val="0"/>
      <w:marRight w:val="0"/>
      <w:marTop w:val="0"/>
      <w:marBottom w:val="0"/>
      <w:divBdr>
        <w:top w:val="none" w:sz="0" w:space="0" w:color="auto"/>
        <w:left w:val="none" w:sz="0" w:space="0" w:color="auto"/>
        <w:bottom w:val="none" w:sz="0" w:space="0" w:color="auto"/>
        <w:right w:val="none" w:sz="0" w:space="0" w:color="auto"/>
      </w:divBdr>
    </w:div>
    <w:div w:id="1417357989">
      <w:bodyDiv w:val="1"/>
      <w:marLeft w:val="0"/>
      <w:marRight w:val="0"/>
      <w:marTop w:val="0"/>
      <w:marBottom w:val="0"/>
      <w:divBdr>
        <w:top w:val="none" w:sz="0" w:space="0" w:color="auto"/>
        <w:left w:val="none" w:sz="0" w:space="0" w:color="auto"/>
        <w:bottom w:val="none" w:sz="0" w:space="0" w:color="auto"/>
        <w:right w:val="none" w:sz="0" w:space="0" w:color="auto"/>
      </w:divBdr>
    </w:div>
    <w:div w:id="1421177268">
      <w:bodyDiv w:val="1"/>
      <w:marLeft w:val="0"/>
      <w:marRight w:val="0"/>
      <w:marTop w:val="0"/>
      <w:marBottom w:val="0"/>
      <w:divBdr>
        <w:top w:val="none" w:sz="0" w:space="0" w:color="auto"/>
        <w:left w:val="none" w:sz="0" w:space="0" w:color="auto"/>
        <w:bottom w:val="none" w:sz="0" w:space="0" w:color="auto"/>
        <w:right w:val="none" w:sz="0" w:space="0" w:color="auto"/>
      </w:divBdr>
    </w:div>
    <w:div w:id="1467822557">
      <w:bodyDiv w:val="1"/>
      <w:marLeft w:val="0"/>
      <w:marRight w:val="0"/>
      <w:marTop w:val="0"/>
      <w:marBottom w:val="0"/>
      <w:divBdr>
        <w:top w:val="none" w:sz="0" w:space="0" w:color="auto"/>
        <w:left w:val="none" w:sz="0" w:space="0" w:color="auto"/>
        <w:bottom w:val="none" w:sz="0" w:space="0" w:color="auto"/>
        <w:right w:val="none" w:sz="0" w:space="0" w:color="auto"/>
      </w:divBdr>
    </w:div>
    <w:div w:id="1472944831">
      <w:bodyDiv w:val="1"/>
      <w:marLeft w:val="0"/>
      <w:marRight w:val="0"/>
      <w:marTop w:val="0"/>
      <w:marBottom w:val="0"/>
      <w:divBdr>
        <w:top w:val="none" w:sz="0" w:space="0" w:color="auto"/>
        <w:left w:val="none" w:sz="0" w:space="0" w:color="auto"/>
        <w:bottom w:val="none" w:sz="0" w:space="0" w:color="auto"/>
        <w:right w:val="none" w:sz="0" w:space="0" w:color="auto"/>
      </w:divBdr>
    </w:div>
    <w:div w:id="1479374501">
      <w:bodyDiv w:val="1"/>
      <w:marLeft w:val="0"/>
      <w:marRight w:val="0"/>
      <w:marTop w:val="0"/>
      <w:marBottom w:val="0"/>
      <w:divBdr>
        <w:top w:val="none" w:sz="0" w:space="0" w:color="auto"/>
        <w:left w:val="none" w:sz="0" w:space="0" w:color="auto"/>
        <w:bottom w:val="none" w:sz="0" w:space="0" w:color="auto"/>
        <w:right w:val="none" w:sz="0" w:space="0" w:color="auto"/>
      </w:divBdr>
    </w:div>
    <w:div w:id="1481338224">
      <w:bodyDiv w:val="1"/>
      <w:marLeft w:val="0"/>
      <w:marRight w:val="0"/>
      <w:marTop w:val="0"/>
      <w:marBottom w:val="0"/>
      <w:divBdr>
        <w:top w:val="none" w:sz="0" w:space="0" w:color="auto"/>
        <w:left w:val="none" w:sz="0" w:space="0" w:color="auto"/>
        <w:bottom w:val="none" w:sz="0" w:space="0" w:color="auto"/>
        <w:right w:val="none" w:sz="0" w:space="0" w:color="auto"/>
      </w:divBdr>
    </w:div>
    <w:div w:id="1498232044">
      <w:bodyDiv w:val="1"/>
      <w:marLeft w:val="0"/>
      <w:marRight w:val="0"/>
      <w:marTop w:val="0"/>
      <w:marBottom w:val="0"/>
      <w:divBdr>
        <w:top w:val="none" w:sz="0" w:space="0" w:color="auto"/>
        <w:left w:val="none" w:sz="0" w:space="0" w:color="auto"/>
        <w:bottom w:val="none" w:sz="0" w:space="0" w:color="auto"/>
        <w:right w:val="none" w:sz="0" w:space="0" w:color="auto"/>
      </w:divBdr>
    </w:div>
    <w:div w:id="1563366747">
      <w:bodyDiv w:val="1"/>
      <w:marLeft w:val="0"/>
      <w:marRight w:val="0"/>
      <w:marTop w:val="0"/>
      <w:marBottom w:val="0"/>
      <w:divBdr>
        <w:top w:val="none" w:sz="0" w:space="0" w:color="auto"/>
        <w:left w:val="none" w:sz="0" w:space="0" w:color="auto"/>
        <w:bottom w:val="none" w:sz="0" w:space="0" w:color="auto"/>
        <w:right w:val="none" w:sz="0" w:space="0" w:color="auto"/>
      </w:divBdr>
    </w:div>
    <w:div w:id="1590045468">
      <w:bodyDiv w:val="1"/>
      <w:marLeft w:val="0"/>
      <w:marRight w:val="0"/>
      <w:marTop w:val="0"/>
      <w:marBottom w:val="0"/>
      <w:divBdr>
        <w:top w:val="none" w:sz="0" w:space="0" w:color="auto"/>
        <w:left w:val="none" w:sz="0" w:space="0" w:color="auto"/>
        <w:bottom w:val="none" w:sz="0" w:space="0" w:color="auto"/>
        <w:right w:val="none" w:sz="0" w:space="0" w:color="auto"/>
      </w:divBdr>
    </w:div>
    <w:div w:id="1592660332">
      <w:bodyDiv w:val="1"/>
      <w:marLeft w:val="0"/>
      <w:marRight w:val="0"/>
      <w:marTop w:val="0"/>
      <w:marBottom w:val="0"/>
      <w:divBdr>
        <w:top w:val="none" w:sz="0" w:space="0" w:color="auto"/>
        <w:left w:val="none" w:sz="0" w:space="0" w:color="auto"/>
        <w:bottom w:val="none" w:sz="0" w:space="0" w:color="auto"/>
        <w:right w:val="none" w:sz="0" w:space="0" w:color="auto"/>
      </w:divBdr>
    </w:div>
    <w:div w:id="1607811998">
      <w:bodyDiv w:val="1"/>
      <w:marLeft w:val="0"/>
      <w:marRight w:val="0"/>
      <w:marTop w:val="0"/>
      <w:marBottom w:val="0"/>
      <w:divBdr>
        <w:top w:val="none" w:sz="0" w:space="0" w:color="auto"/>
        <w:left w:val="none" w:sz="0" w:space="0" w:color="auto"/>
        <w:bottom w:val="none" w:sz="0" w:space="0" w:color="auto"/>
        <w:right w:val="none" w:sz="0" w:space="0" w:color="auto"/>
      </w:divBdr>
    </w:div>
    <w:div w:id="1633704855">
      <w:bodyDiv w:val="1"/>
      <w:marLeft w:val="0"/>
      <w:marRight w:val="0"/>
      <w:marTop w:val="0"/>
      <w:marBottom w:val="0"/>
      <w:divBdr>
        <w:top w:val="none" w:sz="0" w:space="0" w:color="auto"/>
        <w:left w:val="none" w:sz="0" w:space="0" w:color="auto"/>
        <w:bottom w:val="none" w:sz="0" w:space="0" w:color="auto"/>
        <w:right w:val="none" w:sz="0" w:space="0" w:color="auto"/>
      </w:divBdr>
    </w:div>
    <w:div w:id="1661345289">
      <w:bodyDiv w:val="1"/>
      <w:marLeft w:val="0"/>
      <w:marRight w:val="0"/>
      <w:marTop w:val="0"/>
      <w:marBottom w:val="0"/>
      <w:divBdr>
        <w:top w:val="none" w:sz="0" w:space="0" w:color="auto"/>
        <w:left w:val="none" w:sz="0" w:space="0" w:color="auto"/>
        <w:bottom w:val="none" w:sz="0" w:space="0" w:color="auto"/>
        <w:right w:val="none" w:sz="0" w:space="0" w:color="auto"/>
      </w:divBdr>
    </w:div>
    <w:div w:id="17109521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637561">
      <w:bodyDiv w:val="1"/>
      <w:marLeft w:val="0"/>
      <w:marRight w:val="0"/>
      <w:marTop w:val="0"/>
      <w:marBottom w:val="0"/>
      <w:divBdr>
        <w:top w:val="none" w:sz="0" w:space="0" w:color="auto"/>
        <w:left w:val="none" w:sz="0" w:space="0" w:color="auto"/>
        <w:bottom w:val="none" w:sz="0" w:space="0" w:color="auto"/>
        <w:right w:val="none" w:sz="0" w:space="0" w:color="auto"/>
      </w:divBdr>
    </w:div>
    <w:div w:id="1847206471">
      <w:bodyDiv w:val="1"/>
      <w:marLeft w:val="0"/>
      <w:marRight w:val="0"/>
      <w:marTop w:val="0"/>
      <w:marBottom w:val="0"/>
      <w:divBdr>
        <w:top w:val="none" w:sz="0" w:space="0" w:color="auto"/>
        <w:left w:val="none" w:sz="0" w:space="0" w:color="auto"/>
        <w:bottom w:val="none" w:sz="0" w:space="0" w:color="auto"/>
        <w:right w:val="none" w:sz="0" w:space="0" w:color="auto"/>
      </w:divBdr>
    </w:div>
    <w:div w:id="1848330363">
      <w:bodyDiv w:val="1"/>
      <w:marLeft w:val="0"/>
      <w:marRight w:val="0"/>
      <w:marTop w:val="0"/>
      <w:marBottom w:val="0"/>
      <w:divBdr>
        <w:top w:val="none" w:sz="0" w:space="0" w:color="auto"/>
        <w:left w:val="none" w:sz="0" w:space="0" w:color="auto"/>
        <w:bottom w:val="none" w:sz="0" w:space="0" w:color="auto"/>
        <w:right w:val="none" w:sz="0" w:space="0" w:color="auto"/>
      </w:divBdr>
    </w:div>
    <w:div w:id="1882548330">
      <w:bodyDiv w:val="1"/>
      <w:marLeft w:val="0"/>
      <w:marRight w:val="0"/>
      <w:marTop w:val="0"/>
      <w:marBottom w:val="0"/>
      <w:divBdr>
        <w:top w:val="none" w:sz="0" w:space="0" w:color="auto"/>
        <w:left w:val="none" w:sz="0" w:space="0" w:color="auto"/>
        <w:bottom w:val="none" w:sz="0" w:space="0" w:color="auto"/>
        <w:right w:val="none" w:sz="0" w:space="0" w:color="auto"/>
      </w:divBdr>
    </w:div>
    <w:div w:id="19677398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009096">
      <w:bodyDiv w:val="1"/>
      <w:marLeft w:val="0"/>
      <w:marRight w:val="0"/>
      <w:marTop w:val="0"/>
      <w:marBottom w:val="0"/>
      <w:divBdr>
        <w:top w:val="none" w:sz="0" w:space="0" w:color="auto"/>
        <w:left w:val="none" w:sz="0" w:space="0" w:color="auto"/>
        <w:bottom w:val="none" w:sz="0" w:space="0" w:color="auto"/>
        <w:right w:val="none" w:sz="0" w:space="0" w:color="auto"/>
      </w:divBdr>
    </w:div>
    <w:div w:id="2006786931">
      <w:bodyDiv w:val="1"/>
      <w:marLeft w:val="0"/>
      <w:marRight w:val="0"/>
      <w:marTop w:val="0"/>
      <w:marBottom w:val="0"/>
      <w:divBdr>
        <w:top w:val="none" w:sz="0" w:space="0" w:color="auto"/>
        <w:left w:val="none" w:sz="0" w:space="0" w:color="auto"/>
        <w:bottom w:val="none" w:sz="0" w:space="0" w:color="auto"/>
        <w:right w:val="none" w:sz="0" w:space="0" w:color="auto"/>
      </w:divBdr>
    </w:div>
    <w:div w:id="2025933131">
      <w:bodyDiv w:val="1"/>
      <w:marLeft w:val="0"/>
      <w:marRight w:val="0"/>
      <w:marTop w:val="0"/>
      <w:marBottom w:val="0"/>
      <w:divBdr>
        <w:top w:val="none" w:sz="0" w:space="0" w:color="auto"/>
        <w:left w:val="none" w:sz="0" w:space="0" w:color="auto"/>
        <w:bottom w:val="none" w:sz="0" w:space="0" w:color="auto"/>
        <w:right w:val="none" w:sz="0" w:space="0" w:color="auto"/>
      </w:divBdr>
    </w:div>
    <w:div w:id="2078437678">
      <w:bodyDiv w:val="1"/>
      <w:marLeft w:val="0"/>
      <w:marRight w:val="0"/>
      <w:marTop w:val="0"/>
      <w:marBottom w:val="0"/>
      <w:divBdr>
        <w:top w:val="none" w:sz="0" w:space="0" w:color="auto"/>
        <w:left w:val="none" w:sz="0" w:space="0" w:color="auto"/>
        <w:bottom w:val="none" w:sz="0" w:space="0" w:color="auto"/>
        <w:right w:val="none" w:sz="0" w:space="0" w:color="auto"/>
      </w:divBdr>
    </w:div>
    <w:div w:id="2128042119">
      <w:bodyDiv w:val="1"/>
      <w:marLeft w:val="0"/>
      <w:marRight w:val="0"/>
      <w:marTop w:val="0"/>
      <w:marBottom w:val="0"/>
      <w:divBdr>
        <w:top w:val="none" w:sz="0" w:space="0" w:color="auto"/>
        <w:left w:val="none" w:sz="0" w:space="0" w:color="auto"/>
        <w:bottom w:val="none" w:sz="0" w:space="0" w:color="auto"/>
        <w:right w:val="none" w:sz="0" w:space="0" w:color="auto"/>
      </w:divBdr>
    </w:div>
    <w:div w:id="21429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5E99-7F3C-4212-8ABE-335948D5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9</Pages>
  <Words>7380</Words>
  <Characters>42067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c9d71cdb-d323-451e-bb74-f850573bb501</vt:lpwstr>
  </property>
</Properties>
</file>