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F7E8" w14:textId="77777777" w:rsidR="00A46310" w:rsidRPr="00AD4936" w:rsidRDefault="00B676CE" w:rsidP="005866A5">
      <w:pPr>
        <w:spacing w:before="240" w:line="360" w:lineRule="auto"/>
        <w:jc w:val="right"/>
        <w:rPr>
          <w:rFonts w:ascii="Times New Roman" w:hAnsi="Times New Roman" w:cs="Times New Roman"/>
          <w:sz w:val="32"/>
          <w:szCs w:val="32"/>
        </w:rPr>
      </w:pPr>
      <w:bookmarkStart w:id="0" w:name="determinants_of_perception_and_at_6f981c"/>
      <w:r w:rsidRPr="00AD4936">
        <w:rPr>
          <w:rFonts w:ascii="Times New Roman" w:hAnsi="Times New Roman" w:cs="Times New Roman"/>
          <w:b/>
          <w:sz w:val="32"/>
          <w:szCs w:val="32"/>
        </w:rPr>
        <w:t xml:space="preserve">Determinants of Perception and Attitude Towards </w:t>
      </w:r>
      <w:proofErr w:type="spellStart"/>
      <w:r w:rsidRPr="00AD4936">
        <w:rPr>
          <w:rFonts w:ascii="Times New Roman" w:hAnsi="Times New Roman" w:cs="Times New Roman"/>
          <w:b/>
          <w:sz w:val="32"/>
          <w:szCs w:val="32"/>
        </w:rPr>
        <w:t>Agripreneurship</w:t>
      </w:r>
      <w:proofErr w:type="spellEnd"/>
      <w:r w:rsidRPr="00AD4936">
        <w:rPr>
          <w:rFonts w:ascii="Times New Roman" w:hAnsi="Times New Roman" w:cs="Times New Roman"/>
          <w:b/>
          <w:sz w:val="32"/>
          <w:szCs w:val="32"/>
        </w:rPr>
        <w:t xml:space="preserve"> Among Agricultural Students in Manipur</w:t>
      </w:r>
      <w:bookmarkEnd w:id="0"/>
    </w:p>
    <w:p w14:paraId="335A95B9" w14:textId="77777777" w:rsidR="00110E21" w:rsidRDefault="00110E21" w:rsidP="007D4E82">
      <w:pPr>
        <w:spacing w:before="240" w:line="360" w:lineRule="auto"/>
        <w:jc w:val="both"/>
        <w:rPr>
          <w:rFonts w:ascii="Times New Roman" w:hAnsi="Times New Roman" w:cs="Times New Roman"/>
          <w:b/>
          <w:sz w:val="24"/>
          <w:szCs w:val="24"/>
        </w:rPr>
      </w:pPr>
      <w:bookmarkStart w:id="1" w:name="abstract"/>
    </w:p>
    <w:p w14:paraId="147951F7" w14:textId="40E1D94F" w:rsidR="00A46310" w:rsidRPr="00AD4936" w:rsidRDefault="00B676CE" w:rsidP="007D4E82">
      <w:pPr>
        <w:spacing w:before="240" w:line="360" w:lineRule="auto"/>
        <w:jc w:val="both"/>
        <w:rPr>
          <w:rFonts w:ascii="Times New Roman" w:hAnsi="Times New Roman" w:cs="Times New Roman"/>
          <w:sz w:val="24"/>
          <w:szCs w:val="24"/>
        </w:rPr>
      </w:pPr>
      <w:bookmarkStart w:id="2" w:name="_GoBack"/>
      <w:bookmarkEnd w:id="2"/>
      <w:r w:rsidRPr="00AD4936">
        <w:rPr>
          <w:rFonts w:ascii="Times New Roman" w:hAnsi="Times New Roman" w:cs="Times New Roman"/>
          <w:b/>
          <w:sz w:val="24"/>
          <w:szCs w:val="24"/>
        </w:rPr>
        <w:t>Abstract</w:t>
      </w:r>
      <w:bookmarkEnd w:id="1"/>
    </w:p>
    <w:p w14:paraId="0D4A20FD" w14:textId="5806F1E0" w:rsidR="00A46310" w:rsidRPr="00AD4936" w:rsidRDefault="001E6A2C" w:rsidP="00AD4936">
      <w:pPr>
        <w:spacing w:after="210" w:line="360" w:lineRule="auto"/>
        <w:jc w:val="both"/>
        <w:rPr>
          <w:rFonts w:ascii="Times New Roman" w:hAnsi="Times New Roman" w:cs="Times New Roman"/>
          <w:sz w:val="24"/>
          <w:szCs w:val="24"/>
        </w:rPr>
      </w:pPr>
      <w:r w:rsidRPr="001E6A2C">
        <w:rPr>
          <w:rFonts w:ascii="Times New Roman" w:eastAsia="Georgia" w:hAnsi="Times New Roman" w:cs="Times New Roman"/>
          <w:sz w:val="24"/>
          <w:szCs w:val="24"/>
        </w:rPr>
        <w:t xml:space="preserve">This study investigates the determinants shaping agricultural students’ perception and attitude toward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in Manipur, a region where agricultural revitalization is central to socio-economic advancement. A cross-sectional survey involving 100 undergraduate and postgraduate students from the South Asian Institute of Rural and Agricultural Management (SAIRAM) was conducted using a structured questionnaire. Descriptive analysis revealed high baseline awareness of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(92%), yet moderate knowledge of government schemes. Correlation analysis demonstrated that awareness (r = .708, p &lt; .001), information sources (r = .569, p &lt; .001), and scheme knowledge (r = .236, p = .018) were significantly associated with perception. Multiple regression analysis identified prior awareness as the only significant predictor (β = 0.70, p &lt; .001), explaining 52.3% of variance in attitudes, while demographic factors had no significant effects. These findings underscore the primacy of concept-level awareness over socio-demographic background in shaping </w:t>
      </w:r>
      <w:proofErr w:type="spellStart"/>
      <w:r w:rsidRPr="001E6A2C">
        <w:rPr>
          <w:rFonts w:ascii="Times New Roman" w:eastAsia="Georgia" w:hAnsi="Times New Roman" w:cs="Times New Roman"/>
          <w:sz w:val="24"/>
          <w:szCs w:val="24"/>
        </w:rPr>
        <w:t>agripreneurial</w:t>
      </w:r>
      <w:proofErr w:type="spellEnd"/>
      <w:r w:rsidRPr="001E6A2C">
        <w:rPr>
          <w:rFonts w:ascii="Times New Roman" w:eastAsia="Georgia" w:hAnsi="Times New Roman" w:cs="Times New Roman"/>
          <w:sz w:val="24"/>
          <w:szCs w:val="24"/>
        </w:rPr>
        <w:t xml:space="preserve"> orientation. The study highlights the strategic importance of awareness-driven extension education, curriculum integration, and experiential learning initiatives to foster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among youth. Recommendations for policy, institutional practice, and future research are offered to strengthen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development in Manipur.</w:t>
      </w:r>
    </w:p>
    <w:p w14:paraId="087D5231" w14:textId="65002B35"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Keywords:</w:t>
      </w:r>
      <w:r w:rsidRPr="00AD4936">
        <w:rPr>
          <w:rFonts w:ascii="Times New Roman" w:hAnsi="Times New Roman" w:cs="Times New Roman"/>
          <w:sz w:val="24"/>
          <w:szCs w:val="24"/>
        </w:rPr>
        <w:t xml:space="preserve">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agricultural students, perception, attitude, extension education, awareness</w:t>
      </w:r>
    </w:p>
    <w:p w14:paraId="4AC6E011" w14:textId="77777777" w:rsidR="00A46310" w:rsidRPr="00AD4936" w:rsidRDefault="00B676CE" w:rsidP="00AD4936">
      <w:pPr>
        <w:spacing w:before="240" w:line="360" w:lineRule="auto"/>
        <w:jc w:val="both"/>
        <w:rPr>
          <w:rFonts w:ascii="Times New Roman" w:hAnsi="Times New Roman" w:cs="Times New Roman"/>
          <w:sz w:val="24"/>
          <w:szCs w:val="24"/>
        </w:rPr>
      </w:pPr>
      <w:bookmarkStart w:id="3" w:name="bm_1_introduction"/>
      <w:r w:rsidRPr="00AD4936">
        <w:rPr>
          <w:rFonts w:ascii="Times New Roman" w:hAnsi="Times New Roman" w:cs="Times New Roman"/>
          <w:b/>
          <w:sz w:val="24"/>
          <w:szCs w:val="24"/>
        </w:rPr>
        <w:t>1. Introduction</w:t>
      </w:r>
      <w:bookmarkEnd w:id="3"/>
    </w:p>
    <w:p w14:paraId="4A8EC3D7" w14:textId="4A1DFFC9"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Agriculture constitutes one of the principal sources of revenue in Manipur and plays a pioneering role in strengthening the state's fiscal backbone. Despite its strategic importance, the agricultural sector faces significant challenges, including persistent youth unemployment, rural poverty, limited value-added enterprise development, and inadequate adoption of modern farming practices. In this context, </w:t>
      </w:r>
      <w:proofErr w:type="spellStart"/>
      <w:r w:rsidRPr="00AD4936">
        <w:rPr>
          <w:rFonts w:ascii="Times New Roman" w:eastAsia="Georgia" w:hAnsi="Times New Roman" w:cs="Times New Roman"/>
          <w:sz w:val="24"/>
          <w:szCs w:val="24"/>
        </w:rPr>
        <w:t>agripreneurship</w:t>
      </w:r>
      <w:proofErr w:type="spellEnd"/>
      <w:r w:rsidR="00F6502B">
        <w:rPr>
          <w:rFonts w:ascii="Times New Roman" w:eastAsia="Georgia" w:hAnsi="Times New Roman" w:cs="Times New Roman"/>
          <w:sz w:val="24"/>
          <w:szCs w:val="24"/>
        </w:rPr>
        <w:t xml:space="preserve"> </w:t>
      </w:r>
      <w:r w:rsidRPr="00AD4936">
        <w:rPr>
          <w:rFonts w:ascii="Times New Roman" w:eastAsia="Georgia" w:hAnsi="Times New Roman" w:cs="Times New Roman"/>
          <w:sz w:val="24"/>
          <w:szCs w:val="24"/>
        </w:rPr>
        <w:t xml:space="preserve">the practice of combining agricultural production with entrepreneurial </w:t>
      </w:r>
      <w:r w:rsidRPr="00AD4936">
        <w:rPr>
          <w:rFonts w:ascii="Times New Roman" w:eastAsia="Georgia" w:hAnsi="Times New Roman" w:cs="Times New Roman"/>
          <w:sz w:val="24"/>
          <w:szCs w:val="24"/>
        </w:rPr>
        <w:lastRenderedPageBreak/>
        <w:t>innovation</w:t>
      </w:r>
      <w:r w:rsidR="00F6502B">
        <w:rPr>
          <w:rFonts w:ascii="Times New Roman" w:eastAsia="Georgia" w:hAnsi="Times New Roman" w:cs="Times New Roman"/>
          <w:sz w:val="24"/>
          <w:szCs w:val="24"/>
        </w:rPr>
        <w:t xml:space="preserve"> </w:t>
      </w:r>
      <w:r w:rsidRPr="00AD4936">
        <w:rPr>
          <w:rFonts w:ascii="Times New Roman" w:eastAsia="Georgia" w:hAnsi="Times New Roman" w:cs="Times New Roman"/>
          <w:sz w:val="24"/>
          <w:szCs w:val="24"/>
        </w:rPr>
        <w:t xml:space="preserve">has emerged as a critically needed strategy to revitalize the agricultural sector, boost rural income, create employment opportunities for youth, and foster innovation in farm-based </w:t>
      </w:r>
      <w:proofErr w:type="gramStart"/>
      <w:r w:rsidRPr="00AD4936">
        <w:rPr>
          <w:rFonts w:ascii="Times New Roman" w:eastAsia="Georgia" w:hAnsi="Times New Roman" w:cs="Times New Roman"/>
          <w:sz w:val="24"/>
          <w:szCs w:val="24"/>
        </w:rPr>
        <w:t>enterprises[</w:t>
      </w:r>
      <w:proofErr w:type="gramEnd"/>
      <w:r w:rsidRPr="00AD4936">
        <w:rPr>
          <w:rFonts w:ascii="Times New Roman" w:eastAsia="Georgia" w:hAnsi="Times New Roman" w:cs="Times New Roman"/>
          <w:sz w:val="24"/>
          <w:szCs w:val="24"/>
        </w:rPr>
        <w:t>1].</w:t>
      </w:r>
    </w:p>
    <w:p w14:paraId="61FBFCE0" w14:textId="77777777" w:rsidR="00A46310" w:rsidRPr="00AD4936" w:rsidRDefault="00B676CE" w:rsidP="00AD4936">
      <w:pPr>
        <w:spacing w:after="210" w:line="360" w:lineRule="auto"/>
        <w:jc w:val="both"/>
        <w:rPr>
          <w:rFonts w:ascii="Times New Roman" w:hAnsi="Times New Roman" w:cs="Times New Roman"/>
          <w:sz w:val="24"/>
          <w:szCs w:val="24"/>
        </w:rPr>
      </w:pP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encompasses diverse activities ranging from precision agriculture and organic farming to value-addition, agricultural input supply, mechanization services, and agrotourism. By transitioning from subsistence farming to commercial agricultural enterprises,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can unlock the region's substantial untapped potential for agribusiness </w:t>
      </w:r>
      <w:proofErr w:type="gramStart"/>
      <w:r w:rsidRPr="00AD4936">
        <w:rPr>
          <w:rFonts w:ascii="Times New Roman" w:hAnsi="Times New Roman" w:cs="Times New Roman"/>
          <w:sz w:val="24"/>
          <w:szCs w:val="24"/>
        </w:rPr>
        <w:t>development[</w:t>
      </w:r>
      <w:proofErr w:type="gramEnd"/>
      <w:r w:rsidRPr="00AD4936">
        <w:rPr>
          <w:rFonts w:ascii="Times New Roman" w:hAnsi="Times New Roman" w:cs="Times New Roman"/>
          <w:sz w:val="24"/>
          <w:szCs w:val="24"/>
        </w:rPr>
        <w:t>1]. For Manipur specifically, where the economy is heavily dependent on traditional agriculture, the promotion of agricultural entrepreneurship represents a strategic imperative for economic diversification and rural development.</w:t>
      </w:r>
    </w:p>
    <w:p w14:paraId="1B20FB30"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However, the transition towards </w:t>
      </w:r>
      <w:proofErr w:type="spellStart"/>
      <w:r w:rsidRPr="00AD4936">
        <w:rPr>
          <w:rFonts w:ascii="Times New Roman" w:hAnsi="Times New Roman" w:cs="Times New Roman"/>
          <w:sz w:val="24"/>
          <w:szCs w:val="24"/>
        </w:rPr>
        <w:t>agripreneurial</w:t>
      </w:r>
      <w:proofErr w:type="spellEnd"/>
      <w:r w:rsidRPr="00AD4936">
        <w:rPr>
          <w:rFonts w:ascii="Times New Roman" w:hAnsi="Times New Roman" w:cs="Times New Roman"/>
          <w:sz w:val="24"/>
          <w:szCs w:val="24"/>
        </w:rPr>
        <w:t xml:space="preserve"> activities requires not only infrastructure and financial support but also a fundamental shift in the perceptions and attitudes of agricultural professionals and students towards self-employment and business enterprise in agriculture. Agricultural students represent a critical demographic, as they constitute the future workforce that will either adopt traditional employment paths or venture into entrepreneurial activities. Understanding the factors that shape their perceptions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is essential for designing effective extension education programs and interventions.</w:t>
      </w:r>
    </w:p>
    <w:p w14:paraId="5B5123CC" w14:textId="77777777" w:rsidR="00A46310" w:rsidRPr="00AD4936" w:rsidRDefault="00B676CE" w:rsidP="00AD4936">
      <w:pPr>
        <w:spacing w:before="240" w:line="360" w:lineRule="auto"/>
        <w:jc w:val="both"/>
        <w:rPr>
          <w:rFonts w:ascii="Times New Roman" w:hAnsi="Times New Roman" w:cs="Times New Roman"/>
          <w:sz w:val="24"/>
          <w:szCs w:val="24"/>
        </w:rPr>
      </w:pPr>
      <w:bookmarkStart w:id="4" w:name="bm_1_1_problem_context"/>
      <w:r w:rsidRPr="00AD4936">
        <w:rPr>
          <w:rFonts w:ascii="Times New Roman" w:hAnsi="Times New Roman" w:cs="Times New Roman"/>
          <w:b/>
          <w:sz w:val="24"/>
          <w:szCs w:val="24"/>
        </w:rPr>
        <w:t>1.1 Problem Context</w:t>
      </w:r>
      <w:bookmarkEnd w:id="4"/>
    </w:p>
    <w:p w14:paraId="52D72E43"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Despite the documented potential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for addressing rural unemployment and agricultural development, limited research has examined the psychosocial factors influencing agricultural students' attitudes towards entrepreneurship in the Indian context, particularly in northeastern states such as Manipur. Previous studies have identified various determinants of entrepreneurial intention, including demographic characteristics, family background, educational exposure, and awareness of entrepreneurial </w:t>
      </w:r>
      <w:proofErr w:type="gramStart"/>
      <w:r w:rsidRPr="00AD4936">
        <w:rPr>
          <w:rFonts w:ascii="Times New Roman" w:hAnsi="Times New Roman" w:cs="Times New Roman"/>
          <w:sz w:val="24"/>
          <w:szCs w:val="24"/>
        </w:rPr>
        <w:t>opportunities[</w:t>
      </w:r>
      <w:proofErr w:type="gramEnd"/>
      <w:r w:rsidRPr="00AD4936">
        <w:rPr>
          <w:rFonts w:ascii="Times New Roman" w:hAnsi="Times New Roman" w:cs="Times New Roman"/>
          <w:sz w:val="24"/>
          <w:szCs w:val="24"/>
        </w:rPr>
        <w:t xml:space="preserve">2][3]. However, the relative importance of these factors in shaping attitudes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remains unclear, particularly in contexts with distinct socioeconomic and agricultural profiles such as Manipur.</w:t>
      </w:r>
    </w:p>
    <w:p w14:paraId="2416A26C" w14:textId="77777777" w:rsidR="00A46310" w:rsidRPr="00AD4936" w:rsidRDefault="00B676CE" w:rsidP="00AD4936">
      <w:pPr>
        <w:spacing w:before="240" w:line="360" w:lineRule="auto"/>
        <w:jc w:val="both"/>
        <w:rPr>
          <w:rFonts w:ascii="Times New Roman" w:hAnsi="Times New Roman" w:cs="Times New Roman"/>
          <w:sz w:val="24"/>
          <w:szCs w:val="24"/>
        </w:rPr>
      </w:pPr>
      <w:bookmarkStart w:id="5" w:name="bm_1_2_study_objectives"/>
      <w:r w:rsidRPr="00AD4936">
        <w:rPr>
          <w:rFonts w:ascii="Times New Roman" w:hAnsi="Times New Roman" w:cs="Times New Roman"/>
          <w:b/>
          <w:sz w:val="24"/>
          <w:szCs w:val="24"/>
        </w:rPr>
        <w:t>1.2 Study Objectives</w:t>
      </w:r>
      <w:bookmarkEnd w:id="5"/>
    </w:p>
    <w:p w14:paraId="1361DA29"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This study was designed to:</w:t>
      </w:r>
    </w:p>
    <w:p w14:paraId="2BFB10F7"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lastRenderedPageBreak/>
        <w:t xml:space="preserve">Assess the current level of awareness among agricultural students regarding the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concept</w:t>
      </w:r>
    </w:p>
    <w:p w14:paraId="59C6A4CD"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Examine the relationship between demographic characteristics and perception of </w:t>
      </w:r>
      <w:proofErr w:type="spellStart"/>
      <w:r w:rsidRPr="00AD4936">
        <w:rPr>
          <w:rFonts w:ascii="Times New Roman" w:hAnsi="Times New Roman" w:cs="Times New Roman"/>
          <w:sz w:val="24"/>
          <w:szCs w:val="24"/>
        </w:rPr>
        <w:t>agripreneurship</w:t>
      </w:r>
      <w:proofErr w:type="spellEnd"/>
    </w:p>
    <w:p w14:paraId="34AD3AD8"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Evaluate the role of awareness, information sources, and knowledge of government schemes in shaping attitudes towards </w:t>
      </w:r>
      <w:proofErr w:type="spellStart"/>
      <w:r w:rsidRPr="00AD4936">
        <w:rPr>
          <w:rFonts w:ascii="Times New Roman" w:hAnsi="Times New Roman" w:cs="Times New Roman"/>
          <w:sz w:val="24"/>
          <w:szCs w:val="24"/>
        </w:rPr>
        <w:t>agripreneurship</w:t>
      </w:r>
      <w:proofErr w:type="spellEnd"/>
    </w:p>
    <w:p w14:paraId="74B7394C"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Identify the primary determinants of positive perception and attitude towards </w:t>
      </w:r>
      <w:proofErr w:type="spellStart"/>
      <w:r w:rsidRPr="00AD4936">
        <w:rPr>
          <w:rFonts w:ascii="Times New Roman" w:hAnsi="Times New Roman" w:cs="Times New Roman"/>
          <w:sz w:val="24"/>
          <w:szCs w:val="24"/>
        </w:rPr>
        <w:t>agripreneurship</w:t>
      </w:r>
      <w:proofErr w:type="spellEnd"/>
    </w:p>
    <w:p w14:paraId="7F1B52CB" w14:textId="7461A948"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Provide evidence-based recommendations for extension education programs promoting </w:t>
      </w:r>
      <w:proofErr w:type="spellStart"/>
      <w:r w:rsidRPr="00AD4936">
        <w:rPr>
          <w:rFonts w:ascii="Times New Roman" w:hAnsi="Times New Roman" w:cs="Times New Roman"/>
          <w:sz w:val="24"/>
          <w:szCs w:val="24"/>
        </w:rPr>
        <w:t>agripreneurship</w:t>
      </w:r>
      <w:proofErr w:type="spellEnd"/>
    </w:p>
    <w:p w14:paraId="564428FC" w14:textId="77777777" w:rsidR="00A46310" w:rsidRPr="00AD4936" w:rsidRDefault="00B676CE" w:rsidP="00AD4936">
      <w:pPr>
        <w:spacing w:before="240" w:line="360" w:lineRule="auto"/>
        <w:jc w:val="both"/>
        <w:rPr>
          <w:rFonts w:ascii="Times New Roman" w:hAnsi="Times New Roman" w:cs="Times New Roman"/>
          <w:sz w:val="24"/>
          <w:szCs w:val="24"/>
        </w:rPr>
      </w:pPr>
      <w:bookmarkStart w:id="6" w:name="bm_2_materials_and_methods"/>
      <w:r w:rsidRPr="00AD4936">
        <w:rPr>
          <w:rFonts w:ascii="Times New Roman" w:hAnsi="Times New Roman" w:cs="Times New Roman"/>
          <w:b/>
          <w:sz w:val="24"/>
          <w:szCs w:val="24"/>
        </w:rPr>
        <w:t>2. Materials and Methods</w:t>
      </w:r>
      <w:bookmarkEnd w:id="6"/>
    </w:p>
    <w:p w14:paraId="0FE5337A" w14:textId="77777777" w:rsidR="00A46310" w:rsidRPr="00AD4936" w:rsidRDefault="00B676CE" w:rsidP="00AD4936">
      <w:pPr>
        <w:spacing w:before="240" w:line="360" w:lineRule="auto"/>
        <w:jc w:val="both"/>
        <w:rPr>
          <w:rFonts w:ascii="Times New Roman" w:hAnsi="Times New Roman" w:cs="Times New Roman"/>
          <w:sz w:val="24"/>
          <w:szCs w:val="24"/>
        </w:rPr>
      </w:pPr>
      <w:bookmarkStart w:id="7" w:name="bm_2_1_study_design"/>
      <w:r w:rsidRPr="00AD4936">
        <w:rPr>
          <w:rFonts w:ascii="Times New Roman" w:hAnsi="Times New Roman" w:cs="Times New Roman"/>
          <w:b/>
          <w:sz w:val="24"/>
          <w:szCs w:val="24"/>
        </w:rPr>
        <w:t>2.1 Study Design</w:t>
      </w:r>
      <w:bookmarkEnd w:id="7"/>
    </w:p>
    <w:p w14:paraId="66F48052"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A cross-sectional survey design was adopted to assess the factors influencing agricultural students' perception and attitude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This design allowed for the simultaneous examination of multiple variables and their associations with perceptions at a single point in time, making it appropriate for exploratory and hypothesis-testing </w:t>
      </w:r>
      <w:proofErr w:type="gramStart"/>
      <w:r w:rsidRPr="00AD4936">
        <w:rPr>
          <w:rFonts w:ascii="Times New Roman" w:hAnsi="Times New Roman" w:cs="Times New Roman"/>
          <w:sz w:val="24"/>
          <w:szCs w:val="24"/>
        </w:rPr>
        <w:t>research[</w:t>
      </w:r>
      <w:proofErr w:type="gramEnd"/>
      <w:r w:rsidRPr="00AD4936">
        <w:rPr>
          <w:rFonts w:ascii="Times New Roman" w:hAnsi="Times New Roman" w:cs="Times New Roman"/>
          <w:sz w:val="24"/>
          <w:szCs w:val="24"/>
        </w:rPr>
        <w:t>4].</w:t>
      </w:r>
    </w:p>
    <w:p w14:paraId="4CEBC20C" w14:textId="77777777" w:rsidR="00A46310" w:rsidRPr="00AD4936" w:rsidRDefault="00B676CE" w:rsidP="00AD4936">
      <w:pPr>
        <w:spacing w:before="240" w:line="360" w:lineRule="auto"/>
        <w:jc w:val="both"/>
        <w:rPr>
          <w:rFonts w:ascii="Times New Roman" w:hAnsi="Times New Roman" w:cs="Times New Roman"/>
          <w:sz w:val="24"/>
          <w:szCs w:val="24"/>
        </w:rPr>
      </w:pPr>
      <w:bookmarkStart w:id="8" w:name="bm_2_2_study_population_and_sampling"/>
      <w:r w:rsidRPr="00AD4936">
        <w:rPr>
          <w:rFonts w:ascii="Times New Roman" w:hAnsi="Times New Roman" w:cs="Times New Roman"/>
          <w:b/>
          <w:sz w:val="24"/>
          <w:szCs w:val="24"/>
        </w:rPr>
        <w:t>2.2 Study Population and Sampling</w:t>
      </w:r>
      <w:bookmarkEnd w:id="8"/>
    </w:p>
    <w:p w14:paraId="0B8034A8"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The target population consisted of students enrolled in undergraduate and postgraduate agricultural programs at the South Asian Institute of Rural and Agricultural Management (SAIRAM), Manipur. The total population from which the sample was drawn comprised 257 students. Using purposive sampling methodology, a sample of 100 students was selected to participate in the study. The sample was diverse in terms of gender, year of study, family background, and place of residence, ensuring representation across key demographic strata.</w:t>
      </w:r>
    </w:p>
    <w:p w14:paraId="5070D2E4" w14:textId="77777777" w:rsidR="00A46310" w:rsidRPr="00AD4936" w:rsidRDefault="00B676CE" w:rsidP="00AD4936">
      <w:pPr>
        <w:spacing w:before="240" w:line="360" w:lineRule="auto"/>
        <w:jc w:val="both"/>
        <w:rPr>
          <w:rFonts w:ascii="Times New Roman" w:hAnsi="Times New Roman" w:cs="Times New Roman"/>
          <w:sz w:val="24"/>
          <w:szCs w:val="24"/>
        </w:rPr>
      </w:pPr>
      <w:bookmarkStart w:id="9" w:name="bm_2_3_data_collection_instrument"/>
      <w:r w:rsidRPr="00AD4936">
        <w:rPr>
          <w:rFonts w:ascii="Times New Roman" w:hAnsi="Times New Roman" w:cs="Times New Roman"/>
          <w:b/>
          <w:sz w:val="24"/>
          <w:szCs w:val="24"/>
        </w:rPr>
        <w:t>2.3 Data Collection Instrument</w:t>
      </w:r>
      <w:bookmarkEnd w:id="9"/>
    </w:p>
    <w:p w14:paraId="13576812"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A structured questionnaire was developed and administered to collect data. The questionnaire comprised four main sections:</w:t>
      </w:r>
    </w:p>
    <w:p w14:paraId="1B403BF4"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lastRenderedPageBreak/>
        <w:t>Demographic Information:</w:t>
      </w:r>
      <w:r w:rsidRPr="00AD4936">
        <w:rPr>
          <w:rFonts w:ascii="Times New Roman" w:hAnsi="Times New Roman" w:cs="Times New Roman"/>
          <w:sz w:val="24"/>
          <w:szCs w:val="24"/>
        </w:rPr>
        <w:t xml:space="preserve"> Variables included gender, age, year of study (undergraduate vs. postgraduate), family background (agricultural vs. non-agricultural), and place of residence (urban, semi-urban, or rural).</w:t>
      </w:r>
    </w:p>
    <w:p w14:paraId="0A48C913"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Awareness and Exposure:</w:t>
      </w:r>
      <w:r w:rsidRPr="00AD4936">
        <w:rPr>
          <w:rFonts w:ascii="Times New Roman" w:hAnsi="Times New Roman" w:cs="Times New Roman"/>
          <w:sz w:val="24"/>
          <w:szCs w:val="24"/>
        </w:rPr>
        <w:t xml:space="preserve"> This section assessed prior knowledge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using a binary item ("Have you heard about the concept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sources of information (ranging from educational institutions, media, personal networks, extension services, and others), and familiarity with government schemes supporting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(binary yes/no format).</w:t>
      </w:r>
    </w:p>
    <w:p w14:paraId="255691AE"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Perception and Attitude:</w:t>
      </w:r>
      <w:r w:rsidRPr="00AD4936">
        <w:rPr>
          <w:rFonts w:ascii="Times New Roman" w:hAnsi="Times New Roman" w:cs="Times New Roman"/>
          <w:sz w:val="24"/>
          <w:szCs w:val="24"/>
        </w:rPr>
        <w:t xml:space="preserve"> Multiple Likert-scale statements (typically 5-point) measured overall perception and attitude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with both positively and negatively worded items to ensure reliability and reduce response bias.</w:t>
      </w:r>
    </w:p>
    <w:p w14:paraId="051F8766"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Additional variables:</w:t>
      </w:r>
      <w:r w:rsidRPr="00AD4936">
        <w:rPr>
          <w:rFonts w:ascii="Times New Roman" w:hAnsi="Times New Roman" w:cs="Times New Roman"/>
          <w:sz w:val="24"/>
          <w:szCs w:val="24"/>
        </w:rPr>
        <w:t xml:space="preserve"> The instrument also collected information on year of study and educational status.</w:t>
      </w:r>
    </w:p>
    <w:p w14:paraId="2599F699" w14:textId="77777777" w:rsidR="00A46310" w:rsidRPr="00AD4936" w:rsidRDefault="00B676CE" w:rsidP="00AD4936">
      <w:pPr>
        <w:spacing w:before="240" w:line="360" w:lineRule="auto"/>
        <w:jc w:val="both"/>
        <w:rPr>
          <w:rFonts w:ascii="Times New Roman" w:hAnsi="Times New Roman" w:cs="Times New Roman"/>
          <w:sz w:val="24"/>
          <w:szCs w:val="24"/>
        </w:rPr>
      </w:pPr>
      <w:bookmarkStart w:id="10" w:name="bm_2_4_data_analysis"/>
      <w:r w:rsidRPr="00AD4936">
        <w:rPr>
          <w:rFonts w:ascii="Times New Roman" w:hAnsi="Times New Roman" w:cs="Times New Roman"/>
          <w:b/>
          <w:sz w:val="24"/>
          <w:szCs w:val="24"/>
        </w:rPr>
        <w:t>2.4 Data Analysis</w:t>
      </w:r>
      <w:bookmarkEnd w:id="10"/>
    </w:p>
    <w:p w14:paraId="1E961B4F"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Data were analyzed using IBM SPSS Statistics (version 26.0). Descriptive statistics (mean, standard deviation, range, and variance) were computed for all variables to characterize the sample. To examine relationships between predictor variables and overall perception/attitude towards </w:t>
      </w:r>
      <w:proofErr w:type="spellStart"/>
      <w:r w:rsidRPr="00AD4936">
        <w:rPr>
          <w:rFonts w:ascii="Times New Roman" w:eastAsia="Georgia" w:hAnsi="Times New Roman" w:cs="Times New Roman"/>
          <w:sz w:val="24"/>
          <w:szCs w:val="24"/>
        </w:rPr>
        <w:t>agripreneurship</w:t>
      </w:r>
      <w:proofErr w:type="spellEnd"/>
      <w:r w:rsidRPr="00AD4936">
        <w:rPr>
          <w:rFonts w:ascii="Times New Roman" w:eastAsia="Georgia" w:hAnsi="Times New Roman" w:cs="Times New Roman"/>
          <w:sz w:val="24"/>
          <w:szCs w:val="24"/>
        </w:rPr>
        <w:t>, Pearson correlation coefficients were computed. Subsequently, multiple linear regression analysis was conducted with overall perception and attitude as the dependent variable and demographic, awareness, and exposure variables as independent predictors. The significance level was set at α = 0.05 for all statistical tests. Standardized coefficients (β), unstandardized coefficients (B), standard errors, and p-values were reported to facilitate interpretation.</w:t>
      </w:r>
    </w:p>
    <w:p w14:paraId="7FA2635D" w14:textId="77777777" w:rsidR="00A46310" w:rsidRPr="00AD4936" w:rsidRDefault="00B676CE" w:rsidP="00AD4936">
      <w:pPr>
        <w:spacing w:before="240" w:line="360" w:lineRule="auto"/>
        <w:jc w:val="both"/>
        <w:rPr>
          <w:rFonts w:ascii="Times New Roman" w:hAnsi="Times New Roman" w:cs="Times New Roman"/>
          <w:sz w:val="24"/>
          <w:szCs w:val="24"/>
        </w:rPr>
      </w:pPr>
      <w:bookmarkStart w:id="11" w:name="bm_2_5_ethical_considerations"/>
      <w:r w:rsidRPr="00AD4936">
        <w:rPr>
          <w:rFonts w:ascii="Times New Roman" w:hAnsi="Times New Roman" w:cs="Times New Roman"/>
          <w:b/>
          <w:sz w:val="24"/>
          <w:szCs w:val="24"/>
        </w:rPr>
        <w:t>2.5 Ethical Considerations</w:t>
      </w:r>
      <w:bookmarkEnd w:id="11"/>
    </w:p>
    <w:p w14:paraId="671E0B7C" w14:textId="07C6E0DE"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Informed consent was obtained from all participants prior to questionnaire administration. Participation was voluntary, and participants were assured of confidentiality and anonymity. The study protocol adhered to ethical guidelines for research involving human subjects.</w:t>
      </w:r>
    </w:p>
    <w:p w14:paraId="06AB7CCD" w14:textId="77777777" w:rsidR="00A46310" w:rsidRPr="00AD4936" w:rsidRDefault="00B676CE" w:rsidP="00AD4936">
      <w:pPr>
        <w:spacing w:before="240" w:line="360" w:lineRule="auto"/>
        <w:jc w:val="both"/>
        <w:rPr>
          <w:rFonts w:ascii="Times New Roman" w:hAnsi="Times New Roman" w:cs="Times New Roman"/>
          <w:sz w:val="24"/>
          <w:szCs w:val="24"/>
        </w:rPr>
      </w:pPr>
      <w:bookmarkStart w:id="12" w:name="bm_3_results"/>
      <w:r w:rsidRPr="00AD4936">
        <w:rPr>
          <w:rFonts w:ascii="Times New Roman" w:hAnsi="Times New Roman" w:cs="Times New Roman"/>
          <w:b/>
          <w:sz w:val="24"/>
          <w:szCs w:val="24"/>
        </w:rPr>
        <w:t>3. Results</w:t>
      </w:r>
      <w:bookmarkEnd w:id="12"/>
    </w:p>
    <w:p w14:paraId="4E1FE87F" w14:textId="77777777" w:rsidR="000A099C" w:rsidRPr="00AD4936" w:rsidRDefault="000A099C" w:rsidP="000A099C">
      <w:pPr>
        <w:spacing w:before="240" w:line="360" w:lineRule="auto"/>
        <w:jc w:val="both"/>
        <w:rPr>
          <w:rFonts w:ascii="Times New Roman" w:hAnsi="Times New Roman" w:cs="Times New Roman"/>
          <w:sz w:val="24"/>
          <w:szCs w:val="24"/>
        </w:rPr>
      </w:pPr>
      <w:bookmarkStart w:id="13" w:name="bm_3_1_descriptive_statistics_of_c01004"/>
      <w:bookmarkStart w:id="14" w:name="bm_4_discussion"/>
      <w:r w:rsidRPr="00AD4936">
        <w:rPr>
          <w:rFonts w:ascii="Times New Roman" w:hAnsi="Times New Roman" w:cs="Times New Roman"/>
          <w:b/>
          <w:sz w:val="24"/>
          <w:szCs w:val="24"/>
        </w:rPr>
        <w:lastRenderedPageBreak/>
        <w:t>3.1 Descriptive Statistics of Sample Characteristics</w:t>
      </w:r>
      <w:bookmarkEnd w:id="13"/>
    </w:p>
    <w:p w14:paraId="4132D687" w14:textId="77777777" w:rsidR="000A099C" w:rsidRDefault="000A099C" w:rsidP="000A099C">
      <w:pPr>
        <w:spacing w:line="360" w:lineRule="auto"/>
        <w:jc w:val="both"/>
        <w:rPr>
          <w:rFonts w:ascii="Times New Roman" w:eastAsia="Georgia" w:hAnsi="Times New Roman" w:cs="Times New Roman"/>
          <w:sz w:val="24"/>
          <w:szCs w:val="24"/>
        </w:rPr>
      </w:pPr>
      <w:r w:rsidRPr="000A099C">
        <w:rPr>
          <w:rFonts w:ascii="Times New Roman" w:eastAsia="Georgia" w:hAnsi="Times New Roman" w:cs="Times New Roman"/>
          <w:sz w:val="24"/>
          <w:szCs w:val="24"/>
        </w:rPr>
        <w:t xml:space="preserve">The descriptive statistics for the study sample (N = 100) provide an overview of respondents’ demographic and exposure-related characteristics relevant to understanding their perception and attitude toward </w:t>
      </w:r>
      <w:proofErr w:type="spellStart"/>
      <w:r w:rsidRPr="000A099C">
        <w:rPr>
          <w:rFonts w:ascii="Times New Roman" w:eastAsia="Georgia" w:hAnsi="Times New Roman" w:cs="Times New Roman"/>
          <w:sz w:val="24"/>
          <w:szCs w:val="24"/>
        </w:rPr>
        <w:t>agripreneurship</w:t>
      </w:r>
      <w:proofErr w:type="spellEnd"/>
      <w:r w:rsidRPr="000A099C">
        <w:rPr>
          <w:rFonts w:ascii="Times New Roman" w:eastAsia="Georgia" w:hAnsi="Times New Roman" w:cs="Times New Roman"/>
          <w:sz w:val="24"/>
          <w:szCs w:val="24"/>
        </w:rPr>
        <w:t>. These indicators reflect the diversity of student backgrounds and levels of awareness that may later influence analytical outcomes. The summary of all variables is presented in Table 1, which outlines the distribution, ranges, means, and variances for each measure included in the study.</w:t>
      </w:r>
    </w:p>
    <w:p w14:paraId="30BB53E3" w14:textId="0A6AE07D" w:rsidR="000A099C" w:rsidRPr="000A099C" w:rsidRDefault="000A099C" w:rsidP="000A099C">
      <w:pPr>
        <w:spacing w:line="360" w:lineRule="auto"/>
        <w:jc w:val="both"/>
        <w:rPr>
          <w:rFonts w:ascii="Times New Roman" w:hAnsi="Times New Roman" w:cs="Times New Roman"/>
          <w:b/>
          <w:bCs/>
          <w:sz w:val="24"/>
          <w:szCs w:val="24"/>
        </w:rPr>
      </w:pPr>
      <w:r w:rsidRPr="00AD4936">
        <w:rPr>
          <w:rFonts w:ascii="Times New Roman" w:hAnsi="Times New Roman" w:cs="Times New Roman"/>
          <w:b/>
          <w:bCs/>
          <w:sz w:val="24"/>
          <w:szCs w:val="24"/>
        </w:rPr>
        <w:t>Table 1:</w:t>
      </w:r>
      <w:r w:rsidRPr="00AD4936">
        <w:rPr>
          <w:rFonts w:ascii="Times New Roman" w:hAnsi="Times New Roman" w:cs="Times New Roman"/>
          <w:sz w:val="24"/>
          <w:szCs w:val="24"/>
        </w:rPr>
        <w:t xml:space="preserve"> </w:t>
      </w:r>
      <w:r w:rsidRPr="000A099C">
        <w:rPr>
          <w:rFonts w:ascii="Times New Roman" w:hAnsi="Times New Roman" w:cs="Times New Roman"/>
          <w:b/>
          <w:bCs/>
          <w:sz w:val="24"/>
          <w:szCs w:val="24"/>
        </w:rPr>
        <w:t>Descriptive Statistics of Sample Characteristics (N = 100)</w:t>
      </w:r>
    </w:p>
    <w:tbl>
      <w:tblPr>
        <w:tblStyle w:val="NormalGrid"/>
        <w:tblW w:w="9629" w:type="dxa"/>
        <w:tblCellSpacing w:w="0" w:type="dxa"/>
        <w:tblLayout w:type="fixed"/>
        <w:tblLook w:val="04A0" w:firstRow="1" w:lastRow="0" w:firstColumn="1" w:lastColumn="0" w:noHBand="0" w:noVBand="1"/>
      </w:tblPr>
      <w:tblGrid>
        <w:gridCol w:w="2117"/>
        <w:gridCol w:w="850"/>
        <w:gridCol w:w="1134"/>
        <w:gridCol w:w="1134"/>
        <w:gridCol w:w="992"/>
        <w:gridCol w:w="1025"/>
        <w:gridCol w:w="1102"/>
        <w:gridCol w:w="1275"/>
      </w:tblGrid>
      <w:tr w:rsidR="000A099C" w:rsidRPr="00AD4936" w14:paraId="3718EA80" w14:textId="77777777" w:rsidTr="000A099C">
        <w:trPr>
          <w:cantSplit/>
          <w:tblCellSpacing w:w="0" w:type="dxa"/>
        </w:trPr>
        <w:tc>
          <w:tcPr>
            <w:tcW w:w="2117"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D8DFA8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Variable</w:t>
            </w:r>
          </w:p>
        </w:tc>
        <w:tc>
          <w:tcPr>
            <w:tcW w:w="850" w:type="dxa"/>
            <w:tcBorders>
              <w:top w:val="single" w:sz="8" w:space="0" w:color="000000"/>
              <w:bottom w:val="single" w:sz="8" w:space="0" w:color="000000"/>
              <w:right w:val="single" w:sz="8" w:space="0" w:color="000000"/>
            </w:tcBorders>
            <w:shd w:val="clear" w:color="auto" w:fill="E2EFD9" w:themeFill="accent6" w:themeFillTint="33"/>
            <w:vAlign w:val="center"/>
          </w:tcPr>
          <w:p w14:paraId="6AD065A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N</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7D7BCD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Range</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0A75290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Min</w:t>
            </w:r>
          </w:p>
        </w:tc>
        <w:tc>
          <w:tcPr>
            <w:tcW w:w="992" w:type="dxa"/>
            <w:tcBorders>
              <w:top w:val="single" w:sz="8" w:space="0" w:color="000000"/>
              <w:bottom w:val="single" w:sz="8" w:space="0" w:color="000000"/>
              <w:right w:val="single" w:sz="8" w:space="0" w:color="000000"/>
            </w:tcBorders>
            <w:shd w:val="clear" w:color="auto" w:fill="E2EFD9" w:themeFill="accent6" w:themeFillTint="33"/>
            <w:vAlign w:val="center"/>
          </w:tcPr>
          <w:p w14:paraId="4BB2C01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Max</w:t>
            </w:r>
          </w:p>
        </w:tc>
        <w:tc>
          <w:tcPr>
            <w:tcW w:w="1025" w:type="dxa"/>
            <w:tcBorders>
              <w:top w:val="single" w:sz="8" w:space="0" w:color="000000"/>
              <w:bottom w:val="single" w:sz="8" w:space="0" w:color="000000"/>
              <w:right w:val="single" w:sz="8" w:space="0" w:color="000000"/>
            </w:tcBorders>
            <w:shd w:val="clear" w:color="auto" w:fill="E2EFD9" w:themeFill="accent6" w:themeFillTint="33"/>
            <w:vAlign w:val="center"/>
          </w:tcPr>
          <w:p w14:paraId="2380ED9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Mean</w:t>
            </w:r>
          </w:p>
        </w:tc>
        <w:tc>
          <w:tcPr>
            <w:tcW w:w="1102" w:type="dxa"/>
            <w:tcBorders>
              <w:top w:val="single" w:sz="8" w:space="0" w:color="000000"/>
              <w:bottom w:val="single" w:sz="8" w:space="0" w:color="000000"/>
              <w:right w:val="single" w:sz="8" w:space="0" w:color="000000"/>
            </w:tcBorders>
            <w:shd w:val="clear" w:color="auto" w:fill="E2EFD9" w:themeFill="accent6" w:themeFillTint="33"/>
            <w:vAlign w:val="center"/>
          </w:tcPr>
          <w:p w14:paraId="242726D3"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Std. Dev.</w:t>
            </w:r>
          </w:p>
        </w:tc>
        <w:tc>
          <w:tcPr>
            <w:tcW w:w="1275" w:type="dxa"/>
            <w:tcBorders>
              <w:top w:val="single" w:sz="8" w:space="0" w:color="000000"/>
              <w:bottom w:val="single" w:sz="8" w:space="0" w:color="000000"/>
              <w:right w:val="single" w:sz="8" w:space="0" w:color="000000"/>
            </w:tcBorders>
            <w:shd w:val="clear" w:color="auto" w:fill="E2EFD9" w:themeFill="accent6" w:themeFillTint="33"/>
            <w:vAlign w:val="center"/>
          </w:tcPr>
          <w:p w14:paraId="0D09414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Variance</w:t>
            </w:r>
          </w:p>
        </w:tc>
      </w:tr>
      <w:tr w:rsidR="000A099C" w:rsidRPr="00AD4936" w14:paraId="0086BAFF"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1E8F775"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Gender</w:t>
            </w:r>
          </w:p>
        </w:tc>
        <w:tc>
          <w:tcPr>
            <w:tcW w:w="850" w:type="dxa"/>
            <w:tcBorders>
              <w:bottom w:val="single" w:sz="8" w:space="0" w:color="000000"/>
              <w:right w:val="single" w:sz="8" w:space="0" w:color="000000"/>
            </w:tcBorders>
            <w:vAlign w:val="center"/>
          </w:tcPr>
          <w:p w14:paraId="716A1DD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0F08A9B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5A647447"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5ACD9F9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1D70F90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1.44</w:t>
            </w:r>
          </w:p>
        </w:tc>
        <w:tc>
          <w:tcPr>
            <w:tcW w:w="1102" w:type="dxa"/>
            <w:tcBorders>
              <w:bottom w:val="single" w:sz="8" w:space="0" w:color="000000"/>
              <w:right w:val="single" w:sz="8" w:space="0" w:color="000000"/>
            </w:tcBorders>
            <w:vAlign w:val="center"/>
          </w:tcPr>
          <w:p w14:paraId="120DE40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0.499</w:t>
            </w:r>
          </w:p>
        </w:tc>
        <w:tc>
          <w:tcPr>
            <w:tcW w:w="1275" w:type="dxa"/>
            <w:tcBorders>
              <w:bottom w:val="single" w:sz="8" w:space="0" w:color="000000"/>
              <w:right w:val="single" w:sz="8" w:space="0" w:color="000000"/>
            </w:tcBorders>
            <w:vAlign w:val="center"/>
          </w:tcPr>
          <w:p w14:paraId="39F17E4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0.249</w:t>
            </w:r>
          </w:p>
        </w:tc>
      </w:tr>
      <w:tr w:rsidR="000A099C" w:rsidRPr="00AD4936" w14:paraId="7BB42DA0"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4BC08182"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Age</w:t>
            </w:r>
          </w:p>
        </w:tc>
        <w:tc>
          <w:tcPr>
            <w:tcW w:w="850" w:type="dxa"/>
            <w:tcBorders>
              <w:bottom w:val="single" w:sz="8" w:space="0" w:color="000000"/>
              <w:right w:val="single" w:sz="8" w:space="0" w:color="000000"/>
            </w:tcBorders>
            <w:vAlign w:val="center"/>
          </w:tcPr>
          <w:p w14:paraId="33352CE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1A083C3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7</w:t>
            </w:r>
          </w:p>
        </w:tc>
        <w:tc>
          <w:tcPr>
            <w:tcW w:w="1134" w:type="dxa"/>
            <w:tcBorders>
              <w:bottom w:val="single" w:sz="8" w:space="0" w:color="000000"/>
              <w:right w:val="single" w:sz="8" w:space="0" w:color="000000"/>
            </w:tcBorders>
            <w:vAlign w:val="center"/>
          </w:tcPr>
          <w:p w14:paraId="48FBAAF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18</w:t>
            </w:r>
          </w:p>
        </w:tc>
        <w:tc>
          <w:tcPr>
            <w:tcW w:w="992" w:type="dxa"/>
            <w:tcBorders>
              <w:bottom w:val="single" w:sz="8" w:space="0" w:color="000000"/>
              <w:right w:val="single" w:sz="8" w:space="0" w:color="000000"/>
            </w:tcBorders>
            <w:vAlign w:val="center"/>
          </w:tcPr>
          <w:p w14:paraId="79DB293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25</w:t>
            </w:r>
          </w:p>
        </w:tc>
        <w:tc>
          <w:tcPr>
            <w:tcW w:w="1025" w:type="dxa"/>
            <w:tcBorders>
              <w:bottom w:val="single" w:sz="8" w:space="0" w:color="000000"/>
              <w:right w:val="single" w:sz="8" w:space="0" w:color="000000"/>
            </w:tcBorders>
            <w:vAlign w:val="center"/>
          </w:tcPr>
          <w:p w14:paraId="67C8E823"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20.91</w:t>
            </w:r>
          </w:p>
        </w:tc>
        <w:tc>
          <w:tcPr>
            <w:tcW w:w="1102" w:type="dxa"/>
            <w:tcBorders>
              <w:bottom w:val="single" w:sz="8" w:space="0" w:color="000000"/>
              <w:right w:val="single" w:sz="8" w:space="0" w:color="000000"/>
            </w:tcBorders>
            <w:vAlign w:val="center"/>
          </w:tcPr>
          <w:p w14:paraId="217E79B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2.036</w:t>
            </w:r>
          </w:p>
        </w:tc>
        <w:tc>
          <w:tcPr>
            <w:tcW w:w="1275" w:type="dxa"/>
            <w:tcBorders>
              <w:bottom w:val="single" w:sz="8" w:space="0" w:color="000000"/>
              <w:right w:val="single" w:sz="8" w:space="0" w:color="000000"/>
            </w:tcBorders>
            <w:vAlign w:val="center"/>
          </w:tcPr>
          <w:p w14:paraId="0C10CDCF"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4.143</w:t>
            </w:r>
          </w:p>
        </w:tc>
      </w:tr>
      <w:tr w:rsidR="000A099C" w:rsidRPr="00AD4936" w14:paraId="6B6B2C79"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4A475281"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Year of Study</w:t>
            </w:r>
          </w:p>
        </w:tc>
        <w:tc>
          <w:tcPr>
            <w:tcW w:w="850" w:type="dxa"/>
            <w:tcBorders>
              <w:bottom w:val="single" w:sz="8" w:space="0" w:color="000000"/>
              <w:right w:val="single" w:sz="8" w:space="0" w:color="000000"/>
            </w:tcBorders>
            <w:vAlign w:val="center"/>
          </w:tcPr>
          <w:p w14:paraId="2D34F09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62FF7107"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7CA00A0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22ACE13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5D48E9C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1.39</w:t>
            </w:r>
          </w:p>
        </w:tc>
        <w:tc>
          <w:tcPr>
            <w:tcW w:w="1102" w:type="dxa"/>
            <w:tcBorders>
              <w:bottom w:val="single" w:sz="8" w:space="0" w:color="000000"/>
              <w:right w:val="single" w:sz="8" w:space="0" w:color="000000"/>
            </w:tcBorders>
            <w:vAlign w:val="center"/>
          </w:tcPr>
          <w:p w14:paraId="513E29C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0.490</w:t>
            </w:r>
          </w:p>
        </w:tc>
        <w:tc>
          <w:tcPr>
            <w:tcW w:w="1275" w:type="dxa"/>
            <w:tcBorders>
              <w:bottom w:val="single" w:sz="8" w:space="0" w:color="000000"/>
              <w:right w:val="single" w:sz="8" w:space="0" w:color="000000"/>
            </w:tcBorders>
            <w:vAlign w:val="center"/>
          </w:tcPr>
          <w:p w14:paraId="58D4812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0.240</w:t>
            </w:r>
          </w:p>
        </w:tc>
      </w:tr>
      <w:tr w:rsidR="000A099C" w:rsidRPr="00AD4936" w14:paraId="76C787C7"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09961B77"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Family Background</w:t>
            </w:r>
          </w:p>
        </w:tc>
        <w:tc>
          <w:tcPr>
            <w:tcW w:w="850" w:type="dxa"/>
            <w:tcBorders>
              <w:bottom w:val="single" w:sz="8" w:space="0" w:color="000000"/>
              <w:right w:val="single" w:sz="8" w:space="0" w:color="000000"/>
            </w:tcBorders>
            <w:vAlign w:val="center"/>
          </w:tcPr>
          <w:p w14:paraId="5EA8614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7CA97BD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0D01FCFF"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2053742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3C9C4B9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1.66</w:t>
            </w:r>
          </w:p>
        </w:tc>
        <w:tc>
          <w:tcPr>
            <w:tcW w:w="1102" w:type="dxa"/>
            <w:tcBorders>
              <w:bottom w:val="single" w:sz="8" w:space="0" w:color="000000"/>
              <w:right w:val="single" w:sz="8" w:space="0" w:color="000000"/>
            </w:tcBorders>
            <w:vAlign w:val="center"/>
          </w:tcPr>
          <w:p w14:paraId="530BF17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0.476</w:t>
            </w:r>
          </w:p>
        </w:tc>
        <w:tc>
          <w:tcPr>
            <w:tcW w:w="1275" w:type="dxa"/>
            <w:tcBorders>
              <w:bottom w:val="single" w:sz="8" w:space="0" w:color="000000"/>
              <w:right w:val="single" w:sz="8" w:space="0" w:color="000000"/>
            </w:tcBorders>
            <w:vAlign w:val="center"/>
          </w:tcPr>
          <w:p w14:paraId="0C3C0CE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0.227</w:t>
            </w:r>
          </w:p>
        </w:tc>
      </w:tr>
      <w:tr w:rsidR="000A099C" w:rsidRPr="00AD4936" w14:paraId="55EC6A3A"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FB0CE49"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Place of Residence</w:t>
            </w:r>
          </w:p>
        </w:tc>
        <w:tc>
          <w:tcPr>
            <w:tcW w:w="850" w:type="dxa"/>
            <w:tcBorders>
              <w:bottom w:val="single" w:sz="8" w:space="0" w:color="000000"/>
              <w:right w:val="single" w:sz="8" w:space="0" w:color="000000"/>
            </w:tcBorders>
            <w:vAlign w:val="center"/>
          </w:tcPr>
          <w:p w14:paraId="1CE69D1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562440C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134" w:type="dxa"/>
            <w:tcBorders>
              <w:bottom w:val="single" w:sz="8" w:space="0" w:color="000000"/>
              <w:right w:val="single" w:sz="8" w:space="0" w:color="000000"/>
            </w:tcBorders>
            <w:vAlign w:val="center"/>
          </w:tcPr>
          <w:p w14:paraId="47D62DE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7EAC7479"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3</w:t>
            </w:r>
          </w:p>
        </w:tc>
        <w:tc>
          <w:tcPr>
            <w:tcW w:w="1025" w:type="dxa"/>
            <w:tcBorders>
              <w:bottom w:val="single" w:sz="8" w:space="0" w:color="000000"/>
              <w:right w:val="single" w:sz="8" w:space="0" w:color="000000"/>
            </w:tcBorders>
            <w:vAlign w:val="center"/>
          </w:tcPr>
          <w:p w14:paraId="38FD399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1.92</w:t>
            </w:r>
          </w:p>
        </w:tc>
        <w:tc>
          <w:tcPr>
            <w:tcW w:w="1102" w:type="dxa"/>
            <w:tcBorders>
              <w:bottom w:val="single" w:sz="8" w:space="0" w:color="000000"/>
              <w:right w:val="single" w:sz="8" w:space="0" w:color="000000"/>
            </w:tcBorders>
            <w:vAlign w:val="center"/>
          </w:tcPr>
          <w:p w14:paraId="65967A5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0.849</w:t>
            </w:r>
          </w:p>
        </w:tc>
        <w:tc>
          <w:tcPr>
            <w:tcW w:w="1275" w:type="dxa"/>
            <w:tcBorders>
              <w:bottom w:val="single" w:sz="8" w:space="0" w:color="000000"/>
              <w:right w:val="single" w:sz="8" w:space="0" w:color="000000"/>
            </w:tcBorders>
            <w:vAlign w:val="center"/>
          </w:tcPr>
          <w:p w14:paraId="58E14A4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0.721</w:t>
            </w:r>
          </w:p>
        </w:tc>
      </w:tr>
      <w:tr w:rsidR="000A099C" w:rsidRPr="00AD4936" w14:paraId="2B261A4A"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69B40F61"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 xml:space="preserve">Awareness of </w:t>
            </w:r>
            <w:proofErr w:type="spellStart"/>
            <w:r w:rsidRPr="00FD593B">
              <w:rPr>
                <w:rFonts w:ascii="Times New Roman" w:hAnsi="Times New Roman" w:cs="Times New Roman"/>
                <w:b/>
                <w:bCs/>
                <w:sz w:val="24"/>
                <w:szCs w:val="24"/>
              </w:rPr>
              <w:t>Agripreneurship</w:t>
            </w:r>
            <w:proofErr w:type="spellEnd"/>
          </w:p>
        </w:tc>
        <w:tc>
          <w:tcPr>
            <w:tcW w:w="850" w:type="dxa"/>
            <w:tcBorders>
              <w:bottom w:val="single" w:sz="8" w:space="0" w:color="000000"/>
              <w:right w:val="single" w:sz="8" w:space="0" w:color="000000"/>
            </w:tcBorders>
            <w:vAlign w:val="center"/>
          </w:tcPr>
          <w:p w14:paraId="3BBEF40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27A55B3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0DA8DAD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w:t>
            </w:r>
          </w:p>
        </w:tc>
        <w:tc>
          <w:tcPr>
            <w:tcW w:w="992" w:type="dxa"/>
            <w:tcBorders>
              <w:bottom w:val="single" w:sz="8" w:space="0" w:color="000000"/>
              <w:right w:val="single" w:sz="8" w:space="0" w:color="000000"/>
            </w:tcBorders>
            <w:vAlign w:val="center"/>
          </w:tcPr>
          <w:p w14:paraId="21E05B19"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025" w:type="dxa"/>
            <w:tcBorders>
              <w:bottom w:val="single" w:sz="8" w:space="0" w:color="000000"/>
              <w:right w:val="single" w:sz="8" w:space="0" w:color="000000"/>
            </w:tcBorders>
            <w:vAlign w:val="center"/>
          </w:tcPr>
          <w:p w14:paraId="3713A4A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0.83</w:t>
            </w:r>
          </w:p>
        </w:tc>
        <w:tc>
          <w:tcPr>
            <w:tcW w:w="1102" w:type="dxa"/>
            <w:tcBorders>
              <w:bottom w:val="single" w:sz="8" w:space="0" w:color="000000"/>
              <w:right w:val="single" w:sz="8" w:space="0" w:color="000000"/>
            </w:tcBorders>
            <w:vAlign w:val="center"/>
          </w:tcPr>
          <w:p w14:paraId="079F601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0.378</w:t>
            </w:r>
          </w:p>
        </w:tc>
        <w:tc>
          <w:tcPr>
            <w:tcW w:w="1275" w:type="dxa"/>
            <w:tcBorders>
              <w:bottom w:val="single" w:sz="8" w:space="0" w:color="000000"/>
              <w:right w:val="single" w:sz="8" w:space="0" w:color="000000"/>
            </w:tcBorders>
            <w:vAlign w:val="center"/>
          </w:tcPr>
          <w:p w14:paraId="08366DF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0.143</w:t>
            </w:r>
          </w:p>
        </w:tc>
      </w:tr>
      <w:tr w:rsidR="000A099C" w:rsidRPr="00AD4936" w14:paraId="0AC3A50D"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6FCB5622"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Source of Information</w:t>
            </w:r>
          </w:p>
        </w:tc>
        <w:tc>
          <w:tcPr>
            <w:tcW w:w="850" w:type="dxa"/>
            <w:tcBorders>
              <w:bottom w:val="single" w:sz="8" w:space="0" w:color="000000"/>
              <w:right w:val="single" w:sz="8" w:space="0" w:color="000000"/>
            </w:tcBorders>
            <w:vAlign w:val="center"/>
          </w:tcPr>
          <w:p w14:paraId="66B43A9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2B3927A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5</w:t>
            </w:r>
          </w:p>
        </w:tc>
        <w:tc>
          <w:tcPr>
            <w:tcW w:w="1134" w:type="dxa"/>
            <w:tcBorders>
              <w:bottom w:val="single" w:sz="8" w:space="0" w:color="000000"/>
              <w:right w:val="single" w:sz="8" w:space="0" w:color="000000"/>
            </w:tcBorders>
            <w:vAlign w:val="center"/>
          </w:tcPr>
          <w:p w14:paraId="4AB2CEE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w:t>
            </w:r>
          </w:p>
        </w:tc>
        <w:tc>
          <w:tcPr>
            <w:tcW w:w="992" w:type="dxa"/>
            <w:tcBorders>
              <w:bottom w:val="single" w:sz="8" w:space="0" w:color="000000"/>
              <w:right w:val="single" w:sz="8" w:space="0" w:color="000000"/>
            </w:tcBorders>
            <w:vAlign w:val="center"/>
          </w:tcPr>
          <w:p w14:paraId="48B7D48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5</w:t>
            </w:r>
          </w:p>
        </w:tc>
        <w:tc>
          <w:tcPr>
            <w:tcW w:w="1025" w:type="dxa"/>
            <w:tcBorders>
              <w:bottom w:val="single" w:sz="8" w:space="0" w:color="000000"/>
              <w:right w:val="single" w:sz="8" w:space="0" w:color="000000"/>
            </w:tcBorders>
            <w:vAlign w:val="center"/>
          </w:tcPr>
          <w:p w14:paraId="4F60EE6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2.61</w:t>
            </w:r>
          </w:p>
        </w:tc>
        <w:tc>
          <w:tcPr>
            <w:tcW w:w="1102" w:type="dxa"/>
            <w:tcBorders>
              <w:bottom w:val="single" w:sz="8" w:space="0" w:color="000000"/>
              <w:right w:val="single" w:sz="8" w:space="0" w:color="000000"/>
            </w:tcBorders>
            <w:vAlign w:val="center"/>
          </w:tcPr>
          <w:p w14:paraId="54A6911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1.413</w:t>
            </w:r>
          </w:p>
        </w:tc>
        <w:tc>
          <w:tcPr>
            <w:tcW w:w="1275" w:type="dxa"/>
            <w:tcBorders>
              <w:bottom w:val="single" w:sz="8" w:space="0" w:color="000000"/>
              <w:right w:val="single" w:sz="8" w:space="0" w:color="000000"/>
            </w:tcBorders>
            <w:vAlign w:val="center"/>
          </w:tcPr>
          <w:p w14:paraId="1519685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1.998</w:t>
            </w:r>
          </w:p>
        </w:tc>
      </w:tr>
      <w:tr w:rsidR="000A099C" w:rsidRPr="00AD4936" w14:paraId="02909275"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0E9F8AFD"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Knowledge of Govt. Schemes</w:t>
            </w:r>
          </w:p>
        </w:tc>
        <w:tc>
          <w:tcPr>
            <w:tcW w:w="850" w:type="dxa"/>
            <w:tcBorders>
              <w:bottom w:val="single" w:sz="8" w:space="0" w:color="000000"/>
              <w:right w:val="single" w:sz="8" w:space="0" w:color="000000"/>
            </w:tcBorders>
            <w:vAlign w:val="center"/>
          </w:tcPr>
          <w:p w14:paraId="19A3C64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3AFA7EB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36DCF68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55EB233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38B1C97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1.28</w:t>
            </w:r>
          </w:p>
        </w:tc>
        <w:tc>
          <w:tcPr>
            <w:tcW w:w="1102" w:type="dxa"/>
            <w:tcBorders>
              <w:bottom w:val="single" w:sz="8" w:space="0" w:color="000000"/>
              <w:right w:val="single" w:sz="8" w:space="0" w:color="000000"/>
            </w:tcBorders>
            <w:vAlign w:val="center"/>
          </w:tcPr>
          <w:p w14:paraId="178AE30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0.451</w:t>
            </w:r>
          </w:p>
        </w:tc>
        <w:tc>
          <w:tcPr>
            <w:tcW w:w="1275" w:type="dxa"/>
            <w:tcBorders>
              <w:bottom w:val="single" w:sz="8" w:space="0" w:color="000000"/>
              <w:right w:val="single" w:sz="8" w:space="0" w:color="000000"/>
            </w:tcBorders>
            <w:vAlign w:val="center"/>
          </w:tcPr>
          <w:p w14:paraId="4635372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0.204</w:t>
            </w:r>
          </w:p>
        </w:tc>
      </w:tr>
    </w:tbl>
    <w:p w14:paraId="7F4F3F15" w14:textId="77777777" w:rsidR="000A099C" w:rsidRDefault="000A099C" w:rsidP="000A099C">
      <w:pPr>
        <w:spacing w:line="360" w:lineRule="auto"/>
        <w:jc w:val="both"/>
        <w:rPr>
          <w:rFonts w:ascii="Times New Roman" w:hAnsi="Times New Roman" w:cs="Times New Roman"/>
          <w:sz w:val="24"/>
          <w:szCs w:val="24"/>
        </w:rPr>
      </w:pPr>
    </w:p>
    <w:p w14:paraId="0B465533" w14:textId="77777777"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 xml:space="preserve">The sample consisted predominantly of young adults, with ages ranging from 18 to 25 years and an average age of 20.91 years (SD = 2.036). This suggests that respondents are primarily at a stage of early career exploration, which is particularly relevant when assessing entrepreneurial intentions. A young population often demonstrates higher openness to innovation and new livelihood opportunities, making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a potentially attractive career path.</w:t>
      </w:r>
    </w:p>
    <w:p w14:paraId="2DAE7DB9" w14:textId="26916B14"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lastRenderedPageBreak/>
        <w:t xml:space="preserve">In terms of gender distribution, the mean value of 1.44 (coded as 1 = male, 2 = female) indicates a slightly higher proportion of female participants, comprising approximately 56% of the sample. This is noteworthy, as female engagement in </w:t>
      </w:r>
      <w:proofErr w:type="spellStart"/>
      <w:r w:rsidRPr="000A099C">
        <w:rPr>
          <w:rFonts w:ascii="Times New Roman" w:hAnsi="Times New Roman" w:cs="Times New Roman"/>
          <w:sz w:val="24"/>
          <w:szCs w:val="24"/>
        </w:rPr>
        <w:t>agripreneurial</w:t>
      </w:r>
      <w:proofErr w:type="spellEnd"/>
      <w:r w:rsidRPr="000A099C">
        <w:rPr>
          <w:rFonts w:ascii="Times New Roman" w:hAnsi="Times New Roman" w:cs="Times New Roman"/>
          <w:sz w:val="24"/>
          <w:szCs w:val="24"/>
        </w:rPr>
        <w:t xml:space="preserve"> initiatives is increasingly recognized as a driver of inclusive rural development. The representation of both genders ensures a balanced perspective on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perceptions.</w:t>
      </w:r>
      <w:r>
        <w:rPr>
          <w:rFonts w:ascii="Times New Roman" w:hAnsi="Times New Roman" w:cs="Times New Roman"/>
          <w:sz w:val="24"/>
          <w:szCs w:val="24"/>
        </w:rPr>
        <w:t xml:space="preserve"> </w:t>
      </w:r>
      <w:r w:rsidRPr="000A099C">
        <w:rPr>
          <w:rFonts w:ascii="Times New Roman" w:hAnsi="Times New Roman" w:cs="Times New Roman"/>
          <w:sz w:val="24"/>
          <w:szCs w:val="24"/>
        </w:rPr>
        <w:t>Regarding educational status, the mean year of study was 1.39 (SD = 0.490), suggesting that most participants were in early stages of their academic program. Early-year students may have limited exposure to advanced entrepreneurship coursework, which could influence their baseline awareness and attitudes.</w:t>
      </w:r>
    </w:p>
    <w:p w14:paraId="35144636" w14:textId="6D45B72F"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Family background results indicate that a majority of respondents (61%) came from agricultural households (coded 1 = agriculture, 2 = non-agriculture; M = 1.66). This demographic composition implies substantial direct or indirect familiarity with farming, potentially shaping students’ openness toward considering agriculture-based enterprises</w:t>
      </w:r>
      <w:r>
        <w:rPr>
          <w:rFonts w:ascii="Times New Roman" w:hAnsi="Times New Roman" w:cs="Times New Roman"/>
          <w:sz w:val="24"/>
          <w:szCs w:val="24"/>
        </w:rPr>
        <w:t xml:space="preserve">. </w:t>
      </w:r>
      <w:r w:rsidRPr="000A099C">
        <w:rPr>
          <w:rFonts w:ascii="Times New Roman" w:hAnsi="Times New Roman" w:cs="Times New Roman"/>
          <w:sz w:val="24"/>
          <w:szCs w:val="24"/>
        </w:rPr>
        <w:t xml:space="preserve">Place of residence displayed moderate variability (M = 1.92, SD = 0.849), with many students coming from rural or semi-urban areas. These settings may influence access to </w:t>
      </w:r>
      <w:proofErr w:type="spellStart"/>
      <w:r w:rsidRPr="000A099C">
        <w:rPr>
          <w:rFonts w:ascii="Times New Roman" w:hAnsi="Times New Roman" w:cs="Times New Roman"/>
          <w:sz w:val="24"/>
          <w:szCs w:val="24"/>
        </w:rPr>
        <w:t>agripreneurial</w:t>
      </w:r>
      <w:proofErr w:type="spellEnd"/>
      <w:r w:rsidRPr="000A099C">
        <w:rPr>
          <w:rFonts w:ascii="Times New Roman" w:hAnsi="Times New Roman" w:cs="Times New Roman"/>
          <w:sz w:val="24"/>
          <w:szCs w:val="24"/>
        </w:rPr>
        <w:t xml:space="preserve"> resources, extension services, and exposure to agricultural innovations.</w:t>
      </w:r>
    </w:p>
    <w:p w14:paraId="43E1C4F4" w14:textId="58781CB7" w:rsidR="000A099C" w:rsidRPr="00AD4936"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 xml:space="preserve">Exposure-related variables revealed important insights. A large proportion (92%) of students had previously heard about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(M = 0.83), suggesting that the concept is relatively well-disseminated in the academic environment. However, knowledge of government schemes supporting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was moderate (M = 1.28, SD = 0.451), indicating room for enhanced extension and institutional communication efforts.</w:t>
      </w:r>
      <w:r>
        <w:rPr>
          <w:rFonts w:ascii="Times New Roman" w:hAnsi="Times New Roman" w:cs="Times New Roman"/>
          <w:sz w:val="24"/>
          <w:szCs w:val="24"/>
        </w:rPr>
        <w:t xml:space="preserve"> </w:t>
      </w:r>
      <w:r w:rsidRPr="000A099C">
        <w:rPr>
          <w:rFonts w:ascii="Times New Roman" w:hAnsi="Times New Roman" w:cs="Times New Roman"/>
          <w:sz w:val="24"/>
          <w:szCs w:val="24"/>
        </w:rPr>
        <w:t xml:space="preserve">The mean score for sources of information (M = 2.61) shows considerable diversity in students’ access to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-related information. This variation suggests that information channels such as media, peer learning, and academic instruction play differing roles across the student body.</w:t>
      </w:r>
      <w:r>
        <w:rPr>
          <w:rFonts w:ascii="Times New Roman" w:hAnsi="Times New Roman" w:cs="Times New Roman"/>
          <w:sz w:val="24"/>
          <w:szCs w:val="24"/>
        </w:rPr>
        <w:t xml:space="preserve"> </w:t>
      </w:r>
      <w:r w:rsidRPr="000A099C">
        <w:rPr>
          <w:rFonts w:ascii="Times New Roman" w:hAnsi="Times New Roman" w:cs="Times New Roman"/>
          <w:sz w:val="24"/>
          <w:szCs w:val="24"/>
        </w:rPr>
        <w:t>Overall, the descriptive statistics provide an informative context for understanding the patterns explored in subsequent correlation and regression analyses, highlighting the rich variability in student backgrounds and levels of awareness.</w:t>
      </w:r>
    </w:p>
    <w:p w14:paraId="1E340BC2" w14:textId="77777777" w:rsidR="000A099C" w:rsidRPr="00684DD9" w:rsidRDefault="000A099C" w:rsidP="000A099C">
      <w:pPr>
        <w:spacing w:line="360" w:lineRule="auto"/>
        <w:jc w:val="both"/>
        <w:rPr>
          <w:rFonts w:ascii="Times New Roman" w:hAnsi="Times New Roman" w:cs="Times New Roman"/>
          <w:b/>
          <w:bCs/>
          <w:sz w:val="24"/>
          <w:szCs w:val="24"/>
        </w:rPr>
      </w:pPr>
      <w:r w:rsidRPr="00684DD9">
        <w:rPr>
          <w:rFonts w:ascii="Times New Roman" w:hAnsi="Times New Roman" w:cs="Times New Roman"/>
          <w:b/>
          <w:bCs/>
          <w:sz w:val="24"/>
          <w:szCs w:val="24"/>
        </w:rPr>
        <w:t>3.2 Correlation Analysis</w:t>
      </w:r>
    </w:p>
    <w:p w14:paraId="4DB3D716" w14:textId="77777777" w:rsidR="000A099C" w:rsidRDefault="000A099C" w:rsidP="000A099C">
      <w:pPr>
        <w:spacing w:line="360" w:lineRule="auto"/>
        <w:jc w:val="both"/>
        <w:rPr>
          <w:rFonts w:ascii="Times New Roman" w:hAnsi="Times New Roman" w:cs="Times New Roman"/>
          <w:sz w:val="24"/>
          <w:szCs w:val="24"/>
        </w:rPr>
      </w:pPr>
      <w:r w:rsidRPr="00684DD9">
        <w:rPr>
          <w:rFonts w:ascii="Times New Roman" w:hAnsi="Times New Roman" w:cs="Times New Roman"/>
          <w:sz w:val="24"/>
          <w:szCs w:val="24"/>
        </w:rPr>
        <w:t xml:space="preserve">Pearson correlation analysis was conducted to examine the direction and strength of associations between selected background/exposure variables and students’ overall perception and attitude toward </w:t>
      </w:r>
      <w:proofErr w:type="spellStart"/>
      <w:r w:rsidRPr="00684DD9">
        <w:rPr>
          <w:rFonts w:ascii="Times New Roman" w:hAnsi="Times New Roman" w:cs="Times New Roman"/>
          <w:sz w:val="24"/>
          <w:szCs w:val="24"/>
        </w:rPr>
        <w:t>agripreneurship</w:t>
      </w:r>
      <w:proofErr w:type="spellEnd"/>
      <w:r w:rsidRPr="00684DD9">
        <w:rPr>
          <w:rFonts w:ascii="Times New Roman" w:hAnsi="Times New Roman" w:cs="Times New Roman"/>
          <w:sz w:val="24"/>
          <w:szCs w:val="24"/>
        </w:rPr>
        <w:t xml:space="preserve">. This analysis provides foundational insight into which factors </w:t>
      </w:r>
      <w:r w:rsidRPr="00684DD9">
        <w:rPr>
          <w:rFonts w:ascii="Times New Roman" w:hAnsi="Times New Roman" w:cs="Times New Roman"/>
          <w:sz w:val="24"/>
          <w:szCs w:val="24"/>
        </w:rPr>
        <w:lastRenderedPageBreak/>
        <w:t xml:space="preserve">meaningfully influence students’ </w:t>
      </w:r>
      <w:proofErr w:type="spellStart"/>
      <w:r w:rsidRPr="00684DD9">
        <w:rPr>
          <w:rFonts w:ascii="Times New Roman" w:hAnsi="Times New Roman" w:cs="Times New Roman"/>
          <w:sz w:val="24"/>
          <w:szCs w:val="24"/>
        </w:rPr>
        <w:t>agripreneurial</w:t>
      </w:r>
      <w:proofErr w:type="spellEnd"/>
      <w:r w:rsidRPr="00684DD9">
        <w:rPr>
          <w:rFonts w:ascii="Times New Roman" w:hAnsi="Times New Roman" w:cs="Times New Roman"/>
          <w:sz w:val="24"/>
          <w:szCs w:val="24"/>
        </w:rPr>
        <w:t xml:space="preserve"> orientation and which variables exert negligible effects. The full correlation matrix is presented in Table 2, followed by a heatmap visualization in Figure 1, designed to enhance interpretability and highlight the magnitude of significant associations.</w:t>
      </w:r>
    </w:p>
    <w:p w14:paraId="074F3705" w14:textId="4C414D36" w:rsidR="000A099C" w:rsidRPr="000A099C" w:rsidRDefault="000A099C" w:rsidP="000A099C">
      <w:pPr>
        <w:spacing w:line="360" w:lineRule="auto"/>
        <w:jc w:val="both"/>
        <w:rPr>
          <w:rFonts w:ascii="Times New Roman" w:hAnsi="Times New Roman" w:cs="Times New Roman"/>
          <w:b/>
          <w:bCs/>
          <w:i/>
          <w:iCs/>
          <w:sz w:val="24"/>
          <w:szCs w:val="24"/>
        </w:rPr>
      </w:pPr>
      <w:r w:rsidRPr="000A099C">
        <w:rPr>
          <w:rFonts w:ascii="Times New Roman" w:hAnsi="Times New Roman" w:cs="Times New Roman"/>
          <w:b/>
          <w:bCs/>
          <w:sz w:val="24"/>
          <w:szCs w:val="24"/>
        </w:rPr>
        <w:t xml:space="preserve">Table 2. Correlations between Background/Exposure Variables and Overall Perception and Attitude towards </w:t>
      </w:r>
      <w:proofErr w:type="spellStart"/>
      <w:r w:rsidRPr="000A099C">
        <w:rPr>
          <w:rFonts w:ascii="Times New Roman" w:hAnsi="Times New Roman" w:cs="Times New Roman"/>
          <w:b/>
          <w:bCs/>
          <w:sz w:val="24"/>
          <w:szCs w:val="24"/>
        </w:rPr>
        <w:t>Agripreneurship</w:t>
      </w:r>
      <w:proofErr w:type="spellEnd"/>
      <w:r w:rsidRPr="000A099C">
        <w:rPr>
          <w:rFonts w:ascii="Times New Roman" w:hAnsi="Times New Roman" w:cs="Times New Roman"/>
          <w:b/>
          <w:bCs/>
          <w:sz w:val="24"/>
          <w:szCs w:val="24"/>
        </w:rPr>
        <w:t xml:space="preserve"> (N = 100). </w:t>
      </w:r>
    </w:p>
    <w:tbl>
      <w:tblPr>
        <w:tblStyle w:val="TableGrid"/>
        <w:tblW w:w="10774" w:type="dxa"/>
        <w:tblInd w:w="-714" w:type="dxa"/>
        <w:tblLayout w:type="fixed"/>
        <w:tblLook w:val="04A0" w:firstRow="1" w:lastRow="0" w:firstColumn="1" w:lastColumn="0" w:noHBand="0" w:noVBand="1"/>
      </w:tblPr>
      <w:tblGrid>
        <w:gridCol w:w="1843"/>
        <w:gridCol w:w="993"/>
        <w:gridCol w:w="1417"/>
        <w:gridCol w:w="1035"/>
        <w:gridCol w:w="1498"/>
        <w:gridCol w:w="1294"/>
        <w:gridCol w:w="1418"/>
        <w:gridCol w:w="1276"/>
      </w:tblGrid>
      <w:tr w:rsidR="000A099C" w14:paraId="2749A62F" w14:textId="77777777" w:rsidTr="005866A5">
        <w:tc>
          <w:tcPr>
            <w:tcW w:w="1843" w:type="dxa"/>
            <w:vAlign w:val="center"/>
          </w:tcPr>
          <w:p w14:paraId="04FE6DFF"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Variable</w:t>
            </w:r>
          </w:p>
        </w:tc>
        <w:tc>
          <w:tcPr>
            <w:tcW w:w="993" w:type="dxa"/>
            <w:vAlign w:val="center"/>
          </w:tcPr>
          <w:p w14:paraId="2FCE8570"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Gender</w:t>
            </w:r>
          </w:p>
        </w:tc>
        <w:tc>
          <w:tcPr>
            <w:tcW w:w="1417" w:type="dxa"/>
            <w:vAlign w:val="center"/>
          </w:tcPr>
          <w:p w14:paraId="20E1DD3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Family Background</w:t>
            </w:r>
          </w:p>
        </w:tc>
        <w:tc>
          <w:tcPr>
            <w:tcW w:w="1035" w:type="dxa"/>
            <w:vAlign w:val="center"/>
          </w:tcPr>
          <w:p w14:paraId="13EFBA42"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Place of Residence</w:t>
            </w:r>
          </w:p>
        </w:tc>
        <w:tc>
          <w:tcPr>
            <w:tcW w:w="1498" w:type="dxa"/>
            <w:vAlign w:val="center"/>
          </w:tcPr>
          <w:p w14:paraId="6EC9297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 xml:space="preserve">Awareness of </w:t>
            </w:r>
            <w:proofErr w:type="spellStart"/>
            <w:r w:rsidRPr="000F1935">
              <w:rPr>
                <w:rFonts w:ascii="Times New Roman" w:eastAsia="Georgia" w:hAnsi="Times New Roman" w:cs="Times New Roman"/>
                <w:sz w:val="24"/>
                <w:szCs w:val="24"/>
              </w:rPr>
              <w:t>Agripreneurship</w:t>
            </w:r>
            <w:proofErr w:type="spellEnd"/>
          </w:p>
        </w:tc>
        <w:tc>
          <w:tcPr>
            <w:tcW w:w="1294" w:type="dxa"/>
            <w:vAlign w:val="center"/>
          </w:tcPr>
          <w:p w14:paraId="364818D0"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Source of Information</w:t>
            </w:r>
          </w:p>
        </w:tc>
        <w:tc>
          <w:tcPr>
            <w:tcW w:w="1418" w:type="dxa"/>
            <w:vAlign w:val="center"/>
          </w:tcPr>
          <w:p w14:paraId="06ECBD1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Knowledge of Govt. Schemes</w:t>
            </w:r>
          </w:p>
        </w:tc>
        <w:tc>
          <w:tcPr>
            <w:tcW w:w="1276" w:type="dxa"/>
            <w:vAlign w:val="center"/>
          </w:tcPr>
          <w:p w14:paraId="431F6A9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Overall Perception &amp; Attitude</w:t>
            </w:r>
          </w:p>
        </w:tc>
      </w:tr>
      <w:tr w:rsidR="000A099C" w14:paraId="20E9D13F" w14:textId="77777777" w:rsidTr="005866A5">
        <w:tc>
          <w:tcPr>
            <w:tcW w:w="1843" w:type="dxa"/>
            <w:vAlign w:val="center"/>
          </w:tcPr>
          <w:p w14:paraId="4F7925CD"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1. Gender</w:t>
            </w:r>
          </w:p>
        </w:tc>
        <w:tc>
          <w:tcPr>
            <w:tcW w:w="993" w:type="dxa"/>
            <w:vAlign w:val="center"/>
          </w:tcPr>
          <w:p w14:paraId="75AC034F"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17" w:type="dxa"/>
            <w:vAlign w:val="center"/>
          </w:tcPr>
          <w:p w14:paraId="6307E5BC" w14:textId="77777777" w:rsidR="000A099C" w:rsidRDefault="000A099C" w:rsidP="002C6831">
            <w:pPr>
              <w:rPr>
                <w:rFonts w:ascii="Times New Roman" w:hAnsi="Times New Roman" w:cs="Times New Roman"/>
                <w:sz w:val="24"/>
                <w:szCs w:val="24"/>
              </w:rPr>
            </w:pPr>
          </w:p>
        </w:tc>
        <w:tc>
          <w:tcPr>
            <w:tcW w:w="1035" w:type="dxa"/>
            <w:vAlign w:val="center"/>
          </w:tcPr>
          <w:p w14:paraId="410536D6" w14:textId="77777777" w:rsidR="000A099C" w:rsidRDefault="000A099C" w:rsidP="002C6831">
            <w:pPr>
              <w:rPr>
                <w:rFonts w:ascii="Times New Roman" w:hAnsi="Times New Roman" w:cs="Times New Roman"/>
                <w:sz w:val="24"/>
                <w:szCs w:val="24"/>
              </w:rPr>
            </w:pPr>
          </w:p>
        </w:tc>
        <w:tc>
          <w:tcPr>
            <w:tcW w:w="1498" w:type="dxa"/>
            <w:vAlign w:val="center"/>
          </w:tcPr>
          <w:p w14:paraId="00158BE9" w14:textId="77777777" w:rsidR="000A099C" w:rsidRDefault="000A099C" w:rsidP="002C6831">
            <w:pPr>
              <w:rPr>
                <w:rFonts w:ascii="Times New Roman" w:hAnsi="Times New Roman" w:cs="Times New Roman"/>
                <w:sz w:val="24"/>
                <w:szCs w:val="24"/>
              </w:rPr>
            </w:pPr>
          </w:p>
        </w:tc>
        <w:tc>
          <w:tcPr>
            <w:tcW w:w="1294" w:type="dxa"/>
            <w:vAlign w:val="center"/>
          </w:tcPr>
          <w:p w14:paraId="55A506CA" w14:textId="77777777" w:rsidR="000A099C" w:rsidRDefault="000A099C" w:rsidP="002C6831">
            <w:pPr>
              <w:rPr>
                <w:rFonts w:ascii="Times New Roman" w:hAnsi="Times New Roman" w:cs="Times New Roman"/>
                <w:sz w:val="24"/>
                <w:szCs w:val="24"/>
              </w:rPr>
            </w:pPr>
          </w:p>
        </w:tc>
        <w:tc>
          <w:tcPr>
            <w:tcW w:w="1418" w:type="dxa"/>
            <w:vAlign w:val="center"/>
          </w:tcPr>
          <w:p w14:paraId="3702667A" w14:textId="77777777" w:rsidR="000A099C" w:rsidRDefault="000A099C" w:rsidP="002C6831">
            <w:pPr>
              <w:rPr>
                <w:rFonts w:ascii="Times New Roman" w:hAnsi="Times New Roman" w:cs="Times New Roman"/>
                <w:sz w:val="24"/>
                <w:szCs w:val="24"/>
              </w:rPr>
            </w:pPr>
          </w:p>
        </w:tc>
        <w:tc>
          <w:tcPr>
            <w:tcW w:w="1276" w:type="dxa"/>
            <w:vAlign w:val="center"/>
          </w:tcPr>
          <w:p w14:paraId="7222176E" w14:textId="77777777" w:rsidR="000A099C" w:rsidRDefault="000A099C" w:rsidP="002C6831">
            <w:pPr>
              <w:rPr>
                <w:rFonts w:ascii="Times New Roman" w:hAnsi="Times New Roman" w:cs="Times New Roman"/>
                <w:sz w:val="24"/>
                <w:szCs w:val="24"/>
              </w:rPr>
            </w:pPr>
          </w:p>
        </w:tc>
      </w:tr>
      <w:tr w:rsidR="000A099C" w14:paraId="02D38AD5" w14:textId="77777777" w:rsidTr="005866A5">
        <w:tc>
          <w:tcPr>
            <w:tcW w:w="1843" w:type="dxa"/>
            <w:vAlign w:val="center"/>
          </w:tcPr>
          <w:p w14:paraId="450D2225"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2. Family Background</w:t>
            </w:r>
          </w:p>
        </w:tc>
        <w:tc>
          <w:tcPr>
            <w:tcW w:w="993" w:type="dxa"/>
            <w:vAlign w:val="center"/>
          </w:tcPr>
          <w:p w14:paraId="23E3D17D"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(.141)</w:t>
            </w:r>
          </w:p>
        </w:tc>
        <w:tc>
          <w:tcPr>
            <w:tcW w:w="1417" w:type="dxa"/>
            <w:vAlign w:val="center"/>
          </w:tcPr>
          <w:p w14:paraId="75E87F66"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035" w:type="dxa"/>
            <w:vAlign w:val="center"/>
          </w:tcPr>
          <w:p w14:paraId="736C67D5" w14:textId="77777777" w:rsidR="000A099C" w:rsidRDefault="000A099C" w:rsidP="002C6831">
            <w:pPr>
              <w:rPr>
                <w:rFonts w:ascii="Times New Roman" w:hAnsi="Times New Roman" w:cs="Times New Roman"/>
                <w:sz w:val="24"/>
                <w:szCs w:val="24"/>
              </w:rPr>
            </w:pPr>
          </w:p>
        </w:tc>
        <w:tc>
          <w:tcPr>
            <w:tcW w:w="1498" w:type="dxa"/>
            <w:vAlign w:val="center"/>
          </w:tcPr>
          <w:p w14:paraId="20D85948" w14:textId="77777777" w:rsidR="000A099C" w:rsidRDefault="000A099C" w:rsidP="002C6831">
            <w:pPr>
              <w:rPr>
                <w:rFonts w:ascii="Times New Roman" w:hAnsi="Times New Roman" w:cs="Times New Roman"/>
                <w:sz w:val="24"/>
                <w:szCs w:val="24"/>
              </w:rPr>
            </w:pPr>
          </w:p>
        </w:tc>
        <w:tc>
          <w:tcPr>
            <w:tcW w:w="1294" w:type="dxa"/>
            <w:vAlign w:val="center"/>
          </w:tcPr>
          <w:p w14:paraId="26E5DF39" w14:textId="77777777" w:rsidR="000A099C" w:rsidRDefault="000A099C" w:rsidP="002C6831">
            <w:pPr>
              <w:rPr>
                <w:rFonts w:ascii="Times New Roman" w:hAnsi="Times New Roman" w:cs="Times New Roman"/>
                <w:sz w:val="24"/>
                <w:szCs w:val="24"/>
              </w:rPr>
            </w:pPr>
          </w:p>
        </w:tc>
        <w:tc>
          <w:tcPr>
            <w:tcW w:w="1418" w:type="dxa"/>
            <w:vAlign w:val="center"/>
          </w:tcPr>
          <w:p w14:paraId="5BB14CCC" w14:textId="77777777" w:rsidR="000A099C" w:rsidRDefault="000A099C" w:rsidP="002C6831">
            <w:pPr>
              <w:rPr>
                <w:rFonts w:ascii="Times New Roman" w:hAnsi="Times New Roman" w:cs="Times New Roman"/>
                <w:sz w:val="24"/>
                <w:szCs w:val="24"/>
              </w:rPr>
            </w:pPr>
          </w:p>
        </w:tc>
        <w:tc>
          <w:tcPr>
            <w:tcW w:w="1276" w:type="dxa"/>
            <w:vAlign w:val="center"/>
          </w:tcPr>
          <w:p w14:paraId="3BDC05B3" w14:textId="77777777" w:rsidR="000A099C" w:rsidRDefault="000A099C" w:rsidP="002C6831">
            <w:pPr>
              <w:rPr>
                <w:rFonts w:ascii="Times New Roman" w:hAnsi="Times New Roman" w:cs="Times New Roman"/>
                <w:sz w:val="24"/>
                <w:szCs w:val="24"/>
              </w:rPr>
            </w:pPr>
          </w:p>
        </w:tc>
      </w:tr>
      <w:tr w:rsidR="000A099C" w14:paraId="04C4F405" w14:textId="77777777" w:rsidTr="005866A5">
        <w:tc>
          <w:tcPr>
            <w:tcW w:w="1843" w:type="dxa"/>
            <w:vAlign w:val="center"/>
          </w:tcPr>
          <w:p w14:paraId="0881C8F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3. Place of Residence</w:t>
            </w:r>
          </w:p>
        </w:tc>
        <w:tc>
          <w:tcPr>
            <w:tcW w:w="993" w:type="dxa"/>
            <w:vAlign w:val="center"/>
          </w:tcPr>
          <w:p w14:paraId="7606D543"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(−.053)</w:t>
            </w:r>
          </w:p>
        </w:tc>
        <w:tc>
          <w:tcPr>
            <w:tcW w:w="1417" w:type="dxa"/>
            <w:vAlign w:val="center"/>
          </w:tcPr>
          <w:p w14:paraId="7F306B0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7F860A35"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98" w:type="dxa"/>
            <w:vAlign w:val="center"/>
          </w:tcPr>
          <w:p w14:paraId="54429567" w14:textId="77777777" w:rsidR="000A099C" w:rsidRDefault="000A099C" w:rsidP="002C6831">
            <w:pPr>
              <w:rPr>
                <w:rFonts w:ascii="Times New Roman" w:hAnsi="Times New Roman" w:cs="Times New Roman"/>
                <w:sz w:val="24"/>
                <w:szCs w:val="24"/>
              </w:rPr>
            </w:pPr>
          </w:p>
        </w:tc>
        <w:tc>
          <w:tcPr>
            <w:tcW w:w="1294" w:type="dxa"/>
            <w:vAlign w:val="center"/>
          </w:tcPr>
          <w:p w14:paraId="196A7DE4" w14:textId="77777777" w:rsidR="000A099C" w:rsidRDefault="000A099C" w:rsidP="002C6831">
            <w:pPr>
              <w:rPr>
                <w:rFonts w:ascii="Times New Roman" w:hAnsi="Times New Roman" w:cs="Times New Roman"/>
                <w:sz w:val="24"/>
                <w:szCs w:val="24"/>
              </w:rPr>
            </w:pPr>
          </w:p>
        </w:tc>
        <w:tc>
          <w:tcPr>
            <w:tcW w:w="1418" w:type="dxa"/>
            <w:vAlign w:val="center"/>
          </w:tcPr>
          <w:p w14:paraId="256C55C4" w14:textId="77777777" w:rsidR="000A099C" w:rsidRDefault="000A099C" w:rsidP="002C6831">
            <w:pPr>
              <w:rPr>
                <w:rFonts w:ascii="Times New Roman" w:hAnsi="Times New Roman" w:cs="Times New Roman"/>
                <w:sz w:val="24"/>
                <w:szCs w:val="24"/>
              </w:rPr>
            </w:pPr>
          </w:p>
        </w:tc>
        <w:tc>
          <w:tcPr>
            <w:tcW w:w="1276" w:type="dxa"/>
            <w:vAlign w:val="center"/>
          </w:tcPr>
          <w:p w14:paraId="4823140C" w14:textId="77777777" w:rsidR="000A099C" w:rsidRDefault="000A099C" w:rsidP="002C6831">
            <w:pPr>
              <w:rPr>
                <w:rFonts w:ascii="Times New Roman" w:hAnsi="Times New Roman" w:cs="Times New Roman"/>
                <w:sz w:val="24"/>
                <w:szCs w:val="24"/>
              </w:rPr>
            </w:pPr>
          </w:p>
        </w:tc>
      </w:tr>
      <w:tr w:rsidR="000A099C" w14:paraId="584079BA" w14:textId="77777777" w:rsidTr="005866A5">
        <w:tc>
          <w:tcPr>
            <w:tcW w:w="1843" w:type="dxa"/>
            <w:vAlign w:val="center"/>
          </w:tcPr>
          <w:p w14:paraId="12D2074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 xml:space="preserve">4. Awareness of </w:t>
            </w:r>
            <w:proofErr w:type="spellStart"/>
            <w:r w:rsidRPr="000F1935">
              <w:rPr>
                <w:rFonts w:ascii="Times New Roman" w:eastAsia="Georgia" w:hAnsi="Times New Roman" w:cs="Times New Roman"/>
                <w:sz w:val="24"/>
                <w:szCs w:val="24"/>
              </w:rPr>
              <w:t>Agripreneurship</w:t>
            </w:r>
            <w:proofErr w:type="spellEnd"/>
          </w:p>
        </w:tc>
        <w:tc>
          <w:tcPr>
            <w:tcW w:w="993" w:type="dxa"/>
            <w:vAlign w:val="center"/>
          </w:tcPr>
          <w:p w14:paraId="1E6D4599"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(.025)</w:t>
            </w:r>
          </w:p>
        </w:tc>
        <w:tc>
          <w:tcPr>
            <w:tcW w:w="1417" w:type="dxa"/>
            <w:vAlign w:val="center"/>
          </w:tcPr>
          <w:p w14:paraId="6113B128"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4B803CAC"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11A476F7"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294" w:type="dxa"/>
            <w:vAlign w:val="center"/>
          </w:tcPr>
          <w:p w14:paraId="6D74AB75" w14:textId="77777777" w:rsidR="000A099C" w:rsidRDefault="000A099C" w:rsidP="002C6831">
            <w:pPr>
              <w:rPr>
                <w:rFonts w:ascii="Times New Roman" w:hAnsi="Times New Roman" w:cs="Times New Roman"/>
                <w:sz w:val="24"/>
                <w:szCs w:val="24"/>
              </w:rPr>
            </w:pPr>
          </w:p>
        </w:tc>
        <w:tc>
          <w:tcPr>
            <w:tcW w:w="1418" w:type="dxa"/>
            <w:vAlign w:val="center"/>
          </w:tcPr>
          <w:p w14:paraId="2FE29D84" w14:textId="77777777" w:rsidR="000A099C" w:rsidRDefault="000A099C" w:rsidP="002C6831">
            <w:pPr>
              <w:rPr>
                <w:rFonts w:ascii="Times New Roman" w:hAnsi="Times New Roman" w:cs="Times New Roman"/>
                <w:sz w:val="24"/>
                <w:szCs w:val="24"/>
              </w:rPr>
            </w:pPr>
          </w:p>
        </w:tc>
        <w:tc>
          <w:tcPr>
            <w:tcW w:w="1276" w:type="dxa"/>
            <w:vAlign w:val="center"/>
          </w:tcPr>
          <w:p w14:paraId="23C1AE17" w14:textId="77777777" w:rsidR="000A099C" w:rsidRDefault="000A099C" w:rsidP="002C6831">
            <w:pPr>
              <w:rPr>
                <w:rFonts w:ascii="Times New Roman" w:hAnsi="Times New Roman" w:cs="Times New Roman"/>
                <w:sz w:val="24"/>
                <w:szCs w:val="24"/>
              </w:rPr>
            </w:pPr>
          </w:p>
        </w:tc>
      </w:tr>
      <w:tr w:rsidR="000A099C" w14:paraId="1E8C5585" w14:textId="77777777" w:rsidTr="005866A5">
        <w:tc>
          <w:tcPr>
            <w:tcW w:w="1843" w:type="dxa"/>
            <w:vAlign w:val="center"/>
          </w:tcPr>
          <w:p w14:paraId="3C8AB87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5. Source of Information</w:t>
            </w:r>
          </w:p>
        </w:tc>
        <w:tc>
          <w:tcPr>
            <w:tcW w:w="993" w:type="dxa"/>
            <w:vAlign w:val="center"/>
          </w:tcPr>
          <w:p w14:paraId="30D2F27D"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(.708)**</w:t>
            </w:r>
          </w:p>
        </w:tc>
        <w:tc>
          <w:tcPr>
            <w:tcW w:w="1417" w:type="dxa"/>
            <w:vAlign w:val="center"/>
          </w:tcPr>
          <w:p w14:paraId="27AD6FAA"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43A1A6D2"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2B89ACDE"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(.569)**</w:t>
            </w:r>
          </w:p>
        </w:tc>
        <w:tc>
          <w:tcPr>
            <w:tcW w:w="1294" w:type="dxa"/>
            <w:vAlign w:val="center"/>
          </w:tcPr>
          <w:p w14:paraId="5BB98DAC"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18" w:type="dxa"/>
            <w:vAlign w:val="center"/>
          </w:tcPr>
          <w:p w14:paraId="787CF532" w14:textId="77777777" w:rsidR="000A099C" w:rsidRDefault="000A099C" w:rsidP="002C6831">
            <w:pPr>
              <w:rPr>
                <w:rFonts w:ascii="Times New Roman" w:hAnsi="Times New Roman" w:cs="Times New Roman"/>
                <w:sz w:val="24"/>
                <w:szCs w:val="24"/>
              </w:rPr>
            </w:pPr>
          </w:p>
        </w:tc>
        <w:tc>
          <w:tcPr>
            <w:tcW w:w="1276" w:type="dxa"/>
            <w:vAlign w:val="center"/>
          </w:tcPr>
          <w:p w14:paraId="6CD766B6" w14:textId="77777777" w:rsidR="000A099C" w:rsidRDefault="000A099C" w:rsidP="002C6831">
            <w:pPr>
              <w:rPr>
                <w:rFonts w:ascii="Times New Roman" w:hAnsi="Times New Roman" w:cs="Times New Roman"/>
                <w:sz w:val="24"/>
                <w:szCs w:val="24"/>
              </w:rPr>
            </w:pPr>
          </w:p>
        </w:tc>
      </w:tr>
      <w:tr w:rsidR="000A099C" w14:paraId="5FD3DE1E" w14:textId="77777777" w:rsidTr="005866A5">
        <w:tc>
          <w:tcPr>
            <w:tcW w:w="1843" w:type="dxa"/>
            <w:vAlign w:val="center"/>
          </w:tcPr>
          <w:p w14:paraId="08B99D78"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6. Knowledge of Govt. Schemes</w:t>
            </w:r>
          </w:p>
        </w:tc>
        <w:tc>
          <w:tcPr>
            <w:tcW w:w="993" w:type="dxa"/>
            <w:vAlign w:val="center"/>
          </w:tcPr>
          <w:p w14:paraId="53DAC96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(.236)*</w:t>
            </w:r>
          </w:p>
        </w:tc>
        <w:tc>
          <w:tcPr>
            <w:tcW w:w="1417" w:type="dxa"/>
            <w:vAlign w:val="center"/>
          </w:tcPr>
          <w:p w14:paraId="0B6C5E57"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576BE9C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61F342CA"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294" w:type="dxa"/>
            <w:vAlign w:val="center"/>
          </w:tcPr>
          <w:p w14:paraId="4C5629A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18" w:type="dxa"/>
            <w:vAlign w:val="center"/>
          </w:tcPr>
          <w:p w14:paraId="2087F50F"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276" w:type="dxa"/>
            <w:vAlign w:val="center"/>
          </w:tcPr>
          <w:p w14:paraId="1AD105B0" w14:textId="77777777" w:rsidR="000A099C" w:rsidRDefault="000A099C" w:rsidP="002C6831">
            <w:pPr>
              <w:rPr>
                <w:rFonts w:ascii="Times New Roman" w:hAnsi="Times New Roman" w:cs="Times New Roman"/>
                <w:sz w:val="24"/>
                <w:szCs w:val="24"/>
              </w:rPr>
            </w:pPr>
          </w:p>
        </w:tc>
      </w:tr>
      <w:tr w:rsidR="000A099C" w14:paraId="3E22B480" w14:textId="77777777" w:rsidTr="005866A5">
        <w:tc>
          <w:tcPr>
            <w:tcW w:w="1843" w:type="dxa"/>
            <w:vAlign w:val="center"/>
          </w:tcPr>
          <w:p w14:paraId="5DFD130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7. Overall Perception &amp; Attitude</w:t>
            </w:r>
          </w:p>
        </w:tc>
        <w:tc>
          <w:tcPr>
            <w:tcW w:w="993" w:type="dxa"/>
            <w:vAlign w:val="center"/>
          </w:tcPr>
          <w:p w14:paraId="50D06749"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(.141)</w:t>
            </w:r>
          </w:p>
        </w:tc>
        <w:tc>
          <w:tcPr>
            <w:tcW w:w="1417" w:type="dxa"/>
            <w:vAlign w:val="center"/>
          </w:tcPr>
          <w:p w14:paraId="661730A3"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(−.053)</w:t>
            </w:r>
          </w:p>
        </w:tc>
        <w:tc>
          <w:tcPr>
            <w:tcW w:w="1035" w:type="dxa"/>
            <w:vAlign w:val="center"/>
          </w:tcPr>
          <w:p w14:paraId="22B1C43E"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(.025)</w:t>
            </w:r>
          </w:p>
        </w:tc>
        <w:tc>
          <w:tcPr>
            <w:tcW w:w="1498" w:type="dxa"/>
            <w:vAlign w:val="center"/>
          </w:tcPr>
          <w:p w14:paraId="18C24F0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(.708)**</w:t>
            </w:r>
          </w:p>
        </w:tc>
        <w:tc>
          <w:tcPr>
            <w:tcW w:w="1294" w:type="dxa"/>
            <w:vAlign w:val="center"/>
          </w:tcPr>
          <w:p w14:paraId="715D699F"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(.569)**</w:t>
            </w:r>
          </w:p>
        </w:tc>
        <w:tc>
          <w:tcPr>
            <w:tcW w:w="1418" w:type="dxa"/>
            <w:vAlign w:val="center"/>
          </w:tcPr>
          <w:p w14:paraId="27A9E29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(.236)*</w:t>
            </w:r>
          </w:p>
        </w:tc>
        <w:tc>
          <w:tcPr>
            <w:tcW w:w="1276" w:type="dxa"/>
            <w:vAlign w:val="center"/>
          </w:tcPr>
          <w:p w14:paraId="3B657412"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r>
    </w:tbl>
    <w:p w14:paraId="547363CC" w14:textId="77777777" w:rsidR="000A099C" w:rsidRPr="00684DD9" w:rsidRDefault="000A099C" w:rsidP="000A099C">
      <w:pPr>
        <w:spacing w:before="240"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*Notes on the Heat-Map Table</w:t>
      </w:r>
    </w:p>
    <w:p w14:paraId="69C86605"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 xml:space="preserve">The highest correlation (strong) is between awareness and perception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(.708).</w:t>
      </w:r>
    </w:p>
    <w:p w14:paraId="47FEB0A6"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 xml:space="preserve">The second highest (moderate) is source of information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(.569).</w:t>
      </w:r>
    </w:p>
    <w:p w14:paraId="10CB9A30"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 xml:space="preserve">Knowledge of government schemes shows a weak but significant relationship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(.236).</w:t>
      </w:r>
    </w:p>
    <w:p w14:paraId="6DE6DAA8" w14:textId="77777777" w:rsidR="000A099C"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All demographic variables fall into weak or near-zero correlation ranges, showing they do not meaningfully influence perception.</w:t>
      </w:r>
    </w:p>
    <w:p w14:paraId="141A5B46" w14:textId="09C442FC" w:rsidR="00860676" w:rsidRPr="00860676" w:rsidRDefault="00860676" w:rsidP="000A099C">
      <w:pPr>
        <w:spacing w:after="0" w:line="240" w:lineRule="auto"/>
        <w:jc w:val="both"/>
        <w:rPr>
          <w:rFonts w:ascii="Times New Roman" w:hAnsi="Times New Roman" w:cs="Times New Roman"/>
          <w:i/>
          <w:iCs/>
          <w:sz w:val="24"/>
          <w:szCs w:val="24"/>
          <w:lang w:val="en-IN"/>
        </w:rPr>
      </w:pPr>
      <w:r w:rsidRPr="00860676">
        <w:rPr>
          <w:rFonts w:ascii="Times New Roman" w:hAnsi="Times New Roman" w:cs="Times New Roman"/>
          <w:sz w:val="24"/>
          <w:szCs w:val="24"/>
        </w:rPr>
        <w:t xml:space="preserve">Values represent Pearson correlation coefficients; p-values in parentheses. </w:t>
      </w:r>
      <w:r w:rsidRPr="00860676">
        <w:rPr>
          <w:rFonts w:ascii="Times New Roman" w:hAnsi="Times New Roman" w:cs="Times New Roman"/>
          <w:i/>
          <w:iCs/>
          <w:sz w:val="24"/>
          <w:szCs w:val="24"/>
        </w:rPr>
        <w:t>p &lt; .05, p &lt; .001.</w:t>
      </w:r>
    </w:p>
    <w:p w14:paraId="0114BB23" w14:textId="47324C9C"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The correlations show that gender, family background, and place of residence are not significantly associated with perception and attitude. Specifically, gender (r = .141, p = .162), family background (r = −.053, p = .601), and place of residence (r = .025, p = .806) exhibit very weak relationships. These results suggest that inherent demographic traits do not meaningfully shape </w:t>
      </w:r>
      <w:proofErr w:type="spellStart"/>
      <w:r w:rsidRPr="00684DD9">
        <w:rPr>
          <w:rFonts w:ascii="Times New Roman" w:hAnsi="Times New Roman" w:cs="Times New Roman"/>
          <w:sz w:val="24"/>
          <w:szCs w:val="24"/>
          <w:lang w:val="en-IN"/>
        </w:rPr>
        <w:t>agripreneurial</w:t>
      </w:r>
      <w:proofErr w:type="spellEnd"/>
      <w:r w:rsidRPr="00684DD9">
        <w:rPr>
          <w:rFonts w:ascii="Times New Roman" w:hAnsi="Times New Roman" w:cs="Times New Roman"/>
          <w:sz w:val="24"/>
          <w:szCs w:val="24"/>
          <w:lang w:val="en-IN"/>
        </w:rPr>
        <w:t xml:space="preserve"> orientation, reinforcing the perspective that entrepreneurial disposition in agriculture is a learned </w:t>
      </w:r>
      <w:r w:rsidRPr="00684DD9">
        <w:rPr>
          <w:rFonts w:ascii="Times New Roman" w:hAnsi="Times New Roman" w:cs="Times New Roman"/>
          <w:sz w:val="24"/>
          <w:szCs w:val="24"/>
          <w:lang w:val="en-IN"/>
        </w:rPr>
        <w:lastRenderedPageBreak/>
        <w:t>rather than innate attribute.</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In contrast, variables reflecting awareness, exposure, and knowledge demonstrate stronger and statistically significant associations.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stands out with a strong positive correlation (r = .708, p &lt; .001), indicating that students who have prior familiarity with the concept tend to possess substantially more </w:t>
      </w:r>
      <w:proofErr w:type="spellStart"/>
      <w:r w:rsidRPr="00684DD9">
        <w:rPr>
          <w:rFonts w:ascii="Times New Roman" w:hAnsi="Times New Roman" w:cs="Times New Roman"/>
          <w:sz w:val="24"/>
          <w:szCs w:val="24"/>
          <w:lang w:val="en-IN"/>
        </w:rPr>
        <w:t>favorable</w:t>
      </w:r>
      <w:proofErr w:type="spellEnd"/>
      <w:r w:rsidRPr="00684DD9">
        <w:rPr>
          <w:rFonts w:ascii="Times New Roman" w:hAnsi="Times New Roman" w:cs="Times New Roman"/>
          <w:sz w:val="24"/>
          <w:szCs w:val="24"/>
          <w:lang w:val="en-IN"/>
        </w:rPr>
        <w:t xml:space="preserve"> perceptions and attitudes. The source of information shows a moderate positive correlation (r = .569, p &lt; .001), implying that access to diverse information channels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such as media, extension programs, or academic institutions—supports the development of positive </w:t>
      </w:r>
      <w:proofErr w:type="spellStart"/>
      <w:r w:rsidRPr="00684DD9">
        <w:rPr>
          <w:rFonts w:ascii="Times New Roman" w:hAnsi="Times New Roman" w:cs="Times New Roman"/>
          <w:sz w:val="24"/>
          <w:szCs w:val="24"/>
          <w:lang w:val="en-IN"/>
        </w:rPr>
        <w:t>agripreneurial</w:t>
      </w:r>
      <w:proofErr w:type="spellEnd"/>
      <w:r w:rsidRPr="00684DD9">
        <w:rPr>
          <w:rFonts w:ascii="Times New Roman" w:hAnsi="Times New Roman" w:cs="Times New Roman"/>
          <w:sz w:val="24"/>
          <w:szCs w:val="24"/>
          <w:lang w:val="en-IN"/>
        </w:rPr>
        <w:t xml:space="preserve"> perceptions. Knowledge of government schemes also displays a weak yet significant association (r = .236, p = .018), suggesting that awareness of institutional support structures plays a role in shaping students’ inclination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w:t>
      </w:r>
    </w:p>
    <w:p w14:paraId="135BE850"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To enhance interpretation, a heat-map visualization of these correlations is presented in Figure 1, allowing readers to quickly identify influential variables through </w:t>
      </w:r>
      <w:proofErr w:type="spellStart"/>
      <w:r w:rsidRPr="00684DD9">
        <w:rPr>
          <w:rFonts w:ascii="Times New Roman" w:hAnsi="Times New Roman" w:cs="Times New Roman"/>
          <w:sz w:val="24"/>
          <w:szCs w:val="24"/>
          <w:lang w:val="en-IN"/>
        </w:rPr>
        <w:t>color</w:t>
      </w:r>
      <w:proofErr w:type="spellEnd"/>
      <w:r w:rsidRPr="00684DD9">
        <w:rPr>
          <w:rFonts w:ascii="Times New Roman" w:hAnsi="Times New Roman" w:cs="Times New Roman"/>
          <w:sz w:val="24"/>
          <w:szCs w:val="24"/>
          <w:lang w:val="en-IN"/>
        </w:rPr>
        <w:t xml:space="preserve"> intensity and significance markers. </w:t>
      </w:r>
    </w:p>
    <w:p w14:paraId="47EBFA30" w14:textId="77777777" w:rsidR="000A099C" w:rsidRDefault="000A099C" w:rsidP="000A099C">
      <w:pPr>
        <w:spacing w:before="240" w:line="360" w:lineRule="auto"/>
        <w:jc w:val="both"/>
        <w:rPr>
          <w:rFonts w:ascii="Times New Roman" w:hAnsi="Times New Roman" w:cs="Times New Roman"/>
          <w:sz w:val="24"/>
          <w:szCs w:val="24"/>
        </w:rPr>
      </w:pPr>
      <w:r>
        <w:rPr>
          <w:noProof/>
        </w:rPr>
        <w:lastRenderedPageBreak/>
        <w:drawing>
          <wp:inline distT="0" distB="0" distL="0" distR="0" wp14:anchorId="7ECBFF4C" wp14:editId="730DFD5E">
            <wp:extent cx="5731510" cy="4855845"/>
            <wp:effectExtent l="0" t="0" r="2540" b="1905"/>
            <wp:docPr id="1517160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855845"/>
                    </a:xfrm>
                    <a:prstGeom prst="rect">
                      <a:avLst/>
                    </a:prstGeom>
                    <a:noFill/>
                    <a:ln>
                      <a:noFill/>
                    </a:ln>
                  </pic:spPr>
                </pic:pic>
              </a:graphicData>
            </a:graphic>
          </wp:inline>
        </w:drawing>
      </w:r>
    </w:p>
    <w:p w14:paraId="42E9E076" w14:textId="77777777" w:rsidR="000A099C" w:rsidRDefault="000A099C" w:rsidP="000A099C">
      <w:pPr>
        <w:spacing w:before="240" w:line="360" w:lineRule="auto"/>
        <w:jc w:val="both"/>
        <w:rPr>
          <w:rFonts w:ascii="Times New Roman" w:hAnsi="Times New Roman" w:cs="Times New Roman"/>
          <w:i/>
          <w:iCs/>
          <w:sz w:val="24"/>
          <w:szCs w:val="24"/>
        </w:rPr>
      </w:pPr>
      <w:r w:rsidRPr="000A099C">
        <w:rPr>
          <w:rFonts w:ascii="Times New Roman" w:hAnsi="Times New Roman" w:cs="Times New Roman"/>
          <w:b/>
          <w:bCs/>
          <w:sz w:val="24"/>
          <w:szCs w:val="24"/>
        </w:rPr>
        <w:t xml:space="preserve">Figure 1: *Correlation heatmap illustrating the relationships between background and exposure variables and overall perception and attitude towards </w:t>
      </w:r>
      <w:proofErr w:type="spellStart"/>
      <w:r w:rsidRPr="000A099C">
        <w:rPr>
          <w:rFonts w:ascii="Times New Roman" w:hAnsi="Times New Roman" w:cs="Times New Roman"/>
          <w:b/>
          <w:bCs/>
          <w:sz w:val="24"/>
          <w:szCs w:val="24"/>
        </w:rPr>
        <w:t>agripreneurship</w:t>
      </w:r>
      <w:proofErr w:type="spellEnd"/>
      <w:r w:rsidRPr="000A099C">
        <w:rPr>
          <w:rFonts w:ascii="Times New Roman" w:hAnsi="Times New Roman" w:cs="Times New Roman"/>
          <w:b/>
          <w:bCs/>
          <w:sz w:val="24"/>
          <w:szCs w:val="24"/>
        </w:rPr>
        <w:t xml:space="preserve"> among agricultural students (N = 100). Pearson correlation coefficients are displayed within cells, with significance levels indicated by asterisks (*p &lt; .05; *</w:t>
      </w:r>
      <w:r w:rsidRPr="000A099C">
        <w:rPr>
          <w:rFonts w:ascii="Times New Roman" w:hAnsi="Times New Roman" w:cs="Times New Roman"/>
          <w:b/>
          <w:bCs/>
          <w:i/>
          <w:iCs/>
          <w:sz w:val="24"/>
          <w:szCs w:val="24"/>
        </w:rPr>
        <w:t>p &lt; .001).</w:t>
      </w:r>
      <w:r w:rsidRPr="00A06497">
        <w:rPr>
          <w:rFonts w:ascii="Times New Roman" w:hAnsi="Times New Roman" w:cs="Times New Roman"/>
          <w:i/>
          <w:iCs/>
          <w:sz w:val="24"/>
          <w:szCs w:val="24"/>
        </w:rPr>
        <w:t xml:space="preserve"> Strong positive correlations are indicated by darker shading, while weak or non-significant correlations appear lighter. Only significant associations—awareness of </w:t>
      </w:r>
      <w:proofErr w:type="spellStart"/>
      <w:r w:rsidRPr="00A06497">
        <w:rPr>
          <w:rFonts w:ascii="Times New Roman" w:hAnsi="Times New Roman" w:cs="Times New Roman"/>
          <w:i/>
          <w:iCs/>
          <w:sz w:val="24"/>
          <w:szCs w:val="24"/>
        </w:rPr>
        <w:t>agripreneurship</w:t>
      </w:r>
      <w:proofErr w:type="spellEnd"/>
      <w:r w:rsidRPr="00A06497">
        <w:rPr>
          <w:rFonts w:ascii="Times New Roman" w:hAnsi="Times New Roman" w:cs="Times New Roman"/>
          <w:i/>
          <w:iCs/>
          <w:sz w:val="24"/>
          <w:szCs w:val="24"/>
        </w:rPr>
        <w:t>, source of information, and knowledge of government schemes—show meaningful positive relationships with overall perception and attitude.</w:t>
      </w:r>
    </w:p>
    <w:p w14:paraId="2154E8EF" w14:textId="16FD548E" w:rsidR="000A099C" w:rsidRDefault="000A099C" w:rsidP="000A099C">
      <w:pPr>
        <w:spacing w:before="240" w:line="360" w:lineRule="auto"/>
        <w:jc w:val="both"/>
        <w:rPr>
          <w:rFonts w:ascii="Times New Roman" w:hAnsi="Times New Roman" w:cs="Times New Roman"/>
          <w:sz w:val="24"/>
          <w:szCs w:val="24"/>
        </w:rPr>
      </w:pPr>
      <w:r w:rsidRPr="00684DD9">
        <w:rPr>
          <w:rFonts w:ascii="Times New Roman" w:hAnsi="Times New Roman" w:cs="Times New Roman"/>
          <w:sz w:val="24"/>
          <w:szCs w:val="24"/>
        </w:rPr>
        <w:t xml:space="preserve">Collectively, these findings underscore the importance of exposure, awareness, and knowledge dissemination mechanisms in shaping </w:t>
      </w:r>
      <w:proofErr w:type="spellStart"/>
      <w:r w:rsidRPr="00684DD9">
        <w:rPr>
          <w:rFonts w:ascii="Times New Roman" w:hAnsi="Times New Roman" w:cs="Times New Roman"/>
          <w:sz w:val="24"/>
          <w:szCs w:val="24"/>
        </w:rPr>
        <w:t>agripreneurial</w:t>
      </w:r>
      <w:proofErr w:type="spellEnd"/>
      <w:r w:rsidRPr="00684DD9">
        <w:rPr>
          <w:rFonts w:ascii="Times New Roman" w:hAnsi="Times New Roman" w:cs="Times New Roman"/>
          <w:sz w:val="24"/>
          <w:szCs w:val="24"/>
        </w:rPr>
        <w:t xml:space="preserve"> attitudes</w:t>
      </w:r>
      <w:r w:rsidR="00860676">
        <w:rPr>
          <w:rFonts w:ascii="Times New Roman" w:hAnsi="Times New Roman" w:cs="Times New Roman"/>
          <w:sz w:val="24"/>
          <w:szCs w:val="24"/>
        </w:rPr>
        <w:t xml:space="preserve"> </w:t>
      </w:r>
      <w:r w:rsidRPr="00684DD9">
        <w:rPr>
          <w:rFonts w:ascii="Times New Roman" w:hAnsi="Times New Roman" w:cs="Times New Roman"/>
          <w:sz w:val="24"/>
          <w:szCs w:val="24"/>
        </w:rPr>
        <w:t>providing valuable guidance for extension education and curriculum design efforts aimed at fostering entrepreneurial mindsets among youth.</w:t>
      </w:r>
    </w:p>
    <w:p w14:paraId="5178D909" w14:textId="77777777" w:rsidR="000A099C" w:rsidRPr="00684DD9" w:rsidRDefault="000A099C" w:rsidP="000A099C">
      <w:pPr>
        <w:spacing w:before="240" w:line="360" w:lineRule="auto"/>
        <w:jc w:val="both"/>
        <w:rPr>
          <w:rFonts w:ascii="Times New Roman" w:hAnsi="Times New Roman" w:cs="Times New Roman"/>
          <w:b/>
          <w:bCs/>
          <w:sz w:val="24"/>
          <w:szCs w:val="24"/>
          <w:lang w:val="en-IN"/>
        </w:rPr>
      </w:pPr>
      <w:r w:rsidRPr="00684DD9">
        <w:rPr>
          <w:rFonts w:ascii="Times New Roman" w:hAnsi="Times New Roman" w:cs="Times New Roman"/>
          <w:b/>
          <w:bCs/>
          <w:sz w:val="24"/>
          <w:szCs w:val="24"/>
          <w:lang w:val="en-IN"/>
        </w:rPr>
        <w:lastRenderedPageBreak/>
        <w:t xml:space="preserve">3.3 Multiple Linear Regression Analysis </w:t>
      </w:r>
    </w:p>
    <w:p w14:paraId="242B21A9" w14:textId="373FC583" w:rsidR="000A099C"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A multiple linear regression model was developed to identify the strongest predictors of agricultural students’ perception and attitude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The model incorporated eight predictors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gender, age, year of study, family background, place of residence,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source of information, and knowledge about government schemes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to determine their unique contributions to explaining variance in perception scores. The summary of the model outputs is provided in Table 3.</w:t>
      </w:r>
    </w:p>
    <w:p w14:paraId="25B71FBF" w14:textId="235CD99E"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A multiple linear regression model was constructed to identify the strongest predictors of agricultural students’ overall perception and attitude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The model incorporated eight predictors: gender, age, year of study, family background, place of residence,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source of information, and knowledge of government schemes. This analytical approach allows for the simultaneous assessment of each variable’s unique contribution while controlling for other factors. The complete regression output is presented in Table 3, with graphical representations shown in Figures 2.</w:t>
      </w:r>
    </w:p>
    <w:p w14:paraId="7D49A392" w14:textId="77777777" w:rsidR="000A099C" w:rsidRDefault="000A099C" w:rsidP="000A099C">
      <w:pPr>
        <w:spacing w:before="240" w:line="360" w:lineRule="auto"/>
        <w:jc w:val="both"/>
        <w:rPr>
          <w:rFonts w:ascii="Times New Roman" w:hAnsi="Times New Roman" w:cs="Times New Roman"/>
          <w:b/>
          <w:bCs/>
          <w:sz w:val="24"/>
          <w:szCs w:val="24"/>
          <w:lang w:val="en-IN"/>
        </w:rPr>
      </w:pPr>
      <w:r w:rsidRPr="00684DD9">
        <w:rPr>
          <w:rFonts w:ascii="Times New Roman" w:hAnsi="Times New Roman" w:cs="Times New Roman"/>
          <w:b/>
          <w:bCs/>
          <w:sz w:val="24"/>
          <w:szCs w:val="24"/>
          <w:lang w:val="en-IN"/>
        </w:rPr>
        <w:t xml:space="preserve">Table 3. Multiple Linear Regression Predicting Overall Perception and Attitude Towards </w:t>
      </w:r>
      <w:proofErr w:type="spellStart"/>
      <w:r w:rsidRPr="00684DD9">
        <w:rPr>
          <w:rFonts w:ascii="Times New Roman" w:hAnsi="Times New Roman" w:cs="Times New Roman"/>
          <w:b/>
          <w:bCs/>
          <w:sz w:val="24"/>
          <w:szCs w:val="24"/>
          <w:lang w:val="en-IN"/>
        </w:rPr>
        <w:t>Agripreneurship</w:t>
      </w:r>
      <w:proofErr w:type="spellEnd"/>
      <w:r w:rsidRPr="00684DD9">
        <w:rPr>
          <w:rFonts w:ascii="Times New Roman" w:hAnsi="Times New Roman" w:cs="Times New Roman"/>
          <w:b/>
          <w:bCs/>
          <w:sz w:val="24"/>
          <w:szCs w:val="24"/>
          <w:lang w:val="en-IN"/>
        </w:rPr>
        <w:t xml:space="preserve"> (N =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022"/>
        <w:gridCol w:w="969"/>
        <w:gridCol w:w="968"/>
        <w:gridCol w:w="968"/>
        <w:gridCol w:w="1041"/>
      </w:tblGrid>
      <w:tr w:rsidR="000A099C" w:rsidRPr="00E21929" w14:paraId="1DC603AB" w14:textId="77777777" w:rsidTr="00BB4503">
        <w:tc>
          <w:tcPr>
            <w:tcW w:w="2356" w:type="pct"/>
            <w:shd w:val="clear" w:color="auto" w:fill="D9E2F3" w:themeFill="accent1" w:themeFillTint="33"/>
            <w:hideMark/>
          </w:tcPr>
          <w:p w14:paraId="0D15194B"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Predictor</w:t>
            </w:r>
          </w:p>
        </w:tc>
        <w:tc>
          <w:tcPr>
            <w:tcW w:w="544" w:type="pct"/>
            <w:shd w:val="clear" w:color="auto" w:fill="D9E2F3" w:themeFill="accent1" w:themeFillTint="33"/>
            <w:hideMark/>
          </w:tcPr>
          <w:p w14:paraId="7D781275"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B</w:t>
            </w:r>
          </w:p>
        </w:tc>
        <w:tc>
          <w:tcPr>
            <w:tcW w:w="516" w:type="pct"/>
            <w:shd w:val="clear" w:color="auto" w:fill="D9E2F3" w:themeFill="accent1" w:themeFillTint="33"/>
            <w:hideMark/>
          </w:tcPr>
          <w:p w14:paraId="026905E6"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SE B</w:t>
            </w:r>
          </w:p>
        </w:tc>
        <w:tc>
          <w:tcPr>
            <w:tcW w:w="515" w:type="pct"/>
            <w:shd w:val="clear" w:color="auto" w:fill="D9E2F3" w:themeFill="accent1" w:themeFillTint="33"/>
            <w:hideMark/>
          </w:tcPr>
          <w:p w14:paraId="1213F18B"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β</w:t>
            </w:r>
          </w:p>
        </w:tc>
        <w:tc>
          <w:tcPr>
            <w:tcW w:w="515" w:type="pct"/>
            <w:shd w:val="clear" w:color="auto" w:fill="D9E2F3" w:themeFill="accent1" w:themeFillTint="33"/>
            <w:hideMark/>
          </w:tcPr>
          <w:p w14:paraId="222622B0"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t</w:t>
            </w:r>
          </w:p>
        </w:tc>
        <w:tc>
          <w:tcPr>
            <w:tcW w:w="555" w:type="pct"/>
            <w:shd w:val="clear" w:color="auto" w:fill="D9E2F3" w:themeFill="accent1" w:themeFillTint="33"/>
            <w:hideMark/>
          </w:tcPr>
          <w:p w14:paraId="2C0D8577"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p</w:t>
            </w:r>
          </w:p>
        </w:tc>
      </w:tr>
      <w:tr w:rsidR="000A099C" w:rsidRPr="00E21929" w14:paraId="63242931" w14:textId="77777777" w:rsidTr="00BB4503">
        <w:tc>
          <w:tcPr>
            <w:tcW w:w="2356" w:type="pct"/>
            <w:shd w:val="clear" w:color="auto" w:fill="D9E2F3" w:themeFill="accent1" w:themeFillTint="33"/>
            <w:hideMark/>
          </w:tcPr>
          <w:p w14:paraId="50877E01"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Constant</w:t>
            </w:r>
          </w:p>
        </w:tc>
        <w:tc>
          <w:tcPr>
            <w:tcW w:w="544" w:type="pct"/>
            <w:hideMark/>
          </w:tcPr>
          <w:p w14:paraId="78F9BFC1"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22.63</w:t>
            </w:r>
          </w:p>
        </w:tc>
        <w:tc>
          <w:tcPr>
            <w:tcW w:w="516" w:type="pct"/>
            <w:hideMark/>
          </w:tcPr>
          <w:p w14:paraId="203E55B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2.70</w:t>
            </w:r>
          </w:p>
        </w:tc>
        <w:tc>
          <w:tcPr>
            <w:tcW w:w="515" w:type="pct"/>
            <w:hideMark/>
          </w:tcPr>
          <w:p w14:paraId="1269FD1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w:t>
            </w:r>
          </w:p>
        </w:tc>
        <w:tc>
          <w:tcPr>
            <w:tcW w:w="515" w:type="pct"/>
            <w:hideMark/>
          </w:tcPr>
          <w:p w14:paraId="071FC92F"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8.38</w:t>
            </w:r>
          </w:p>
        </w:tc>
        <w:tc>
          <w:tcPr>
            <w:tcW w:w="555" w:type="pct"/>
            <w:hideMark/>
          </w:tcPr>
          <w:p w14:paraId="6975B16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&lt;.001</w:t>
            </w:r>
          </w:p>
        </w:tc>
      </w:tr>
      <w:tr w:rsidR="000A099C" w:rsidRPr="00E21929" w14:paraId="328F2BC4" w14:textId="77777777" w:rsidTr="00BB4503">
        <w:tc>
          <w:tcPr>
            <w:tcW w:w="2356" w:type="pct"/>
            <w:shd w:val="clear" w:color="auto" w:fill="D9E2F3" w:themeFill="accent1" w:themeFillTint="33"/>
            <w:hideMark/>
          </w:tcPr>
          <w:p w14:paraId="7D4D1609"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Gender</w:t>
            </w:r>
          </w:p>
        </w:tc>
        <w:tc>
          <w:tcPr>
            <w:tcW w:w="544" w:type="pct"/>
            <w:hideMark/>
          </w:tcPr>
          <w:p w14:paraId="1153644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0.48</w:t>
            </w:r>
          </w:p>
        </w:tc>
        <w:tc>
          <w:tcPr>
            <w:tcW w:w="516" w:type="pct"/>
            <w:hideMark/>
          </w:tcPr>
          <w:p w14:paraId="473B18A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0.49</w:t>
            </w:r>
          </w:p>
        </w:tc>
        <w:tc>
          <w:tcPr>
            <w:tcW w:w="515" w:type="pct"/>
            <w:hideMark/>
          </w:tcPr>
          <w:p w14:paraId="412E0AE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0.07</w:t>
            </w:r>
          </w:p>
        </w:tc>
        <w:tc>
          <w:tcPr>
            <w:tcW w:w="515" w:type="pct"/>
            <w:hideMark/>
          </w:tcPr>
          <w:p w14:paraId="1E65DF6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0.97</w:t>
            </w:r>
          </w:p>
        </w:tc>
        <w:tc>
          <w:tcPr>
            <w:tcW w:w="555" w:type="pct"/>
            <w:hideMark/>
          </w:tcPr>
          <w:p w14:paraId="4538E3F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.336</w:t>
            </w:r>
          </w:p>
        </w:tc>
      </w:tr>
      <w:tr w:rsidR="000A099C" w:rsidRPr="00E21929" w14:paraId="2E92269D" w14:textId="77777777" w:rsidTr="00BB4503">
        <w:tc>
          <w:tcPr>
            <w:tcW w:w="2356" w:type="pct"/>
            <w:shd w:val="clear" w:color="auto" w:fill="D9E2F3" w:themeFill="accent1" w:themeFillTint="33"/>
            <w:hideMark/>
          </w:tcPr>
          <w:p w14:paraId="398EC34A"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Age</w:t>
            </w:r>
          </w:p>
        </w:tc>
        <w:tc>
          <w:tcPr>
            <w:tcW w:w="544" w:type="pct"/>
            <w:hideMark/>
          </w:tcPr>
          <w:p w14:paraId="34E6B37E"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-0.01</w:t>
            </w:r>
          </w:p>
        </w:tc>
        <w:tc>
          <w:tcPr>
            <w:tcW w:w="516" w:type="pct"/>
            <w:hideMark/>
          </w:tcPr>
          <w:p w14:paraId="1180B8C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0.15</w:t>
            </w:r>
          </w:p>
        </w:tc>
        <w:tc>
          <w:tcPr>
            <w:tcW w:w="515" w:type="pct"/>
            <w:hideMark/>
          </w:tcPr>
          <w:p w14:paraId="123E43A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-0.01</w:t>
            </w:r>
          </w:p>
        </w:tc>
        <w:tc>
          <w:tcPr>
            <w:tcW w:w="515" w:type="pct"/>
            <w:hideMark/>
          </w:tcPr>
          <w:p w14:paraId="79B6137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-0.09</w:t>
            </w:r>
          </w:p>
        </w:tc>
        <w:tc>
          <w:tcPr>
            <w:tcW w:w="555" w:type="pct"/>
            <w:hideMark/>
          </w:tcPr>
          <w:p w14:paraId="5915A61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.925</w:t>
            </w:r>
          </w:p>
        </w:tc>
      </w:tr>
      <w:tr w:rsidR="000A099C" w:rsidRPr="00E21929" w14:paraId="2E371B68" w14:textId="77777777" w:rsidTr="00BB4503">
        <w:tc>
          <w:tcPr>
            <w:tcW w:w="2356" w:type="pct"/>
            <w:shd w:val="clear" w:color="auto" w:fill="D9E2F3" w:themeFill="accent1" w:themeFillTint="33"/>
            <w:hideMark/>
          </w:tcPr>
          <w:p w14:paraId="37E00F7B"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Year of study</w:t>
            </w:r>
          </w:p>
        </w:tc>
        <w:tc>
          <w:tcPr>
            <w:tcW w:w="544" w:type="pct"/>
            <w:hideMark/>
          </w:tcPr>
          <w:p w14:paraId="29BEAF3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-0.53</w:t>
            </w:r>
          </w:p>
        </w:tc>
        <w:tc>
          <w:tcPr>
            <w:tcW w:w="516" w:type="pct"/>
            <w:hideMark/>
          </w:tcPr>
          <w:p w14:paraId="13556A9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4EE5E10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-0.08</w:t>
            </w:r>
          </w:p>
        </w:tc>
        <w:tc>
          <w:tcPr>
            <w:tcW w:w="515" w:type="pct"/>
            <w:hideMark/>
          </w:tcPr>
          <w:p w14:paraId="63F633F6"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-0.89</w:t>
            </w:r>
          </w:p>
        </w:tc>
        <w:tc>
          <w:tcPr>
            <w:tcW w:w="555" w:type="pct"/>
            <w:hideMark/>
          </w:tcPr>
          <w:p w14:paraId="7734589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.376</w:t>
            </w:r>
          </w:p>
        </w:tc>
      </w:tr>
      <w:tr w:rsidR="000A099C" w:rsidRPr="00E21929" w14:paraId="7BB514E6" w14:textId="77777777" w:rsidTr="00BB4503">
        <w:tc>
          <w:tcPr>
            <w:tcW w:w="2356" w:type="pct"/>
            <w:shd w:val="clear" w:color="auto" w:fill="D9E2F3" w:themeFill="accent1" w:themeFillTint="33"/>
            <w:hideMark/>
          </w:tcPr>
          <w:p w14:paraId="13231F27"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Family background</w:t>
            </w:r>
          </w:p>
        </w:tc>
        <w:tc>
          <w:tcPr>
            <w:tcW w:w="544" w:type="pct"/>
            <w:hideMark/>
          </w:tcPr>
          <w:p w14:paraId="456EE1C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-0.29</w:t>
            </w:r>
          </w:p>
        </w:tc>
        <w:tc>
          <w:tcPr>
            <w:tcW w:w="516" w:type="pct"/>
            <w:hideMark/>
          </w:tcPr>
          <w:p w14:paraId="49D760A3"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66A3178B"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-0.04</w:t>
            </w:r>
          </w:p>
        </w:tc>
        <w:tc>
          <w:tcPr>
            <w:tcW w:w="515" w:type="pct"/>
            <w:hideMark/>
          </w:tcPr>
          <w:p w14:paraId="19CB108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-0.49</w:t>
            </w:r>
          </w:p>
        </w:tc>
        <w:tc>
          <w:tcPr>
            <w:tcW w:w="555" w:type="pct"/>
            <w:hideMark/>
          </w:tcPr>
          <w:p w14:paraId="1E45ED8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.622</w:t>
            </w:r>
          </w:p>
        </w:tc>
      </w:tr>
      <w:tr w:rsidR="000A099C" w:rsidRPr="00E21929" w14:paraId="5A0C78AD" w14:textId="77777777" w:rsidTr="00BB4503">
        <w:tc>
          <w:tcPr>
            <w:tcW w:w="2356" w:type="pct"/>
            <w:shd w:val="clear" w:color="auto" w:fill="D9E2F3" w:themeFill="accent1" w:themeFillTint="33"/>
            <w:hideMark/>
          </w:tcPr>
          <w:p w14:paraId="6CEFADBE"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Place of residence</w:t>
            </w:r>
          </w:p>
        </w:tc>
        <w:tc>
          <w:tcPr>
            <w:tcW w:w="544" w:type="pct"/>
            <w:hideMark/>
          </w:tcPr>
          <w:p w14:paraId="41E94B55"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6" w:type="pct"/>
            <w:hideMark/>
          </w:tcPr>
          <w:p w14:paraId="2DFBD8B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0.34</w:t>
            </w:r>
          </w:p>
        </w:tc>
        <w:tc>
          <w:tcPr>
            <w:tcW w:w="515" w:type="pct"/>
            <w:hideMark/>
          </w:tcPr>
          <w:p w14:paraId="31B5C05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0.16</w:t>
            </w:r>
          </w:p>
        </w:tc>
        <w:tc>
          <w:tcPr>
            <w:tcW w:w="515" w:type="pct"/>
            <w:hideMark/>
          </w:tcPr>
          <w:p w14:paraId="24A0BDF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1.72</w:t>
            </w:r>
          </w:p>
        </w:tc>
        <w:tc>
          <w:tcPr>
            <w:tcW w:w="555" w:type="pct"/>
            <w:hideMark/>
          </w:tcPr>
          <w:p w14:paraId="45A4B04E"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.088</w:t>
            </w:r>
          </w:p>
        </w:tc>
      </w:tr>
      <w:tr w:rsidR="000A099C" w:rsidRPr="00E21929" w14:paraId="04F093A4" w14:textId="77777777" w:rsidTr="00BB4503">
        <w:tc>
          <w:tcPr>
            <w:tcW w:w="2356" w:type="pct"/>
            <w:shd w:val="clear" w:color="auto" w:fill="D9E2F3" w:themeFill="accent1" w:themeFillTint="33"/>
            <w:hideMark/>
          </w:tcPr>
          <w:p w14:paraId="2B7E649C"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 xml:space="preserve">Heard about </w:t>
            </w:r>
            <w:proofErr w:type="spellStart"/>
            <w:r w:rsidRPr="00FD593B">
              <w:rPr>
                <w:rFonts w:ascii="Times New Roman" w:hAnsi="Times New Roman" w:cs="Times New Roman"/>
                <w:b/>
                <w:bCs/>
                <w:sz w:val="24"/>
                <w:szCs w:val="24"/>
              </w:rPr>
              <w:t>agripreneurship</w:t>
            </w:r>
            <w:proofErr w:type="spellEnd"/>
          </w:p>
        </w:tc>
        <w:tc>
          <w:tcPr>
            <w:tcW w:w="544" w:type="pct"/>
            <w:hideMark/>
          </w:tcPr>
          <w:p w14:paraId="2AE66D65"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6.04</w:t>
            </w:r>
          </w:p>
        </w:tc>
        <w:tc>
          <w:tcPr>
            <w:tcW w:w="516" w:type="pct"/>
            <w:hideMark/>
          </w:tcPr>
          <w:p w14:paraId="64FF826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1.14</w:t>
            </w:r>
          </w:p>
        </w:tc>
        <w:tc>
          <w:tcPr>
            <w:tcW w:w="515" w:type="pct"/>
            <w:hideMark/>
          </w:tcPr>
          <w:p w14:paraId="393B550F"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0.70</w:t>
            </w:r>
          </w:p>
        </w:tc>
        <w:tc>
          <w:tcPr>
            <w:tcW w:w="515" w:type="pct"/>
            <w:hideMark/>
          </w:tcPr>
          <w:p w14:paraId="343AE28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5.31</w:t>
            </w:r>
          </w:p>
        </w:tc>
        <w:tc>
          <w:tcPr>
            <w:tcW w:w="555" w:type="pct"/>
            <w:hideMark/>
          </w:tcPr>
          <w:p w14:paraId="5211838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&lt;.001</w:t>
            </w:r>
          </w:p>
        </w:tc>
      </w:tr>
      <w:tr w:rsidR="000A099C" w:rsidRPr="00E21929" w14:paraId="3F08481B" w14:textId="77777777" w:rsidTr="00BB4503">
        <w:tc>
          <w:tcPr>
            <w:tcW w:w="2356" w:type="pct"/>
            <w:shd w:val="clear" w:color="auto" w:fill="D9E2F3" w:themeFill="accent1" w:themeFillTint="33"/>
            <w:hideMark/>
          </w:tcPr>
          <w:p w14:paraId="1C5C9EC5"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Source of information</w:t>
            </w:r>
          </w:p>
        </w:tc>
        <w:tc>
          <w:tcPr>
            <w:tcW w:w="544" w:type="pct"/>
            <w:hideMark/>
          </w:tcPr>
          <w:p w14:paraId="2843BB2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0.09</w:t>
            </w:r>
          </w:p>
        </w:tc>
        <w:tc>
          <w:tcPr>
            <w:tcW w:w="516" w:type="pct"/>
            <w:hideMark/>
          </w:tcPr>
          <w:p w14:paraId="496F2A2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0.31</w:t>
            </w:r>
          </w:p>
        </w:tc>
        <w:tc>
          <w:tcPr>
            <w:tcW w:w="515" w:type="pct"/>
            <w:hideMark/>
          </w:tcPr>
          <w:p w14:paraId="48B1A882"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0.04</w:t>
            </w:r>
          </w:p>
        </w:tc>
        <w:tc>
          <w:tcPr>
            <w:tcW w:w="515" w:type="pct"/>
            <w:hideMark/>
          </w:tcPr>
          <w:p w14:paraId="629A6AD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0.29</w:t>
            </w:r>
          </w:p>
        </w:tc>
        <w:tc>
          <w:tcPr>
            <w:tcW w:w="555" w:type="pct"/>
            <w:hideMark/>
          </w:tcPr>
          <w:p w14:paraId="59020F0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.770</w:t>
            </w:r>
          </w:p>
        </w:tc>
      </w:tr>
      <w:tr w:rsidR="000A099C" w:rsidRPr="00E21929" w14:paraId="5635D573" w14:textId="77777777" w:rsidTr="00BB4503">
        <w:tc>
          <w:tcPr>
            <w:tcW w:w="2356" w:type="pct"/>
            <w:shd w:val="clear" w:color="auto" w:fill="D9E2F3" w:themeFill="accent1" w:themeFillTint="33"/>
            <w:hideMark/>
          </w:tcPr>
          <w:p w14:paraId="3BC2FA3E"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Knowledge about govt schemes</w:t>
            </w:r>
          </w:p>
        </w:tc>
        <w:tc>
          <w:tcPr>
            <w:tcW w:w="544" w:type="pct"/>
            <w:hideMark/>
          </w:tcPr>
          <w:p w14:paraId="4206EC7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0.13</w:t>
            </w:r>
          </w:p>
        </w:tc>
        <w:tc>
          <w:tcPr>
            <w:tcW w:w="516" w:type="pct"/>
            <w:hideMark/>
          </w:tcPr>
          <w:p w14:paraId="1EAAB08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15430B5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0.02</w:t>
            </w:r>
          </w:p>
        </w:tc>
        <w:tc>
          <w:tcPr>
            <w:tcW w:w="515" w:type="pct"/>
            <w:hideMark/>
          </w:tcPr>
          <w:p w14:paraId="481658A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0.22</w:t>
            </w:r>
          </w:p>
        </w:tc>
        <w:tc>
          <w:tcPr>
            <w:tcW w:w="555" w:type="pct"/>
            <w:hideMark/>
          </w:tcPr>
          <w:p w14:paraId="1C53CEEB"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.830</w:t>
            </w:r>
          </w:p>
        </w:tc>
      </w:tr>
    </w:tbl>
    <w:p w14:paraId="6A4A92F0"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i/>
          <w:iCs/>
          <w:sz w:val="24"/>
          <w:szCs w:val="24"/>
          <w:lang w:val="en-IN"/>
        </w:rPr>
        <w:lastRenderedPageBreak/>
        <w:t>Note. B = unstandardized coefficient; SE B = standard error; β = standardized coefficient; p = significance level.</w:t>
      </w:r>
    </w:p>
    <w:p w14:paraId="49F3EC2F"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The overall regression model was statistically significant, </w:t>
      </w:r>
      <w:proofErr w:type="gramStart"/>
      <w:r w:rsidRPr="00684DD9">
        <w:rPr>
          <w:rFonts w:ascii="Times New Roman" w:hAnsi="Times New Roman" w:cs="Times New Roman"/>
          <w:sz w:val="24"/>
          <w:szCs w:val="24"/>
          <w:lang w:val="en-IN"/>
        </w:rPr>
        <w:t>F(</w:t>
      </w:r>
      <w:proofErr w:type="gramEnd"/>
      <w:r w:rsidRPr="00684DD9">
        <w:rPr>
          <w:rFonts w:ascii="Times New Roman" w:hAnsi="Times New Roman" w:cs="Times New Roman"/>
          <w:sz w:val="24"/>
          <w:szCs w:val="24"/>
          <w:lang w:val="en-IN"/>
        </w:rPr>
        <w:t xml:space="preserve">8, 91) = 12.43, p &lt; .001, and explained a substantial proportion of variance with R² = 0.523 and Adjusted R² = 0.481. This indicates that the included predictors collectively account for 52.3% of the variability in perception and attitude. Among all predictors,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emerged as the only statistically significant variable (B = 6.04, β = 0.70, p &lt; .001). This exceptionally strong standardized coefficient indicates that awareness is the dominant predictor, far outweighing demographic or informational variables. A one-unit increase in awareness results in an estimated 6.04-point rise in perception scores, emphasizing awareness as the most influential determinant.</w:t>
      </w:r>
    </w:p>
    <w:p w14:paraId="2DB8AF9A"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Place of residence demonstrated a marginal effect (B = 0.59, p = .088), suggesting that students from urban or semi-urban areas may exhibit slightly more </w:t>
      </w:r>
      <w:proofErr w:type="spellStart"/>
      <w:r w:rsidRPr="00684DD9">
        <w:rPr>
          <w:rFonts w:ascii="Times New Roman" w:hAnsi="Times New Roman" w:cs="Times New Roman"/>
          <w:sz w:val="24"/>
          <w:szCs w:val="24"/>
          <w:lang w:val="en-IN"/>
        </w:rPr>
        <w:t>favorable</w:t>
      </w:r>
      <w:proofErr w:type="spellEnd"/>
      <w:r w:rsidRPr="00684DD9">
        <w:rPr>
          <w:rFonts w:ascii="Times New Roman" w:hAnsi="Times New Roman" w:cs="Times New Roman"/>
          <w:sz w:val="24"/>
          <w:szCs w:val="24"/>
          <w:lang w:val="en-IN"/>
        </w:rPr>
        <w:t xml:space="preserve"> views, likely due to greater exposure to entrepreneurial activity or better access to support infrastructure. Although this effect does not reach statistical significance, it may signal an emerging pattern worthy of further investigation.</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All other predictors</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gender, age, year of study, family background, source of information, and knowledge of schemes</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showed non-significant effects (p &gt; .05), indicating that neither demographic characteristics nor general informational exposure independently influence perceptions unless paired with deeper conceptual awareness.</w:t>
      </w:r>
    </w:p>
    <w:p w14:paraId="21356956" w14:textId="77777777" w:rsidR="000A099C"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Graphical interpretations are provided through Figure 2, which displays regression coefficients with standard errors, and Figure 3, which presents a forest plot with 95% confidence intervals. Both figures visually reinforce that only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awareness has a meaningful predictive effect.</w:t>
      </w:r>
    </w:p>
    <w:p w14:paraId="1916B92C" w14:textId="77777777" w:rsidR="000A099C" w:rsidRPr="00684DD9" w:rsidRDefault="000A099C" w:rsidP="000A099C">
      <w:pPr>
        <w:spacing w:before="240" w:line="360" w:lineRule="auto"/>
        <w:jc w:val="both"/>
        <w:rPr>
          <w:rFonts w:ascii="Times New Roman" w:hAnsi="Times New Roman" w:cs="Times New Roman"/>
          <w:sz w:val="24"/>
          <w:szCs w:val="24"/>
          <w:lang w:val="en-IN"/>
        </w:rPr>
      </w:pPr>
      <w:r>
        <w:rPr>
          <w:noProof/>
        </w:rPr>
        <w:lastRenderedPageBreak/>
        <w:drawing>
          <wp:inline distT="0" distB="0" distL="0" distR="0" wp14:anchorId="7ABDFB9A" wp14:editId="33C18782">
            <wp:extent cx="5731510" cy="3799472"/>
            <wp:effectExtent l="0" t="0" r="2540" b="0"/>
            <wp:docPr id="1840203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472"/>
                    </a:xfrm>
                    <a:prstGeom prst="rect">
                      <a:avLst/>
                    </a:prstGeom>
                    <a:noFill/>
                    <a:ln>
                      <a:noFill/>
                    </a:ln>
                  </pic:spPr>
                </pic:pic>
              </a:graphicData>
            </a:graphic>
          </wp:inline>
        </w:drawing>
      </w:r>
    </w:p>
    <w:p w14:paraId="17CA97EA" w14:textId="77777777" w:rsidR="000A099C" w:rsidRPr="00684DD9" w:rsidRDefault="000A099C" w:rsidP="000A099C">
      <w:pPr>
        <w:spacing w:before="240" w:line="360" w:lineRule="auto"/>
        <w:jc w:val="both"/>
        <w:rPr>
          <w:rFonts w:ascii="Times New Roman" w:hAnsi="Times New Roman" w:cs="Times New Roman"/>
          <w:i/>
          <w:iCs/>
          <w:sz w:val="24"/>
          <w:szCs w:val="24"/>
          <w:lang w:val="en-IN"/>
        </w:rPr>
      </w:pPr>
      <w:r w:rsidRPr="000A099C">
        <w:rPr>
          <w:rFonts w:ascii="Times New Roman" w:hAnsi="Times New Roman" w:cs="Times New Roman"/>
          <w:b/>
          <w:bCs/>
          <w:sz w:val="24"/>
          <w:szCs w:val="24"/>
        </w:rPr>
        <w:t>Figure 3. Forest plot showing the unstandardized regression coefficients and 95% confidence intervals for the eight predictors included in the multiple linear regression analysis.</w:t>
      </w:r>
      <w:r w:rsidRPr="00FD593B">
        <w:rPr>
          <w:rFonts w:ascii="Times New Roman" w:hAnsi="Times New Roman" w:cs="Times New Roman"/>
          <w:sz w:val="24"/>
          <w:szCs w:val="24"/>
        </w:rPr>
        <w:t xml:space="preserve"> </w:t>
      </w:r>
      <w:r w:rsidRPr="000A099C">
        <w:rPr>
          <w:rFonts w:ascii="Times New Roman" w:hAnsi="Times New Roman" w:cs="Times New Roman"/>
          <w:i/>
          <w:iCs/>
          <w:sz w:val="24"/>
          <w:szCs w:val="24"/>
        </w:rPr>
        <w:t xml:space="preserve">The visualization emphasizes that awareness of </w:t>
      </w:r>
      <w:proofErr w:type="spellStart"/>
      <w:r w:rsidRPr="000A099C">
        <w:rPr>
          <w:rFonts w:ascii="Times New Roman" w:hAnsi="Times New Roman" w:cs="Times New Roman"/>
          <w:i/>
          <w:iCs/>
          <w:sz w:val="24"/>
          <w:szCs w:val="24"/>
        </w:rPr>
        <w:t>agripreneurship</w:t>
      </w:r>
      <w:proofErr w:type="spellEnd"/>
      <w:r w:rsidRPr="000A099C">
        <w:rPr>
          <w:rFonts w:ascii="Times New Roman" w:hAnsi="Times New Roman" w:cs="Times New Roman"/>
          <w:i/>
          <w:iCs/>
          <w:sz w:val="24"/>
          <w:szCs w:val="24"/>
        </w:rPr>
        <w:t xml:space="preserve"> is the sole significant determinant of perception and attitude, as its confidence interval lies entirely above zero, whereas the intervals for all other predictors cross the zero line, indicating non-significance.</w:t>
      </w:r>
    </w:p>
    <w:p w14:paraId="315FB063" w14:textId="77777777" w:rsidR="00A46310" w:rsidRPr="00AD4936" w:rsidRDefault="00B676CE" w:rsidP="00AD4936">
      <w:pPr>
        <w:spacing w:before="240" w:line="360" w:lineRule="auto"/>
        <w:jc w:val="both"/>
        <w:rPr>
          <w:rFonts w:ascii="Times New Roman" w:hAnsi="Times New Roman" w:cs="Times New Roman"/>
          <w:sz w:val="24"/>
          <w:szCs w:val="24"/>
        </w:rPr>
      </w:pPr>
      <w:r w:rsidRPr="00AD4936">
        <w:rPr>
          <w:rFonts w:ascii="Times New Roman" w:hAnsi="Times New Roman" w:cs="Times New Roman"/>
          <w:b/>
          <w:sz w:val="24"/>
          <w:szCs w:val="24"/>
        </w:rPr>
        <w:t>4. Discussion</w:t>
      </w:r>
      <w:bookmarkEnd w:id="14"/>
    </w:p>
    <w:p w14:paraId="5BF83AB3" w14:textId="6B3E1587"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t xml:space="preserve">4.1 Interpretation of Descriptive Statistics of Sample Characteristics </w:t>
      </w:r>
    </w:p>
    <w:p w14:paraId="5014D793" w14:textId="588F6D63" w:rsidR="00DB6F70" w:rsidRPr="00DB6F70" w:rsidRDefault="00DB6F70" w:rsidP="00DB6F70">
      <w:pPr>
        <w:spacing w:line="360" w:lineRule="auto"/>
        <w:jc w:val="both"/>
        <w:rPr>
          <w:rFonts w:ascii="Times New Roman" w:hAnsi="Times New Roman" w:cs="Times New Roman"/>
          <w:sz w:val="24"/>
          <w:szCs w:val="24"/>
          <w:lang w:val="en-IN"/>
        </w:rPr>
      </w:pPr>
      <w:r w:rsidRPr="00DB6F70">
        <w:rPr>
          <w:rFonts w:ascii="Times New Roman" w:hAnsi="Times New Roman" w:cs="Times New Roman"/>
          <w:sz w:val="24"/>
          <w:szCs w:val="24"/>
          <w:lang w:val="en-IN"/>
        </w:rPr>
        <w:t xml:space="preserve">The sample (N = 100) is composed of young agricultural students (mean age = 20.91, SD = 2.04, range 18–25) who are largely at an early stage of professional formation. Most respondents were in early years of study (mean year = 1.39, SD = 0.49), and a majority came from agricultural households (61%; M = 1.66, SD = 0.476). Gender was slightly female-skewed (M = 1.44), and general awareness of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was very high (92%; M = 0.83, SD = 0.378). Knowledge of government schemes was moderate (M = 1.28, SD = 0.451), while sources of information about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varied (M = 2.61, SD = 1.41).</w:t>
      </w:r>
      <w:r w:rsidR="00141F7C">
        <w:rPr>
          <w:rFonts w:ascii="Times New Roman" w:hAnsi="Times New Roman" w:cs="Times New Roman"/>
          <w:sz w:val="24"/>
          <w:szCs w:val="24"/>
          <w:lang w:val="en-IN"/>
        </w:rPr>
        <w:t xml:space="preserve"> </w:t>
      </w:r>
      <w:r w:rsidR="00141F7C" w:rsidRPr="00141F7C">
        <w:rPr>
          <w:rFonts w:ascii="Times New Roman" w:hAnsi="Times New Roman" w:cs="Times New Roman"/>
          <w:sz w:val="24"/>
          <w:szCs w:val="24"/>
          <w:lang w:val="en-IN"/>
        </w:rPr>
        <w:t xml:space="preserve">This finding aligns with established entrepreneurship </w:t>
      </w:r>
      <w:r w:rsidR="00141F7C" w:rsidRPr="00141F7C">
        <w:rPr>
          <w:rFonts w:ascii="Times New Roman" w:hAnsi="Times New Roman" w:cs="Times New Roman"/>
          <w:sz w:val="24"/>
          <w:szCs w:val="24"/>
          <w:lang w:val="en-IN"/>
        </w:rPr>
        <w:lastRenderedPageBreak/>
        <w:t xml:space="preserve">literature, which emphasizes that awareness and knowledge serve as foundational cognitive constructs for entrepreneurial intention and </w:t>
      </w:r>
      <w:proofErr w:type="spellStart"/>
      <w:r w:rsidR="00141F7C" w:rsidRPr="00141F7C">
        <w:rPr>
          <w:rFonts w:ascii="Times New Roman" w:hAnsi="Times New Roman" w:cs="Times New Roman"/>
          <w:sz w:val="24"/>
          <w:szCs w:val="24"/>
          <w:lang w:val="en-IN"/>
        </w:rPr>
        <w:t>behavior</w:t>
      </w:r>
      <w:proofErr w:type="spellEnd"/>
      <w:r w:rsidR="00141F7C">
        <w:rPr>
          <w:rFonts w:ascii="Times New Roman" w:hAnsi="Times New Roman" w:cs="Times New Roman"/>
          <w:sz w:val="24"/>
          <w:szCs w:val="24"/>
          <w:lang w:val="en-IN"/>
        </w:rPr>
        <w:t xml:space="preserve"> </w:t>
      </w:r>
      <w:r w:rsidR="00141F7C" w:rsidRPr="00141F7C">
        <w:rPr>
          <w:rFonts w:ascii="Times New Roman" w:hAnsi="Times New Roman" w:cs="Times New Roman"/>
          <w:sz w:val="24"/>
          <w:szCs w:val="24"/>
          <w:lang w:val="en-IN"/>
        </w:rPr>
        <w:t>[2][3].</w:t>
      </w:r>
    </w:p>
    <w:p w14:paraId="4A9F095A" w14:textId="67F8ADA6" w:rsidR="00DB6F70" w:rsidRPr="00DB6F70" w:rsidRDefault="00DB6F70" w:rsidP="00DB6F70">
      <w:pPr>
        <w:spacing w:line="360" w:lineRule="auto"/>
        <w:jc w:val="both"/>
        <w:rPr>
          <w:rFonts w:ascii="Times New Roman" w:hAnsi="Times New Roman" w:cs="Times New Roman"/>
          <w:sz w:val="24"/>
          <w:szCs w:val="24"/>
          <w:lang w:val="en-IN"/>
        </w:rPr>
      </w:pPr>
      <w:r w:rsidRPr="00DB6F70">
        <w:rPr>
          <w:rFonts w:ascii="Times New Roman" w:hAnsi="Times New Roman" w:cs="Times New Roman"/>
          <w:sz w:val="24"/>
          <w:szCs w:val="24"/>
          <w:lang w:val="en-IN"/>
        </w:rPr>
        <w:t xml:space="preserve">For SAIRAM, these descriptors indicate a timely intervention opportunity: students are young, receptive, and frequently have some agricultural exposure but show only moderate procedural knowledge about support mechanisms. In Manipur’s wider context a state with a predominantly rural economy and limited agribusiness infrastructure the mix of agricultural family background and high concept-awareness suggests readiness for targeted capacity-building. However, moderate scheme knowledge indicates a communication gap: while students know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exists, they may not understand how to operationalize government programs (e.g., incubation, credit linkage). Practically, SAIRAM can leverage its curricular and extension linkages to convert baseline awareness into actionable know-how by integrating practical modules, scheme walkthroughs, and local internship placements that reflect Manipur’s agro-ecological opportunities (horticulture, small-scale processing, floriculture, aquaculture).</w:t>
      </w:r>
    </w:p>
    <w:p w14:paraId="033B39C9" w14:textId="6A026E69"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t xml:space="preserve">4.2 Interpretation of Correlation Findings </w:t>
      </w:r>
    </w:p>
    <w:p w14:paraId="68E41093" w14:textId="4F8DE1D4" w:rsidR="001127FE" w:rsidRPr="001127FE" w:rsidRDefault="00CC6F99" w:rsidP="001127FE">
      <w:pPr>
        <w:spacing w:line="360" w:lineRule="auto"/>
        <w:jc w:val="both"/>
        <w:rPr>
          <w:rFonts w:ascii="Times New Roman" w:hAnsi="Times New Roman" w:cs="Times New Roman"/>
          <w:sz w:val="24"/>
          <w:szCs w:val="24"/>
          <w:lang w:val="en-IN"/>
        </w:rPr>
      </w:pPr>
      <w:r w:rsidRPr="00CC6F99">
        <w:rPr>
          <w:rFonts w:ascii="Times New Roman" w:hAnsi="Times New Roman" w:cs="Times New Roman"/>
          <w:sz w:val="24"/>
          <w:szCs w:val="24"/>
          <w:lang w:val="en-IN"/>
        </w:rPr>
        <w:t xml:space="preserve">The correlation analysis </w:t>
      </w:r>
      <w:r w:rsidR="001127FE" w:rsidRPr="001127FE">
        <w:rPr>
          <w:rFonts w:ascii="Times New Roman" w:hAnsi="Times New Roman" w:cs="Times New Roman"/>
          <w:sz w:val="24"/>
          <w:szCs w:val="24"/>
          <w:lang w:val="en-IN"/>
        </w:rPr>
        <w:t xml:space="preserve">shows a clear pattern: demographic variables (gender r = .141, p = .162; family background r = −.053, p = .601; place of residence r = .025, p = .806) are not significantly associated with perception and attitude, whereas exposure-related variables are. Awareness of </w:t>
      </w:r>
      <w:proofErr w:type="spellStart"/>
      <w:r w:rsidR="001127FE" w:rsidRPr="001127FE">
        <w:rPr>
          <w:rFonts w:ascii="Times New Roman" w:hAnsi="Times New Roman" w:cs="Times New Roman"/>
          <w:sz w:val="24"/>
          <w:szCs w:val="24"/>
          <w:lang w:val="en-IN"/>
        </w:rPr>
        <w:t>agripreneurship</w:t>
      </w:r>
      <w:proofErr w:type="spellEnd"/>
      <w:r w:rsidR="001127FE" w:rsidRPr="001127FE">
        <w:rPr>
          <w:rFonts w:ascii="Times New Roman" w:hAnsi="Times New Roman" w:cs="Times New Roman"/>
          <w:sz w:val="24"/>
          <w:szCs w:val="24"/>
          <w:lang w:val="en-IN"/>
        </w:rPr>
        <w:t xml:space="preserve"> has a strong positive correlation with perception (r = .708, p &lt; .001); source of information shows a moderate correlation (r = .569, p &lt; .001); knowledge of government schemes is weak but significant (r = .236, p = .018).</w:t>
      </w:r>
      <w:r w:rsidR="00B965A8">
        <w:rPr>
          <w:rFonts w:ascii="Times New Roman" w:hAnsi="Times New Roman" w:cs="Times New Roman"/>
          <w:sz w:val="24"/>
          <w:szCs w:val="24"/>
          <w:lang w:val="en-IN"/>
        </w:rPr>
        <w:t xml:space="preserve"> </w:t>
      </w:r>
      <w:r w:rsidR="00B965A8" w:rsidRPr="00B965A8">
        <w:rPr>
          <w:rFonts w:ascii="Times New Roman" w:hAnsi="Times New Roman" w:cs="Times New Roman"/>
          <w:sz w:val="24"/>
          <w:szCs w:val="24"/>
          <w:lang w:val="en-IN"/>
        </w:rPr>
        <w:t>This contrasts with some earlier studies that emphasized demographic determinism in entrepreneurial aspirations</w:t>
      </w:r>
      <w:r w:rsidR="00B965A8">
        <w:rPr>
          <w:rFonts w:ascii="Times New Roman" w:hAnsi="Times New Roman" w:cs="Times New Roman"/>
          <w:sz w:val="24"/>
          <w:szCs w:val="24"/>
          <w:lang w:val="en-IN"/>
        </w:rPr>
        <w:t xml:space="preserve"> </w:t>
      </w:r>
      <w:r w:rsidR="00B965A8" w:rsidRPr="00B965A8">
        <w:rPr>
          <w:rFonts w:ascii="Times New Roman" w:hAnsi="Times New Roman" w:cs="Times New Roman"/>
          <w:sz w:val="24"/>
          <w:szCs w:val="24"/>
          <w:lang w:val="en-IN"/>
        </w:rPr>
        <w:t>[5].</w:t>
      </w:r>
    </w:p>
    <w:p w14:paraId="319BE5E9" w14:textId="61A31E59" w:rsidR="00CC6F99" w:rsidRPr="00CC6F99" w:rsidRDefault="001127FE" w:rsidP="001127FE">
      <w:pPr>
        <w:spacing w:line="360" w:lineRule="auto"/>
        <w:jc w:val="both"/>
        <w:rPr>
          <w:rFonts w:ascii="Times New Roman" w:hAnsi="Times New Roman" w:cs="Times New Roman"/>
          <w:sz w:val="24"/>
          <w:szCs w:val="24"/>
          <w:lang w:val="en-IN"/>
        </w:rPr>
      </w:pPr>
      <w:r w:rsidRPr="001127FE">
        <w:rPr>
          <w:rFonts w:ascii="Times New Roman" w:hAnsi="Times New Roman" w:cs="Times New Roman"/>
          <w:sz w:val="24"/>
          <w:szCs w:val="24"/>
          <w:lang w:val="en-IN"/>
        </w:rPr>
        <w:t xml:space="preserve">Interpretively, these coefficients indicate that students’ cognitive exposure—knowing what </w:t>
      </w:r>
      <w:proofErr w:type="spellStart"/>
      <w:r w:rsidRPr="001127FE">
        <w:rPr>
          <w:rFonts w:ascii="Times New Roman" w:hAnsi="Times New Roman" w:cs="Times New Roman"/>
          <w:sz w:val="24"/>
          <w:szCs w:val="24"/>
          <w:lang w:val="en-IN"/>
        </w:rPr>
        <w:t>agripreneurship</w:t>
      </w:r>
      <w:proofErr w:type="spellEnd"/>
      <w:r w:rsidRPr="001127FE">
        <w:rPr>
          <w:rFonts w:ascii="Times New Roman" w:hAnsi="Times New Roman" w:cs="Times New Roman"/>
          <w:sz w:val="24"/>
          <w:szCs w:val="24"/>
          <w:lang w:val="en-IN"/>
        </w:rPr>
        <w:t xml:space="preserve"> is and where to learn about it</w:t>
      </w:r>
      <w:r w:rsidR="00EF74E8">
        <w:rPr>
          <w:rFonts w:ascii="Times New Roman" w:hAnsi="Times New Roman" w:cs="Times New Roman"/>
          <w:sz w:val="24"/>
          <w:szCs w:val="24"/>
          <w:lang w:val="en-IN"/>
        </w:rPr>
        <w:t xml:space="preserve"> </w:t>
      </w:r>
      <w:r w:rsidRPr="001127FE">
        <w:rPr>
          <w:rFonts w:ascii="Times New Roman" w:hAnsi="Times New Roman" w:cs="Times New Roman"/>
          <w:sz w:val="24"/>
          <w:szCs w:val="24"/>
          <w:lang w:val="en-IN"/>
        </w:rPr>
        <w:t>matters far more than demographic background. For SAIRAM, this means outreach and pedagogy that improve conceptual clarity (case studies, labs, entrepreneur talks) will likely raise attitude scores more effectively than demographic-targeted measures. In Manipur, the strong r = .708 suggests state-level awareness campaigns (KVKs, college-extension partnerships, targeted social media) could shift perceptions at scale; however, the weaker r = .236 for scheme knowledge implies that simply naming schemes is insufficient communications must illustrate concrete, local examples of scheme use (e.g., small processing units in Imphal Valley) to increase perceived utility and uptake.</w:t>
      </w:r>
    </w:p>
    <w:p w14:paraId="44CFF928" w14:textId="217EF7B0"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lastRenderedPageBreak/>
        <w:t>4.3 Interpretation of Multiple Regression Findings</w:t>
      </w:r>
    </w:p>
    <w:p w14:paraId="0D566281" w14:textId="479FAAF0" w:rsidR="00EF74E8" w:rsidRPr="00EF74E8" w:rsidRDefault="00EF74E8" w:rsidP="00EF74E8">
      <w:pPr>
        <w:spacing w:before="240" w:line="360" w:lineRule="auto"/>
        <w:jc w:val="both"/>
        <w:rPr>
          <w:rFonts w:ascii="Times New Roman" w:hAnsi="Times New Roman" w:cs="Times New Roman"/>
          <w:sz w:val="24"/>
          <w:szCs w:val="24"/>
          <w:lang w:val="en-IN"/>
        </w:rPr>
      </w:pPr>
      <w:bookmarkStart w:id="15" w:name="bm_5_conclusions_and_recommendations"/>
      <w:r w:rsidRPr="00EF74E8">
        <w:rPr>
          <w:rFonts w:ascii="Times New Roman" w:hAnsi="Times New Roman" w:cs="Times New Roman"/>
          <w:sz w:val="24"/>
          <w:szCs w:val="24"/>
          <w:lang w:val="en-IN"/>
        </w:rPr>
        <w:t xml:space="preserve">The multivariate model explained substantial variance (R² = 0.523; Adjusted R² = 0.481; </w:t>
      </w:r>
      <w:proofErr w:type="gramStart"/>
      <w:r w:rsidRPr="00EF74E8">
        <w:rPr>
          <w:rFonts w:ascii="Times New Roman" w:hAnsi="Times New Roman" w:cs="Times New Roman"/>
          <w:sz w:val="24"/>
          <w:szCs w:val="24"/>
          <w:lang w:val="en-IN"/>
        </w:rPr>
        <w:t>F(</w:t>
      </w:r>
      <w:proofErr w:type="gramEnd"/>
      <w:r w:rsidRPr="00EF74E8">
        <w:rPr>
          <w:rFonts w:ascii="Times New Roman" w:hAnsi="Times New Roman" w:cs="Times New Roman"/>
          <w:sz w:val="24"/>
          <w:szCs w:val="24"/>
          <w:lang w:val="en-IN"/>
        </w:rPr>
        <w:t>8,91)=12.43, p &lt; .001). Critically, prior awareness was the only statistically significant predictor in the full model (B = 6.04, SE = 1.14, β = 0.70, t = 5.31, p &lt; .001). Place of residence showed a marginal effect (B = 0.59, SE = 0.34, β = 0.16, p = .088). All other predictors</w:t>
      </w:r>
      <w:r w:rsidR="00C0521F">
        <w:rPr>
          <w:rFonts w:ascii="Times New Roman" w:hAnsi="Times New Roman" w:cs="Times New Roman"/>
          <w:sz w:val="24"/>
          <w:szCs w:val="24"/>
          <w:lang w:val="en-IN"/>
        </w:rPr>
        <w:t xml:space="preserve"> </w:t>
      </w:r>
      <w:r w:rsidRPr="00EF74E8">
        <w:rPr>
          <w:rFonts w:ascii="Times New Roman" w:hAnsi="Times New Roman" w:cs="Times New Roman"/>
          <w:sz w:val="24"/>
          <w:szCs w:val="24"/>
          <w:lang w:val="en-IN"/>
        </w:rPr>
        <w:t>gender, age, year of study, family background, source of information, and scheme knowledge</w:t>
      </w:r>
      <w:r w:rsidR="00C0521F">
        <w:rPr>
          <w:rFonts w:ascii="Times New Roman" w:hAnsi="Times New Roman" w:cs="Times New Roman"/>
          <w:sz w:val="24"/>
          <w:szCs w:val="24"/>
          <w:lang w:val="en-IN"/>
        </w:rPr>
        <w:t xml:space="preserve"> </w:t>
      </w:r>
      <w:r w:rsidRPr="00EF74E8">
        <w:rPr>
          <w:rFonts w:ascii="Times New Roman" w:hAnsi="Times New Roman" w:cs="Times New Roman"/>
          <w:sz w:val="24"/>
          <w:szCs w:val="24"/>
          <w:lang w:val="en-IN"/>
        </w:rPr>
        <w:t>were non-significant when controlling for others (p &gt; .05).</w:t>
      </w:r>
    </w:p>
    <w:p w14:paraId="460D99CC" w14:textId="77777777" w:rsidR="00EF74E8" w:rsidRDefault="00EF74E8" w:rsidP="00EF74E8">
      <w:pPr>
        <w:spacing w:before="240" w:line="360" w:lineRule="auto"/>
        <w:jc w:val="both"/>
        <w:rPr>
          <w:rFonts w:ascii="Times New Roman" w:hAnsi="Times New Roman" w:cs="Times New Roman"/>
          <w:sz w:val="24"/>
          <w:szCs w:val="24"/>
          <w:lang w:val="en-IN"/>
        </w:rPr>
      </w:pPr>
      <w:r w:rsidRPr="00EF74E8">
        <w:rPr>
          <w:rFonts w:ascii="Times New Roman" w:hAnsi="Times New Roman" w:cs="Times New Roman"/>
          <w:sz w:val="24"/>
          <w:szCs w:val="24"/>
          <w:lang w:val="en-IN"/>
        </w:rPr>
        <w:t xml:space="preserve">These results imply that while multiple factors correlate with perception at the bivariate level, awareness is the proximal causal lever when other variables are controlled. For SAIRAM, this points to prioritizing structured awareness-to-skill pathways: embed </w:t>
      </w:r>
      <w:proofErr w:type="spellStart"/>
      <w:r w:rsidRPr="00EF74E8">
        <w:rPr>
          <w:rFonts w:ascii="Times New Roman" w:hAnsi="Times New Roman" w:cs="Times New Roman"/>
          <w:sz w:val="24"/>
          <w:szCs w:val="24"/>
          <w:lang w:val="en-IN"/>
        </w:rPr>
        <w:t>agripreneurship</w:t>
      </w:r>
      <w:proofErr w:type="spellEnd"/>
      <w:r w:rsidRPr="00EF74E8">
        <w:rPr>
          <w:rFonts w:ascii="Times New Roman" w:hAnsi="Times New Roman" w:cs="Times New Roman"/>
          <w:sz w:val="24"/>
          <w:szCs w:val="24"/>
          <w:lang w:val="en-IN"/>
        </w:rPr>
        <w:t xml:space="preserve"> modules early, run applied workshops that convert conceptual awareness into business planning skills, and provide mentorship to translate awareness into intention. In Manipur, given the state's small- and niche-market opportunities, policy and extension bodies should couple awareness campaigns with place-based supports (market linkages, micro-credit windows, demonstration enterprises) so that the strong effect of awareness (β = 0.70) is realized as tangible entrepreneurial activity, especially in semi-urban hubs where the marginal residence effect suggests slightly greater readiness.</w:t>
      </w:r>
    </w:p>
    <w:p w14:paraId="0E634073" w14:textId="1CAD80BD" w:rsidR="00C75519" w:rsidRDefault="004C2C1B" w:rsidP="009019DC">
      <w:pPr>
        <w:spacing w:before="240" w:line="360" w:lineRule="auto"/>
        <w:jc w:val="both"/>
        <w:rPr>
          <w:rFonts w:ascii="Times New Roman" w:hAnsi="Times New Roman" w:cs="Times New Roman"/>
          <w:sz w:val="24"/>
          <w:szCs w:val="24"/>
        </w:rPr>
      </w:pPr>
      <w:bookmarkStart w:id="16" w:name="bm_4_5_implications_for_extension_5b5fff"/>
      <w:r>
        <w:rPr>
          <w:rFonts w:ascii="Times New Roman" w:hAnsi="Times New Roman" w:cs="Times New Roman"/>
          <w:b/>
          <w:sz w:val="24"/>
          <w:szCs w:val="24"/>
        </w:rPr>
        <w:t>5</w:t>
      </w:r>
      <w:r w:rsidR="00DB57B6" w:rsidRPr="004C2C1B">
        <w:rPr>
          <w:rFonts w:ascii="Times New Roman" w:hAnsi="Times New Roman" w:cs="Times New Roman"/>
          <w:b/>
          <w:sz w:val="24"/>
          <w:szCs w:val="24"/>
        </w:rPr>
        <w:t>. Implications for Extension Education</w:t>
      </w:r>
      <w:bookmarkEnd w:id="16"/>
    </w:p>
    <w:p w14:paraId="5E65D436" w14:textId="336D97BF" w:rsidR="00DB57B6" w:rsidRPr="004C2C1B" w:rsidRDefault="00DB57B6" w:rsidP="004C2C1B">
      <w:pPr>
        <w:spacing w:after="210" w:line="360" w:lineRule="auto"/>
        <w:jc w:val="both"/>
        <w:rPr>
          <w:rFonts w:ascii="Times New Roman" w:hAnsi="Times New Roman" w:cs="Times New Roman"/>
          <w:sz w:val="24"/>
          <w:szCs w:val="24"/>
        </w:rPr>
      </w:pPr>
      <w:r w:rsidRPr="004C2C1B">
        <w:rPr>
          <w:rFonts w:ascii="Times New Roman" w:hAnsi="Times New Roman" w:cs="Times New Roman"/>
          <w:sz w:val="24"/>
          <w:szCs w:val="24"/>
        </w:rPr>
        <w:t>These findings carry substantial implications for extension education and policy:</w:t>
      </w:r>
    </w:p>
    <w:p w14:paraId="038B03EC" w14:textId="40E590A7"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a)</w:t>
      </w:r>
      <w:r w:rsidR="00DB57B6" w:rsidRPr="004C2C1B">
        <w:rPr>
          <w:rFonts w:ascii="Times New Roman" w:hAnsi="Times New Roman" w:cs="Times New Roman"/>
          <w:b/>
          <w:sz w:val="24"/>
          <w:szCs w:val="24"/>
        </w:rPr>
        <w:t xml:space="preserve"> Awareness Campaigns:</w:t>
      </w:r>
      <w:r w:rsidR="00DB57B6" w:rsidRPr="004C2C1B">
        <w:rPr>
          <w:rFonts w:ascii="Times New Roman" w:hAnsi="Times New Roman" w:cs="Times New Roman"/>
          <w:sz w:val="24"/>
          <w:szCs w:val="24"/>
        </w:rPr>
        <w:t xml:space="preserve"> The dominance of awareness as a predictor suggests that large-scale awareness campaigns, whether delivered through digital media, educational institutions, extension services, or community platforms, could be </w:t>
      </w:r>
      <w:proofErr w:type="gramStart"/>
      <w:r w:rsidR="00DB57B6" w:rsidRPr="004C2C1B">
        <w:rPr>
          <w:rFonts w:ascii="Times New Roman" w:hAnsi="Times New Roman" w:cs="Times New Roman"/>
          <w:sz w:val="24"/>
          <w:szCs w:val="24"/>
        </w:rPr>
        <w:t>transformative</w:t>
      </w:r>
      <w:r w:rsidR="004C2C1B" w:rsidRPr="004C2C1B">
        <w:rPr>
          <w:rFonts w:ascii="Times New Roman" w:hAnsi="Times New Roman" w:cs="Times New Roman"/>
          <w:sz w:val="24"/>
          <w:szCs w:val="24"/>
        </w:rPr>
        <w:t>[</w:t>
      </w:r>
      <w:proofErr w:type="gramEnd"/>
      <w:r w:rsidR="004C2C1B" w:rsidRPr="004C2C1B">
        <w:rPr>
          <w:rFonts w:ascii="Times New Roman" w:hAnsi="Times New Roman" w:cs="Times New Roman"/>
          <w:sz w:val="24"/>
          <w:szCs w:val="24"/>
        </w:rPr>
        <w:t>6]</w:t>
      </w:r>
      <w:r w:rsidR="00DB57B6" w:rsidRPr="004C2C1B">
        <w:rPr>
          <w:rFonts w:ascii="Times New Roman" w:hAnsi="Times New Roman" w:cs="Times New Roman"/>
          <w:sz w:val="24"/>
          <w:szCs w:val="24"/>
        </w:rPr>
        <w:t xml:space="preserve">. Extension services should consider multimedia campaigns highlighting success stories of </w:t>
      </w:r>
      <w:proofErr w:type="spellStart"/>
      <w:r w:rsidR="00DB57B6" w:rsidRPr="004C2C1B">
        <w:rPr>
          <w:rFonts w:ascii="Times New Roman" w:hAnsi="Times New Roman" w:cs="Times New Roman"/>
          <w:sz w:val="24"/>
          <w:szCs w:val="24"/>
        </w:rPr>
        <w:t>agripreneurs</w:t>
      </w:r>
      <w:proofErr w:type="spellEnd"/>
      <w:r w:rsidR="00DB57B6" w:rsidRPr="004C2C1B">
        <w:rPr>
          <w:rFonts w:ascii="Times New Roman" w:hAnsi="Times New Roman" w:cs="Times New Roman"/>
          <w:sz w:val="24"/>
          <w:szCs w:val="24"/>
        </w:rPr>
        <w:t>, entrepreneurial pathways in agriculture, and the range of possible ventures beyond traditional farming.</w:t>
      </w:r>
    </w:p>
    <w:p w14:paraId="07222238" w14:textId="52F6B3CD"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b)</w:t>
      </w:r>
      <w:r w:rsidR="00DB57B6" w:rsidRPr="004C2C1B">
        <w:rPr>
          <w:rFonts w:ascii="Times New Roman" w:hAnsi="Times New Roman" w:cs="Times New Roman"/>
          <w:b/>
          <w:sz w:val="24"/>
          <w:szCs w:val="24"/>
        </w:rPr>
        <w:t xml:space="preserve"> Curriculum Integration:</w:t>
      </w:r>
      <w:r w:rsidR="00DB57B6" w:rsidRPr="004C2C1B">
        <w:rPr>
          <w:rFonts w:ascii="Times New Roman" w:hAnsi="Times New Roman" w:cs="Times New Roman"/>
          <w:sz w:val="24"/>
          <w:szCs w:val="24"/>
        </w:rPr>
        <w:t xml:space="preserve"> Agricultural educational institutions should integrate </w:t>
      </w:r>
      <w:proofErr w:type="spellStart"/>
      <w:r w:rsidR="00DB57B6" w:rsidRPr="004C2C1B">
        <w:rPr>
          <w:rFonts w:ascii="Times New Roman" w:hAnsi="Times New Roman" w:cs="Times New Roman"/>
          <w:sz w:val="24"/>
          <w:szCs w:val="24"/>
        </w:rPr>
        <w:t>agripreneurship</w:t>
      </w:r>
      <w:proofErr w:type="spellEnd"/>
      <w:r w:rsidR="00DB57B6" w:rsidRPr="004C2C1B">
        <w:rPr>
          <w:rFonts w:ascii="Times New Roman" w:hAnsi="Times New Roman" w:cs="Times New Roman"/>
          <w:sz w:val="24"/>
          <w:szCs w:val="24"/>
        </w:rPr>
        <w:t xml:space="preserve"> modules into formal curricula, moving beyond passive exposure to active engagement with entrepreneurial concepts, case studies, and practical skill-building. This institutional integration could ensure that all agricultural students gain awareness and understanding of </w:t>
      </w:r>
      <w:proofErr w:type="spellStart"/>
      <w:r w:rsidR="00DB57B6" w:rsidRPr="004C2C1B">
        <w:rPr>
          <w:rFonts w:ascii="Times New Roman" w:hAnsi="Times New Roman" w:cs="Times New Roman"/>
          <w:sz w:val="24"/>
          <w:szCs w:val="24"/>
        </w:rPr>
        <w:t>agripreneurship</w:t>
      </w:r>
      <w:proofErr w:type="spellEnd"/>
      <w:r w:rsidR="00DB57B6" w:rsidRPr="004C2C1B">
        <w:rPr>
          <w:rFonts w:ascii="Times New Roman" w:hAnsi="Times New Roman" w:cs="Times New Roman"/>
          <w:sz w:val="24"/>
          <w:szCs w:val="24"/>
        </w:rPr>
        <w:t>.</w:t>
      </w:r>
    </w:p>
    <w:p w14:paraId="43877BA3" w14:textId="48F10739"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w:t>
      </w:r>
      <w:r w:rsidR="00DB57B6" w:rsidRPr="004C2C1B">
        <w:rPr>
          <w:rFonts w:ascii="Times New Roman" w:hAnsi="Times New Roman" w:cs="Times New Roman"/>
          <w:b/>
          <w:sz w:val="24"/>
          <w:szCs w:val="24"/>
        </w:rPr>
        <w:t xml:space="preserve"> Experiential Learning:</w:t>
      </w:r>
      <w:r w:rsidR="00DB57B6" w:rsidRPr="004C2C1B">
        <w:rPr>
          <w:rFonts w:ascii="Times New Roman" w:eastAsia="Georgia" w:hAnsi="Times New Roman" w:cs="Times New Roman"/>
          <w:sz w:val="24"/>
          <w:szCs w:val="24"/>
        </w:rPr>
        <w:t xml:space="preserve"> Beyond classroom instruction, experiential learning opportunities—such as field visits to successful agribusinesses, entrepreneur mentorship programs, and business plan development exercises</w:t>
      </w:r>
      <w:r w:rsidR="00E74CD6">
        <w:rPr>
          <w:rFonts w:ascii="Times New Roman" w:eastAsia="Georgia" w:hAnsi="Times New Roman" w:cs="Times New Roman"/>
          <w:sz w:val="24"/>
          <w:szCs w:val="24"/>
        </w:rPr>
        <w:t xml:space="preserve"> </w:t>
      </w:r>
      <w:r w:rsidR="00DB57B6" w:rsidRPr="004C2C1B">
        <w:rPr>
          <w:rFonts w:ascii="Times New Roman" w:eastAsia="Georgia" w:hAnsi="Times New Roman" w:cs="Times New Roman"/>
          <w:sz w:val="24"/>
          <w:szCs w:val="24"/>
        </w:rPr>
        <w:t>can deepen awareness and enhance its translation into entrepreneurial intention[7].</w:t>
      </w:r>
    </w:p>
    <w:p w14:paraId="3F9EE605" w14:textId="1E927BA3"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d)</w:t>
      </w:r>
      <w:r w:rsidR="00DB57B6" w:rsidRPr="004C2C1B">
        <w:rPr>
          <w:rFonts w:ascii="Times New Roman" w:hAnsi="Times New Roman" w:cs="Times New Roman"/>
          <w:b/>
          <w:sz w:val="24"/>
          <w:szCs w:val="24"/>
        </w:rPr>
        <w:t xml:space="preserve"> Targeted Interventions:</w:t>
      </w:r>
      <w:r w:rsidR="00DB57B6" w:rsidRPr="004C2C1B">
        <w:rPr>
          <w:rFonts w:ascii="Times New Roman" w:hAnsi="Times New Roman" w:cs="Times New Roman"/>
          <w:sz w:val="24"/>
          <w:szCs w:val="24"/>
        </w:rPr>
        <w:t xml:space="preserve"> Although demographic factors were non-significant, targeted programs addressing the specific informational and support needs of distinct student subgroups (e.g., first-generation agricultural learners, students from non-agricultural backgrounds transitioning to agriculture) may still be warranted to ensure inclusive reach.</w:t>
      </w:r>
    </w:p>
    <w:p w14:paraId="4DEB246F" w14:textId="626D51CC"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e)</w:t>
      </w:r>
      <w:r w:rsidR="00DB57B6" w:rsidRPr="004C2C1B">
        <w:rPr>
          <w:rFonts w:ascii="Times New Roman" w:hAnsi="Times New Roman" w:cs="Times New Roman"/>
          <w:b/>
          <w:sz w:val="24"/>
          <w:szCs w:val="24"/>
        </w:rPr>
        <w:t xml:space="preserve"> Government Scheme Communication:</w:t>
      </w:r>
      <w:r w:rsidR="00DB57B6" w:rsidRPr="004C2C1B">
        <w:rPr>
          <w:rFonts w:ascii="Times New Roman" w:hAnsi="Times New Roman" w:cs="Times New Roman"/>
          <w:sz w:val="24"/>
          <w:szCs w:val="24"/>
        </w:rPr>
        <w:t xml:space="preserve"> The non-significance of government scheme knowledge suggests the need for more effective communication and demonstration of how these schemes translate into tangible support. Extension agents should be equipped to facilitate access to and understanding of these schemes, moving beyond pamphlet-based dissemination to personalized, problem-focused consultation.</w:t>
      </w:r>
    </w:p>
    <w:p w14:paraId="50E18F43" w14:textId="59E1D846" w:rsidR="00DB57B6" w:rsidRPr="004C2C1B" w:rsidRDefault="007D22C5" w:rsidP="004C2C1B">
      <w:pPr>
        <w:spacing w:before="240" w:line="360" w:lineRule="auto"/>
        <w:jc w:val="both"/>
        <w:rPr>
          <w:rFonts w:ascii="Times New Roman" w:hAnsi="Times New Roman" w:cs="Times New Roman"/>
          <w:sz w:val="24"/>
          <w:szCs w:val="24"/>
        </w:rPr>
      </w:pPr>
      <w:bookmarkStart w:id="17" w:name="bm_4_6_context_specific_relevance_2be497"/>
      <w:r>
        <w:rPr>
          <w:rFonts w:ascii="Times New Roman" w:hAnsi="Times New Roman" w:cs="Times New Roman"/>
          <w:b/>
          <w:sz w:val="24"/>
          <w:szCs w:val="24"/>
        </w:rPr>
        <w:t>6</w:t>
      </w:r>
      <w:r w:rsidR="00DB57B6" w:rsidRPr="004C2C1B">
        <w:rPr>
          <w:rFonts w:ascii="Times New Roman" w:hAnsi="Times New Roman" w:cs="Times New Roman"/>
          <w:b/>
          <w:sz w:val="24"/>
          <w:szCs w:val="24"/>
        </w:rPr>
        <w:t>. Context-Specific Relevance for Manipur</w:t>
      </w:r>
      <w:bookmarkEnd w:id="17"/>
    </w:p>
    <w:p w14:paraId="2F7F1162" w14:textId="5DF8EA1A" w:rsidR="009019DC" w:rsidRDefault="009019DC" w:rsidP="004C2C1B">
      <w:pPr>
        <w:spacing w:before="240" w:line="360" w:lineRule="auto"/>
        <w:jc w:val="both"/>
        <w:rPr>
          <w:rFonts w:ascii="Times New Roman" w:hAnsi="Times New Roman" w:cs="Times New Roman"/>
          <w:sz w:val="24"/>
          <w:szCs w:val="24"/>
        </w:rPr>
      </w:pPr>
      <w:r w:rsidRPr="009019DC">
        <w:rPr>
          <w:rFonts w:ascii="Times New Roman" w:hAnsi="Times New Roman" w:cs="Times New Roman"/>
          <w:sz w:val="24"/>
          <w:szCs w:val="24"/>
        </w:rPr>
        <w:t xml:space="preserve">Manipur’s agrarian economy, characterized by fragmented markets, limited value addition, and youth unemployment, presents both an urgent need and a fertile landscape for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development</w:t>
      </w:r>
      <w:r>
        <w:rPr>
          <w:rFonts w:ascii="Times New Roman" w:hAnsi="Times New Roman" w:cs="Times New Roman"/>
          <w:sz w:val="24"/>
          <w:szCs w:val="24"/>
        </w:rPr>
        <w:t xml:space="preserve"> [1]</w:t>
      </w:r>
      <w:r w:rsidRPr="009019DC">
        <w:rPr>
          <w:rFonts w:ascii="Times New Roman" w:hAnsi="Times New Roman" w:cs="Times New Roman"/>
          <w:sz w:val="24"/>
          <w:szCs w:val="24"/>
        </w:rPr>
        <w:t xml:space="preserve">. The results highlight that while students possess high conceptual awareness, this awareness must be deepened into practical understanding to stimulate entrepreneurial action. Awareness-driven interventions are particularly critical given the state’s infrastructural constraints and emerging agribusiness niches—such as organic farming, floriculture, medicinal plants, and small-scale processing. Strengthening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aligns directly with state development priorities, including livelihood diversification, rural enterprise promotion, and sustainable agricultural modernization</w:t>
      </w:r>
      <w:r w:rsidR="00770217">
        <w:rPr>
          <w:rFonts w:ascii="Times New Roman" w:hAnsi="Times New Roman" w:cs="Times New Roman"/>
          <w:sz w:val="24"/>
          <w:szCs w:val="24"/>
        </w:rPr>
        <w:t xml:space="preserve"> [8]</w:t>
      </w:r>
      <w:r w:rsidRPr="009019DC">
        <w:rPr>
          <w:rFonts w:ascii="Times New Roman" w:hAnsi="Times New Roman" w:cs="Times New Roman"/>
          <w:sz w:val="24"/>
          <w:szCs w:val="24"/>
        </w:rPr>
        <w:t xml:space="preserve">. SAIRAM, as a key academic institution, is positioned to serve as an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incubation node, partnering with extension agencies, government departments, and private sector actors to deliver opportunity-driven programming. Scaling awareness through targeted communication, entrepreneurship clubs, and regional demonstration models can accelerate youth participation in agribusiness. Thus,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promotion is not merely an educational priority but a strategic development pathway for Manipur’s rural transformation.</w:t>
      </w:r>
    </w:p>
    <w:p w14:paraId="10C4F2A1" w14:textId="69CFC900" w:rsidR="00A46310" w:rsidRPr="00AD4936" w:rsidRDefault="00B676CE" w:rsidP="00AD493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sidRPr="00AD4936">
        <w:rPr>
          <w:rFonts w:ascii="Times New Roman" w:hAnsi="Times New Roman" w:cs="Times New Roman"/>
          <w:b/>
          <w:sz w:val="24"/>
          <w:szCs w:val="24"/>
        </w:rPr>
        <w:t>. Conclusions</w:t>
      </w:r>
      <w:bookmarkEnd w:id="15"/>
    </w:p>
    <w:p w14:paraId="7C2BBCD0" w14:textId="2485430B" w:rsidR="00187BEB" w:rsidRDefault="00187BEB" w:rsidP="00AD4936">
      <w:pPr>
        <w:spacing w:before="240" w:line="360" w:lineRule="auto"/>
        <w:jc w:val="both"/>
        <w:rPr>
          <w:rFonts w:ascii="Times New Roman" w:hAnsi="Times New Roman" w:cs="Times New Roman"/>
          <w:sz w:val="24"/>
          <w:szCs w:val="24"/>
        </w:rPr>
      </w:pPr>
      <w:bookmarkStart w:id="18" w:name="bm_5_1_key_recommendations"/>
      <w:r w:rsidRPr="00187BEB">
        <w:rPr>
          <w:rFonts w:ascii="Times New Roman" w:hAnsi="Times New Roman" w:cs="Times New Roman"/>
          <w:sz w:val="24"/>
          <w:szCs w:val="24"/>
        </w:rPr>
        <w:t xml:space="preserve">This study demonstrates that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awareness is the dominant determinant of agricultural students’ perception and attitude toward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in Manipur, far outweighing the influence of demographic or background characteristics. Although 92% of students had heard of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regression findings show that the </w:t>
      </w:r>
      <w:r w:rsidRPr="00187BEB">
        <w:rPr>
          <w:rFonts w:ascii="Times New Roman" w:hAnsi="Times New Roman" w:cs="Times New Roman"/>
          <w:i/>
          <w:iCs/>
          <w:sz w:val="24"/>
          <w:szCs w:val="24"/>
        </w:rPr>
        <w:t>quality</w:t>
      </w:r>
      <w:r w:rsidRPr="00187BEB">
        <w:rPr>
          <w:rFonts w:ascii="Times New Roman" w:hAnsi="Times New Roman" w:cs="Times New Roman"/>
          <w:sz w:val="24"/>
          <w:szCs w:val="24"/>
        </w:rPr>
        <w:t xml:space="preserve"> of this awareness</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not simply its presence</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 xml:space="preserve">drives positive attitudes (β = 0.70, p &lt; .001). By contrast, gender, age, year of study, family background, information sources, and knowledge of government schemes showed no significant predictive power when examined simultaneously. These results indicate that students’ entrepreneurial orientation is cognitively and informationally driven rather than demographically structured. For SAIRAM and similar institutions, this underscores an urgent need to strengthen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-focused curricula, enhance hands-on learning opportunities, and create structured pathways for translating awareness into entrepreneurial capability. In Manipur’s broader context</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marked by rural unemployment and limited agribusiness diversification</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 xml:space="preserve">building strong awareness ecosystems can serve as a catalytic strategy for youth-led agricultural transformation. Overall, the findings highlight awareness-building as the most effective and scalable intervention point for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development.</w:t>
      </w:r>
    </w:p>
    <w:p w14:paraId="0F66F070" w14:textId="4868EBD2" w:rsidR="00A46310" w:rsidRPr="00AD4936" w:rsidRDefault="00B676CE" w:rsidP="00AD493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8.</w:t>
      </w:r>
      <w:r w:rsidRPr="00AD4936">
        <w:rPr>
          <w:rFonts w:ascii="Times New Roman" w:hAnsi="Times New Roman" w:cs="Times New Roman"/>
          <w:b/>
          <w:sz w:val="24"/>
          <w:szCs w:val="24"/>
        </w:rPr>
        <w:t xml:space="preserve"> Key Recommendations</w:t>
      </w:r>
      <w:bookmarkEnd w:id="18"/>
    </w:p>
    <w:p w14:paraId="7B22BB25" w14:textId="736A1E3C"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8.1. </w:t>
      </w:r>
      <w:r w:rsidRPr="00AD4936">
        <w:rPr>
          <w:rFonts w:ascii="Times New Roman" w:hAnsi="Times New Roman" w:cs="Times New Roman"/>
          <w:b/>
          <w:sz w:val="24"/>
          <w:szCs w:val="24"/>
        </w:rPr>
        <w:t>For Extension Education Programs:</w:t>
      </w:r>
    </w:p>
    <w:p w14:paraId="7E727F10"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Develop Comprehensive Awareness Campaigns:</w:t>
      </w:r>
      <w:r w:rsidRPr="00AD4936">
        <w:rPr>
          <w:rFonts w:ascii="Times New Roman" w:hAnsi="Times New Roman" w:cs="Times New Roman"/>
          <w:sz w:val="24"/>
          <w:szCs w:val="24"/>
        </w:rPr>
        <w:t xml:space="preserve"> Design and implement targeted awareness campaigns highlighting the diversity of </w:t>
      </w:r>
      <w:proofErr w:type="spellStart"/>
      <w:r w:rsidRPr="00AD4936">
        <w:rPr>
          <w:rFonts w:ascii="Times New Roman" w:hAnsi="Times New Roman" w:cs="Times New Roman"/>
          <w:sz w:val="24"/>
          <w:szCs w:val="24"/>
        </w:rPr>
        <w:t>agripreneurial</w:t>
      </w:r>
      <w:proofErr w:type="spellEnd"/>
      <w:r w:rsidRPr="00AD4936">
        <w:rPr>
          <w:rFonts w:ascii="Times New Roman" w:hAnsi="Times New Roman" w:cs="Times New Roman"/>
          <w:sz w:val="24"/>
          <w:szCs w:val="24"/>
        </w:rPr>
        <w:t xml:space="preserve"> opportunities, including value-added agriculture, precision farming, agricultural technology services, and agrotourism.</w:t>
      </w:r>
    </w:p>
    <w:p w14:paraId="09817623"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 xml:space="preserve">Establish </w:t>
      </w:r>
      <w:proofErr w:type="spellStart"/>
      <w:r w:rsidRPr="00AD4936">
        <w:rPr>
          <w:rFonts w:ascii="Times New Roman" w:hAnsi="Times New Roman" w:cs="Times New Roman"/>
          <w:b/>
          <w:sz w:val="24"/>
          <w:szCs w:val="24"/>
        </w:rPr>
        <w:t>Agripreneurship</w:t>
      </w:r>
      <w:proofErr w:type="spellEnd"/>
      <w:r w:rsidRPr="00AD4936">
        <w:rPr>
          <w:rFonts w:ascii="Times New Roman" w:hAnsi="Times New Roman" w:cs="Times New Roman"/>
          <w:b/>
          <w:sz w:val="24"/>
          <w:szCs w:val="24"/>
        </w:rPr>
        <w:t xml:space="preserve"> Hubs:</w:t>
      </w:r>
      <w:r w:rsidRPr="00AD4936">
        <w:rPr>
          <w:rFonts w:ascii="Times New Roman" w:hAnsi="Times New Roman" w:cs="Times New Roman"/>
          <w:sz w:val="24"/>
          <w:szCs w:val="24"/>
        </w:rPr>
        <w:t xml:space="preserve"> Create campus-based or community-based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hubs providing mentorship, business planning support, market linkages, and access to financial resources.</w:t>
      </w:r>
    </w:p>
    <w:p w14:paraId="469DD0CA"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Integrate Entrepreneurship into Agricultural Curricula:</w:t>
      </w:r>
      <w:r w:rsidRPr="00AD4936">
        <w:rPr>
          <w:rFonts w:ascii="Times New Roman" w:hAnsi="Times New Roman" w:cs="Times New Roman"/>
          <w:sz w:val="24"/>
          <w:szCs w:val="24"/>
        </w:rPr>
        <w:t xml:space="preserve"> Mandate inclusion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modules in undergraduate and postgraduate agricultural programs, with emphasis on practical skill-building and experiential learning.</w:t>
      </w:r>
    </w:p>
    <w:p w14:paraId="2F5FB870"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lastRenderedPageBreak/>
        <w:t>Facilitate Entrepreneur Mentorship:</w:t>
      </w:r>
      <w:r w:rsidRPr="00AD4936">
        <w:rPr>
          <w:rFonts w:ascii="Times New Roman" w:hAnsi="Times New Roman" w:cs="Times New Roman"/>
          <w:sz w:val="24"/>
          <w:szCs w:val="24"/>
        </w:rPr>
        <w:t xml:space="preserve"> Connect agricultural students with successful </w:t>
      </w:r>
      <w:proofErr w:type="spellStart"/>
      <w:r w:rsidRPr="00AD4936">
        <w:rPr>
          <w:rFonts w:ascii="Times New Roman" w:hAnsi="Times New Roman" w:cs="Times New Roman"/>
          <w:sz w:val="24"/>
          <w:szCs w:val="24"/>
        </w:rPr>
        <w:t>agripreneurs</w:t>
      </w:r>
      <w:proofErr w:type="spellEnd"/>
      <w:r w:rsidRPr="00AD4936">
        <w:rPr>
          <w:rFonts w:ascii="Times New Roman" w:hAnsi="Times New Roman" w:cs="Times New Roman"/>
          <w:sz w:val="24"/>
          <w:szCs w:val="24"/>
        </w:rPr>
        <w:t xml:space="preserve"> for mentoring, knowledge transfer, and motivation.</w:t>
      </w:r>
    </w:p>
    <w:p w14:paraId="06337F7A"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Strengthen Communication of Government Support Schemes:</w:t>
      </w:r>
      <w:r w:rsidRPr="00AD4936">
        <w:rPr>
          <w:rFonts w:ascii="Times New Roman" w:hAnsi="Times New Roman" w:cs="Times New Roman"/>
          <w:sz w:val="24"/>
          <w:szCs w:val="24"/>
        </w:rPr>
        <w:t xml:space="preserve"> Conduct targeted workshops and webinars to educate students about relevant government schemes, eligibility criteria, application processes, and success stories of beneficiaries.</w:t>
      </w:r>
    </w:p>
    <w:p w14:paraId="00AE162F" w14:textId="3162A292"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8.2. </w:t>
      </w:r>
      <w:r w:rsidRPr="00AD4936">
        <w:rPr>
          <w:rFonts w:ascii="Times New Roman" w:hAnsi="Times New Roman" w:cs="Times New Roman"/>
          <w:b/>
          <w:sz w:val="24"/>
          <w:szCs w:val="24"/>
        </w:rPr>
        <w:t>For Policy and Agricultural Development:</w:t>
      </w:r>
    </w:p>
    <w:p w14:paraId="3195B8A8"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Fund Extension Education Initiatives:</w:t>
      </w:r>
      <w:r w:rsidRPr="00AD4936">
        <w:rPr>
          <w:rFonts w:ascii="Times New Roman" w:hAnsi="Times New Roman" w:cs="Times New Roman"/>
          <w:sz w:val="24"/>
          <w:szCs w:val="24"/>
        </w:rPr>
        <w:t xml:space="preserve"> Allocate dedicated funding to extension services for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awareness campaigns and capacity-building programs.</w:t>
      </w:r>
    </w:p>
    <w:p w14:paraId="57D9C59F"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Create Student Entrepreneur Incentives:</w:t>
      </w:r>
      <w:r w:rsidRPr="00AD4936">
        <w:rPr>
          <w:rFonts w:ascii="Times New Roman" w:hAnsi="Times New Roman" w:cs="Times New Roman"/>
          <w:sz w:val="24"/>
          <w:szCs w:val="24"/>
        </w:rPr>
        <w:t xml:space="preserve"> Develop specific incentive programs (grants, concessional credit, tax benefits) for agricultural students and recent graduates entering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w:t>
      </w:r>
    </w:p>
    <w:p w14:paraId="587F39C4"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Establish Market Linkages:</w:t>
      </w:r>
      <w:r w:rsidRPr="00AD4936">
        <w:rPr>
          <w:rFonts w:ascii="Times New Roman" w:hAnsi="Times New Roman" w:cs="Times New Roman"/>
          <w:sz w:val="24"/>
          <w:szCs w:val="24"/>
        </w:rPr>
        <w:t xml:space="preserve"> Facilitate connections between </w:t>
      </w:r>
      <w:proofErr w:type="spellStart"/>
      <w:r w:rsidRPr="00AD4936">
        <w:rPr>
          <w:rFonts w:ascii="Times New Roman" w:hAnsi="Times New Roman" w:cs="Times New Roman"/>
          <w:sz w:val="24"/>
          <w:szCs w:val="24"/>
        </w:rPr>
        <w:t>agripreneur</w:t>
      </w:r>
      <w:proofErr w:type="spellEnd"/>
      <w:r w:rsidRPr="00AD4936">
        <w:rPr>
          <w:rFonts w:ascii="Times New Roman" w:hAnsi="Times New Roman" w:cs="Times New Roman"/>
          <w:sz w:val="24"/>
          <w:szCs w:val="24"/>
        </w:rPr>
        <w:t xml:space="preserve"> initiatives and markets, supply chains, and distribution networks to enhance viability and sustainability.</w:t>
      </w:r>
    </w:p>
    <w:p w14:paraId="23D80400" w14:textId="46C195BE"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8.3. </w:t>
      </w:r>
      <w:r w:rsidRPr="00AD4936">
        <w:rPr>
          <w:rFonts w:ascii="Times New Roman" w:hAnsi="Times New Roman" w:cs="Times New Roman"/>
          <w:b/>
          <w:sz w:val="24"/>
          <w:szCs w:val="24"/>
        </w:rPr>
        <w:t>For Future Research:</w:t>
      </w:r>
    </w:p>
    <w:p w14:paraId="311E27C7" w14:textId="77777777" w:rsidR="00A46310" w:rsidRPr="00AD4936" w:rsidRDefault="00B676CE" w:rsidP="00AD4936">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Longitudinal Studies:</w:t>
      </w:r>
      <w:r w:rsidRPr="00AD4936">
        <w:rPr>
          <w:rFonts w:ascii="Times New Roman" w:hAnsi="Times New Roman" w:cs="Times New Roman"/>
          <w:sz w:val="24"/>
          <w:szCs w:val="24"/>
        </w:rPr>
        <w:t xml:space="preserve"> Conduct follow-up studies tracking changes in attitudes and actual entrepreneurial behavior over time.</w:t>
      </w:r>
    </w:p>
    <w:p w14:paraId="6CE8C479" w14:textId="77777777" w:rsidR="00A46310" w:rsidRPr="00AD4936" w:rsidRDefault="00B676CE" w:rsidP="00AD4936">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Qualitative Investigations:</w:t>
      </w:r>
      <w:r w:rsidRPr="00AD4936">
        <w:rPr>
          <w:rFonts w:ascii="Times New Roman" w:hAnsi="Times New Roman" w:cs="Times New Roman"/>
          <w:sz w:val="24"/>
          <w:szCs w:val="24"/>
        </w:rPr>
        <w:t xml:space="preserve"> Employ qualitative methods to gain deeper understanding of how awareness translates into behavioral intention and actual entrepreneurial action.</w:t>
      </w:r>
    </w:p>
    <w:p w14:paraId="4B08DB38" w14:textId="62C6F873" w:rsidR="00994B44" w:rsidRDefault="00B676CE" w:rsidP="00994B44">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Intervention Evaluations:</w:t>
      </w:r>
      <w:r w:rsidRPr="00AD4936">
        <w:rPr>
          <w:rFonts w:ascii="Times New Roman" w:hAnsi="Times New Roman" w:cs="Times New Roman"/>
          <w:sz w:val="24"/>
          <w:szCs w:val="24"/>
        </w:rPr>
        <w:t xml:space="preserve"> Evaluate the effectiveness of specific awareness-building interventions in changing attitudes and fostering entrepreneurial behavior.</w:t>
      </w:r>
    </w:p>
    <w:p w14:paraId="1B38895D" w14:textId="77777777" w:rsidR="00534DBE" w:rsidRPr="00534DBE" w:rsidRDefault="00534DBE" w:rsidP="00534DBE">
      <w:pPr>
        <w:spacing w:after="210" w:line="360" w:lineRule="auto"/>
        <w:jc w:val="both"/>
        <w:rPr>
          <w:rFonts w:ascii="Times New Roman" w:hAnsi="Times New Roman" w:cs="Times New Roman"/>
          <w:sz w:val="24"/>
          <w:szCs w:val="24"/>
        </w:rPr>
      </w:pPr>
      <w:r w:rsidRPr="00534DBE">
        <w:rPr>
          <w:rFonts w:ascii="Times New Roman" w:hAnsi="Times New Roman" w:cs="Times New Roman"/>
          <w:sz w:val="24"/>
          <w:szCs w:val="24"/>
        </w:rPr>
        <w:t>Authors’ contributions</w:t>
      </w:r>
    </w:p>
    <w:p w14:paraId="29AD6170" w14:textId="62FA6B7B" w:rsidR="00534DBE" w:rsidRDefault="00534DBE" w:rsidP="00534DBE">
      <w:pPr>
        <w:spacing w:after="210" w:line="360" w:lineRule="auto"/>
        <w:jc w:val="both"/>
        <w:rPr>
          <w:rFonts w:ascii="Times New Roman" w:hAnsi="Times New Roman" w:cs="Times New Roman"/>
          <w:sz w:val="24"/>
          <w:szCs w:val="24"/>
        </w:rPr>
      </w:pPr>
      <w:r w:rsidRPr="00534DBE">
        <w:rPr>
          <w:rFonts w:ascii="Times New Roman" w:hAnsi="Times New Roman" w:cs="Times New Roman"/>
          <w:sz w:val="24"/>
          <w:szCs w:val="24"/>
        </w:rPr>
        <w:t>This work was carried out in collaboration among all authors. All authors read and approved the final manuscript.</w:t>
      </w:r>
    </w:p>
    <w:p w14:paraId="6520C3F1" w14:textId="77777777" w:rsidR="00994B44" w:rsidRPr="00994B44" w:rsidRDefault="00994B44" w:rsidP="00994B44">
      <w:pPr>
        <w:spacing w:after="210" w:line="360" w:lineRule="auto"/>
        <w:jc w:val="both"/>
        <w:rPr>
          <w:rFonts w:ascii="Times New Roman" w:hAnsi="Times New Roman" w:cs="Times New Roman"/>
          <w:b/>
          <w:bCs/>
          <w:sz w:val="24"/>
          <w:szCs w:val="24"/>
        </w:rPr>
      </w:pPr>
      <w:r w:rsidRPr="00994B44">
        <w:rPr>
          <w:rFonts w:ascii="Times New Roman" w:hAnsi="Times New Roman" w:cs="Times New Roman"/>
          <w:b/>
          <w:bCs/>
          <w:sz w:val="24"/>
          <w:szCs w:val="24"/>
        </w:rPr>
        <w:t>DISCLAIMER (ARTIFICIAL INTELLIGENCE)</w:t>
      </w:r>
    </w:p>
    <w:p w14:paraId="568FC95C" w14:textId="23B44B6B" w:rsidR="00994B44" w:rsidRDefault="00994B44" w:rsidP="00994B44">
      <w:pPr>
        <w:spacing w:after="210" w:line="360" w:lineRule="auto"/>
        <w:jc w:val="both"/>
        <w:rPr>
          <w:rFonts w:ascii="Times New Roman" w:hAnsi="Times New Roman" w:cs="Times New Roman"/>
          <w:sz w:val="24"/>
          <w:szCs w:val="24"/>
        </w:rPr>
      </w:pPr>
      <w:r w:rsidRPr="00994B44">
        <w:rPr>
          <w:rFonts w:ascii="Times New Roman" w:hAnsi="Times New Roman" w:cs="Times New Roman"/>
          <w:sz w:val="24"/>
          <w:szCs w:val="24"/>
        </w:rPr>
        <w:lastRenderedPageBreak/>
        <w:t>Author(s) hereby declare that NO generative AI technologies such as Large Language Models (</w:t>
      </w:r>
      <w:proofErr w:type="spellStart"/>
      <w:r w:rsidRPr="00994B44">
        <w:rPr>
          <w:rFonts w:ascii="Times New Roman" w:hAnsi="Times New Roman" w:cs="Times New Roman"/>
          <w:sz w:val="24"/>
          <w:szCs w:val="24"/>
        </w:rPr>
        <w:t>ChatGPT</w:t>
      </w:r>
      <w:proofErr w:type="spellEnd"/>
      <w:r w:rsidRPr="00994B44">
        <w:rPr>
          <w:rFonts w:ascii="Times New Roman" w:hAnsi="Times New Roman" w:cs="Times New Roman"/>
          <w:sz w:val="24"/>
          <w:szCs w:val="24"/>
        </w:rPr>
        <w:t xml:space="preserve">, COPILOT, </w:t>
      </w:r>
      <w:proofErr w:type="spellStart"/>
      <w:r w:rsidRPr="00994B44">
        <w:rPr>
          <w:rFonts w:ascii="Times New Roman" w:hAnsi="Times New Roman" w:cs="Times New Roman"/>
          <w:sz w:val="24"/>
          <w:szCs w:val="24"/>
        </w:rPr>
        <w:t>etc</w:t>
      </w:r>
      <w:proofErr w:type="spellEnd"/>
      <w:r w:rsidRPr="00994B44">
        <w:rPr>
          <w:rFonts w:ascii="Times New Roman" w:hAnsi="Times New Roman" w:cs="Times New Roman"/>
          <w:sz w:val="24"/>
          <w:szCs w:val="24"/>
        </w:rPr>
        <w:t>) and   text-to-image generators have been used during writing or editing of this manuscript.</w:t>
      </w:r>
    </w:p>
    <w:p w14:paraId="7C70ED52" w14:textId="77777777" w:rsidR="00994B44" w:rsidRPr="00994B44" w:rsidRDefault="00994B44" w:rsidP="00994B44">
      <w:pPr>
        <w:spacing w:after="210" w:line="360" w:lineRule="auto"/>
        <w:jc w:val="both"/>
        <w:rPr>
          <w:rFonts w:ascii="Times New Roman" w:hAnsi="Times New Roman" w:cs="Times New Roman"/>
          <w:b/>
          <w:bCs/>
          <w:sz w:val="24"/>
          <w:szCs w:val="24"/>
        </w:rPr>
      </w:pPr>
      <w:r w:rsidRPr="00994B44">
        <w:rPr>
          <w:rFonts w:ascii="Times New Roman" w:hAnsi="Times New Roman" w:cs="Times New Roman"/>
          <w:b/>
          <w:bCs/>
          <w:sz w:val="24"/>
          <w:szCs w:val="24"/>
        </w:rPr>
        <w:t>COMPETING INTERESTS</w:t>
      </w:r>
    </w:p>
    <w:p w14:paraId="68838C6E" w14:textId="117406EF" w:rsidR="00994B44" w:rsidRDefault="00994B44" w:rsidP="00994B44">
      <w:pPr>
        <w:spacing w:after="210" w:line="360" w:lineRule="auto"/>
        <w:jc w:val="both"/>
        <w:rPr>
          <w:rFonts w:ascii="Times New Roman" w:hAnsi="Times New Roman" w:cs="Times New Roman"/>
          <w:sz w:val="24"/>
          <w:szCs w:val="24"/>
        </w:rPr>
      </w:pPr>
      <w:r w:rsidRPr="00994B44">
        <w:rPr>
          <w:rFonts w:ascii="Times New Roman" w:hAnsi="Times New Roman" w:cs="Times New Roman"/>
          <w:sz w:val="24"/>
          <w:szCs w:val="24"/>
        </w:rPr>
        <w:t>Authors have declared that no competing interests exist.</w:t>
      </w:r>
    </w:p>
    <w:p w14:paraId="301A9D11" w14:textId="77777777" w:rsidR="00534DBE" w:rsidRDefault="00534DBE" w:rsidP="00994B44">
      <w:pPr>
        <w:spacing w:after="210" w:line="360" w:lineRule="auto"/>
        <w:jc w:val="both"/>
        <w:rPr>
          <w:rFonts w:ascii="Times New Roman" w:hAnsi="Times New Roman" w:cs="Times New Roman"/>
          <w:sz w:val="24"/>
          <w:szCs w:val="24"/>
        </w:rPr>
      </w:pPr>
    </w:p>
    <w:p w14:paraId="129ADCA6" w14:textId="77777777" w:rsidR="00A46310" w:rsidRPr="00AD4936" w:rsidRDefault="00B676CE" w:rsidP="00AD4936">
      <w:pPr>
        <w:spacing w:before="240" w:line="360" w:lineRule="auto"/>
        <w:jc w:val="both"/>
        <w:rPr>
          <w:rFonts w:ascii="Times New Roman" w:hAnsi="Times New Roman" w:cs="Times New Roman"/>
          <w:sz w:val="24"/>
          <w:szCs w:val="24"/>
        </w:rPr>
      </w:pPr>
      <w:bookmarkStart w:id="19" w:name="references"/>
      <w:r w:rsidRPr="00AD4936">
        <w:rPr>
          <w:rFonts w:ascii="Times New Roman" w:hAnsi="Times New Roman" w:cs="Times New Roman"/>
          <w:b/>
          <w:sz w:val="24"/>
          <w:szCs w:val="24"/>
        </w:rPr>
        <w:t>References</w:t>
      </w:r>
      <w:bookmarkEnd w:id="19"/>
    </w:p>
    <w:p w14:paraId="5F942B3C" w14:textId="03534BF1" w:rsidR="00BD321F"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[1] </w:t>
      </w:r>
      <w:proofErr w:type="spellStart"/>
      <w:r w:rsidR="00A60994" w:rsidRPr="00A60994">
        <w:rPr>
          <w:rFonts w:ascii="Times New Roman" w:hAnsi="Times New Roman" w:cs="Times New Roman"/>
          <w:sz w:val="24"/>
          <w:szCs w:val="24"/>
        </w:rPr>
        <w:t>Chungkham</w:t>
      </w:r>
      <w:proofErr w:type="spellEnd"/>
      <w:r w:rsidR="00A60994" w:rsidRPr="00A60994">
        <w:rPr>
          <w:rFonts w:ascii="Times New Roman" w:hAnsi="Times New Roman" w:cs="Times New Roman"/>
          <w:sz w:val="24"/>
          <w:szCs w:val="24"/>
        </w:rPr>
        <w:t xml:space="preserve">, D., Singh, S. R., Ram, D., &amp; </w:t>
      </w:r>
      <w:proofErr w:type="spellStart"/>
      <w:r w:rsidR="00A60994" w:rsidRPr="00A60994">
        <w:rPr>
          <w:rFonts w:ascii="Times New Roman" w:hAnsi="Times New Roman" w:cs="Times New Roman"/>
          <w:sz w:val="24"/>
          <w:szCs w:val="24"/>
        </w:rPr>
        <w:t>Leishangthem</w:t>
      </w:r>
      <w:proofErr w:type="spellEnd"/>
      <w:r w:rsidR="00A60994" w:rsidRPr="00A60994">
        <w:rPr>
          <w:rFonts w:ascii="Times New Roman" w:hAnsi="Times New Roman" w:cs="Times New Roman"/>
          <w:sz w:val="24"/>
          <w:szCs w:val="24"/>
        </w:rPr>
        <w:t xml:space="preserve">, B. S. (2025). Prospects of </w:t>
      </w:r>
      <w:proofErr w:type="spellStart"/>
      <w:r w:rsidR="00A60994" w:rsidRPr="00A60994">
        <w:rPr>
          <w:rFonts w:ascii="Times New Roman" w:hAnsi="Times New Roman" w:cs="Times New Roman"/>
          <w:sz w:val="24"/>
          <w:szCs w:val="24"/>
        </w:rPr>
        <w:t>agripreneurship</w:t>
      </w:r>
      <w:proofErr w:type="spellEnd"/>
      <w:r w:rsidR="00A60994" w:rsidRPr="00A60994">
        <w:rPr>
          <w:rFonts w:ascii="Times New Roman" w:hAnsi="Times New Roman" w:cs="Times New Roman"/>
          <w:sz w:val="24"/>
          <w:szCs w:val="24"/>
        </w:rPr>
        <w:t xml:space="preserve"> in Manipur, India. Journal of Scientific Research and Reports, 31(6), 1015–1032. </w:t>
      </w:r>
      <w:hyperlink r:id="rId9" w:history="1">
        <w:r w:rsidR="00A60994" w:rsidRPr="00CB4EA7">
          <w:rPr>
            <w:rStyle w:val="Hyperlink"/>
            <w:rFonts w:ascii="Times New Roman" w:hAnsi="Times New Roman" w:cs="Times New Roman"/>
            <w:sz w:val="24"/>
            <w:szCs w:val="24"/>
          </w:rPr>
          <w:t>https://doi.org/10.9734/jsrr/2025/v31i63194</w:t>
        </w:r>
      </w:hyperlink>
      <w:r w:rsidR="00A60994">
        <w:rPr>
          <w:rFonts w:ascii="Times New Roman" w:hAnsi="Times New Roman" w:cs="Times New Roman"/>
          <w:sz w:val="24"/>
          <w:szCs w:val="24"/>
        </w:rPr>
        <w:t xml:space="preserve"> </w:t>
      </w:r>
      <w:r w:rsidR="00BD321F">
        <w:rPr>
          <w:rFonts w:ascii="Times New Roman" w:hAnsi="Times New Roman" w:cs="Times New Roman"/>
          <w:sz w:val="24"/>
          <w:szCs w:val="24"/>
        </w:rPr>
        <w:t xml:space="preserve">. </w:t>
      </w:r>
      <w:r w:rsidR="00BD321F" w:rsidRPr="00BD321F">
        <w:rPr>
          <w:rFonts w:ascii="Times New Roman" w:hAnsi="Times New Roman" w:cs="Times New Roman"/>
          <w:sz w:val="24"/>
          <w:szCs w:val="24"/>
        </w:rPr>
        <w:t xml:space="preserve"> </w:t>
      </w:r>
    </w:p>
    <w:p w14:paraId="21D953FB" w14:textId="4B47EDF6"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[2] </w:t>
      </w:r>
      <w:proofErr w:type="spellStart"/>
      <w:r w:rsidR="00B92404" w:rsidRPr="00B92404">
        <w:rPr>
          <w:rFonts w:ascii="Times New Roman" w:hAnsi="Times New Roman" w:cs="Times New Roman"/>
          <w:sz w:val="24"/>
          <w:szCs w:val="24"/>
        </w:rPr>
        <w:t>Megaladevi</w:t>
      </w:r>
      <w:proofErr w:type="spellEnd"/>
      <w:r w:rsidR="00B92404" w:rsidRPr="00B92404">
        <w:rPr>
          <w:rFonts w:ascii="Times New Roman" w:hAnsi="Times New Roman" w:cs="Times New Roman"/>
          <w:sz w:val="24"/>
          <w:szCs w:val="24"/>
        </w:rPr>
        <w:t xml:space="preserve">, P., Malini, D. H., </w:t>
      </w:r>
      <w:proofErr w:type="spellStart"/>
      <w:r w:rsidR="00B92404" w:rsidRPr="00B92404">
        <w:rPr>
          <w:rFonts w:ascii="Times New Roman" w:hAnsi="Times New Roman" w:cs="Times New Roman"/>
          <w:sz w:val="24"/>
          <w:szCs w:val="24"/>
        </w:rPr>
        <w:t>Nagi</w:t>
      </w:r>
      <w:proofErr w:type="spellEnd"/>
      <w:r w:rsidR="00B92404" w:rsidRPr="00B92404">
        <w:rPr>
          <w:rFonts w:ascii="Times New Roman" w:hAnsi="Times New Roman" w:cs="Times New Roman"/>
          <w:sz w:val="24"/>
          <w:szCs w:val="24"/>
        </w:rPr>
        <w:t xml:space="preserve">, M. S., Kumar, S. A. S., &amp; </w:t>
      </w:r>
      <w:proofErr w:type="spellStart"/>
      <w:r w:rsidR="00B92404" w:rsidRPr="00B92404">
        <w:rPr>
          <w:rFonts w:ascii="Times New Roman" w:hAnsi="Times New Roman" w:cs="Times New Roman"/>
          <w:sz w:val="24"/>
          <w:szCs w:val="24"/>
        </w:rPr>
        <w:t>Muthukrishnan</w:t>
      </w:r>
      <w:proofErr w:type="spellEnd"/>
      <w:r w:rsidR="00B92404" w:rsidRPr="00B92404">
        <w:rPr>
          <w:rFonts w:ascii="Times New Roman" w:hAnsi="Times New Roman" w:cs="Times New Roman"/>
          <w:sz w:val="24"/>
          <w:szCs w:val="24"/>
        </w:rPr>
        <w:t xml:space="preserve">, B. (2024). Entrepreneurial Intentions among the Agricultural Graduates in Rural Location. In ORGANIZATION, PURPOSE, AND VALUES (1st ed., Vol. 1, pp. 456–468). Taylor &amp; Francis. </w:t>
      </w:r>
      <w:hyperlink r:id="rId10" w:history="1">
        <w:r w:rsidR="00B92404" w:rsidRPr="00CB4EA7">
          <w:rPr>
            <w:rStyle w:val="Hyperlink"/>
            <w:rFonts w:ascii="Times New Roman" w:hAnsi="Times New Roman" w:cs="Times New Roman"/>
            <w:sz w:val="24"/>
            <w:szCs w:val="24"/>
          </w:rPr>
          <w:t>https://doi.org/10.4324/9781003501374-34</w:t>
        </w:r>
      </w:hyperlink>
      <w:r w:rsidR="00B92404">
        <w:rPr>
          <w:rFonts w:ascii="Times New Roman" w:hAnsi="Times New Roman" w:cs="Times New Roman"/>
          <w:sz w:val="24"/>
          <w:szCs w:val="24"/>
        </w:rPr>
        <w:t xml:space="preserve"> </w:t>
      </w:r>
      <w:r w:rsidR="000E5A57">
        <w:rPr>
          <w:rFonts w:ascii="Times New Roman" w:hAnsi="Times New Roman" w:cs="Times New Roman"/>
          <w:sz w:val="24"/>
          <w:szCs w:val="24"/>
        </w:rPr>
        <w:t>.</w:t>
      </w:r>
    </w:p>
    <w:p w14:paraId="1FE0CA19" w14:textId="405EA481" w:rsidR="009D0225"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[3] </w:t>
      </w:r>
      <w:r w:rsidR="009003F6" w:rsidRPr="009003F6">
        <w:rPr>
          <w:rFonts w:ascii="Times New Roman" w:hAnsi="Times New Roman" w:cs="Times New Roman"/>
          <w:sz w:val="24"/>
          <w:szCs w:val="24"/>
        </w:rPr>
        <w:t xml:space="preserve">Condor, R. (2020). Entrepreneurship in agriculture: a literature review. International Journal of Entrepreneurship and Small Business, 40(4), 516-562. </w:t>
      </w:r>
      <w:hyperlink r:id="rId11" w:history="1">
        <w:r w:rsidR="009003F6" w:rsidRPr="00CB4EA7">
          <w:rPr>
            <w:rStyle w:val="Hyperlink"/>
            <w:rFonts w:ascii="Times New Roman" w:hAnsi="Times New Roman" w:cs="Times New Roman"/>
            <w:sz w:val="24"/>
            <w:szCs w:val="24"/>
          </w:rPr>
          <w:t>https://doi.org/10.1504/ijesb.2020.10031117</w:t>
        </w:r>
      </w:hyperlink>
      <w:r w:rsidR="009003F6">
        <w:rPr>
          <w:rFonts w:ascii="Times New Roman" w:hAnsi="Times New Roman" w:cs="Times New Roman"/>
          <w:sz w:val="24"/>
          <w:szCs w:val="24"/>
        </w:rPr>
        <w:t xml:space="preserve"> </w:t>
      </w:r>
      <w:r w:rsidR="009D0225">
        <w:rPr>
          <w:rFonts w:ascii="Times New Roman" w:hAnsi="Times New Roman" w:cs="Times New Roman"/>
          <w:sz w:val="24"/>
          <w:szCs w:val="24"/>
        </w:rPr>
        <w:t xml:space="preserve">. </w:t>
      </w:r>
      <w:r w:rsidR="009D0225" w:rsidRPr="009D0225">
        <w:rPr>
          <w:rFonts w:ascii="Times New Roman" w:hAnsi="Times New Roman" w:cs="Times New Roman"/>
          <w:sz w:val="24"/>
          <w:szCs w:val="24"/>
        </w:rPr>
        <w:t xml:space="preserve"> </w:t>
      </w:r>
    </w:p>
    <w:p w14:paraId="6C94623F" w14:textId="7A823554"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[4] </w:t>
      </w:r>
      <w:proofErr w:type="spellStart"/>
      <w:r w:rsidR="00A92EFC" w:rsidRPr="00A92EFC">
        <w:rPr>
          <w:rFonts w:ascii="Times New Roman" w:hAnsi="Times New Roman" w:cs="Times New Roman"/>
          <w:sz w:val="24"/>
          <w:szCs w:val="24"/>
        </w:rPr>
        <w:t>Laerkner</w:t>
      </w:r>
      <w:proofErr w:type="spellEnd"/>
      <w:r w:rsidR="00A92EFC" w:rsidRPr="00A92EFC">
        <w:rPr>
          <w:rFonts w:ascii="Times New Roman" w:hAnsi="Times New Roman" w:cs="Times New Roman"/>
          <w:sz w:val="24"/>
          <w:szCs w:val="24"/>
        </w:rPr>
        <w:t xml:space="preserve">, E., </w:t>
      </w:r>
      <w:proofErr w:type="spellStart"/>
      <w:r w:rsidR="00A92EFC" w:rsidRPr="00A92EFC">
        <w:rPr>
          <w:rFonts w:ascii="Times New Roman" w:hAnsi="Times New Roman" w:cs="Times New Roman"/>
          <w:sz w:val="24"/>
          <w:szCs w:val="24"/>
        </w:rPr>
        <w:t>Egerod</w:t>
      </w:r>
      <w:proofErr w:type="spellEnd"/>
      <w:r w:rsidR="00A92EFC" w:rsidRPr="00A92EFC">
        <w:rPr>
          <w:rFonts w:ascii="Times New Roman" w:hAnsi="Times New Roman" w:cs="Times New Roman"/>
          <w:sz w:val="24"/>
          <w:szCs w:val="24"/>
        </w:rPr>
        <w:t xml:space="preserve">, I., &amp; Hansen, H. P. (2015). Nurses’ experiences of caring for critically ill, non-sedated, mechanically ventilated patients in the Intensive Care Unit: A qualitative study. Intensive and Critical Care Nursing. </w:t>
      </w:r>
      <w:hyperlink r:id="rId12" w:history="1">
        <w:r w:rsidR="00A92EFC" w:rsidRPr="00CB4EA7">
          <w:rPr>
            <w:rStyle w:val="Hyperlink"/>
            <w:rFonts w:ascii="Times New Roman" w:hAnsi="Times New Roman" w:cs="Times New Roman"/>
            <w:sz w:val="24"/>
            <w:szCs w:val="24"/>
          </w:rPr>
          <w:t>https://doi.org/10.1016/j.iccn.2015.01.005</w:t>
        </w:r>
      </w:hyperlink>
      <w:r w:rsidR="00A92EFC">
        <w:rPr>
          <w:rFonts w:ascii="Times New Roman" w:hAnsi="Times New Roman" w:cs="Times New Roman"/>
          <w:sz w:val="24"/>
          <w:szCs w:val="24"/>
        </w:rPr>
        <w:t xml:space="preserve"> </w:t>
      </w:r>
      <w:r w:rsidR="00364E3E">
        <w:rPr>
          <w:rFonts w:ascii="Times New Roman" w:hAnsi="Times New Roman" w:cs="Times New Roman"/>
          <w:sz w:val="24"/>
          <w:szCs w:val="24"/>
        </w:rPr>
        <w:t xml:space="preserve"> </w:t>
      </w:r>
    </w:p>
    <w:p w14:paraId="1389FD4E" w14:textId="5E308623"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[5] </w:t>
      </w:r>
      <w:proofErr w:type="spellStart"/>
      <w:r w:rsidR="0046580A" w:rsidRPr="0046580A">
        <w:rPr>
          <w:rFonts w:ascii="Times New Roman" w:hAnsi="Times New Roman" w:cs="Times New Roman"/>
          <w:sz w:val="24"/>
          <w:szCs w:val="24"/>
        </w:rPr>
        <w:t>Verheul</w:t>
      </w:r>
      <w:proofErr w:type="spellEnd"/>
      <w:r w:rsidR="0046580A" w:rsidRPr="0046580A">
        <w:rPr>
          <w:rFonts w:ascii="Times New Roman" w:hAnsi="Times New Roman" w:cs="Times New Roman"/>
          <w:sz w:val="24"/>
          <w:szCs w:val="24"/>
        </w:rPr>
        <w:t xml:space="preserve">, I., </w:t>
      </w:r>
      <w:proofErr w:type="spellStart"/>
      <w:r w:rsidR="0046580A" w:rsidRPr="0046580A">
        <w:rPr>
          <w:rFonts w:ascii="Times New Roman" w:hAnsi="Times New Roman" w:cs="Times New Roman"/>
          <w:sz w:val="24"/>
          <w:szCs w:val="24"/>
        </w:rPr>
        <w:t>Thurik</w:t>
      </w:r>
      <w:proofErr w:type="spellEnd"/>
      <w:r w:rsidR="0046580A" w:rsidRPr="0046580A">
        <w:rPr>
          <w:rFonts w:ascii="Times New Roman" w:hAnsi="Times New Roman" w:cs="Times New Roman"/>
          <w:sz w:val="24"/>
          <w:szCs w:val="24"/>
        </w:rPr>
        <w:t xml:space="preserve">, R., </w:t>
      </w:r>
      <w:proofErr w:type="spellStart"/>
      <w:r w:rsidR="0046580A" w:rsidRPr="0046580A">
        <w:rPr>
          <w:rFonts w:ascii="Times New Roman" w:hAnsi="Times New Roman" w:cs="Times New Roman"/>
          <w:sz w:val="24"/>
          <w:szCs w:val="24"/>
        </w:rPr>
        <w:t>Grilo</w:t>
      </w:r>
      <w:proofErr w:type="spellEnd"/>
      <w:r w:rsidR="0046580A" w:rsidRPr="0046580A">
        <w:rPr>
          <w:rFonts w:ascii="Times New Roman" w:hAnsi="Times New Roman" w:cs="Times New Roman"/>
          <w:sz w:val="24"/>
          <w:szCs w:val="24"/>
        </w:rPr>
        <w:t xml:space="preserve">, I., &amp; Van Der </w:t>
      </w:r>
      <w:proofErr w:type="spellStart"/>
      <w:r w:rsidR="0046580A" w:rsidRPr="0046580A">
        <w:rPr>
          <w:rFonts w:ascii="Times New Roman" w:hAnsi="Times New Roman" w:cs="Times New Roman"/>
          <w:sz w:val="24"/>
          <w:szCs w:val="24"/>
        </w:rPr>
        <w:t>Zwan</w:t>
      </w:r>
      <w:proofErr w:type="spellEnd"/>
      <w:r w:rsidR="0046580A" w:rsidRPr="0046580A">
        <w:rPr>
          <w:rFonts w:ascii="Times New Roman" w:hAnsi="Times New Roman" w:cs="Times New Roman"/>
          <w:sz w:val="24"/>
          <w:szCs w:val="24"/>
        </w:rPr>
        <w:t xml:space="preserve">, P. (2011). Explaining preferences and actual involvement in self-employment: Gender and the entrepreneurial personality. Journal of Economic Psychology, 33(2), 325–341. </w:t>
      </w:r>
      <w:hyperlink r:id="rId13" w:history="1">
        <w:r w:rsidR="0046580A" w:rsidRPr="00CB4EA7">
          <w:rPr>
            <w:rStyle w:val="Hyperlink"/>
            <w:rFonts w:ascii="Times New Roman" w:hAnsi="Times New Roman" w:cs="Times New Roman"/>
            <w:sz w:val="24"/>
            <w:szCs w:val="24"/>
          </w:rPr>
          <w:t>https://doi.org/10.1016/j.joep.2011.02.009</w:t>
        </w:r>
      </w:hyperlink>
      <w:r w:rsidR="0046580A">
        <w:rPr>
          <w:rFonts w:ascii="Times New Roman" w:hAnsi="Times New Roman" w:cs="Times New Roman"/>
          <w:sz w:val="24"/>
          <w:szCs w:val="24"/>
        </w:rPr>
        <w:t xml:space="preserve"> </w:t>
      </w:r>
      <w:r w:rsidR="000E0787">
        <w:rPr>
          <w:rFonts w:ascii="Times New Roman" w:hAnsi="Times New Roman" w:cs="Times New Roman"/>
          <w:sz w:val="24"/>
          <w:szCs w:val="24"/>
        </w:rPr>
        <w:t xml:space="preserve"> </w:t>
      </w:r>
    </w:p>
    <w:p w14:paraId="2FC75AE6" w14:textId="463D854A"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[6] </w:t>
      </w:r>
      <w:r w:rsidR="00CA72EA" w:rsidRPr="00CA72EA">
        <w:rPr>
          <w:rFonts w:ascii="Times New Roman" w:eastAsia="Georgia" w:hAnsi="Times New Roman" w:cs="Times New Roman"/>
          <w:sz w:val="24"/>
          <w:szCs w:val="24"/>
        </w:rPr>
        <w:t xml:space="preserve">Pan, Y., Zhang, S., &amp; Zhang, M. (2024). The impact of entrepreneurship of farmers on agriculture and rural economic growth: Innovation-driven perspective. Innovation and Green Development, 3(1), 100093. </w:t>
      </w:r>
      <w:hyperlink r:id="rId14" w:history="1">
        <w:r w:rsidR="00CA72EA" w:rsidRPr="00CB4EA7">
          <w:rPr>
            <w:rStyle w:val="Hyperlink"/>
            <w:rFonts w:ascii="Times New Roman" w:eastAsia="Georgia" w:hAnsi="Times New Roman" w:cs="Times New Roman"/>
            <w:sz w:val="24"/>
            <w:szCs w:val="24"/>
          </w:rPr>
          <w:t>https://doi.org/10.1016/j.igd.2023.100093</w:t>
        </w:r>
      </w:hyperlink>
      <w:r w:rsidR="00CA72EA">
        <w:rPr>
          <w:rFonts w:ascii="Times New Roman" w:eastAsia="Georgia" w:hAnsi="Times New Roman" w:cs="Times New Roman"/>
          <w:sz w:val="24"/>
          <w:szCs w:val="24"/>
        </w:rPr>
        <w:t xml:space="preserve"> </w:t>
      </w:r>
      <w:r w:rsidR="00164D90">
        <w:rPr>
          <w:rFonts w:ascii="Times New Roman" w:eastAsia="Georgia" w:hAnsi="Times New Roman" w:cs="Times New Roman"/>
          <w:sz w:val="24"/>
          <w:szCs w:val="24"/>
        </w:rPr>
        <w:t xml:space="preserve"> </w:t>
      </w:r>
    </w:p>
    <w:p w14:paraId="0DF700ED" w14:textId="196248C1"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lastRenderedPageBreak/>
        <w:t xml:space="preserve">[7] </w:t>
      </w:r>
      <w:r w:rsidR="00ED7850" w:rsidRPr="00ED7850">
        <w:rPr>
          <w:rFonts w:ascii="Times New Roman" w:hAnsi="Times New Roman" w:cs="Times New Roman"/>
          <w:sz w:val="24"/>
          <w:szCs w:val="24"/>
        </w:rPr>
        <w:t xml:space="preserve">Neck, H. M., &amp; Greene, P. G. (2010). Entrepreneurship Education: Known Worlds and New Frontiers. Journal of Small Business Management, 49(1), 55–70. </w:t>
      </w:r>
      <w:hyperlink r:id="rId15" w:history="1">
        <w:r w:rsidR="00ED7850" w:rsidRPr="00CB4EA7">
          <w:rPr>
            <w:rStyle w:val="Hyperlink"/>
            <w:rFonts w:ascii="Times New Roman" w:hAnsi="Times New Roman" w:cs="Times New Roman"/>
            <w:sz w:val="24"/>
            <w:szCs w:val="24"/>
          </w:rPr>
          <w:t>https://doi.org/10.1111/j.1540-627X.2010.00314.x</w:t>
        </w:r>
      </w:hyperlink>
      <w:r w:rsidR="00ED7850">
        <w:rPr>
          <w:rFonts w:ascii="Times New Roman" w:hAnsi="Times New Roman" w:cs="Times New Roman"/>
          <w:sz w:val="24"/>
          <w:szCs w:val="24"/>
        </w:rPr>
        <w:t xml:space="preserve"> </w:t>
      </w:r>
      <w:r w:rsidR="00863C0C">
        <w:rPr>
          <w:rFonts w:ascii="Times New Roman" w:hAnsi="Times New Roman" w:cs="Times New Roman"/>
          <w:sz w:val="24"/>
          <w:szCs w:val="24"/>
        </w:rPr>
        <w:t xml:space="preserve"> </w:t>
      </w:r>
    </w:p>
    <w:p w14:paraId="57EB2FA1" w14:textId="3C4C4FBC"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[8] </w:t>
      </w:r>
      <w:r w:rsidR="00E2703C" w:rsidRPr="00E2703C">
        <w:rPr>
          <w:rFonts w:ascii="Times New Roman" w:hAnsi="Times New Roman" w:cs="Times New Roman"/>
          <w:sz w:val="24"/>
          <w:szCs w:val="24"/>
        </w:rPr>
        <w:t xml:space="preserve">United Nations. (2015). Transforming our world: The 2030 agenda for sustainable development. </w:t>
      </w:r>
      <w:hyperlink r:id="rId16" w:history="1">
        <w:r w:rsidR="00E2703C" w:rsidRPr="00CB4EA7">
          <w:rPr>
            <w:rStyle w:val="Hyperlink"/>
            <w:rFonts w:ascii="Times New Roman" w:hAnsi="Times New Roman" w:cs="Times New Roman"/>
            <w:sz w:val="24"/>
            <w:szCs w:val="24"/>
          </w:rPr>
          <w:t>https://sdgs.un.org/publications/transforming-our-world-2030-agenda-sustainable-development-17981</w:t>
        </w:r>
      </w:hyperlink>
      <w:r w:rsidR="00E2703C">
        <w:rPr>
          <w:rFonts w:ascii="Times New Roman" w:hAnsi="Times New Roman" w:cs="Times New Roman"/>
          <w:sz w:val="24"/>
          <w:szCs w:val="24"/>
        </w:rPr>
        <w:t xml:space="preserve"> </w:t>
      </w:r>
      <w:r w:rsidR="002E0011">
        <w:rPr>
          <w:rFonts w:ascii="Times New Roman" w:hAnsi="Times New Roman" w:cs="Times New Roman"/>
          <w:sz w:val="24"/>
          <w:szCs w:val="24"/>
        </w:rPr>
        <w:t xml:space="preserve"> </w:t>
      </w:r>
    </w:p>
    <w:sectPr w:rsidR="00A46310" w:rsidRPr="00AD4936" w:rsidSect="00AD4936">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6C132" w14:textId="77777777" w:rsidR="00AA4561" w:rsidRDefault="00AA4561" w:rsidP="00110E21">
      <w:pPr>
        <w:spacing w:after="0" w:line="240" w:lineRule="auto"/>
      </w:pPr>
      <w:r>
        <w:separator/>
      </w:r>
    </w:p>
  </w:endnote>
  <w:endnote w:type="continuationSeparator" w:id="0">
    <w:p w14:paraId="3E8F9E48" w14:textId="77777777" w:rsidR="00AA4561" w:rsidRDefault="00AA4561" w:rsidP="001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A214" w14:textId="77777777" w:rsidR="00110E21" w:rsidRDefault="0011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745" w14:textId="77777777" w:rsidR="00110E21" w:rsidRDefault="0011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9B5E" w14:textId="77777777" w:rsidR="00110E21" w:rsidRDefault="0011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AEE79" w14:textId="77777777" w:rsidR="00AA4561" w:rsidRDefault="00AA4561" w:rsidP="00110E21">
      <w:pPr>
        <w:spacing w:after="0" w:line="240" w:lineRule="auto"/>
      </w:pPr>
      <w:r>
        <w:separator/>
      </w:r>
    </w:p>
  </w:footnote>
  <w:footnote w:type="continuationSeparator" w:id="0">
    <w:p w14:paraId="5F11D454" w14:textId="77777777" w:rsidR="00AA4561" w:rsidRDefault="00AA4561" w:rsidP="0011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1B3F" w14:textId="179531AE" w:rsidR="00110E21" w:rsidRDefault="00110E21">
    <w:pPr>
      <w:pStyle w:val="Header"/>
    </w:pPr>
    <w:r>
      <w:rPr>
        <w:noProof/>
      </w:rPr>
      <w:pict w14:anchorId="03DED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2" o:spid="_x0000_s2050" type="#_x0000_t136" style="position:absolute;margin-left:0;margin-top:0;width:598.75pt;height:64.0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F6EC" w14:textId="73934CA8" w:rsidR="00110E21" w:rsidRDefault="00110E21">
    <w:pPr>
      <w:pStyle w:val="Header"/>
    </w:pPr>
    <w:r>
      <w:rPr>
        <w:noProof/>
      </w:rPr>
      <w:pict w14:anchorId="52AD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3" o:spid="_x0000_s2051" type="#_x0000_t136" style="position:absolute;margin-left:0;margin-top:0;width:598.75pt;height:64.0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6C74" w14:textId="673527A2" w:rsidR="00110E21" w:rsidRDefault="00110E21">
    <w:pPr>
      <w:pStyle w:val="Header"/>
    </w:pPr>
    <w:r>
      <w:rPr>
        <w:noProof/>
      </w:rPr>
      <w:pict w14:anchorId="7717C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1" o:spid="_x0000_s2049" type="#_x0000_t136" style="position:absolute;margin-left:0;margin-top:0;width:598.75pt;height:64.0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1128"/>
    <w:multiLevelType w:val="hybridMultilevel"/>
    <w:tmpl w:val="D9DEB13C"/>
    <w:lvl w:ilvl="0" w:tplc="F1E2F5BA">
      <w:start w:val="1"/>
      <w:numFmt w:val="decimal"/>
      <w:lvlText w:val="%1."/>
      <w:lvlJc w:val="left"/>
      <w:pPr>
        <w:tabs>
          <w:tab w:val="num" w:pos="1080"/>
        </w:tabs>
        <w:ind w:left="720" w:hanging="360"/>
      </w:pPr>
    </w:lvl>
    <w:lvl w:ilvl="1" w:tplc="A5E83606">
      <w:numFmt w:val="decimal"/>
      <w:lvlText w:val=""/>
      <w:lvlJc w:val="left"/>
    </w:lvl>
    <w:lvl w:ilvl="2" w:tplc="E364F858">
      <w:numFmt w:val="decimal"/>
      <w:lvlText w:val=""/>
      <w:lvlJc w:val="left"/>
    </w:lvl>
    <w:lvl w:ilvl="3" w:tplc="06427008">
      <w:numFmt w:val="decimal"/>
      <w:lvlText w:val=""/>
      <w:lvlJc w:val="left"/>
    </w:lvl>
    <w:lvl w:ilvl="4" w:tplc="5F20AE92">
      <w:numFmt w:val="decimal"/>
      <w:lvlText w:val=""/>
      <w:lvlJc w:val="left"/>
    </w:lvl>
    <w:lvl w:ilvl="5" w:tplc="8CB0DBB2">
      <w:numFmt w:val="decimal"/>
      <w:lvlText w:val=""/>
      <w:lvlJc w:val="left"/>
    </w:lvl>
    <w:lvl w:ilvl="6" w:tplc="F74004F6">
      <w:numFmt w:val="decimal"/>
      <w:lvlText w:val=""/>
      <w:lvlJc w:val="left"/>
    </w:lvl>
    <w:lvl w:ilvl="7" w:tplc="D0A60D54">
      <w:numFmt w:val="decimal"/>
      <w:lvlText w:val=""/>
      <w:lvlJc w:val="left"/>
    </w:lvl>
    <w:lvl w:ilvl="8" w:tplc="A442F148">
      <w:numFmt w:val="decimal"/>
      <w:lvlText w:val=""/>
      <w:lvlJc w:val="left"/>
    </w:lvl>
  </w:abstractNum>
  <w:abstractNum w:abstractNumId="1" w15:restartNumberingAfterBreak="0">
    <w:nsid w:val="0B5325B3"/>
    <w:multiLevelType w:val="hybridMultilevel"/>
    <w:tmpl w:val="1D3E46E0"/>
    <w:lvl w:ilvl="0" w:tplc="4C163EC4">
      <w:start w:val="1"/>
      <w:numFmt w:val="decimal"/>
      <w:lvlText w:val="%1."/>
      <w:lvlJc w:val="left"/>
      <w:pPr>
        <w:tabs>
          <w:tab w:val="num" w:pos="1080"/>
        </w:tabs>
        <w:ind w:left="720" w:hanging="360"/>
      </w:pPr>
    </w:lvl>
    <w:lvl w:ilvl="1" w:tplc="6F7E8FD0">
      <w:numFmt w:val="decimal"/>
      <w:lvlText w:val=""/>
      <w:lvlJc w:val="left"/>
    </w:lvl>
    <w:lvl w:ilvl="2" w:tplc="C4627734">
      <w:numFmt w:val="decimal"/>
      <w:lvlText w:val=""/>
      <w:lvlJc w:val="left"/>
    </w:lvl>
    <w:lvl w:ilvl="3" w:tplc="646055E0">
      <w:numFmt w:val="decimal"/>
      <w:lvlText w:val=""/>
      <w:lvlJc w:val="left"/>
    </w:lvl>
    <w:lvl w:ilvl="4" w:tplc="FB92DA26">
      <w:numFmt w:val="decimal"/>
      <w:lvlText w:val=""/>
      <w:lvlJc w:val="left"/>
    </w:lvl>
    <w:lvl w:ilvl="5" w:tplc="A79A5A3C">
      <w:numFmt w:val="decimal"/>
      <w:lvlText w:val=""/>
      <w:lvlJc w:val="left"/>
    </w:lvl>
    <w:lvl w:ilvl="6" w:tplc="2F88C682">
      <w:numFmt w:val="decimal"/>
      <w:lvlText w:val=""/>
      <w:lvlJc w:val="left"/>
    </w:lvl>
    <w:lvl w:ilvl="7" w:tplc="1A3CAFEE">
      <w:numFmt w:val="decimal"/>
      <w:lvlText w:val=""/>
      <w:lvlJc w:val="left"/>
    </w:lvl>
    <w:lvl w:ilvl="8" w:tplc="B8E6C8C8">
      <w:numFmt w:val="decimal"/>
      <w:lvlText w:val=""/>
      <w:lvlJc w:val="left"/>
    </w:lvl>
  </w:abstractNum>
  <w:abstractNum w:abstractNumId="2" w15:restartNumberingAfterBreak="0">
    <w:nsid w:val="19DE0544"/>
    <w:multiLevelType w:val="hybridMultilevel"/>
    <w:tmpl w:val="84A88ED6"/>
    <w:lvl w:ilvl="0" w:tplc="48287960">
      <w:start w:val="1"/>
      <w:numFmt w:val="decimal"/>
      <w:lvlText w:val="%1."/>
      <w:lvlJc w:val="left"/>
      <w:pPr>
        <w:tabs>
          <w:tab w:val="num" w:pos="1080"/>
        </w:tabs>
        <w:ind w:left="720" w:hanging="360"/>
      </w:pPr>
    </w:lvl>
    <w:lvl w:ilvl="1" w:tplc="C7467C1E">
      <w:numFmt w:val="decimal"/>
      <w:lvlText w:val=""/>
      <w:lvlJc w:val="left"/>
    </w:lvl>
    <w:lvl w:ilvl="2" w:tplc="1E108D02">
      <w:numFmt w:val="decimal"/>
      <w:lvlText w:val=""/>
      <w:lvlJc w:val="left"/>
    </w:lvl>
    <w:lvl w:ilvl="3" w:tplc="03542424">
      <w:numFmt w:val="decimal"/>
      <w:lvlText w:val=""/>
      <w:lvlJc w:val="left"/>
    </w:lvl>
    <w:lvl w:ilvl="4" w:tplc="C09A8E6C">
      <w:numFmt w:val="decimal"/>
      <w:lvlText w:val=""/>
      <w:lvlJc w:val="left"/>
    </w:lvl>
    <w:lvl w:ilvl="5" w:tplc="3EDE36C2">
      <w:numFmt w:val="decimal"/>
      <w:lvlText w:val=""/>
      <w:lvlJc w:val="left"/>
    </w:lvl>
    <w:lvl w:ilvl="6" w:tplc="2B304AB8">
      <w:numFmt w:val="decimal"/>
      <w:lvlText w:val=""/>
      <w:lvlJc w:val="left"/>
    </w:lvl>
    <w:lvl w:ilvl="7" w:tplc="024434F0">
      <w:numFmt w:val="decimal"/>
      <w:lvlText w:val=""/>
      <w:lvlJc w:val="left"/>
    </w:lvl>
    <w:lvl w:ilvl="8" w:tplc="216C878A">
      <w:numFmt w:val="decimal"/>
      <w:lvlText w:val=""/>
      <w:lvlJc w:val="left"/>
    </w:lvl>
  </w:abstractNum>
  <w:abstractNum w:abstractNumId="3" w15:restartNumberingAfterBreak="0">
    <w:nsid w:val="531762FA"/>
    <w:multiLevelType w:val="hybridMultilevel"/>
    <w:tmpl w:val="BC0EFE26"/>
    <w:lvl w:ilvl="0" w:tplc="9F9469D8">
      <w:start w:val="1"/>
      <w:numFmt w:val="decimal"/>
      <w:lvlText w:val="%1."/>
      <w:lvlJc w:val="left"/>
      <w:pPr>
        <w:tabs>
          <w:tab w:val="num" w:pos="1080"/>
        </w:tabs>
        <w:ind w:left="720" w:hanging="360"/>
      </w:pPr>
    </w:lvl>
    <w:lvl w:ilvl="1" w:tplc="DFEAAD40">
      <w:numFmt w:val="decimal"/>
      <w:lvlText w:val=""/>
      <w:lvlJc w:val="left"/>
    </w:lvl>
    <w:lvl w:ilvl="2" w:tplc="0BD09660">
      <w:numFmt w:val="decimal"/>
      <w:lvlText w:val=""/>
      <w:lvlJc w:val="left"/>
    </w:lvl>
    <w:lvl w:ilvl="3" w:tplc="491AD1D4">
      <w:numFmt w:val="decimal"/>
      <w:lvlText w:val=""/>
      <w:lvlJc w:val="left"/>
    </w:lvl>
    <w:lvl w:ilvl="4" w:tplc="363CF0BE">
      <w:numFmt w:val="decimal"/>
      <w:lvlText w:val=""/>
      <w:lvlJc w:val="left"/>
    </w:lvl>
    <w:lvl w:ilvl="5" w:tplc="2760F488">
      <w:numFmt w:val="decimal"/>
      <w:lvlText w:val=""/>
      <w:lvlJc w:val="left"/>
    </w:lvl>
    <w:lvl w:ilvl="6" w:tplc="AFD062CA">
      <w:numFmt w:val="decimal"/>
      <w:lvlText w:val=""/>
      <w:lvlJc w:val="left"/>
    </w:lvl>
    <w:lvl w:ilvl="7" w:tplc="7E7E0D7E">
      <w:numFmt w:val="decimal"/>
      <w:lvlText w:val=""/>
      <w:lvlJc w:val="left"/>
    </w:lvl>
    <w:lvl w:ilvl="8" w:tplc="D5C0C178">
      <w:numFmt w:val="decimal"/>
      <w:lvlText w:val=""/>
      <w:lvlJc w:val="left"/>
    </w:lvl>
  </w:abstractNum>
  <w:abstractNum w:abstractNumId="4" w15:restartNumberingAfterBreak="0">
    <w:nsid w:val="76A73991"/>
    <w:multiLevelType w:val="hybridMultilevel"/>
    <w:tmpl w:val="39ACF744"/>
    <w:lvl w:ilvl="0" w:tplc="AE440A30">
      <w:start w:val="1"/>
      <w:numFmt w:val="decimal"/>
      <w:lvlText w:val="%1."/>
      <w:lvlJc w:val="left"/>
      <w:pPr>
        <w:tabs>
          <w:tab w:val="num" w:pos="1080"/>
        </w:tabs>
        <w:ind w:left="720" w:hanging="360"/>
      </w:pPr>
    </w:lvl>
    <w:lvl w:ilvl="1" w:tplc="41C0BA70">
      <w:numFmt w:val="decimal"/>
      <w:lvlText w:val=""/>
      <w:lvlJc w:val="left"/>
    </w:lvl>
    <w:lvl w:ilvl="2" w:tplc="12E641CA">
      <w:numFmt w:val="decimal"/>
      <w:lvlText w:val=""/>
      <w:lvlJc w:val="left"/>
    </w:lvl>
    <w:lvl w:ilvl="3" w:tplc="549EAC18">
      <w:numFmt w:val="decimal"/>
      <w:lvlText w:val=""/>
      <w:lvlJc w:val="left"/>
    </w:lvl>
    <w:lvl w:ilvl="4" w:tplc="94609428">
      <w:numFmt w:val="decimal"/>
      <w:lvlText w:val=""/>
      <w:lvlJc w:val="left"/>
    </w:lvl>
    <w:lvl w:ilvl="5" w:tplc="3238E040">
      <w:numFmt w:val="decimal"/>
      <w:lvlText w:val=""/>
      <w:lvlJc w:val="left"/>
    </w:lvl>
    <w:lvl w:ilvl="6" w:tplc="7DF6EE2A">
      <w:numFmt w:val="decimal"/>
      <w:lvlText w:val=""/>
      <w:lvlJc w:val="left"/>
    </w:lvl>
    <w:lvl w:ilvl="7" w:tplc="5FC6A68E">
      <w:numFmt w:val="decimal"/>
      <w:lvlText w:val=""/>
      <w:lvlJc w:val="left"/>
    </w:lvl>
    <w:lvl w:ilvl="8" w:tplc="0BE6E5DA">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10"/>
    <w:rsid w:val="00072CFD"/>
    <w:rsid w:val="000925B3"/>
    <w:rsid w:val="000A099C"/>
    <w:rsid w:val="000A6E9D"/>
    <w:rsid w:val="000E0787"/>
    <w:rsid w:val="000E5A57"/>
    <w:rsid w:val="000F1935"/>
    <w:rsid w:val="00110E21"/>
    <w:rsid w:val="001127FE"/>
    <w:rsid w:val="00141F7C"/>
    <w:rsid w:val="00155FFA"/>
    <w:rsid w:val="00164D90"/>
    <w:rsid w:val="00187BEB"/>
    <w:rsid w:val="001A3EEE"/>
    <w:rsid w:val="001E6A2C"/>
    <w:rsid w:val="00247A98"/>
    <w:rsid w:val="002A32C1"/>
    <w:rsid w:val="002C6831"/>
    <w:rsid w:val="002E0011"/>
    <w:rsid w:val="003101FA"/>
    <w:rsid w:val="00364E3E"/>
    <w:rsid w:val="00436E46"/>
    <w:rsid w:val="0046580A"/>
    <w:rsid w:val="004A7829"/>
    <w:rsid w:val="004C2C1B"/>
    <w:rsid w:val="00534DBE"/>
    <w:rsid w:val="005866A5"/>
    <w:rsid w:val="00621E88"/>
    <w:rsid w:val="00642BDB"/>
    <w:rsid w:val="006A1323"/>
    <w:rsid w:val="006F3917"/>
    <w:rsid w:val="00770217"/>
    <w:rsid w:val="007A7FF6"/>
    <w:rsid w:val="007D22C5"/>
    <w:rsid w:val="007D4E82"/>
    <w:rsid w:val="0081075A"/>
    <w:rsid w:val="00860676"/>
    <w:rsid w:val="00863C0C"/>
    <w:rsid w:val="00885337"/>
    <w:rsid w:val="009003F6"/>
    <w:rsid w:val="009019DC"/>
    <w:rsid w:val="009063EF"/>
    <w:rsid w:val="00917130"/>
    <w:rsid w:val="00935021"/>
    <w:rsid w:val="00994B44"/>
    <w:rsid w:val="009D0225"/>
    <w:rsid w:val="009D27E7"/>
    <w:rsid w:val="00A06497"/>
    <w:rsid w:val="00A070EB"/>
    <w:rsid w:val="00A46310"/>
    <w:rsid w:val="00A60994"/>
    <w:rsid w:val="00A92EFC"/>
    <w:rsid w:val="00AA4561"/>
    <w:rsid w:val="00AD4936"/>
    <w:rsid w:val="00B676CE"/>
    <w:rsid w:val="00B80AE9"/>
    <w:rsid w:val="00B92404"/>
    <w:rsid w:val="00B965A8"/>
    <w:rsid w:val="00BB4503"/>
    <w:rsid w:val="00BD321F"/>
    <w:rsid w:val="00C0521F"/>
    <w:rsid w:val="00C75519"/>
    <w:rsid w:val="00C83E0A"/>
    <w:rsid w:val="00CA72EA"/>
    <w:rsid w:val="00CB10D4"/>
    <w:rsid w:val="00CC6F99"/>
    <w:rsid w:val="00DB57B6"/>
    <w:rsid w:val="00DB6F70"/>
    <w:rsid w:val="00E25B15"/>
    <w:rsid w:val="00E2703C"/>
    <w:rsid w:val="00E74CD6"/>
    <w:rsid w:val="00ED57BD"/>
    <w:rsid w:val="00ED7850"/>
    <w:rsid w:val="00EF74E8"/>
    <w:rsid w:val="00F6502B"/>
    <w:rsid w:val="00FE4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BBB2A"/>
  <w15:docId w15:val="{61ACD20B-03FF-4326-910C-8AAF5536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0A099C"/>
    <w:pPr>
      <w:spacing w:after="0" w:line="240" w:lineRule="auto"/>
    </w:pPr>
    <w:rPr>
      <w:rFonts w:asciiTheme="minorHAnsi"/>
      <w:kern w:val="2"/>
      <w:sz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7B6"/>
    <w:pPr>
      <w:ind w:left="720"/>
      <w:contextualSpacing/>
    </w:pPr>
  </w:style>
  <w:style w:type="character" w:styleId="Hyperlink">
    <w:name w:val="Hyperlink"/>
    <w:basedOn w:val="DefaultParagraphFont"/>
    <w:uiPriority w:val="99"/>
    <w:unhideWhenUsed/>
    <w:rsid w:val="00BD321F"/>
    <w:rPr>
      <w:color w:val="0563C1" w:themeColor="hyperlink"/>
      <w:u w:val="single"/>
    </w:rPr>
  </w:style>
  <w:style w:type="character" w:customStyle="1" w:styleId="UnresolvedMention1">
    <w:name w:val="Unresolved Mention1"/>
    <w:basedOn w:val="DefaultParagraphFont"/>
    <w:uiPriority w:val="99"/>
    <w:semiHidden/>
    <w:unhideWhenUsed/>
    <w:rsid w:val="00BD321F"/>
    <w:rPr>
      <w:color w:val="605E5C"/>
      <w:shd w:val="clear" w:color="auto" w:fill="E1DFDD"/>
    </w:rPr>
  </w:style>
  <w:style w:type="paragraph" w:styleId="Header">
    <w:name w:val="header"/>
    <w:basedOn w:val="Normal"/>
    <w:link w:val="HeaderChar"/>
    <w:uiPriority w:val="99"/>
    <w:unhideWhenUsed/>
    <w:rsid w:val="0011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21"/>
  </w:style>
  <w:style w:type="paragraph" w:styleId="Footer">
    <w:name w:val="footer"/>
    <w:basedOn w:val="Normal"/>
    <w:link w:val="FooterChar"/>
    <w:uiPriority w:val="99"/>
    <w:unhideWhenUsed/>
    <w:rsid w:val="0011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oep.2011.02.0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iccn.2015.01.0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dgs.un.org/publications/transforming-our-world-2030-agenda-sustainable-development-179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4/ijesb.2020.100311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540-627X.2010.00314.x" TargetMode="External"/><Relationship Id="rId23" Type="http://schemas.openxmlformats.org/officeDocument/2006/relationships/fontTable" Target="fontTable.xml"/><Relationship Id="rId10" Type="http://schemas.openxmlformats.org/officeDocument/2006/relationships/hyperlink" Target="https://doi.org/10.4324/9781003501374-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jsrr/2025/v31i63194" TargetMode="External"/><Relationship Id="rId14" Type="http://schemas.openxmlformats.org/officeDocument/2006/relationships/hyperlink" Target="https://doi.org/10.1016/j.igd.2023.10009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73</cp:revision>
  <dcterms:created xsi:type="dcterms:W3CDTF">2025-12-05T12:09:00Z</dcterms:created>
  <dcterms:modified xsi:type="dcterms:W3CDTF">2025-12-09T09:11:00Z</dcterms:modified>
</cp:coreProperties>
</file>