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B1976" w14:textId="77777777" w:rsidR="00C13468" w:rsidRPr="00CE5BFA" w:rsidRDefault="00C13468" w:rsidP="00CE5BFA">
      <w:pPr>
        <w:pStyle w:val="Heading1"/>
      </w:pPr>
      <w:bookmarkStart w:id="0" w:name="_GoBack"/>
      <w:bookmarkEnd w:id="0"/>
      <w:r w:rsidRPr="00CE5BFA">
        <w:rPr>
          <w:rStyle w:val="Strong"/>
          <w:b/>
          <w:bCs/>
        </w:rPr>
        <w:t>Digital Agriculture and Food Security: The Transformative Role of Information Technology in Global Food Production</w:t>
      </w:r>
    </w:p>
    <w:p w14:paraId="06BCA61A" w14:textId="77777777" w:rsidR="00C13468" w:rsidRDefault="00C13468" w:rsidP="00C13468"/>
    <w:p w14:paraId="0E3CEC05" w14:textId="77777777" w:rsidR="00C13468" w:rsidRDefault="00C13468" w:rsidP="00C13468">
      <w:pPr>
        <w:pStyle w:val="Heading3"/>
      </w:pPr>
      <w:r>
        <w:t>Abstract</w:t>
      </w:r>
    </w:p>
    <w:p w14:paraId="5237349C" w14:textId="77777777" w:rsidR="00C13468" w:rsidRDefault="00C13468" w:rsidP="00C13468">
      <w:pPr>
        <w:pStyle w:val="NormalWeb"/>
      </w:pPr>
      <w:r>
        <w:t>Digital technologies are reshaping how food is produced, traded, and governed, and are increasingly framed as key to meeting the global food security challenge under climate and resource constraints. This review synthesizes recent evidence on how information technology–enabled “digital agriculture” influences the four classical dimensions of food security—availability, access, utilization, and stability—across diverse farming systems. We examine core technological building blocks, including Internet of Things (IoT) sensing, remote sensing, artificial intelligence (AI), big data analytics, digital advisory services, and platform-based value chains, and map the main pathways through which they affect productivity, risk management, environmental outcomes, and inclusion. Empirical and review studies from both high-income and low- and middle-income countries suggest that digital agriculture can increase yields, improve input-use efficiency, reduce production risk, and enhance information flows along value chains, with positive implications for food availability and economic access. However, benefits are unevenly distributed and shaped by digital literacy, infrastructure, institutional support, and data governance regimes. Digital agriculture also carries systemic risks, including deepening power asymmetries over data, reinforcing industrial models of production, and excluding smallholders and marginalized groups. We propose an integrated framework that positions digital agriculture as an enabling layer within broader transitions toward sustainable and equitable food systems, rather than a technological “fix” in isolation. The review concludes with research and policy priorities focused on closing evidence gaps, governing data and platforms in the public interest, and designing inclusive, climate-resilient digital ecosystems that support global food security.</w:t>
      </w:r>
    </w:p>
    <w:p w14:paraId="2AEA38BD" w14:textId="77777777" w:rsidR="00C13468" w:rsidRDefault="00C13468" w:rsidP="00C13468">
      <w:pPr>
        <w:pStyle w:val="NormalWeb"/>
      </w:pPr>
      <w:r>
        <w:rPr>
          <w:rStyle w:val="Strong"/>
        </w:rPr>
        <w:t>Keywords:</w:t>
      </w:r>
      <w:r>
        <w:t xml:space="preserve"> digital agriculture; smart farming; precision agriculture; food security; big data; artificial intelligence; smallholders; climate resilience</w:t>
      </w:r>
    </w:p>
    <w:p w14:paraId="768F6BFF" w14:textId="77777777" w:rsidR="00C13468" w:rsidRDefault="00C13468" w:rsidP="00C13468"/>
    <w:p w14:paraId="772EFE75" w14:textId="77777777" w:rsidR="00C13468" w:rsidRDefault="00C13468" w:rsidP="00C13468">
      <w:pPr>
        <w:pStyle w:val="Heading3"/>
      </w:pPr>
      <w:r>
        <w:t>1. Introduction</w:t>
      </w:r>
    </w:p>
    <w:p w14:paraId="60E4D333" w14:textId="77777777" w:rsidR="00FA7321" w:rsidRDefault="00C13468" w:rsidP="00C13468">
      <w:pPr>
        <w:pStyle w:val="NormalWeb"/>
      </w:pPr>
      <w:r>
        <w:t xml:space="preserve">Rapid digitalization is reshaping how food is produced, traded and consumed at exactly the moment when climate change, resource degradation, geopolitical instability and demographic growth are intensifying pressure on global food systems. Over the past decade, digital technologies – including remote sensing, the Internet of Things, artificial intelligence, mobile platforms and distributed ledgers – have migrated from experimental pilots to mainstream components of farm and agri-food value-chain management in many regions (Wolfert et al., 2017; Xu et al., 2024). Recent empirical work shows that such technologies can raise agricultural productivity, enable greener resource use and support more diversified rural livelihoods, thereby contributing indirectly and directly to food security objectives (Liu &amp; Liu, 2023; </w:t>
      </w:r>
      <w:proofErr w:type="spellStart"/>
      <w:r>
        <w:t>Shamshiri</w:t>
      </w:r>
      <w:proofErr w:type="spellEnd"/>
      <w:r>
        <w:t xml:space="preserve"> et al., 2024).</w:t>
      </w:r>
    </w:p>
    <w:p w14:paraId="45873FBE" w14:textId="77777777" w:rsidR="00C13468" w:rsidRDefault="00C13468" w:rsidP="00C13468">
      <w:pPr>
        <w:pStyle w:val="NormalWeb"/>
      </w:pPr>
      <w:r>
        <w:lastRenderedPageBreak/>
        <w:t xml:space="preserve">At the same time, food insecurity remains stubbornly high in many parts of the world, and recent shocks – from the COVID-19 pandemic to extreme weather and conflicts – have underscored the vulnerability of global supply chains. This has prompted renewed interest in the potential of “digital agriculture” to enhance all four widely </w:t>
      </w:r>
      <w:proofErr w:type="spellStart"/>
      <w:r>
        <w:t>recognised</w:t>
      </w:r>
      <w:proofErr w:type="spellEnd"/>
      <w:r>
        <w:t xml:space="preserve"> dimensions of food security: availability of sufficient food; access to food; utilization of safe and nutritious diets; and stability of these conditions over time. Evidence from multi-country panels indicates that broader digitalization can improve food supply and reduce food insecurity in developing economies by easing information frictions and strengthening market integration (Subramaniam et al., 2025). However, the extent to which agriculture-specific digital innovations translate into robust, equitable and sustainable food security outcomes is still contested.</w:t>
      </w:r>
    </w:p>
    <w:p w14:paraId="70A52B4C" w14:textId="77777777" w:rsidR="00C13468" w:rsidRDefault="00C13468" w:rsidP="00C13468">
      <w:pPr>
        <w:pStyle w:val="NormalWeb"/>
      </w:pPr>
      <w:r>
        <w:t xml:space="preserve">The term “digital agriculture” itself covers a heterogeneous assemblage of technologies, practices and institutional arrangements. Early work on “smart farming” </w:t>
      </w:r>
      <w:proofErr w:type="spellStart"/>
      <w:r>
        <w:t>emphasised</w:t>
      </w:r>
      <w:proofErr w:type="spellEnd"/>
      <w:r>
        <w:t xml:space="preserve"> the integration of sensors, decision-support algorithms and automated machinery to </w:t>
      </w:r>
      <w:proofErr w:type="spellStart"/>
      <w:r>
        <w:t>optimise</w:t>
      </w:r>
      <w:proofErr w:type="spellEnd"/>
      <w:r>
        <w:t xml:space="preserve"> input use and yields at field scale (Wolfert et al., 2017; </w:t>
      </w:r>
      <w:proofErr w:type="spellStart"/>
      <w:r>
        <w:t>Shamshiri</w:t>
      </w:r>
      <w:proofErr w:type="spellEnd"/>
      <w:r>
        <w:t xml:space="preserve"> et al., 2024). Subsequent social-science scholarship has broadened this perspective, framing digital agriculture and “Agriculture 4.0” as socio-technical transitions that reconfigure power relations, data ownership, </w:t>
      </w:r>
      <w:proofErr w:type="spellStart"/>
      <w:r>
        <w:t>labour</w:t>
      </w:r>
      <w:proofErr w:type="spellEnd"/>
      <w:r>
        <w:t xml:space="preserve"> and knowledge flows across agri-food systems (Klerkx et al., 2019; Rose &amp; Chilvers, 2018). These analyses highlight that digitalization is not a neutral technical fix; rather, it embodies particular visions of efficiency, sustainability and control that may or may not align with the priorities of smallholders, workers and consumers.</w:t>
      </w:r>
    </w:p>
    <w:p w14:paraId="0B7AE332" w14:textId="77777777" w:rsidR="00C13468" w:rsidRDefault="00C13468" w:rsidP="00C13468">
      <w:pPr>
        <w:pStyle w:val="NormalWeb"/>
      </w:pPr>
      <w:r>
        <w:t>From a food-security perspective, several complementary strands of literature have emerged. Technology-focused reviews document the rapid proliferation of use cases for digital tools in crop and livestock monitoring, input management, early warning and climate-risk management, often with promising yield or resource-use benefits (</w:t>
      </w:r>
      <w:proofErr w:type="spellStart"/>
      <w:r>
        <w:t>Shamshiri</w:t>
      </w:r>
      <w:proofErr w:type="spellEnd"/>
      <w:r>
        <w:t xml:space="preserve"> et al., 2024; Xu et al., 2024). Impact-oriented empirical studies and macro-level econometric analyses explore how digital technology adoption affects sustainable agriculture, poverty alleviation and food security at regional or national scales, finding generally positive but heterogeneous effects (Liu &amp; Liu, 2023; Subramaniam et al., 2025). A growing body of work also examines digital agriculture services and platforms in low- and middle-income countries, stressing the importance of business models, gender dynamics and institutional environments for inclusive impact (Porciello et al., 2022; Manzoor et al., 2025). Finally, critical and anticipatory analyses interrogate high-level policy narratives and imaginaries around digital agriculture, questioning whose food-system futures are being promoted and whose risks are being ignored (Lajoie-O’Malley et al., 2020; Rose &amp; Chilvers, 2018).</w:t>
      </w:r>
      <w:r w:rsidR="00FA7321">
        <w:t xml:space="preserve"> </w:t>
      </w:r>
    </w:p>
    <w:p w14:paraId="046AADE4" w14:textId="77777777" w:rsidR="00C13468" w:rsidRDefault="00C13468" w:rsidP="00C13468">
      <w:pPr>
        <w:pStyle w:val="NormalWeb"/>
      </w:pPr>
      <w:r>
        <w:t xml:space="preserve">Despite this rapidly expanding literature, there is still a need for integrative syntheses that explicitly </w:t>
      </w:r>
      <w:proofErr w:type="spellStart"/>
      <w:r>
        <w:t>organise</w:t>
      </w:r>
      <w:proofErr w:type="spellEnd"/>
      <w:r>
        <w:t xml:space="preserve"> digital agriculture’s diverse mechanisms and outcomes around the multidimensional concept of food security, and that bridge technical, socio-economic and governance perspectives. Existing reviews frequently focus on specific technologies, single countries or narrow sustainability metrics, leaving fragmented insights on how digitalization reshapes global food production and provisioning. This review responds to that gap by offering a structured, food-security-</w:t>
      </w:r>
      <w:proofErr w:type="spellStart"/>
      <w:r>
        <w:t>centred</w:t>
      </w:r>
      <w:proofErr w:type="spellEnd"/>
      <w:r>
        <w:t xml:space="preserve"> assessment of the transformative role of information technology in agriculture and agri-food systems across different regions and scales.</w:t>
      </w:r>
    </w:p>
    <w:p w14:paraId="0B9DA433" w14:textId="77777777" w:rsidR="00C13468" w:rsidRDefault="00C13468" w:rsidP="00C13468">
      <w:pPr>
        <w:pStyle w:val="Heading4"/>
      </w:pPr>
      <w:r>
        <w:lastRenderedPageBreak/>
        <w:t>1.1. Scope and objectives of the review</w:t>
      </w:r>
    </w:p>
    <w:p w14:paraId="39B0FDFD" w14:textId="77777777" w:rsidR="00C13468" w:rsidRDefault="00C13468" w:rsidP="00C13468">
      <w:pPr>
        <w:pStyle w:val="NormalWeb"/>
      </w:pPr>
      <w:r>
        <w:t xml:space="preserve">The overarching purpose of this article is to critically examine how digital agriculture is shaping contemporary and future trajectories of global food security. Building on prior reviews of smart farming and digital agriculture transitions (Klerkx et al., 2019; </w:t>
      </w:r>
      <w:proofErr w:type="spellStart"/>
      <w:r>
        <w:t>Shamshiri</w:t>
      </w:r>
      <w:proofErr w:type="spellEnd"/>
      <w:r>
        <w:t xml:space="preserve"> et al., 2024; Xu et al., 2024), we pursue three specific objectives. First, we </w:t>
      </w:r>
      <w:proofErr w:type="spellStart"/>
      <w:r>
        <w:t>synthesise</w:t>
      </w:r>
      <w:proofErr w:type="spellEnd"/>
      <w:r>
        <w:t xml:space="preserve"> evidence on the technical and agronomic pathways through which digital technologies influence food availability and stability, including productivity gains, input-use efficiency, risk management and climate resilience. Second, we </w:t>
      </w:r>
      <w:proofErr w:type="spellStart"/>
      <w:r>
        <w:t>analyse</w:t>
      </w:r>
      <w:proofErr w:type="spellEnd"/>
      <w:r>
        <w:t xml:space="preserve"> how digital platforms, services and data infrastructures affect economic and social dimensions of food security, notably access, affordability and equity for different categories of producers and consumers in both the Global North and South. Third, we interrogate the institutional, ethical and political conditions under which digital agriculture can contribute to just and sustainable food systems, engaging with debates on data governance, algorithmic bias, </w:t>
      </w:r>
      <w:proofErr w:type="spellStart"/>
      <w:r>
        <w:t>labour</w:t>
      </w:r>
      <w:proofErr w:type="spellEnd"/>
      <w:r>
        <w:t xml:space="preserve"> transformations and environmental externalities (Lajoie-O’Malley et al., 2020; Rose &amp; Chilvers, 2018).</w:t>
      </w:r>
      <w:r w:rsidR="00831C60">
        <w:t xml:space="preserve"> </w:t>
      </w:r>
    </w:p>
    <w:p w14:paraId="560C94FF" w14:textId="77777777" w:rsidR="00C13468" w:rsidRDefault="00C13468" w:rsidP="00C13468">
      <w:pPr>
        <w:pStyle w:val="NormalWeb"/>
      </w:pPr>
      <w:r>
        <w:t>By situating digital agriculture within broader food-system transitions, the review aims to provide a conceptual map and evidence base that can inform policy, investment and research agendas. In particular, we focus on the conditions under which digitalization amplifies or narrows existing inequalities, strengthens or undermines environmental sustainability, and builds or erodes resilience in the face of shocks.</w:t>
      </w:r>
    </w:p>
    <w:p w14:paraId="3BBCDC6B" w14:textId="77777777" w:rsidR="00C13468" w:rsidRDefault="00C13468" w:rsidP="00C13468">
      <w:pPr>
        <w:pStyle w:val="Heading4"/>
      </w:pPr>
      <w:r>
        <w:t>1.2. Methods for literature selection</w:t>
      </w:r>
    </w:p>
    <w:p w14:paraId="5760D048" w14:textId="77777777" w:rsidR="00C13468" w:rsidRDefault="00C13468" w:rsidP="00C13468">
      <w:pPr>
        <w:pStyle w:val="NormalWeb"/>
      </w:pPr>
      <w:r>
        <w:t xml:space="preserve">This article adopts a structured narrative-review approach with elements of scoping review methodology. We searched major bibliographic databases – Web of Science Core Collection, Scopus, </w:t>
      </w:r>
      <w:r w:rsidR="00F13040">
        <w:t xml:space="preserve">and Publisher platforms like </w:t>
      </w:r>
      <w:r>
        <w:t>ScienceDirect and Frontiers journal platforms</w:t>
      </w:r>
      <w:r w:rsidR="00F13040">
        <w:t>, etc</w:t>
      </w:r>
      <w:r>
        <w:t xml:space="preserve"> – complemented by targeted searches in Google Scholar to capture very recent publications. The primary search strings combined generic terms for digitalization with agriculture and food-system concepts, including “digital agriculture,” “smart farming,” “precision agriculture,” “Agriculture 4.0,” “digital technology” AND “food security,” “agri-food systems,” “sustainable agriculture,” and “global food production.” Searches were restricted to peer-reviewed journal articles in English published between January 2015 and October 2025, a period that coincides with the mainstreaming of digital agriculture discourse and large-scale deployments (Wolfert et al., 2017; Klerkx et al., 2019; </w:t>
      </w:r>
      <w:proofErr w:type="spellStart"/>
      <w:r>
        <w:t>Shamshiri</w:t>
      </w:r>
      <w:proofErr w:type="spellEnd"/>
      <w:r>
        <w:t xml:space="preserve"> et al., 2024; Xu et al., 2024).</w:t>
      </w:r>
      <w:r w:rsidR="00831C60">
        <w:t xml:space="preserve"> </w:t>
      </w:r>
    </w:p>
    <w:p w14:paraId="38234B13" w14:textId="77777777" w:rsidR="00C13468" w:rsidRDefault="00C13468" w:rsidP="00C13468">
      <w:pPr>
        <w:pStyle w:val="NormalWeb"/>
      </w:pPr>
      <w:r>
        <w:t>Titles and abstracts were screened to retain studies that explicitly addressed digital or smart agriculture, broadly defined, and that reported outcomes or substantive discussion related to at least one dimension of food security, sustainable agricultural production, or resilience in agri-food systems. We included empirical quantitative and qualitative studies, modelling analyses, systematic or scoping reviews, and conceptual papers. Conference proceedings, theses, book chapters, policy reports and other grey literature were excluded to ensure a consistent level of peer-review quality. Reference lists of key articles and recent reviews were manually scanned (“snowballing”) to identify additional relevant studies, particularly on digital services and adoption determinants in low- and middle-income countries (Porciello et al., 2022; Liu &amp; Liu, 2023; Manzoor et al., 2025; Subramaniam et al., 2025). Articles were then coded according to technology type, geographic focus, methodological approach and primary food-security outcomes, providing the basis for the thematic synthesis in subsequent sections.</w:t>
      </w:r>
    </w:p>
    <w:p w14:paraId="3D03E77A" w14:textId="77777777" w:rsidR="00F13040" w:rsidRDefault="00F13040" w:rsidP="00F13040">
      <w:pPr>
        <w:pStyle w:val="Heading2"/>
      </w:pPr>
      <w:r>
        <w:lastRenderedPageBreak/>
        <w:t>2. Conceptualizing Digital Agriculture and Food Security</w:t>
      </w:r>
    </w:p>
    <w:p w14:paraId="59D40969" w14:textId="77777777" w:rsidR="00F13040" w:rsidRDefault="00F13040" w:rsidP="00F13040">
      <w:pPr>
        <w:pStyle w:val="NormalWeb"/>
      </w:pPr>
      <w:r>
        <w:t xml:space="preserve">Digital agriculture is increasingly framed as a central pathway for achieving sustainable food systems, yet the concepts of “digital agriculture” and “food security” are often used loosely or in isolation. A clear conceptualization is needed to avoid technological determinism and to make explicit how digital tools are expected to affect the diverse dimensions of food security. Digitalization is transforming agriculture through sensors, satellite and UAV imagery, Internet of Things (IoT) devices, data platforms and artificial intelligence, creating data-intensive, cyber-physical production systems that extend across value chains from input supply to consumption (Wolfert et al., 2017; Xu et al., 2024). At the same time, scholars have argued that food security should be understood as a multidimensional construct that goes beyond aggregate production to encompass access, utilization, stability, agency and sustainability (Clapp et al., 2022; Pérez-Escamilla, 2024). Bringing these literatures together allows digital agriculture to be conceptualized not merely as a set of technologies, but as a socio-technical configuration whose impacts on global food production and food security are contingent on governance, power relations and context (Klerkx et al., 2019; Finger, 2023; </w:t>
      </w:r>
      <w:proofErr w:type="spellStart"/>
      <w:r>
        <w:t>Balasundram</w:t>
      </w:r>
      <w:proofErr w:type="spellEnd"/>
      <w:r>
        <w:t xml:space="preserve"> et al., 2023).</w:t>
      </w:r>
    </w:p>
    <w:p w14:paraId="3679F609" w14:textId="77777777" w:rsidR="00F13040" w:rsidRDefault="00F13040" w:rsidP="00F13040">
      <w:pPr>
        <w:pStyle w:val="Heading3"/>
      </w:pPr>
      <w:r>
        <w:t>2.1 Digital agriculture as a socio-technical system</w:t>
      </w:r>
    </w:p>
    <w:p w14:paraId="7FE07887" w14:textId="77777777" w:rsidR="00F13040" w:rsidRDefault="00F13040" w:rsidP="00F13040">
      <w:pPr>
        <w:pStyle w:val="NormalWeb"/>
      </w:pPr>
      <w:r>
        <w:t xml:space="preserve">Early work on “smart farming” and precision agriculture emphasized on-farm sensing, GPS-guided machinery and variable-rate application as ways to optimize input use and raise yields at fine spatial resolution (Wolfert et al., 2017). With the emergence of Agriculture 4.0, digital agriculture is now understood as a broader socio-technical system that integrates cyber-physical infrastructures, cloud computing, machine learning, robotics and platform-mediated services across the agri-food chain (Abbasi et al., 2022; </w:t>
      </w:r>
      <w:proofErr w:type="spellStart"/>
      <w:r>
        <w:t>Shamshiri</w:t>
      </w:r>
      <w:proofErr w:type="spellEnd"/>
      <w:r>
        <w:t xml:space="preserve"> et al., 2024). Smart irrigation, robotic weeding, digital climate-smart greenhouses, automated phenotyping and AI-enabled decision support systems exemplify how data, algorithms and connected devices co-produce new forms of agronomic control and risk management (</w:t>
      </w:r>
      <w:proofErr w:type="spellStart"/>
      <w:r>
        <w:t>Shamshiri</w:t>
      </w:r>
      <w:proofErr w:type="spellEnd"/>
      <w:r>
        <w:t xml:space="preserve"> et al., 2024; Xu et al., 2024).</w:t>
      </w:r>
    </w:p>
    <w:p w14:paraId="617CDB43" w14:textId="77777777" w:rsidR="00F13040" w:rsidRDefault="00F13040" w:rsidP="00F13040">
      <w:pPr>
        <w:pStyle w:val="NormalWeb"/>
      </w:pPr>
      <w:r>
        <w:t xml:space="preserve">However, digital agriculture is not only a technical architecture. Social science perspectives emphasize that digital transformation reconfigures knowledge networks, advisory services, business models and regulatory arrangements, with implications for inclusion, competition and data governance (Klerkx et al., 2019; Lajoie-O’Malley et al., 2020). </w:t>
      </w:r>
      <w:proofErr w:type="spellStart"/>
      <w:r>
        <w:t>Platformization</w:t>
      </w:r>
      <w:proofErr w:type="spellEnd"/>
      <w:r>
        <w:t xml:space="preserve"> of input supply, output marketing and financial services is reshaping relationships between farmers, agribusinesses and states, potentially concentrating power in a small number of data-rich firms while also creating new forms of intermediation and collaboration (Finger, 2023; Porciello et al., 2022). In low- and middle-income countries (LMICs), digital agriculture often takes the form of mobile-phone based advisory, digital credit, insurance and market platforms that are layered onto smallholder systems characterized by resource constraints, weak infrastructure and gendered access gaps (Porciello et al., 2022; Manzoor et al., 2025).</w:t>
      </w:r>
    </w:p>
    <w:p w14:paraId="0DF47BE0" w14:textId="77777777" w:rsidR="00F13040" w:rsidRDefault="00F13040" w:rsidP="00F13040">
      <w:pPr>
        <w:pStyle w:val="NormalWeb"/>
      </w:pPr>
      <w:r>
        <w:t>Scoping and systematic reviews show that, in practice, digital agriculture is highly heterogeneous and context-specific. In Sub-Saharan Africa, for example, smallholder farmers most commonly engage with digital technologies through mobile advisory, digital input and output markets and low-cost sensor packages, rather than fully autonomous machinery (</w:t>
      </w:r>
      <w:proofErr w:type="spellStart"/>
      <w:r>
        <w:t>Choruma</w:t>
      </w:r>
      <w:proofErr w:type="spellEnd"/>
      <w:r>
        <w:t xml:space="preserve"> et al., 2024). These configurations are shaped by national policy, telecom expansion, donor </w:t>
      </w:r>
      <w:proofErr w:type="spellStart"/>
      <w:r>
        <w:t>programmes</w:t>
      </w:r>
      <w:proofErr w:type="spellEnd"/>
      <w:r>
        <w:t xml:space="preserve"> and local innovation ecosystems, underscoring that digital </w:t>
      </w:r>
      <w:r>
        <w:lastRenderedPageBreak/>
        <w:t>agriculture should be conceptualized as a socio-technical assemblage co-produced by technology developers, users, regulators and intermediaries rather than a neutral toolkit (Klerkx et al., 2019; Lajoie-O’Malley et al., 2020).</w:t>
      </w:r>
    </w:p>
    <w:p w14:paraId="7740EE61" w14:textId="77777777" w:rsidR="00F13040" w:rsidRDefault="00F13040" w:rsidP="00F13040">
      <w:pPr>
        <w:pStyle w:val="Heading3"/>
      </w:pPr>
      <w:r>
        <w:t>2.2 Evolving food security frameworks for a digital era</w:t>
      </w:r>
    </w:p>
    <w:p w14:paraId="1105ED50" w14:textId="77777777" w:rsidR="00F13040" w:rsidRDefault="00F13040" w:rsidP="00F13040">
      <w:pPr>
        <w:pStyle w:val="NormalWeb"/>
      </w:pPr>
      <w:r>
        <w:t>Food security has traditionally been framed around four pillars: availability, access, utilization and stability. Recent scholarship argues that this framework is too narrow to capture the political–ecological dynamics of contemporary food systems and the transformative ambitions of global agendas such as the Sustainable Development Goals (</w:t>
      </w:r>
      <w:proofErr w:type="spellStart"/>
      <w:r>
        <w:t>Guiné</w:t>
      </w:r>
      <w:proofErr w:type="spellEnd"/>
      <w:r>
        <w:t xml:space="preserve"> et al., 2021; Clapp et al., 2022). A six-dimensional framework adds “agency” (people’s ability to shape food systems and their own food environments) and “sustainability” (the long-term ecological and socio-economic viability of food system activities) to the four classical pillars, highlighting that food security is simultaneously nutritional, environmental and political (Clapp et al., 2022; Pérez-Escamilla, 2024).</w:t>
      </w:r>
    </w:p>
    <w:p w14:paraId="2B6DC319" w14:textId="77777777" w:rsidR="00F13040" w:rsidRDefault="00F13040" w:rsidP="00F13040">
      <w:pPr>
        <w:pStyle w:val="NormalWeb"/>
      </w:pPr>
      <w:r>
        <w:t>This expanded framing has important implications for how digital agriculture is conceptualized. Technologies that raise yields but erode agency—for example, by locking farmers into proprietary data ecosystems—or that increase short-term output while depleting soils or water may improve availability but undermine sustainability and equity. Conversely, digital tools that support agro-ecological management, improve transparency in supply chains, or strengthen marginalized groups’ voice in decision-making may advance several dimensions of food security simultaneously (</w:t>
      </w:r>
      <w:proofErr w:type="spellStart"/>
      <w:r>
        <w:t>Guiné</w:t>
      </w:r>
      <w:proofErr w:type="spellEnd"/>
      <w:r>
        <w:t xml:space="preserve"> et al., 2021; Finger, 2023). Conceptually, therefore, digital agriculture should be assessed against all six dimensions of food security, rather than equated with production growth or efficiency alone (Clapp et al., 2022; Pandey &amp; Mishra, 2024).</w:t>
      </w:r>
    </w:p>
    <w:p w14:paraId="2CE24FEE" w14:textId="77777777" w:rsidR="00F13040" w:rsidRDefault="00F13040" w:rsidP="00F13040">
      <w:pPr>
        <w:pStyle w:val="Heading3"/>
      </w:pPr>
      <w:r>
        <w:t>2.3 Linking digital agriculture to multidimensional food security</w:t>
      </w:r>
    </w:p>
    <w:p w14:paraId="012119A2" w14:textId="77777777" w:rsidR="00F13040" w:rsidRDefault="00F13040" w:rsidP="00F13040">
      <w:pPr>
        <w:pStyle w:val="NormalWeb"/>
      </w:pPr>
      <w:r>
        <w:t xml:space="preserve">Within this multidimensional lens, digital agriculture can be understood as influencing food security through several interrelated mechanisms. First, digital technologies can affect </w:t>
      </w:r>
      <w:r w:rsidRPr="00831C60">
        <w:rPr>
          <w:rStyle w:val="Strong"/>
          <w:b w:val="0"/>
        </w:rPr>
        <w:t>availability</w:t>
      </w:r>
      <w:r>
        <w:t xml:space="preserve"> by improving agronomic decision-making, reducing input waste and enabling site-specific management that raises or stabilizes yields under climate stress (</w:t>
      </w:r>
      <w:proofErr w:type="spellStart"/>
      <w:r>
        <w:t>Balasundram</w:t>
      </w:r>
      <w:proofErr w:type="spellEnd"/>
      <w:r>
        <w:t xml:space="preserve"> et al., 2023; </w:t>
      </w:r>
      <w:proofErr w:type="spellStart"/>
      <w:r>
        <w:t>Shamshiri</w:t>
      </w:r>
      <w:proofErr w:type="spellEnd"/>
      <w:r>
        <w:t xml:space="preserve"> et al., 2024). Applications include variable-rate fertilization and irrigation, early warning systems for pests and diseases based on remote sensing and AI, and decision support tools that help farmers select more climate-resilient varieties (</w:t>
      </w:r>
      <w:proofErr w:type="spellStart"/>
      <w:r>
        <w:t>Shamshiri</w:t>
      </w:r>
      <w:proofErr w:type="spellEnd"/>
      <w:r>
        <w:t xml:space="preserve"> et al., 2024; Xu et al., 2024).</w:t>
      </w:r>
    </w:p>
    <w:p w14:paraId="6DE109DB" w14:textId="77777777" w:rsidR="00F13040" w:rsidRDefault="00F13040" w:rsidP="00F13040">
      <w:pPr>
        <w:pStyle w:val="NormalWeb"/>
      </w:pPr>
      <w:r>
        <w:t xml:space="preserve">Second, digital agriculture shapes </w:t>
      </w:r>
      <w:r>
        <w:rPr>
          <w:rStyle w:val="Strong"/>
        </w:rPr>
        <w:t>economic and physical access</w:t>
      </w:r>
      <w:r>
        <w:t xml:space="preserve"> to food. Mobile-based extension, price information services and e-commerce platforms can reduce information asymmetries, transaction costs and market volatility, potentially increasing producers’ incomes and consumers’ access to diverse foods (Porciello et al., 2022; Manzoor et al., 2025). Digital financial services and alternative credit-scoring models relying on farm and mobile data can expand smallholders’ access to credit and insurance, thereby enabling investment in productivity-enhancing technologies and smoothing consumption during shocks (Manzoor et al., 2025; </w:t>
      </w:r>
      <w:proofErr w:type="spellStart"/>
      <w:r>
        <w:t>Choruma</w:t>
      </w:r>
      <w:proofErr w:type="spellEnd"/>
      <w:r>
        <w:t xml:space="preserve"> et al., 2024).</w:t>
      </w:r>
    </w:p>
    <w:p w14:paraId="6D4404A1" w14:textId="77777777" w:rsidR="00F13040" w:rsidRDefault="00F13040" w:rsidP="00F13040">
      <w:pPr>
        <w:pStyle w:val="NormalWeb"/>
      </w:pPr>
      <w:r>
        <w:t xml:space="preserve">Third, digital tools can influence </w:t>
      </w:r>
      <w:r w:rsidRPr="001E6EC5">
        <w:rPr>
          <w:rStyle w:val="Strong"/>
          <w:b w:val="0"/>
        </w:rPr>
        <w:t>utilization and nutrition</w:t>
      </w:r>
      <w:r>
        <w:t xml:space="preserve"> by improving food safety, quality and dietary </w:t>
      </w:r>
      <w:proofErr w:type="spellStart"/>
      <w:r>
        <w:t>behaviours</w:t>
      </w:r>
      <w:proofErr w:type="spellEnd"/>
      <w:r>
        <w:t xml:space="preserve">. Blockchain-based traceability, sensor-based cold-chain monitoring and AI-enabled contamination detection can reduce food loss and improve safety along </w:t>
      </w:r>
      <w:r>
        <w:lastRenderedPageBreak/>
        <w:t>supply chains (Abbasi et al., 2022; Pandey &amp; Mishra, 2024). At the consumer end, digital platforms can disseminate nutrition information and personalized dietary guidance, though evidence on their long-term effects on nutritional status remains limited (Pérez-Escamilla, 2024).</w:t>
      </w:r>
    </w:p>
    <w:p w14:paraId="6572736C" w14:textId="77777777" w:rsidR="00F13040" w:rsidRDefault="00F13040" w:rsidP="00F13040">
      <w:pPr>
        <w:pStyle w:val="NormalWeb"/>
      </w:pPr>
      <w:r>
        <w:t xml:space="preserve">Fourth, digital agriculture interacts with </w:t>
      </w:r>
      <w:r w:rsidRPr="001E6EC5">
        <w:rPr>
          <w:rStyle w:val="Strong"/>
          <w:b w:val="0"/>
        </w:rPr>
        <w:t>stability</w:t>
      </w:r>
      <w:r>
        <w:t xml:space="preserve"> by helping actors anticipate and respond to climatic, market and political shocks. Climate-informed advisory, seasonal forecasts, and real-time monitoring of crop conditions can support adaptive management, while integrated data infrastructures can enhance early warning systems and policy responses (</w:t>
      </w:r>
      <w:proofErr w:type="spellStart"/>
      <w:r>
        <w:t>Balasundram</w:t>
      </w:r>
      <w:proofErr w:type="spellEnd"/>
      <w:r>
        <w:t xml:space="preserve"> et al., 2023; Finger, 2023). Yet these stability gains depend on robust connectivity, data governance and institutional capacity; otherwise, digital dependence may introduce new systemic vulnerabilities, for example through cyber-risks or over-reliance on proprietary platforms (Finger, 2023; </w:t>
      </w:r>
      <w:proofErr w:type="spellStart"/>
      <w:r>
        <w:t>Shamshiri</w:t>
      </w:r>
      <w:proofErr w:type="spellEnd"/>
      <w:r>
        <w:t xml:space="preserve"> et al., 2024).</w:t>
      </w:r>
    </w:p>
    <w:p w14:paraId="72C2D577" w14:textId="77777777" w:rsidR="00F13040" w:rsidRDefault="00F13040" w:rsidP="00F13040">
      <w:pPr>
        <w:pStyle w:val="NormalWeb"/>
      </w:pPr>
      <w:r>
        <w:t xml:space="preserve">Finally, digital agriculture affects </w:t>
      </w:r>
      <w:r w:rsidRPr="001E6EC5">
        <w:rPr>
          <w:rStyle w:val="Strong"/>
          <w:b w:val="0"/>
        </w:rPr>
        <w:t>agency and sustainability</w:t>
      </w:r>
      <w:r>
        <w:t xml:space="preserve">. It can amplify farmers’ voice by providing access to information, collective platforms and advocacy networks, but may also entrench existing inequalities if marginalized groups have limited connectivity, digital skills or bargaining power over data (Klerkx et al., 2019; </w:t>
      </w:r>
      <w:proofErr w:type="spellStart"/>
      <w:r>
        <w:t>Choruma</w:t>
      </w:r>
      <w:proofErr w:type="spellEnd"/>
      <w:r>
        <w:t xml:space="preserve"> et al., 2024). From a sustainability perspective, digital technologies can reduce input-related emissions and pollution, support more precise land and water management, and enable monitoring of ecosystem services (</w:t>
      </w:r>
      <w:proofErr w:type="spellStart"/>
      <w:r>
        <w:t>Balasundram</w:t>
      </w:r>
      <w:proofErr w:type="spellEnd"/>
      <w:r>
        <w:t xml:space="preserve"> et al., 2023; Xu et al., 2024). At the same time, the material and energy footprint of digital infrastructures, and potential rebound effects from intensification, must be considered when assessing net environmental outcomes (Finger, 2023; Pandey &amp; Mishra, 2024).</w:t>
      </w:r>
    </w:p>
    <w:p w14:paraId="37843143" w14:textId="77777777" w:rsidR="00F13040" w:rsidRDefault="00F13040" w:rsidP="00F13040">
      <w:pPr>
        <w:pStyle w:val="NormalWeb"/>
      </w:pPr>
      <w:r>
        <w:t>Taken together, these mechanisms suggest that the relationship between digital agriculture and food security is neither automatic nor uniformly positive. A robust conceptualization requires situating digital technologies within food-system transformations, attending to who controls data and value, how benefits and risks are distributed, and whether digitalization strengthens or undermines the six dimensions of food security across diverse socio-ecological contexts (Clapp et al., 2022; Lajoie-O’Malley et al., 2020; Manzoor et al., 2025).</w:t>
      </w:r>
    </w:p>
    <w:p w14:paraId="6562BB11" w14:textId="77777777" w:rsidR="00C13468" w:rsidRDefault="00C13468" w:rsidP="00C13468"/>
    <w:p w14:paraId="17AF7251" w14:textId="77777777" w:rsidR="00F13040" w:rsidRDefault="00F13040" w:rsidP="00F13040">
      <w:pPr>
        <w:pStyle w:val="Heading3"/>
      </w:pPr>
      <w:r>
        <w:t>3. Key Digital Technologies Across the Agri-Food System</w:t>
      </w:r>
    </w:p>
    <w:p w14:paraId="40C1398F" w14:textId="77777777" w:rsidR="00F13040" w:rsidRDefault="00F13040" w:rsidP="00F13040">
      <w:pPr>
        <w:pStyle w:val="NormalWeb"/>
      </w:pPr>
      <w:r>
        <w:t xml:space="preserve">Digital agriculture is not a single technology but an evolving constellation of hardware, software and data infrastructures that interact across the full agri-food system—from input supply and farm management to logistics, processing, retail and consumption. Recent reviews highlight three cross-cutting characteristics: pervasive sensing, connectivity and automation at field and facility level; large-scale data aggregation and analytics in the cloud; and platform-mediated coordination of value-chain transactions (Misra et al., 2020; </w:t>
      </w:r>
      <w:proofErr w:type="spellStart"/>
      <w:r>
        <w:t>Shamshiri</w:t>
      </w:r>
      <w:proofErr w:type="spellEnd"/>
      <w:r>
        <w:t xml:space="preserve"> et al., 2024; Wolfert et al., 2017).</w:t>
      </w:r>
      <w:r w:rsidR="001E6EC5">
        <w:t xml:space="preserve"> </w:t>
      </w:r>
      <w:r>
        <w:t>Together, these technologies underpin new modes of decision-making and control that can potentially enhance food security by improving productivity, reducing losses, stabilizing supply and broadening market access, while also introducing new risks around exclusion, dependency and data governance.</w:t>
      </w:r>
    </w:p>
    <w:p w14:paraId="4FC9FC43" w14:textId="77777777" w:rsidR="00F13040" w:rsidRDefault="00F13040" w:rsidP="00F13040">
      <w:pPr>
        <w:pStyle w:val="Heading4"/>
      </w:pPr>
      <w:r>
        <w:lastRenderedPageBreak/>
        <w:t>3.1. Sensing, Internet of Things and edge devices</w:t>
      </w:r>
    </w:p>
    <w:p w14:paraId="12DF83F7" w14:textId="77777777" w:rsidR="00F13040" w:rsidRDefault="00F13040" w:rsidP="00F13040">
      <w:pPr>
        <w:pStyle w:val="NormalWeb"/>
      </w:pPr>
      <w:r>
        <w:t xml:space="preserve">The foundational layer of digital agriculture consists of in-situ sensing and networked devices that generate high-frequency data on soils, crops, animals and microclimates. Smart sensors embedded in soil probes, plant-based sensors, weather stations, collars and tags for livestock, and machine-mounted packages measure variables such as moisture, nutrient status, canopy temperature, animal activity and fuel use (Mansoor et al., 2025; </w:t>
      </w:r>
      <w:proofErr w:type="spellStart"/>
      <w:r>
        <w:t>Sojnóczki</w:t>
      </w:r>
      <w:proofErr w:type="spellEnd"/>
      <w:r w:rsidR="00DC6BC2">
        <w:t xml:space="preserve"> et al., 2025</w:t>
      </w:r>
      <w:r>
        <w:t>).</w:t>
      </w:r>
      <w:r w:rsidR="00DC6BC2">
        <w:t xml:space="preserve"> </w:t>
      </w:r>
      <w:r>
        <w:t xml:space="preserve">These sensors are increasingly integrated via farm-scale Internet of Things (IoT) architectures that connect to gateways, edge-computing units on tractors or irrigation controllers, and cloud platforms over cellular, </w:t>
      </w:r>
      <w:proofErr w:type="spellStart"/>
      <w:r>
        <w:t>LoRaWAN</w:t>
      </w:r>
      <w:proofErr w:type="spellEnd"/>
      <w:r>
        <w:t xml:space="preserve"> or satellite links (Misra et al., 2020; Fuentes-</w:t>
      </w:r>
      <w:proofErr w:type="spellStart"/>
      <w:r>
        <w:t>Peñailillo</w:t>
      </w:r>
      <w:proofErr w:type="spellEnd"/>
      <w:r>
        <w:t xml:space="preserve"> et al., 2024).</w:t>
      </w:r>
      <w:r w:rsidR="001E6EC5">
        <w:t xml:space="preserve"> </w:t>
      </w:r>
    </w:p>
    <w:p w14:paraId="23D6443E" w14:textId="77777777" w:rsidR="00F13040" w:rsidRDefault="00F13040" w:rsidP="00F13040">
      <w:pPr>
        <w:pStyle w:val="NormalWeb"/>
      </w:pPr>
      <w:r>
        <w:t>In cropping systems, sensor networks enable automated irrigation scheduling, fertigation, and climate control in greenhouses or vertical farms, often combined with actuators for pumps and valves (</w:t>
      </w:r>
      <w:proofErr w:type="spellStart"/>
      <w:r>
        <w:t>Shamshiri</w:t>
      </w:r>
      <w:proofErr w:type="spellEnd"/>
      <w:r>
        <w:t xml:space="preserve"> et al., 2024). In livestock systems, wearable sensors and machine-vision systems support early detection of disease, estrus and welfare problems, reducing mortality and productivity losses (Monteiro et al., 2021). From a food-security standpoint, this sensing–IoT layer contributes primarily to availability and stability by allowing more precise, real-time management of limiting factors such as water, nutrients and health, while also generating rich datasets for later analytics.</w:t>
      </w:r>
    </w:p>
    <w:p w14:paraId="6E04CA20" w14:textId="77777777" w:rsidR="00F13040" w:rsidRDefault="00F13040" w:rsidP="00F13040">
      <w:pPr>
        <w:pStyle w:val="Heading4"/>
      </w:pPr>
      <w:r>
        <w:t>3.2. Remote sensing, UAVs and geospatial intelligence</w:t>
      </w:r>
    </w:p>
    <w:p w14:paraId="48CB1207" w14:textId="77777777" w:rsidR="00F13040" w:rsidRDefault="00F13040" w:rsidP="00F13040">
      <w:pPr>
        <w:pStyle w:val="NormalWeb"/>
      </w:pPr>
      <w:r>
        <w:t>Overlying in-field sensing is a geospatial layer of satellite, crewed aircraft and unmanned aerial vehicles (UAVs) that provides synoptic information on land use, crop development and biophysical conditions. Advances in spatial, temporal and spectral resolution, coupled with open data policies for systems such as Sentinel and Landsat, have enabled near-real-time crop monitoring, drought and flood detection, and yield forecasting at multiple scales (</w:t>
      </w:r>
      <w:proofErr w:type="spellStart"/>
      <w:r>
        <w:t>Shamshiri</w:t>
      </w:r>
      <w:proofErr w:type="spellEnd"/>
      <w:r>
        <w:t xml:space="preserve"> et al., 2024; Xu et al., 2024). UAVs complement satellites by providing high-resolution imagery and thermal data over smaller areas, particularly valuable for specialty crops, orchards and heterogeneous smallholder landscapes.</w:t>
      </w:r>
    </w:p>
    <w:p w14:paraId="317F7FAB" w14:textId="77777777" w:rsidR="00F13040" w:rsidRDefault="00F13040" w:rsidP="00F13040">
      <w:pPr>
        <w:pStyle w:val="NormalWeb"/>
      </w:pPr>
      <w:r>
        <w:t>These remote sensing streams feed into decision-support tools for variable-rate input application, spatial risk zoning, and early warning of pests, diseases and weather-related shocks (Fuentes-</w:t>
      </w:r>
      <w:proofErr w:type="spellStart"/>
      <w:r>
        <w:t>Peñailillo</w:t>
      </w:r>
      <w:proofErr w:type="spellEnd"/>
      <w:r>
        <w:t xml:space="preserve"> et al., 2024; Pandey &amp; Mishra, 2024). At regional and national levels, geospatial analytics are increasingly used by governments and humanitarian agencies to estimate crop conditions and anticipate food shortages, thereby supporting proactive safety-net responses and international grain market management. The same capabilities can, however, reinforce power asymmetries if data access is restricted to large agribusiness or state actors, underscoring the importance of open-data and inclusive governance arrangements.</w:t>
      </w:r>
    </w:p>
    <w:p w14:paraId="035196E5" w14:textId="77777777" w:rsidR="00F13040" w:rsidRDefault="00F13040" w:rsidP="00F13040">
      <w:pPr>
        <w:pStyle w:val="Heading4"/>
      </w:pPr>
      <w:r>
        <w:t>3.3. Data platforms, big data analytics and AI-driven decision support</w:t>
      </w:r>
    </w:p>
    <w:p w14:paraId="6C168583" w14:textId="77777777" w:rsidR="00F13040" w:rsidRDefault="00F13040" w:rsidP="00F13040">
      <w:pPr>
        <w:pStyle w:val="NormalWeb"/>
      </w:pPr>
      <w:r>
        <w:t xml:space="preserve">The large volumes of data generated by sensors, machines, satellites, genomic tools and administrative systems are aggregated in cloud-based data platforms operated by equipment firms, input suppliers, start-ups or public agencies. These platforms host farm management information systems (FMIS), data lakes and application programming interfaces (APIs) that enable cross-scale integration and reuse of data for diverse purposes (Wolfert et al., 2017). Big data frameworks support processes ranging from basic descriptive dashboards to </w:t>
      </w:r>
      <w:r>
        <w:lastRenderedPageBreak/>
        <w:t>predictive and prescriptive analytics, often relying on machine learning, deep learning and optimization algorithms.</w:t>
      </w:r>
    </w:p>
    <w:p w14:paraId="370CE6E2" w14:textId="77777777" w:rsidR="00F13040" w:rsidRDefault="00F13040" w:rsidP="00F13040">
      <w:pPr>
        <w:pStyle w:val="NormalWeb"/>
      </w:pPr>
      <w:r>
        <w:t>Systematic reviews show that machine learning is now widely applied in precision agriculture for yield prediction, disease and weed detection, soil-property estimation and resource-optimization tasks, frequently outperforming traditional statistical approaches when adequate training data are available (Sharma et al., 2021; Benos et al., 2021). More recent work emphasizes AI’s potential to support climate-smart adaptation and global food security through improved forecasting, stress detection and scenario analysis, while also highlighting issues of bias, transparency and energy use (Pandey &amp; Mishra, 2024; Xu et al., 2024). At farm level, decision-support systems translate these analytics into recommendations on planting, irrigation, fertilization, pest management, harvest timing and marketing; their effectiveness for food security depends on usability, trust, localization and integration with advisory ecosystems.</w:t>
      </w:r>
    </w:p>
    <w:p w14:paraId="05023310" w14:textId="77777777" w:rsidR="00F13040" w:rsidRDefault="00F13040" w:rsidP="00F13040">
      <w:pPr>
        <w:pStyle w:val="Heading4"/>
      </w:pPr>
      <w:r>
        <w:t>3.4. Digital advisory, extension and information services</w:t>
      </w:r>
    </w:p>
    <w:p w14:paraId="406DA0D0" w14:textId="77777777" w:rsidR="00F13040" w:rsidRDefault="00F13040" w:rsidP="00F13040">
      <w:pPr>
        <w:pStyle w:val="NormalWeb"/>
      </w:pPr>
      <w:r>
        <w:t xml:space="preserve">A distinct class of digital technologies consists of mobile and web-based advisory, information and learning services that connect farmers, extension agents and other actors. Systematic scoping evidence from low- and middle-income countries shows that the majority of documented digital agriculture services deliver agronomic advice, weather information, price signals or input recommendations via SMS, interactive voice response (IVR), smartphone applications, social media or blended “phygital” models (Porciello et al., 2022; </w:t>
      </w:r>
      <w:proofErr w:type="spellStart"/>
      <w:r>
        <w:t>Choruma</w:t>
      </w:r>
      <w:proofErr w:type="spellEnd"/>
      <w:r>
        <w:t xml:space="preserve"> et al., 2024; Manzoor et al., 2025).</w:t>
      </w:r>
      <w:r w:rsidR="00831C60">
        <w:t xml:space="preserve"> </w:t>
      </w:r>
    </w:p>
    <w:p w14:paraId="48BF27A6" w14:textId="77777777" w:rsidR="00F13040" w:rsidRDefault="00F13040" w:rsidP="00F13040">
      <w:pPr>
        <w:pStyle w:val="NormalWeb"/>
      </w:pPr>
      <w:r>
        <w:t xml:space="preserve">These services can reduce information asymmetries, improve the timeliness of agronomic decisions, and support practice change that raises yields, reduces losses or diversifies production—mechanisms that strengthen both availability and economic access to food. In some cases, services also integrate nutrition messaging, gender-responsive content and participatory feedback channels, which can broaden their contribution to utilization and agency. However, scoping reviews caution that rigorous evidence on long-term impacts and environmental outcomes remains limited, and that gender, literacy and connectivity gaps can exacerbate digital divides if not proactively addressed (Porciello et al., 2022; </w:t>
      </w:r>
      <w:proofErr w:type="spellStart"/>
      <w:r>
        <w:t>Choruma</w:t>
      </w:r>
      <w:proofErr w:type="spellEnd"/>
      <w:r>
        <w:t xml:space="preserve"> et al., 2024).</w:t>
      </w:r>
      <w:r w:rsidR="00831C60">
        <w:t xml:space="preserve"> </w:t>
      </w:r>
    </w:p>
    <w:p w14:paraId="6860EE35" w14:textId="77777777" w:rsidR="00F13040" w:rsidRDefault="00F13040" w:rsidP="00F13040">
      <w:pPr>
        <w:pStyle w:val="Heading4"/>
      </w:pPr>
      <w:r>
        <w:t>3.5. Digital value chains, e-commerce and fintech</w:t>
      </w:r>
    </w:p>
    <w:p w14:paraId="699F5E76" w14:textId="77777777" w:rsidR="00F13040" w:rsidRDefault="00F13040" w:rsidP="00F13040">
      <w:pPr>
        <w:pStyle w:val="NormalWeb"/>
      </w:pPr>
      <w:r>
        <w:t>Beyond primary production, digital technologies are reshaping how food moves, is financed and is traded. Platform-based marketplaces and e-commerce systems connect farmers directly with wholesalers, retailers, institutional buyers or consumers, often bundling logistics, quality grading and payment services. Recent analyses of “agricultural circulation” in China, for example, show that digital platforms, intelligent logistics and data-driven coordination of transport can reduce transaction costs, expand market reach and support rural modernization and green innovation (</w:t>
      </w:r>
      <w:r w:rsidR="00DC6BC2">
        <w:t>Lei et al., 2023</w:t>
      </w:r>
      <w:r>
        <w:t>; Zhang et al., 2025).</w:t>
      </w:r>
      <w:r w:rsidR="00831C60">
        <w:t xml:space="preserve"> </w:t>
      </w:r>
    </w:p>
    <w:p w14:paraId="21F7D4B2" w14:textId="77777777" w:rsidR="00F13040" w:rsidRDefault="00F13040" w:rsidP="00F13040">
      <w:pPr>
        <w:pStyle w:val="NormalWeb"/>
      </w:pPr>
      <w:r>
        <w:t xml:space="preserve">Digital financial technologies—including mobile money, digital credit, input loans, warehouse-receipt systems and index-based insurance—are increasingly integrated into these platforms, using farm, transaction and remote-sensing data for credit scoring and risk modelling (Manzoor et al., 2025). When well-governed, such tools can smooth consumption, enable investment and enhance resilience for smallholders and microenterprises, thus </w:t>
      </w:r>
      <w:r>
        <w:lastRenderedPageBreak/>
        <w:t>improving economic access and stability. At the same time, they raise concerns about over-indebtedness, opaque algorithms and dependency on private intermediaries, reinforcing the need for consumer protection and inclusive regulatory frameworks.</w:t>
      </w:r>
    </w:p>
    <w:p w14:paraId="3BA785DC" w14:textId="77777777" w:rsidR="00F13040" w:rsidRDefault="00F13040" w:rsidP="00F13040">
      <w:pPr>
        <w:pStyle w:val="Heading4"/>
      </w:pPr>
      <w:r>
        <w:t>3.6. Traceability, food quality and safety monitoring</w:t>
      </w:r>
    </w:p>
    <w:p w14:paraId="24C7108E" w14:textId="77777777" w:rsidR="00F13040" w:rsidRDefault="00F13040" w:rsidP="00F13040">
      <w:pPr>
        <w:pStyle w:val="NormalWeb"/>
      </w:pPr>
      <w:r>
        <w:t xml:space="preserve">A further cluster of digital technologies spans post-harvest handling, processing, storage and retail, focusing on traceability, quality assurance and food safety. IoT sensor networks and spectroscopic devices monitor temperature, humidity, vibration, spoilage indicators and contaminants along cold chains and warehouses, helping to reduce losses and maintain quality (Misra et al., 2020; Xu et al., 2024). Blockchain-based systems and distributed ledgers are being piloted to create tamper-evident records of product origin, handling and certification, often combined with QR codes or RFID tags for consumer-facing transparency (Misra et al., 2020; </w:t>
      </w:r>
      <w:r w:rsidR="00DC6BC2">
        <w:t>Lei et al., 2023</w:t>
      </w:r>
      <w:r>
        <w:t>).</w:t>
      </w:r>
      <w:r w:rsidR="00831C60">
        <w:t xml:space="preserve"> </w:t>
      </w:r>
    </w:p>
    <w:p w14:paraId="03D2E3F1" w14:textId="77777777" w:rsidR="00F13040" w:rsidRDefault="00F13040" w:rsidP="00F13040">
      <w:pPr>
        <w:pStyle w:val="NormalWeb"/>
      </w:pPr>
      <w:r>
        <w:t>These technologies can strengthen utilization and stability dimensions of food security by lowering the incidence of food-borne disease, enabling targeted recalls and improving trust in domestic and international supply chains (Monteiro et al., 2021; Xu et al., 2024). Yet they also introduce new forms of exclusion where compliance requires costly infrastructure or digital skills that small-scale actors struggle to access. Overall, the portfolio of digital technologies across the agri-food system offers significant potential to support global food security, but its realized impact depends critically on how these tools are configured, governed and combined in specific contexts.</w:t>
      </w:r>
    </w:p>
    <w:p w14:paraId="4C7F4B8C" w14:textId="77777777" w:rsidR="00F13040" w:rsidRDefault="00F13040">
      <w:pPr>
        <w:rPr>
          <w:rStyle w:val="Strong"/>
          <w:rFonts w:ascii="Times New Roman" w:eastAsia="Times New Roman" w:hAnsi="Times New Roman" w:cs="Times New Roman"/>
          <w:sz w:val="24"/>
          <w:szCs w:val="24"/>
          <w:lang w:val="en-US"/>
        </w:rPr>
      </w:pPr>
      <w:r>
        <w:rPr>
          <w:rStyle w:val="Strong"/>
        </w:rPr>
        <w:br w:type="page"/>
      </w:r>
    </w:p>
    <w:p w14:paraId="4A822023" w14:textId="77777777" w:rsidR="00F13040" w:rsidRDefault="00F13040" w:rsidP="00F13040">
      <w:pPr>
        <w:pStyle w:val="NormalWeb"/>
      </w:pPr>
      <w:r>
        <w:rPr>
          <w:rStyle w:val="Strong"/>
        </w:rPr>
        <w:lastRenderedPageBreak/>
        <w:t xml:space="preserve">Table 1: </w:t>
      </w:r>
      <w:r w:rsidRPr="00F13040">
        <w:rPr>
          <w:rStyle w:val="Strong"/>
          <w:b w:val="0"/>
        </w:rPr>
        <w:t>K</w:t>
      </w:r>
      <w:r w:rsidRPr="00F13040">
        <w:t>ey digital technology domains, applications and food-security contributions.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3"/>
        <w:gridCol w:w="2676"/>
        <w:gridCol w:w="3186"/>
        <w:gridCol w:w="1831"/>
      </w:tblGrid>
      <w:tr w:rsidR="00F13040" w:rsidRPr="00F13040" w14:paraId="157F7215" w14:textId="77777777" w:rsidTr="00F13040">
        <w:trPr>
          <w:tblHeader/>
          <w:tblCellSpacing w:w="15" w:type="dxa"/>
        </w:trPr>
        <w:tc>
          <w:tcPr>
            <w:tcW w:w="0" w:type="auto"/>
            <w:vAlign w:val="center"/>
            <w:hideMark/>
          </w:tcPr>
          <w:p w14:paraId="7D17B63A" w14:textId="77777777" w:rsidR="00F13040" w:rsidRPr="00F13040" w:rsidRDefault="00F13040">
            <w:pPr>
              <w:jc w:val="center"/>
              <w:rPr>
                <w:b/>
                <w:bCs/>
                <w:sz w:val="18"/>
                <w:szCs w:val="24"/>
              </w:rPr>
            </w:pPr>
            <w:r w:rsidRPr="00F13040">
              <w:rPr>
                <w:b/>
                <w:bCs/>
                <w:sz w:val="18"/>
              </w:rPr>
              <w:t>Digital technology domain</w:t>
            </w:r>
          </w:p>
        </w:tc>
        <w:tc>
          <w:tcPr>
            <w:tcW w:w="0" w:type="auto"/>
            <w:vAlign w:val="center"/>
            <w:hideMark/>
          </w:tcPr>
          <w:p w14:paraId="11B6D545" w14:textId="77777777" w:rsidR="00F13040" w:rsidRPr="00F13040" w:rsidRDefault="00F13040">
            <w:pPr>
              <w:jc w:val="center"/>
              <w:rPr>
                <w:b/>
                <w:bCs/>
                <w:sz w:val="18"/>
                <w:szCs w:val="24"/>
              </w:rPr>
            </w:pPr>
            <w:r w:rsidRPr="00F13040">
              <w:rPr>
                <w:b/>
                <w:bCs/>
                <w:sz w:val="18"/>
              </w:rPr>
              <w:t>Typical tools and applications</w:t>
            </w:r>
          </w:p>
        </w:tc>
        <w:tc>
          <w:tcPr>
            <w:tcW w:w="0" w:type="auto"/>
            <w:vAlign w:val="center"/>
            <w:hideMark/>
          </w:tcPr>
          <w:p w14:paraId="2E2077D5" w14:textId="77777777" w:rsidR="00F13040" w:rsidRPr="00F13040" w:rsidRDefault="00F13040">
            <w:pPr>
              <w:jc w:val="center"/>
              <w:rPr>
                <w:b/>
                <w:bCs/>
                <w:sz w:val="18"/>
                <w:szCs w:val="24"/>
              </w:rPr>
            </w:pPr>
            <w:r w:rsidRPr="00F13040">
              <w:rPr>
                <w:b/>
                <w:bCs/>
                <w:sz w:val="18"/>
              </w:rPr>
              <w:t>Main contributions to food-security dimensions</w:t>
            </w:r>
          </w:p>
        </w:tc>
        <w:tc>
          <w:tcPr>
            <w:tcW w:w="0" w:type="auto"/>
            <w:vAlign w:val="center"/>
            <w:hideMark/>
          </w:tcPr>
          <w:p w14:paraId="2EA1EFF6" w14:textId="77777777" w:rsidR="00F13040" w:rsidRPr="00F13040" w:rsidRDefault="00F13040">
            <w:pPr>
              <w:jc w:val="center"/>
              <w:rPr>
                <w:b/>
                <w:bCs/>
                <w:sz w:val="18"/>
                <w:szCs w:val="24"/>
              </w:rPr>
            </w:pPr>
            <w:r w:rsidRPr="00F13040">
              <w:rPr>
                <w:b/>
                <w:bCs/>
                <w:sz w:val="18"/>
              </w:rPr>
              <w:t>Representative references</w:t>
            </w:r>
          </w:p>
        </w:tc>
      </w:tr>
      <w:tr w:rsidR="00F13040" w:rsidRPr="00F13040" w14:paraId="4253AC33" w14:textId="77777777" w:rsidTr="00F13040">
        <w:trPr>
          <w:tblCellSpacing w:w="15" w:type="dxa"/>
        </w:trPr>
        <w:tc>
          <w:tcPr>
            <w:tcW w:w="0" w:type="auto"/>
            <w:vAlign w:val="center"/>
            <w:hideMark/>
          </w:tcPr>
          <w:p w14:paraId="55484E91" w14:textId="77777777" w:rsidR="00F13040" w:rsidRPr="00F13040" w:rsidRDefault="00F13040">
            <w:pPr>
              <w:rPr>
                <w:sz w:val="18"/>
                <w:szCs w:val="24"/>
              </w:rPr>
            </w:pPr>
            <w:r w:rsidRPr="00F13040">
              <w:rPr>
                <w:sz w:val="18"/>
              </w:rPr>
              <w:t>Sensing, IoT and edge devices</w:t>
            </w:r>
          </w:p>
        </w:tc>
        <w:tc>
          <w:tcPr>
            <w:tcW w:w="0" w:type="auto"/>
            <w:vAlign w:val="center"/>
            <w:hideMark/>
          </w:tcPr>
          <w:p w14:paraId="51FB00B1" w14:textId="77777777" w:rsidR="00F13040" w:rsidRPr="00F13040" w:rsidRDefault="00F13040">
            <w:pPr>
              <w:rPr>
                <w:sz w:val="18"/>
                <w:szCs w:val="24"/>
              </w:rPr>
            </w:pPr>
            <w:r w:rsidRPr="00F13040">
              <w:rPr>
                <w:sz w:val="18"/>
              </w:rPr>
              <w:t>Soil, plant and animal sensors; on-farm weather stations; connected irrigation and feeding systems; edge-computing units on machinery and controllers</w:t>
            </w:r>
          </w:p>
        </w:tc>
        <w:tc>
          <w:tcPr>
            <w:tcW w:w="0" w:type="auto"/>
            <w:vAlign w:val="center"/>
            <w:hideMark/>
          </w:tcPr>
          <w:p w14:paraId="25567559" w14:textId="77777777" w:rsidR="00F13040" w:rsidRPr="00F13040" w:rsidRDefault="00F13040">
            <w:pPr>
              <w:rPr>
                <w:sz w:val="18"/>
                <w:szCs w:val="24"/>
              </w:rPr>
            </w:pPr>
            <w:r w:rsidRPr="00F13040">
              <w:rPr>
                <w:sz w:val="18"/>
              </w:rPr>
              <w:t>Improves availability and stability through fine-grained monitoring of water, nutrients, health and microclimate; enables timely interventions that reduce yield losses and resource waste</w:t>
            </w:r>
          </w:p>
        </w:tc>
        <w:tc>
          <w:tcPr>
            <w:tcW w:w="0" w:type="auto"/>
            <w:vAlign w:val="center"/>
            <w:hideMark/>
          </w:tcPr>
          <w:p w14:paraId="00E09228" w14:textId="77777777" w:rsidR="00F13040" w:rsidRPr="00F13040" w:rsidRDefault="00F13040">
            <w:pPr>
              <w:rPr>
                <w:sz w:val="18"/>
                <w:szCs w:val="24"/>
              </w:rPr>
            </w:pPr>
            <w:r w:rsidRPr="00F13040">
              <w:rPr>
                <w:sz w:val="18"/>
              </w:rPr>
              <w:t>Mansoor et al. (2025); Misra et al. (2020); Monteiro et al. (2021)</w:t>
            </w:r>
          </w:p>
        </w:tc>
      </w:tr>
      <w:tr w:rsidR="00F13040" w:rsidRPr="00F13040" w14:paraId="5AA1449F" w14:textId="77777777" w:rsidTr="00F13040">
        <w:trPr>
          <w:tblCellSpacing w:w="15" w:type="dxa"/>
        </w:trPr>
        <w:tc>
          <w:tcPr>
            <w:tcW w:w="0" w:type="auto"/>
            <w:vAlign w:val="center"/>
            <w:hideMark/>
          </w:tcPr>
          <w:p w14:paraId="1F01E5B1" w14:textId="77777777" w:rsidR="00F13040" w:rsidRPr="00F13040" w:rsidRDefault="00F13040">
            <w:pPr>
              <w:rPr>
                <w:sz w:val="18"/>
                <w:szCs w:val="24"/>
              </w:rPr>
            </w:pPr>
            <w:r w:rsidRPr="00F13040">
              <w:rPr>
                <w:sz w:val="18"/>
              </w:rPr>
              <w:t>Remote sensing and UAVs</w:t>
            </w:r>
          </w:p>
        </w:tc>
        <w:tc>
          <w:tcPr>
            <w:tcW w:w="0" w:type="auto"/>
            <w:vAlign w:val="center"/>
            <w:hideMark/>
          </w:tcPr>
          <w:p w14:paraId="26D568FB" w14:textId="77777777" w:rsidR="00F13040" w:rsidRPr="00F13040" w:rsidRDefault="00F13040">
            <w:pPr>
              <w:rPr>
                <w:sz w:val="18"/>
                <w:szCs w:val="24"/>
              </w:rPr>
            </w:pPr>
            <w:r w:rsidRPr="00F13040">
              <w:rPr>
                <w:sz w:val="18"/>
              </w:rPr>
              <w:t>Satellite imagery (multispectral, radar); UAV-based imaging and thermal sensing; geospatial crop and land-use maps</w:t>
            </w:r>
          </w:p>
        </w:tc>
        <w:tc>
          <w:tcPr>
            <w:tcW w:w="0" w:type="auto"/>
            <w:vAlign w:val="center"/>
            <w:hideMark/>
          </w:tcPr>
          <w:p w14:paraId="64292911" w14:textId="77777777" w:rsidR="00F13040" w:rsidRPr="00F13040" w:rsidRDefault="00F13040">
            <w:pPr>
              <w:rPr>
                <w:sz w:val="18"/>
                <w:szCs w:val="24"/>
              </w:rPr>
            </w:pPr>
            <w:r w:rsidRPr="00F13040">
              <w:rPr>
                <w:sz w:val="18"/>
              </w:rPr>
              <w:t>Supports availability and stability by informing variable-rate management, yield forecasting and early warning for droughts, floods and pest outbreaks at field to national scales</w:t>
            </w:r>
          </w:p>
        </w:tc>
        <w:tc>
          <w:tcPr>
            <w:tcW w:w="0" w:type="auto"/>
            <w:vAlign w:val="center"/>
            <w:hideMark/>
          </w:tcPr>
          <w:p w14:paraId="1A1960BF" w14:textId="77777777" w:rsidR="00F13040" w:rsidRPr="00F13040" w:rsidRDefault="00F13040">
            <w:pPr>
              <w:rPr>
                <w:sz w:val="18"/>
                <w:szCs w:val="24"/>
              </w:rPr>
            </w:pPr>
            <w:proofErr w:type="spellStart"/>
            <w:r w:rsidRPr="00F13040">
              <w:rPr>
                <w:sz w:val="18"/>
              </w:rPr>
              <w:t>Shamshiri</w:t>
            </w:r>
            <w:proofErr w:type="spellEnd"/>
            <w:r w:rsidRPr="00F13040">
              <w:rPr>
                <w:sz w:val="18"/>
              </w:rPr>
              <w:t xml:space="preserve"> et al. (2024); Xu et al. (2024); Fuentes-</w:t>
            </w:r>
            <w:proofErr w:type="spellStart"/>
            <w:r w:rsidRPr="00F13040">
              <w:rPr>
                <w:sz w:val="18"/>
              </w:rPr>
              <w:t>Peñailillo</w:t>
            </w:r>
            <w:proofErr w:type="spellEnd"/>
            <w:r w:rsidRPr="00F13040">
              <w:rPr>
                <w:sz w:val="18"/>
              </w:rPr>
              <w:t xml:space="preserve"> et al. (2024)</w:t>
            </w:r>
          </w:p>
        </w:tc>
      </w:tr>
      <w:tr w:rsidR="00F13040" w:rsidRPr="00F13040" w14:paraId="38611C36" w14:textId="77777777" w:rsidTr="00F13040">
        <w:trPr>
          <w:tblCellSpacing w:w="15" w:type="dxa"/>
        </w:trPr>
        <w:tc>
          <w:tcPr>
            <w:tcW w:w="0" w:type="auto"/>
            <w:vAlign w:val="center"/>
            <w:hideMark/>
          </w:tcPr>
          <w:p w14:paraId="77D25B4E" w14:textId="77777777" w:rsidR="00F13040" w:rsidRPr="00F13040" w:rsidRDefault="00F13040">
            <w:pPr>
              <w:rPr>
                <w:sz w:val="18"/>
                <w:szCs w:val="24"/>
              </w:rPr>
            </w:pPr>
            <w:r w:rsidRPr="00F13040">
              <w:rPr>
                <w:sz w:val="18"/>
              </w:rPr>
              <w:t>Data platforms, big data and AI/ML decision support</w:t>
            </w:r>
          </w:p>
        </w:tc>
        <w:tc>
          <w:tcPr>
            <w:tcW w:w="0" w:type="auto"/>
            <w:vAlign w:val="center"/>
            <w:hideMark/>
          </w:tcPr>
          <w:p w14:paraId="5C05AD7B" w14:textId="77777777" w:rsidR="00F13040" w:rsidRPr="00F13040" w:rsidRDefault="00F13040">
            <w:pPr>
              <w:rPr>
                <w:sz w:val="18"/>
                <w:szCs w:val="24"/>
              </w:rPr>
            </w:pPr>
            <w:r w:rsidRPr="00F13040">
              <w:rPr>
                <w:sz w:val="18"/>
              </w:rPr>
              <w:t>Cloud-based FMIS; data lakes; predictive models for yield, disease and stress; prescriptive optimization tools</w:t>
            </w:r>
          </w:p>
        </w:tc>
        <w:tc>
          <w:tcPr>
            <w:tcW w:w="0" w:type="auto"/>
            <w:vAlign w:val="center"/>
            <w:hideMark/>
          </w:tcPr>
          <w:p w14:paraId="60DD221F" w14:textId="77777777" w:rsidR="00F13040" w:rsidRPr="00F13040" w:rsidRDefault="00F13040">
            <w:pPr>
              <w:rPr>
                <w:sz w:val="18"/>
                <w:szCs w:val="24"/>
              </w:rPr>
            </w:pPr>
            <w:r w:rsidRPr="00F13040">
              <w:rPr>
                <w:sz w:val="18"/>
              </w:rPr>
              <w:t>Enhances availability, stability and sustainability through improved prediction, scenario analysis and optimization of resource use and risk management; raises new issues around bias and transparency</w:t>
            </w:r>
          </w:p>
        </w:tc>
        <w:tc>
          <w:tcPr>
            <w:tcW w:w="0" w:type="auto"/>
            <w:vAlign w:val="center"/>
            <w:hideMark/>
          </w:tcPr>
          <w:p w14:paraId="1E72E252" w14:textId="77777777" w:rsidR="00F13040" w:rsidRPr="00F13040" w:rsidRDefault="00F13040">
            <w:pPr>
              <w:rPr>
                <w:sz w:val="18"/>
                <w:szCs w:val="24"/>
              </w:rPr>
            </w:pPr>
            <w:r w:rsidRPr="00F13040">
              <w:rPr>
                <w:sz w:val="18"/>
              </w:rPr>
              <w:t>Wolfert et al. (2017); Sharma et al. (2021); Pandey and Mishra (2024)</w:t>
            </w:r>
          </w:p>
        </w:tc>
      </w:tr>
      <w:tr w:rsidR="00F13040" w:rsidRPr="00F13040" w14:paraId="1CA17B00" w14:textId="77777777" w:rsidTr="00F13040">
        <w:trPr>
          <w:tblCellSpacing w:w="15" w:type="dxa"/>
        </w:trPr>
        <w:tc>
          <w:tcPr>
            <w:tcW w:w="0" w:type="auto"/>
            <w:vAlign w:val="center"/>
            <w:hideMark/>
          </w:tcPr>
          <w:p w14:paraId="008414D8" w14:textId="77777777" w:rsidR="00F13040" w:rsidRPr="00F13040" w:rsidRDefault="00F13040">
            <w:pPr>
              <w:rPr>
                <w:sz w:val="18"/>
                <w:szCs w:val="24"/>
              </w:rPr>
            </w:pPr>
            <w:r w:rsidRPr="00F13040">
              <w:rPr>
                <w:sz w:val="18"/>
              </w:rPr>
              <w:t>Digital advisory, extension and information services</w:t>
            </w:r>
          </w:p>
        </w:tc>
        <w:tc>
          <w:tcPr>
            <w:tcW w:w="0" w:type="auto"/>
            <w:vAlign w:val="center"/>
            <w:hideMark/>
          </w:tcPr>
          <w:p w14:paraId="6620520C" w14:textId="77777777" w:rsidR="00F13040" w:rsidRPr="00F13040" w:rsidRDefault="00F13040">
            <w:pPr>
              <w:rPr>
                <w:sz w:val="18"/>
                <w:szCs w:val="24"/>
              </w:rPr>
            </w:pPr>
            <w:r w:rsidRPr="00F13040">
              <w:rPr>
                <w:sz w:val="18"/>
              </w:rPr>
              <w:t>SMS and IVR hotlines; smartphone apps; social-media channels; blended digital–in-person extension models</w:t>
            </w:r>
          </w:p>
        </w:tc>
        <w:tc>
          <w:tcPr>
            <w:tcW w:w="0" w:type="auto"/>
            <w:vAlign w:val="center"/>
            <w:hideMark/>
          </w:tcPr>
          <w:p w14:paraId="00F87D51" w14:textId="77777777" w:rsidR="00F13040" w:rsidRPr="00F13040" w:rsidRDefault="00F13040">
            <w:pPr>
              <w:rPr>
                <w:sz w:val="18"/>
                <w:szCs w:val="24"/>
              </w:rPr>
            </w:pPr>
            <w:r w:rsidRPr="00F13040">
              <w:rPr>
                <w:sz w:val="18"/>
              </w:rPr>
              <w:t>Strengthens availability, access and agency by reducing information asymmetries, supporting practice change, and enabling more inclusive participation in knowledge networks</w:t>
            </w:r>
          </w:p>
        </w:tc>
        <w:tc>
          <w:tcPr>
            <w:tcW w:w="0" w:type="auto"/>
            <w:vAlign w:val="center"/>
            <w:hideMark/>
          </w:tcPr>
          <w:p w14:paraId="57EC3B08" w14:textId="77777777" w:rsidR="00F13040" w:rsidRPr="00F13040" w:rsidRDefault="00F13040">
            <w:pPr>
              <w:rPr>
                <w:sz w:val="18"/>
                <w:szCs w:val="24"/>
              </w:rPr>
            </w:pPr>
            <w:r w:rsidRPr="00F13040">
              <w:rPr>
                <w:sz w:val="18"/>
              </w:rPr>
              <w:t xml:space="preserve">Porciello et al. (2022); </w:t>
            </w:r>
            <w:proofErr w:type="spellStart"/>
            <w:r w:rsidRPr="00F13040">
              <w:rPr>
                <w:sz w:val="18"/>
              </w:rPr>
              <w:t>Choruma</w:t>
            </w:r>
            <w:proofErr w:type="spellEnd"/>
            <w:r w:rsidRPr="00F13040">
              <w:rPr>
                <w:sz w:val="18"/>
              </w:rPr>
              <w:t xml:space="preserve"> et al. (2024); Manzoor et al. (2025)</w:t>
            </w:r>
          </w:p>
        </w:tc>
      </w:tr>
      <w:tr w:rsidR="00F13040" w:rsidRPr="00F13040" w14:paraId="32AFE339" w14:textId="77777777" w:rsidTr="00F13040">
        <w:trPr>
          <w:tblCellSpacing w:w="15" w:type="dxa"/>
        </w:trPr>
        <w:tc>
          <w:tcPr>
            <w:tcW w:w="0" w:type="auto"/>
            <w:vAlign w:val="center"/>
            <w:hideMark/>
          </w:tcPr>
          <w:p w14:paraId="79F86CD0" w14:textId="77777777" w:rsidR="00F13040" w:rsidRPr="00F13040" w:rsidRDefault="00F13040">
            <w:pPr>
              <w:rPr>
                <w:sz w:val="18"/>
                <w:szCs w:val="24"/>
              </w:rPr>
            </w:pPr>
            <w:r w:rsidRPr="00F13040">
              <w:rPr>
                <w:sz w:val="18"/>
              </w:rPr>
              <w:t>Digital value chains, e-commerce and fintech</w:t>
            </w:r>
          </w:p>
        </w:tc>
        <w:tc>
          <w:tcPr>
            <w:tcW w:w="0" w:type="auto"/>
            <w:vAlign w:val="center"/>
            <w:hideMark/>
          </w:tcPr>
          <w:p w14:paraId="4A736225" w14:textId="77777777" w:rsidR="00F13040" w:rsidRPr="00F13040" w:rsidRDefault="00F13040">
            <w:pPr>
              <w:rPr>
                <w:sz w:val="18"/>
                <w:szCs w:val="24"/>
              </w:rPr>
            </w:pPr>
            <w:r w:rsidRPr="00F13040">
              <w:rPr>
                <w:sz w:val="18"/>
              </w:rPr>
              <w:t>Online marketplaces; logistics and routing platforms; mobile money; digital credit and insurance; warehouse-receipt and contract platforms</w:t>
            </w:r>
          </w:p>
        </w:tc>
        <w:tc>
          <w:tcPr>
            <w:tcW w:w="0" w:type="auto"/>
            <w:vAlign w:val="center"/>
            <w:hideMark/>
          </w:tcPr>
          <w:p w14:paraId="47890593" w14:textId="77777777" w:rsidR="00F13040" w:rsidRPr="00F13040" w:rsidRDefault="00F13040">
            <w:pPr>
              <w:rPr>
                <w:sz w:val="18"/>
                <w:szCs w:val="24"/>
              </w:rPr>
            </w:pPr>
            <w:r w:rsidRPr="00F13040">
              <w:rPr>
                <w:sz w:val="18"/>
              </w:rPr>
              <w:t>Improves economic access and stability by expanding market reach, lowering transaction costs and enabling investment and risk-transfer; may also influence sustainability via improved logistics</w:t>
            </w:r>
          </w:p>
        </w:tc>
        <w:tc>
          <w:tcPr>
            <w:tcW w:w="0" w:type="auto"/>
            <w:vAlign w:val="center"/>
            <w:hideMark/>
          </w:tcPr>
          <w:p w14:paraId="6EA7B3F6" w14:textId="77777777" w:rsidR="00F13040" w:rsidRPr="00F13040" w:rsidRDefault="00DC6BC2">
            <w:pPr>
              <w:rPr>
                <w:sz w:val="18"/>
                <w:szCs w:val="24"/>
              </w:rPr>
            </w:pPr>
            <w:r w:rsidRPr="00DC6BC2">
              <w:rPr>
                <w:sz w:val="18"/>
              </w:rPr>
              <w:t xml:space="preserve">Lei et al., </w:t>
            </w:r>
            <w:r>
              <w:rPr>
                <w:sz w:val="18"/>
              </w:rPr>
              <w:t>(</w:t>
            </w:r>
            <w:r w:rsidRPr="00DC6BC2">
              <w:rPr>
                <w:sz w:val="18"/>
              </w:rPr>
              <w:t>2023</w:t>
            </w:r>
            <w:r>
              <w:rPr>
                <w:sz w:val="18"/>
              </w:rPr>
              <w:t>)</w:t>
            </w:r>
            <w:r w:rsidR="00F13040" w:rsidRPr="00F13040">
              <w:rPr>
                <w:sz w:val="18"/>
              </w:rPr>
              <w:t>; Manzoor et al. (2025)</w:t>
            </w:r>
          </w:p>
        </w:tc>
      </w:tr>
      <w:tr w:rsidR="00F13040" w:rsidRPr="00F13040" w14:paraId="52B9EB39" w14:textId="77777777" w:rsidTr="00F13040">
        <w:trPr>
          <w:tblCellSpacing w:w="15" w:type="dxa"/>
        </w:trPr>
        <w:tc>
          <w:tcPr>
            <w:tcW w:w="0" w:type="auto"/>
            <w:vAlign w:val="center"/>
            <w:hideMark/>
          </w:tcPr>
          <w:p w14:paraId="20ACC91E" w14:textId="77777777" w:rsidR="00F13040" w:rsidRPr="00F13040" w:rsidRDefault="00F13040">
            <w:pPr>
              <w:rPr>
                <w:sz w:val="18"/>
                <w:szCs w:val="24"/>
              </w:rPr>
            </w:pPr>
            <w:r w:rsidRPr="00F13040">
              <w:rPr>
                <w:sz w:val="18"/>
              </w:rPr>
              <w:t>Traceability, quality and food-safety systems</w:t>
            </w:r>
          </w:p>
        </w:tc>
        <w:tc>
          <w:tcPr>
            <w:tcW w:w="0" w:type="auto"/>
            <w:vAlign w:val="center"/>
            <w:hideMark/>
          </w:tcPr>
          <w:p w14:paraId="1FAC3B59" w14:textId="77777777" w:rsidR="00F13040" w:rsidRPr="00F13040" w:rsidRDefault="00F13040">
            <w:pPr>
              <w:rPr>
                <w:sz w:val="18"/>
                <w:szCs w:val="24"/>
              </w:rPr>
            </w:pPr>
            <w:r w:rsidRPr="00F13040">
              <w:rPr>
                <w:sz w:val="18"/>
              </w:rPr>
              <w:t>IoT-based cold-chain monitoring; spectroscopy and biosensors; blockchain and distributed ledgers; QR/RFID-based tracking</w:t>
            </w:r>
          </w:p>
        </w:tc>
        <w:tc>
          <w:tcPr>
            <w:tcW w:w="0" w:type="auto"/>
            <w:vAlign w:val="center"/>
            <w:hideMark/>
          </w:tcPr>
          <w:p w14:paraId="2D6D88B2" w14:textId="77777777" w:rsidR="00F13040" w:rsidRPr="00F13040" w:rsidRDefault="00F13040">
            <w:pPr>
              <w:rPr>
                <w:sz w:val="18"/>
                <w:szCs w:val="24"/>
              </w:rPr>
            </w:pPr>
            <w:r w:rsidRPr="00F13040">
              <w:rPr>
                <w:sz w:val="18"/>
              </w:rPr>
              <w:t>Supports utilization and stability by reducing food losses, improving safety and enabling rapid recall; can enhance consumer trust but may exclude small actors lacking digital capacity</w:t>
            </w:r>
          </w:p>
        </w:tc>
        <w:tc>
          <w:tcPr>
            <w:tcW w:w="0" w:type="auto"/>
            <w:vAlign w:val="center"/>
            <w:hideMark/>
          </w:tcPr>
          <w:p w14:paraId="5E21D374" w14:textId="77777777" w:rsidR="00F13040" w:rsidRPr="00F13040" w:rsidRDefault="00F13040">
            <w:pPr>
              <w:rPr>
                <w:sz w:val="18"/>
                <w:szCs w:val="24"/>
              </w:rPr>
            </w:pPr>
            <w:r w:rsidRPr="00F13040">
              <w:rPr>
                <w:sz w:val="18"/>
              </w:rPr>
              <w:t>Misra et al. (2020); Monteiro et al. (2021); Xu et al. (2024)</w:t>
            </w:r>
          </w:p>
        </w:tc>
      </w:tr>
    </w:tbl>
    <w:p w14:paraId="4181BAA1" w14:textId="77777777" w:rsidR="00C13468" w:rsidRDefault="00C13468" w:rsidP="00C13468"/>
    <w:p w14:paraId="28E192EC" w14:textId="77777777" w:rsidR="008A4BFC" w:rsidRDefault="008A4BFC" w:rsidP="008A4BFC">
      <w:pPr>
        <w:pStyle w:val="Heading3"/>
      </w:pPr>
      <w:r>
        <w:t>4. Impacts on Productivity, Resilience, and Sustainability</w:t>
      </w:r>
    </w:p>
    <w:p w14:paraId="70CE38CE" w14:textId="77777777" w:rsidR="008A4BFC" w:rsidRDefault="008A4BFC" w:rsidP="008A4BFC">
      <w:pPr>
        <w:pStyle w:val="NormalWeb"/>
      </w:pPr>
      <w:r>
        <w:t>Digital agriculture is widely promoted as a pathway to achieve the “triple win” of higher productivity, greater resilience and lower environmental footprints, thereby enhancing food security. However, the empirical record shows that outcomes are highly context-specific and depend on complementary investments in infrastructure, governance and human capacity. This section synthesizes recent evidence on how digitalization is reshaping agricultural performance, climate-risk management and environmental sustainability, while also highlighting emerging trade-offs and distributional concerns (</w:t>
      </w:r>
      <w:proofErr w:type="spellStart"/>
      <w:r>
        <w:t>Balasundram</w:t>
      </w:r>
      <w:proofErr w:type="spellEnd"/>
      <w:r>
        <w:t xml:space="preserve"> et al., 2023; Finger, 2023; MacPherson et al., 2022). </w:t>
      </w:r>
    </w:p>
    <w:p w14:paraId="32662535" w14:textId="77777777" w:rsidR="008A4BFC" w:rsidRDefault="008A4BFC" w:rsidP="008A4BFC">
      <w:pPr>
        <w:pStyle w:val="Heading4"/>
      </w:pPr>
      <w:r>
        <w:lastRenderedPageBreak/>
        <w:t>4.1 Productivity and input-use efficiency</w:t>
      </w:r>
    </w:p>
    <w:p w14:paraId="13AE2B2A" w14:textId="77777777" w:rsidR="008A4BFC" w:rsidRDefault="008A4BFC" w:rsidP="008A4BFC">
      <w:pPr>
        <w:pStyle w:val="NormalWeb"/>
      </w:pPr>
      <w:r>
        <w:t>A central justification for digital agriculture is its potential to raise yields and farm incomes while improving the efficiency of input use. Meta-analytic evidence indicates that digitally delivered information services can indeed generate modest but robust productivity gains. Synthesizing 20 experimental and quasi-experimental studies from Africa and Asia, Beach et al. (2025) estimate that digital information interventions increase fertilizer adoption by around one-quarter, crop yields by about 6%, and farm income by roughly 6% on average, although effect sizes vary widely across interventions and contexts. These results confirm that better-timed and more site-specific agronomic advice, enabled by mobile phones, interactive voice response, and app-based advisory systems, can relax information constraints that have historically depressed smallholder productivity.</w:t>
      </w:r>
    </w:p>
    <w:p w14:paraId="1BBA939F" w14:textId="77777777" w:rsidR="008A4BFC" w:rsidRDefault="008A4BFC" w:rsidP="008A4BFC">
      <w:pPr>
        <w:pStyle w:val="NormalWeb"/>
      </w:pPr>
      <w:r>
        <w:t>Micro-level evidence from personalized advisory platforms reinforces this pattern. In India, Rajkhowa and Qaim (2021) show that adoption of a digital extension service providing tailored crop and input recommendations is associated with higher input intensity, greater crop diversity, roughly 18% higher crop productivity, and 18–29% higher crop income among smallholder vegetable farmers, after accounting for selection bias (Rajkhowa &amp; Qaim, 2021). These findings suggest that when digital tools go beyond generic messages and exploit farm-specific data on soils, weather and markets, they can accelerate the diffusion of improved varieties, fertilizers and agronomic practices.</w:t>
      </w:r>
    </w:p>
    <w:p w14:paraId="5FBDF86D" w14:textId="77777777" w:rsidR="008A4BFC" w:rsidRDefault="008A4BFC" w:rsidP="008A4BFC">
      <w:pPr>
        <w:pStyle w:val="NormalWeb"/>
      </w:pPr>
      <w:r>
        <w:t>At broader scales, digitalization of the rural economy appears to support food availability. Using panel data from 42 developing countries, Subramaniam et al. (2025) find that higher levels of digitalization—measured through composite indicators of ICT penetration—are positively associated with national food supply and negatively associated with food insecurity indicators, even after instrumenting for endogeneity (Subramaniam et al., 2025). While this study does not isolate agricultural technologies per se, it underscores that digital infrastructure is now integral to food system performance, influencing logistics, price discovery and risk management in addition to on-farm production.</w:t>
      </w:r>
    </w:p>
    <w:p w14:paraId="15F05A3F" w14:textId="77777777" w:rsidR="008A4BFC" w:rsidRDefault="008A4BFC" w:rsidP="008A4BFC">
      <w:pPr>
        <w:pStyle w:val="NormalWeb"/>
      </w:pPr>
      <w:r>
        <w:t>Nevertheless, productivity impacts are not automatic. Beach et al. (2025) emphasize that the distribution of effect sizes is skewed: many interventions yield small or statistically insignificant gains, and evidence remains heavily concentrated in a few countries and crops. MacPherson et al. (2022) similarly argue that digital tools deliver productivity gains mainly when embedded in broader innovation systems that provide high-quality advisory content, input and output market linkages, and institutional support for experimentation and learning. Without such enabling conditions, digitalization risks reinforcing existing inequalities in access to information and markets rather than closing productivity gaps.</w:t>
      </w:r>
    </w:p>
    <w:p w14:paraId="40C2E4E6" w14:textId="77777777" w:rsidR="008A4BFC" w:rsidRDefault="008A4BFC" w:rsidP="008A4BFC">
      <w:pPr>
        <w:pStyle w:val="Heading4"/>
      </w:pPr>
      <w:r>
        <w:t>4.2 Climate resilience and risk management</w:t>
      </w:r>
    </w:p>
    <w:p w14:paraId="0FD4265F" w14:textId="77777777" w:rsidR="008A4BFC" w:rsidRDefault="008A4BFC" w:rsidP="008A4BFC">
      <w:pPr>
        <w:pStyle w:val="NormalWeb"/>
      </w:pPr>
      <w:r>
        <w:t>Digital technologies are also reshaping how farmers anticipate, absorb and recover from climatic and market shocks. Climate-informed advisory services that integrate seasonal forecasts, real-time weather data and crop-specific recommendations can help farmers adjust sowing dates, variety choice and input strategies in ways that reduce yield variability. Reviews of digital agriculture case studies highlight how remote sensing, sensor networks, and decision-support tools enable more precise irrigation scheduling, early detection of crop stress, and rapid response to pest and disease outbreaks (</w:t>
      </w:r>
      <w:proofErr w:type="spellStart"/>
      <w:r>
        <w:t>Shamshiri</w:t>
      </w:r>
      <w:proofErr w:type="spellEnd"/>
      <w:r>
        <w:t xml:space="preserve"> et al., 2024). </w:t>
      </w:r>
    </w:p>
    <w:p w14:paraId="58D0C3AE" w14:textId="77777777" w:rsidR="008A4BFC" w:rsidRDefault="008A4BFC" w:rsidP="008A4BFC">
      <w:pPr>
        <w:pStyle w:val="NormalWeb"/>
      </w:pPr>
      <w:proofErr w:type="spellStart"/>
      <w:r>
        <w:lastRenderedPageBreak/>
        <w:t>Balasundram</w:t>
      </w:r>
      <w:proofErr w:type="spellEnd"/>
      <w:r>
        <w:t xml:space="preserve"> et al. (2023) synthesize evidence on the role of digital agriculture in climate mitigation and adaptation, concluding that technologies such as variable-rate input application, automated greenhouse systems and sensor-guided irrigation can reduce exposure to climate risks while maintaining or increasing yields. They note, however, that most empirical studies remain plot- or farm-scale and rarely track outcomes over full climate cycles, making it difficult to quantify long-term resilience benefits (</w:t>
      </w:r>
      <w:proofErr w:type="spellStart"/>
      <w:r>
        <w:t>Balasundram</w:t>
      </w:r>
      <w:proofErr w:type="spellEnd"/>
      <w:r>
        <w:t xml:space="preserve"> et al., 2023). Finger (2023) further argues that digital innovations can strengthen resilience not only by buffering yield shocks but also by enabling more flexible decision-making and diversification strategies, for example through improved access to real-time market information and risk-management tools such as index insurance. </w:t>
      </w:r>
    </w:p>
    <w:p w14:paraId="5BEFDAC0" w14:textId="77777777" w:rsidR="008A4BFC" w:rsidRDefault="008A4BFC" w:rsidP="008A4BFC">
      <w:pPr>
        <w:pStyle w:val="NormalWeb"/>
      </w:pPr>
      <w:r>
        <w:t>At macro level, the positive association between digitalization and food security identified by Subramaniam et al. (2025) suggests that improved information flows and connectivity may also stabilize food supplies and reduce the prevalence of undernourishment during periods of stress, especially when digital technologies support both producers and downstream supply-chain actors. Yet resilience gains are not evenly distributed. MacPherson et al. (2022) caution that digital agriculture can expose farmers to new vulnerabilities—including cyber-risks, dependence on proprietary platforms, and the possibility that algorithmic recommendations optimized for short-term yields may exacerbate long-term climate risks if not properly governed. These concerns underline the importance of integrating digital tools into broader climate-risk governance frameworks rather than treating them as purely technical fixes.</w:t>
      </w:r>
    </w:p>
    <w:p w14:paraId="1BA7F136" w14:textId="77777777" w:rsidR="008A4BFC" w:rsidRDefault="008A4BFC" w:rsidP="008A4BFC">
      <w:pPr>
        <w:pStyle w:val="Heading4"/>
      </w:pPr>
      <w:r>
        <w:t>4.3 Environmental sustainability and socio-economic trade-offs</w:t>
      </w:r>
    </w:p>
    <w:p w14:paraId="14DD68F4" w14:textId="77777777" w:rsidR="008A4BFC" w:rsidRDefault="008A4BFC" w:rsidP="008A4BFC">
      <w:pPr>
        <w:pStyle w:val="NormalWeb"/>
      </w:pPr>
      <w:r>
        <w:t xml:space="preserve">Evidence is rapidly accumulating that digitalization can improve the environmental performance of agriculture, often measured via “green total factor productivity” (GTFP), which weights outputs and inputs while penalizing pollution. Using China’s “Broadband China” initiative as a quasi-natural experiment, Cai and Wang (2025) find that expansion of the rural digital economy significantly increases agricultural GTFP, mainly through improved resource-use efficiency and technological progress. Complementary work by Gong and Tang (2025) shows that digital technology innovation raises agricultural green productivity through three channels: optimizing input structures, promoting cleaner production technologies, and enhancing environmental regulation enforcement (for example via more transparent pollution monitoring). </w:t>
      </w:r>
    </w:p>
    <w:p w14:paraId="0D10254C" w14:textId="77777777" w:rsidR="008A4BFC" w:rsidRDefault="008A4BFC" w:rsidP="008A4BFC">
      <w:pPr>
        <w:pStyle w:val="NormalWeb"/>
      </w:pPr>
      <w:r>
        <w:t xml:space="preserve">At farm level, Liu and Liu (2023) report that Chinese farms with greater access to digital technologies adopt more environmentally friendly practices—such as soil testing and formula fertilization, integrated pest management and precision irrigation—and achieve higher productivity with lower chemical input intensity. Their findings suggest that digitalization can facilitate a shift towards “sustainable intensification”, where output per unit of land and water increases even as environmental pressures per unit of output decline. These dynamics are echoed in the global review by MacPherson et al. (2022), which concludes that digital tools can theoretically support multiple Sustainable Development Goals by reducing input waste, enabling more accurate environmental monitoring and supporting diversified, climate-smart production systems—provided that they are embedded in appropriate incentive structures and governance arrangements. </w:t>
      </w:r>
    </w:p>
    <w:p w14:paraId="3F73811E" w14:textId="77777777" w:rsidR="008A4BFC" w:rsidRDefault="008A4BFC" w:rsidP="008A4BFC">
      <w:pPr>
        <w:pStyle w:val="NormalWeb"/>
      </w:pPr>
      <w:r>
        <w:t xml:space="preserve">At the same time, emerging scholarship cautions that digital agriculture is not inherently sustainable. </w:t>
      </w:r>
      <w:proofErr w:type="spellStart"/>
      <w:r>
        <w:t>Analysing</w:t>
      </w:r>
      <w:proofErr w:type="spellEnd"/>
      <w:r>
        <w:t xml:space="preserve"> high-level policy narratives from the World Bank, FAO and OECD, Lajoie-O’Malley et al. (2020) show that digitalization is often framed within a “maximum </w:t>
      </w:r>
      <w:r>
        <w:lastRenderedPageBreak/>
        <w:t xml:space="preserve">output” paradigm that assumes higher production will automatically translate into improved food security and sustainability. Such framings risk sidelining concerns about ecosystem services, biodiversity, </w:t>
      </w:r>
      <w:proofErr w:type="spellStart"/>
      <w:r>
        <w:t>labour</w:t>
      </w:r>
      <w:proofErr w:type="spellEnd"/>
      <w:r>
        <w:t xml:space="preserve"> conditions and power asymmetries in data governance. Finger (2023) and MacPherson et al. (2022) similarly highlight potential rebound effects (for example, intensified input use in digitally optimized systems), accelerated land consolidation, and the concentration of informational and market power in a small number of </w:t>
      </w:r>
      <w:proofErr w:type="spellStart"/>
      <w:r>
        <w:t>agritech</w:t>
      </w:r>
      <w:proofErr w:type="spellEnd"/>
      <w:r>
        <w:t xml:space="preserve"> firms. </w:t>
      </w:r>
    </w:p>
    <w:p w14:paraId="4D2D31B1" w14:textId="77777777" w:rsidR="008A4BFC" w:rsidRDefault="008A4BFC" w:rsidP="008A4BFC">
      <w:pPr>
        <w:pStyle w:val="NormalWeb"/>
      </w:pPr>
      <w:r>
        <w:t xml:space="preserve">Taken together, current evidence indicates that digital agriculture can materially improve productivity, resilience and environmental performance, but only under enabling institutional, infrastructural and governance conditions. Productivity gains are typically positive but modest, resilience benefits are promising yet under-measured, and environmental outcomes depend strongly on how technologies are configured, who controls data and value chains, and which visions of “sustainable food systems” guide their deployment (Lajoie-O’Malley et al., 2020; MacPherson et al., 2022). </w:t>
      </w:r>
    </w:p>
    <w:p w14:paraId="59D82C50" w14:textId="77777777" w:rsidR="008A4BFC" w:rsidRDefault="008A4BFC" w:rsidP="008A4BFC">
      <w:pPr>
        <w:pStyle w:val="NormalWeb"/>
      </w:pPr>
      <w:r>
        <w:rPr>
          <w:rStyle w:val="Strong"/>
        </w:rPr>
        <w:t xml:space="preserve">Table </w:t>
      </w:r>
      <w:r w:rsidR="003C6E02">
        <w:rPr>
          <w:rStyle w:val="Strong"/>
        </w:rPr>
        <w:t>2</w:t>
      </w:r>
      <w:r>
        <w:rPr>
          <w:rStyle w:val="Strong"/>
        </w:rPr>
        <w:t xml:space="preserve">. </w:t>
      </w:r>
      <w:r w:rsidR="00831C60">
        <w:rPr>
          <w:rStyle w:val="Strong"/>
        </w:rPr>
        <w:t>I</w:t>
      </w:r>
      <w:r>
        <w:rPr>
          <w:rStyle w:val="Strong"/>
        </w:rPr>
        <w:t>mpacts of digital agriculture on productivity, resilience and sustainability.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4"/>
        <w:gridCol w:w="2243"/>
        <w:gridCol w:w="3268"/>
        <w:gridCol w:w="1951"/>
      </w:tblGrid>
      <w:tr w:rsidR="008A4BFC" w14:paraId="01B74F5E" w14:textId="77777777" w:rsidTr="008A4BFC">
        <w:trPr>
          <w:tblHeader/>
          <w:tblCellSpacing w:w="15" w:type="dxa"/>
        </w:trPr>
        <w:tc>
          <w:tcPr>
            <w:tcW w:w="0" w:type="auto"/>
            <w:vAlign w:val="center"/>
            <w:hideMark/>
          </w:tcPr>
          <w:p w14:paraId="5528F12C" w14:textId="77777777" w:rsidR="008A4BFC" w:rsidRDefault="008A4BFC">
            <w:pPr>
              <w:jc w:val="center"/>
              <w:rPr>
                <w:b/>
                <w:bCs/>
                <w:sz w:val="24"/>
                <w:szCs w:val="24"/>
              </w:rPr>
            </w:pPr>
            <w:r>
              <w:rPr>
                <w:b/>
                <w:bCs/>
              </w:rPr>
              <w:t>Impact domain</w:t>
            </w:r>
          </w:p>
        </w:tc>
        <w:tc>
          <w:tcPr>
            <w:tcW w:w="0" w:type="auto"/>
            <w:vAlign w:val="center"/>
            <w:hideMark/>
          </w:tcPr>
          <w:p w14:paraId="1EB90558" w14:textId="77777777" w:rsidR="008A4BFC" w:rsidRDefault="008A4BFC">
            <w:pPr>
              <w:jc w:val="center"/>
              <w:rPr>
                <w:b/>
                <w:bCs/>
                <w:sz w:val="24"/>
                <w:szCs w:val="24"/>
              </w:rPr>
            </w:pPr>
            <w:r>
              <w:rPr>
                <w:b/>
                <w:bCs/>
              </w:rPr>
              <w:t>Dominant digital pathways described</w:t>
            </w:r>
          </w:p>
        </w:tc>
        <w:tc>
          <w:tcPr>
            <w:tcW w:w="0" w:type="auto"/>
            <w:vAlign w:val="center"/>
            <w:hideMark/>
          </w:tcPr>
          <w:p w14:paraId="3B0ECB13" w14:textId="77777777" w:rsidR="008A4BFC" w:rsidRDefault="008A4BFC">
            <w:pPr>
              <w:jc w:val="center"/>
              <w:rPr>
                <w:b/>
                <w:bCs/>
                <w:sz w:val="24"/>
                <w:szCs w:val="24"/>
              </w:rPr>
            </w:pPr>
            <w:r>
              <w:rPr>
                <w:b/>
                <w:bCs/>
              </w:rPr>
              <w:t>Main outcomes reported</w:t>
            </w:r>
          </w:p>
        </w:tc>
        <w:tc>
          <w:tcPr>
            <w:tcW w:w="0" w:type="auto"/>
            <w:vAlign w:val="center"/>
            <w:hideMark/>
          </w:tcPr>
          <w:p w14:paraId="41916408" w14:textId="77777777" w:rsidR="008A4BFC" w:rsidRDefault="008A4BFC">
            <w:pPr>
              <w:jc w:val="center"/>
              <w:rPr>
                <w:b/>
                <w:bCs/>
                <w:sz w:val="24"/>
                <w:szCs w:val="24"/>
              </w:rPr>
            </w:pPr>
            <w:r>
              <w:rPr>
                <w:b/>
                <w:bCs/>
              </w:rPr>
              <w:t>Representative evidence</w:t>
            </w:r>
          </w:p>
        </w:tc>
      </w:tr>
      <w:tr w:rsidR="008A4BFC" w14:paraId="01C323F9" w14:textId="77777777" w:rsidTr="008A4BFC">
        <w:trPr>
          <w:tblCellSpacing w:w="15" w:type="dxa"/>
        </w:trPr>
        <w:tc>
          <w:tcPr>
            <w:tcW w:w="0" w:type="auto"/>
            <w:vAlign w:val="center"/>
            <w:hideMark/>
          </w:tcPr>
          <w:p w14:paraId="706C6F0F" w14:textId="77777777" w:rsidR="008A4BFC" w:rsidRDefault="008A4BFC">
            <w:pPr>
              <w:rPr>
                <w:sz w:val="24"/>
                <w:szCs w:val="24"/>
              </w:rPr>
            </w:pPr>
            <w:r>
              <w:t>Farm-level productivity and input-use efficiency</w:t>
            </w:r>
          </w:p>
        </w:tc>
        <w:tc>
          <w:tcPr>
            <w:tcW w:w="0" w:type="auto"/>
            <w:vAlign w:val="center"/>
            <w:hideMark/>
          </w:tcPr>
          <w:p w14:paraId="0AED8F36" w14:textId="77777777" w:rsidR="008A4BFC" w:rsidRDefault="008A4BFC">
            <w:pPr>
              <w:rPr>
                <w:sz w:val="24"/>
                <w:szCs w:val="24"/>
              </w:rPr>
            </w:pPr>
            <w:r>
              <w:t>Mobile-based and app-based advisory services; personalized digital extension; ICT-enabled precision input management</w:t>
            </w:r>
          </w:p>
        </w:tc>
        <w:tc>
          <w:tcPr>
            <w:tcW w:w="0" w:type="auto"/>
            <w:vAlign w:val="center"/>
            <w:hideMark/>
          </w:tcPr>
          <w:p w14:paraId="569BBF4A" w14:textId="77777777" w:rsidR="008A4BFC" w:rsidRDefault="008A4BFC">
            <w:pPr>
              <w:rPr>
                <w:sz w:val="24"/>
                <w:szCs w:val="24"/>
              </w:rPr>
            </w:pPr>
            <w:r>
              <w:t>Increased adoption of fertilizer and other modern inputs; average yield and income gains of around 6%; higher input intensity and crop income among adopters; improved crop diversification and commercialization</w:t>
            </w:r>
          </w:p>
        </w:tc>
        <w:tc>
          <w:tcPr>
            <w:tcW w:w="0" w:type="auto"/>
            <w:vAlign w:val="center"/>
            <w:hideMark/>
          </w:tcPr>
          <w:p w14:paraId="30066E53" w14:textId="77777777" w:rsidR="008A4BFC" w:rsidRDefault="008A4BFC">
            <w:pPr>
              <w:rPr>
                <w:sz w:val="24"/>
                <w:szCs w:val="24"/>
              </w:rPr>
            </w:pPr>
            <w:r>
              <w:t>Beach et al. (2025); Rajkhowa &amp; Qaim (2021)</w:t>
            </w:r>
          </w:p>
        </w:tc>
      </w:tr>
      <w:tr w:rsidR="008A4BFC" w14:paraId="57CED873" w14:textId="77777777" w:rsidTr="008A4BFC">
        <w:trPr>
          <w:tblCellSpacing w:w="15" w:type="dxa"/>
        </w:trPr>
        <w:tc>
          <w:tcPr>
            <w:tcW w:w="0" w:type="auto"/>
            <w:vAlign w:val="center"/>
            <w:hideMark/>
          </w:tcPr>
          <w:p w14:paraId="3647B550" w14:textId="77777777" w:rsidR="008A4BFC" w:rsidRDefault="008A4BFC">
            <w:pPr>
              <w:rPr>
                <w:sz w:val="24"/>
                <w:szCs w:val="24"/>
              </w:rPr>
            </w:pPr>
            <w:r>
              <w:t>System-level food security</w:t>
            </w:r>
          </w:p>
        </w:tc>
        <w:tc>
          <w:tcPr>
            <w:tcW w:w="0" w:type="auto"/>
            <w:vAlign w:val="center"/>
            <w:hideMark/>
          </w:tcPr>
          <w:p w14:paraId="78039E32" w14:textId="77777777" w:rsidR="008A4BFC" w:rsidRDefault="008A4BFC">
            <w:pPr>
              <w:rPr>
                <w:sz w:val="24"/>
                <w:szCs w:val="24"/>
              </w:rPr>
            </w:pPr>
            <w:r>
              <w:t>Economy-wide digitalization indicators (ICT penetration, broadband rollout); integration of digital services in food systems</w:t>
            </w:r>
          </w:p>
        </w:tc>
        <w:tc>
          <w:tcPr>
            <w:tcW w:w="0" w:type="auto"/>
            <w:vAlign w:val="center"/>
            <w:hideMark/>
          </w:tcPr>
          <w:p w14:paraId="3DD8D6BB" w14:textId="77777777" w:rsidR="008A4BFC" w:rsidRDefault="008A4BFC">
            <w:pPr>
              <w:rPr>
                <w:sz w:val="24"/>
                <w:szCs w:val="24"/>
              </w:rPr>
            </w:pPr>
            <w:r>
              <w:t>Higher national food supply and reduced food insecurity in more digitalized developing countries; digital infrastructure associated with improved food availability</w:t>
            </w:r>
          </w:p>
        </w:tc>
        <w:tc>
          <w:tcPr>
            <w:tcW w:w="0" w:type="auto"/>
            <w:vAlign w:val="center"/>
            <w:hideMark/>
          </w:tcPr>
          <w:p w14:paraId="42B2936F" w14:textId="77777777" w:rsidR="008A4BFC" w:rsidRDefault="008A4BFC">
            <w:pPr>
              <w:rPr>
                <w:sz w:val="24"/>
                <w:szCs w:val="24"/>
              </w:rPr>
            </w:pPr>
            <w:r>
              <w:t>Subramaniam et al. (2025)</w:t>
            </w:r>
          </w:p>
        </w:tc>
      </w:tr>
      <w:tr w:rsidR="008A4BFC" w14:paraId="3623BB44" w14:textId="77777777" w:rsidTr="008A4BFC">
        <w:trPr>
          <w:tblCellSpacing w:w="15" w:type="dxa"/>
        </w:trPr>
        <w:tc>
          <w:tcPr>
            <w:tcW w:w="0" w:type="auto"/>
            <w:vAlign w:val="center"/>
            <w:hideMark/>
          </w:tcPr>
          <w:p w14:paraId="3552866D" w14:textId="77777777" w:rsidR="008A4BFC" w:rsidRDefault="008A4BFC">
            <w:pPr>
              <w:rPr>
                <w:sz w:val="24"/>
                <w:szCs w:val="24"/>
              </w:rPr>
            </w:pPr>
            <w:r>
              <w:t>Climate resilience and risk management</w:t>
            </w:r>
          </w:p>
        </w:tc>
        <w:tc>
          <w:tcPr>
            <w:tcW w:w="0" w:type="auto"/>
            <w:vAlign w:val="center"/>
            <w:hideMark/>
          </w:tcPr>
          <w:p w14:paraId="39FBC47C" w14:textId="77777777" w:rsidR="008A4BFC" w:rsidRDefault="008A4BFC">
            <w:pPr>
              <w:rPr>
                <w:sz w:val="24"/>
                <w:szCs w:val="24"/>
              </w:rPr>
            </w:pPr>
            <w:r>
              <w:t>Digital climate services, sensor networks, remote sensing, automation and decision-support tools</w:t>
            </w:r>
          </w:p>
        </w:tc>
        <w:tc>
          <w:tcPr>
            <w:tcW w:w="0" w:type="auto"/>
            <w:vAlign w:val="center"/>
            <w:hideMark/>
          </w:tcPr>
          <w:p w14:paraId="0AADAE6E" w14:textId="77777777" w:rsidR="008A4BFC" w:rsidRDefault="008A4BFC">
            <w:pPr>
              <w:rPr>
                <w:sz w:val="24"/>
                <w:szCs w:val="24"/>
              </w:rPr>
            </w:pPr>
            <w:r>
              <w:t>Better timing of agronomic operations; improved drought and heat management; enhanced monitoring of pests and diseases; potential stabilization of yields under climate stress</w:t>
            </w:r>
          </w:p>
        </w:tc>
        <w:tc>
          <w:tcPr>
            <w:tcW w:w="0" w:type="auto"/>
            <w:vAlign w:val="center"/>
            <w:hideMark/>
          </w:tcPr>
          <w:p w14:paraId="44095C38" w14:textId="77777777" w:rsidR="008A4BFC" w:rsidRDefault="008A4BFC">
            <w:pPr>
              <w:rPr>
                <w:sz w:val="24"/>
                <w:szCs w:val="24"/>
              </w:rPr>
            </w:pPr>
            <w:proofErr w:type="spellStart"/>
            <w:r>
              <w:t>Balasundram</w:t>
            </w:r>
            <w:proofErr w:type="spellEnd"/>
            <w:r>
              <w:t xml:space="preserve"> et al. (2023); </w:t>
            </w:r>
            <w:proofErr w:type="spellStart"/>
            <w:r>
              <w:t>Shamshiri</w:t>
            </w:r>
            <w:proofErr w:type="spellEnd"/>
            <w:r>
              <w:t xml:space="preserve"> et al. (2024); Finger (2023)</w:t>
            </w:r>
          </w:p>
        </w:tc>
      </w:tr>
      <w:tr w:rsidR="008A4BFC" w14:paraId="43609D2F" w14:textId="77777777" w:rsidTr="008A4BFC">
        <w:trPr>
          <w:tblCellSpacing w:w="15" w:type="dxa"/>
        </w:trPr>
        <w:tc>
          <w:tcPr>
            <w:tcW w:w="0" w:type="auto"/>
            <w:vAlign w:val="center"/>
            <w:hideMark/>
          </w:tcPr>
          <w:p w14:paraId="13D40143" w14:textId="77777777" w:rsidR="008A4BFC" w:rsidRDefault="008A4BFC">
            <w:pPr>
              <w:rPr>
                <w:sz w:val="24"/>
                <w:szCs w:val="24"/>
              </w:rPr>
            </w:pPr>
            <w:r>
              <w:t>Environmental sustainability and green productivity</w:t>
            </w:r>
          </w:p>
        </w:tc>
        <w:tc>
          <w:tcPr>
            <w:tcW w:w="0" w:type="auto"/>
            <w:vAlign w:val="center"/>
            <w:hideMark/>
          </w:tcPr>
          <w:p w14:paraId="47412DD9" w14:textId="77777777" w:rsidR="008A4BFC" w:rsidRDefault="008A4BFC">
            <w:pPr>
              <w:rPr>
                <w:sz w:val="24"/>
                <w:szCs w:val="24"/>
              </w:rPr>
            </w:pPr>
            <w:r>
              <w:t xml:space="preserve">Digital economy expansion; innovation in </w:t>
            </w:r>
            <w:proofErr w:type="spellStart"/>
            <w:r>
              <w:t>agri</w:t>
            </w:r>
            <w:proofErr w:type="spellEnd"/>
            <w:r>
              <w:t>-digital technologies; precision input management and environmental monitoring</w:t>
            </w:r>
          </w:p>
        </w:tc>
        <w:tc>
          <w:tcPr>
            <w:tcW w:w="0" w:type="auto"/>
            <w:vAlign w:val="center"/>
            <w:hideMark/>
          </w:tcPr>
          <w:p w14:paraId="2A88B4C0" w14:textId="77777777" w:rsidR="008A4BFC" w:rsidRDefault="008A4BFC">
            <w:pPr>
              <w:rPr>
                <w:sz w:val="24"/>
                <w:szCs w:val="24"/>
              </w:rPr>
            </w:pPr>
            <w:r>
              <w:t>Increases in agricultural green total factor productivity; more efficient use of fertilizers, pesticides and water; greater adoption of environmentally friendly practices; potential reductions in pollution intensity</w:t>
            </w:r>
          </w:p>
        </w:tc>
        <w:tc>
          <w:tcPr>
            <w:tcW w:w="0" w:type="auto"/>
            <w:vAlign w:val="center"/>
            <w:hideMark/>
          </w:tcPr>
          <w:p w14:paraId="598AF833" w14:textId="77777777" w:rsidR="008A4BFC" w:rsidRDefault="008A4BFC">
            <w:pPr>
              <w:rPr>
                <w:sz w:val="24"/>
                <w:szCs w:val="24"/>
              </w:rPr>
            </w:pPr>
            <w:r>
              <w:t>Cai &amp; Wang (2025); Gong &amp; Tang (2025); Liu &amp; Liu (2023); MacPherson et al. (2022)</w:t>
            </w:r>
          </w:p>
        </w:tc>
      </w:tr>
      <w:tr w:rsidR="008A4BFC" w14:paraId="7A71FA83" w14:textId="77777777" w:rsidTr="008A4BFC">
        <w:trPr>
          <w:tblCellSpacing w:w="15" w:type="dxa"/>
        </w:trPr>
        <w:tc>
          <w:tcPr>
            <w:tcW w:w="0" w:type="auto"/>
            <w:vAlign w:val="center"/>
            <w:hideMark/>
          </w:tcPr>
          <w:p w14:paraId="6C7AFA0D" w14:textId="77777777" w:rsidR="008A4BFC" w:rsidRDefault="008A4BFC">
            <w:pPr>
              <w:rPr>
                <w:sz w:val="24"/>
                <w:szCs w:val="24"/>
              </w:rPr>
            </w:pPr>
            <w:r>
              <w:lastRenderedPageBreak/>
              <w:t>Equity and broader trade-offs</w:t>
            </w:r>
          </w:p>
        </w:tc>
        <w:tc>
          <w:tcPr>
            <w:tcW w:w="0" w:type="auto"/>
            <w:vAlign w:val="center"/>
            <w:hideMark/>
          </w:tcPr>
          <w:p w14:paraId="44D7A6BB" w14:textId="77777777" w:rsidR="008A4BFC" w:rsidRDefault="008A4BFC">
            <w:pPr>
              <w:rPr>
                <w:sz w:val="24"/>
                <w:szCs w:val="24"/>
              </w:rPr>
            </w:pPr>
            <w:proofErr w:type="spellStart"/>
            <w:r>
              <w:t>Platformization</w:t>
            </w:r>
            <w:proofErr w:type="spellEnd"/>
            <w:r>
              <w:t xml:space="preserve"> of value chains; data-intensive farm management systems; concentration of digital infrastructure</w:t>
            </w:r>
          </w:p>
        </w:tc>
        <w:tc>
          <w:tcPr>
            <w:tcW w:w="0" w:type="auto"/>
            <w:vAlign w:val="center"/>
            <w:hideMark/>
          </w:tcPr>
          <w:p w14:paraId="20241DE4" w14:textId="77777777" w:rsidR="008A4BFC" w:rsidRDefault="008A4BFC">
            <w:pPr>
              <w:rPr>
                <w:sz w:val="24"/>
                <w:szCs w:val="24"/>
              </w:rPr>
            </w:pPr>
            <w:r>
              <w:t>Potential consolidation of land and market power; new data governance and privacy risks; narratives that prioritize output maximization over ecosystem services; risk that benefits accrue disproportionately to better-resourced actors</w:t>
            </w:r>
          </w:p>
        </w:tc>
        <w:tc>
          <w:tcPr>
            <w:tcW w:w="0" w:type="auto"/>
            <w:vAlign w:val="center"/>
            <w:hideMark/>
          </w:tcPr>
          <w:p w14:paraId="249B7205" w14:textId="77777777" w:rsidR="008A4BFC" w:rsidRDefault="008A4BFC">
            <w:pPr>
              <w:rPr>
                <w:sz w:val="24"/>
                <w:szCs w:val="24"/>
              </w:rPr>
            </w:pPr>
            <w:r>
              <w:t>Lajoie-O’Malley et al. (2020); MacPherson et al. (2022); Finger (2023)</w:t>
            </w:r>
          </w:p>
        </w:tc>
      </w:tr>
    </w:tbl>
    <w:p w14:paraId="01A4657C" w14:textId="77777777" w:rsidR="00C13468" w:rsidRDefault="00C13468" w:rsidP="00C13468"/>
    <w:p w14:paraId="1AD5FD1F" w14:textId="77777777" w:rsidR="00CE5BFA" w:rsidRDefault="00CE5BFA" w:rsidP="00CE5BFA">
      <w:pPr>
        <w:pStyle w:val="Heading2"/>
      </w:pPr>
      <w:r>
        <w:t>5. Inclusion, Governance, and Ethical Considerations</w:t>
      </w:r>
    </w:p>
    <w:p w14:paraId="1E5C5526" w14:textId="77777777" w:rsidR="00CE5BFA" w:rsidRDefault="00CE5BFA" w:rsidP="00CE5BFA">
      <w:pPr>
        <w:pStyle w:val="NormalWeb"/>
      </w:pPr>
      <w:r>
        <w:t>The expansion of digital agriculture is not only a technical transition but also a re-ordering of power, knowledge, and value within agri-food systems. Social science work shows that issues of ownership, control, and distribution of benefits are as consequential as agronomic performance or input efficiency (Klerkx et al., 2019). Governance debates increasingly focus on who designs and owns digital infrastructures, whose priorities are encoded into algorithms, and how risks and rewards are distributed along value chains (Bronson &amp; Knezevic, 2016; Klerkx &amp; Rose, 2020). At the same time, ethicists warn that digitalization can either strengthen or erode social justice, depending on how questions of equity, accountability, and participation are addressed from the outset (Rose &amp; Chilvers, 2018; van der Burg et al., 2019). This section examines three interlinked dimensions—digital inclusion, data governance and sovereignty, and responsible innovation—to outline a governance agenda that supports food security while safeguarding rights and agency.</w:t>
      </w:r>
    </w:p>
    <w:p w14:paraId="573B4B56" w14:textId="77777777" w:rsidR="00CE5BFA" w:rsidRDefault="00CE5BFA" w:rsidP="00CE5BFA">
      <w:pPr>
        <w:pStyle w:val="Heading3"/>
      </w:pPr>
      <w:r>
        <w:t>5.1 Digital inclusion and equity in access and capabilities</w:t>
      </w:r>
    </w:p>
    <w:p w14:paraId="18C6111A" w14:textId="77777777" w:rsidR="00CE5BFA" w:rsidRDefault="00CE5BFA" w:rsidP="00CE5BFA">
      <w:pPr>
        <w:pStyle w:val="NormalWeb"/>
      </w:pPr>
      <w:r>
        <w:t xml:space="preserve">Digital agriculture is frequently promoted as a pathway to “leave no one behind,” yet empirical evidence demonstrates deep and persistent divides in access, skills, and effective use. A systematic review of digital services in low- and middle-income countries (LMICs) finds that many tools are still concentrated in relatively better-off regions and value chains, with smallholders, women, and marginalized communities often excluded from advanced services such as bundled advisory, credit scoring, and insurance (Porciello et al., 2022). A scoping review of </w:t>
      </w:r>
      <w:proofErr w:type="spellStart"/>
      <w:r>
        <w:t>digitalisation</w:t>
      </w:r>
      <w:proofErr w:type="spellEnd"/>
      <w:r>
        <w:t xml:space="preserve"> in agriculture in sub-Saharan Africa similarly documents that while mobile-based tools for extension and marketing have proliferated, their uptake is constrained by weak connectivity, low digital literacy, affordability barriers, and gendered constraints on phone ownership and control of digital assets (</w:t>
      </w:r>
      <w:proofErr w:type="spellStart"/>
      <w:r>
        <w:t>Choruma</w:t>
      </w:r>
      <w:proofErr w:type="spellEnd"/>
      <w:r>
        <w:t xml:space="preserve"> et al., 2024). Recent work on LMICs more broadly shows that adoption is strongly shaped by intersecting socio-economic, </w:t>
      </w:r>
      <w:proofErr w:type="spellStart"/>
      <w:r>
        <w:t>agro</w:t>
      </w:r>
      <w:proofErr w:type="spellEnd"/>
      <w:r>
        <w:t xml:space="preserve">-ecological, institutional, and </w:t>
      </w:r>
      <w:proofErr w:type="spellStart"/>
      <w:r>
        <w:t>behavioural</w:t>
      </w:r>
      <w:proofErr w:type="spellEnd"/>
      <w:r>
        <w:t xml:space="preserve"> factors, so that the promised productivity and resilience gains are least accessible to farmers with limited capital, education, and organizational support (Manzoor et al., 2025).</w:t>
      </w:r>
      <w:r w:rsidR="00831C60">
        <w:t xml:space="preserve"> </w:t>
      </w:r>
    </w:p>
    <w:p w14:paraId="018ACEFE" w14:textId="77777777" w:rsidR="00CE5BFA" w:rsidRDefault="00CE5BFA" w:rsidP="00CE5BFA">
      <w:pPr>
        <w:pStyle w:val="NormalWeb"/>
      </w:pPr>
      <w:r>
        <w:t xml:space="preserve">The equity challenge is not only about physical access to devices and networks, but also about “capabilities to benefit” from digitalization. Studies on small-scale farmers and agri-food value chains emphasize that skills gaps, information asymmetries, and limited </w:t>
      </w:r>
      <w:r>
        <w:lastRenderedPageBreak/>
        <w:t>bargaining power can lock producers into subordinate positions in digitally mediated markets, even when they technically use digital tools (Smidt &amp; Jokonya, 2022)</w:t>
      </w:r>
      <w:r w:rsidR="00831C60">
        <w:t xml:space="preserve">. </w:t>
      </w:r>
      <w:r>
        <w:t xml:space="preserve">Analyses of </w:t>
      </w:r>
      <w:proofErr w:type="spellStart"/>
      <w:r>
        <w:t>digitalisation</w:t>
      </w:r>
      <w:proofErr w:type="spellEnd"/>
      <w:r>
        <w:t xml:space="preserve"> and skills argue that agricultural workers and advisors require new competencies in data interpretation, systems thinking, and critical engagement with algorithmic recommendations if they are to retain autonomy rather than simply becoming end-users of opaque platforms (Daum, 2025; Finger et al., 2023). This implies that inclusive digital agriculture must be governed as a socio-technical capability project: public policy should invest in rural connectivity as a basic infrastructure; support digital literacy, especially for women, youth, and minority groups; and strengthen intermediary organizations—such as producer cooperatives and advisory services—that can translate digital tools into context-appropriate practices and bargaining power. Without such measures, digital agriculture risks reproducing and amplifying existing inequalities rather than closing them.</w:t>
      </w:r>
    </w:p>
    <w:p w14:paraId="453390C2" w14:textId="77777777" w:rsidR="00CE5BFA" w:rsidRDefault="00CE5BFA" w:rsidP="00CE5BFA">
      <w:pPr>
        <w:pStyle w:val="Heading3"/>
      </w:pPr>
      <w:r>
        <w:t>5.2 Data governance, sovereignty, and platform power</w:t>
      </w:r>
    </w:p>
    <w:p w14:paraId="66453BF1" w14:textId="77777777" w:rsidR="00CE5BFA" w:rsidRDefault="00CE5BFA" w:rsidP="00CE5BFA">
      <w:pPr>
        <w:pStyle w:val="NormalWeb"/>
      </w:pPr>
      <w:r>
        <w:t>Data has become a central strategic resource in digital agriculture, raising questions about ownership, control, and benefit-sharing. Early critical analyses warned that “big data in food and agriculture” can shift power towards large technology firms, input suppliers, and data intermediaries, as they aggregate granular farm-level information and monetize insights that may not be transparently shared with farmers (Bronson &amp; Knezevic, 2016; Carbonell, 2016). Platform-based business models can create lock-ins through proprietary formats, bundled services, and complex terms of use, making it difficult for farmers to switch providers or to understand how their data is combined with other sources and re-used downstream (Carolan, 202</w:t>
      </w:r>
      <w:r w:rsidR="00713825">
        <w:t>2</w:t>
      </w:r>
      <w:r>
        <w:t>). Social-science reviews of digital agriculture underline that questions of privacy, value capture, and algorithmic transparency are now central themes in debates about the ethics and political economy of smart farming (Klerkx et al., 2019; Klerkx &amp; Rose, 2020).</w:t>
      </w:r>
      <w:r w:rsidR="00831C60">
        <w:t xml:space="preserve"> </w:t>
      </w:r>
    </w:p>
    <w:p w14:paraId="09196D36" w14:textId="77777777" w:rsidR="00CE5BFA" w:rsidRDefault="00CE5BFA" w:rsidP="00CE5BFA">
      <w:pPr>
        <w:pStyle w:val="NormalWeb"/>
      </w:pPr>
      <w:r>
        <w:t>One response to these concerns is the emergence of data-sovereignty frameworks that seek to rebalance rights and responsibilities. Empirical work on Swiss digital farming initiatives shows that farmers value clear rules on who can access which categories of data, for what purposes, and under what conditions data can be shared or reused, but that existing arrangements often remain opaque or tilted towards institutional and corporate stakeholders (Reissig et al., 2024). Analyses of voluntary ag-data codes of practice similarly highlight gaps between high-level principles and enforceable rights, noting that many codes rely on self-regulation and provide limited recourse for farmers in cases of misuse or disputes (Sanderson et al., 2018). From a governance perspective, this suggests the need for stronger regulatory baselines on data protection, portability, and interoperability—including privacy-by-design and fairness-by-design obligations—combined with collective mechanisms such as farmer data cooperatives, public or community cloud infrastructures, and negotiated sectoral agreements. These arrangements can help ensure that farm data contributes to public goods such as climate-risk modelling and food-system monitoring while safeguarding individual and collective rights.</w:t>
      </w:r>
    </w:p>
    <w:p w14:paraId="2F7F703C" w14:textId="77777777" w:rsidR="00CE5BFA" w:rsidRDefault="00CE5BFA" w:rsidP="00CE5BFA">
      <w:pPr>
        <w:pStyle w:val="Heading3"/>
      </w:pPr>
      <w:r>
        <w:t>5.3 Responsible innovation, public oversight, and ethical design</w:t>
      </w:r>
    </w:p>
    <w:p w14:paraId="47016971" w14:textId="77777777" w:rsidR="00CE5BFA" w:rsidRDefault="00CE5BFA" w:rsidP="00CE5BFA">
      <w:pPr>
        <w:pStyle w:val="NormalWeb"/>
      </w:pPr>
      <w:r>
        <w:t xml:space="preserve">Governance debates increasingly converge on the concept of responsible research and innovation (RRI) as a framework for guiding digital agriculture in ethically robust and socially responsive ways. Responsible innovation scholarship emphasizes four interrelated dimensions—anticipation, inclusion, reflexivity, and responsiveness—that should shape how new technologies are designed and governed (Rose &amp; Chilvers, 2018). Ethical reviews of </w:t>
      </w:r>
      <w:r>
        <w:lastRenderedPageBreak/>
        <w:t xml:space="preserve">smart farming highlight persistent tensions around data ownership and access, distribution of power, and broader societal impacts, arguing that responsible innovation requires explicit deliberation over competing visions of the “digital farm of the future” and the societal goals it should serve (van der Burg et al., 2019). These analyses make clear that food-system digitalization is not value-neutral: choices about what problems are prioritized, which indicators are optimized, and whose knowledge counts are inherently normative, with implications for </w:t>
      </w:r>
      <w:proofErr w:type="spellStart"/>
      <w:r>
        <w:t>labour</w:t>
      </w:r>
      <w:proofErr w:type="spellEnd"/>
      <w:r>
        <w:t xml:space="preserve"> relations, animal welfare, environmental stewardship, and rural community life.</w:t>
      </w:r>
    </w:p>
    <w:p w14:paraId="1C36DE02" w14:textId="77777777" w:rsidR="00CE5BFA" w:rsidRDefault="00CE5BFA" w:rsidP="00CE5BFA">
      <w:pPr>
        <w:pStyle w:val="NormalWeb"/>
      </w:pPr>
      <w:r>
        <w:t>Empirical studies of RRI practice in digital agriculture research suggest both opportunities and gaps. Interviews with publicly funded researchers in Europe indicate a generally positive orientation towards engaging with ethical and social questions, but also reveal institutional constraints, limited incentives, and uncertainty about how to operationalize RRI beyond project-level communication activities (Regan, 2021). At the same time, calls to expand the role of social sciences in digital agriculture stress that robust governance must be grounded in participatory processes that bring farmers, workers, consumers, and civil-society organizations into agenda-setting, design, and evaluation, rather than consulting them only at the end of innovation pipelines (Finger et al., 2023; Klerkx et al., 2019). Multi-level policy frameworks should therefore link national digital strategies, agricultural and food policies, and data-protection regimes with sector-specific guidelines and local experimentation in living labs and innovation platforms. If designed and resourced appropriately, such architectures can help ensure that digital agriculture contributes to food security, climate resilience, and sustainability while respecting human rights, fostering agency, and preventing new forms of dependency or exclusion.</w:t>
      </w:r>
    </w:p>
    <w:p w14:paraId="7FEFB0EA" w14:textId="77777777" w:rsidR="00CE5BFA" w:rsidRDefault="00CE5BFA" w:rsidP="008A4BFC">
      <w:pPr>
        <w:pStyle w:val="Heading3"/>
      </w:pPr>
    </w:p>
    <w:p w14:paraId="2962F812" w14:textId="77777777" w:rsidR="008A4BFC" w:rsidRDefault="008A4BFC" w:rsidP="008A4BFC">
      <w:pPr>
        <w:pStyle w:val="Heading3"/>
      </w:pPr>
      <w:r>
        <w:t>6. Research and Policy Priorities</w:t>
      </w:r>
    </w:p>
    <w:p w14:paraId="54D39624" w14:textId="77777777" w:rsidR="008A4BFC" w:rsidRDefault="008A4BFC" w:rsidP="008A4BFC">
      <w:pPr>
        <w:pStyle w:val="NormalWeb"/>
      </w:pPr>
      <w:r>
        <w:t>Digital agriculture is now central to many national and international strategies for achieving food security, yet the evidence base and governance frameworks underpinning this agenda remain incomplete and uneven. Existing research and policy often privilege technological supply over social and institutional context, emphasize short-term productivity gains over long-term equity and environmental outcomes, and treat data and platform governance as largely technical issues rather than political choices (Bronson &amp; Knezevic, 2016; Klerkx et al., 2019; Lajoie-O’Malley et al., 2020). Building on the multidimensional food security framework that adds agency and sustainability to the traditional four pillars (Clapp et al., 2022), research and policy must now focus on creating digital ecosystems that are not only efficient, but also just and resilient.</w:t>
      </w:r>
      <w:r w:rsidR="00831C60">
        <w:t xml:space="preserve"> </w:t>
      </w:r>
    </w:p>
    <w:p w14:paraId="5433C77B" w14:textId="77777777" w:rsidR="008A4BFC" w:rsidRDefault="008A4BFC" w:rsidP="008A4BFC">
      <w:pPr>
        <w:pStyle w:val="Heading4"/>
      </w:pPr>
      <w:r>
        <w:t>6.1. Deepening and broadening the evidence base</w:t>
      </w:r>
    </w:p>
    <w:p w14:paraId="6178A2CE" w14:textId="77777777" w:rsidR="008A4BFC" w:rsidRDefault="008A4BFC" w:rsidP="008A4BFC">
      <w:pPr>
        <w:pStyle w:val="NormalWeb"/>
      </w:pPr>
      <w:r>
        <w:t>A first priority is to strengthen the empirical foundation for claims about digital agriculture’s contributions to food security. Reviews of digital agriculture services and social science on smart farming show that most studies document adoption, knowledge gains and short-term practice change, often in pilot settings, while far fewer track medium- or long-term effects on yields, incomes, nutrition, environmental quality or equity (Klerkx et al., 2019; Porciello et al., 2022). Scoping syntheses for low- and middle-income countries (LMICs) underline that environmental sustainability and climate resilience outcomes are particularly under-reported, even where technologies are explicitly promoted as “climate-smart” (Porciello et al., 2022).</w:t>
      </w:r>
      <w:r w:rsidR="00831C60">
        <w:t xml:space="preserve"> </w:t>
      </w:r>
    </w:p>
    <w:p w14:paraId="6C0AB2F7" w14:textId="77777777" w:rsidR="008A4BFC" w:rsidRDefault="008A4BFC" w:rsidP="008A4BFC">
      <w:pPr>
        <w:pStyle w:val="NormalWeb"/>
      </w:pPr>
      <w:r>
        <w:lastRenderedPageBreak/>
        <w:t>Future research therefore needs to move beyond proof-of-concept evaluations toward longitudinal, mixed-methods impact assessments that connect digital interventions to multi-dimensional food security outcomes. This includes integrating agronomic indicators with household- and community-level measures of food access, diet quality and nutritional status, as well as environmental metrics such as greenhouse-gas emissions, nutrient losses and biodiversity proxies. The six-dimensional food security framework proposed by Clapp et al. (2022) offers a useful orientation for such work, encouraging researchers to examine how digital technologies affect agency and sustainability alongside availability, access, utilization and stability.</w:t>
      </w:r>
      <w:r w:rsidR="00831C60">
        <w:t xml:space="preserve"> </w:t>
      </w:r>
    </w:p>
    <w:p w14:paraId="7180B0C7" w14:textId="77777777" w:rsidR="008A4BFC" w:rsidRDefault="008A4BFC" w:rsidP="008A4BFC">
      <w:pPr>
        <w:pStyle w:val="NormalWeb"/>
      </w:pPr>
      <w:r>
        <w:t>Methodologically, there is a need for more comparative and cross-country analyses that can distinguish technology effects from broader structural changes in rural economies. Macro-level econometric studies linking digitalization indicators to food security and agricultural performance are emerging (Subramaniam et al., 2025), but these should be complemented by meso-level analyses of value chains and territories that examine how digital tools interact with market structures, land tenure regimes and public policies. Qualitative and participatory research is equally important to understand how farmers, workers and consumers experience digitalization in practice, particularly in marginalized settings that remain under-represented in the literature (Nxumalo &amp; Chauke, 2025).</w:t>
      </w:r>
      <w:r w:rsidR="00831C60">
        <w:t xml:space="preserve"> </w:t>
      </w:r>
    </w:p>
    <w:p w14:paraId="710AB6A7" w14:textId="77777777" w:rsidR="008A4BFC" w:rsidRDefault="008A4BFC" w:rsidP="008A4BFC">
      <w:pPr>
        <w:pStyle w:val="Heading4"/>
      </w:pPr>
      <w:r>
        <w:t>6.2. Governing data, platforms and AI in the public interest</w:t>
      </w:r>
    </w:p>
    <w:p w14:paraId="430E2851" w14:textId="77777777" w:rsidR="008A4BFC" w:rsidRDefault="008A4BFC" w:rsidP="008A4BFC">
      <w:pPr>
        <w:pStyle w:val="NormalWeb"/>
      </w:pPr>
      <w:r>
        <w:t>A second priority concerns governance of data, platforms and artificial intelligence. Big data in food and agriculture can generate powerful insights for risk management and productivity, but it also redistributes control over information and value in ways that may entrench existing inequalities if left unregulated (Bronson &amp; Knezevic, 2016; Finger, 2023). Social-science reviews identify data ownership, privacy, algorithmic opacity and platform concentration as core themes for future research and policy, noting that farmers often lack bargaining power over data contracts and that platform providers can exert considerable influence over input choices, production practices and market access (Klerkx et al., 2019; Lajoie-O’Malley et al., 2020).</w:t>
      </w:r>
      <w:r w:rsidR="00831C60">
        <w:t xml:space="preserve"> </w:t>
      </w:r>
    </w:p>
    <w:p w14:paraId="112D8AD0" w14:textId="77777777" w:rsidR="008A4BFC" w:rsidRDefault="008A4BFC" w:rsidP="008A4BFC">
      <w:pPr>
        <w:pStyle w:val="NormalWeb"/>
      </w:pPr>
      <w:r>
        <w:t>Policy agendas should therefore prioritize farmer-centric data governance frameworks that clarify rights to access, portability and reuse of farm-generated data, encourage fair benefit-sharing, and prevent exploitative or non-consensual data extraction. Bronson and Knezevic (2016) argue that critical data studies need to engage more directly with the material consequences of big-data tools in agriculture, such as how they shape which production systems are supported and whose livelihoods are made more or less viable. This implies a research agenda that scrutinizes digital contracts, business models and regulatory gaps, and a policy agenda that combines competition policy, data protection law and sector-specific regulation to restrain excessive concentration of digital power.</w:t>
      </w:r>
    </w:p>
    <w:p w14:paraId="1B3309CF" w14:textId="77777777" w:rsidR="008A4BFC" w:rsidRDefault="008A4BFC" w:rsidP="008A4BFC">
      <w:pPr>
        <w:pStyle w:val="NormalWeb"/>
      </w:pPr>
      <w:r>
        <w:t xml:space="preserve">Artificial intelligence and machine-learning applications in agriculture also demand closer scrutiny. Reviews of digital innovations highlight that AI-based decision-support systems can improve prediction and optimization, but that their performance is contingent on training data that may be unrepresentative of smallholder systems, leading to biased recommendations (Finger, 2023; MacPherson et al., 2022). Research is needed on explainable and participatory AI approaches that allow farmers and advisors to interrogate and adapt algorithmic outputs. Policymakers, in turn, should consider guidelines for transparency, accountability and human </w:t>
      </w:r>
      <w:r>
        <w:lastRenderedPageBreak/>
        <w:t>oversight in agricultural AI, ensuring that automated systems augment rather than displace local knowledge and decision-making.</w:t>
      </w:r>
    </w:p>
    <w:p w14:paraId="100BFF2D" w14:textId="77777777" w:rsidR="008A4BFC" w:rsidRDefault="008A4BFC" w:rsidP="008A4BFC">
      <w:pPr>
        <w:pStyle w:val="Heading4"/>
      </w:pPr>
      <w:r>
        <w:t>6.3. Building inclusive digital ecosystems and capacities</w:t>
      </w:r>
    </w:p>
    <w:p w14:paraId="374924EF" w14:textId="77777777" w:rsidR="008A4BFC" w:rsidRDefault="008A4BFC" w:rsidP="008A4BFC">
      <w:pPr>
        <w:pStyle w:val="NormalWeb"/>
      </w:pPr>
      <w:r>
        <w:t xml:space="preserve">Third, research and policy must focus on inclusion and capacity within digital agriculture ecosystems. Syntheses of digital agriculture services and adoption in LMICs show that benefits tend to be captured by farmers and regions with greater assets, education and connectivity, while women, youth, poorer households and remote communities face persistent barriers (Porciello et al., 2022; Manzoor et al., 2025). Systematic reviews of adoption determinants for small-scale farmers </w:t>
      </w:r>
      <w:proofErr w:type="spellStart"/>
      <w:r>
        <w:t>emphasise</w:t>
      </w:r>
      <w:proofErr w:type="spellEnd"/>
      <w:r>
        <w:t xml:space="preserve"> that economic, political and social factors—including trust in institutions, local power relations and the structure of agriculture value chains—are as important as technological attributes in shaping uptake and use (Smidt &amp; Jokonya, 2022).</w:t>
      </w:r>
      <w:r w:rsidR="00831C60">
        <w:t xml:space="preserve"> </w:t>
      </w:r>
    </w:p>
    <w:p w14:paraId="0C1AB886" w14:textId="77777777" w:rsidR="008A4BFC" w:rsidRDefault="008A4BFC" w:rsidP="008A4BFC">
      <w:pPr>
        <w:pStyle w:val="NormalWeb"/>
      </w:pPr>
      <w:r>
        <w:t>Policy responses therefore need to go beyond subsidizing hardware or connectivity to supporting inclusive innovation systems. This includes investing in digital skills and literacy, particularly for women and youth; strengthening public and civil-society extension services that can act as trusted intermediaries between farmers and technology providers; and enabling farmer organizations and cooperatives to participate in co-designing digital tools that respond to their priorities (Klerkx et al., 2019; Nxumalo &amp; Chauke, 2025). Nxumalo and Chauke (2025), for example, highlight the importance of multi-stakeholder collaboration and targeted policy interventions to reduce the digital divide among South African smallholders, pointing to infrastructure deficits, affordability constraints and limited technical support as key barriers.</w:t>
      </w:r>
      <w:r w:rsidR="00831C60">
        <w:t xml:space="preserve"> </w:t>
      </w:r>
    </w:p>
    <w:p w14:paraId="78259C08" w14:textId="77777777" w:rsidR="008A4BFC" w:rsidRDefault="008A4BFC" w:rsidP="008A4BFC">
      <w:pPr>
        <w:pStyle w:val="NormalWeb"/>
      </w:pPr>
      <w:r>
        <w:t>Future research should incorporate intersectional analyses that examine how gender, class, age, ethnicity and geography shape both access to digital tools and the distribution of their benefits and risks. Clapp et al.’s (2022) emphasis on agency underscores that inclusive digitalization requires not only access but also meaningful participation in shaping digital futures, including through farmer representation in standard-setting bodies, regulatory consultations and governance boards of data platforms.</w:t>
      </w:r>
      <w:r w:rsidR="00831C60">
        <w:t xml:space="preserve"> </w:t>
      </w:r>
    </w:p>
    <w:p w14:paraId="55DFD751" w14:textId="77777777" w:rsidR="008A4BFC" w:rsidRDefault="008A4BFC" w:rsidP="008A4BFC">
      <w:pPr>
        <w:pStyle w:val="Heading4"/>
      </w:pPr>
      <w:r>
        <w:t>6.4. Aligning digitalization with wider food-system and climate transformations</w:t>
      </w:r>
    </w:p>
    <w:p w14:paraId="0754145F" w14:textId="77777777" w:rsidR="008A4BFC" w:rsidRDefault="008A4BFC" w:rsidP="008A4BFC">
      <w:pPr>
        <w:pStyle w:val="NormalWeb"/>
      </w:pPr>
      <w:r>
        <w:t xml:space="preserve">Finally, digital agriculture research and policy should be explicitly embedded within broader strategies for sustainable food-system and climate transitions, rather than treated as a stand-alone technological domain. MacPherson et al. (2022) argue that digitalization can support multiple sustainability goals—from resource efficiency to biodiversity conservation—only if accompanied by coherent policies on land use, input regulation, climate mitigation and dietary change; otherwise, it risks locking in intensified, input-dependent production models. Similarly, Lajoie-O’Malley et al. (2020) show that high-level policy narratives frequently conflate digitalization with productivity growth and global market integration, paying less attention to alternative food-system visions </w:t>
      </w:r>
      <w:proofErr w:type="spellStart"/>
      <w:r>
        <w:t>centred</w:t>
      </w:r>
      <w:proofErr w:type="spellEnd"/>
      <w:r>
        <w:t xml:space="preserve"> on agroecology, territorial markets or food sovereignty.</w:t>
      </w:r>
      <w:r w:rsidR="00831C60">
        <w:t xml:space="preserve"> </w:t>
      </w:r>
    </w:p>
    <w:p w14:paraId="3F9E411A" w14:textId="77777777" w:rsidR="008A4BFC" w:rsidRDefault="008A4BFC" w:rsidP="008A4BFC">
      <w:pPr>
        <w:pStyle w:val="NormalWeb"/>
      </w:pPr>
      <w:r>
        <w:t xml:space="preserve">Research priorities in this domain include integrated assessments that model how different digitalization pathways interact with land-use change, greenhouse-gas emissions, water use and biodiversity at regional and global scales, as well as scenario and foresight exercises that involve diverse stakeholders in debating trade-offs. Finger (2023) stresses that policy must </w:t>
      </w:r>
      <w:r>
        <w:lastRenderedPageBreak/>
        <w:t>proactively steer digital innovation towards public goals by aligning incentives, investing in open and interoperable infrastructures, and enabling experimentation with alternative business models, such as farmer-owned data cooperatives and public–commons partnerships.</w:t>
      </w:r>
      <w:r w:rsidR="00831C60">
        <w:t xml:space="preserve"> </w:t>
      </w:r>
    </w:p>
    <w:p w14:paraId="35344BF3" w14:textId="77777777" w:rsidR="008A4BFC" w:rsidRDefault="008A4BFC" w:rsidP="008A4BFC">
      <w:pPr>
        <w:pStyle w:val="NormalWeb"/>
      </w:pPr>
      <w:r>
        <w:t>In sum, advancing digital agriculture in support of food security demands a research and policy agenda that is empirically robust, governance-aware and explicitly oriented toward equity, agency and sustainability. This requires moving from technology-centric interventions to systemic strategies that recognize digital tools as one component of wider transformations in food, land and water systems.</w:t>
      </w:r>
    </w:p>
    <w:p w14:paraId="32528A63" w14:textId="77777777" w:rsidR="000643E7" w:rsidRDefault="000643E7" w:rsidP="000643E7">
      <w:pPr>
        <w:spacing w:before="100" w:beforeAutospacing="1" w:after="100" w:afterAutospacing="1" w:line="240" w:lineRule="auto"/>
        <w:outlineLvl w:val="2"/>
        <w:rPr>
          <w:rFonts w:ascii="Times New Roman" w:eastAsia="Times New Roman" w:hAnsi="Times New Roman" w:cs="Times New Roman"/>
          <w:b/>
          <w:bCs/>
          <w:sz w:val="27"/>
          <w:szCs w:val="27"/>
          <w:lang w:val="en-US"/>
        </w:rPr>
      </w:pPr>
    </w:p>
    <w:p w14:paraId="2393BB07" w14:textId="77777777" w:rsidR="000643E7" w:rsidRPr="000643E7" w:rsidRDefault="000643E7" w:rsidP="000643E7">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643E7">
        <w:rPr>
          <w:rFonts w:ascii="Times New Roman" w:eastAsia="Times New Roman" w:hAnsi="Times New Roman" w:cs="Times New Roman"/>
          <w:b/>
          <w:bCs/>
          <w:sz w:val="27"/>
          <w:szCs w:val="27"/>
          <w:lang w:val="en-US"/>
        </w:rPr>
        <w:t>7. Conclusions</w:t>
      </w:r>
    </w:p>
    <w:p w14:paraId="757AC4D2" w14:textId="77777777" w:rsidR="000643E7" w:rsidRPr="000643E7" w:rsidRDefault="000643E7" w:rsidP="000643E7">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Digital agriculture is fundamentally reshaping how food is produced, traded and governed by embedding sensing, connectivity and data analytics throughout agri-food systems. Its influence now extends well beyond individual farms to value chains, financial systems and public decision-making related to food security.</w:t>
      </w:r>
    </w:p>
    <w:p w14:paraId="01DD9EDC" w14:textId="77777777" w:rsidR="000643E7" w:rsidRPr="000643E7" w:rsidRDefault="000643E7" w:rsidP="000643E7">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Evidence shows that digital tools can raise productivity and improve input-use efficiency, but average gains are modest and highly context-dependent. Productivity benefits emerge most clearly where digital services are tailored, locally relevant and embedded in broader systems of extension, input markets and infrastructure.</w:t>
      </w:r>
    </w:p>
    <w:p w14:paraId="2E24070F" w14:textId="77777777" w:rsidR="000643E7" w:rsidRPr="000643E7" w:rsidRDefault="000643E7" w:rsidP="000643E7">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Digital technologies can strengthen resilience to climate and market shocks by improving monitoring, forecasting and risk management at both farm and system levels. However, these resilience gains remain unevenly measured and may be undermined if digital dependence introduces new vulnerabilities, such as cyber-risks or lock-in to proprietary platforms.</w:t>
      </w:r>
    </w:p>
    <w:p w14:paraId="372F9994" w14:textId="77777777" w:rsidR="000643E7" w:rsidRPr="000643E7" w:rsidRDefault="000643E7" w:rsidP="000643E7">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Environmental outcomes of digital agriculture are promising but not guaranteed. Precision management, better monitoring and data-driven planning can reduce emissions and pollution per unit of output, yet rebound effects, intensified input use and land consolidation can offset gains if not guided by strong environmental and land-use policies.</w:t>
      </w:r>
    </w:p>
    <w:p w14:paraId="3823860D" w14:textId="77777777" w:rsidR="000643E7" w:rsidRPr="000643E7" w:rsidRDefault="000643E7" w:rsidP="000643E7">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Digitalization has profound implications for equity and inclusion. Without deliberate design and policy attention, benefits tend to accrue to better-resourced farmers, firms and regions, while those facing constraints in connectivity, capital, land or literacy risk being left further behind.</w:t>
      </w:r>
    </w:p>
    <w:p w14:paraId="45DA7EE8" w14:textId="77777777" w:rsidR="000643E7" w:rsidRPr="000643E7" w:rsidRDefault="000643E7" w:rsidP="000643E7">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Data and platform governance sit at the heart of digital agriculture’s transformative potential. Questions of data ownership, access, interoperability and value sharing are central to whether digitalization supports farmers’ agency and public goals, or instead concentrates informational and economic power in a small number of private actors.</w:t>
      </w:r>
    </w:p>
    <w:p w14:paraId="6A43707B" w14:textId="77777777" w:rsidR="000643E7" w:rsidRPr="000643E7" w:rsidRDefault="000643E7" w:rsidP="000643E7">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 xml:space="preserve">Digital agriculture should be understood as an enabling layer within wider food-system and climate transitions, not as an isolated technological fix. Its contribution to food security depends on alignment with broader strategies on nutrition, land use, trade, </w:t>
      </w:r>
      <w:proofErr w:type="spellStart"/>
      <w:r w:rsidRPr="000643E7">
        <w:rPr>
          <w:rFonts w:ascii="Times New Roman" w:eastAsia="Times New Roman" w:hAnsi="Times New Roman" w:cs="Times New Roman"/>
          <w:sz w:val="24"/>
          <w:szCs w:val="24"/>
          <w:lang w:val="en-US"/>
        </w:rPr>
        <w:t>labour</w:t>
      </w:r>
      <w:proofErr w:type="spellEnd"/>
      <w:r w:rsidRPr="000643E7">
        <w:rPr>
          <w:rFonts w:ascii="Times New Roman" w:eastAsia="Times New Roman" w:hAnsi="Times New Roman" w:cs="Times New Roman"/>
          <w:sz w:val="24"/>
          <w:szCs w:val="24"/>
          <w:lang w:val="en-US"/>
        </w:rPr>
        <w:t>, social protection and climate mitigation and adaptation.</w:t>
      </w:r>
    </w:p>
    <w:p w14:paraId="383F1598" w14:textId="77777777" w:rsidR="000643E7" w:rsidRPr="000643E7" w:rsidRDefault="000643E7" w:rsidP="000643E7">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Future progress requires a shift from technology-centric interventions toward systemic, participatory approaches that integrate robust evidence, inclusive governance and long-term sustainability goals. When steered in this way, digital agriculture can become a powerful lever for building food systems that are productive, resilient, equitable and environmentally responsible.</w:t>
      </w:r>
    </w:p>
    <w:p w14:paraId="672C4C2C" w14:textId="77777777" w:rsidR="00C13468" w:rsidRDefault="00C13468" w:rsidP="00C13468"/>
    <w:p w14:paraId="297319AA" w14:textId="77777777" w:rsidR="000643E7" w:rsidRPr="000643E7" w:rsidRDefault="000643E7" w:rsidP="000643E7">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643E7">
        <w:rPr>
          <w:rFonts w:ascii="Times New Roman" w:eastAsia="Times New Roman" w:hAnsi="Times New Roman" w:cs="Times New Roman"/>
          <w:b/>
          <w:bCs/>
          <w:sz w:val="27"/>
          <w:szCs w:val="27"/>
          <w:lang w:val="en-US"/>
        </w:rPr>
        <w:t>8. Limitations</w:t>
      </w:r>
    </w:p>
    <w:p w14:paraId="3FAC54E4" w14:textId="77777777" w:rsidR="000643E7" w:rsidRPr="000643E7" w:rsidRDefault="000643E7" w:rsidP="000643E7">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This review is constrained by the rapidly evolving nature of digital agriculture. New technologies, platforms and governance initiatives are emerging continuously, so the synthesis reflects a snapshot in time rather than a fully up-to-date inventory of developments.</w:t>
      </w:r>
    </w:p>
    <w:p w14:paraId="51418944" w14:textId="77777777" w:rsidR="000643E7" w:rsidRPr="000643E7" w:rsidRDefault="000643E7" w:rsidP="000643E7">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 xml:space="preserve">The evidence </w:t>
      </w:r>
      <w:proofErr w:type="gramStart"/>
      <w:r w:rsidRPr="000643E7">
        <w:rPr>
          <w:rFonts w:ascii="Times New Roman" w:eastAsia="Times New Roman" w:hAnsi="Times New Roman" w:cs="Times New Roman"/>
          <w:sz w:val="24"/>
          <w:szCs w:val="24"/>
          <w:lang w:val="en-US"/>
        </w:rPr>
        <w:t>base</w:t>
      </w:r>
      <w:proofErr w:type="gramEnd"/>
      <w:r w:rsidRPr="000643E7">
        <w:rPr>
          <w:rFonts w:ascii="Times New Roman" w:eastAsia="Times New Roman" w:hAnsi="Times New Roman" w:cs="Times New Roman"/>
          <w:sz w:val="24"/>
          <w:szCs w:val="24"/>
          <w:lang w:val="en-US"/>
        </w:rPr>
        <w:t xml:space="preserve"> on which the review relies is uneven across regions and production systems. Studies from high-income countries and large emerging economies are better represented than those from low-income and fragile contexts, even though the latter often face the most acute food-security challenges.</w:t>
      </w:r>
    </w:p>
    <w:p w14:paraId="5A3BD8C2" w14:textId="77777777" w:rsidR="000643E7" w:rsidRPr="000643E7" w:rsidRDefault="000643E7" w:rsidP="000643E7">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Many of the available studies report short-term, project-based results. There is limited longitudinal evidence on the medium- and long-term impacts of digital agriculture on yields, incomes, nutrition, ecosystems and social relations, which constrains the ability to draw firm conclusions about durability and scalability of observed effects.</w:t>
      </w:r>
    </w:p>
    <w:p w14:paraId="44F76943" w14:textId="77777777" w:rsidR="000643E7" w:rsidRPr="000643E7" w:rsidRDefault="000643E7" w:rsidP="000643E7">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Impact estimates are frequently drawn from pilot projects, early adopters or relatively better-resourced farmers. This introduces selection bias and makes it difficult to generalize findings to broader populations, particularly to marginalized groups with limited access to capital, land, connectivity or education.</w:t>
      </w:r>
    </w:p>
    <w:p w14:paraId="628E008F" w14:textId="77777777" w:rsidR="000643E7" w:rsidRPr="000643E7" w:rsidRDefault="000643E7" w:rsidP="000643E7">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Environmental outcomes of digital agriculture are still weakly quantified. While many studies claim benefits such as reduced emissions, improved water use or lower chemical loads, only a subset provide robust measurements or system-level assessments that consider potential rebound effects and indirect impacts.</w:t>
      </w:r>
    </w:p>
    <w:p w14:paraId="7CB86A40" w14:textId="77777777" w:rsidR="000643E7" w:rsidRPr="000643E7" w:rsidRDefault="000643E7" w:rsidP="000643E7">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The review focuses primarily on peer-reviewed journal literature and excludes most grey literature, including project reports, policy documents and evaluations by development agencies or civil society. This improves consistency in quality but may omit valuable practice-based knowledge and negative experiences that are less likely to be published in academic outlets.</w:t>
      </w:r>
    </w:p>
    <w:p w14:paraId="49D12691" w14:textId="77777777" w:rsidR="000643E7" w:rsidRPr="000643E7" w:rsidRDefault="000643E7" w:rsidP="000643E7">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Conceptually, the analysis is framed by dominant academic discourses in agronomy, economics and innovation studies. Alternative perspectives grounded in Indigenous knowledge, feminist political ecology or decolonial critiques are underrepresented, which may narrow the range of food-system futures and values considered.</w:t>
      </w:r>
    </w:p>
    <w:p w14:paraId="77C15254" w14:textId="77777777" w:rsidR="000643E7" w:rsidRPr="000643E7" w:rsidRDefault="000643E7" w:rsidP="000643E7">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Methodological diversity across studies—ranging from randomized trials and econometric analyses to qualitative case studies and expert reviews—limits direct comparability of results. Heterogeneity in definitions of “digital agriculture” and in outcome indicators adds further complexity to cross-study synthesis.</w:t>
      </w:r>
    </w:p>
    <w:p w14:paraId="4E804F8F" w14:textId="77777777" w:rsidR="000643E7" w:rsidRPr="000643E7" w:rsidRDefault="000643E7" w:rsidP="000643E7">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 xml:space="preserve">Finally, the review concentrates on agriculture and immediate food-system interfaces, and does not comprehensively examine interactions with broader domains such as </w:t>
      </w:r>
      <w:proofErr w:type="spellStart"/>
      <w:r w:rsidRPr="000643E7">
        <w:rPr>
          <w:rFonts w:ascii="Times New Roman" w:eastAsia="Times New Roman" w:hAnsi="Times New Roman" w:cs="Times New Roman"/>
          <w:sz w:val="24"/>
          <w:szCs w:val="24"/>
          <w:lang w:val="en-US"/>
        </w:rPr>
        <w:t>labour</w:t>
      </w:r>
      <w:proofErr w:type="spellEnd"/>
      <w:r w:rsidRPr="000643E7">
        <w:rPr>
          <w:rFonts w:ascii="Times New Roman" w:eastAsia="Times New Roman" w:hAnsi="Times New Roman" w:cs="Times New Roman"/>
          <w:sz w:val="24"/>
          <w:szCs w:val="24"/>
          <w:lang w:val="en-US"/>
        </w:rPr>
        <w:t xml:space="preserve"> markets, urbanization, health systems or global trade, even though these areas strongly influence how digitalization ultimately shapes food security.</w:t>
      </w:r>
    </w:p>
    <w:p w14:paraId="2B790248" w14:textId="77777777" w:rsidR="00C13468" w:rsidRDefault="00C13468" w:rsidP="00C13468"/>
    <w:p w14:paraId="5C595C1F" w14:textId="77777777" w:rsidR="00C13468" w:rsidRDefault="00C13468" w:rsidP="00C13468">
      <w:pPr>
        <w:pStyle w:val="Heading3"/>
      </w:pPr>
      <w:r>
        <w:t>References</w:t>
      </w:r>
    </w:p>
    <w:p w14:paraId="40561DE6" w14:textId="40157010" w:rsidR="004274A7" w:rsidRDefault="004274A7" w:rsidP="0049029A">
      <w:pPr>
        <w:pStyle w:val="NormalWeb"/>
        <w:ind w:left="720"/>
        <w:rPr>
          <w:color w:val="222222"/>
          <w:shd w:val="clear" w:color="auto" w:fill="FFFFFF"/>
        </w:rPr>
      </w:pPr>
      <w:r w:rsidRPr="004274A7">
        <w:rPr>
          <w:color w:val="222222"/>
          <w:shd w:val="clear" w:color="auto" w:fill="FFFFFF"/>
        </w:rPr>
        <w:t xml:space="preserve">Abbasi, R., Martinez, P., &amp; Ahmad, R. (2022). The digitization of agricultural industry – a systematic literature review on agriculture 4.0. Smart Agricultural Technology, 2, 100042. </w:t>
      </w:r>
      <w:hyperlink r:id="rId8" w:history="1">
        <w:r w:rsidRPr="00C5384C">
          <w:rPr>
            <w:rStyle w:val="Hyperlink"/>
            <w:shd w:val="clear" w:color="auto" w:fill="FFFFFF"/>
          </w:rPr>
          <w:t>https://doi.org/10.1016/j.atech.2022.100042</w:t>
        </w:r>
      </w:hyperlink>
    </w:p>
    <w:p w14:paraId="521ECD7F" w14:textId="38BF5F7F" w:rsidR="004274A7" w:rsidRDefault="004274A7" w:rsidP="0049029A">
      <w:pPr>
        <w:pStyle w:val="NormalWeb"/>
        <w:ind w:left="720"/>
        <w:rPr>
          <w:color w:val="222222"/>
          <w:shd w:val="clear" w:color="auto" w:fill="FFFFFF"/>
        </w:rPr>
      </w:pPr>
      <w:proofErr w:type="spellStart"/>
      <w:r w:rsidRPr="004274A7">
        <w:rPr>
          <w:color w:val="222222"/>
          <w:shd w:val="clear" w:color="auto" w:fill="FFFFFF"/>
        </w:rPr>
        <w:lastRenderedPageBreak/>
        <w:t>Balasundram</w:t>
      </w:r>
      <w:proofErr w:type="spellEnd"/>
      <w:r w:rsidRPr="004274A7">
        <w:rPr>
          <w:color w:val="222222"/>
          <w:shd w:val="clear" w:color="auto" w:fill="FFFFFF"/>
        </w:rPr>
        <w:t xml:space="preserve">, S. K., Shamshiri, R. R., Sridhara, S., &amp; Rizan, N. (2023). The role of digital agriculture in mitigating climate change and ensuring food security: An overview. Sustainability, 15(6), 5325. </w:t>
      </w:r>
      <w:hyperlink r:id="rId9" w:history="1">
        <w:r w:rsidRPr="00C5384C">
          <w:rPr>
            <w:rStyle w:val="Hyperlink"/>
            <w:shd w:val="clear" w:color="auto" w:fill="FFFFFF"/>
          </w:rPr>
          <w:t>https://doi.org/10.3390/su15065325</w:t>
        </w:r>
      </w:hyperlink>
    </w:p>
    <w:p w14:paraId="456ACDB5" w14:textId="315E3B69" w:rsidR="004274A7" w:rsidRDefault="004274A7" w:rsidP="0049029A">
      <w:pPr>
        <w:pStyle w:val="NormalWeb"/>
        <w:ind w:left="720"/>
        <w:rPr>
          <w:color w:val="222222"/>
          <w:shd w:val="clear" w:color="auto" w:fill="FFFFFF"/>
        </w:rPr>
      </w:pPr>
      <w:r w:rsidRPr="004274A7">
        <w:rPr>
          <w:color w:val="222222"/>
          <w:shd w:val="clear" w:color="auto" w:fill="FFFFFF"/>
        </w:rPr>
        <w:t xml:space="preserve">Beach, R. H., Milliken, C., Franzen, K., &amp; Lapidus, D. (2025). Meta-analysis of the impacts of digital information interventions on agricultural development. Global Food Security. </w:t>
      </w:r>
      <w:hyperlink r:id="rId10" w:history="1">
        <w:r w:rsidRPr="00C5384C">
          <w:rPr>
            <w:rStyle w:val="Hyperlink"/>
            <w:shd w:val="clear" w:color="auto" w:fill="FFFFFF"/>
          </w:rPr>
          <w:t>https://doi.org/10.1016/j.gfs.2025.100866</w:t>
        </w:r>
      </w:hyperlink>
    </w:p>
    <w:p w14:paraId="05915C6A" w14:textId="797A1909" w:rsidR="004274A7" w:rsidRDefault="004274A7" w:rsidP="0049029A">
      <w:pPr>
        <w:pStyle w:val="NormalWeb"/>
        <w:ind w:left="720"/>
        <w:rPr>
          <w:color w:val="222222"/>
          <w:shd w:val="clear" w:color="auto" w:fill="FFFFFF"/>
        </w:rPr>
      </w:pPr>
      <w:r w:rsidRPr="004274A7">
        <w:rPr>
          <w:color w:val="222222"/>
          <w:shd w:val="clear" w:color="auto" w:fill="FFFFFF"/>
        </w:rPr>
        <w:t xml:space="preserve">Benos, L., </w:t>
      </w:r>
      <w:proofErr w:type="spellStart"/>
      <w:r w:rsidRPr="004274A7">
        <w:rPr>
          <w:color w:val="222222"/>
          <w:shd w:val="clear" w:color="auto" w:fill="FFFFFF"/>
        </w:rPr>
        <w:t>Tagarakis</w:t>
      </w:r>
      <w:proofErr w:type="spellEnd"/>
      <w:r w:rsidRPr="004274A7">
        <w:rPr>
          <w:color w:val="222222"/>
          <w:shd w:val="clear" w:color="auto" w:fill="FFFFFF"/>
        </w:rPr>
        <w:t xml:space="preserve">, A. C., </w:t>
      </w:r>
      <w:proofErr w:type="spellStart"/>
      <w:r w:rsidRPr="004274A7">
        <w:rPr>
          <w:color w:val="222222"/>
          <w:shd w:val="clear" w:color="auto" w:fill="FFFFFF"/>
        </w:rPr>
        <w:t>Dolias</w:t>
      </w:r>
      <w:proofErr w:type="spellEnd"/>
      <w:r w:rsidRPr="004274A7">
        <w:rPr>
          <w:color w:val="222222"/>
          <w:shd w:val="clear" w:color="auto" w:fill="FFFFFF"/>
        </w:rPr>
        <w:t xml:space="preserve">, G., </w:t>
      </w:r>
      <w:proofErr w:type="spellStart"/>
      <w:r w:rsidRPr="004274A7">
        <w:rPr>
          <w:color w:val="222222"/>
          <w:shd w:val="clear" w:color="auto" w:fill="FFFFFF"/>
        </w:rPr>
        <w:t>Berruto</w:t>
      </w:r>
      <w:proofErr w:type="spellEnd"/>
      <w:r w:rsidRPr="004274A7">
        <w:rPr>
          <w:color w:val="222222"/>
          <w:shd w:val="clear" w:color="auto" w:fill="FFFFFF"/>
        </w:rPr>
        <w:t xml:space="preserve">, R., </w:t>
      </w:r>
      <w:proofErr w:type="spellStart"/>
      <w:r w:rsidRPr="004274A7">
        <w:rPr>
          <w:color w:val="222222"/>
          <w:shd w:val="clear" w:color="auto" w:fill="FFFFFF"/>
        </w:rPr>
        <w:t>Kateris</w:t>
      </w:r>
      <w:proofErr w:type="spellEnd"/>
      <w:r w:rsidRPr="004274A7">
        <w:rPr>
          <w:color w:val="222222"/>
          <w:shd w:val="clear" w:color="auto" w:fill="FFFFFF"/>
        </w:rPr>
        <w:t xml:space="preserve">, D., &amp; Bochtis, D. (2021). Machine Learning in Agriculture: A Comprehensive Updated Review. Sensors, 21(11), 3758. </w:t>
      </w:r>
      <w:hyperlink r:id="rId11" w:history="1">
        <w:r w:rsidRPr="00C5384C">
          <w:rPr>
            <w:rStyle w:val="Hyperlink"/>
            <w:shd w:val="clear" w:color="auto" w:fill="FFFFFF"/>
          </w:rPr>
          <w:t>https://doi.org/10.3390/s21113758</w:t>
        </w:r>
      </w:hyperlink>
    </w:p>
    <w:p w14:paraId="483C2489" w14:textId="1C2B231D" w:rsidR="004274A7" w:rsidRDefault="004274A7" w:rsidP="0049029A">
      <w:pPr>
        <w:pStyle w:val="NormalWeb"/>
        <w:ind w:left="720"/>
        <w:rPr>
          <w:color w:val="222222"/>
          <w:shd w:val="clear" w:color="auto" w:fill="FFFFFF"/>
        </w:rPr>
      </w:pPr>
      <w:r w:rsidRPr="004274A7">
        <w:rPr>
          <w:color w:val="222222"/>
          <w:shd w:val="clear" w:color="auto" w:fill="FFFFFF"/>
        </w:rPr>
        <w:t xml:space="preserve">Bronson, K., &amp; Knezevic, I. (2016). Big Data in food and agriculture. Big Data &amp; Society. </w:t>
      </w:r>
      <w:hyperlink r:id="rId12" w:history="1">
        <w:r w:rsidRPr="00C5384C">
          <w:rPr>
            <w:rStyle w:val="Hyperlink"/>
            <w:shd w:val="clear" w:color="auto" w:fill="FFFFFF"/>
          </w:rPr>
          <w:t>https://doi.org/10.1177/2053951716648174</w:t>
        </w:r>
      </w:hyperlink>
    </w:p>
    <w:p w14:paraId="34B2CF81" w14:textId="34F67452" w:rsidR="004274A7" w:rsidRDefault="004274A7" w:rsidP="0049029A">
      <w:pPr>
        <w:pStyle w:val="NormalWeb"/>
        <w:ind w:left="720"/>
        <w:rPr>
          <w:color w:val="222222"/>
          <w:shd w:val="clear" w:color="auto" w:fill="FFFFFF"/>
        </w:rPr>
      </w:pPr>
      <w:r w:rsidRPr="004274A7">
        <w:rPr>
          <w:color w:val="222222"/>
          <w:shd w:val="clear" w:color="auto" w:fill="FFFFFF"/>
        </w:rPr>
        <w:t xml:space="preserve">Cai, Y., &amp; Wang, L. (2025). Impact of Digital Economy on Agricultural Green Total Factor Productivity: Evidence from the Quasi-Natural Experiment of the "Broadband China" Strategy. Frontiers in Sustainable Food Systems, 9, 1607567. </w:t>
      </w:r>
      <w:hyperlink r:id="rId13" w:history="1">
        <w:r w:rsidRPr="00C5384C">
          <w:rPr>
            <w:rStyle w:val="Hyperlink"/>
            <w:shd w:val="clear" w:color="auto" w:fill="FFFFFF"/>
          </w:rPr>
          <w:t>https://doi.org/10.3389/fsufs.2025.1607567</w:t>
        </w:r>
      </w:hyperlink>
    </w:p>
    <w:p w14:paraId="7EDD46D8" w14:textId="1561F694" w:rsidR="004274A7" w:rsidRDefault="004274A7" w:rsidP="0049029A">
      <w:pPr>
        <w:pStyle w:val="NormalWeb"/>
        <w:ind w:left="720"/>
        <w:rPr>
          <w:color w:val="222222"/>
          <w:shd w:val="clear" w:color="auto" w:fill="FFFFFF"/>
        </w:rPr>
      </w:pPr>
      <w:r w:rsidRPr="004274A7">
        <w:rPr>
          <w:color w:val="222222"/>
          <w:shd w:val="clear" w:color="auto" w:fill="FFFFFF"/>
        </w:rPr>
        <w:t xml:space="preserve">Carbonell, I. M. (2016). The ethics of big data in big agriculture. Internet Policy Review, 5(1), 1-13. </w:t>
      </w:r>
      <w:hyperlink r:id="rId14" w:history="1">
        <w:r w:rsidRPr="00C5384C">
          <w:rPr>
            <w:rStyle w:val="Hyperlink"/>
            <w:shd w:val="clear" w:color="auto" w:fill="FFFFFF"/>
          </w:rPr>
          <w:t>https://doi.org/10.14763/2016.1.405</w:t>
        </w:r>
      </w:hyperlink>
    </w:p>
    <w:p w14:paraId="7E3C1C2F" w14:textId="10B51E52" w:rsidR="004274A7" w:rsidRDefault="004274A7" w:rsidP="0049029A">
      <w:pPr>
        <w:pStyle w:val="NormalWeb"/>
        <w:ind w:left="720"/>
        <w:rPr>
          <w:color w:val="222222"/>
          <w:shd w:val="clear" w:color="auto" w:fill="FFFFFF"/>
        </w:rPr>
      </w:pPr>
      <w:r w:rsidRPr="004274A7">
        <w:rPr>
          <w:color w:val="222222"/>
          <w:shd w:val="clear" w:color="auto" w:fill="FFFFFF"/>
        </w:rPr>
        <w:t xml:space="preserve">Carolan, M. (2020). Acting like an algorithm: Digital farming platforms and the trajectories they (need not) lock-in. Agriculture and Human Values. </w:t>
      </w:r>
      <w:hyperlink r:id="rId15" w:history="1">
        <w:r w:rsidRPr="00C5384C">
          <w:rPr>
            <w:rStyle w:val="Hyperlink"/>
            <w:shd w:val="clear" w:color="auto" w:fill="FFFFFF"/>
          </w:rPr>
          <w:t>https://doi.org/10.1007/s10460-020-10032-w</w:t>
        </w:r>
      </w:hyperlink>
    </w:p>
    <w:p w14:paraId="16C5CA9E" w14:textId="3773F8A4" w:rsidR="004274A7" w:rsidRDefault="004274A7" w:rsidP="0049029A">
      <w:pPr>
        <w:pStyle w:val="NormalWeb"/>
        <w:ind w:left="720"/>
        <w:rPr>
          <w:color w:val="222222"/>
          <w:shd w:val="clear" w:color="auto" w:fill="FFFFFF"/>
        </w:rPr>
      </w:pPr>
      <w:proofErr w:type="spellStart"/>
      <w:r w:rsidRPr="004274A7">
        <w:rPr>
          <w:color w:val="222222"/>
          <w:shd w:val="clear" w:color="auto" w:fill="FFFFFF"/>
        </w:rPr>
        <w:t>Choruma</w:t>
      </w:r>
      <w:proofErr w:type="spellEnd"/>
      <w:r w:rsidRPr="004274A7">
        <w:rPr>
          <w:color w:val="222222"/>
          <w:shd w:val="clear" w:color="auto" w:fill="FFFFFF"/>
        </w:rPr>
        <w:t xml:space="preserve">, D. J., </w:t>
      </w:r>
      <w:proofErr w:type="spellStart"/>
      <w:r w:rsidRPr="004274A7">
        <w:rPr>
          <w:color w:val="222222"/>
          <w:shd w:val="clear" w:color="auto" w:fill="FFFFFF"/>
        </w:rPr>
        <w:t>Dirwai</w:t>
      </w:r>
      <w:proofErr w:type="spellEnd"/>
      <w:r w:rsidRPr="004274A7">
        <w:rPr>
          <w:color w:val="222222"/>
          <w:shd w:val="clear" w:color="auto" w:fill="FFFFFF"/>
        </w:rPr>
        <w:t xml:space="preserve">, T. L., </w:t>
      </w:r>
      <w:proofErr w:type="spellStart"/>
      <w:r w:rsidRPr="004274A7">
        <w:rPr>
          <w:color w:val="222222"/>
          <w:shd w:val="clear" w:color="auto" w:fill="FFFFFF"/>
        </w:rPr>
        <w:t>Mutenje</w:t>
      </w:r>
      <w:proofErr w:type="spellEnd"/>
      <w:r w:rsidRPr="004274A7">
        <w:rPr>
          <w:color w:val="222222"/>
          <w:shd w:val="clear" w:color="auto" w:fill="FFFFFF"/>
        </w:rPr>
        <w:t xml:space="preserve">, M. J., Mustafa, M., </w:t>
      </w:r>
      <w:proofErr w:type="spellStart"/>
      <w:r w:rsidRPr="004274A7">
        <w:rPr>
          <w:color w:val="222222"/>
          <w:shd w:val="clear" w:color="auto" w:fill="FFFFFF"/>
        </w:rPr>
        <w:t>Chimonyo</w:t>
      </w:r>
      <w:proofErr w:type="spellEnd"/>
      <w:r w:rsidRPr="004274A7">
        <w:rPr>
          <w:color w:val="222222"/>
          <w:shd w:val="clear" w:color="auto" w:fill="FFFFFF"/>
        </w:rPr>
        <w:t xml:space="preserve">, V. G. P., Jacobs-Mata, I., &amp; </w:t>
      </w:r>
      <w:proofErr w:type="spellStart"/>
      <w:r w:rsidRPr="004274A7">
        <w:rPr>
          <w:color w:val="222222"/>
          <w:shd w:val="clear" w:color="auto" w:fill="FFFFFF"/>
        </w:rPr>
        <w:t>Mabhaudhi</w:t>
      </w:r>
      <w:proofErr w:type="spellEnd"/>
      <w:r w:rsidRPr="004274A7">
        <w:rPr>
          <w:color w:val="222222"/>
          <w:shd w:val="clear" w:color="auto" w:fill="FFFFFF"/>
        </w:rPr>
        <w:t xml:space="preserve">, T. (2024). </w:t>
      </w:r>
      <w:proofErr w:type="spellStart"/>
      <w:r w:rsidRPr="004274A7">
        <w:rPr>
          <w:color w:val="222222"/>
          <w:shd w:val="clear" w:color="auto" w:fill="FFFFFF"/>
        </w:rPr>
        <w:t>Digitalisation</w:t>
      </w:r>
      <w:proofErr w:type="spellEnd"/>
      <w:r w:rsidRPr="004274A7">
        <w:rPr>
          <w:color w:val="222222"/>
          <w:shd w:val="clear" w:color="auto" w:fill="FFFFFF"/>
        </w:rPr>
        <w:t xml:space="preserve"> in agriculture: A scoping review of technologies in practice, challenges, and opportunities for smallholder farmers in sub-Saharan Africa. Journal of Agriculture and Food Research, 18, 101286. </w:t>
      </w:r>
      <w:hyperlink r:id="rId16" w:history="1">
        <w:r w:rsidRPr="00C5384C">
          <w:rPr>
            <w:rStyle w:val="Hyperlink"/>
            <w:shd w:val="clear" w:color="auto" w:fill="FFFFFF"/>
          </w:rPr>
          <w:t>https://doi.org/10.1016/j.jafr.2024.101286</w:t>
        </w:r>
      </w:hyperlink>
    </w:p>
    <w:p w14:paraId="0B33A4CF" w14:textId="437A1B61" w:rsidR="004274A7" w:rsidRDefault="004274A7" w:rsidP="0049029A">
      <w:pPr>
        <w:pStyle w:val="NormalWeb"/>
        <w:ind w:left="720"/>
        <w:rPr>
          <w:color w:val="222222"/>
          <w:shd w:val="clear" w:color="auto" w:fill="FFFFFF"/>
        </w:rPr>
      </w:pPr>
      <w:r w:rsidRPr="004274A7">
        <w:rPr>
          <w:color w:val="222222"/>
          <w:shd w:val="clear" w:color="auto" w:fill="FFFFFF"/>
        </w:rPr>
        <w:t xml:space="preserve">Clapp, J., Moseley, W. G., Burlingame, B., &amp; Termine, P. (2022). Viewpoint: The case for a six-dimensional food security framework. Food Policy, 106, 102164. </w:t>
      </w:r>
      <w:hyperlink r:id="rId17" w:history="1">
        <w:r w:rsidRPr="00C5384C">
          <w:rPr>
            <w:rStyle w:val="Hyperlink"/>
            <w:shd w:val="clear" w:color="auto" w:fill="FFFFFF"/>
          </w:rPr>
          <w:t>https://doi.org/10.1016/j.foodpol.2021.102164</w:t>
        </w:r>
      </w:hyperlink>
    </w:p>
    <w:p w14:paraId="621F194A" w14:textId="1294180F" w:rsidR="004274A7" w:rsidRDefault="004274A7" w:rsidP="0049029A">
      <w:pPr>
        <w:pStyle w:val="NormalWeb"/>
        <w:ind w:left="720"/>
        <w:rPr>
          <w:color w:val="222222"/>
          <w:shd w:val="clear" w:color="auto" w:fill="FFFFFF"/>
        </w:rPr>
      </w:pPr>
      <w:r w:rsidRPr="004274A7">
        <w:rPr>
          <w:color w:val="222222"/>
          <w:shd w:val="clear" w:color="auto" w:fill="FFFFFF"/>
        </w:rPr>
        <w:t xml:space="preserve">Daum, T. (2025). Digitalization and skills in agriculture. Outlook on Agriculture </w:t>
      </w:r>
      <w:hyperlink r:id="rId18" w:history="1">
        <w:r w:rsidRPr="00C5384C">
          <w:rPr>
            <w:rStyle w:val="Hyperlink"/>
            <w:shd w:val="clear" w:color="auto" w:fill="FFFFFF"/>
          </w:rPr>
          <w:t>https://doi.org/10.1177/00307270251336474</w:t>
        </w:r>
      </w:hyperlink>
    </w:p>
    <w:p w14:paraId="23FA1485" w14:textId="165CA9C0" w:rsidR="004274A7" w:rsidRDefault="004274A7" w:rsidP="0049029A">
      <w:pPr>
        <w:pStyle w:val="NormalWeb"/>
        <w:ind w:left="720"/>
        <w:rPr>
          <w:color w:val="222222"/>
          <w:shd w:val="clear" w:color="auto" w:fill="FFFFFF"/>
        </w:rPr>
      </w:pPr>
      <w:r w:rsidRPr="004274A7">
        <w:rPr>
          <w:color w:val="222222"/>
          <w:shd w:val="clear" w:color="auto" w:fill="FFFFFF"/>
        </w:rPr>
        <w:t xml:space="preserve">Finger, R. (2023). Digital innovations for sustainable and resilient agricultural systems. European Review of Agricultural Economics, 50(4), 1277-1309. </w:t>
      </w:r>
      <w:hyperlink r:id="rId19" w:history="1">
        <w:r w:rsidRPr="00C5384C">
          <w:rPr>
            <w:rStyle w:val="Hyperlink"/>
            <w:shd w:val="clear" w:color="auto" w:fill="FFFFFF"/>
          </w:rPr>
          <w:t>https://doi.org/10.1093/erae/jbad021</w:t>
        </w:r>
      </w:hyperlink>
    </w:p>
    <w:p w14:paraId="49C70AFD" w14:textId="4F9E66B3" w:rsidR="004274A7" w:rsidRDefault="004274A7" w:rsidP="0049029A">
      <w:pPr>
        <w:pStyle w:val="NormalWeb"/>
        <w:ind w:left="720"/>
        <w:rPr>
          <w:color w:val="222222"/>
          <w:shd w:val="clear" w:color="auto" w:fill="FFFFFF"/>
        </w:rPr>
      </w:pPr>
      <w:r w:rsidRPr="004274A7">
        <w:rPr>
          <w:color w:val="222222"/>
          <w:shd w:val="clear" w:color="auto" w:fill="FFFFFF"/>
        </w:rPr>
        <w:t xml:space="preserve">Fuentes-Peñailillo, F., Gutter, K., Vega, R., &amp; Silva, G. C. (2024). Transformative technologies in digital agriculture: Leveraging Internet of Things, remote sensing, and artificial intelligence for smart crop management. Journal of Sensor and Actuator Networks, 13(4), 39. </w:t>
      </w:r>
      <w:hyperlink r:id="rId20" w:history="1">
        <w:r w:rsidRPr="00C5384C">
          <w:rPr>
            <w:rStyle w:val="Hyperlink"/>
            <w:shd w:val="clear" w:color="auto" w:fill="FFFFFF"/>
          </w:rPr>
          <w:t>https://doi.org/10.3390/jsan13040039</w:t>
        </w:r>
      </w:hyperlink>
    </w:p>
    <w:p w14:paraId="3B4B4762" w14:textId="269C8904" w:rsidR="004274A7" w:rsidRDefault="004274A7" w:rsidP="0049029A">
      <w:pPr>
        <w:pStyle w:val="NormalWeb"/>
        <w:ind w:left="720"/>
        <w:rPr>
          <w:color w:val="222222"/>
          <w:shd w:val="clear" w:color="auto" w:fill="FFFFFF"/>
        </w:rPr>
      </w:pPr>
      <w:r w:rsidRPr="004274A7">
        <w:rPr>
          <w:color w:val="222222"/>
          <w:shd w:val="clear" w:color="auto" w:fill="FFFFFF"/>
        </w:rPr>
        <w:lastRenderedPageBreak/>
        <w:t xml:space="preserve">Gong, Q., &amp; Tang, W. (2025). How Digital Technology Innovation Drives Agricultural Sustainability? A Mechanism Study Based on Green Total Factor Productivity. Frontiers in Sustainable Food Systems </w:t>
      </w:r>
      <w:hyperlink r:id="rId21" w:history="1">
        <w:r w:rsidRPr="00C5384C">
          <w:rPr>
            <w:rStyle w:val="Hyperlink"/>
            <w:shd w:val="clear" w:color="auto" w:fill="FFFFFF"/>
          </w:rPr>
          <w:t>https://doi.org/10.3389/fsufs.2025.1660992</w:t>
        </w:r>
      </w:hyperlink>
    </w:p>
    <w:p w14:paraId="16B49082" w14:textId="382D4392" w:rsidR="004274A7" w:rsidRDefault="004274A7" w:rsidP="0049029A">
      <w:pPr>
        <w:pStyle w:val="NormalWeb"/>
        <w:ind w:left="720"/>
        <w:rPr>
          <w:color w:val="222222"/>
          <w:shd w:val="clear" w:color="auto" w:fill="FFFFFF"/>
        </w:rPr>
      </w:pPr>
      <w:proofErr w:type="spellStart"/>
      <w:r w:rsidRPr="004274A7">
        <w:rPr>
          <w:color w:val="222222"/>
          <w:shd w:val="clear" w:color="auto" w:fill="FFFFFF"/>
        </w:rPr>
        <w:t>Guiné</w:t>
      </w:r>
      <w:proofErr w:type="spellEnd"/>
      <w:r w:rsidRPr="004274A7">
        <w:rPr>
          <w:color w:val="222222"/>
          <w:shd w:val="clear" w:color="auto" w:fill="FFFFFF"/>
        </w:rPr>
        <w:t xml:space="preserve">, R. d. P. F., Pato, M. L. d. J., Costa, C. A. d., Costa, D. d. V. T. A. d., Silva, P. B. C. d., &amp; Martinho, V. J. P. D. (2021). Food Security and Sustainability: Discussing the Four Pillars to Encompass Other Dimensions. Foods, 10(11), 2732. </w:t>
      </w:r>
      <w:hyperlink r:id="rId22" w:history="1">
        <w:r w:rsidRPr="00C5384C">
          <w:rPr>
            <w:rStyle w:val="Hyperlink"/>
            <w:shd w:val="clear" w:color="auto" w:fill="FFFFFF"/>
          </w:rPr>
          <w:t>https://doi.org/10.3390/foods10112732</w:t>
        </w:r>
      </w:hyperlink>
    </w:p>
    <w:p w14:paraId="082ECCD0" w14:textId="46C928CE" w:rsidR="004274A7" w:rsidRDefault="004274A7" w:rsidP="0049029A">
      <w:pPr>
        <w:pStyle w:val="NormalWeb"/>
        <w:ind w:left="720"/>
        <w:rPr>
          <w:color w:val="222222"/>
          <w:shd w:val="clear" w:color="auto" w:fill="FFFFFF"/>
        </w:rPr>
      </w:pPr>
      <w:r w:rsidRPr="004274A7">
        <w:rPr>
          <w:color w:val="222222"/>
          <w:shd w:val="clear" w:color="auto" w:fill="FFFFFF"/>
        </w:rPr>
        <w:t xml:space="preserve">Klerkx, L., &amp; Rose, D. (2020). Dealing with the game-changing technologies of Agriculture 4.0: How do we manage diversity and responsibility in food system transition </w:t>
      </w:r>
      <w:proofErr w:type="gramStart"/>
      <w:r w:rsidRPr="004274A7">
        <w:rPr>
          <w:color w:val="222222"/>
          <w:shd w:val="clear" w:color="auto" w:fill="FFFFFF"/>
        </w:rPr>
        <w:t>pathways?.</w:t>
      </w:r>
      <w:proofErr w:type="gramEnd"/>
      <w:r w:rsidRPr="004274A7">
        <w:rPr>
          <w:color w:val="222222"/>
          <w:shd w:val="clear" w:color="auto" w:fill="FFFFFF"/>
        </w:rPr>
        <w:t xml:space="preserve"> Global Food Security, 24, 100347. </w:t>
      </w:r>
      <w:hyperlink r:id="rId23" w:history="1">
        <w:r w:rsidRPr="00C5384C">
          <w:rPr>
            <w:rStyle w:val="Hyperlink"/>
            <w:shd w:val="clear" w:color="auto" w:fill="FFFFFF"/>
          </w:rPr>
          <w:t>https://doi.org/10.1016/j.gfs.2019.100347</w:t>
        </w:r>
      </w:hyperlink>
    </w:p>
    <w:p w14:paraId="16BE947A" w14:textId="1C45D7EF" w:rsidR="004274A7" w:rsidRDefault="004274A7" w:rsidP="0049029A">
      <w:pPr>
        <w:pStyle w:val="NormalWeb"/>
        <w:ind w:left="720"/>
        <w:rPr>
          <w:color w:val="222222"/>
          <w:shd w:val="clear" w:color="auto" w:fill="FFFFFF"/>
        </w:rPr>
      </w:pPr>
      <w:r w:rsidRPr="004274A7">
        <w:rPr>
          <w:color w:val="222222"/>
          <w:shd w:val="clear" w:color="auto" w:fill="FFFFFF"/>
        </w:rPr>
        <w:t xml:space="preserve">Klerkx, L., Jakku, E., &amp; Labarthe, P. (2019). A review of social science on digital agriculture, smart farming and agriculture 4.0: New contributions and a future research agenda. NJAS-Wageningen Journal of Life Sciences </w:t>
      </w:r>
      <w:hyperlink r:id="rId24" w:history="1">
        <w:r w:rsidRPr="00C5384C">
          <w:rPr>
            <w:rStyle w:val="Hyperlink"/>
            <w:shd w:val="clear" w:color="auto" w:fill="FFFFFF"/>
          </w:rPr>
          <w:t>https://doi.org/10.1016/j.njas.2019.100315</w:t>
        </w:r>
      </w:hyperlink>
    </w:p>
    <w:p w14:paraId="2CA85156" w14:textId="6AA61189" w:rsidR="004274A7" w:rsidRDefault="004274A7" w:rsidP="0049029A">
      <w:pPr>
        <w:pStyle w:val="NormalWeb"/>
        <w:ind w:left="720"/>
        <w:rPr>
          <w:color w:val="222222"/>
          <w:shd w:val="clear" w:color="auto" w:fill="FFFFFF"/>
        </w:rPr>
      </w:pPr>
      <w:r w:rsidRPr="004274A7">
        <w:rPr>
          <w:color w:val="222222"/>
          <w:shd w:val="clear" w:color="auto" w:fill="FFFFFF"/>
        </w:rPr>
        <w:t xml:space="preserve">Lajoie-O'Malley, A., Bronson, K., van der Burg, S., &amp; Klerkx, L. (2020). The future(s) of digital agriculture and sustainable food systems: An analysis of high-level policy documents. Ecosystem Services, 45, 101183. </w:t>
      </w:r>
      <w:hyperlink r:id="rId25" w:history="1">
        <w:r w:rsidRPr="00C5384C">
          <w:rPr>
            <w:rStyle w:val="Hyperlink"/>
            <w:shd w:val="clear" w:color="auto" w:fill="FFFFFF"/>
          </w:rPr>
          <w:t>https://doi.org/10.1016/j.ecoser.2020.101183</w:t>
        </w:r>
      </w:hyperlink>
    </w:p>
    <w:p w14:paraId="0952807B" w14:textId="1FFCF5F4" w:rsidR="004274A7" w:rsidRDefault="004274A7" w:rsidP="0049029A">
      <w:pPr>
        <w:pStyle w:val="NormalWeb"/>
        <w:ind w:left="720"/>
        <w:rPr>
          <w:color w:val="222222"/>
          <w:shd w:val="clear" w:color="auto" w:fill="FFFFFF"/>
        </w:rPr>
      </w:pPr>
      <w:r w:rsidRPr="004274A7">
        <w:rPr>
          <w:color w:val="222222"/>
          <w:shd w:val="clear" w:color="auto" w:fill="FFFFFF"/>
        </w:rPr>
        <w:t xml:space="preserve">Lei, D., Lin, H., &amp; Tai, Y. (2023). Research on Innovation of Agricultural Product Logistics Circulation System under the Background of Big Data. Engineering Proceedings, 38(1), 54. </w:t>
      </w:r>
      <w:hyperlink r:id="rId26" w:history="1">
        <w:r w:rsidRPr="00C5384C">
          <w:rPr>
            <w:rStyle w:val="Hyperlink"/>
            <w:shd w:val="clear" w:color="auto" w:fill="FFFFFF"/>
          </w:rPr>
          <w:t>https://doi.org/10.3390/engproc2023038054</w:t>
        </w:r>
      </w:hyperlink>
    </w:p>
    <w:p w14:paraId="7AB82895" w14:textId="13BAD71F" w:rsidR="004274A7" w:rsidRDefault="004274A7" w:rsidP="0049029A">
      <w:pPr>
        <w:pStyle w:val="NormalWeb"/>
        <w:ind w:left="720"/>
        <w:rPr>
          <w:color w:val="222222"/>
          <w:shd w:val="clear" w:color="auto" w:fill="FFFFFF"/>
        </w:rPr>
      </w:pPr>
      <w:r w:rsidRPr="004274A7">
        <w:rPr>
          <w:color w:val="222222"/>
          <w:shd w:val="clear" w:color="auto" w:fill="FFFFFF"/>
        </w:rPr>
        <w:t xml:space="preserve">Liu, L., &amp; Liu, K. (2023). Can digital technology promote sustainable agriculture? Empirical evidence from urban China. Cogent Food &amp; Agriculture, 9(2), 2282234. </w:t>
      </w:r>
      <w:hyperlink r:id="rId27" w:history="1">
        <w:r w:rsidRPr="00C5384C">
          <w:rPr>
            <w:rStyle w:val="Hyperlink"/>
            <w:shd w:val="clear" w:color="auto" w:fill="FFFFFF"/>
          </w:rPr>
          <w:t>https://doi.org/10.1080/23311932.2023.2282234</w:t>
        </w:r>
      </w:hyperlink>
    </w:p>
    <w:p w14:paraId="58341C89" w14:textId="3CE5C9EA" w:rsidR="004274A7" w:rsidRDefault="004274A7" w:rsidP="0049029A">
      <w:pPr>
        <w:pStyle w:val="NormalWeb"/>
        <w:ind w:left="720"/>
        <w:rPr>
          <w:color w:val="222222"/>
          <w:shd w:val="clear" w:color="auto" w:fill="FFFFFF"/>
        </w:rPr>
      </w:pPr>
      <w:r w:rsidRPr="004274A7">
        <w:rPr>
          <w:color w:val="222222"/>
          <w:shd w:val="clear" w:color="auto" w:fill="FFFFFF"/>
        </w:rPr>
        <w:t xml:space="preserve">MacPherson, J., </w:t>
      </w:r>
      <w:proofErr w:type="spellStart"/>
      <w:r w:rsidRPr="004274A7">
        <w:rPr>
          <w:color w:val="222222"/>
          <w:shd w:val="clear" w:color="auto" w:fill="FFFFFF"/>
        </w:rPr>
        <w:t>Voglhuber-Slavinsky</w:t>
      </w:r>
      <w:proofErr w:type="spellEnd"/>
      <w:r w:rsidRPr="004274A7">
        <w:rPr>
          <w:color w:val="222222"/>
          <w:shd w:val="clear" w:color="auto" w:fill="FFFFFF"/>
        </w:rPr>
        <w:t xml:space="preserve">, A., </w:t>
      </w:r>
      <w:proofErr w:type="spellStart"/>
      <w:r w:rsidRPr="004274A7">
        <w:rPr>
          <w:color w:val="222222"/>
          <w:shd w:val="clear" w:color="auto" w:fill="FFFFFF"/>
        </w:rPr>
        <w:t>Olbrisch</w:t>
      </w:r>
      <w:proofErr w:type="spellEnd"/>
      <w:r w:rsidRPr="004274A7">
        <w:rPr>
          <w:color w:val="222222"/>
          <w:shd w:val="clear" w:color="auto" w:fill="FFFFFF"/>
        </w:rPr>
        <w:t xml:space="preserve">, M., Schöbel, P., Dönitz, E., </w:t>
      </w:r>
      <w:proofErr w:type="spellStart"/>
      <w:r w:rsidRPr="004274A7">
        <w:rPr>
          <w:color w:val="222222"/>
          <w:shd w:val="clear" w:color="auto" w:fill="FFFFFF"/>
        </w:rPr>
        <w:t>Mouratiadou</w:t>
      </w:r>
      <w:proofErr w:type="spellEnd"/>
      <w:r w:rsidRPr="004274A7">
        <w:rPr>
          <w:color w:val="222222"/>
          <w:shd w:val="clear" w:color="auto" w:fill="FFFFFF"/>
        </w:rPr>
        <w:t xml:space="preserve">, I., &amp; Helming, K. (2022). Future agricultural systems and the role of digitalization for achieving sustainability goals. A review. Agronomy for Sustainable Development, 42(4), 70. </w:t>
      </w:r>
      <w:hyperlink r:id="rId28" w:history="1">
        <w:r w:rsidRPr="00C5384C">
          <w:rPr>
            <w:rStyle w:val="Hyperlink"/>
            <w:shd w:val="clear" w:color="auto" w:fill="FFFFFF"/>
          </w:rPr>
          <w:t>https://doi.org/10.1007/s13593-022-00792-6</w:t>
        </w:r>
      </w:hyperlink>
    </w:p>
    <w:p w14:paraId="7AC7EB62" w14:textId="5471FED7" w:rsidR="004274A7" w:rsidRDefault="004274A7" w:rsidP="0049029A">
      <w:pPr>
        <w:pStyle w:val="NormalWeb"/>
        <w:ind w:left="720"/>
        <w:rPr>
          <w:color w:val="222222"/>
          <w:shd w:val="clear" w:color="auto" w:fill="FFFFFF"/>
        </w:rPr>
      </w:pPr>
      <w:r w:rsidRPr="004274A7">
        <w:rPr>
          <w:color w:val="222222"/>
          <w:shd w:val="clear" w:color="auto" w:fill="FFFFFF"/>
        </w:rPr>
        <w:t xml:space="preserve">Mansoor, S., Iqbal, S., Popescu, S. M., Kim, S. L., Chung, Y. S., &amp; Baek, J. H. (2025). Integration of smart sensors and IOT in precision agriculture: trends, challenges and future prospectives. Frontiers in Plant Science, 16, 1587869. </w:t>
      </w:r>
      <w:hyperlink r:id="rId29" w:history="1">
        <w:r w:rsidRPr="00C5384C">
          <w:rPr>
            <w:rStyle w:val="Hyperlink"/>
            <w:shd w:val="clear" w:color="auto" w:fill="FFFFFF"/>
          </w:rPr>
          <w:t>https://doi.org/10.3389/fpls.2025.1587869</w:t>
        </w:r>
      </w:hyperlink>
    </w:p>
    <w:p w14:paraId="01530DB3" w14:textId="67AE8B20" w:rsidR="004274A7" w:rsidRDefault="004274A7" w:rsidP="0049029A">
      <w:pPr>
        <w:pStyle w:val="NormalWeb"/>
        <w:ind w:left="720"/>
        <w:rPr>
          <w:color w:val="222222"/>
          <w:shd w:val="clear" w:color="auto" w:fill="FFFFFF"/>
        </w:rPr>
      </w:pPr>
      <w:r w:rsidRPr="004274A7">
        <w:rPr>
          <w:color w:val="222222"/>
          <w:shd w:val="clear" w:color="auto" w:fill="FFFFFF"/>
        </w:rPr>
        <w:t xml:space="preserve">Manzoor, F., Wei, L., Siraj, M., Lu, J., &amp; </w:t>
      </w:r>
      <w:proofErr w:type="spellStart"/>
      <w:r w:rsidRPr="004274A7">
        <w:rPr>
          <w:color w:val="222222"/>
          <w:shd w:val="clear" w:color="auto" w:fill="FFFFFF"/>
        </w:rPr>
        <w:t>Qiyang</w:t>
      </w:r>
      <w:proofErr w:type="spellEnd"/>
      <w:r w:rsidRPr="004274A7">
        <w:rPr>
          <w:color w:val="222222"/>
          <w:shd w:val="clear" w:color="auto" w:fill="FFFFFF"/>
        </w:rPr>
        <w:t xml:space="preserve">, S. (2025). Digital agriculture technology adoption in low and middle-income countries—a review of contemporary literature. Frontiers in Sustainable Food Systems. </w:t>
      </w:r>
      <w:hyperlink r:id="rId30" w:history="1">
        <w:r w:rsidRPr="00C5384C">
          <w:rPr>
            <w:rStyle w:val="Hyperlink"/>
            <w:shd w:val="clear" w:color="auto" w:fill="FFFFFF"/>
          </w:rPr>
          <w:t>https://doi.org/10.3389/fsufs.2025.1621851</w:t>
        </w:r>
      </w:hyperlink>
    </w:p>
    <w:p w14:paraId="34138138" w14:textId="7E38F587" w:rsidR="004274A7" w:rsidRDefault="004274A7" w:rsidP="0049029A">
      <w:pPr>
        <w:pStyle w:val="NormalWeb"/>
        <w:ind w:left="720"/>
        <w:rPr>
          <w:color w:val="222222"/>
          <w:shd w:val="clear" w:color="auto" w:fill="FFFFFF"/>
        </w:rPr>
      </w:pPr>
      <w:r w:rsidRPr="004274A7">
        <w:rPr>
          <w:color w:val="222222"/>
          <w:shd w:val="clear" w:color="auto" w:fill="FFFFFF"/>
        </w:rPr>
        <w:lastRenderedPageBreak/>
        <w:t xml:space="preserve">Misra, N. N., Dixit, Y., Al-Mallahi, A., Bhullar, M. S., Upadhyay, R., &amp; Martynenko, A. (2020). IoT, big data, and artificial intelligence in agriculture and food industry. IEEE Internet of Things Journal. </w:t>
      </w:r>
      <w:hyperlink r:id="rId31" w:history="1">
        <w:r w:rsidRPr="00C5384C">
          <w:rPr>
            <w:rStyle w:val="Hyperlink"/>
            <w:shd w:val="clear" w:color="auto" w:fill="FFFFFF"/>
          </w:rPr>
          <w:t>https://doi.org/10.1109/JIOT.2020.2998584</w:t>
        </w:r>
      </w:hyperlink>
    </w:p>
    <w:p w14:paraId="0B027BDE" w14:textId="4E1C01AB" w:rsidR="004274A7" w:rsidRDefault="004274A7" w:rsidP="0049029A">
      <w:pPr>
        <w:pStyle w:val="NormalWeb"/>
        <w:ind w:left="720"/>
        <w:rPr>
          <w:color w:val="222222"/>
          <w:shd w:val="clear" w:color="auto" w:fill="FFFFFF"/>
        </w:rPr>
      </w:pPr>
      <w:r w:rsidRPr="004274A7">
        <w:rPr>
          <w:color w:val="222222"/>
          <w:shd w:val="clear" w:color="auto" w:fill="FFFFFF"/>
        </w:rPr>
        <w:t xml:space="preserve">Monteiro, A. C., Santos, S., &amp; Gonçalves, P. (2021). Precision Agriculture for Crop and Livestock Farming—Brief Review. Animals, 11(8), 2345 </w:t>
      </w:r>
      <w:hyperlink r:id="rId32" w:history="1">
        <w:r w:rsidRPr="00C5384C">
          <w:rPr>
            <w:rStyle w:val="Hyperlink"/>
            <w:shd w:val="clear" w:color="auto" w:fill="FFFFFF"/>
          </w:rPr>
          <w:t>https://doi.org/10.3390/ani11082345</w:t>
        </w:r>
      </w:hyperlink>
    </w:p>
    <w:p w14:paraId="2F309A99" w14:textId="167643F0" w:rsidR="004274A7" w:rsidRDefault="004274A7" w:rsidP="0049029A">
      <w:pPr>
        <w:pStyle w:val="NormalWeb"/>
        <w:ind w:left="720"/>
        <w:rPr>
          <w:color w:val="222222"/>
          <w:shd w:val="clear" w:color="auto" w:fill="FFFFFF"/>
        </w:rPr>
      </w:pPr>
      <w:r w:rsidRPr="004274A7">
        <w:rPr>
          <w:color w:val="222222"/>
          <w:shd w:val="clear" w:color="auto" w:fill="FFFFFF"/>
        </w:rPr>
        <w:t xml:space="preserve">Nxumalo, G. S., &amp; Chauke, H. (2025). Challenges and opportunities in smallholder agriculture digitization in South Africa. Frontiers in Sustainable Food Systems, 9, 1583224. </w:t>
      </w:r>
      <w:hyperlink r:id="rId33" w:history="1">
        <w:r w:rsidRPr="00C5384C">
          <w:rPr>
            <w:rStyle w:val="Hyperlink"/>
            <w:shd w:val="clear" w:color="auto" w:fill="FFFFFF"/>
          </w:rPr>
          <w:t>https://doi.org/10.3389/fsufs.2025.1583224</w:t>
        </w:r>
      </w:hyperlink>
    </w:p>
    <w:p w14:paraId="0C4852D2" w14:textId="3D1BD425" w:rsidR="004274A7" w:rsidRDefault="004274A7" w:rsidP="0049029A">
      <w:pPr>
        <w:pStyle w:val="NormalWeb"/>
        <w:ind w:left="720"/>
        <w:rPr>
          <w:color w:val="222222"/>
          <w:shd w:val="clear" w:color="auto" w:fill="FFFFFF"/>
        </w:rPr>
      </w:pPr>
      <w:r w:rsidRPr="004274A7">
        <w:rPr>
          <w:color w:val="222222"/>
          <w:shd w:val="clear" w:color="auto" w:fill="FFFFFF"/>
        </w:rPr>
        <w:t xml:space="preserve">Pandey, D. K., &amp; Mishra, R. (2024). Towards sustainable agriculture: Harnessing AI for global food security. Artificial Intelligence in Agriculture, 12, 72-84. </w:t>
      </w:r>
      <w:hyperlink r:id="rId34" w:history="1">
        <w:r w:rsidRPr="00C5384C">
          <w:rPr>
            <w:rStyle w:val="Hyperlink"/>
            <w:shd w:val="clear" w:color="auto" w:fill="FFFFFF"/>
          </w:rPr>
          <w:t>https://doi.org/10.1016/j.aiia.2024.04.003</w:t>
        </w:r>
      </w:hyperlink>
    </w:p>
    <w:p w14:paraId="75991DF5" w14:textId="45799409" w:rsidR="004274A7" w:rsidRDefault="004274A7" w:rsidP="0049029A">
      <w:pPr>
        <w:pStyle w:val="NormalWeb"/>
        <w:ind w:left="720"/>
        <w:rPr>
          <w:color w:val="222222"/>
          <w:shd w:val="clear" w:color="auto" w:fill="FFFFFF"/>
        </w:rPr>
      </w:pPr>
      <w:r w:rsidRPr="004274A7">
        <w:rPr>
          <w:color w:val="222222"/>
          <w:shd w:val="clear" w:color="auto" w:fill="FFFFFF"/>
        </w:rPr>
        <w:t xml:space="preserve">Pérez-Escamilla, R. (2024). Food and nutrition security definitions, constructs, frameworks, measurements, and applications: global lessons. Frontiers in Public Health. </w:t>
      </w:r>
      <w:hyperlink r:id="rId35" w:history="1">
        <w:r w:rsidRPr="00C5384C">
          <w:rPr>
            <w:rStyle w:val="Hyperlink"/>
            <w:shd w:val="clear" w:color="auto" w:fill="FFFFFF"/>
          </w:rPr>
          <w:t>https://doi.org/10.3389/fpubh.2024.1340149</w:t>
        </w:r>
      </w:hyperlink>
    </w:p>
    <w:p w14:paraId="05E4CA91" w14:textId="197A242E" w:rsidR="004274A7" w:rsidRDefault="004274A7" w:rsidP="0049029A">
      <w:pPr>
        <w:pStyle w:val="NormalWeb"/>
        <w:ind w:left="720"/>
        <w:rPr>
          <w:color w:val="222222"/>
          <w:shd w:val="clear" w:color="auto" w:fill="FFFFFF"/>
        </w:rPr>
      </w:pPr>
      <w:r w:rsidRPr="004274A7">
        <w:rPr>
          <w:color w:val="222222"/>
          <w:shd w:val="clear" w:color="auto" w:fill="FFFFFF"/>
        </w:rPr>
        <w:t xml:space="preserve">Porciello, J., Coggins, S., Mabaya, E., &amp; </w:t>
      </w:r>
      <w:proofErr w:type="spellStart"/>
      <w:r w:rsidRPr="004274A7">
        <w:rPr>
          <w:color w:val="222222"/>
          <w:shd w:val="clear" w:color="auto" w:fill="FFFFFF"/>
        </w:rPr>
        <w:t>Otunba</w:t>
      </w:r>
      <w:proofErr w:type="spellEnd"/>
      <w:r w:rsidRPr="004274A7">
        <w:rPr>
          <w:color w:val="222222"/>
          <w:shd w:val="clear" w:color="auto" w:fill="FFFFFF"/>
        </w:rPr>
        <w:t xml:space="preserve">-Payne, G. (2022). Digital agriculture services in low-and middle-income countries: A systematic scoping review. Global food security, 34, 100640. </w:t>
      </w:r>
      <w:hyperlink r:id="rId36" w:history="1">
        <w:r w:rsidRPr="00C5384C">
          <w:rPr>
            <w:rStyle w:val="Hyperlink"/>
            <w:shd w:val="clear" w:color="auto" w:fill="FFFFFF"/>
          </w:rPr>
          <w:t>https://doi.org/10.1016/j.gfs.2022.100640</w:t>
        </w:r>
      </w:hyperlink>
    </w:p>
    <w:p w14:paraId="6716249A" w14:textId="30967AA2" w:rsidR="004274A7" w:rsidRDefault="004274A7" w:rsidP="0049029A">
      <w:pPr>
        <w:pStyle w:val="NormalWeb"/>
        <w:ind w:left="720"/>
        <w:rPr>
          <w:color w:val="222222"/>
          <w:shd w:val="clear" w:color="auto" w:fill="FFFFFF"/>
        </w:rPr>
      </w:pPr>
      <w:r w:rsidRPr="004274A7">
        <w:rPr>
          <w:color w:val="222222"/>
          <w:shd w:val="clear" w:color="auto" w:fill="FFFFFF"/>
        </w:rPr>
        <w:t xml:space="preserve">Rajkhowa, P., &amp; Qaim, M. (2021). Personalized digital extension services and agricultural performance: Evidence from smallholder farmers in India. </w:t>
      </w:r>
      <w:proofErr w:type="spellStart"/>
      <w:r w:rsidRPr="004274A7">
        <w:rPr>
          <w:color w:val="222222"/>
          <w:shd w:val="clear" w:color="auto" w:fill="FFFFFF"/>
        </w:rPr>
        <w:t>PloS</w:t>
      </w:r>
      <w:proofErr w:type="spellEnd"/>
      <w:r w:rsidRPr="004274A7">
        <w:rPr>
          <w:color w:val="222222"/>
          <w:shd w:val="clear" w:color="auto" w:fill="FFFFFF"/>
        </w:rPr>
        <w:t xml:space="preserve"> one, 16(10), e0259319. </w:t>
      </w:r>
      <w:hyperlink r:id="rId37" w:history="1">
        <w:r w:rsidRPr="00C5384C">
          <w:rPr>
            <w:rStyle w:val="Hyperlink"/>
            <w:shd w:val="clear" w:color="auto" w:fill="FFFFFF"/>
          </w:rPr>
          <w:t>https://doi.org/10.1371/journal.pone.0259319</w:t>
        </w:r>
      </w:hyperlink>
    </w:p>
    <w:p w14:paraId="45AD676E" w14:textId="08624D86" w:rsidR="004274A7" w:rsidRDefault="004274A7" w:rsidP="0049029A">
      <w:pPr>
        <w:pStyle w:val="NormalWeb"/>
        <w:ind w:left="720"/>
        <w:rPr>
          <w:color w:val="222222"/>
          <w:shd w:val="clear" w:color="auto" w:fill="FFFFFF"/>
        </w:rPr>
      </w:pPr>
      <w:r w:rsidRPr="004274A7">
        <w:rPr>
          <w:color w:val="222222"/>
          <w:shd w:val="clear" w:color="auto" w:fill="FFFFFF"/>
        </w:rPr>
        <w:t xml:space="preserve">Regan, Á. (2021). Exploring the readiness of publicly funded researchers to practice responsible research and innovation in digital agriculture. Journal of Responsible Innovation, 8(1), 28-47. </w:t>
      </w:r>
      <w:hyperlink r:id="rId38" w:history="1">
        <w:r w:rsidRPr="00C5384C">
          <w:rPr>
            <w:rStyle w:val="Hyperlink"/>
            <w:shd w:val="clear" w:color="auto" w:fill="FFFFFF"/>
          </w:rPr>
          <w:t>https://doi.org/10.1080/23299460.2021.1904755</w:t>
        </w:r>
      </w:hyperlink>
    </w:p>
    <w:p w14:paraId="761641DA" w14:textId="52C897BE" w:rsidR="00C1718D" w:rsidRDefault="00C1718D" w:rsidP="0049029A">
      <w:pPr>
        <w:pStyle w:val="NormalWeb"/>
        <w:ind w:left="720"/>
        <w:rPr>
          <w:color w:val="222222"/>
          <w:shd w:val="clear" w:color="auto" w:fill="FFFFFF"/>
        </w:rPr>
      </w:pPr>
      <w:r w:rsidRPr="00C1718D">
        <w:rPr>
          <w:color w:val="222222"/>
          <w:shd w:val="clear" w:color="auto" w:fill="FFFFFF"/>
        </w:rPr>
        <w:t xml:space="preserve">Reissig, L., Wiseman, L., &amp; Cockburn, M. (2024). Farmers and their data: Evaluating the swiss conception of data sharing through the lens of digital farming. Journal of Rural Studies, 111, 103390. </w:t>
      </w:r>
      <w:hyperlink r:id="rId39" w:history="1">
        <w:r w:rsidRPr="00C5384C">
          <w:rPr>
            <w:rStyle w:val="Hyperlink"/>
            <w:shd w:val="clear" w:color="auto" w:fill="FFFFFF"/>
          </w:rPr>
          <w:t>https://doi.org/10.1016/j.jrurstud.2024.103390</w:t>
        </w:r>
      </w:hyperlink>
    </w:p>
    <w:p w14:paraId="67A18CA8" w14:textId="6605E3A7" w:rsidR="00C1718D" w:rsidRPr="00C1718D" w:rsidRDefault="00C1718D" w:rsidP="0049029A">
      <w:pPr>
        <w:pStyle w:val="NormalWeb"/>
        <w:ind w:left="720"/>
      </w:pPr>
      <w:r w:rsidRPr="00C1718D">
        <w:rPr>
          <w:color w:val="222222"/>
          <w:shd w:val="clear" w:color="auto" w:fill="FFFFFF"/>
        </w:rPr>
        <w:t xml:space="preserve">Rose, D. C., &amp; Chilvers, J. (2018). Agriculture 4.0: Broadening responsible innovation in an era of smart farming. Frontiers in Sustainable Food Systems </w:t>
      </w:r>
      <w:hyperlink r:id="rId40" w:history="1">
        <w:r w:rsidRPr="00C5384C">
          <w:rPr>
            <w:rStyle w:val="Hyperlink"/>
            <w:shd w:val="clear" w:color="auto" w:fill="FFFFFF"/>
          </w:rPr>
          <w:t>https://doi.org/10.3389/fsufs.2018.00087</w:t>
        </w:r>
      </w:hyperlink>
    </w:p>
    <w:p w14:paraId="27630CCF" w14:textId="1C7841CC" w:rsidR="00C1718D" w:rsidRDefault="00C1718D" w:rsidP="0049029A">
      <w:pPr>
        <w:pStyle w:val="NormalWeb"/>
        <w:ind w:left="720"/>
        <w:rPr>
          <w:color w:val="222222"/>
          <w:shd w:val="clear" w:color="auto" w:fill="FFFFFF"/>
        </w:rPr>
      </w:pPr>
      <w:proofErr w:type="spellStart"/>
      <w:r w:rsidRPr="00C1718D">
        <w:rPr>
          <w:color w:val="222222"/>
          <w:shd w:val="clear" w:color="auto" w:fill="FFFFFF"/>
        </w:rPr>
        <w:t>Shamshiri</w:t>
      </w:r>
      <w:proofErr w:type="spellEnd"/>
      <w:r w:rsidRPr="00C1718D">
        <w:rPr>
          <w:color w:val="222222"/>
          <w:shd w:val="clear" w:color="auto" w:fill="FFFFFF"/>
        </w:rPr>
        <w:t xml:space="preserve">, R. R., Sturm, B., Weltzien, C., Fulton, J., Khosla, R., Schirrmann, M., </w:t>
      </w:r>
      <w:proofErr w:type="spellStart"/>
      <w:r w:rsidRPr="00C1718D">
        <w:rPr>
          <w:color w:val="222222"/>
          <w:shd w:val="clear" w:color="auto" w:fill="FFFFFF"/>
        </w:rPr>
        <w:t>Basavegowda</w:t>
      </w:r>
      <w:proofErr w:type="spellEnd"/>
      <w:r w:rsidRPr="00C1718D">
        <w:rPr>
          <w:color w:val="222222"/>
          <w:shd w:val="clear" w:color="auto" w:fill="FFFFFF"/>
        </w:rPr>
        <w:t xml:space="preserve">, H., Deepak, Y., &amp; Hameed, I. A. (2024). Digitalization of agriculture for sustainable crop production: a use-case review. Frontiers in Environmental Science, 12, 1375193. </w:t>
      </w:r>
      <w:hyperlink r:id="rId41" w:history="1">
        <w:r w:rsidRPr="00C5384C">
          <w:rPr>
            <w:rStyle w:val="Hyperlink"/>
            <w:shd w:val="clear" w:color="auto" w:fill="FFFFFF"/>
          </w:rPr>
          <w:t>https://doi.org/10.3389/fenvs.2024.1375193</w:t>
        </w:r>
      </w:hyperlink>
    </w:p>
    <w:p w14:paraId="22304E1A" w14:textId="7A5850F3" w:rsidR="00C1718D" w:rsidRDefault="00C1718D" w:rsidP="0049029A">
      <w:pPr>
        <w:pStyle w:val="NormalWeb"/>
        <w:ind w:left="720"/>
        <w:rPr>
          <w:color w:val="222222"/>
          <w:shd w:val="clear" w:color="auto" w:fill="FFFFFF"/>
        </w:rPr>
      </w:pPr>
      <w:r w:rsidRPr="00C1718D">
        <w:rPr>
          <w:color w:val="222222"/>
          <w:shd w:val="clear" w:color="auto" w:fill="FFFFFF"/>
        </w:rPr>
        <w:t xml:space="preserve">Sharma, A., Jain, A., Gupta, P., &amp; Chowdary, V. (2020). Machine learning applications for precision agriculture: A comprehensive review. IEEE Access </w:t>
      </w:r>
      <w:hyperlink r:id="rId42" w:history="1">
        <w:r w:rsidRPr="00C5384C">
          <w:rPr>
            <w:rStyle w:val="Hyperlink"/>
            <w:shd w:val="clear" w:color="auto" w:fill="FFFFFF"/>
          </w:rPr>
          <w:t>https://doi.org/10.1109/ACCESS.2020.3048415</w:t>
        </w:r>
      </w:hyperlink>
    </w:p>
    <w:p w14:paraId="40D750A2" w14:textId="6DAE6B77" w:rsidR="00C1718D" w:rsidRDefault="00C1718D" w:rsidP="0049029A">
      <w:pPr>
        <w:pStyle w:val="NormalWeb"/>
        <w:ind w:left="720"/>
        <w:rPr>
          <w:color w:val="222222"/>
          <w:shd w:val="clear" w:color="auto" w:fill="FFFFFF"/>
        </w:rPr>
      </w:pPr>
      <w:r w:rsidRPr="00C1718D">
        <w:rPr>
          <w:color w:val="222222"/>
          <w:shd w:val="clear" w:color="auto" w:fill="FFFFFF"/>
        </w:rPr>
        <w:lastRenderedPageBreak/>
        <w:t xml:space="preserve">Smidt, H. J. (2021). Factors affecting digital technology adoption by small-scale farmers in agriculture value chains (AVCs) in South Africa. Information Technology for Development. </w:t>
      </w:r>
      <w:hyperlink r:id="rId43" w:history="1">
        <w:r w:rsidRPr="00C5384C">
          <w:rPr>
            <w:rStyle w:val="Hyperlink"/>
            <w:shd w:val="clear" w:color="auto" w:fill="FFFFFF"/>
          </w:rPr>
          <w:t>https://doi.org/10.1080/02681102.2021.1975256</w:t>
        </w:r>
      </w:hyperlink>
    </w:p>
    <w:p w14:paraId="23C176FA" w14:textId="5CDAEA0C" w:rsidR="00C1718D" w:rsidRDefault="00C1718D" w:rsidP="0049029A">
      <w:pPr>
        <w:pStyle w:val="NormalWeb"/>
        <w:ind w:left="720"/>
        <w:rPr>
          <w:color w:val="222222"/>
          <w:shd w:val="clear" w:color="auto" w:fill="FFFFFF"/>
        </w:rPr>
      </w:pPr>
      <w:proofErr w:type="spellStart"/>
      <w:r w:rsidRPr="00C1718D">
        <w:rPr>
          <w:color w:val="222222"/>
          <w:shd w:val="clear" w:color="auto" w:fill="FFFFFF"/>
        </w:rPr>
        <w:t>Sojnóczki</w:t>
      </w:r>
      <w:proofErr w:type="spellEnd"/>
      <w:r w:rsidRPr="00C1718D">
        <w:rPr>
          <w:color w:val="222222"/>
          <w:shd w:val="clear" w:color="auto" w:fill="FFFFFF"/>
        </w:rPr>
        <w:t xml:space="preserve">, I., Bojtor, C., Illés, Á., Nagy, J., &amp; Széles, A. (2025). The role of sensor technology in sustainable and efficient agricultural production - Review. Precision Crop Production, 1(01). </w:t>
      </w:r>
      <w:hyperlink r:id="rId44" w:history="1">
        <w:r w:rsidRPr="00C5384C">
          <w:rPr>
            <w:rStyle w:val="Hyperlink"/>
            <w:shd w:val="clear" w:color="auto" w:fill="FFFFFF"/>
          </w:rPr>
          <w:t>https://doi.org/10.65006/pcp.v1i01.15876</w:t>
        </w:r>
      </w:hyperlink>
    </w:p>
    <w:p w14:paraId="303377BC" w14:textId="49933C85" w:rsidR="00C1718D" w:rsidRDefault="00C1718D" w:rsidP="0049029A">
      <w:pPr>
        <w:pStyle w:val="NormalWeb"/>
        <w:ind w:left="720"/>
        <w:rPr>
          <w:color w:val="222222"/>
          <w:shd w:val="clear" w:color="auto" w:fill="FFFFFF"/>
        </w:rPr>
      </w:pPr>
      <w:r w:rsidRPr="00C1718D">
        <w:rPr>
          <w:color w:val="222222"/>
          <w:shd w:val="clear" w:color="auto" w:fill="FFFFFF"/>
        </w:rPr>
        <w:t xml:space="preserve">Subramaniam, Y., Loganathan, N., &amp; Habibullah, M. S. (2025). Digitalization and Food Security: Evidence </w:t>
      </w:r>
      <w:proofErr w:type="gramStart"/>
      <w:r w:rsidRPr="00C1718D">
        <w:rPr>
          <w:color w:val="222222"/>
          <w:shd w:val="clear" w:color="auto" w:fill="FFFFFF"/>
        </w:rPr>
        <w:t>From</w:t>
      </w:r>
      <w:proofErr w:type="gramEnd"/>
      <w:r w:rsidRPr="00C1718D">
        <w:rPr>
          <w:color w:val="222222"/>
          <w:shd w:val="clear" w:color="auto" w:fill="FFFFFF"/>
        </w:rPr>
        <w:t xml:space="preserve"> Developing Countries. Review of Development Economics. </w:t>
      </w:r>
      <w:hyperlink r:id="rId45" w:history="1">
        <w:r w:rsidRPr="00C5384C">
          <w:rPr>
            <w:rStyle w:val="Hyperlink"/>
            <w:shd w:val="clear" w:color="auto" w:fill="FFFFFF"/>
          </w:rPr>
          <w:t>https://doi.org/10.1111/rode.13186</w:t>
        </w:r>
      </w:hyperlink>
    </w:p>
    <w:p w14:paraId="64D91491" w14:textId="5FEDE268" w:rsidR="00C1718D" w:rsidRDefault="00C1718D" w:rsidP="0049029A">
      <w:pPr>
        <w:pStyle w:val="NormalWeb"/>
        <w:ind w:left="720"/>
        <w:rPr>
          <w:color w:val="222222"/>
          <w:shd w:val="clear" w:color="auto" w:fill="FFFFFF"/>
        </w:rPr>
      </w:pPr>
      <w:r w:rsidRPr="00C1718D">
        <w:rPr>
          <w:color w:val="222222"/>
          <w:shd w:val="clear" w:color="auto" w:fill="FFFFFF"/>
        </w:rPr>
        <w:t xml:space="preserve">Van der Burg, S., Bogaardt, M. J., &amp; Wolfert, S. (2019). Ethics of smart farming: Current questions and directions for responsible innovation towards the future. NJAS-Wageningen Journal of Life Sciences </w:t>
      </w:r>
      <w:hyperlink r:id="rId46" w:history="1">
        <w:r w:rsidRPr="00C5384C">
          <w:rPr>
            <w:rStyle w:val="Hyperlink"/>
            <w:shd w:val="clear" w:color="auto" w:fill="FFFFFF"/>
          </w:rPr>
          <w:t>https://doi.org/10.1016/j.njas.2019.01.001</w:t>
        </w:r>
      </w:hyperlink>
    </w:p>
    <w:p w14:paraId="69BA40C5" w14:textId="702B052F" w:rsidR="00C1718D" w:rsidRPr="00C1718D" w:rsidRDefault="00C1718D" w:rsidP="0049029A">
      <w:pPr>
        <w:pStyle w:val="NormalWeb"/>
        <w:ind w:left="720"/>
      </w:pPr>
      <w:r w:rsidRPr="00C1718D">
        <w:rPr>
          <w:color w:val="222222"/>
          <w:shd w:val="clear" w:color="auto" w:fill="FFFFFF"/>
        </w:rPr>
        <w:t xml:space="preserve">Wolfert, S., Ge, L., </w:t>
      </w:r>
      <w:proofErr w:type="spellStart"/>
      <w:r w:rsidRPr="00C1718D">
        <w:rPr>
          <w:color w:val="222222"/>
          <w:shd w:val="clear" w:color="auto" w:fill="FFFFFF"/>
        </w:rPr>
        <w:t>Verdouw</w:t>
      </w:r>
      <w:proofErr w:type="spellEnd"/>
      <w:r w:rsidRPr="00C1718D">
        <w:rPr>
          <w:color w:val="222222"/>
          <w:shd w:val="clear" w:color="auto" w:fill="FFFFFF"/>
        </w:rPr>
        <w:t xml:space="preserve">, C., &amp; </w:t>
      </w:r>
      <w:proofErr w:type="spellStart"/>
      <w:r w:rsidRPr="00C1718D">
        <w:rPr>
          <w:color w:val="222222"/>
          <w:shd w:val="clear" w:color="auto" w:fill="FFFFFF"/>
        </w:rPr>
        <w:t>Bogaardt</w:t>
      </w:r>
      <w:proofErr w:type="spellEnd"/>
      <w:r w:rsidRPr="00C1718D">
        <w:rPr>
          <w:color w:val="222222"/>
          <w:shd w:val="clear" w:color="auto" w:fill="FFFFFF"/>
        </w:rPr>
        <w:t xml:space="preserve">, M. J. (2017). Big data in smart farming–a review. Agricultural systems, 153, 69-80. </w:t>
      </w:r>
      <w:hyperlink r:id="rId47" w:history="1">
        <w:r w:rsidRPr="00C5384C">
          <w:rPr>
            <w:rStyle w:val="Hyperlink"/>
            <w:shd w:val="clear" w:color="auto" w:fill="FFFFFF"/>
          </w:rPr>
          <w:t>https://doi.org/10.1016/j.agsy.2017.01.023</w:t>
        </w:r>
      </w:hyperlink>
    </w:p>
    <w:p w14:paraId="078B8585" w14:textId="1C74C56C" w:rsidR="008A4BFC" w:rsidRPr="000643E7" w:rsidRDefault="00C1718D" w:rsidP="0049029A">
      <w:pPr>
        <w:pStyle w:val="Heading3"/>
        <w:ind w:left="720"/>
        <w:rPr>
          <w:b w:val="0"/>
          <w:sz w:val="24"/>
        </w:rPr>
      </w:pPr>
      <w:r w:rsidRPr="00C1718D">
        <w:rPr>
          <w:b w:val="0"/>
          <w:bCs w:val="0"/>
          <w:color w:val="222222"/>
          <w:sz w:val="24"/>
          <w:szCs w:val="24"/>
          <w:shd w:val="clear" w:color="auto" w:fill="FFFFFF"/>
        </w:rPr>
        <w:t>Xu, J., Cui, Y., Zhang, S., &amp; Zhang, M. (2024). The evolution of precision agriculture and food safety: a bibliometric study. Frontiers in Sustainable Food Systems, 8, 1475602. https://doi.org/10.3389/fsufs.2024.1475602</w:t>
      </w:r>
    </w:p>
    <w:p w14:paraId="0E8DFA70" w14:textId="77777777" w:rsidR="008A4BFC" w:rsidRDefault="008A4BFC" w:rsidP="00C13468">
      <w:pPr>
        <w:pStyle w:val="Heading3"/>
      </w:pPr>
    </w:p>
    <w:sectPr w:rsidR="008A4BFC" w:rsidSect="00CB6EB6">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A75C3" w14:textId="77777777" w:rsidR="00AC1B67" w:rsidRDefault="00AC1B67" w:rsidP="00E13969">
      <w:pPr>
        <w:spacing w:after="0" w:line="240" w:lineRule="auto"/>
      </w:pPr>
      <w:r>
        <w:separator/>
      </w:r>
    </w:p>
  </w:endnote>
  <w:endnote w:type="continuationSeparator" w:id="0">
    <w:p w14:paraId="1E5AC623" w14:textId="77777777" w:rsidR="00AC1B67" w:rsidRDefault="00AC1B67" w:rsidP="00E1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5A0" w14:textId="77777777" w:rsidR="00E13969" w:rsidRDefault="00E13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2F22" w14:textId="77777777" w:rsidR="00E13969" w:rsidRDefault="00E13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A79CC" w14:textId="77777777" w:rsidR="00E13969" w:rsidRDefault="00E13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06C34" w14:textId="77777777" w:rsidR="00AC1B67" w:rsidRDefault="00AC1B67" w:rsidP="00E13969">
      <w:pPr>
        <w:spacing w:after="0" w:line="240" w:lineRule="auto"/>
      </w:pPr>
      <w:r>
        <w:separator/>
      </w:r>
    </w:p>
  </w:footnote>
  <w:footnote w:type="continuationSeparator" w:id="0">
    <w:p w14:paraId="697FD11F" w14:textId="77777777" w:rsidR="00AC1B67" w:rsidRDefault="00AC1B67" w:rsidP="00E13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CC8F" w14:textId="4E68CF5B" w:rsidR="00E13969" w:rsidRDefault="00E13969">
    <w:pPr>
      <w:pStyle w:val="Header"/>
    </w:pPr>
    <w:r>
      <w:rPr>
        <w:noProof/>
      </w:rPr>
      <w:pict w14:anchorId="4BB73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467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93BF" w14:textId="187EEF88" w:rsidR="00E13969" w:rsidRDefault="00E13969">
    <w:pPr>
      <w:pStyle w:val="Header"/>
    </w:pPr>
    <w:r>
      <w:rPr>
        <w:noProof/>
      </w:rPr>
      <w:pict w14:anchorId="1C378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467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3BA1A" w14:textId="4F6D4BC7" w:rsidR="00E13969" w:rsidRDefault="00E13969">
    <w:pPr>
      <w:pStyle w:val="Header"/>
    </w:pPr>
    <w:r>
      <w:rPr>
        <w:noProof/>
      </w:rPr>
      <w:pict w14:anchorId="32144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467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B1319"/>
    <w:multiLevelType w:val="hybridMultilevel"/>
    <w:tmpl w:val="75C6C1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8"/>
  </w:num>
  <w:num w:numId="4">
    <w:abstractNumId w:val="20"/>
  </w:num>
  <w:num w:numId="5">
    <w:abstractNumId w:val="16"/>
  </w:num>
  <w:num w:numId="6">
    <w:abstractNumId w:val="2"/>
  </w:num>
  <w:num w:numId="7">
    <w:abstractNumId w:val="17"/>
  </w:num>
  <w:num w:numId="8">
    <w:abstractNumId w:val="6"/>
  </w:num>
  <w:num w:numId="9">
    <w:abstractNumId w:val="4"/>
  </w:num>
  <w:num w:numId="10">
    <w:abstractNumId w:val="11"/>
  </w:num>
  <w:num w:numId="11">
    <w:abstractNumId w:val="3"/>
  </w:num>
  <w:num w:numId="12">
    <w:abstractNumId w:val="13"/>
  </w:num>
  <w:num w:numId="13">
    <w:abstractNumId w:val="5"/>
  </w:num>
  <w:num w:numId="14">
    <w:abstractNumId w:val="15"/>
  </w:num>
  <w:num w:numId="15">
    <w:abstractNumId w:val="0"/>
  </w:num>
  <w:num w:numId="16">
    <w:abstractNumId w:val="8"/>
  </w:num>
  <w:num w:numId="17">
    <w:abstractNumId w:val="9"/>
  </w:num>
  <w:num w:numId="18">
    <w:abstractNumId w:val="12"/>
  </w:num>
  <w:num w:numId="19">
    <w:abstractNumId w:val="10"/>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6413B"/>
    <w:rsid w:val="000643E7"/>
    <w:rsid w:val="000A0EB4"/>
    <w:rsid w:val="000C4F0E"/>
    <w:rsid w:val="000F27AA"/>
    <w:rsid w:val="001261CC"/>
    <w:rsid w:val="00126ADF"/>
    <w:rsid w:val="00131E50"/>
    <w:rsid w:val="00135191"/>
    <w:rsid w:val="00142919"/>
    <w:rsid w:val="001560E3"/>
    <w:rsid w:val="00186E2A"/>
    <w:rsid w:val="001A3703"/>
    <w:rsid w:val="001E6EC5"/>
    <w:rsid w:val="0022042D"/>
    <w:rsid w:val="0024324D"/>
    <w:rsid w:val="00284F1F"/>
    <w:rsid w:val="002B76E6"/>
    <w:rsid w:val="002C48BB"/>
    <w:rsid w:val="002E40E4"/>
    <w:rsid w:val="00307595"/>
    <w:rsid w:val="0031286E"/>
    <w:rsid w:val="003664CE"/>
    <w:rsid w:val="003975AE"/>
    <w:rsid w:val="003A104D"/>
    <w:rsid w:val="003A4787"/>
    <w:rsid w:val="003B3553"/>
    <w:rsid w:val="003B400E"/>
    <w:rsid w:val="003B6CCD"/>
    <w:rsid w:val="003C6E02"/>
    <w:rsid w:val="00405181"/>
    <w:rsid w:val="004148F5"/>
    <w:rsid w:val="00416C8C"/>
    <w:rsid w:val="004274A7"/>
    <w:rsid w:val="00456E20"/>
    <w:rsid w:val="0049029A"/>
    <w:rsid w:val="004A5427"/>
    <w:rsid w:val="004E7311"/>
    <w:rsid w:val="00516AA1"/>
    <w:rsid w:val="0054487D"/>
    <w:rsid w:val="0056389E"/>
    <w:rsid w:val="00564FB4"/>
    <w:rsid w:val="00571246"/>
    <w:rsid w:val="005B25CE"/>
    <w:rsid w:val="00622C65"/>
    <w:rsid w:val="00626F6E"/>
    <w:rsid w:val="00632906"/>
    <w:rsid w:val="00661483"/>
    <w:rsid w:val="006618F5"/>
    <w:rsid w:val="0067685B"/>
    <w:rsid w:val="006903E1"/>
    <w:rsid w:val="00692471"/>
    <w:rsid w:val="00695D59"/>
    <w:rsid w:val="006A39B3"/>
    <w:rsid w:val="006D455D"/>
    <w:rsid w:val="006E4B0A"/>
    <w:rsid w:val="00711B14"/>
    <w:rsid w:val="00713825"/>
    <w:rsid w:val="00720F41"/>
    <w:rsid w:val="00761CB6"/>
    <w:rsid w:val="0078275D"/>
    <w:rsid w:val="007C7951"/>
    <w:rsid w:val="007D03BC"/>
    <w:rsid w:val="007E249F"/>
    <w:rsid w:val="008107F6"/>
    <w:rsid w:val="00812006"/>
    <w:rsid w:val="00831C60"/>
    <w:rsid w:val="008374C4"/>
    <w:rsid w:val="00856AFD"/>
    <w:rsid w:val="008811F8"/>
    <w:rsid w:val="008A4BFC"/>
    <w:rsid w:val="008F3850"/>
    <w:rsid w:val="00951A3D"/>
    <w:rsid w:val="00992B92"/>
    <w:rsid w:val="00994A4A"/>
    <w:rsid w:val="009B55DE"/>
    <w:rsid w:val="009D5BA5"/>
    <w:rsid w:val="009F0120"/>
    <w:rsid w:val="00A029C3"/>
    <w:rsid w:val="00A2270F"/>
    <w:rsid w:val="00A478B2"/>
    <w:rsid w:val="00A50845"/>
    <w:rsid w:val="00A5299F"/>
    <w:rsid w:val="00A54719"/>
    <w:rsid w:val="00A57A87"/>
    <w:rsid w:val="00A7055A"/>
    <w:rsid w:val="00AC1B67"/>
    <w:rsid w:val="00AE651D"/>
    <w:rsid w:val="00B1065D"/>
    <w:rsid w:val="00B451DB"/>
    <w:rsid w:val="00B84C19"/>
    <w:rsid w:val="00BC43AE"/>
    <w:rsid w:val="00BD22E5"/>
    <w:rsid w:val="00BF0896"/>
    <w:rsid w:val="00BF26BF"/>
    <w:rsid w:val="00C13468"/>
    <w:rsid w:val="00C1718D"/>
    <w:rsid w:val="00C404E0"/>
    <w:rsid w:val="00C6694F"/>
    <w:rsid w:val="00C93A8A"/>
    <w:rsid w:val="00CB6EB6"/>
    <w:rsid w:val="00CE0C42"/>
    <w:rsid w:val="00CE5BFA"/>
    <w:rsid w:val="00D40796"/>
    <w:rsid w:val="00D63323"/>
    <w:rsid w:val="00D75C9D"/>
    <w:rsid w:val="00DC2C3A"/>
    <w:rsid w:val="00DC6BC2"/>
    <w:rsid w:val="00DF20BB"/>
    <w:rsid w:val="00DF5AB4"/>
    <w:rsid w:val="00E125DA"/>
    <w:rsid w:val="00E13969"/>
    <w:rsid w:val="00E643E8"/>
    <w:rsid w:val="00E7044C"/>
    <w:rsid w:val="00EE2E7D"/>
    <w:rsid w:val="00F13040"/>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DFE2F1"/>
  <w15:docId w15:val="{3A0FA5E3-68F4-4B1D-A279-11C0AC45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styleId="UnresolvedMention">
    <w:name w:val="Unresolved Mention"/>
    <w:basedOn w:val="DefaultParagraphFont"/>
    <w:uiPriority w:val="99"/>
    <w:semiHidden/>
    <w:unhideWhenUsed/>
    <w:rsid w:val="004274A7"/>
    <w:rPr>
      <w:color w:val="605E5C"/>
      <w:shd w:val="clear" w:color="auto" w:fill="E1DFDD"/>
    </w:rPr>
  </w:style>
  <w:style w:type="paragraph" w:styleId="Header">
    <w:name w:val="header"/>
    <w:basedOn w:val="Normal"/>
    <w:link w:val="HeaderChar"/>
    <w:uiPriority w:val="99"/>
    <w:unhideWhenUsed/>
    <w:rsid w:val="00E13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969"/>
  </w:style>
  <w:style w:type="paragraph" w:styleId="Footer">
    <w:name w:val="footer"/>
    <w:basedOn w:val="Normal"/>
    <w:link w:val="FooterChar"/>
    <w:uiPriority w:val="99"/>
    <w:unhideWhenUsed/>
    <w:rsid w:val="00E13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sufs.2025.1607567" TargetMode="External"/><Relationship Id="rId18" Type="http://schemas.openxmlformats.org/officeDocument/2006/relationships/hyperlink" Target="https://doi.org/10.1177/00307270251336474" TargetMode="External"/><Relationship Id="rId26" Type="http://schemas.openxmlformats.org/officeDocument/2006/relationships/hyperlink" Target="https://doi.org/10.3390/engproc2023038054" TargetMode="External"/><Relationship Id="rId39" Type="http://schemas.openxmlformats.org/officeDocument/2006/relationships/hyperlink" Target="https://doi.org/10.1016/j.jrurstud.2024.103390" TargetMode="External"/><Relationship Id="rId21" Type="http://schemas.openxmlformats.org/officeDocument/2006/relationships/hyperlink" Target="https://doi.org/10.3389/fsufs.2025.1660992" TargetMode="External"/><Relationship Id="rId34" Type="http://schemas.openxmlformats.org/officeDocument/2006/relationships/hyperlink" Target="https://doi.org/10.1016/j.aiia.2024.04.003" TargetMode="External"/><Relationship Id="rId42" Type="http://schemas.openxmlformats.org/officeDocument/2006/relationships/hyperlink" Target="https://doi.org/10.1109/ACCESS.2020.3048415" TargetMode="External"/><Relationship Id="rId47" Type="http://schemas.openxmlformats.org/officeDocument/2006/relationships/hyperlink" Target="https://doi.org/10.1016/j.agsy.2017.01.023"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afr.2024.101286" TargetMode="External"/><Relationship Id="rId29" Type="http://schemas.openxmlformats.org/officeDocument/2006/relationships/hyperlink" Target="https://doi.org/10.3389/fpls.2025.1587869" TargetMode="External"/><Relationship Id="rId11" Type="http://schemas.openxmlformats.org/officeDocument/2006/relationships/hyperlink" Target="https://doi.org/10.3390/s21113758" TargetMode="External"/><Relationship Id="rId24" Type="http://schemas.openxmlformats.org/officeDocument/2006/relationships/hyperlink" Target="https://doi.org/10.1016/j.njas.2019.100315" TargetMode="External"/><Relationship Id="rId32" Type="http://schemas.openxmlformats.org/officeDocument/2006/relationships/hyperlink" Target="https://doi.org/10.3390/ani11082345" TargetMode="External"/><Relationship Id="rId37" Type="http://schemas.openxmlformats.org/officeDocument/2006/relationships/hyperlink" Target="https://doi.org/10.1371/journal.pone.0259319" TargetMode="External"/><Relationship Id="rId40" Type="http://schemas.openxmlformats.org/officeDocument/2006/relationships/hyperlink" Target="https://doi.org/10.3389/fsufs.2018.00087" TargetMode="External"/><Relationship Id="rId45" Type="http://schemas.openxmlformats.org/officeDocument/2006/relationships/hyperlink" Target="https://doi.org/10.1111/rode.13186"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doi.org/10.1016/j.gfs.2025.100866" TargetMode="External"/><Relationship Id="rId19" Type="http://schemas.openxmlformats.org/officeDocument/2006/relationships/hyperlink" Target="https://doi.org/10.1093/erae/jbad021" TargetMode="External"/><Relationship Id="rId31" Type="http://schemas.openxmlformats.org/officeDocument/2006/relationships/hyperlink" Target="https://doi.org/10.1109/JIOT.2020.2998584" TargetMode="External"/><Relationship Id="rId44" Type="http://schemas.openxmlformats.org/officeDocument/2006/relationships/hyperlink" Target="https://doi.org/10.65006/pcp.v1i01.15876"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3390/su15065325" TargetMode="External"/><Relationship Id="rId14" Type="http://schemas.openxmlformats.org/officeDocument/2006/relationships/hyperlink" Target="https://doi.org/10.14763/2016.1.405" TargetMode="External"/><Relationship Id="rId22" Type="http://schemas.openxmlformats.org/officeDocument/2006/relationships/hyperlink" Target="https://doi.org/10.3390/foods10112732" TargetMode="External"/><Relationship Id="rId27" Type="http://schemas.openxmlformats.org/officeDocument/2006/relationships/hyperlink" Target="https://doi.org/10.1080/23311932.2023.2282234" TargetMode="External"/><Relationship Id="rId30" Type="http://schemas.openxmlformats.org/officeDocument/2006/relationships/hyperlink" Target="https://doi.org/10.3389/fsufs.2025.1621851" TargetMode="External"/><Relationship Id="rId35" Type="http://schemas.openxmlformats.org/officeDocument/2006/relationships/hyperlink" Target="https://doi.org/10.3389/fpubh.2024.1340149" TargetMode="External"/><Relationship Id="rId43" Type="http://schemas.openxmlformats.org/officeDocument/2006/relationships/hyperlink" Target="https://doi.org/10.1080/02681102.2021.1975256" TargetMode="External"/><Relationship Id="rId48" Type="http://schemas.openxmlformats.org/officeDocument/2006/relationships/header" Target="header1.xml"/><Relationship Id="rId8" Type="http://schemas.openxmlformats.org/officeDocument/2006/relationships/hyperlink" Target="https://doi.org/10.1016/j.atech.2022.100042"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1177/2053951716648174" TargetMode="External"/><Relationship Id="rId17" Type="http://schemas.openxmlformats.org/officeDocument/2006/relationships/hyperlink" Target="https://doi.org/10.1016/j.foodpol.2021.102164" TargetMode="External"/><Relationship Id="rId25" Type="http://schemas.openxmlformats.org/officeDocument/2006/relationships/hyperlink" Target="https://doi.org/10.1016/j.ecoser.2020.101183" TargetMode="External"/><Relationship Id="rId33" Type="http://schemas.openxmlformats.org/officeDocument/2006/relationships/hyperlink" Target="https://doi.org/10.3389/fsufs.2025.1583224" TargetMode="External"/><Relationship Id="rId38" Type="http://schemas.openxmlformats.org/officeDocument/2006/relationships/hyperlink" Target="https://doi.org/10.1080/23299460.2021.1904755" TargetMode="External"/><Relationship Id="rId46" Type="http://schemas.openxmlformats.org/officeDocument/2006/relationships/hyperlink" Target="https://doi.org/10.1016/j.njas.2019.01.001" TargetMode="External"/><Relationship Id="rId20" Type="http://schemas.openxmlformats.org/officeDocument/2006/relationships/hyperlink" Target="https://doi.org/10.3390/jsan13040039" TargetMode="External"/><Relationship Id="rId41" Type="http://schemas.openxmlformats.org/officeDocument/2006/relationships/hyperlink" Target="https://doi.org/10.3389/fenvs.2024.137519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460-020-10032-w" TargetMode="External"/><Relationship Id="rId23" Type="http://schemas.openxmlformats.org/officeDocument/2006/relationships/hyperlink" Target="https://doi.org/10.1016/j.gfs.2019.100347" TargetMode="External"/><Relationship Id="rId28" Type="http://schemas.openxmlformats.org/officeDocument/2006/relationships/hyperlink" Target="https://doi.org/10.1007/s13593-022-00792-6" TargetMode="External"/><Relationship Id="rId36" Type="http://schemas.openxmlformats.org/officeDocument/2006/relationships/hyperlink" Target="https://doi.org/10.1016/j.gfs.2022.100640"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F12C8-F3B3-4133-9C65-FD8A7D91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24</Pages>
  <Words>11916</Words>
  <Characters>67923</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39</cp:revision>
  <cp:lastPrinted>2025-12-01T19:07:00Z</cp:lastPrinted>
  <dcterms:created xsi:type="dcterms:W3CDTF">2025-09-24T12:44:00Z</dcterms:created>
  <dcterms:modified xsi:type="dcterms:W3CDTF">2025-12-13T12:01:00Z</dcterms:modified>
</cp:coreProperties>
</file>