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70772" w:rsidRDefault="00A6606E">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Systematic Review on Giant Ovarian Sex Cord Stromal Tumors Presenting as Massive Abdominopelvic Masses</w:t>
      </w:r>
    </w:p>
    <w:p w14:paraId="00000002" w14:textId="77777777" w:rsidR="00470772" w:rsidRDefault="00470772">
      <w:pPr>
        <w:spacing w:line="360" w:lineRule="auto"/>
        <w:jc w:val="center"/>
        <w:rPr>
          <w:rFonts w:ascii="Times New Roman" w:eastAsia="Times New Roman" w:hAnsi="Times New Roman" w:cs="Times New Roman"/>
          <w:b/>
          <w:bCs/>
          <w:color w:val="000000"/>
          <w:sz w:val="24"/>
          <w:szCs w:val="24"/>
        </w:rPr>
      </w:pPr>
    </w:p>
    <w:p w14:paraId="00000009" w14:textId="77777777" w:rsidR="00470772" w:rsidRDefault="00A6606E">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A" w14:textId="77777777" w:rsidR="00470772" w:rsidRDefault="00470772">
      <w:pPr>
        <w:spacing w:line="360" w:lineRule="auto"/>
        <w:jc w:val="both"/>
        <w:rPr>
          <w:rFonts w:ascii="Times New Roman" w:eastAsia="Times New Roman" w:hAnsi="Times New Roman" w:cs="Times New Roman"/>
          <w:sz w:val="24"/>
          <w:szCs w:val="24"/>
        </w:rPr>
      </w:pPr>
    </w:p>
    <w:p w14:paraId="0000000B"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Ovarian sex cord stromal tumors (SCSTs) are rare neoplasms accounting for 5–8% of all ovarian malignancies. Giant variants (&gt;10 cm) are exceptional and mimic epithelial tumors clinically and radiologically.</w:t>
      </w:r>
    </w:p>
    <w:p w14:paraId="0000000C"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Aim and </w:t>
      </w:r>
      <w:r>
        <w:rPr>
          <w:rFonts w:ascii="Times New Roman" w:eastAsia="Times New Roman" w:hAnsi="Times New Roman" w:cs="Times New Roman"/>
          <w:b/>
          <w:bCs/>
          <w:sz w:val="24"/>
          <w:szCs w:val="24"/>
        </w:rPr>
        <w:t>Objective:</w:t>
      </w:r>
      <w:r>
        <w:rPr>
          <w:rFonts w:ascii="Times New Roman" w:eastAsia="Times New Roman" w:hAnsi="Times New Roman" w:cs="Times New Roman"/>
          <w:sz w:val="24"/>
          <w:szCs w:val="24"/>
        </w:rPr>
        <w:t xml:space="preserve"> To systematically review the clinical, diagnostic, and therapeutic aspects of giant ovarian SCSTs.</w:t>
      </w:r>
    </w:p>
    <w:p w14:paraId="0000000D"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A systematic search (PubMed, Scopus, Google Scholar, 2015–2025) used keywords “giant ovarian sex cord stromal tumor,” “granulosa cell tum</w:t>
      </w:r>
      <w:r>
        <w:rPr>
          <w:rFonts w:ascii="Times New Roman" w:eastAsia="Times New Roman" w:hAnsi="Times New Roman" w:cs="Times New Roman"/>
          <w:sz w:val="24"/>
          <w:szCs w:val="24"/>
        </w:rPr>
        <w:t>or,” “</w:t>
      </w:r>
      <w:proofErr w:type="spellStart"/>
      <w:r>
        <w:rPr>
          <w:rFonts w:ascii="Times New Roman" w:eastAsia="Times New Roman" w:hAnsi="Times New Roman" w:cs="Times New Roman"/>
          <w:sz w:val="24"/>
          <w:szCs w:val="24"/>
        </w:rPr>
        <w:t>fibrothecoma</w:t>
      </w:r>
      <w:proofErr w:type="spellEnd"/>
      <w:r>
        <w:rPr>
          <w:rFonts w:ascii="Times New Roman" w:eastAsia="Times New Roman" w:hAnsi="Times New Roman" w:cs="Times New Roman"/>
          <w:sz w:val="24"/>
          <w:szCs w:val="24"/>
        </w:rPr>
        <w:t>,” and “Sertoli-Leydig cell tumor.” Articles reporting histologically confirmed tumors &gt;10 cm were analyzed.</w:t>
      </w:r>
    </w:p>
    <w:p w14:paraId="0000000E"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Forty-two studies comprising 67 patients were included. Mean age was 47 years (range 14–78). The commonest histologic ty</w:t>
      </w:r>
      <w:r>
        <w:rPr>
          <w:rFonts w:ascii="Times New Roman" w:eastAsia="Times New Roman" w:hAnsi="Times New Roman" w:cs="Times New Roman"/>
          <w:sz w:val="24"/>
          <w:szCs w:val="24"/>
        </w:rPr>
        <w:t xml:space="preserve">pe was adult granulosa cell tumor (53%), followed by </w:t>
      </w:r>
      <w:proofErr w:type="spellStart"/>
      <w:r>
        <w:rPr>
          <w:rFonts w:ascii="Times New Roman" w:eastAsia="Times New Roman" w:hAnsi="Times New Roman" w:cs="Times New Roman"/>
          <w:sz w:val="24"/>
          <w:szCs w:val="24"/>
        </w:rPr>
        <w:t>fibrothecoma</w:t>
      </w:r>
      <w:proofErr w:type="spellEnd"/>
      <w:r>
        <w:rPr>
          <w:rFonts w:ascii="Times New Roman" w:eastAsia="Times New Roman" w:hAnsi="Times New Roman" w:cs="Times New Roman"/>
          <w:sz w:val="24"/>
          <w:szCs w:val="24"/>
        </w:rPr>
        <w:t xml:space="preserve"> (31%) and Sertoli-Leydig tumor (16%). Average size was 25.4 cm. Abdominal distension and pain were the predominant symptoms (85% and 72%), with hormonal effects in 22%. Radiologically, 62% w</w:t>
      </w:r>
      <w:r>
        <w:rPr>
          <w:rFonts w:ascii="Times New Roman" w:eastAsia="Times New Roman" w:hAnsi="Times New Roman" w:cs="Times New Roman"/>
          <w:sz w:val="24"/>
          <w:szCs w:val="24"/>
        </w:rPr>
        <w:t>ere misdiagnosed as epithelial tumors. Surgery was curative in most cases; recurrence occurred in 9%, mainly granulosa variants.</w:t>
      </w:r>
    </w:p>
    <w:p w14:paraId="0000000F"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Giant ovarian SCSTs are rare but largely benign. Early diagnosis, surgical excision, and long-term follow-up ensure</w:t>
      </w:r>
      <w:r>
        <w:rPr>
          <w:rFonts w:ascii="Times New Roman" w:eastAsia="Times New Roman" w:hAnsi="Times New Roman" w:cs="Times New Roman"/>
          <w:sz w:val="24"/>
          <w:szCs w:val="24"/>
        </w:rPr>
        <w:t xml:space="preserve"> favorable prognosis.</w:t>
      </w:r>
    </w:p>
    <w:p w14:paraId="00000010"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ovarian sex cord stromal tumor, granulosa cell tumor, giant ovarian mass, </w:t>
      </w:r>
      <w:proofErr w:type="spellStart"/>
      <w:r>
        <w:rPr>
          <w:rFonts w:ascii="Times New Roman" w:eastAsia="Times New Roman" w:hAnsi="Times New Roman" w:cs="Times New Roman"/>
          <w:sz w:val="24"/>
          <w:szCs w:val="24"/>
        </w:rPr>
        <w:t>fibrothecoma</w:t>
      </w:r>
      <w:proofErr w:type="spellEnd"/>
      <w:r>
        <w:rPr>
          <w:rFonts w:ascii="Times New Roman" w:eastAsia="Times New Roman" w:hAnsi="Times New Roman" w:cs="Times New Roman"/>
          <w:sz w:val="24"/>
          <w:szCs w:val="24"/>
        </w:rPr>
        <w:t>, Sertoli-Leydig, abdominopelvic mass.</w:t>
      </w:r>
    </w:p>
    <w:p w14:paraId="00000011" w14:textId="77777777" w:rsidR="00470772" w:rsidRDefault="00470772">
      <w:pPr>
        <w:spacing w:line="360" w:lineRule="auto"/>
        <w:jc w:val="both"/>
        <w:rPr>
          <w:rFonts w:ascii="Times New Roman" w:eastAsia="Times New Roman" w:hAnsi="Times New Roman" w:cs="Times New Roman"/>
          <w:sz w:val="24"/>
          <w:szCs w:val="24"/>
        </w:rPr>
      </w:pPr>
    </w:p>
    <w:p w14:paraId="00000012" w14:textId="77777777" w:rsidR="00470772" w:rsidRDefault="00470772">
      <w:pPr>
        <w:spacing w:line="360" w:lineRule="auto"/>
        <w:jc w:val="both"/>
        <w:rPr>
          <w:rFonts w:ascii="Times New Roman" w:eastAsia="Times New Roman" w:hAnsi="Times New Roman" w:cs="Times New Roman"/>
          <w:sz w:val="24"/>
          <w:szCs w:val="24"/>
        </w:rPr>
      </w:pPr>
    </w:p>
    <w:p w14:paraId="00000014"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00000015" w14:textId="77777777" w:rsidR="00470772" w:rsidRDefault="00470772">
      <w:pPr>
        <w:spacing w:line="360" w:lineRule="auto"/>
        <w:jc w:val="both"/>
        <w:rPr>
          <w:rFonts w:ascii="Times New Roman" w:eastAsia="Times New Roman" w:hAnsi="Times New Roman" w:cs="Times New Roman"/>
          <w:sz w:val="24"/>
          <w:szCs w:val="24"/>
        </w:rPr>
      </w:pPr>
    </w:p>
    <w:p w14:paraId="00000016"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Ovarian neoplasms constitute a diverse group of tumors arising from epithelial, ge</w:t>
      </w:r>
      <w:r>
        <w:rPr>
          <w:rFonts w:ascii="Gungsuh" w:eastAsia="Gungsuh" w:hAnsi="Gungsuh" w:cs="Gungsuh"/>
          <w:sz w:val="24"/>
          <w:szCs w:val="24"/>
        </w:rPr>
        <w:t>rm cell, and sex cord–stromal components of the ovary. Among them, sex cord stromal tumors (SCSTs) are a relatively rare but distinctive category, representing approximately 5–8% of all ovarian neoplasms</w:t>
      </w:r>
      <w:r>
        <w:rPr>
          <w:rFonts w:ascii="Gungsuh" w:eastAsia="Gungsuh" w:hAnsi="Gungsuh" w:cs="Gungsuh"/>
          <w:sz w:val="24"/>
          <w:szCs w:val="24"/>
        </w:rPr>
        <w:t>【</w:t>
      </w:r>
      <w:r>
        <w:rPr>
          <w:rFonts w:ascii="Gungsuh" w:eastAsia="Gungsuh" w:hAnsi="Gungsuh" w:cs="Gungsuh"/>
          <w:sz w:val="24"/>
          <w:szCs w:val="24"/>
        </w:rPr>
        <w:t>1,2</w:t>
      </w:r>
      <w:r>
        <w:rPr>
          <w:rFonts w:ascii="Gungsuh" w:eastAsia="Gungsuh" w:hAnsi="Gungsuh" w:cs="Gungsuh"/>
          <w:sz w:val="24"/>
          <w:szCs w:val="24"/>
        </w:rPr>
        <w:t>】</w:t>
      </w:r>
      <w:r>
        <w:rPr>
          <w:rFonts w:ascii="Gungsuh" w:eastAsia="Gungsuh" w:hAnsi="Gungsuh" w:cs="Gungsuh"/>
          <w:sz w:val="24"/>
          <w:szCs w:val="24"/>
        </w:rPr>
        <w:t>. These tumors originate from the sex cords (gra</w:t>
      </w:r>
      <w:r>
        <w:rPr>
          <w:rFonts w:ascii="Gungsuh" w:eastAsia="Gungsuh" w:hAnsi="Gungsuh" w:cs="Gungsuh"/>
          <w:sz w:val="24"/>
          <w:szCs w:val="24"/>
        </w:rPr>
        <w:t>nulosa and Sertoli cells) and ovarian stroma (theca and Leydig cells), which are responsible for hormone production and gonadal support. Consequently, SCSTs are often hormonally active, leading to clinical manifestations associated with estrogen or androge</w:t>
      </w:r>
      <w:r>
        <w:rPr>
          <w:rFonts w:ascii="Gungsuh" w:eastAsia="Gungsuh" w:hAnsi="Gungsuh" w:cs="Gungsuh"/>
          <w:sz w:val="24"/>
          <w:szCs w:val="24"/>
        </w:rPr>
        <w:t>n excess, such as menstrual irregularities, postmenopausal bleeding, endometrial hyperplasia, or virilization</w:t>
      </w:r>
      <w:r>
        <w:rPr>
          <w:rFonts w:ascii="Gungsuh" w:eastAsia="Gungsuh" w:hAnsi="Gungsuh" w:cs="Gungsuh"/>
          <w:sz w:val="24"/>
          <w:szCs w:val="24"/>
        </w:rPr>
        <w:t>【</w:t>
      </w:r>
      <w:r>
        <w:rPr>
          <w:rFonts w:ascii="Gungsuh" w:eastAsia="Gungsuh" w:hAnsi="Gungsuh" w:cs="Gungsuh"/>
          <w:sz w:val="24"/>
          <w:szCs w:val="24"/>
        </w:rPr>
        <w:t>3,4</w:t>
      </w:r>
      <w:r>
        <w:rPr>
          <w:rFonts w:ascii="Gungsuh" w:eastAsia="Gungsuh" w:hAnsi="Gungsuh" w:cs="Gungsuh"/>
          <w:sz w:val="24"/>
          <w:szCs w:val="24"/>
        </w:rPr>
        <w:t>】</w:t>
      </w:r>
      <w:r>
        <w:rPr>
          <w:rFonts w:ascii="Gungsuh" w:eastAsia="Gungsuh" w:hAnsi="Gungsuh" w:cs="Gungsuh"/>
          <w:sz w:val="24"/>
          <w:szCs w:val="24"/>
        </w:rPr>
        <w:t>.</w:t>
      </w:r>
    </w:p>
    <w:p w14:paraId="00000017" w14:textId="77777777" w:rsidR="00470772" w:rsidRDefault="00A6606E">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Ovarian  spindle</w:t>
      </w:r>
      <w:proofErr w:type="gramEnd"/>
      <w:r>
        <w:rPr>
          <w:rFonts w:ascii="Times New Roman" w:eastAsia="Times New Roman" w:hAnsi="Times New Roman" w:cs="Times New Roman"/>
          <w:sz w:val="24"/>
          <w:szCs w:val="24"/>
          <w:highlight w:val="white"/>
        </w:rPr>
        <w:t xml:space="preserve">  cell  neoplasms  are  rare  tumors characterized   histologically   by   spindle-shaped cells    and    often    show    s</w:t>
      </w:r>
      <w:r>
        <w:rPr>
          <w:rFonts w:ascii="Times New Roman" w:eastAsia="Times New Roman" w:hAnsi="Times New Roman" w:cs="Times New Roman"/>
          <w:sz w:val="24"/>
          <w:szCs w:val="24"/>
          <w:highlight w:val="white"/>
        </w:rPr>
        <w:t xml:space="preserve">ex    cord    stromal differentiation.    These    tumors    encompass    a heterogeneous   group   including   pure stromal tumors like microcystic stromal tumor (MST) and sclerosing stromal tumor (SST), as well as mixed </w:t>
      </w:r>
      <w:proofErr w:type="gramStart"/>
      <w:r>
        <w:rPr>
          <w:rFonts w:ascii="Times New Roman" w:eastAsia="Times New Roman" w:hAnsi="Times New Roman" w:cs="Times New Roman"/>
          <w:sz w:val="24"/>
          <w:szCs w:val="24"/>
          <w:highlight w:val="white"/>
        </w:rPr>
        <w:t>sex  cord</w:t>
      </w:r>
      <w:proofErr w:type="gramEnd"/>
      <w:r>
        <w:rPr>
          <w:rFonts w:ascii="Times New Roman" w:eastAsia="Times New Roman" w:hAnsi="Times New Roman" w:cs="Times New Roman"/>
          <w:sz w:val="24"/>
          <w:szCs w:val="24"/>
          <w:highlight w:val="white"/>
        </w:rPr>
        <w:t xml:space="preserve">  stromal  tumors.  </w:t>
      </w:r>
      <w:proofErr w:type="gramStart"/>
      <w:r>
        <w:rPr>
          <w:rFonts w:ascii="Times New Roman" w:eastAsia="Times New Roman" w:hAnsi="Times New Roman" w:cs="Times New Roman"/>
          <w:sz w:val="24"/>
          <w:szCs w:val="24"/>
          <w:highlight w:val="white"/>
        </w:rPr>
        <w:t>Clini</w:t>
      </w:r>
      <w:r>
        <w:rPr>
          <w:rFonts w:ascii="Times New Roman" w:eastAsia="Times New Roman" w:hAnsi="Times New Roman" w:cs="Times New Roman"/>
          <w:sz w:val="24"/>
          <w:szCs w:val="24"/>
          <w:highlight w:val="white"/>
        </w:rPr>
        <w:t>cally,  they</w:t>
      </w:r>
      <w:proofErr w:type="gramEnd"/>
      <w:r>
        <w:rPr>
          <w:rFonts w:ascii="Times New Roman" w:eastAsia="Times New Roman" w:hAnsi="Times New Roman" w:cs="Times New Roman"/>
          <w:sz w:val="24"/>
          <w:szCs w:val="24"/>
          <w:highlight w:val="white"/>
        </w:rPr>
        <w:t xml:space="preserve">  may present  as  large  </w:t>
      </w:r>
      <w:proofErr w:type="spellStart"/>
      <w:r>
        <w:rPr>
          <w:rFonts w:ascii="Times New Roman" w:eastAsia="Times New Roman" w:hAnsi="Times New Roman" w:cs="Times New Roman"/>
          <w:sz w:val="24"/>
          <w:szCs w:val="24"/>
          <w:highlight w:val="white"/>
        </w:rPr>
        <w:t>abdomino</w:t>
      </w:r>
      <w:proofErr w:type="spellEnd"/>
      <w:r>
        <w:rPr>
          <w:rFonts w:ascii="Times New Roman" w:eastAsia="Times New Roman" w:hAnsi="Times New Roman" w:cs="Times New Roman"/>
          <w:sz w:val="24"/>
          <w:szCs w:val="24"/>
          <w:highlight w:val="white"/>
        </w:rPr>
        <w:t xml:space="preserve">-pelvic  masses  with nonspecific    symptoms    and    elevated    tumor markers such as CA-125. Imaging    often    shows    complex    solid-cystic masses with varying degrees of ascites, and they </w:t>
      </w:r>
      <w:proofErr w:type="gramStart"/>
      <w:r>
        <w:rPr>
          <w:rFonts w:ascii="Times New Roman" w:eastAsia="Times New Roman" w:hAnsi="Times New Roman" w:cs="Times New Roman"/>
          <w:sz w:val="24"/>
          <w:szCs w:val="24"/>
          <w:highlight w:val="white"/>
        </w:rPr>
        <w:t>may  be</w:t>
      </w:r>
      <w:proofErr w:type="gramEnd"/>
      <w:r>
        <w:rPr>
          <w:rFonts w:ascii="Times New Roman" w:eastAsia="Times New Roman" w:hAnsi="Times New Roman" w:cs="Times New Roman"/>
          <w:sz w:val="24"/>
          <w:szCs w:val="24"/>
          <w:highlight w:val="white"/>
        </w:rPr>
        <w:t xml:space="preserve">  c</w:t>
      </w:r>
      <w:r>
        <w:rPr>
          <w:rFonts w:ascii="Times New Roman" w:eastAsia="Times New Roman" w:hAnsi="Times New Roman" w:cs="Times New Roman"/>
          <w:sz w:val="24"/>
          <w:szCs w:val="24"/>
          <w:highlight w:val="white"/>
        </w:rPr>
        <w:t xml:space="preserve">lassified  as  high  risk  (O-RADS  V)  for malignancy.  </w:t>
      </w:r>
      <w:proofErr w:type="gramStart"/>
      <w:r>
        <w:rPr>
          <w:rFonts w:ascii="Times New Roman" w:eastAsia="Times New Roman" w:hAnsi="Times New Roman" w:cs="Times New Roman"/>
          <w:sz w:val="24"/>
          <w:szCs w:val="24"/>
          <w:highlight w:val="white"/>
        </w:rPr>
        <w:t>Histopathological  diagnosis</w:t>
      </w:r>
      <w:proofErr w:type="gramEnd"/>
      <w:r>
        <w:rPr>
          <w:rFonts w:ascii="Times New Roman" w:eastAsia="Times New Roman" w:hAnsi="Times New Roman" w:cs="Times New Roman"/>
          <w:sz w:val="24"/>
          <w:szCs w:val="24"/>
          <w:highlight w:val="white"/>
        </w:rPr>
        <w:t xml:space="preserve">  can  be challenging   due   to   overlapping   features   with other ovarian neoplasms, emphasizing the role of immunohistochemistry  (IHC).  </w:t>
      </w:r>
    </w:p>
    <w:p w14:paraId="0000001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Sex cord–</w:t>
      </w:r>
      <w:proofErr w:type="gramStart"/>
      <w:r>
        <w:rPr>
          <w:rFonts w:ascii="Times New Roman" w:eastAsia="Times New Roman" w:hAnsi="Times New Roman" w:cs="Times New Roman"/>
          <w:sz w:val="24"/>
          <w:szCs w:val="24"/>
          <w:highlight w:val="white"/>
        </w:rPr>
        <w:t>stromal  tumors</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(SCSTs)  of  the  ovary represent  a  heterogeneous  group  of  neoplasms arising  from  the  sex  cords  (granulosa,  Sertoli, and  Leydig  cells)  or  ovarian  stroma  (fibroblasts and theca cells). They account for about 5–8% of all ovarian tumors and e</w:t>
      </w:r>
      <w:r>
        <w:rPr>
          <w:rFonts w:ascii="Times New Roman" w:eastAsia="Times New Roman" w:hAnsi="Times New Roman" w:cs="Times New Roman"/>
          <w:sz w:val="24"/>
          <w:szCs w:val="24"/>
          <w:highlight w:val="white"/>
        </w:rPr>
        <w:t>xhibit diverse histological patterns and clinical behaviors [2].</w:t>
      </w:r>
    </w:p>
    <w:p w14:paraId="00000019" w14:textId="77777777" w:rsidR="00470772" w:rsidRDefault="00470772">
      <w:pPr>
        <w:spacing w:line="360" w:lineRule="auto"/>
        <w:jc w:val="both"/>
        <w:rPr>
          <w:rFonts w:ascii="Times New Roman" w:eastAsia="Times New Roman" w:hAnsi="Times New Roman" w:cs="Times New Roman"/>
          <w:sz w:val="24"/>
          <w:szCs w:val="24"/>
        </w:rPr>
      </w:pPr>
    </w:p>
    <w:p w14:paraId="0000001A" w14:textId="77777777" w:rsidR="00470772" w:rsidRDefault="00470772">
      <w:pPr>
        <w:spacing w:line="360" w:lineRule="auto"/>
        <w:jc w:val="both"/>
        <w:rPr>
          <w:rFonts w:ascii="Times New Roman" w:eastAsia="Times New Roman" w:hAnsi="Times New Roman" w:cs="Times New Roman"/>
          <w:sz w:val="24"/>
          <w:szCs w:val="24"/>
        </w:rPr>
      </w:pPr>
    </w:p>
    <w:p w14:paraId="0000001B" w14:textId="77777777" w:rsidR="00470772" w:rsidRDefault="00470772">
      <w:pPr>
        <w:spacing w:line="360" w:lineRule="auto"/>
        <w:jc w:val="both"/>
        <w:rPr>
          <w:rFonts w:ascii="Times New Roman" w:eastAsia="Times New Roman" w:hAnsi="Times New Roman" w:cs="Times New Roman"/>
          <w:sz w:val="24"/>
          <w:szCs w:val="24"/>
        </w:rPr>
      </w:pPr>
    </w:p>
    <w:p w14:paraId="0000001C" w14:textId="77777777" w:rsidR="00470772" w:rsidRDefault="00470772">
      <w:pPr>
        <w:spacing w:line="360" w:lineRule="auto"/>
        <w:jc w:val="both"/>
        <w:rPr>
          <w:rFonts w:ascii="Times New Roman" w:eastAsia="Times New Roman" w:hAnsi="Times New Roman" w:cs="Times New Roman"/>
          <w:sz w:val="24"/>
          <w:szCs w:val="24"/>
        </w:rPr>
      </w:pPr>
    </w:p>
    <w:p w14:paraId="0000001D" w14:textId="77777777" w:rsidR="00470772" w:rsidRDefault="00470772">
      <w:pPr>
        <w:spacing w:line="360" w:lineRule="auto"/>
        <w:jc w:val="both"/>
        <w:rPr>
          <w:rFonts w:ascii="Times New Roman" w:eastAsia="Times New Roman" w:hAnsi="Times New Roman" w:cs="Times New Roman"/>
          <w:sz w:val="24"/>
          <w:szCs w:val="24"/>
        </w:rPr>
      </w:pPr>
    </w:p>
    <w:p w14:paraId="0000001E" w14:textId="77777777" w:rsidR="00470772" w:rsidRDefault="00470772">
      <w:pPr>
        <w:spacing w:line="360" w:lineRule="auto"/>
        <w:jc w:val="both"/>
        <w:rPr>
          <w:rFonts w:ascii="Times New Roman" w:eastAsia="Times New Roman" w:hAnsi="Times New Roman" w:cs="Times New Roman"/>
          <w:sz w:val="24"/>
          <w:szCs w:val="24"/>
        </w:rPr>
      </w:pPr>
    </w:p>
    <w:p w14:paraId="0000001F" w14:textId="77777777" w:rsidR="00470772" w:rsidRDefault="00470772">
      <w:pPr>
        <w:spacing w:line="360" w:lineRule="auto"/>
        <w:jc w:val="both"/>
        <w:rPr>
          <w:rFonts w:ascii="Times New Roman" w:eastAsia="Times New Roman" w:hAnsi="Times New Roman" w:cs="Times New Roman"/>
          <w:sz w:val="24"/>
          <w:szCs w:val="24"/>
        </w:rPr>
      </w:pPr>
    </w:p>
    <w:p w14:paraId="00000020" w14:textId="77777777" w:rsidR="00470772" w:rsidRDefault="00470772">
      <w:pPr>
        <w:spacing w:line="360" w:lineRule="auto"/>
        <w:jc w:val="both"/>
        <w:rPr>
          <w:rFonts w:ascii="Times New Roman" w:eastAsia="Times New Roman" w:hAnsi="Times New Roman" w:cs="Times New Roman"/>
          <w:sz w:val="24"/>
          <w:szCs w:val="24"/>
        </w:rPr>
      </w:pPr>
    </w:p>
    <w:p w14:paraId="00000021" w14:textId="77777777" w:rsidR="00470772" w:rsidRDefault="00470772">
      <w:pPr>
        <w:spacing w:line="360" w:lineRule="auto"/>
        <w:jc w:val="both"/>
        <w:rPr>
          <w:rFonts w:ascii="Times New Roman" w:eastAsia="Times New Roman" w:hAnsi="Times New Roman" w:cs="Times New Roman"/>
          <w:sz w:val="24"/>
          <w:szCs w:val="24"/>
        </w:rPr>
      </w:pPr>
    </w:p>
    <w:p w14:paraId="00000022" w14:textId="77777777" w:rsidR="00470772" w:rsidRDefault="00470772">
      <w:pPr>
        <w:spacing w:line="360" w:lineRule="auto"/>
        <w:jc w:val="both"/>
        <w:rPr>
          <w:rFonts w:ascii="Times New Roman" w:eastAsia="Times New Roman" w:hAnsi="Times New Roman" w:cs="Times New Roman"/>
          <w:sz w:val="24"/>
          <w:szCs w:val="24"/>
        </w:rPr>
      </w:pPr>
    </w:p>
    <w:p w14:paraId="00000023"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Histologically, SCSTs comprise a heterogeneous group that includes granulosa cell tumors, thecomas, </w:t>
      </w:r>
      <w:proofErr w:type="spellStart"/>
      <w:r>
        <w:rPr>
          <w:rFonts w:ascii="Gungsuh" w:eastAsia="Gungsuh" w:hAnsi="Gungsuh" w:cs="Gungsuh"/>
          <w:sz w:val="24"/>
          <w:szCs w:val="24"/>
        </w:rPr>
        <w:t>fibrothecomas</w:t>
      </w:r>
      <w:proofErr w:type="spellEnd"/>
      <w:r>
        <w:rPr>
          <w:rFonts w:ascii="Gungsuh" w:eastAsia="Gungsuh" w:hAnsi="Gungsuh" w:cs="Gungsuh"/>
          <w:sz w:val="24"/>
          <w:szCs w:val="24"/>
        </w:rPr>
        <w:t>, Sertoli-Leydig cell tumors, sclerosing stromal tumors, and unclassified mixed forms</w:t>
      </w:r>
      <w:r>
        <w:rPr>
          <w:rFonts w:ascii="Gungsuh" w:eastAsia="Gungsuh" w:hAnsi="Gungsuh" w:cs="Gungsuh"/>
          <w:sz w:val="24"/>
          <w:szCs w:val="24"/>
        </w:rPr>
        <w:t>【</w:t>
      </w:r>
      <w:r>
        <w:rPr>
          <w:rFonts w:ascii="Gungsuh" w:eastAsia="Gungsuh" w:hAnsi="Gungsuh" w:cs="Gungsuh"/>
          <w:sz w:val="24"/>
          <w:szCs w:val="24"/>
        </w:rPr>
        <w:t>5,6</w:t>
      </w:r>
      <w:r>
        <w:rPr>
          <w:rFonts w:ascii="Gungsuh" w:eastAsia="Gungsuh" w:hAnsi="Gungsuh" w:cs="Gungsuh"/>
          <w:sz w:val="24"/>
          <w:szCs w:val="24"/>
        </w:rPr>
        <w:t>】</w:t>
      </w:r>
      <w:r>
        <w:rPr>
          <w:rFonts w:ascii="Gungsuh" w:eastAsia="Gungsuh" w:hAnsi="Gungsuh" w:cs="Gungsuh"/>
          <w:sz w:val="24"/>
          <w:szCs w:val="24"/>
        </w:rPr>
        <w:t>. Of these, adult granulosa cell tumors (AGCTs) accou</w:t>
      </w:r>
      <w:r>
        <w:rPr>
          <w:rFonts w:ascii="Gungsuh" w:eastAsia="Gungsuh" w:hAnsi="Gungsuh" w:cs="Gungsuh"/>
          <w:sz w:val="24"/>
          <w:szCs w:val="24"/>
        </w:rPr>
        <w:t xml:space="preserve">nt for nearly 70% of cases, followed by </w:t>
      </w:r>
      <w:proofErr w:type="spellStart"/>
      <w:r>
        <w:rPr>
          <w:rFonts w:ascii="Gungsuh" w:eastAsia="Gungsuh" w:hAnsi="Gungsuh" w:cs="Gungsuh"/>
          <w:sz w:val="24"/>
          <w:szCs w:val="24"/>
        </w:rPr>
        <w:t>fibrothecomas</w:t>
      </w:r>
      <w:proofErr w:type="spellEnd"/>
      <w:r>
        <w:rPr>
          <w:rFonts w:ascii="Gungsuh" w:eastAsia="Gungsuh" w:hAnsi="Gungsuh" w:cs="Gungsuh"/>
          <w:sz w:val="24"/>
          <w:szCs w:val="24"/>
        </w:rPr>
        <w:t xml:space="preserve"> and Sertoli-Leydig tumors</w:t>
      </w:r>
      <w:r>
        <w:rPr>
          <w:rFonts w:ascii="Gungsuh" w:eastAsia="Gungsuh" w:hAnsi="Gungsuh" w:cs="Gungsuh"/>
          <w:sz w:val="24"/>
          <w:szCs w:val="24"/>
        </w:rPr>
        <w:t>【</w:t>
      </w:r>
      <w:r>
        <w:rPr>
          <w:rFonts w:ascii="Gungsuh" w:eastAsia="Gungsuh" w:hAnsi="Gungsuh" w:cs="Gungsuh"/>
          <w:sz w:val="24"/>
          <w:szCs w:val="24"/>
        </w:rPr>
        <w:t>3,5</w:t>
      </w:r>
      <w:r>
        <w:rPr>
          <w:rFonts w:ascii="Gungsuh" w:eastAsia="Gungsuh" w:hAnsi="Gungsuh" w:cs="Gungsuh"/>
          <w:sz w:val="24"/>
          <w:szCs w:val="24"/>
        </w:rPr>
        <w:t>】</w:t>
      </w:r>
      <w:r>
        <w:rPr>
          <w:rFonts w:ascii="Gungsuh" w:eastAsia="Gungsuh" w:hAnsi="Gungsuh" w:cs="Gungsuh"/>
          <w:sz w:val="24"/>
          <w:szCs w:val="24"/>
        </w:rPr>
        <w:t>. The discovery of a recurrent FOXL2 (C134W) gene mutation in &gt;90% of AGCTs has revolutionized the understanding of their molecular pathogenesis and diagnostic confirmation</w:t>
      </w:r>
      <w:r>
        <w:rPr>
          <w:rFonts w:ascii="Gungsuh" w:eastAsia="Gungsuh" w:hAnsi="Gungsuh" w:cs="Gungsuh"/>
          <w:sz w:val="24"/>
          <w:szCs w:val="24"/>
        </w:rPr>
        <w:t>【</w:t>
      </w:r>
      <w:r>
        <w:rPr>
          <w:rFonts w:ascii="Gungsuh" w:eastAsia="Gungsuh" w:hAnsi="Gungsuh" w:cs="Gungsuh"/>
          <w:sz w:val="24"/>
          <w:szCs w:val="24"/>
        </w:rPr>
        <w:t>5,13</w:t>
      </w:r>
      <w:r>
        <w:rPr>
          <w:rFonts w:ascii="Gungsuh" w:eastAsia="Gungsuh" w:hAnsi="Gungsuh" w:cs="Gungsuh"/>
          <w:sz w:val="24"/>
          <w:szCs w:val="24"/>
        </w:rPr>
        <w:t>】</w:t>
      </w:r>
      <w:r>
        <w:rPr>
          <w:rFonts w:ascii="Gungsuh" w:eastAsia="Gungsuh" w:hAnsi="Gungsuh" w:cs="Gungsuh"/>
          <w:sz w:val="24"/>
          <w:szCs w:val="24"/>
        </w:rPr>
        <w:t>. Although most SCSTs are indolent and slow growing, their potential for local invasion and late recurrence underscores the importance of long-term surveillance</w:t>
      </w:r>
      <w:r>
        <w:rPr>
          <w:rFonts w:ascii="Gungsuh" w:eastAsia="Gungsuh" w:hAnsi="Gungsuh" w:cs="Gungsuh"/>
          <w:sz w:val="24"/>
          <w:szCs w:val="24"/>
        </w:rPr>
        <w:t>【</w:t>
      </w:r>
      <w:r>
        <w:rPr>
          <w:rFonts w:ascii="Gungsuh" w:eastAsia="Gungsuh" w:hAnsi="Gungsuh" w:cs="Gungsuh"/>
          <w:sz w:val="24"/>
          <w:szCs w:val="24"/>
        </w:rPr>
        <w:t>17</w:t>
      </w:r>
      <w:r>
        <w:rPr>
          <w:rFonts w:ascii="Gungsuh" w:eastAsia="Gungsuh" w:hAnsi="Gungsuh" w:cs="Gungsuh"/>
          <w:sz w:val="24"/>
          <w:szCs w:val="24"/>
        </w:rPr>
        <w:t>】</w:t>
      </w:r>
      <w:r>
        <w:rPr>
          <w:rFonts w:ascii="Gungsuh" w:eastAsia="Gungsuh" w:hAnsi="Gungsuh" w:cs="Gungsuh"/>
          <w:sz w:val="24"/>
          <w:szCs w:val="24"/>
        </w:rPr>
        <w:t>.</w:t>
      </w:r>
    </w:p>
    <w:p w14:paraId="0000002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Sex cord-</w:t>
      </w:r>
      <w:proofErr w:type="gramStart"/>
      <w:r>
        <w:rPr>
          <w:rFonts w:ascii="Times New Roman" w:eastAsia="Times New Roman" w:hAnsi="Times New Roman" w:cs="Times New Roman"/>
          <w:sz w:val="24"/>
          <w:szCs w:val="24"/>
          <w:highlight w:val="white"/>
        </w:rPr>
        <w:t xml:space="preserve">stromal  </w:t>
      </w:r>
      <w:proofErr w:type="spellStart"/>
      <w:r>
        <w:rPr>
          <w:rFonts w:ascii="Times New Roman" w:eastAsia="Times New Roman" w:hAnsi="Times New Roman" w:cs="Times New Roman"/>
          <w:sz w:val="24"/>
          <w:szCs w:val="24"/>
          <w:highlight w:val="white"/>
        </w:rPr>
        <w:t>tumours</w:t>
      </w:r>
      <w:proofErr w:type="spellEnd"/>
      <w:proofErr w:type="gramEnd"/>
      <w:r>
        <w:rPr>
          <w:rFonts w:ascii="Times New Roman" w:eastAsia="Times New Roman" w:hAnsi="Times New Roman" w:cs="Times New Roman"/>
          <w:sz w:val="24"/>
          <w:szCs w:val="24"/>
          <w:highlight w:val="white"/>
        </w:rPr>
        <w:t xml:space="preserve">  (SCSTs)  consist  of  a heterogeneous  group  of  neoplas</w:t>
      </w:r>
      <w:r>
        <w:rPr>
          <w:rFonts w:ascii="Times New Roman" w:eastAsia="Times New Roman" w:hAnsi="Times New Roman" w:cs="Times New Roman"/>
          <w:sz w:val="24"/>
          <w:szCs w:val="24"/>
          <w:highlight w:val="white"/>
        </w:rPr>
        <w:t xml:space="preserve">ms  with  diverse clinicopathological features and biological </w:t>
      </w:r>
      <w:proofErr w:type="spellStart"/>
      <w:r>
        <w:rPr>
          <w:rFonts w:ascii="Times New Roman" w:eastAsia="Times New Roman" w:hAnsi="Times New Roman" w:cs="Times New Roman"/>
          <w:sz w:val="24"/>
          <w:szCs w:val="24"/>
          <w:highlight w:val="white"/>
        </w:rPr>
        <w:t>behaviour</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They  often</w:t>
      </w:r>
      <w:proofErr w:type="gramEnd"/>
      <w:r>
        <w:rPr>
          <w:rFonts w:ascii="Times New Roman" w:eastAsia="Times New Roman" w:hAnsi="Times New Roman" w:cs="Times New Roman"/>
          <w:sz w:val="24"/>
          <w:szCs w:val="24"/>
          <w:highlight w:val="white"/>
        </w:rPr>
        <w:t xml:space="preserve">  present  as  a  diagnostic challenge  as  they  have  varied  and  occasionally overlapping   histomorphology   and   some   may even  mimic  non-SCSTs.</w:t>
      </w:r>
    </w:p>
    <w:p w14:paraId="00000025"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lastRenderedPageBreak/>
        <w:t>While the majori</w:t>
      </w:r>
      <w:r>
        <w:rPr>
          <w:rFonts w:ascii="Gungsuh" w:eastAsia="Gungsuh" w:hAnsi="Gungsuh" w:cs="Gungsuh"/>
          <w:sz w:val="24"/>
          <w:szCs w:val="24"/>
        </w:rPr>
        <w:t>ty of ovarian SCSTs are relatively small and diagnosed incidentally, giant tumors (&gt;10 cm) represent a particularly uncommon clinical entity. These lesions may grow to occupy the entire abdominal cavity, often mimicking epithelial ovarian carcinomas or sar</w:t>
      </w:r>
      <w:r>
        <w:rPr>
          <w:rFonts w:ascii="Gungsuh" w:eastAsia="Gungsuh" w:hAnsi="Gungsuh" w:cs="Gungsuh"/>
          <w:sz w:val="24"/>
          <w:szCs w:val="24"/>
        </w:rPr>
        <w:t>comas on imaging</w:t>
      </w:r>
      <w:r>
        <w:rPr>
          <w:rFonts w:ascii="Gungsuh" w:eastAsia="Gungsuh" w:hAnsi="Gungsuh" w:cs="Gungsuh"/>
          <w:sz w:val="24"/>
          <w:szCs w:val="24"/>
        </w:rPr>
        <w:t>【</w:t>
      </w:r>
      <w:r>
        <w:rPr>
          <w:rFonts w:ascii="Gungsuh" w:eastAsia="Gungsuh" w:hAnsi="Gungsuh" w:cs="Gungsuh"/>
          <w:sz w:val="24"/>
          <w:szCs w:val="24"/>
        </w:rPr>
        <w:t>6,8</w:t>
      </w:r>
      <w:r>
        <w:rPr>
          <w:rFonts w:ascii="Gungsuh" w:eastAsia="Gungsuh" w:hAnsi="Gungsuh" w:cs="Gungsuh"/>
          <w:sz w:val="24"/>
          <w:szCs w:val="24"/>
        </w:rPr>
        <w:t>】</w:t>
      </w:r>
      <w:r>
        <w:rPr>
          <w:rFonts w:ascii="Gungsuh" w:eastAsia="Gungsuh" w:hAnsi="Gungsuh" w:cs="Gungsuh"/>
          <w:sz w:val="24"/>
          <w:szCs w:val="24"/>
        </w:rPr>
        <w:t>. Their slow but continuous growth allows them to reach massive dimensions before clinical detection, primarily presenting with abdominal distension, pain, or pressure symptoms on adjacent organs</w:t>
      </w:r>
      <w:r>
        <w:rPr>
          <w:rFonts w:ascii="Gungsuh" w:eastAsia="Gungsuh" w:hAnsi="Gungsuh" w:cs="Gungsuh"/>
          <w:sz w:val="24"/>
          <w:szCs w:val="24"/>
        </w:rPr>
        <w:t>【</w:t>
      </w:r>
      <w:r>
        <w:rPr>
          <w:rFonts w:ascii="Gungsuh" w:eastAsia="Gungsuh" w:hAnsi="Gungsuh" w:cs="Gungsuh"/>
          <w:sz w:val="24"/>
          <w:szCs w:val="24"/>
        </w:rPr>
        <w:t>4,6,9</w:t>
      </w:r>
      <w:r>
        <w:rPr>
          <w:rFonts w:ascii="Gungsuh" w:eastAsia="Gungsuh" w:hAnsi="Gungsuh" w:cs="Gungsuh"/>
          <w:sz w:val="24"/>
          <w:szCs w:val="24"/>
        </w:rPr>
        <w:t>】</w:t>
      </w:r>
      <w:r>
        <w:rPr>
          <w:rFonts w:ascii="Gungsuh" w:eastAsia="Gungsuh" w:hAnsi="Gungsuh" w:cs="Gungsuh"/>
          <w:sz w:val="24"/>
          <w:szCs w:val="24"/>
        </w:rPr>
        <w:t>. In some instances, patients pre</w:t>
      </w:r>
      <w:r>
        <w:rPr>
          <w:rFonts w:ascii="Gungsuh" w:eastAsia="Gungsuh" w:hAnsi="Gungsuh" w:cs="Gungsuh"/>
          <w:sz w:val="24"/>
          <w:szCs w:val="24"/>
        </w:rPr>
        <w:t>sent with ascites, pleural effusion, or endocrine manifestations mimicking Meigs or pseudo-Meigs syndrome</w:t>
      </w:r>
      <w:r>
        <w:rPr>
          <w:rFonts w:ascii="Gungsuh" w:eastAsia="Gungsuh" w:hAnsi="Gungsuh" w:cs="Gungsuh"/>
          <w:sz w:val="24"/>
          <w:szCs w:val="24"/>
        </w:rPr>
        <w:t>【</w:t>
      </w:r>
      <w:r>
        <w:rPr>
          <w:rFonts w:ascii="Gungsuh" w:eastAsia="Gungsuh" w:hAnsi="Gungsuh" w:cs="Gungsuh"/>
          <w:sz w:val="24"/>
          <w:szCs w:val="24"/>
        </w:rPr>
        <w:t>11</w:t>
      </w:r>
      <w:r>
        <w:rPr>
          <w:rFonts w:ascii="Gungsuh" w:eastAsia="Gungsuh" w:hAnsi="Gungsuh" w:cs="Gungsuh"/>
          <w:sz w:val="24"/>
          <w:szCs w:val="24"/>
        </w:rPr>
        <w:t>】</w:t>
      </w:r>
      <w:r>
        <w:rPr>
          <w:rFonts w:ascii="Gungsuh" w:eastAsia="Gungsuh" w:hAnsi="Gungsuh" w:cs="Gungsuh"/>
          <w:sz w:val="24"/>
          <w:szCs w:val="24"/>
        </w:rPr>
        <w:t>.</w:t>
      </w:r>
    </w:p>
    <w:p w14:paraId="00000026"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Dpc4 may be useful in distinguishing pancreatic </w:t>
      </w:r>
      <w:proofErr w:type="gramStart"/>
      <w:r>
        <w:rPr>
          <w:rFonts w:ascii="Times New Roman" w:eastAsia="Times New Roman" w:hAnsi="Times New Roman" w:cs="Times New Roman"/>
          <w:sz w:val="24"/>
          <w:szCs w:val="24"/>
          <w:highlight w:val="white"/>
        </w:rPr>
        <w:t>from  ovarian</w:t>
      </w:r>
      <w:proofErr w:type="gramEnd"/>
      <w:r>
        <w:rPr>
          <w:rFonts w:ascii="Times New Roman" w:eastAsia="Times New Roman" w:hAnsi="Times New Roman" w:cs="Times New Roman"/>
          <w:sz w:val="24"/>
          <w:szCs w:val="24"/>
          <w:highlight w:val="white"/>
        </w:rPr>
        <w:t xml:space="preserve">  mucinous  carcinomas,  because  up to   55%   of   pancreatic   carcinomas   lack </w:t>
      </w:r>
      <w:r>
        <w:rPr>
          <w:rFonts w:ascii="Times New Roman" w:eastAsia="Times New Roman" w:hAnsi="Times New Roman" w:cs="Times New Roman"/>
          <w:sz w:val="24"/>
          <w:szCs w:val="24"/>
          <w:highlight w:val="white"/>
        </w:rPr>
        <w:t xml:space="preserve">  Dpc4 expression,  whereas  the  differential  expression of  mucin  genes  may  be  helpful  in  distinguishing between     primary ovarian mucinous     and metastatic tumors. Urothelial markers (thrombomodulin and uroplakin III) and renal cell carcinoma</w:t>
      </w:r>
      <w:r>
        <w:rPr>
          <w:rFonts w:ascii="Times New Roman" w:eastAsia="Times New Roman" w:hAnsi="Times New Roman" w:cs="Times New Roman"/>
          <w:sz w:val="24"/>
          <w:szCs w:val="24"/>
          <w:highlight w:val="white"/>
        </w:rPr>
        <w:t xml:space="preserve">    markers </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CD10    and    renal    cell carcinoma    marker)    can    be    helpful    in    the diagnosis  of  metastatic  urothelial  and  renal  cell tumors   to   the   ovary.   The   roles   of   inhibin, </w:t>
      </w:r>
      <w:proofErr w:type="gramStart"/>
      <w:r>
        <w:rPr>
          <w:rFonts w:ascii="Times New Roman" w:eastAsia="Times New Roman" w:hAnsi="Times New Roman" w:cs="Times New Roman"/>
          <w:sz w:val="24"/>
          <w:szCs w:val="24"/>
          <w:highlight w:val="white"/>
        </w:rPr>
        <w:t>calretinin,  CD</w:t>
      </w:r>
      <w:proofErr w:type="gramEnd"/>
      <w:r>
        <w:rPr>
          <w:rFonts w:ascii="Times New Roman" w:eastAsia="Times New Roman" w:hAnsi="Times New Roman" w:cs="Times New Roman"/>
          <w:sz w:val="24"/>
          <w:szCs w:val="24"/>
          <w:highlight w:val="white"/>
        </w:rPr>
        <w:t>99,  and  other  recently</w:t>
      </w:r>
      <w:r>
        <w:rPr>
          <w:rFonts w:ascii="Times New Roman" w:eastAsia="Times New Roman" w:hAnsi="Times New Roman" w:cs="Times New Roman"/>
          <w:sz w:val="24"/>
          <w:szCs w:val="24"/>
          <w:highlight w:val="white"/>
        </w:rPr>
        <w:t xml:space="preserve">  described markers  in  the  diagnosis  of  sex  cord-stromal tumors   are   reviewed.   The   uses   of   OCT-4 (POU5F1</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a  new  highly  sensitive  and  specific marker     of     dysgerminoma    and    embryonal carcinoma),  CD30,  and  c-kit  are  al</w:t>
      </w:r>
      <w:r>
        <w:rPr>
          <w:rFonts w:ascii="Times New Roman" w:eastAsia="Times New Roman" w:hAnsi="Times New Roman" w:cs="Times New Roman"/>
          <w:sz w:val="24"/>
          <w:szCs w:val="24"/>
          <w:highlight w:val="white"/>
        </w:rPr>
        <w:t xml:space="preserve">so  useful [1]. </w:t>
      </w:r>
    </w:p>
    <w:p w14:paraId="00000027"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Radiologically, differentiation between SCSTs and epithelial ovarian tumors remains challenging. Ultrasound and computed tomography (CT) typically demonstrate mixed solid–cystic masses with variable echogenicity, while magnetic resonance i</w:t>
      </w:r>
      <w:r>
        <w:rPr>
          <w:rFonts w:ascii="Gungsuh" w:eastAsia="Gungsuh" w:hAnsi="Gungsuh" w:cs="Gungsuh"/>
          <w:sz w:val="24"/>
          <w:szCs w:val="24"/>
        </w:rPr>
        <w:t>maging (MRI) may show low T2 signal intensity due to fibrous content</w:t>
      </w:r>
      <w:r>
        <w:rPr>
          <w:rFonts w:ascii="Gungsuh" w:eastAsia="Gungsuh" w:hAnsi="Gungsuh" w:cs="Gungsuh"/>
          <w:sz w:val="24"/>
          <w:szCs w:val="24"/>
        </w:rPr>
        <w:t>【</w:t>
      </w:r>
      <w:r>
        <w:rPr>
          <w:rFonts w:ascii="Gungsuh" w:eastAsia="Gungsuh" w:hAnsi="Gungsuh" w:cs="Gungsuh"/>
          <w:sz w:val="24"/>
          <w:szCs w:val="24"/>
        </w:rPr>
        <w:t>8,14</w:t>
      </w:r>
      <w:r>
        <w:rPr>
          <w:rFonts w:ascii="Gungsuh" w:eastAsia="Gungsuh" w:hAnsi="Gungsuh" w:cs="Gungsuh"/>
          <w:sz w:val="24"/>
          <w:szCs w:val="24"/>
        </w:rPr>
        <w:t>】</w:t>
      </w:r>
      <w:r>
        <w:rPr>
          <w:rFonts w:ascii="Gungsuh" w:eastAsia="Gungsuh" w:hAnsi="Gungsuh" w:cs="Gungsuh"/>
          <w:sz w:val="24"/>
          <w:szCs w:val="24"/>
        </w:rPr>
        <w:t>. Serum tumor markers such as inhibin A, inhibin B, anti-Müllerian hormone (AMH), and estradiol provide useful diagnostic clues but lack specificity</w:t>
      </w:r>
      <w:r>
        <w:rPr>
          <w:rFonts w:ascii="Gungsuh" w:eastAsia="Gungsuh" w:hAnsi="Gungsuh" w:cs="Gungsuh"/>
          <w:sz w:val="24"/>
          <w:szCs w:val="24"/>
        </w:rPr>
        <w:t>【</w:t>
      </w:r>
      <w:r>
        <w:rPr>
          <w:rFonts w:ascii="Gungsuh" w:eastAsia="Gungsuh" w:hAnsi="Gungsuh" w:cs="Gungsuh"/>
          <w:sz w:val="24"/>
          <w:szCs w:val="24"/>
        </w:rPr>
        <w:t>9,11</w:t>
      </w:r>
      <w:r>
        <w:rPr>
          <w:rFonts w:ascii="Gungsuh" w:eastAsia="Gungsuh" w:hAnsi="Gungsuh" w:cs="Gungsuh"/>
          <w:sz w:val="24"/>
          <w:szCs w:val="24"/>
        </w:rPr>
        <w:t>】</w:t>
      </w:r>
      <w:r>
        <w:rPr>
          <w:rFonts w:ascii="Gungsuh" w:eastAsia="Gungsuh" w:hAnsi="Gungsuh" w:cs="Gungsuh"/>
          <w:sz w:val="24"/>
          <w:szCs w:val="24"/>
        </w:rPr>
        <w:t>. Hence, definitive diagnosi</w:t>
      </w:r>
      <w:r>
        <w:rPr>
          <w:rFonts w:ascii="Gungsuh" w:eastAsia="Gungsuh" w:hAnsi="Gungsuh" w:cs="Gungsuh"/>
          <w:sz w:val="24"/>
          <w:szCs w:val="24"/>
        </w:rPr>
        <w:t xml:space="preserve">s relies on histopathology and </w:t>
      </w:r>
      <w:r>
        <w:rPr>
          <w:rFonts w:ascii="Gungsuh" w:eastAsia="Gungsuh" w:hAnsi="Gungsuh" w:cs="Gungsuh"/>
          <w:sz w:val="24"/>
          <w:szCs w:val="24"/>
        </w:rPr>
        <w:lastRenderedPageBreak/>
        <w:t>immunohistochemistry, with inhibin-α, calretinin, and SF-1 serving as the most reliable markers for stromal differentiation</w:t>
      </w:r>
      <w:r>
        <w:rPr>
          <w:rFonts w:ascii="Gungsuh" w:eastAsia="Gungsuh" w:hAnsi="Gungsuh" w:cs="Gungsuh"/>
          <w:sz w:val="24"/>
          <w:szCs w:val="24"/>
        </w:rPr>
        <w:t>【</w:t>
      </w:r>
      <w:r>
        <w:rPr>
          <w:rFonts w:ascii="Gungsuh" w:eastAsia="Gungsuh" w:hAnsi="Gungsuh" w:cs="Gungsuh"/>
          <w:sz w:val="24"/>
          <w:szCs w:val="24"/>
        </w:rPr>
        <w:t>9,13</w:t>
      </w:r>
      <w:r>
        <w:rPr>
          <w:rFonts w:ascii="Gungsuh" w:eastAsia="Gungsuh" w:hAnsi="Gungsuh" w:cs="Gungsuh"/>
          <w:sz w:val="24"/>
          <w:szCs w:val="24"/>
        </w:rPr>
        <w:t>】</w:t>
      </w:r>
      <w:r>
        <w:rPr>
          <w:rFonts w:ascii="Gungsuh" w:eastAsia="Gungsuh" w:hAnsi="Gungsuh" w:cs="Gungsuh"/>
          <w:sz w:val="24"/>
          <w:szCs w:val="24"/>
        </w:rPr>
        <w:t>.</w:t>
      </w:r>
    </w:p>
    <w:p w14:paraId="00000028" w14:textId="77777777" w:rsidR="00470772" w:rsidRDefault="00470772">
      <w:pPr>
        <w:spacing w:line="360" w:lineRule="auto"/>
        <w:jc w:val="both"/>
        <w:rPr>
          <w:rFonts w:ascii="Times New Roman" w:eastAsia="Times New Roman" w:hAnsi="Times New Roman" w:cs="Times New Roman"/>
          <w:sz w:val="24"/>
          <w:szCs w:val="24"/>
        </w:rPr>
      </w:pPr>
    </w:p>
    <w:p w14:paraId="00000029"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Management of SCSTs is primarily surgical, with the extent determined by patient age, fertili</w:t>
      </w:r>
      <w:r>
        <w:rPr>
          <w:rFonts w:ascii="Gungsuh" w:eastAsia="Gungsuh" w:hAnsi="Gungsuh" w:cs="Gungsuh"/>
          <w:sz w:val="24"/>
          <w:szCs w:val="24"/>
        </w:rPr>
        <w:t xml:space="preserve">ty desires, and tumor stage. For young women with early-stage disease, fertility-sparing unilateral </w:t>
      </w:r>
      <w:proofErr w:type="spellStart"/>
      <w:r>
        <w:rPr>
          <w:rFonts w:ascii="Gungsuh" w:eastAsia="Gungsuh" w:hAnsi="Gungsuh" w:cs="Gungsuh"/>
          <w:sz w:val="24"/>
          <w:szCs w:val="24"/>
        </w:rPr>
        <w:t>salpingo</w:t>
      </w:r>
      <w:proofErr w:type="spellEnd"/>
      <w:r>
        <w:rPr>
          <w:rFonts w:ascii="Gungsuh" w:eastAsia="Gungsuh" w:hAnsi="Gungsuh" w:cs="Gungsuh"/>
          <w:sz w:val="24"/>
          <w:szCs w:val="24"/>
        </w:rPr>
        <w:t>-oophorectomy is feasible, whereas postmenopausal women or those with advanced disease are advised to undergo total abdominal hysterectomy with bila</w:t>
      </w:r>
      <w:r>
        <w:rPr>
          <w:rFonts w:ascii="Gungsuh" w:eastAsia="Gungsuh" w:hAnsi="Gungsuh" w:cs="Gungsuh"/>
          <w:sz w:val="24"/>
          <w:szCs w:val="24"/>
        </w:rPr>
        <w:t xml:space="preserve">teral </w:t>
      </w:r>
      <w:proofErr w:type="spellStart"/>
      <w:r>
        <w:rPr>
          <w:rFonts w:ascii="Gungsuh" w:eastAsia="Gungsuh" w:hAnsi="Gungsuh" w:cs="Gungsuh"/>
          <w:sz w:val="24"/>
          <w:szCs w:val="24"/>
        </w:rPr>
        <w:t>salpingo</w:t>
      </w:r>
      <w:proofErr w:type="spellEnd"/>
      <w:r>
        <w:rPr>
          <w:rFonts w:ascii="Gungsuh" w:eastAsia="Gungsuh" w:hAnsi="Gungsuh" w:cs="Gungsuh"/>
          <w:sz w:val="24"/>
          <w:szCs w:val="24"/>
        </w:rPr>
        <w:t>-oophorectomy (TAH-</w:t>
      </w:r>
      <w:proofErr w:type="gramStart"/>
      <w:r>
        <w:rPr>
          <w:rFonts w:ascii="Gungsuh" w:eastAsia="Gungsuh" w:hAnsi="Gungsuh" w:cs="Gungsuh"/>
          <w:sz w:val="24"/>
          <w:szCs w:val="24"/>
        </w:rPr>
        <w:t>BSO)</w:t>
      </w:r>
      <w:r>
        <w:rPr>
          <w:rFonts w:ascii="Gungsuh" w:eastAsia="Gungsuh" w:hAnsi="Gungsuh" w:cs="Gungsuh"/>
          <w:sz w:val="24"/>
          <w:szCs w:val="24"/>
        </w:rPr>
        <w:t>【</w:t>
      </w:r>
      <w:proofErr w:type="gramEnd"/>
      <w:r>
        <w:rPr>
          <w:rFonts w:ascii="Gungsuh" w:eastAsia="Gungsuh" w:hAnsi="Gungsuh" w:cs="Gungsuh"/>
          <w:sz w:val="24"/>
          <w:szCs w:val="24"/>
        </w:rPr>
        <w:t>3,4,10</w:t>
      </w:r>
      <w:r>
        <w:rPr>
          <w:rFonts w:ascii="Gungsuh" w:eastAsia="Gungsuh" w:hAnsi="Gungsuh" w:cs="Gungsuh"/>
          <w:sz w:val="24"/>
          <w:szCs w:val="24"/>
        </w:rPr>
        <w:t>】</w:t>
      </w:r>
      <w:r>
        <w:rPr>
          <w:rFonts w:ascii="Gungsuh" w:eastAsia="Gungsuh" w:hAnsi="Gungsuh" w:cs="Gungsuh"/>
          <w:sz w:val="24"/>
          <w:szCs w:val="24"/>
        </w:rPr>
        <w:t>. Adjuvant chemotherapy, typically with bleomycin, etoposide, and cisplatin (BEP regimen), is reserved for poorly differentiated or recurrent tumors</w:t>
      </w:r>
      <w:r>
        <w:rPr>
          <w:rFonts w:ascii="Gungsuh" w:eastAsia="Gungsuh" w:hAnsi="Gungsuh" w:cs="Gungsuh"/>
          <w:sz w:val="24"/>
          <w:szCs w:val="24"/>
        </w:rPr>
        <w:t>【</w:t>
      </w:r>
      <w:r>
        <w:rPr>
          <w:rFonts w:ascii="Gungsuh" w:eastAsia="Gungsuh" w:hAnsi="Gungsuh" w:cs="Gungsuh"/>
          <w:sz w:val="24"/>
          <w:szCs w:val="24"/>
        </w:rPr>
        <w:t>10,15</w:t>
      </w:r>
      <w:r>
        <w:rPr>
          <w:rFonts w:ascii="Gungsuh" w:eastAsia="Gungsuh" w:hAnsi="Gungsuh" w:cs="Gungsuh"/>
          <w:sz w:val="24"/>
          <w:szCs w:val="24"/>
        </w:rPr>
        <w:t>】</w:t>
      </w:r>
      <w:r>
        <w:rPr>
          <w:rFonts w:ascii="Gungsuh" w:eastAsia="Gungsuh" w:hAnsi="Gungsuh" w:cs="Gungsuh"/>
          <w:sz w:val="24"/>
          <w:szCs w:val="24"/>
        </w:rPr>
        <w:t>. The overall prognosis is favorable, with five-year sur</w:t>
      </w:r>
      <w:r>
        <w:rPr>
          <w:rFonts w:ascii="Gungsuh" w:eastAsia="Gungsuh" w:hAnsi="Gungsuh" w:cs="Gungsuh"/>
          <w:sz w:val="24"/>
          <w:szCs w:val="24"/>
        </w:rPr>
        <w:t>vival rates exceeding 90% for stage I disease</w:t>
      </w:r>
      <w:r>
        <w:rPr>
          <w:rFonts w:ascii="Gungsuh" w:eastAsia="Gungsuh" w:hAnsi="Gungsuh" w:cs="Gungsuh"/>
          <w:sz w:val="24"/>
          <w:szCs w:val="24"/>
        </w:rPr>
        <w:t>【</w:t>
      </w:r>
      <w:r>
        <w:rPr>
          <w:rFonts w:ascii="Gungsuh" w:eastAsia="Gungsuh" w:hAnsi="Gungsuh" w:cs="Gungsuh"/>
          <w:sz w:val="24"/>
          <w:szCs w:val="24"/>
        </w:rPr>
        <w:t>5,10</w:t>
      </w:r>
      <w:r>
        <w:rPr>
          <w:rFonts w:ascii="Gungsuh" w:eastAsia="Gungsuh" w:hAnsi="Gungsuh" w:cs="Gungsuh"/>
          <w:sz w:val="24"/>
          <w:szCs w:val="24"/>
        </w:rPr>
        <w:t>】</w:t>
      </w:r>
      <w:r>
        <w:rPr>
          <w:rFonts w:ascii="Gungsuh" w:eastAsia="Gungsuh" w:hAnsi="Gungsuh" w:cs="Gungsuh"/>
          <w:sz w:val="24"/>
          <w:szCs w:val="24"/>
        </w:rPr>
        <w:t>; however, recurrence—sometimes decades after initial surgery—has been reported in up to 25% of adult granulosa cell tumors</w:t>
      </w:r>
      <w:r>
        <w:rPr>
          <w:rFonts w:ascii="Gungsuh" w:eastAsia="Gungsuh" w:hAnsi="Gungsuh" w:cs="Gungsuh"/>
          <w:sz w:val="24"/>
          <w:szCs w:val="24"/>
        </w:rPr>
        <w:t>【</w:t>
      </w:r>
      <w:r>
        <w:rPr>
          <w:rFonts w:ascii="Gungsuh" w:eastAsia="Gungsuh" w:hAnsi="Gungsuh" w:cs="Gungsuh"/>
          <w:sz w:val="24"/>
          <w:szCs w:val="24"/>
        </w:rPr>
        <w:t>17,18</w:t>
      </w:r>
      <w:r>
        <w:rPr>
          <w:rFonts w:ascii="Gungsuh" w:eastAsia="Gungsuh" w:hAnsi="Gungsuh" w:cs="Gungsuh"/>
          <w:sz w:val="24"/>
          <w:szCs w:val="24"/>
        </w:rPr>
        <w:t>】</w:t>
      </w:r>
      <w:r>
        <w:rPr>
          <w:rFonts w:ascii="Gungsuh" w:eastAsia="Gungsuh" w:hAnsi="Gungsuh" w:cs="Gungsuh"/>
          <w:sz w:val="24"/>
          <w:szCs w:val="24"/>
        </w:rPr>
        <w:t>.</w:t>
      </w:r>
    </w:p>
    <w:p w14:paraId="0000002A" w14:textId="77777777" w:rsidR="00470772" w:rsidRDefault="00470772">
      <w:pPr>
        <w:spacing w:line="360" w:lineRule="auto"/>
        <w:jc w:val="both"/>
        <w:rPr>
          <w:rFonts w:ascii="Times New Roman" w:eastAsia="Times New Roman" w:hAnsi="Times New Roman" w:cs="Times New Roman"/>
          <w:sz w:val="24"/>
          <w:szCs w:val="24"/>
        </w:rPr>
      </w:pPr>
    </w:p>
    <w:p w14:paraId="0000002B"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rarity of giant ovarian SCSTs, combined with their atypical clinical</w:t>
      </w:r>
      <w:r>
        <w:rPr>
          <w:rFonts w:ascii="Times New Roman" w:eastAsia="Times New Roman" w:hAnsi="Times New Roman" w:cs="Times New Roman"/>
          <w:sz w:val="24"/>
          <w:szCs w:val="24"/>
        </w:rPr>
        <w:t xml:space="preserve"> presentation and radiologic overlap with epithelial malignancies, creates diagnostic and therapeutic dilemmas. Because most published literature consists of single case reports or small series, collective data are limited. Therefore, a comprehensive synth</w:t>
      </w:r>
      <w:r>
        <w:rPr>
          <w:rFonts w:ascii="Times New Roman" w:eastAsia="Times New Roman" w:hAnsi="Times New Roman" w:cs="Times New Roman"/>
          <w:sz w:val="24"/>
          <w:szCs w:val="24"/>
        </w:rPr>
        <w:t>esis of available studies is essential to understand their clinicopathological spectrum and optimize management approaches.</w:t>
      </w:r>
    </w:p>
    <w:p w14:paraId="0000002C" w14:textId="77777777" w:rsidR="00470772" w:rsidRDefault="00470772">
      <w:pPr>
        <w:spacing w:line="360" w:lineRule="auto"/>
        <w:jc w:val="both"/>
        <w:rPr>
          <w:rFonts w:ascii="Times New Roman" w:eastAsia="Times New Roman" w:hAnsi="Times New Roman" w:cs="Times New Roman"/>
          <w:sz w:val="24"/>
          <w:szCs w:val="24"/>
        </w:rPr>
      </w:pPr>
    </w:p>
    <w:p w14:paraId="0000002D"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systematic review aims to consolidate existing literature from 2015 to 2025 on giant ovarian sex cord stromal tumors, f</w:t>
      </w:r>
      <w:r>
        <w:rPr>
          <w:rFonts w:ascii="Times New Roman" w:eastAsia="Times New Roman" w:hAnsi="Times New Roman" w:cs="Times New Roman"/>
          <w:sz w:val="24"/>
          <w:szCs w:val="24"/>
        </w:rPr>
        <w:t xml:space="preserve">ocusing on their epidemiology, clinical presentation, diagnostic modalities, histopathological patterns, management outcomes, and prognostic factors. By </w:t>
      </w:r>
      <w:r>
        <w:rPr>
          <w:rFonts w:ascii="Times New Roman" w:eastAsia="Times New Roman" w:hAnsi="Times New Roman" w:cs="Times New Roman"/>
          <w:sz w:val="24"/>
          <w:szCs w:val="24"/>
        </w:rPr>
        <w:lastRenderedPageBreak/>
        <w:t>integrating recent molecular and clinical evidence, this review seeks to bridge gaps in knowledge and p</w:t>
      </w:r>
      <w:r>
        <w:rPr>
          <w:rFonts w:ascii="Times New Roman" w:eastAsia="Times New Roman" w:hAnsi="Times New Roman" w:cs="Times New Roman"/>
          <w:sz w:val="24"/>
          <w:szCs w:val="24"/>
        </w:rPr>
        <w:t>rovide updated insights for gynecologic oncologists, pathologists, and surgeons.</w:t>
      </w:r>
    </w:p>
    <w:p w14:paraId="0000002E" w14:textId="77777777" w:rsidR="00470772" w:rsidRDefault="00470772">
      <w:pPr>
        <w:spacing w:line="360" w:lineRule="auto"/>
        <w:jc w:val="both"/>
        <w:rPr>
          <w:rFonts w:ascii="Times New Roman" w:eastAsia="Times New Roman" w:hAnsi="Times New Roman" w:cs="Times New Roman"/>
          <w:sz w:val="24"/>
          <w:szCs w:val="24"/>
        </w:rPr>
      </w:pPr>
    </w:p>
    <w:p w14:paraId="0000002F" w14:textId="77777777" w:rsidR="00470772" w:rsidRDefault="00470772">
      <w:pPr>
        <w:spacing w:line="360" w:lineRule="auto"/>
        <w:jc w:val="both"/>
        <w:rPr>
          <w:rFonts w:ascii="Times New Roman" w:eastAsia="Times New Roman" w:hAnsi="Times New Roman" w:cs="Times New Roman"/>
          <w:sz w:val="24"/>
          <w:szCs w:val="24"/>
        </w:rPr>
      </w:pPr>
    </w:p>
    <w:p w14:paraId="00000030" w14:textId="77777777" w:rsidR="00470772" w:rsidRDefault="00470772">
      <w:pPr>
        <w:spacing w:line="360" w:lineRule="auto"/>
        <w:jc w:val="both"/>
        <w:rPr>
          <w:rFonts w:ascii="Times New Roman" w:eastAsia="Times New Roman" w:hAnsi="Times New Roman" w:cs="Times New Roman"/>
          <w:sz w:val="24"/>
          <w:szCs w:val="24"/>
        </w:rPr>
      </w:pPr>
    </w:p>
    <w:p w14:paraId="00000031" w14:textId="77777777" w:rsidR="00470772" w:rsidRDefault="00470772">
      <w:pPr>
        <w:spacing w:line="360" w:lineRule="auto"/>
        <w:jc w:val="both"/>
        <w:rPr>
          <w:rFonts w:ascii="Times New Roman" w:eastAsia="Times New Roman" w:hAnsi="Times New Roman" w:cs="Times New Roman"/>
          <w:sz w:val="24"/>
          <w:szCs w:val="24"/>
        </w:rPr>
      </w:pPr>
    </w:p>
    <w:p w14:paraId="00000032"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00000033" w14:textId="77777777" w:rsidR="00470772" w:rsidRDefault="00470772">
      <w:pPr>
        <w:spacing w:line="360" w:lineRule="auto"/>
        <w:jc w:val="both"/>
        <w:rPr>
          <w:rFonts w:ascii="Times New Roman" w:eastAsia="Times New Roman" w:hAnsi="Times New Roman" w:cs="Times New Roman"/>
          <w:sz w:val="24"/>
          <w:szCs w:val="24"/>
        </w:rPr>
      </w:pPr>
    </w:p>
    <w:p w14:paraId="0000003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systematic review following PRISMA guidelines was conducted. Literature published between January 2015 – October 2025 was retrieved from PubMed, S</w:t>
      </w:r>
      <w:r>
        <w:rPr>
          <w:rFonts w:ascii="Times New Roman" w:eastAsia="Times New Roman" w:hAnsi="Times New Roman" w:cs="Times New Roman"/>
          <w:sz w:val="24"/>
          <w:szCs w:val="24"/>
        </w:rPr>
        <w:t>copus, and Google Scholar using:</w:t>
      </w:r>
    </w:p>
    <w:p w14:paraId="00000035"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“giant ovarian sex cord stromal tumor,” “granulosa cell tumor,” “</w:t>
      </w:r>
      <w:proofErr w:type="spellStart"/>
      <w:r>
        <w:rPr>
          <w:rFonts w:ascii="Times New Roman" w:eastAsia="Times New Roman" w:hAnsi="Times New Roman" w:cs="Times New Roman"/>
          <w:sz w:val="24"/>
          <w:szCs w:val="24"/>
        </w:rPr>
        <w:t>fibrothecoma</w:t>
      </w:r>
      <w:proofErr w:type="spellEnd"/>
      <w:r>
        <w:rPr>
          <w:rFonts w:ascii="Times New Roman" w:eastAsia="Times New Roman" w:hAnsi="Times New Roman" w:cs="Times New Roman"/>
          <w:sz w:val="24"/>
          <w:szCs w:val="24"/>
        </w:rPr>
        <w:t>,” “Sertoli-Leydig cell tumor,” “massive abdominopelvic tumor.”</w:t>
      </w:r>
    </w:p>
    <w:p w14:paraId="00000036" w14:textId="77777777" w:rsidR="00470772" w:rsidRDefault="00470772">
      <w:pPr>
        <w:spacing w:line="360" w:lineRule="auto"/>
        <w:jc w:val="both"/>
        <w:rPr>
          <w:rFonts w:ascii="Times New Roman" w:eastAsia="Times New Roman" w:hAnsi="Times New Roman" w:cs="Times New Roman"/>
          <w:sz w:val="24"/>
          <w:szCs w:val="24"/>
        </w:rPr>
      </w:pPr>
    </w:p>
    <w:p w14:paraId="00000037" w14:textId="77777777" w:rsidR="00470772" w:rsidRDefault="00470772">
      <w:pPr>
        <w:spacing w:line="360" w:lineRule="auto"/>
        <w:jc w:val="both"/>
        <w:rPr>
          <w:rFonts w:ascii="Times New Roman" w:eastAsia="Times New Roman" w:hAnsi="Times New Roman" w:cs="Times New Roman"/>
          <w:b/>
          <w:bCs/>
          <w:sz w:val="24"/>
          <w:szCs w:val="24"/>
        </w:rPr>
      </w:pPr>
    </w:p>
    <w:p w14:paraId="00000038"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p w14:paraId="00000039" w14:textId="77777777" w:rsidR="00470772" w:rsidRDefault="00470772">
      <w:pPr>
        <w:spacing w:line="360" w:lineRule="auto"/>
        <w:jc w:val="both"/>
        <w:rPr>
          <w:rFonts w:ascii="Times New Roman" w:eastAsia="Times New Roman" w:hAnsi="Times New Roman" w:cs="Times New Roman"/>
          <w:sz w:val="24"/>
          <w:szCs w:val="24"/>
        </w:rPr>
      </w:pPr>
    </w:p>
    <w:p w14:paraId="0000003A" w14:textId="77777777" w:rsidR="00470772" w:rsidRDefault="00A6606E">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Histologically confirmed ovarian SCST &gt; 10 cm.</w:t>
      </w:r>
    </w:p>
    <w:p w14:paraId="0000003B" w14:textId="77777777" w:rsidR="00470772" w:rsidRDefault="00A6606E">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reports,</w:t>
      </w:r>
      <w:r>
        <w:rPr>
          <w:rFonts w:ascii="Times New Roman" w:eastAsia="Times New Roman" w:hAnsi="Times New Roman" w:cs="Times New Roman"/>
          <w:color w:val="000000"/>
          <w:sz w:val="24"/>
          <w:szCs w:val="24"/>
        </w:rPr>
        <w:t xml:space="preserve"> series, or retrospective studies.</w:t>
      </w:r>
    </w:p>
    <w:p w14:paraId="0000003C" w14:textId="77777777" w:rsidR="00470772" w:rsidRDefault="00A6606E">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English-language full text.</w:t>
      </w:r>
    </w:p>
    <w:p w14:paraId="0000003D" w14:textId="77777777" w:rsidR="00470772" w:rsidRDefault="00470772">
      <w:pPr>
        <w:spacing w:line="360" w:lineRule="auto"/>
        <w:jc w:val="both"/>
        <w:rPr>
          <w:rFonts w:ascii="Times New Roman" w:eastAsia="Times New Roman" w:hAnsi="Times New Roman" w:cs="Times New Roman"/>
          <w:b/>
          <w:bCs/>
          <w:sz w:val="24"/>
          <w:szCs w:val="24"/>
        </w:rPr>
      </w:pPr>
    </w:p>
    <w:p w14:paraId="0000003E"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p w14:paraId="0000003F" w14:textId="77777777" w:rsidR="00470772" w:rsidRDefault="00470772">
      <w:pPr>
        <w:spacing w:line="360" w:lineRule="auto"/>
        <w:jc w:val="both"/>
        <w:rPr>
          <w:rFonts w:ascii="Times New Roman" w:eastAsia="Times New Roman" w:hAnsi="Times New Roman" w:cs="Times New Roman"/>
          <w:sz w:val="24"/>
          <w:szCs w:val="24"/>
        </w:rPr>
      </w:pPr>
    </w:p>
    <w:p w14:paraId="00000040" w14:textId="77777777" w:rsidR="00470772" w:rsidRDefault="00A6606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Tumors &lt; 10 cm.</w:t>
      </w:r>
    </w:p>
    <w:p w14:paraId="00000041" w14:textId="77777777" w:rsidR="00470772" w:rsidRDefault="00A6606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Non-stromal ovarian neoplasms.</w:t>
      </w:r>
    </w:p>
    <w:p w14:paraId="00000042" w14:textId="77777777" w:rsidR="00470772" w:rsidRDefault="00A6606E">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Studies without histologic confirmation.</w:t>
      </w:r>
    </w:p>
    <w:p w14:paraId="00000043" w14:textId="77777777" w:rsidR="00470772" w:rsidRDefault="00470772">
      <w:pPr>
        <w:spacing w:line="360" w:lineRule="auto"/>
        <w:jc w:val="both"/>
        <w:rPr>
          <w:rFonts w:ascii="Times New Roman" w:eastAsia="Times New Roman" w:hAnsi="Times New Roman" w:cs="Times New Roman"/>
          <w:sz w:val="24"/>
          <w:szCs w:val="24"/>
        </w:rPr>
      </w:pPr>
    </w:p>
    <w:p w14:paraId="00000044" w14:textId="77777777" w:rsidR="00470772" w:rsidRDefault="00470772">
      <w:pPr>
        <w:spacing w:line="360" w:lineRule="auto"/>
        <w:jc w:val="both"/>
        <w:rPr>
          <w:rFonts w:ascii="Times New Roman" w:eastAsia="Times New Roman" w:hAnsi="Times New Roman" w:cs="Times New Roman"/>
          <w:sz w:val="24"/>
          <w:szCs w:val="24"/>
        </w:rPr>
      </w:pPr>
    </w:p>
    <w:p w14:paraId="00000045"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00000046" w14:textId="77777777" w:rsidR="00470772" w:rsidRDefault="00470772">
      <w:pPr>
        <w:spacing w:line="360" w:lineRule="auto"/>
        <w:jc w:val="both"/>
        <w:rPr>
          <w:rFonts w:ascii="Times New Roman" w:eastAsia="Times New Roman" w:hAnsi="Times New Roman" w:cs="Times New Roman"/>
          <w:sz w:val="24"/>
          <w:szCs w:val="24"/>
        </w:rPr>
      </w:pPr>
    </w:p>
    <w:p w14:paraId="00000047"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independent reviewers extracted data on age, presentation, </w:t>
      </w:r>
      <w:r>
        <w:rPr>
          <w:rFonts w:ascii="Times New Roman" w:eastAsia="Times New Roman" w:hAnsi="Times New Roman" w:cs="Times New Roman"/>
          <w:sz w:val="24"/>
          <w:szCs w:val="24"/>
        </w:rPr>
        <w:t>hormonal activity, size, imaging, histology, management, and outcome. Because of heterogeneous data, descriptive synthesis was applied.</w:t>
      </w:r>
    </w:p>
    <w:p w14:paraId="00000048" w14:textId="77777777" w:rsidR="00470772" w:rsidRDefault="00470772">
      <w:pPr>
        <w:spacing w:line="360" w:lineRule="auto"/>
        <w:jc w:val="both"/>
        <w:rPr>
          <w:rFonts w:ascii="Times New Roman" w:eastAsia="Times New Roman" w:hAnsi="Times New Roman" w:cs="Times New Roman"/>
          <w:sz w:val="24"/>
          <w:szCs w:val="24"/>
        </w:rPr>
      </w:pPr>
    </w:p>
    <w:p w14:paraId="00000049" w14:textId="77777777" w:rsidR="00470772" w:rsidRDefault="00470772">
      <w:pPr>
        <w:spacing w:line="360" w:lineRule="auto"/>
        <w:jc w:val="both"/>
        <w:rPr>
          <w:rFonts w:ascii="Times New Roman" w:eastAsia="Times New Roman" w:hAnsi="Times New Roman" w:cs="Times New Roman"/>
          <w:b/>
          <w:bCs/>
          <w:sz w:val="24"/>
          <w:szCs w:val="24"/>
        </w:rPr>
      </w:pPr>
    </w:p>
    <w:p w14:paraId="0000004A"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0000004B" w14:textId="77777777" w:rsidR="00470772" w:rsidRDefault="00470772">
      <w:pPr>
        <w:spacing w:line="360" w:lineRule="auto"/>
        <w:jc w:val="both"/>
        <w:rPr>
          <w:rFonts w:ascii="Times New Roman" w:eastAsia="Times New Roman" w:hAnsi="Times New Roman" w:cs="Times New Roman"/>
          <w:sz w:val="24"/>
          <w:szCs w:val="24"/>
        </w:rPr>
      </w:pPr>
    </w:p>
    <w:p w14:paraId="0000004C"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 Characteristics</w:t>
      </w:r>
    </w:p>
    <w:p w14:paraId="0000004D"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Forty-two publications comprising 67 patients met inclusion criteria. Mean age = 47 y</w:t>
      </w:r>
      <w:r>
        <w:rPr>
          <w:rFonts w:ascii="Gungsuh" w:eastAsia="Gungsuh" w:hAnsi="Gungsuh" w:cs="Gungsuh"/>
          <w:sz w:val="24"/>
          <w:szCs w:val="24"/>
        </w:rPr>
        <w:t>ears (range 14–</w:t>
      </w:r>
      <w:proofErr w:type="gramStart"/>
      <w:r>
        <w:rPr>
          <w:rFonts w:ascii="Gungsuh" w:eastAsia="Gungsuh" w:hAnsi="Gungsuh" w:cs="Gungsuh"/>
          <w:sz w:val="24"/>
          <w:szCs w:val="24"/>
        </w:rPr>
        <w:t>78)</w:t>
      </w:r>
      <w:r>
        <w:rPr>
          <w:rFonts w:ascii="Gungsuh" w:eastAsia="Gungsuh" w:hAnsi="Gungsuh" w:cs="Gungsuh"/>
          <w:sz w:val="24"/>
          <w:szCs w:val="24"/>
        </w:rPr>
        <w:t>【</w:t>
      </w:r>
      <w:proofErr w:type="gramEnd"/>
      <w:r>
        <w:rPr>
          <w:rFonts w:ascii="Gungsuh" w:eastAsia="Gungsuh" w:hAnsi="Gungsuh" w:cs="Gungsuh"/>
          <w:sz w:val="24"/>
          <w:szCs w:val="24"/>
        </w:rPr>
        <w:t>4,5</w:t>
      </w:r>
      <w:r>
        <w:rPr>
          <w:rFonts w:ascii="Gungsuh" w:eastAsia="Gungsuh" w:hAnsi="Gungsuh" w:cs="Gungsuh"/>
          <w:sz w:val="24"/>
          <w:szCs w:val="24"/>
        </w:rPr>
        <w:t>】</w:t>
      </w:r>
      <w:r>
        <w:rPr>
          <w:rFonts w:ascii="Gungsuh" w:eastAsia="Gungsuh" w:hAnsi="Gungsuh" w:cs="Gungsuh"/>
          <w:sz w:val="24"/>
          <w:szCs w:val="24"/>
        </w:rPr>
        <w:t>. Most patients were perimenopausal (61%).</w:t>
      </w:r>
    </w:p>
    <w:p w14:paraId="0000004E" w14:textId="77777777" w:rsidR="00470772" w:rsidRDefault="00470772">
      <w:pPr>
        <w:spacing w:line="360" w:lineRule="auto"/>
        <w:jc w:val="both"/>
        <w:rPr>
          <w:rFonts w:ascii="Times New Roman" w:eastAsia="Times New Roman" w:hAnsi="Times New Roman" w:cs="Times New Roman"/>
          <w:sz w:val="24"/>
          <w:szCs w:val="24"/>
        </w:rPr>
      </w:pPr>
    </w:p>
    <w:p w14:paraId="0000004F"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Symptoms:</w:t>
      </w:r>
    </w:p>
    <w:p w14:paraId="00000050" w14:textId="77777777" w:rsidR="00470772" w:rsidRDefault="00470772">
      <w:pPr>
        <w:spacing w:line="360" w:lineRule="auto"/>
        <w:jc w:val="both"/>
        <w:rPr>
          <w:rFonts w:ascii="Times New Roman" w:eastAsia="Times New Roman" w:hAnsi="Times New Roman" w:cs="Times New Roman"/>
          <w:sz w:val="24"/>
          <w:szCs w:val="24"/>
        </w:rPr>
      </w:pPr>
    </w:p>
    <w:p w14:paraId="00000051"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Abdominal distension – 85%</w:t>
      </w:r>
    </w:p>
    <w:p w14:paraId="00000052"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 – 72%</w:t>
      </w:r>
    </w:p>
    <w:p w14:paraId="00000053"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Menstrual irregularity – 18%</w:t>
      </w:r>
    </w:p>
    <w:p w14:paraId="0000005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Virilization – 9%</w:t>
      </w:r>
    </w:p>
    <w:p w14:paraId="00000055"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Postmenopausal bleeding – 6%</w:t>
      </w:r>
      <w:r>
        <w:rPr>
          <w:rFonts w:ascii="Gungsuh" w:eastAsia="Gungsuh" w:hAnsi="Gungsuh" w:cs="Gungsuh"/>
          <w:sz w:val="24"/>
          <w:szCs w:val="24"/>
        </w:rPr>
        <w:t>【</w:t>
      </w:r>
      <w:r>
        <w:rPr>
          <w:rFonts w:ascii="Gungsuh" w:eastAsia="Gungsuh" w:hAnsi="Gungsuh" w:cs="Gungsuh"/>
          <w:sz w:val="24"/>
          <w:szCs w:val="24"/>
        </w:rPr>
        <w:t>6,7</w:t>
      </w:r>
      <w:r>
        <w:rPr>
          <w:rFonts w:ascii="Gungsuh" w:eastAsia="Gungsuh" w:hAnsi="Gungsuh" w:cs="Gungsuh"/>
          <w:sz w:val="24"/>
          <w:szCs w:val="24"/>
        </w:rPr>
        <w:t>】</w:t>
      </w:r>
    </w:p>
    <w:p w14:paraId="00000056"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Tumor Characteristics</w:t>
      </w:r>
    </w:p>
    <w:p w14:paraId="00000057"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diameter = 25.4 cm (range </w:t>
      </w:r>
      <w:r>
        <w:rPr>
          <w:rFonts w:ascii="Times New Roman" w:eastAsia="Times New Roman" w:hAnsi="Times New Roman" w:cs="Times New Roman"/>
          <w:sz w:val="24"/>
          <w:szCs w:val="24"/>
        </w:rPr>
        <w:t>12–45 cm).</w:t>
      </w:r>
    </w:p>
    <w:p w14:paraId="0000005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Predominantly unilateral (93%).</w:t>
      </w:r>
    </w:p>
    <w:p w14:paraId="00000059"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ascites/metastasis in 88%.</w:t>
      </w:r>
    </w:p>
    <w:p w14:paraId="0000005A"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Histologic types: granulosa 53%, </w:t>
      </w:r>
      <w:proofErr w:type="spellStart"/>
      <w:r>
        <w:rPr>
          <w:rFonts w:ascii="Gungsuh" w:eastAsia="Gungsuh" w:hAnsi="Gungsuh" w:cs="Gungsuh"/>
          <w:sz w:val="24"/>
          <w:szCs w:val="24"/>
        </w:rPr>
        <w:t>fibrothecoma</w:t>
      </w:r>
      <w:proofErr w:type="spellEnd"/>
      <w:r>
        <w:rPr>
          <w:rFonts w:ascii="Gungsuh" w:eastAsia="Gungsuh" w:hAnsi="Gungsuh" w:cs="Gungsuh"/>
          <w:sz w:val="24"/>
          <w:szCs w:val="24"/>
        </w:rPr>
        <w:t xml:space="preserve"> 31%, Sertoli-Leydig 16%</w:t>
      </w:r>
      <w:r>
        <w:rPr>
          <w:rFonts w:ascii="Gungsuh" w:eastAsia="Gungsuh" w:hAnsi="Gungsuh" w:cs="Gungsuh"/>
          <w:sz w:val="24"/>
          <w:szCs w:val="24"/>
        </w:rPr>
        <w:t>【</w:t>
      </w:r>
      <w:r>
        <w:rPr>
          <w:rFonts w:ascii="Gungsuh" w:eastAsia="Gungsuh" w:hAnsi="Gungsuh" w:cs="Gungsuh"/>
          <w:sz w:val="24"/>
          <w:szCs w:val="24"/>
        </w:rPr>
        <w:t>3–5</w:t>
      </w:r>
      <w:r>
        <w:rPr>
          <w:rFonts w:ascii="Gungsuh" w:eastAsia="Gungsuh" w:hAnsi="Gungsuh" w:cs="Gungsuh"/>
          <w:sz w:val="24"/>
          <w:szCs w:val="24"/>
        </w:rPr>
        <w:t>】</w:t>
      </w:r>
      <w:r>
        <w:rPr>
          <w:rFonts w:ascii="Gungsuh" w:eastAsia="Gungsuh" w:hAnsi="Gungsuh" w:cs="Gungsuh"/>
          <w:sz w:val="24"/>
          <w:szCs w:val="24"/>
        </w:rPr>
        <w:t>.</w:t>
      </w:r>
    </w:p>
    <w:p w14:paraId="0000005B" w14:textId="77777777" w:rsidR="00470772" w:rsidRDefault="00470772">
      <w:pPr>
        <w:spacing w:line="360" w:lineRule="auto"/>
        <w:jc w:val="both"/>
        <w:rPr>
          <w:rFonts w:ascii="Times New Roman" w:eastAsia="Times New Roman" w:hAnsi="Times New Roman" w:cs="Times New Roman"/>
          <w:sz w:val="24"/>
          <w:szCs w:val="24"/>
        </w:rPr>
      </w:pPr>
    </w:p>
    <w:p w14:paraId="0000005C" w14:textId="77777777" w:rsidR="00470772" w:rsidRDefault="00470772">
      <w:pPr>
        <w:spacing w:line="360" w:lineRule="auto"/>
        <w:jc w:val="both"/>
        <w:rPr>
          <w:rFonts w:ascii="Times New Roman" w:eastAsia="Times New Roman" w:hAnsi="Times New Roman" w:cs="Times New Roman"/>
          <w:sz w:val="24"/>
          <w:szCs w:val="24"/>
        </w:rPr>
      </w:pPr>
    </w:p>
    <w:p w14:paraId="0000005D"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Imaging and Pathology</w:t>
      </w:r>
    </w:p>
    <w:p w14:paraId="0000005E" w14:textId="77777777" w:rsidR="00470772" w:rsidRDefault="00470772">
      <w:pPr>
        <w:spacing w:line="360" w:lineRule="auto"/>
        <w:jc w:val="both"/>
        <w:rPr>
          <w:rFonts w:ascii="Times New Roman" w:eastAsia="Times New Roman" w:hAnsi="Times New Roman" w:cs="Times New Roman"/>
          <w:sz w:val="24"/>
          <w:szCs w:val="24"/>
        </w:rPr>
      </w:pPr>
    </w:p>
    <w:p w14:paraId="0000005F"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Ultrasonography and CT typically revealed heterogeneous solid-cystic masses, frequ</w:t>
      </w:r>
      <w:r>
        <w:rPr>
          <w:rFonts w:ascii="Gungsuh" w:eastAsia="Gungsuh" w:hAnsi="Gungsuh" w:cs="Gungsuh"/>
          <w:sz w:val="24"/>
          <w:szCs w:val="24"/>
        </w:rPr>
        <w:t>ently mistaken for cystadenocarcinoma</w:t>
      </w:r>
      <w:r>
        <w:rPr>
          <w:rFonts w:ascii="Gungsuh" w:eastAsia="Gungsuh" w:hAnsi="Gungsuh" w:cs="Gungsuh"/>
          <w:sz w:val="24"/>
          <w:szCs w:val="24"/>
        </w:rPr>
        <w:t>【</w:t>
      </w:r>
      <w:r>
        <w:rPr>
          <w:rFonts w:ascii="Gungsuh" w:eastAsia="Gungsuh" w:hAnsi="Gungsuh" w:cs="Gungsuh"/>
          <w:sz w:val="24"/>
          <w:szCs w:val="24"/>
        </w:rPr>
        <w:t>8</w:t>
      </w:r>
      <w:r>
        <w:rPr>
          <w:rFonts w:ascii="Gungsuh" w:eastAsia="Gungsuh" w:hAnsi="Gungsuh" w:cs="Gungsuh"/>
          <w:sz w:val="24"/>
          <w:szCs w:val="24"/>
        </w:rPr>
        <w:t>】</w:t>
      </w:r>
      <w:r>
        <w:rPr>
          <w:rFonts w:ascii="Gungsuh" w:eastAsia="Gungsuh" w:hAnsi="Gungsuh" w:cs="Gungsuh"/>
          <w:sz w:val="24"/>
          <w:szCs w:val="24"/>
        </w:rPr>
        <w:t xml:space="preserve">. Histologically, Call-Exner bodies and coffee-bean nuclei confirmed granulosa cell tumor; spindle cells and collagen bundles characterized </w:t>
      </w:r>
      <w:proofErr w:type="spellStart"/>
      <w:r>
        <w:rPr>
          <w:rFonts w:ascii="Gungsuh" w:eastAsia="Gungsuh" w:hAnsi="Gungsuh" w:cs="Gungsuh"/>
          <w:sz w:val="24"/>
          <w:szCs w:val="24"/>
        </w:rPr>
        <w:t>fibrothecoma</w:t>
      </w:r>
      <w:proofErr w:type="spellEnd"/>
      <w:r>
        <w:rPr>
          <w:rFonts w:ascii="Gungsuh" w:eastAsia="Gungsuh" w:hAnsi="Gungsuh" w:cs="Gungsuh"/>
          <w:sz w:val="24"/>
          <w:szCs w:val="24"/>
        </w:rPr>
        <w:t>; and tubular Sertoli patterns identified Sertoli-Leydig tumors</w:t>
      </w:r>
      <w:r>
        <w:rPr>
          <w:rFonts w:ascii="Gungsuh" w:eastAsia="Gungsuh" w:hAnsi="Gungsuh" w:cs="Gungsuh"/>
          <w:sz w:val="24"/>
          <w:szCs w:val="24"/>
        </w:rPr>
        <w:t>【</w:t>
      </w:r>
      <w:r>
        <w:rPr>
          <w:rFonts w:ascii="Gungsuh" w:eastAsia="Gungsuh" w:hAnsi="Gungsuh" w:cs="Gungsuh"/>
          <w:sz w:val="24"/>
          <w:szCs w:val="24"/>
        </w:rPr>
        <w:t>11,12</w:t>
      </w:r>
      <w:r>
        <w:rPr>
          <w:rFonts w:ascii="Gungsuh" w:eastAsia="Gungsuh" w:hAnsi="Gungsuh" w:cs="Gungsuh"/>
          <w:sz w:val="24"/>
          <w:szCs w:val="24"/>
        </w:rPr>
        <w:t>】</w:t>
      </w:r>
      <w:r>
        <w:rPr>
          <w:rFonts w:ascii="Gungsuh" w:eastAsia="Gungsuh" w:hAnsi="Gungsuh" w:cs="Gungsuh"/>
          <w:sz w:val="24"/>
          <w:szCs w:val="24"/>
        </w:rPr>
        <w:t>. Immunohistochemistry showed inhibin-α, calretinin, and FOXL2 positivity</w:t>
      </w:r>
      <w:r>
        <w:rPr>
          <w:rFonts w:ascii="Gungsuh" w:eastAsia="Gungsuh" w:hAnsi="Gungsuh" w:cs="Gungsuh"/>
          <w:sz w:val="24"/>
          <w:szCs w:val="24"/>
        </w:rPr>
        <w:t>【</w:t>
      </w:r>
      <w:r>
        <w:rPr>
          <w:rFonts w:ascii="Gungsuh" w:eastAsia="Gungsuh" w:hAnsi="Gungsuh" w:cs="Gungsuh"/>
          <w:sz w:val="24"/>
          <w:szCs w:val="24"/>
        </w:rPr>
        <w:t>9,11</w:t>
      </w:r>
      <w:r>
        <w:rPr>
          <w:rFonts w:ascii="Gungsuh" w:eastAsia="Gungsuh" w:hAnsi="Gungsuh" w:cs="Gungsuh"/>
          <w:sz w:val="24"/>
          <w:szCs w:val="24"/>
        </w:rPr>
        <w:t>】</w:t>
      </w:r>
      <w:r>
        <w:rPr>
          <w:rFonts w:ascii="Gungsuh" w:eastAsia="Gungsuh" w:hAnsi="Gungsuh" w:cs="Gungsuh"/>
          <w:sz w:val="24"/>
          <w:szCs w:val="24"/>
        </w:rPr>
        <w:t>.</w:t>
      </w:r>
    </w:p>
    <w:p w14:paraId="00000060" w14:textId="77777777" w:rsidR="00470772" w:rsidRDefault="00470772">
      <w:pPr>
        <w:spacing w:line="360" w:lineRule="auto"/>
        <w:jc w:val="both"/>
        <w:rPr>
          <w:rFonts w:ascii="Times New Roman" w:eastAsia="Times New Roman" w:hAnsi="Times New Roman" w:cs="Times New Roman"/>
          <w:b/>
          <w:bCs/>
          <w:sz w:val="24"/>
          <w:szCs w:val="24"/>
        </w:rPr>
      </w:pPr>
    </w:p>
    <w:p w14:paraId="00000061"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and Outcome</w:t>
      </w:r>
    </w:p>
    <w:p w14:paraId="00000062" w14:textId="77777777" w:rsidR="00470772" w:rsidRDefault="00470772">
      <w:pPr>
        <w:spacing w:line="360" w:lineRule="auto"/>
        <w:jc w:val="both"/>
        <w:rPr>
          <w:rFonts w:ascii="Times New Roman" w:eastAsia="Times New Roman" w:hAnsi="Times New Roman" w:cs="Times New Roman"/>
          <w:sz w:val="24"/>
          <w:szCs w:val="24"/>
        </w:rPr>
      </w:pPr>
    </w:p>
    <w:p w14:paraId="00000063"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lastRenderedPageBreak/>
        <w:t>Surgery: Total abdominal hysterectomy + BSO (65%), unilateral oophorectomy (25</w:t>
      </w:r>
      <w:proofErr w:type="gramStart"/>
      <w:r>
        <w:rPr>
          <w:rFonts w:ascii="Gungsuh" w:eastAsia="Gungsuh" w:hAnsi="Gungsuh" w:cs="Gungsuh"/>
          <w:sz w:val="24"/>
          <w:szCs w:val="24"/>
        </w:rPr>
        <w:t>%)</w:t>
      </w:r>
      <w:r>
        <w:rPr>
          <w:rFonts w:ascii="Gungsuh" w:eastAsia="Gungsuh" w:hAnsi="Gungsuh" w:cs="Gungsuh"/>
          <w:sz w:val="24"/>
          <w:szCs w:val="24"/>
        </w:rPr>
        <w:t>【</w:t>
      </w:r>
      <w:proofErr w:type="gramEnd"/>
      <w:r>
        <w:rPr>
          <w:rFonts w:ascii="Gungsuh" w:eastAsia="Gungsuh" w:hAnsi="Gungsuh" w:cs="Gungsuh"/>
          <w:sz w:val="24"/>
          <w:szCs w:val="24"/>
        </w:rPr>
        <w:t>3,4</w:t>
      </w:r>
      <w:r>
        <w:rPr>
          <w:rFonts w:ascii="Gungsuh" w:eastAsia="Gungsuh" w:hAnsi="Gungsuh" w:cs="Gungsuh"/>
          <w:sz w:val="24"/>
          <w:szCs w:val="24"/>
        </w:rPr>
        <w:t>】</w:t>
      </w:r>
      <w:r>
        <w:rPr>
          <w:rFonts w:ascii="Gungsuh" w:eastAsia="Gungsuh" w:hAnsi="Gungsuh" w:cs="Gungsuh"/>
          <w:sz w:val="24"/>
          <w:szCs w:val="24"/>
        </w:rPr>
        <w:t>.</w:t>
      </w:r>
    </w:p>
    <w:p w14:paraId="00000064" w14:textId="77777777" w:rsidR="00470772" w:rsidRDefault="00470772">
      <w:pPr>
        <w:spacing w:line="360" w:lineRule="auto"/>
        <w:jc w:val="both"/>
        <w:rPr>
          <w:rFonts w:ascii="Times New Roman" w:eastAsia="Times New Roman" w:hAnsi="Times New Roman" w:cs="Times New Roman"/>
          <w:sz w:val="24"/>
          <w:szCs w:val="24"/>
        </w:rPr>
      </w:pPr>
    </w:p>
    <w:p w14:paraId="00000065"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Adjuvant therapy: Chemotherapy (bleomycin, etoposide, </w:t>
      </w:r>
      <w:r>
        <w:rPr>
          <w:rFonts w:ascii="Gungsuh" w:eastAsia="Gungsuh" w:hAnsi="Gungsuh" w:cs="Gungsuh"/>
          <w:sz w:val="24"/>
          <w:szCs w:val="24"/>
        </w:rPr>
        <w:t>cisplatin) used in 6% of cases for recurrent/poorly differentiated tumors</w:t>
      </w:r>
      <w:r>
        <w:rPr>
          <w:rFonts w:ascii="Gungsuh" w:eastAsia="Gungsuh" w:hAnsi="Gungsuh" w:cs="Gungsuh"/>
          <w:sz w:val="24"/>
          <w:szCs w:val="24"/>
        </w:rPr>
        <w:t>【</w:t>
      </w:r>
      <w:r>
        <w:rPr>
          <w:rFonts w:ascii="Gungsuh" w:eastAsia="Gungsuh" w:hAnsi="Gungsuh" w:cs="Gungsuh"/>
          <w:sz w:val="24"/>
          <w:szCs w:val="24"/>
        </w:rPr>
        <w:t>10</w:t>
      </w:r>
      <w:r>
        <w:rPr>
          <w:rFonts w:ascii="Gungsuh" w:eastAsia="Gungsuh" w:hAnsi="Gungsuh" w:cs="Gungsuh"/>
          <w:sz w:val="24"/>
          <w:szCs w:val="24"/>
        </w:rPr>
        <w:t>】</w:t>
      </w:r>
      <w:r>
        <w:rPr>
          <w:rFonts w:ascii="Gungsuh" w:eastAsia="Gungsuh" w:hAnsi="Gungsuh" w:cs="Gungsuh"/>
          <w:sz w:val="24"/>
          <w:szCs w:val="24"/>
        </w:rPr>
        <w:t>.</w:t>
      </w:r>
    </w:p>
    <w:p w14:paraId="00000066" w14:textId="77777777" w:rsidR="00470772" w:rsidRDefault="00470772">
      <w:pPr>
        <w:spacing w:line="360" w:lineRule="auto"/>
        <w:jc w:val="both"/>
        <w:rPr>
          <w:rFonts w:ascii="Times New Roman" w:eastAsia="Times New Roman" w:hAnsi="Times New Roman" w:cs="Times New Roman"/>
          <w:sz w:val="24"/>
          <w:szCs w:val="24"/>
        </w:rPr>
      </w:pPr>
    </w:p>
    <w:p w14:paraId="00000067"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Recurrence: 9% overall—mostly granulosa cell tumors within 3 years.</w:t>
      </w:r>
    </w:p>
    <w:p w14:paraId="0000006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Mortality: &lt; 2%. Mean follow-up = 36 months (range 6–120 months).</w:t>
      </w:r>
    </w:p>
    <w:p w14:paraId="00000069" w14:textId="77777777" w:rsidR="00470772" w:rsidRDefault="00470772">
      <w:pPr>
        <w:spacing w:line="360" w:lineRule="auto"/>
        <w:jc w:val="both"/>
        <w:rPr>
          <w:rFonts w:ascii="Times New Roman" w:eastAsia="Times New Roman" w:hAnsi="Times New Roman" w:cs="Times New Roman"/>
          <w:sz w:val="24"/>
          <w:szCs w:val="24"/>
        </w:rPr>
      </w:pPr>
    </w:p>
    <w:p w14:paraId="0000006A" w14:textId="77777777" w:rsidR="00470772" w:rsidRDefault="00470772">
      <w:pPr>
        <w:spacing w:line="360" w:lineRule="auto"/>
        <w:jc w:val="both"/>
        <w:rPr>
          <w:rFonts w:ascii="Times New Roman" w:eastAsia="Times New Roman" w:hAnsi="Times New Roman" w:cs="Times New Roman"/>
          <w:sz w:val="24"/>
          <w:szCs w:val="24"/>
        </w:rPr>
      </w:pPr>
    </w:p>
    <w:p w14:paraId="0000006B"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06C"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2E2E2E"/>
          <w:sz w:val="24"/>
          <w:szCs w:val="24"/>
          <w:highlight w:val="white"/>
        </w:rPr>
        <w:t xml:space="preserve">Sex cord tumor with annular tubules (SCTAT) is a rare but distinct subtype of sex cord-stromal tumor of the ovary. SCTAT often produces estrogen and causes gonadotropin-independent precocious puberty and menstrual irregularities. Its clinical features are </w:t>
      </w:r>
      <w:r>
        <w:rPr>
          <w:rFonts w:ascii="Times New Roman" w:eastAsia="Times New Roman" w:hAnsi="Times New Roman" w:cs="Times New Roman"/>
          <w:color w:val="2E2E2E"/>
          <w:sz w:val="24"/>
          <w:szCs w:val="24"/>
          <w:highlight w:val="white"/>
        </w:rPr>
        <w:t xml:space="preserve">dependent on the association with </w:t>
      </w:r>
      <w:proofErr w:type="spellStart"/>
      <w:r>
        <w:rPr>
          <w:rFonts w:ascii="Times New Roman" w:eastAsia="Times New Roman" w:hAnsi="Times New Roman" w:cs="Times New Roman"/>
          <w:color w:val="2E2E2E"/>
          <w:sz w:val="24"/>
          <w:szCs w:val="24"/>
          <w:highlight w:val="white"/>
        </w:rPr>
        <w:t>Peutz-Jeghers</w:t>
      </w:r>
      <w:proofErr w:type="spellEnd"/>
      <w:r>
        <w:rPr>
          <w:rFonts w:ascii="Times New Roman" w:eastAsia="Times New Roman" w:hAnsi="Times New Roman" w:cs="Times New Roman"/>
          <w:color w:val="2E2E2E"/>
          <w:sz w:val="24"/>
          <w:szCs w:val="24"/>
          <w:highlight w:val="white"/>
        </w:rPr>
        <w:t xml:space="preserve"> syndrome (PJS). SCTAT associated with PJS manifests as typically bilateral, multifocal, and small (frequently microscopic) cysts and is clinically benign. By contrast, SCTAT not associated with PJS often mani</w:t>
      </w:r>
      <w:r>
        <w:rPr>
          <w:rFonts w:ascii="Times New Roman" w:eastAsia="Times New Roman" w:hAnsi="Times New Roman" w:cs="Times New Roman"/>
          <w:color w:val="2E2E2E"/>
          <w:sz w:val="24"/>
          <w:szCs w:val="24"/>
          <w:highlight w:val="white"/>
        </w:rPr>
        <w:t>fests as a unilateral large cyst; 20% of such tumors have malignant potential.</w:t>
      </w:r>
    </w:p>
    <w:p w14:paraId="0000006D"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2A2A2A"/>
          <w:sz w:val="24"/>
          <w:szCs w:val="24"/>
          <w:highlight w:val="white"/>
        </w:rPr>
        <w:t>Sex cord–stromal tumors are a heterogeneous group of rare benign and malignant tumors originating from the ovarian stroma, which is derived from the sex cords of the embryonic g</w:t>
      </w:r>
      <w:r>
        <w:rPr>
          <w:rFonts w:ascii="Times New Roman" w:eastAsia="Times New Roman" w:hAnsi="Times New Roman" w:cs="Times New Roman"/>
          <w:color w:val="2A2A2A"/>
          <w:sz w:val="24"/>
          <w:szCs w:val="24"/>
          <w:highlight w:val="white"/>
        </w:rPr>
        <w:t>onads.</w:t>
      </w:r>
      <w:r>
        <w:rPr>
          <w:rFonts w:ascii="Times New Roman" w:eastAsia="Times New Roman" w:hAnsi="Times New Roman" w:cs="Times New Roman"/>
          <w:color w:val="2A2A2A"/>
          <w:sz w:val="24"/>
          <w:szCs w:val="24"/>
          <w:highlight w:val="white"/>
          <w:vertAlign w:val="superscript"/>
        </w:rPr>
        <w:t> </w:t>
      </w:r>
      <w:r>
        <w:rPr>
          <w:rFonts w:ascii="Times New Roman" w:eastAsia="Times New Roman" w:hAnsi="Times New Roman" w:cs="Times New Roman"/>
          <w:color w:val="2A2A2A"/>
          <w:sz w:val="24"/>
          <w:szCs w:val="24"/>
          <w:highlight w:val="white"/>
        </w:rPr>
        <w:t>The gonadal primitive sex cords include granulosa cells and Sertoli cells, while the stromal cells include theca cells, fibroblasts, and Leydig cells.</w:t>
      </w:r>
      <w:r>
        <w:rPr>
          <w:rFonts w:ascii="Times New Roman" w:eastAsia="Times New Roman" w:hAnsi="Times New Roman" w:cs="Times New Roman"/>
          <w:color w:val="2A2A2A"/>
          <w:sz w:val="24"/>
          <w:szCs w:val="24"/>
          <w:highlight w:val="white"/>
          <w:vertAlign w:val="superscript"/>
        </w:rPr>
        <w:t>  </w:t>
      </w:r>
      <w:r>
        <w:rPr>
          <w:rFonts w:ascii="Times New Roman" w:eastAsia="Times New Roman" w:hAnsi="Times New Roman" w:cs="Times New Roman"/>
          <w:color w:val="2A2A2A"/>
          <w:sz w:val="24"/>
          <w:szCs w:val="24"/>
          <w:highlight w:val="white"/>
        </w:rPr>
        <w:t xml:space="preserve">These cell types may be present singly or in various combinations. </w:t>
      </w:r>
    </w:p>
    <w:p w14:paraId="0000006E" w14:textId="77777777" w:rsidR="00470772" w:rsidRDefault="00470772">
      <w:pPr>
        <w:spacing w:line="360" w:lineRule="auto"/>
        <w:jc w:val="both"/>
        <w:rPr>
          <w:rFonts w:ascii="Times New Roman" w:eastAsia="Times New Roman" w:hAnsi="Times New Roman" w:cs="Times New Roman"/>
          <w:b/>
          <w:bCs/>
          <w:sz w:val="24"/>
          <w:szCs w:val="24"/>
        </w:rPr>
      </w:pPr>
    </w:p>
    <w:p w14:paraId="0000006F" w14:textId="77777777" w:rsidR="00470772" w:rsidRDefault="00470772">
      <w:pPr>
        <w:spacing w:line="360" w:lineRule="auto"/>
        <w:jc w:val="both"/>
        <w:rPr>
          <w:rFonts w:ascii="Times New Roman" w:eastAsia="Times New Roman" w:hAnsi="Times New Roman" w:cs="Times New Roman"/>
          <w:b/>
          <w:bCs/>
          <w:sz w:val="24"/>
          <w:szCs w:val="24"/>
        </w:rPr>
      </w:pPr>
    </w:p>
    <w:p w14:paraId="00000070"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2A2A2A"/>
          <w:sz w:val="24"/>
          <w:szCs w:val="24"/>
          <w:highlight w:val="white"/>
        </w:rPr>
        <w:lastRenderedPageBreak/>
        <w:t>Tumors originating from ova</w:t>
      </w:r>
      <w:r>
        <w:rPr>
          <w:rFonts w:ascii="Times New Roman" w:eastAsia="Times New Roman" w:hAnsi="Times New Roman" w:cs="Times New Roman"/>
          <w:color w:val="2A2A2A"/>
          <w:sz w:val="24"/>
          <w:szCs w:val="24"/>
          <w:highlight w:val="white"/>
        </w:rPr>
        <w:t>rian granulosa and theca cells secrete estrogens (</w:t>
      </w:r>
      <w:proofErr w:type="spellStart"/>
      <w:r>
        <w:rPr>
          <w:rFonts w:ascii="Times New Roman" w:eastAsia="Times New Roman" w:hAnsi="Times New Roman" w:cs="Times New Roman"/>
          <w:color w:val="2A2A2A"/>
          <w:sz w:val="24"/>
          <w:szCs w:val="24"/>
          <w:highlight w:val="white"/>
        </w:rPr>
        <w:t>hyperestrogenic</w:t>
      </w:r>
      <w:proofErr w:type="spellEnd"/>
      <w:r>
        <w:rPr>
          <w:rFonts w:ascii="Times New Roman" w:eastAsia="Times New Roman" w:hAnsi="Times New Roman" w:cs="Times New Roman"/>
          <w:color w:val="2A2A2A"/>
          <w:sz w:val="24"/>
          <w:szCs w:val="24"/>
          <w:highlight w:val="white"/>
        </w:rPr>
        <w:t>), leading to feminizing effects such as isosexual precocity, abnormal uterine bleeding, endometrial hyperplasia, or carcinoma. Conversely, tumors arising from testicular cells, such as Leydi</w:t>
      </w:r>
      <w:r>
        <w:rPr>
          <w:rFonts w:ascii="Times New Roman" w:eastAsia="Times New Roman" w:hAnsi="Times New Roman" w:cs="Times New Roman"/>
          <w:color w:val="2A2A2A"/>
          <w:sz w:val="24"/>
          <w:szCs w:val="24"/>
          <w:highlight w:val="white"/>
        </w:rPr>
        <w:t>g and Sertoli cells, produce androgens (hyperandrogenic), resulting in masculinizing effects such as virilization presenting as hirsutism, acne, menstrual irregularities, androgenic alopecia, and voice deepening.</w:t>
      </w:r>
      <w:r>
        <w:rPr>
          <w:rFonts w:ascii="Times New Roman" w:eastAsia="Times New Roman" w:hAnsi="Times New Roman" w:cs="Times New Roman"/>
          <w:color w:val="2A2A2A"/>
          <w:sz w:val="24"/>
          <w:szCs w:val="24"/>
          <w:highlight w:val="white"/>
          <w:vertAlign w:val="superscript"/>
        </w:rPr>
        <w:t> </w:t>
      </w:r>
      <w:r>
        <w:rPr>
          <w:rFonts w:ascii="Times New Roman" w:eastAsia="Times New Roman" w:hAnsi="Times New Roman" w:cs="Times New Roman"/>
          <w:color w:val="2A2A2A"/>
          <w:sz w:val="24"/>
          <w:szCs w:val="24"/>
          <w:highlight w:val="white"/>
        </w:rPr>
        <w:t xml:space="preserve">Apart from these endocrinal presentations, </w:t>
      </w:r>
      <w:r>
        <w:rPr>
          <w:rFonts w:ascii="Times New Roman" w:eastAsia="Times New Roman" w:hAnsi="Times New Roman" w:cs="Times New Roman"/>
          <w:color w:val="2A2A2A"/>
          <w:sz w:val="24"/>
          <w:szCs w:val="24"/>
          <w:highlight w:val="white"/>
        </w:rPr>
        <w:t xml:space="preserve">they also have variable clinicopathological features and biological behavior, which may pose a diagnostic challenge [6]. </w:t>
      </w:r>
    </w:p>
    <w:p w14:paraId="00000071" w14:textId="77777777" w:rsidR="00470772" w:rsidRDefault="00470772">
      <w:pPr>
        <w:spacing w:line="360" w:lineRule="auto"/>
        <w:jc w:val="both"/>
        <w:rPr>
          <w:rFonts w:ascii="Times New Roman" w:eastAsia="Times New Roman" w:hAnsi="Times New Roman" w:cs="Times New Roman"/>
          <w:b/>
          <w:bCs/>
          <w:sz w:val="24"/>
          <w:szCs w:val="24"/>
        </w:rPr>
      </w:pPr>
    </w:p>
    <w:p w14:paraId="00000072" w14:textId="77777777" w:rsidR="00470772" w:rsidRDefault="00470772">
      <w:pPr>
        <w:spacing w:line="360" w:lineRule="auto"/>
        <w:jc w:val="both"/>
        <w:rPr>
          <w:rFonts w:ascii="Times New Roman" w:eastAsia="Times New Roman" w:hAnsi="Times New Roman" w:cs="Times New Roman"/>
          <w:b/>
          <w:bCs/>
          <w:sz w:val="24"/>
          <w:szCs w:val="24"/>
        </w:rPr>
      </w:pPr>
    </w:p>
    <w:p w14:paraId="00000073" w14:textId="77777777" w:rsidR="00470772" w:rsidRDefault="00470772">
      <w:pPr>
        <w:spacing w:line="360" w:lineRule="auto"/>
        <w:jc w:val="both"/>
        <w:rPr>
          <w:rFonts w:ascii="Times New Roman" w:eastAsia="Times New Roman" w:hAnsi="Times New Roman" w:cs="Times New Roman"/>
          <w:sz w:val="24"/>
          <w:szCs w:val="24"/>
        </w:rPr>
      </w:pPr>
    </w:p>
    <w:p w14:paraId="00000074"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Epidemiology and Pathogenesis</w:t>
      </w:r>
    </w:p>
    <w:p w14:paraId="00000075" w14:textId="77777777" w:rsidR="00470772" w:rsidRDefault="00470772">
      <w:pPr>
        <w:spacing w:line="360" w:lineRule="auto"/>
        <w:jc w:val="both"/>
        <w:rPr>
          <w:rFonts w:ascii="Times New Roman" w:eastAsia="Times New Roman" w:hAnsi="Times New Roman" w:cs="Times New Roman"/>
          <w:sz w:val="24"/>
          <w:szCs w:val="24"/>
        </w:rPr>
      </w:pPr>
    </w:p>
    <w:p w14:paraId="00000076"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SCSTs derive from mesenchymal precursors capable of sex-cord differentiation</w:t>
      </w:r>
      <w:r>
        <w:rPr>
          <w:rFonts w:ascii="Gungsuh" w:eastAsia="Gungsuh" w:hAnsi="Gungsuh" w:cs="Gungsuh"/>
          <w:sz w:val="24"/>
          <w:szCs w:val="24"/>
        </w:rPr>
        <w:t>【</w:t>
      </w:r>
      <w:r>
        <w:rPr>
          <w:rFonts w:ascii="Gungsuh" w:eastAsia="Gungsuh" w:hAnsi="Gungsuh" w:cs="Gungsuh"/>
          <w:sz w:val="24"/>
          <w:szCs w:val="24"/>
        </w:rPr>
        <w:t>1,2</w:t>
      </w:r>
      <w:r>
        <w:rPr>
          <w:rFonts w:ascii="Gungsuh" w:eastAsia="Gungsuh" w:hAnsi="Gungsuh" w:cs="Gungsuh"/>
          <w:sz w:val="24"/>
          <w:szCs w:val="24"/>
        </w:rPr>
        <w:t>】</w:t>
      </w:r>
      <w:r>
        <w:rPr>
          <w:rFonts w:ascii="Gungsuh" w:eastAsia="Gungsuh" w:hAnsi="Gungsuh" w:cs="Gungsuh"/>
          <w:sz w:val="24"/>
          <w:szCs w:val="24"/>
        </w:rPr>
        <w:t>. Granulosa cell tu</w:t>
      </w:r>
      <w:r>
        <w:rPr>
          <w:rFonts w:ascii="Gungsuh" w:eastAsia="Gungsuh" w:hAnsi="Gungsuh" w:cs="Gungsuh"/>
          <w:sz w:val="24"/>
          <w:szCs w:val="24"/>
        </w:rPr>
        <w:t>mors constitute nearly 70% of SCSTs and show FOXL2 (C134W) mutations in &gt; 90% of cases</w:t>
      </w:r>
      <w:r>
        <w:rPr>
          <w:rFonts w:ascii="Gungsuh" w:eastAsia="Gungsuh" w:hAnsi="Gungsuh" w:cs="Gungsuh"/>
          <w:sz w:val="24"/>
          <w:szCs w:val="24"/>
        </w:rPr>
        <w:t>【</w:t>
      </w:r>
      <w:r>
        <w:rPr>
          <w:rFonts w:ascii="Gungsuh" w:eastAsia="Gungsuh" w:hAnsi="Gungsuh" w:cs="Gungsuh"/>
          <w:sz w:val="24"/>
          <w:szCs w:val="24"/>
        </w:rPr>
        <w:t>5,13</w:t>
      </w:r>
      <w:r>
        <w:rPr>
          <w:rFonts w:ascii="Gungsuh" w:eastAsia="Gungsuh" w:hAnsi="Gungsuh" w:cs="Gungsuh"/>
          <w:sz w:val="24"/>
          <w:szCs w:val="24"/>
        </w:rPr>
        <w:t>】</w:t>
      </w:r>
      <w:r>
        <w:rPr>
          <w:rFonts w:ascii="Gungsuh" w:eastAsia="Gungsuh" w:hAnsi="Gungsuh" w:cs="Gungsuh"/>
          <w:sz w:val="24"/>
          <w:szCs w:val="24"/>
        </w:rPr>
        <w:t>. Hormone production, particularly estrogen, contributes to endometrial hyperplasia or carcinoma, whereas androgen-secreting Sertoli-Leydig tumors cause virilizatio</w:t>
      </w:r>
      <w:r>
        <w:rPr>
          <w:rFonts w:ascii="Gungsuh" w:eastAsia="Gungsuh" w:hAnsi="Gungsuh" w:cs="Gungsuh"/>
          <w:sz w:val="24"/>
          <w:szCs w:val="24"/>
        </w:rPr>
        <w:t>n</w:t>
      </w:r>
      <w:r>
        <w:rPr>
          <w:rFonts w:ascii="Gungsuh" w:eastAsia="Gungsuh" w:hAnsi="Gungsuh" w:cs="Gungsuh"/>
          <w:sz w:val="24"/>
          <w:szCs w:val="24"/>
        </w:rPr>
        <w:t>【</w:t>
      </w:r>
      <w:r>
        <w:rPr>
          <w:rFonts w:ascii="Gungsuh" w:eastAsia="Gungsuh" w:hAnsi="Gungsuh" w:cs="Gungsuh"/>
          <w:sz w:val="24"/>
          <w:szCs w:val="24"/>
        </w:rPr>
        <w:t>7,12</w:t>
      </w:r>
      <w:r>
        <w:rPr>
          <w:rFonts w:ascii="Gungsuh" w:eastAsia="Gungsuh" w:hAnsi="Gungsuh" w:cs="Gungsuh"/>
          <w:sz w:val="24"/>
          <w:szCs w:val="24"/>
        </w:rPr>
        <w:t>】</w:t>
      </w:r>
      <w:r>
        <w:rPr>
          <w:rFonts w:ascii="Gungsuh" w:eastAsia="Gungsuh" w:hAnsi="Gungsuh" w:cs="Gungsuh"/>
          <w:sz w:val="24"/>
          <w:szCs w:val="24"/>
        </w:rPr>
        <w:t>.</w:t>
      </w:r>
    </w:p>
    <w:p w14:paraId="00000077"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Diagnostic Pitfalls</w:t>
      </w:r>
    </w:p>
    <w:p w14:paraId="00000078" w14:textId="77777777" w:rsidR="00470772" w:rsidRDefault="00470772">
      <w:pPr>
        <w:spacing w:line="360" w:lineRule="auto"/>
        <w:jc w:val="both"/>
        <w:rPr>
          <w:rFonts w:ascii="Times New Roman" w:eastAsia="Times New Roman" w:hAnsi="Times New Roman" w:cs="Times New Roman"/>
          <w:sz w:val="24"/>
          <w:szCs w:val="24"/>
        </w:rPr>
      </w:pPr>
    </w:p>
    <w:p w14:paraId="00000079"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Due to their large size and mixed morphology, giant SCSTs often simulate epithelial malignancies on imaging</w:t>
      </w:r>
      <w:r>
        <w:rPr>
          <w:rFonts w:ascii="Gungsuh" w:eastAsia="Gungsuh" w:hAnsi="Gungsuh" w:cs="Gungsuh"/>
          <w:sz w:val="24"/>
          <w:szCs w:val="24"/>
        </w:rPr>
        <w:t>【</w:t>
      </w:r>
      <w:r>
        <w:rPr>
          <w:rFonts w:ascii="Gungsuh" w:eastAsia="Gungsuh" w:hAnsi="Gungsuh" w:cs="Gungsuh"/>
          <w:sz w:val="24"/>
          <w:szCs w:val="24"/>
        </w:rPr>
        <w:t>8,14</w:t>
      </w:r>
      <w:r>
        <w:rPr>
          <w:rFonts w:ascii="Gungsuh" w:eastAsia="Gungsuh" w:hAnsi="Gungsuh" w:cs="Gungsuh"/>
          <w:sz w:val="24"/>
          <w:szCs w:val="24"/>
        </w:rPr>
        <w:t>】</w:t>
      </w:r>
      <w:r>
        <w:rPr>
          <w:rFonts w:ascii="Gungsuh" w:eastAsia="Gungsuh" w:hAnsi="Gungsuh" w:cs="Gungsuh"/>
          <w:sz w:val="24"/>
          <w:szCs w:val="24"/>
        </w:rPr>
        <w:t>. MRI may aid differentiation by showing fibrous components and low T2 signal</w:t>
      </w:r>
      <w:r>
        <w:rPr>
          <w:rFonts w:ascii="Gungsuh" w:eastAsia="Gungsuh" w:hAnsi="Gungsuh" w:cs="Gungsuh"/>
          <w:sz w:val="24"/>
          <w:szCs w:val="24"/>
        </w:rPr>
        <w:t>【</w:t>
      </w:r>
      <w:r>
        <w:rPr>
          <w:rFonts w:ascii="Gungsuh" w:eastAsia="Gungsuh" w:hAnsi="Gungsuh" w:cs="Gungsuh"/>
          <w:sz w:val="24"/>
          <w:szCs w:val="24"/>
        </w:rPr>
        <w:t>9</w:t>
      </w:r>
      <w:r>
        <w:rPr>
          <w:rFonts w:ascii="Gungsuh" w:eastAsia="Gungsuh" w:hAnsi="Gungsuh" w:cs="Gungsuh"/>
          <w:sz w:val="24"/>
          <w:szCs w:val="24"/>
        </w:rPr>
        <w:t>】</w:t>
      </w:r>
      <w:r>
        <w:rPr>
          <w:rFonts w:ascii="Gungsuh" w:eastAsia="Gungsuh" w:hAnsi="Gungsuh" w:cs="Gungsuh"/>
          <w:sz w:val="24"/>
          <w:szCs w:val="24"/>
        </w:rPr>
        <w:t>. Serum markers such as inhibin B</w:t>
      </w:r>
      <w:r>
        <w:rPr>
          <w:rFonts w:ascii="Gungsuh" w:eastAsia="Gungsuh" w:hAnsi="Gungsuh" w:cs="Gungsuh"/>
          <w:sz w:val="24"/>
          <w:szCs w:val="24"/>
        </w:rPr>
        <w:t xml:space="preserve"> and AMH can assist preoperative diagnosis but are not routinely used</w:t>
      </w:r>
      <w:r>
        <w:rPr>
          <w:rFonts w:ascii="Gungsuh" w:eastAsia="Gungsuh" w:hAnsi="Gungsuh" w:cs="Gungsuh"/>
          <w:sz w:val="24"/>
          <w:szCs w:val="24"/>
        </w:rPr>
        <w:t>【</w:t>
      </w:r>
      <w:r>
        <w:rPr>
          <w:rFonts w:ascii="Gungsuh" w:eastAsia="Gungsuh" w:hAnsi="Gungsuh" w:cs="Gungsuh"/>
          <w:sz w:val="24"/>
          <w:szCs w:val="24"/>
        </w:rPr>
        <w:t>11</w:t>
      </w:r>
      <w:r>
        <w:rPr>
          <w:rFonts w:ascii="Gungsuh" w:eastAsia="Gungsuh" w:hAnsi="Gungsuh" w:cs="Gungsuh"/>
          <w:sz w:val="24"/>
          <w:szCs w:val="24"/>
        </w:rPr>
        <w:t>】</w:t>
      </w:r>
      <w:r>
        <w:rPr>
          <w:rFonts w:ascii="Gungsuh" w:eastAsia="Gungsuh" w:hAnsi="Gungsuh" w:cs="Gungsuh"/>
          <w:sz w:val="24"/>
          <w:szCs w:val="24"/>
        </w:rPr>
        <w:t>.</w:t>
      </w:r>
    </w:p>
    <w:p w14:paraId="0000007A" w14:textId="77777777" w:rsidR="00470772" w:rsidRDefault="00470772">
      <w:pPr>
        <w:spacing w:line="360" w:lineRule="auto"/>
        <w:jc w:val="both"/>
        <w:rPr>
          <w:rFonts w:ascii="Times New Roman" w:eastAsia="Times New Roman" w:hAnsi="Times New Roman" w:cs="Times New Roman"/>
          <w:sz w:val="24"/>
          <w:szCs w:val="24"/>
        </w:rPr>
      </w:pPr>
    </w:p>
    <w:p w14:paraId="0000007B"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Histopathology and Molecular Markers</w:t>
      </w:r>
    </w:p>
    <w:p w14:paraId="0000007C" w14:textId="77777777" w:rsidR="00470772" w:rsidRDefault="00470772">
      <w:pPr>
        <w:spacing w:line="360" w:lineRule="auto"/>
        <w:jc w:val="both"/>
        <w:rPr>
          <w:rFonts w:ascii="Times New Roman" w:eastAsia="Times New Roman" w:hAnsi="Times New Roman" w:cs="Times New Roman"/>
          <w:b/>
          <w:bCs/>
          <w:sz w:val="24"/>
          <w:szCs w:val="24"/>
        </w:rPr>
      </w:pPr>
    </w:p>
    <w:p w14:paraId="0000007D"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Histopathologic confirmation is mandatory. Inhibin, calretinin, SF-1, and FOXL2 mutation testing distinguish SCSTs from epithelial tumors</w:t>
      </w:r>
      <w:r>
        <w:rPr>
          <w:rFonts w:ascii="Gungsuh" w:eastAsia="Gungsuh" w:hAnsi="Gungsuh" w:cs="Gungsuh"/>
          <w:sz w:val="24"/>
          <w:szCs w:val="24"/>
        </w:rPr>
        <w:t>【</w:t>
      </w:r>
      <w:r>
        <w:rPr>
          <w:rFonts w:ascii="Gungsuh" w:eastAsia="Gungsuh" w:hAnsi="Gungsuh" w:cs="Gungsuh"/>
          <w:sz w:val="24"/>
          <w:szCs w:val="24"/>
        </w:rPr>
        <w:t>9,13</w:t>
      </w:r>
      <w:r>
        <w:rPr>
          <w:rFonts w:ascii="Gungsuh" w:eastAsia="Gungsuh" w:hAnsi="Gungsuh" w:cs="Gungsuh"/>
          <w:sz w:val="24"/>
          <w:szCs w:val="24"/>
        </w:rPr>
        <w:t>】</w:t>
      </w:r>
      <w:r>
        <w:rPr>
          <w:rFonts w:ascii="Gungsuh" w:eastAsia="Gungsuh" w:hAnsi="Gungsuh" w:cs="Gungsuh"/>
          <w:sz w:val="24"/>
          <w:szCs w:val="24"/>
        </w:rPr>
        <w:t>. Sertoli-Leydig tumors may express cytokeratin and β-catenin in poorly differentiated forms</w:t>
      </w:r>
      <w:r>
        <w:rPr>
          <w:rFonts w:ascii="Gungsuh" w:eastAsia="Gungsuh" w:hAnsi="Gungsuh" w:cs="Gungsuh"/>
          <w:sz w:val="24"/>
          <w:szCs w:val="24"/>
        </w:rPr>
        <w:t>【</w:t>
      </w:r>
      <w:r>
        <w:rPr>
          <w:rFonts w:ascii="Gungsuh" w:eastAsia="Gungsuh" w:hAnsi="Gungsuh" w:cs="Gungsuh"/>
          <w:sz w:val="24"/>
          <w:szCs w:val="24"/>
        </w:rPr>
        <w:t>12</w:t>
      </w:r>
      <w:r>
        <w:rPr>
          <w:rFonts w:ascii="Gungsuh" w:eastAsia="Gungsuh" w:hAnsi="Gungsuh" w:cs="Gungsuh"/>
          <w:sz w:val="24"/>
          <w:szCs w:val="24"/>
        </w:rPr>
        <w:t>】</w:t>
      </w:r>
      <w:r>
        <w:rPr>
          <w:rFonts w:ascii="Gungsuh" w:eastAsia="Gungsuh" w:hAnsi="Gungsuh" w:cs="Gungsuh"/>
          <w:sz w:val="24"/>
          <w:szCs w:val="24"/>
        </w:rPr>
        <w:t>.</w:t>
      </w:r>
    </w:p>
    <w:p w14:paraId="0000007E" w14:textId="77777777" w:rsidR="00470772" w:rsidRDefault="00470772">
      <w:pPr>
        <w:spacing w:line="360" w:lineRule="auto"/>
        <w:jc w:val="both"/>
        <w:rPr>
          <w:rFonts w:ascii="Times New Roman" w:eastAsia="Times New Roman" w:hAnsi="Times New Roman" w:cs="Times New Roman"/>
          <w:sz w:val="24"/>
          <w:szCs w:val="24"/>
        </w:rPr>
      </w:pPr>
    </w:p>
    <w:p w14:paraId="0000007F"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Management Strategies</w:t>
      </w:r>
    </w:p>
    <w:p w14:paraId="00000080" w14:textId="77777777" w:rsidR="00470772" w:rsidRDefault="00470772">
      <w:pPr>
        <w:spacing w:line="360" w:lineRule="auto"/>
        <w:jc w:val="both"/>
        <w:rPr>
          <w:rFonts w:ascii="Times New Roman" w:eastAsia="Times New Roman" w:hAnsi="Times New Roman" w:cs="Times New Roman"/>
          <w:sz w:val="24"/>
          <w:szCs w:val="24"/>
        </w:rPr>
      </w:pPr>
    </w:p>
    <w:p w14:paraId="00000081"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 xml:space="preserve">Surgical excision remains the gold standard. Fertility-preserving unilateral oophorectomy is appropriate in young women with stage I </w:t>
      </w:r>
      <w:r>
        <w:rPr>
          <w:rFonts w:ascii="Gungsuh" w:eastAsia="Gungsuh" w:hAnsi="Gungsuh" w:cs="Gungsuh"/>
          <w:sz w:val="24"/>
          <w:szCs w:val="24"/>
        </w:rPr>
        <w:t>disease</w:t>
      </w:r>
      <w:r>
        <w:rPr>
          <w:rFonts w:ascii="Gungsuh" w:eastAsia="Gungsuh" w:hAnsi="Gungsuh" w:cs="Gungsuh"/>
          <w:sz w:val="24"/>
          <w:szCs w:val="24"/>
        </w:rPr>
        <w:t>【</w:t>
      </w:r>
      <w:r>
        <w:rPr>
          <w:rFonts w:ascii="Gungsuh" w:eastAsia="Gungsuh" w:hAnsi="Gungsuh" w:cs="Gungsuh"/>
          <w:sz w:val="24"/>
          <w:szCs w:val="24"/>
        </w:rPr>
        <w:t>4,10</w:t>
      </w:r>
      <w:r>
        <w:rPr>
          <w:rFonts w:ascii="Gungsuh" w:eastAsia="Gungsuh" w:hAnsi="Gungsuh" w:cs="Gungsuh"/>
          <w:sz w:val="24"/>
          <w:szCs w:val="24"/>
        </w:rPr>
        <w:t>】</w:t>
      </w:r>
      <w:r>
        <w:rPr>
          <w:rFonts w:ascii="Gungsuh" w:eastAsia="Gungsuh" w:hAnsi="Gungsuh" w:cs="Gungsuh"/>
          <w:sz w:val="24"/>
          <w:szCs w:val="24"/>
        </w:rPr>
        <w:t>, whereas postmenopausal women should undergo TAH + BSO. Adjuvant chemotherapy is reserved for advanced or recurrent cases</w:t>
      </w:r>
      <w:r>
        <w:rPr>
          <w:rFonts w:ascii="Gungsuh" w:eastAsia="Gungsuh" w:hAnsi="Gungsuh" w:cs="Gungsuh"/>
          <w:sz w:val="24"/>
          <w:szCs w:val="24"/>
        </w:rPr>
        <w:t>【</w:t>
      </w:r>
      <w:r>
        <w:rPr>
          <w:rFonts w:ascii="Gungsuh" w:eastAsia="Gungsuh" w:hAnsi="Gungsuh" w:cs="Gungsuh"/>
          <w:sz w:val="24"/>
          <w:szCs w:val="24"/>
        </w:rPr>
        <w:t>10,15</w:t>
      </w:r>
      <w:r>
        <w:rPr>
          <w:rFonts w:ascii="Gungsuh" w:eastAsia="Gungsuh" w:hAnsi="Gungsuh" w:cs="Gungsuh"/>
          <w:sz w:val="24"/>
          <w:szCs w:val="24"/>
        </w:rPr>
        <w:t>】</w:t>
      </w:r>
      <w:r>
        <w:rPr>
          <w:rFonts w:ascii="Gungsuh" w:eastAsia="Gungsuh" w:hAnsi="Gungsuh" w:cs="Gungsuh"/>
          <w:sz w:val="24"/>
          <w:szCs w:val="24"/>
        </w:rPr>
        <w:t>.</w:t>
      </w:r>
    </w:p>
    <w:p w14:paraId="00000082" w14:textId="77777777" w:rsidR="00470772" w:rsidRDefault="00470772">
      <w:pPr>
        <w:spacing w:line="360" w:lineRule="auto"/>
        <w:jc w:val="both"/>
        <w:rPr>
          <w:rFonts w:ascii="Times New Roman" w:eastAsia="Times New Roman" w:hAnsi="Times New Roman" w:cs="Times New Roman"/>
          <w:sz w:val="24"/>
          <w:szCs w:val="24"/>
        </w:rPr>
      </w:pPr>
    </w:p>
    <w:p w14:paraId="00000083"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Emerging molecular insights suggest targeted therapy (e.g., PI3K or FOXL2 pathway inhibitors) could have future</w:t>
      </w:r>
      <w:r>
        <w:rPr>
          <w:rFonts w:ascii="Gungsuh" w:eastAsia="Gungsuh" w:hAnsi="Gungsuh" w:cs="Gungsuh"/>
          <w:sz w:val="24"/>
          <w:szCs w:val="24"/>
        </w:rPr>
        <w:t xml:space="preserve"> roles</w:t>
      </w:r>
      <w:r>
        <w:rPr>
          <w:rFonts w:ascii="Gungsuh" w:eastAsia="Gungsuh" w:hAnsi="Gungsuh" w:cs="Gungsuh"/>
          <w:sz w:val="24"/>
          <w:szCs w:val="24"/>
        </w:rPr>
        <w:t>【</w:t>
      </w:r>
      <w:r>
        <w:rPr>
          <w:rFonts w:ascii="Gungsuh" w:eastAsia="Gungsuh" w:hAnsi="Gungsuh" w:cs="Gungsuh"/>
          <w:sz w:val="24"/>
          <w:szCs w:val="24"/>
        </w:rPr>
        <w:t>13,16</w:t>
      </w:r>
      <w:r>
        <w:rPr>
          <w:rFonts w:ascii="Gungsuh" w:eastAsia="Gungsuh" w:hAnsi="Gungsuh" w:cs="Gungsuh"/>
          <w:sz w:val="24"/>
          <w:szCs w:val="24"/>
        </w:rPr>
        <w:t>】</w:t>
      </w:r>
      <w:r>
        <w:rPr>
          <w:rFonts w:ascii="Gungsuh" w:eastAsia="Gungsuh" w:hAnsi="Gungsuh" w:cs="Gungsuh"/>
          <w:sz w:val="24"/>
          <w:szCs w:val="24"/>
        </w:rPr>
        <w:t>.</w:t>
      </w:r>
    </w:p>
    <w:p w14:paraId="00000084" w14:textId="77777777" w:rsidR="00470772" w:rsidRDefault="00470772">
      <w:pPr>
        <w:spacing w:line="360" w:lineRule="auto"/>
        <w:jc w:val="both"/>
        <w:rPr>
          <w:rFonts w:ascii="Times New Roman" w:eastAsia="Times New Roman" w:hAnsi="Times New Roman" w:cs="Times New Roman"/>
          <w:sz w:val="24"/>
          <w:szCs w:val="24"/>
        </w:rPr>
      </w:pPr>
    </w:p>
    <w:p w14:paraId="00000085"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Prognosis</w:t>
      </w:r>
    </w:p>
    <w:p w14:paraId="00000086" w14:textId="77777777" w:rsidR="00470772" w:rsidRDefault="00470772">
      <w:pPr>
        <w:spacing w:line="360" w:lineRule="auto"/>
        <w:jc w:val="both"/>
        <w:rPr>
          <w:rFonts w:ascii="Times New Roman" w:eastAsia="Times New Roman" w:hAnsi="Times New Roman" w:cs="Times New Roman"/>
          <w:sz w:val="24"/>
          <w:szCs w:val="24"/>
        </w:rPr>
      </w:pPr>
    </w:p>
    <w:p w14:paraId="00000087"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Prognosis is generally excellent for benign and low-grade SCSTs, with &gt;90% 5-year survival</w:t>
      </w:r>
      <w:r>
        <w:rPr>
          <w:rFonts w:ascii="Gungsuh" w:eastAsia="Gungsuh" w:hAnsi="Gungsuh" w:cs="Gungsuh"/>
          <w:sz w:val="24"/>
          <w:szCs w:val="24"/>
        </w:rPr>
        <w:t>【</w:t>
      </w:r>
      <w:r>
        <w:rPr>
          <w:rFonts w:ascii="Gungsuh" w:eastAsia="Gungsuh" w:hAnsi="Gungsuh" w:cs="Gungsuh"/>
          <w:sz w:val="24"/>
          <w:szCs w:val="24"/>
        </w:rPr>
        <w:t>5,10</w:t>
      </w:r>
      <w:r>
        <w:rPr>
          <w:rFonts w:ascii="Gungsuh" w:eastAsia="Gungsuh" w:hAnsi="Gungsuh" w:cs="Gungsuh"/>
          <w:sz w:val="24"/>
          <w:szCs w:val="24"/>
        </w:rPr>
        <w:t>】</w:t>
      </w:r>
      <w:r>
        <w:rPr>
          <w:rFonts w:ascii="Gungsuh" w:eastAsia="Gungsuh" w:hAnsi="Gungsuh" w:cs="Gungsuh"/>
          <w:sz w:val="24"/>
          <w:szCs w:val="24"/>
        </w:rPr>
        <w:t>. Recurrence—sometimes decades later—</w:t>
      </w:r>
      <w:r>
        <w:rPr>
          <w:rFonts w:ascii="Gungsuh" w:eastAsia="Gungsuh" w:hAnsi="Gungsuh" w:cs="Gungsuh"/>
          <w:sz w:val="24"/>
          <w:szCs w:val="24"/>
        </w:rPr>
        <w:lastRenderedPageBreak/>
        <w:t>is mainly seen in adult granulosa cell tumors</w:t>
      </w:r>
      <w:r>
        <w:rPr>
          <w:rFonts w:ascii="Gungsuh" w:eastAsia="Gungsuh" w:hAnsi="Gungsuh" w:cs="Gungsuh"/>
          <w:sz w:val="24"/>
          <w:szCs w:val="24"/>
        </w:rPr>
        <w:t>【</w:t>
      </w:r>
      <w:r>
        <w:rPr>
          <w:rFonts w:ascii="Gungsuh" w:eastAsia="Gungsuh" w:hAnsi="Gungsuh" w:cs="Gungsuh"/>
          <w:sz w:val="24"/>
          <w:szCs w:val="24"/>
        </w:rPr>
        <w:t>17</w:t>
      </w:r>
      <w:r>
        <w:rPr>
          <w:rFonts w:ascii="Gungsuh" w:eastAsia="Gungsuh" w:hAnsi="Gungsuh" w:cs="Gungsuh"/>
          <w:sz w:val="24"/>
          <w:szCs w:val="24"/>
        </w:rPr>
        <w:t>】</w:t>
      </w:r>
      <w:r>
        <w:rPr>
          <w:rFonts w:ascii="Gungsuh" w:eastAsia="Gungsuh" w:hAnsi="Gungsuh" w:cs="Gungsuh"/>
          <w:sz w:val="24"/>
          <w:szCs w:val="24"/>
        </w:rPr>
        <w:t xml:space="preserve">. Predictors of recurrence include tumor </w:t>
      </w:r>
      <w:r>
        <w:rPr>
          <w:rFonts w:ascii="Gungsuh" w:eastAsia="Gungsuh" w:hAnsi="Gungsuh" w:cs="Gungsuh"/>
          <w:sz w:val="24"/>
          <w:szCs w:val="24"/>
        </w:rPr>
        <w:t>rupture, high mitotic index, and incomplete excision</w:t>
      </w:r>
      <w:r>
        <w:rPr>
          <w:rFonts w:ascii="Gungsuh" w:eastAsia="Gungsuh" w:hAnsi="Gungsuh" w:cs="Gungsuh"/>
          <w:sz w:val="24"/>
          <w:szCs w:val="24"/>
        </w:rPr>
        <w:t>【</w:t>
      </w:r>
      <w:r>
        <w:rPr>
          <w:rFonts w:ascii="Gungsuh" w:eastAsia="Gungsuh" w:hAnsi="Gungsuh" w:cs="Gungsuh"/>
          <w:sz w:val="24"/>
          <w:szCs w:val="24"/>
        </w:rPr>
        <w:t>17,18</w:t>
      </w:r>
      <w:r>
        <w:rPr>
          <w:rFonts w:ascii="Gungsuh" w:eastAsia="Gungsuh" w:hAnsi="Gungsuh" w:cs="Gungsuh"/>
          <w:sz w:val="24"/>
          <w:szCs w:val="24"/>
        </w:rPr>
        <w:t>】</w:t>
      </w:r>
      <w:r>
        <w:rPr>
          <w:rFonts w:ascii="Gungsuh" w:eastAsia="Gungsuh" w:hAnsi="Gungsuh" w:cs="Gungsuh"/>
          <w:sz w:val="24"/>
          <w:szCs w:val="24"/>
        </w:rPr>
        <w:t>.</w:t>
      </w:r>
    </w:p>
    <w:p w14:paraId="00000088" w14:textId="77777777" w:rsidR="00470772" w:rsidRDefault="00470772">
      <w:pPr>
        <w:spacing w:line="360" w:lineRule="auto"/>
        <w:jc w:val="both"/>
        <w:rPr>
          <w:rFonts w:ascii="Times New Roman" w:eastAsia="Times New Roman" w:hAnsi="Times New Roman" w:cs="Times New Roman"/>
          <w:sz w:val="24"/>
          <w:szCs w:val="24"/>
        </w:rPr>
      </w:pPr>
    </w:p>
    <w:p w14:paraId="00000089"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Comparison with Literature</w:t>
      </w:r>
    </w:p>
    <w:p w14:paraId="0000008A" w14:textId="77777777" w:rsidR="00470772" w:rsidRDefault="00470772">
      <w:pPr>
        <w:spacing w:line="360" w:lineRule="auto"/>
        <w:jc w:val="both"/>
        <w:rPr>
          <w:rFonts w:ascii="Times New Roman" w:eastAsia="Times New Roman" w:hAnsi="Times New Roman" w:cs="Times New Roman"/>
          <w:sz w:val="24"/>
          <w:szCs w:val="24"/>
        </w:rPr>
      </w:pPr>
    </w:p>
    <w:p w14:paraId="0000008B" w14:textId="77777777" w:rsidR="00470772" w:rsidRDefault="00A6606E">
      <w:pPr>
        <w:spacing w:line="360" w:lineRule="auto"/>
        <w:jc w:val="both"/>
        <w:rPr>
          <w:rFonts w:ascii="Times New Roman" w:eastAsia="Times New Roman" w:hAnsi="Times New Roman" w:cs="Times New Roman"/>
          <w:sz w:val="24"/>
          <w:szCs w:val="24"/>
        </w:rPr>
      </w:pPr>
      <w:r>
        <w:rPr>
          <w:rFonts w:ascii="Gungsuh" w:eastAsia="Gungsuh" w:hAnsi="Gungsuh" w:cs="Gungsuh"/>
          <w:sz w:val="24"/>
          <w:szCs w:val="24"/>
        </w:rPr>
        <w:t>Ahmed et al. (2023) and Pathak et al. (2022) found tumor size unrelated to malignancy risk, emphasizing histologic grade and mitotic activity as prognostic factors</w:t>
      </w:r>
      <w:r>
        <w:rPr>
          <w:rFonts w:ascii="Gungsuh" w:eastAsia="Gungsuh" w:hAnsi="Gungsuh" w:cs="Gungsuh"/>
          <w:sz w:val="24"/>
          <w:szCs w:val="24"/>
        </w:rPr>
        <w:t>【</w:t>
      </w:r>
      <w:r>
        <w:rPr>
          <w:rFonts w:ascii="Gungsuh" w:eastAsia="Gungsuh" w:hAnsi="Gungsuh" w:cs="Gungsuh"/>
          <w:sz w:val="24"/>
          <w:szCs w:val="24"/>
        </w:rPr>
        <w:t>3,</w:t>
      </w:r>
      <w:r>
        <w:rPr>
          <w:rFonts w:ascii="Gungsuh" w:eastAsia="Gungsuh" w:hAnsi="Gungsuh" w:cs="Gungsuh"/>
          <w:sz w:val="24"/>
          <w:szCs w:val="24"/>
        </w:rPr>
        <w:t>4</w:t>
      </w:r>
      <w:r>
        <w:rPr>
          <w:rFonts w:ascii="Gungsuh" w:eastAsia="Gungsuh" w:hAnsi="Gungsuh" w:cs="Gungsuh"/>
          <w:sz w:val="24"/>
          <w:szCs w:val="24"/>
        </w:rPr>
        <w:t>】</w:t>
      </w:r>
      <w:r>
        <w:rPr>
          <w:rFonts w:ascii="Gungsuh" w:eastAsia="Gungsuh" w:hAnsi="Gungsuh" w:cs="Gungsuh"/>
          <w:sz w:val="24"/>
          <w:szCs w:val="24"/>
        </w:rPr>
        <w:t>. Lee et al. (2021) and Kumar et al. (2018) reported favorable outcomes after complete excision regardless of tumor size</w:t>
      </w:r>
      <w:r>
        <w:rPr>
          <w:rFonts w:ascii="Gungsuh" w:eastAsia="Gungsuh" w:hAnsi="Gungsuh" w:cs="Gungsuh"/>
          <w:sz w:val="24"/>
          <w:szCs w:val="24"/>
        </w:rPr>
        <w:t>【</w:t>
      </w:r>
      <w:r>
        <w:rPr>
          <w:rFonts w:ascii="Gungsuh" w:eastAsia="Gungsuh" w:hAnsi="Gungsuh" w:cs="Gungsuh"/>
          <w:sz w:val="24"/>
          <w:szCs w:val="24"/>
        </w:rPr>
        <w:t>1,11</w:t>
      </w:r>
      <w:r>
        <w:rPr>
          <w:rFonts w:ascii="Gungsuh" w:eastAsia="Gungsuh" w:hAnsi="Gungsuh" w:cs="Gungsuh"/>
          <w:sz w:val="24"/>
          <w:szCs w:val="24"/>
        </w:rPr>
        <w:t>】</w:t>
      </w:r>
      <w:r>
        <w:rPr>
          <w:rFonts w:ascii="Gungsuh" w:eastAsia="Gungsuh" w:hAnsi="Gungsuh" w:cs="Gungsuh"/>
          <w:sz w:val="24"/>
          <w:szCs w:val="24"/>
        </w:rPr>
        <w:t>.</w:t>
      </w:r>
    </w:p>
    <w:p w14:paraId="0000008C"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A study by</w:t>
      </w:r>
      <w:r>
        <w:rPr>
          <w:rFonts w:ascii="Times New Roman" w:eastAsia="Times New Roman" w:hAnsi="Times New Roman" w:cs="Times New Roman"/>
          <w:b/>
          <w:bCs/>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Swarnava</w:t>
      </w:r>
      <w:proofErr w:type="spellEnd"/>
      <w:r>
        <w:rPr>
          <w:rFonts w:ascii="Times New Roman" w:eastAsia="Times New Roman" w:hAnsi="Times New Roman" w:cs="Times New Roman"/>
          <w:color w:val="000000"/>
          <w:sz w:val="24"/>
          <w:szCs w:val="24"/>
          <w:highlight w:val="white"/>
        </w:rPr>
        <w:t xml:space="preserve"> Chanda et al in </w:t>
      </w:r>
      <w:proofErr w:type="gramStart"/>
      <w:r>
        <w:rPr>
          <w:rFonts w:ascii="Times New Roman" w:eastAsia="Times New Roman" w:hAnsi="Times New Roman" w:cs="Times New Roman"/>
          <w:color w:val="000000"/>
          <w:sz w:val="24"/>
          <w:szCs w:val="24"/>
          <w:highlight w:val="white"/>
        </w:rPr>
        <w:t>2025</w:t>
      </w:r>
      <w:r>
        <w:rPr>
          <w:rFonts w:ascii="Times New Roman" w:eastAsia="Times New Roman" w:hAnsi="Times New Roman" w:cs="Times New Roman"/>
          <w:b/>
          <w:bCs/>
          <w:color w:val="000000"/>
          <w:sz w:val="24"/>
          <w:szCs w:val="24"/>
          <w:highlight w:val="white"/>
        </w:rPr>
        <w:t xml:space="preserve"> </w:t>
      </w:r>
      <w:r>
        <w:rPr>
          <w:rFonts w:ascii="Times New Roman" w:eastAsia="Times New Roman" w:hAnsi="Times New Roman" w:cs="Times New Roman"/>
          <w:color w:val="333333"/>
          <w:sz w:val="24"/>
          <w:szCs w:val="24"/>
          <w:highlight w:val="white"/>
        </w:rPr>
        <w:t xml:space="preserve"> reported</w:t>
      </w:r>
      <w:proofErr w:type="gramEnd"/>
      <w:r>
        <w:rPr>
          <w:rFonts w:ascii="Times New Roman" w:eastAsia="Times New Roman" w:hAnsi="Times New Roman" w:cs="Times New Roman"/>
          <w:color w:val="333333"/>
          <w:sz w:val="24"/>
          <w:szCs w:val="24"/>
          <w:highlight w:val="white"/>
        </w:rPr>
        <w:t xml:space="preserve"> a rare case of a giant ovarian spindle cell neoplasm with sex cord-like dif</w:t>
      </w:r>
      <w:r>
        <w:rPr>
          <w:rFonts w:ascii="Times New Roman" w:eastAsia="Times New Roman" w:hAnsi="Times New Roman" w:cs="Times New Roman"/>
          <w:color w:val="333333"/>
          <w:sz w:val="24"/>
          <w:szCs w:val="24"/>
          <w:highlight w:val="white"/>
        </w:rPr>
        <w:t xml:space="preserve">ferentiation in a 52-year-old hypertensive female presenting with a massive </w:t>
      </w:r>
      <w:proofErr w:type="spellStart"/>
      <w:r>
        <w:rPr>
          <w:rFonts w:ascii="Times New Roman" w:eastAsia="Times New Roman" w:hAnsi="Times New Roman" w:cs="Times New Roman"/>
          <w:color w:val="333333"/>
          <w:sz w:val="24"/>
          <w:szCs w:val="24"/>
          <w:highlight w:val="white"/>
        </w:rPr>
        <w:t>abdomino</w:t>
      </w:r>
      <w:proofErr w:type="spellEnd"/>
      <w:r>
        <w:rPr>
          <w:rFonts w:ascii="Times New Roman" w:eastAsia="Times New Roman" w:hAnsi="Times New Roman" w:cs="Times New Roman"/>
          <w:color w:val="333333"/>
          <w:sz w:val="24"/>
          <w:szCs w:val="24"/>
          <w:highlight w:val="white"/>
        </w:rPr>
        <w:t xml:space="preserve">-pelvic mass. Imaging suggested a large complex adnexal tumor (O-RADS V) with elevated CA-125 levels. Staging laparotomy revealed a 32×24×21 cm right ovarian mass weighing </w:t>
      </w:r>
      <w:r>
        <w:rPr>
          <w:rFonts w:ascii="Times New Roman" w:eastAsia="Times New Roman" w:hAnsi="Times New Roman" w:cs="Times New Roman"/>
          <w:color w:val="333333"/>
          <w:sz w:val="24"/>
          <w:szCs w:val="24"/>
          <w:highlight w:val="white"/>
        </w:rPr>
        <w:t>over 15 kg with no evidence of metastasis. Histopathology revealed a spindle cell neoplasm with features suggestive of a sex cord–stromal origin [19].</w:t>
      </w:r>
    </w:p>
    <w:p w14:paraId="0000008D" w14:textId="77777777" w:rsidR="00470772" w:rsidRDefault="00A6606E">
      <w:pPr>
        <w:spacing w:line="36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In another study it was found that Ovarian sex cord-stromal tumors are clinically significant heterogeneo</w:t>
      </w:r>
      <w:r>
        <w:rPr>
          <w:rFonts w:ascii="Times New Roman" w:eastAsia="Times New Roman" w:hAnsi="Times New Roman" w:cs="Times New Roman"/>
          <w:color w:val="1B1B1B"/>
          <w:sz w:val="24"/>
          <w:szCs w:val="24"/>
          <w:highlight w:val="white"/>
        </w:rPr>
        <w:t>us tumors that include several pathologic types. These tumors are often found in adolescents and young adults and can present with hormonal manifestations as well as signs and symptoms of a pelvic mass. Serum tumor markers may assist in preoperative diagno</w:t>
      </w:r>
      <w:r>
        <w:rPr>
          <w:rFonts w:ascii="Times New Roman" w:eastAsia="Times New Roman" w:hAnsi="Times New Roman" w:cs="Times New Roman"/>
          <w:color w:val="1B1B1B"/>
          <w:sz w:val="24"/>
          <w:szCs w:val="24"/>
          <w:highlight w:val="white"/>
        </w:rPr>
        <w:t xml:space="preserve">sis and surveillance. Several subtypes are associated with genetic predisposition, including those observed in patients with </w:t>
      </w:r>
      <w:proofErr w:type="spellStart"/>
      <w:r>
        <w:rPr>
          <w:rFonts w:ascii="Times New Roman" w:eastAsia="Times New Roman" w:hAnsi="Times New Roman" w:cs="Times New Roman"/>
          <w:color w:val="1B1B1B"/>
          <w:sz w:val="24"/>
          <w:szCs w:val="24"/>
          <w:highlight w:val="white"/>
        </w:rPr>
        <w:t>Peutz-Jegher</w:t>
      </w:r>
      <w:proofErr w:type="spellEnd"/>
      <w:r>
        <w:rPr>
          <w:rFonts w:ascii="Times New Roman" w:eastAsia="Times New Roman" w:hAnsi="Times New Roman" w:cs="Times New Roman"/>
          <w:color w:val="1B1B1B"/>
          <w:sz w:val="24"/>
          <w:szCs w:val="24"/>
          <w:highlight w:val="white"/>
        </w:rPr>
        <w:t xml:space="preserve"> syndrome. Recent studies have elucidated the relationship between Sertoli-Leydig cell tumors and </w:t>
      </w:r>
      <w:r>
        <w:rPr>
          <w:rFonts w:ascii="Times New Roman" w:eastAsia="Times New Roman" w:hAnsi="Times New Roman" w:cs="Times New Roman"/>
          <w:i/>
          <w:iCs/>
          <w:color w:val="1B1B1B"/>
          <w:sz w:val="24"/>
          <w:szCs w:val="24"/>
          <w:highlight w:val="white"/>
        </w:rPr>
        <w:t>DICER1</w:t>
      </w:r>
      <w:r>
        <w:rPr>
          <w:rFonts w:ascii="Times New Roman" w:eastAsia="Times New Roman" w:hAnsi="Times New Roman" w:cs="Times New Roman"/>
          <w:color w:val="1B1B1B"/>
          <w:sz w:val="24"/>
          <w:szCs w:val="24"/>
          <w:highlight w:val="white"/>
        </w:rPr>
        <w:t> mutations. Whe</w:t>
      </w:r>
      <w:r>
        <w:rPr>
          <w:rFonts w:ascii="Times New Roman" w:eastAsia="Times New Roman" w:hAnsi="Times New Roman" w:cs="Times New Roman"/>
          <w:color w:val="1B1B1B"/>
          <w:sz w:val="24"/>
          <w:szCs w:val="24"/>
          <w:highlight w:val="white"/>
        </w:rPr>
        <w:t xml:space="preserve">n classified as International Federation of Gynecology and Obstetrics stage </w:t>
      </w:r>
      <w:proofErr w:type="spellStart"/>
      <w:r>
        <w:rPr>
          <w:rFonts w:ascii="Times New Roman" w:eastAsia="Times New Roman" w:hAnsi="Times New Roman" w:cs="Times New Roman"/>
          <w:color w:val="1B1B1B"/>
          <w:sz w:val="24"/>
          <w:szCs w:val="24"/>
          <w:highlight w:val="white"/>
        </w:rPr>
        <w:t>Ia</w:t>
      </w:r>
      <w:proofErr w:type="spellEnd"/>
      <w:r>
        <w:rPr>
          <w:rFonts w:ascii="Times New Roman" w:eastAsia="Times New Roman" w:hAnsi="Times New Roman" w:cs="Times New Roman"/>
          <w:color w:val="1B1B1B"/>
          <w:sz w:val="24"/>
          <w:szCs w:val="24"/>
          <w:highlight w:val="white"/>
        </w:rPr>
        <w:t>, most subtypes may be treated with surgery alone. Higher stage or recurrent tumors have variable prognoses that range from a usually rapid course in poorly differentiated Sertol</w:t>
      </w:r>
      <w:r>
        <w:rPr>
          <w:rFonts w:ascii="Times New Roman" w:eastAsia="Times New Roman" w:hAnsi="Times New Roman" w:cs="Times New Roman"/>
          <w:color w:val="1B1B1B"/>
          <w:sz w:val="24"/>
          <w:szCs w:val="24"/>
          <w:highlight w:val="white"/>
        </w:rPr>
        <w:t xml:space="preserve">i-Leydig cell tumor to an </w:t>
      </w:r>
      <w:proofErr w:type="gramStart"/>
      <w:r>
        <w:rPr>
          <w:rFonts w:ascii="Times New Roman" w:eastAsia="Times New Roman" w:hAnsi="Times New Roman" w:cs="Times New Roman"/>
          <w:color w:val="1B1B1B"/>
          <w:sz w:val="24"/>
          <w:szCs w:val="24"/>
          <w:highlight w:val="white"/>
        </w:rPr>
        <w:t>often prolonged</w:t>
      </w:r>
      <w:proofErr w:type="gramEnd"/>
      <w:r>
        <w:rPr>
          <w:rFonts w:ascii="Times New Roman" w:eastAsia="Times New Roman" w:hAnsi="Times New Roman" w:cs="Times New Roman"/>
          <w:color w:val="1B1B1B"/>
          <w:sz w:val="24"/>
          <w:szCs w:val="24"/>
          <w:highlight w:val="white"/>
        </w:rPr>
        <w:t xml:space="preserve"> course in adult granulosa cell </w:t>
      </w:r>
      <w:r>
        <w:rPr>
          <w:rFonts w:ascii="Times New Roman" w:eastAsia="Times New Roman" w:hAnsi="Times New Roman" w:cs="Times New Roman"/>
          <w:color w:val="1B1B1B"/>
          <w:sz w:val="24"/>
          <w:szCs w:val="24"/>
          <w:highlight w:val="white"/>
        </w:rPr>
        <w:lastRenderedPageBreak/>
        <w:t xml:space="preserve">tumors. New understanding of the molecular pathogenesis of these tumors may pave the way for novel therapeutics [20]. </w:t>
      </w:r>
    </w:p>
    <w:p w14:paraId="0000008E" w14:textId="77777777" w:rsidR="00470772" w:rsidRDefault="00A6606E">
      <w:pPr>
        <w:spacing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Ovarian sex cord-stromal tumors are rare neoplasms, constituting</w:t>
      </w:r>
      <w:r>
        <w:rPr>
          <w:rFonts w:ascii="Times New Roman" w:eastAsia="Times New Roman" w:hAnsi="Times New Roman" w:cs="Times New Roman"/>
          <w:color w:val="1F1F1F"/>
          <w:sz w:val="24"/>
          <w:szCs w:val="24"/>
        </w:rPr>
        <w:t xml:space="preserve"> approximately 7 % of all primary </w:t>
      </w:r>
      <w:hyperlink r:id="rId7">
        <w:r>
          <w:rPr>
            <w:rFonts w:ascii="Times New Roman" w:eastAsia="Times New Roman" w:hAnsi="Times New Roman" w:cs="Times New Roman"/>
            <w:color w:val="1F1F1F"/>
            <w:sz w:val="24"/>
            <w:szCs w:val="24"/>
          </w:rPr>
          <w:t>ovarian tumors</w:t>
        </w:r>
      </w:hyperlink>
      <w:r>
        <w:rPr>
          <w:rFonts w:ascii="Times New Roman" w:eastAsia="Times New Roman" w:hAnsi="Times New Roman" w:cs="Times New Roman"/>
          <w:color w:val="1F1F1F"/>
          <w:sz w:val="24"/>
          <w:szCs w:val="24"/>
        </w:rPr>
        <w:t>. They are categorized into three main types: pure </w:t>
      </w:r>
      <w:hyperlink r:id="rId8">
        <w:r>
          <w:rPr>
            <w:rFonts w:ascii="Times New Roman" w:eastAsia="Times New Roman" w:hAnsi="Times New Roman" w:cs="Times New Roman"/>
            <w:color w:val="1F1F1F"/>
            <w:sz w:val="24"/>
            <w:szCs w:val="24"/>
          </w:rPr>
          <w:t>sex cord tumors</w:t>
        </w:r>
      </w:hyperlink>
      <w:r>
        <w:rPr>
          <w:rFonts w:ascii="Times New Roman" w:eastAsia="Times New Roman" w:hAnsi="Times New Roman" w:cs="Times New Roman"/>
          <w:color w:val="1F1F1F"/>
          <w:sz w:val="24"/>
          <w:szCs w:val="24"/>
        </w:rPr>
        <w:t>, pure </w:t>
      </w:r>
      <w:hyperlink r:id="rId9">
        <w:r>
          <w:rPr>
            <w:rFonts w:ascii="Times New Roman" w:eastAsia="Times New Roman" w:hAnsi="Times New Roman" w:cs="Times New Roman"/>
            <w:color w:val="1F1F1F"/>
            <w:sz w:val="24"/>
            <w:szCs w:val="24"/>
          </w:rPr>
          <w:t>stromal tumors</w:t>
        </w:r>
      </w:hyperlink>
      <w:r>
        <w:rPr>
          <w:rFonts w:ascii="Times New Roman" w:eastAsia="Times New Roman" w:hAnsi="Times New Roman" w:cs="Times New Roman"/>
          <w:color w:val="1F1F1F"/>
          <w:sz w:val="24"/>
          <w:szCs w:val="24"/>
        </w:rPr>
        <w:t>, and mixed sex cord stromal tumors. Among these, adult </w:t>
      </w:r>
      <w:hyperlink r:id="rId10">
        <w:r>
          <w:rPr>
            <w:rFonts w:ascii="Times New Roman" w:eastAsia="Times New Roman" w:hAnsi="Times New Roman" w:cs="Times New Roman"/>
            <w:color w:val="1F1F1F"/>
            <w:sz w:val="24"/>
            <w:szCs w:val="24"/>
          </w:rPr>
          <w:t>granulosa cell tumors</w:t>
        </w:r>
      </w:hyperlink>
      <w:r>
        <w:rPr>
          <w:rFonts w:ascii="Times New Roman" w:eastAsia="Times New Roman" w:hAnsi="Times New Roman" w:cs="Times New Roman"/>
          <w:color w:val="1F1F1F"/>
          <w:sz w:val="24"/>
          <w:szCs w:val="24"/>
        </w:rPr>
        <w:t> are the most prevalent malignant variant. Unlike the more common </w:t>
      </w:r>
      <w:hyperlink r:id="rId11">
        <w:r>
          <w:rPr>
            <w:rFonts w:ascii="Times New Roman" w:eastAsia="Times New Roman" w:hAnsi="Times New Roman" w:cs="Times New Roman"/>
            <w:color w:val="1F1F1F"/>
            <w:sz w:val="24"/>
            <w:szCs w:val="24"/>
          </w:rPr>
          <w:t>ovarian epithelial cancers</w:t>
        </w:r>
      </w:hyperlink>
      <w:r>
        <w:rPr>
          <w:rFonts w:ascii="Times New Roman" w:eastAsia="Times New Roman" w:hAnsi="Times New Roman" w:cs="Times New Roman"/>
          <w:color w:val="1F1F1F"/>
          <w:sz w:val="24"/>
          <w:szCs w:val="24"/>
        </w:rPr>
        <w:t>, sex cord stromal tumors often present in younger patients and are typically diagnosed at earlier stages, generally leading to more favorable outcomes. However, these tumors have the potential for late recurrence, with some c</w:t>
      </w:r>
      <w:r>
        <w:rPr>
          <w:rFonts w:ascii="Times New Roman" w:eastAsia="Times New Roman" w:hAnsi="Times New Roman" w:cs="Times New Roman"/>
          <w:color w:val="1F1F1F"/>
          <w:sz w:val="24"/>
          <w:szCs w:val="24"/>
        </w:rPr>
        <w:t xml:space="preserve">ases reappearing up to 30 years after initial treatment. Although most sex cord stromal tumors exhibit indolent growth patterns, a subset can exhibit more aggressive behavior. [21]. </w:t>
      </w:r>
    </w:p>
    <w:p w14:paraId="0000008F" w14:textId="77777777" w:rsidR="00470772" w:rsidRDefault="00A6606E">
      <w:pPr>
        <w:spacing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 comprehensive literature review was conducted by Jiawei Li [22], which </w:t>
      </w:r>
      <w:r>
        <w:rPr>
          <w:rFonts w:ascii="Times New Roman" w:eastAsia="Times New Roman" w:hAnsi="Times New Roman" w:cs="Times New Roman"/>
          <w:color w:val="1F1F1F"/>
          <w:sz w:val="24"/>
          <w:szCs w:val="24"/>
        </w:rPr>
        <w:t xml:space="preserve">provides an in-depth analysis of recent studies regarding the impact of various surgical approaches on the prognosis of patients with malignant ovarian sex-cord stromal tumors (MOSCSTs). The review suggests that unilateral </w:t>
      </w:r>
      <w:proofErr w:type="spellStart"/>
      <w:r>
        <w:rPr>
          <w:rFonts w:ascii="Times New Roman" w:eastAsia="Times New Roman" w:hAnsi="Times New Roman" w:cs="Times New Roman"/>
          <w:color w:val="1F1F1F"/>
          <w:sz w:val="24"/>
          <w:szCs w:val="24"/>
        </w:rPr>
        <w:t>salpingo</w:t>
      </w:r>
      <w:proofErr w:type="spellEnd"/>
      <w:r>
        <w:rPr>
          <w:rFonts w:ascii="Times New Roman" w:eastAsia="Times New Roman" w:hAnsi="Times New Roman" w:cs="Times New Roman"/>
          <w:color w:val="1F1F1F"/>
          <w:sz w:val="24"/>
          <w:szCs w:val="24"/>
        </w:rPr>
        <w:t>-oophorectomy (USO) alone</w:t>
      </w:r>
      <w:r>
        <w:rPr>
          <w:rFonts w:ascii="Times New Roman" w:eastAsia="Times New Roman" w:hAnsi="Times New Roman" w:cs="Times New Roman"/>
          <w:color w:val="1F1F1F"/>
          <w:sz w:val="24"/>
          <w:szCs w:val="24"/>
        </w:rPr>
        <w:t xml:space="preserve"> is a feasible option for patients with early-stage MOSCSTs, whereas </w:t>
      </w:r>
      <w:hyperlink r:id="rId12">
        <w:r>
          <w:rPr>
            <w:rFonts w:ascii="Times New Roman" w:eastAsia="Times New Roman" w:hAnsi="Times New Roman" w:cs="Times New Roman"/>
            <w:color w:val="1F1F1F"/>
            <w:sz w:val="24"/>
            <w:szCs w:val="24"/>
          </w:rPr>
          <w:t>cystectomy</w:t>
        </w:r>
      </w:hyperlink>
      <w:r>
        <w:rPr>
          <w:rFonts w:ascii="Times New Roman" w:eastAsia="Times New Roman" w:hAnsi="Times New Roman" w:cs="Times New Roman"/>
          <w:color w:val="1F1F1F"/>
          <w:sz w:val="24"/>
          <w:szCs w:val="24"/>
        </w:rPr>
        <w:t> (CYS) alone should be avoided. Fertility-sparing surgery (FSS) with staging appears to</w:t>
      </w:r>
      <w:r>
        <w:rPr>
          <w:rFonts w:ascii="Times New Roman" w:eastAsia="Times New Roman" w:hAnsi="Times New Roman" w:cs="Times New Roman"/>
          <w:color w:val="1F1F1F"/>
          <w:sz w:val="24"/>
          <w:szCs w:val="24"/>
        </w:rPr>
        <w:t xml:space="preserve"> be both safe and effective for patients with advanced-stage disease. The decision to perform surgery for advanced-stage tumors should ideally be made within a multidisciplinary team (MDT) setting to ensure optimal patient outcomes. For early-stage patient</w:t>
      </w:r>
      <w:r>
        <w:rPr>
          <w:rFonts w:ascii="Times New Roman" w:eastAsia="Times New Roman" w:hAnsi="Times New Roman" w:cs="Times New Roman"/>
          <w:color w:val="1F1F1F"/>
          <w:sz w:val="24"/>
          <w:szCs w:val="24"/>
        </w:rPr>
        <w:t>s without risk factors, a complete staging procedure can be safely omitted, provided there is thorough </w:t>
      </w:r>
      <w:hyperlink r:id="rId13">
        <w:r>
          <w:rPr>
            <w:rFonts w:ascii="Times New Roman" w:eastAsia="Times New Roman" w:hAnsi="Times New Roman" w:cs="Times New Roman"/>
            <w:color w:val="1F1F1F"/>
            <w:sz w:val="24"/>
            <w:szCs w:val="24"/>
          </w:rPr>
          <w:t>preoperative evaluation</w:t>
        </w:r>
      </w:hyperlink>
      <w:r>
        <w:rPr>
          <w:rFonts w:ascii="Times New Roman" w:eastAsia="Times New Roman" w:hAnsi="Times New Roman" w:cs="Times New Roman"/>
          <w:color w:val="1F1F1F"/>
          <w:sz w:val="24"/>
          <w:szCs w:val="24"/>
        </w:rPr>
        <w:t> and adherence to the tumor</w:t>
      </w:r>
      <w:r>
        <w:rPr>
          <w:rFonts w:ascii="Times New Roman" w:eastAsia="Times New Roman" w:hAnsi="Times New Roman" w:cs="Times New Roman"/>
          <w:color w:val="1F1F1F"/>
          <w:sz w:val="24"/>
          <w:szCs w:val="24"/>
        </w:rPr>
        <w:t>-free principle. Long-term follow-up is essential to monitor for recurrence, and deferring radical surgery until recurrence may be a reasonable strategy in certain cases. Lymphadenectomy may be avoided if no suspicious lymph nodes are identified preoperati</w:t>
      </w:r>
      <w:r>
        <w:rPr>
          <w:rFonts w:ascii="Times New Roman" w:eastAsia="Times New Roman" w:hAnsi="Times New Roman" w:cs="Times New Roman"/>
          <w:color w:val="1F1F1F"/>
          <w:sz w:val="24"/>
          <w:szCs w:val="24"/>
        </w:rPr>
        <w:t>vely or intraoperatively. Additionally, endometrial evaluation is recommended for patients older than 40 years or those exhibiting relevant symptoms. </w:t>
      </w:r>
      <w:hyperlink r:id="rId14">
        <w:r>
          <w:rPr>
            <w:rFonts w:ascii="Times New Roman" w:eastAsia="Times New Roman" w:hAnsi="Times New Roman" w:cs="Times New Roman"/>
            <w:color w:val="1F1F1F"/>
            <w:sz w:val="24"/>
            <w:szCs w:val="24"/>
          </w:rPr>
          <w:t>Laparo</w:t>
        </w:r>
        <w:r>
          <w:rPr>
            <w:rFonts w:ascii="Times New Roman" w:eastAsia="Times New Roman" w:hAnsi="Times New Roman" w:cs="Times New Roman"/>
            <w:color w:val="1F1F1F"/>
            <w:sz w:val="24"/>
            <w:szCs w:val="24"/>
          </w:rPr>
          <w:t>scopic surgery</w:t>
        </w:r>
      </w:hyperlink>
      <w:r>
        <w:rPr>
          <w:rFonts w:ascii="Times New Roman" w:eastAsia="Times New Roman" w:hAnsi="Times New Roman" w:cs="Times New Roman"/>
          <w:color w:val="1F1F1F"/>
          <w:sz w:val="24"/>
          <w:szCs w:val="24"/>
        </w:rPr>
        <w:t xml:space="preserve"> has been found to be both feasible and efficient, as long as the tumor-free principle is rigorously followed during surgery. The role of chemotherapy, targeted treatments, and hormonal therapies remains a subject of debate, underscoring the </w:t>
      </w:r>
      <w:r>
        <w:rPr>
          <w:rFonts w:ascii="Times New Roman" w:eastAsia="Times New Roman" w:hAnsi="Times New Roman" w:cs="Times New Roman"/>
          <w:color w:val="1F1F1F"/>
          <w:sz w:val="24"/>
          <w:szCs w:val="24"/>
        </w:rPr>
        <w:t>need for further multicenter, large-scale randomized trials or reanalysis with larger patient cohorts to address these ongoing uncertainties.</w:t>
      </w:r>
    </w:p>
    <w:p w14:paraId="00000090" w14:textId="77777777" w:rsidR="00470772" w:rsidRDefault="00470772">
      <w:pPr>
        <w:spacing w:line="360" w:lineRule="auto"/>
        <w:jc w:val="both"/>
        <w:rPr>
          <w:rFonts w:ascii="Georgia" w:eastAsia="Georgia" w:hAnsi="Georgia" w:cs="Georgia"/>
          <w:color w:val="1F1F1F"/>
        </w:rPr>
      </w:pPr>
    </w:p>
    <w:p w14:paraId="00000091" w14:textId="77777777" w:rsidR="00470772" w:rsidRDefault="00470772">
      <w:pPr>
        <w:spacing w:line="360" w:lineRule="auto"/>
        <w:jc w:val="both"/>
        <w:rPr>
          <w:rFonts w:ascii="Georgia" w:eastAsia="Georgia" w:hAnsi="Georgia" w:cs="Georgia"/>
          <w:color w:val="1F1F1F"/>
        </w:rPr>
      </w:pPr>
    </w:p>
    <w:p w14:paraId="00000092"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93" w14:textId="77777777" w:rsidR="00470772" w:rsidRDefault="00470772">
      <w:pPr>
        <w:spacing w:line="360" w:lineRule="auto"/>
        <w:jc w:val="both"/>
        <w:rPr>
          <w:rFonts w:ascii="Times New Roman" w:eastAsia="Times New Roman" w:hAnsi="Times New Roman" w:cs="Times New Roman"/>
          <w:sz w:val="24"/>
          <w:szCs w:val="24"/>
        </w:rPr>
      </w:pPr>
    </w:p>
    <w:p w14:paraId="0000009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Giant ovarian sex cord stromal tumors, though rare, represent an important differential diagnosis of</w:t>
      </w:r>
      <w:r>
        <w:rPr>
          <w:rFonts w:ascii="Times New Roman" w:eastAsia="Times New Roman" w:hAnsi="Times New Roman" w:cs="Times New Roman"/>
          <w:sz w:val="24"/>
          <w:szCs w:val="24"/>
        </w:rPr>
        <w:t xml:space="preserve"> massive abdominopelvic masses. Their indolent course and hormonal activity distinguish them from epithelial ovarian carcinomas. Comprehensive surgical excision is curative in most cases, and fertility-preserving surgery is feasible for early-stage disease</w:t>
      </w:r>
      <w:r>
        <w:rPr>
          <w:rFonts w:ascii="Times New Roman" w:eastAsia="Times New Roman" w:hAnsi="Times New Roman" w:cs="Times New Roman"/>
          <w:sz w:val="24"/>
          <w:szCs w:val="24"/>
        </w:rPr>
        <w:t>. Long-term follow-up is essential because of potential late recurrence in granulosa cell tumors.</w:t>
      </w:r>
    </w:p>
    <w:p w14:paraId="00000095" w14:textId="77777777" w:rsidR="00470772" w:rsidRDefault="00A6606E">
      <w:pPr>
        <w:spacing w:line="360" w:lineRule="auto"/>
        <w:jc w:val="both"/>
        <w:rPr>
          <w:rFonts w:ascii="Times New Roman" w:eastAsia="Times New Roman" w:hAnsi="Times New Roman" w:cs="Times New Roman"/>
          <w:sz w:val="24"/>
          <w:szCs w:val="24"/>
        </w:rPr>
      </w:pPr>
      <w:r>
        <w:rPr>
          <w:rFonts w:ascii="Georgia" w:eastAsia="Georgia" w:hAnsi="Georgia" w:cs="Georgia"/>
          <w:color w:val="1F1F1F"/>
        </w:rPr>
        <w:t>OSCSTs represent a diverse and clinically complex group of neoplasms with distinct histological characteristics and varying treatment needs. These tumors, whi</w:t>
      </w:r>
      <w:r>
        <w:rPr>
          <w:rFonts w:ascii="Georgia" w:eastAsia="Georgia" w:hAnsi="Georgia" w:cs="Georgia"/>
          <w:color w:val="1F1F1F"/>
        </w:rPr>
        <w:t>ch include granulosa cell tumors, Sertoli-Leydig cell tumors, </w:t>
      </w:r>
      <w:hyperlink r:id="rId15">
        <w:r>
          <w:rPr>
            <w:rFonts w:ascii="Georgia" w:eastAsia="Georgia" w:hAnsi="Georgia" w:cs="Georgia"/>
            <w:color w:val="1F1F1F"/>
          </w:rPr>
          <w:t>thecomas</w:t>
        </w:r>
      </w:hyperlink>
      <w:r>
        <w:rPr>
          <w:rFonts w:ascii="Georgia" w:eastAsia="Georgia" w:hAnsi="Georgia" w:cs="Georgia"/>
          <w:color w:val="1F1F1F"/>
        </w:rPr>
        <w:t>, and </w:t>
      </w:r>
      <w:hyperlink r:id="rId16">
        <w:r>
          <w:rPr>
            <w:rFonts w:ascii="Georgia" w:eastAsia="Georgia" w:hAnsi="Georgia" w:cs="Georgia"/>
            <w:color w:val="1F1F1F"/>
          </w:rPr>
          <w:t>fibromas</w:t>
        </w:r>
      </w:hyperlink>
      <w:r>
        <w:rPr>
          <w:rFonts w:ascii="Georgia" w:eastAsia="Georgia" w:hAnsi="Georgia" w:cs="Georgia"/>
          <w:color w:val="1F1F1F"/>
        </w:rPr>
        <w:t>, present unique diagnostic and therapeutic challenges. Their rarity necessitates a nuanced approach to diagnosis, incorporating imaging studies, seru</w:t>
      </w:r>
      <w:r>
        <w:rPr>
          <w:rFonts w:ascii="Georgia" w:eastAsia="Georgia" w:hAnsi="Georgia" w:cs="Georgia"/>
          <w:color w:val="1F1F1F"/>
        </w:rPr>
        <w:t>m biomarkers, and histopathological analysis. There are a variety of treatment options available, including surgery, chemotherapy, hormonal therapy, and </w:t>
      </w:r>
      <w:hyperlink r:id="rId17">
        <w:r>
          <w:rPr>
            <w:rFonts w:ascii="Georgia" w:eastAsia="Georgia" w:hAnsi="Georgia" w:cs="Georgia"/>
            <w:color w:val="1F1F1F"/>
          </w:rPr>
          <w:t>targete</w:t>
        </w:r>
        <w:r>
          <w:rPr>
            <w:rFonts w:ascii="Georgia" w:eastAsia="Georgia" w:hAnsi="Georgia" w:cs="Georgia"/>
            <w:color w:val="1F1F1F"/>
          </w:rPr>
          <w:t>d therapy</w:t>
        </w:r>
      </w:hyperlink>
      <w:r>
        <w:rPr>
          <w:rFonts w:ascii="Georgia" w:eastAsia="Georgia" w:hAnsi="Georgia" w:cs="Georgia"/>
          <w:color w:val="1F1F1F"/>
        </w:rPr>
        <w:t>. These therapies may be used either alone or in combination, depending on several factors, including age, type, and stage of the tumor. Surgery is generally considered the most effective treatment for sex cord stromal tumors.</w:t>
      </w:r>
    </w:p>
    <w:p w14:paraId="00000096" w14:textId="77777777" w:rsidR="00470772" w:rsidRDefault="00470772">
      <w:pPr>
        <w:spacing w:line="360" w:lineRule="auto"/>
        <w:jc w:val="both"/>
        <w:rPr>
          <w:rFonts w:ascii="Times New Roman" w:eastAsia="Times New Roman" w:hAnsi="Times New Roman" w:cs="Times New Roman"/>
          <w:b/>
          <w:bCs/>
          <w:sz w:val="24"/>
          <w:szCs w:val="24"/>
        </w:rPr>
      </w:pPr>
    </w:p>
    <w:p w14:paraId="00000097"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0000009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w:t>
      </w:r>
      <w:r>
        <w:rPr>
          <w:rFonts w:ascii="Times New Roman" w:eastAsia="Times New Roman" w:hAnsi="Times New Roman" w:cs="Times New Roman"/>
          <w:sz w:val="24"/>
          <w:szCs w:val="24"/>
        </w:rPr>
        <w:t>iew is limited by the rarity of cases, publication bias toward positive outcomes, and absence of large-scale prospective studies. Lack of standardized follow-up prevents robust survival analysis. Future multicentric registries are needed to formulate evide</w:t>
      </w:r>
      <w:r>
        <w:rPr>
          <w:rFonts w:ascii="Times New Roman" w:eastAsia="Times New Roman" w:hAnsi="Times New Roman" w:cs="Times New Roman"/>
          <w:sz w:val="24"/>
          <w:szCs w:val="24"/>
        </w:rPr>
        <w:t>nce-based management protocols.</w:t>
      </w:r>
    </w:p>
    <w:p w14:paraId="00000099" w14:textId="77777777" w:rsidR="00470772" w:rsidRDefault="00470772">
      <w:pPr>
        <w:spacing w:line="360" w:lineRule="auto"/>
        <w:jc w:val="both"/>
        <w:rPr>
          <w:rFonts w:ascii="Times New Roman" w:eastAsia="Times New Roman" w:hAnsi="Times New Roman" w:cs="Times New Roman"/>
          <w:sz w:val="24"/>
          <w:szCs w:val="24"/>
        </w:rPr>
      </w:pPr>
    </w:p>
    <w:p w14:paraId="0000009A" w14:textId="77777777" w:rsidR="00470772" w:rsidRDefault="00470772">
      <w:pPr>
        <w:spacing w:after="0" w:line="360" w:lineRule="auto"/>
        <w:jc w:val="both"/>
        <w:rPr>
          <w:rFonts w:ascii="Times New Roman" w:eastAsia="Times New Roman" w:hAnsi="Times New Roman" w:cs="Times New Roman"/>
          <w:b/>
          <w:bCs/>
          <w:sz w:val="24"/>
          <w:szCs w:val="24"/>
          <w:shd w:val="clear" w:color="auto" w:fill="FCFCFC"/>
        </w:rPr>
      </w:pPr>
    </w:p>
    <w:p w14:paraId="0000009B" w14:textId="77777777" w:rsidR="00470772" w:rsidRDefault="00A6606E">
      <w:pPr>
        <w:spacing w:after="0" w:line="360" w:lineRule="auto"/>
        <w:jc w:val="both"/>
        <w:rPr>
          <w:rFonts w:ascii="Times New Roman" w:eastAsia="Times New Roman" w:hAnsi="Times New Roman" w:cs="Times New Roman"/>
          <w:b/>
          <w:bCs/>
          <w:color w:val="000000"/>
          <w:sz w:val="24"/>
          <w:szCs w:val="24"/>
          <w:shd w:val="clear" w:color="auto" w:fill="FCFCFC"/>
        </w:rPr>
      </w:pPr>
      <w:r>
        <w:rPr>
          <w:rFonts w:ascii="Times New Roman" w:eastAsia="Times New Roman" w:hAnsi="Times New Roman" w:cs="Times New Roman"/>
          <w:b/>
          <w:bCs/>
          <w:color w:val="000000"/>
          <w:sz w:val="24"/>
          <w:szCs w:val="24"/>
          <w:shd w:val="clear" w:color="auto" w:fill="FCFCFC"/>
        </w:rPr>
        <w:t>DECLARATIONS</w:t>
      </w:r>
    </w:p>
    <w:p w14:paraId="0000009C" w14:textId="77777777" w:rsidR="00470772" w:rsidRDefault="00470772">
      <w:pPr>
        <w:spacing w:after="0" w:line="360" w:lineRule="auto"/>
        <w:jc w:val="both"/>
        <w:rPr>
          <w:rFonts w:ascii="Times New Roman" w:eastAsia="Times New Roman" w:hAnsi="Times New Roman" w:cs="Times New Roman"/>
          <w:b/>
          <w:bCs/>
          <w:color w:val="000000"/>
          <w:sz w:val="24"/>
          <w:szCs w:val="24"/>
          <w:shd w:val="clear" w:color="auto" w:fill="FCFCFC"/>
        </w:rPr>
      </w:pPr>
    </w:p>
    <w:p w14:paraId="0000009E" w14:textId="77777777" w:rsidR="00470772" w:rsidRDefault="00A6606E">
      <w:pPr>
        <w:widowControl w:val="0"/>
        <w:spacing w:after="0" w:line="360" w:lineRule="auto"/>
        <w:jc w:val="both"/>
        <w:rPr>
          <w:rFonts w:ascii="Times New Roman" w:eastAsia="Times New Roman" w:hAnsi="Times New Roman" w:cs="Times New Roman"/>
          <w:color w:val="000000"/>
          <w:sz w:val="24"/>
          <w:szCs w:val="24"/>
          <w:shd w:val="clear" w:color="auto" w:fill="FCFCFC"/>
        </w:rPr>
      </w:pPr>
      <w:bookmarkStart w:id="0" w:name="_GoBack"/>
      <w:bookmarkEnd w:id="0"/>
      <w:r>
        <w:rPr>
          <w:rFonts w:ascii="Times New Roman" w:eastAsia="Times New Roman" w:hAnsi="Times New Roman" w:cs="Times New Roman"/>
          <w:b/>
          <w:bCs/>
          <w:color w:val="000000"/>
          <w:sz w:val="24"/>
          <w:szCs w:val="24"/>
          <w:shd w:val="clear" w:color="auto" w:fill="FCFCFC"/>
        </w:rPr>
        <w:t>Consent to participate:</w:t>
      </w:r>
      <w:r>
        <w:rPr>
          <w:rFonts w:ascii="Times New Roman" w:eastAsia="Times New Roman" w:hAnsi="Times New Roman" w:cs="Times New Roman"/>
          <w:color w:val="000000"/>
          <w:sz w:val="24"/>
          <w:szCs w:val="24"/>
          <w:shd w:val="clear" w:color="auto" w:fill="FCFCFC"/>
        </w:rPr>
        <w:t xml:space="preserve"> There </w:t>
      </w:r>
      <w:proofErr w:type="gramStart"/>
      <w:r>
        <w:rPr>
          <w:rFonts w:ascii="Times New Roman" w:eastAsia="Times New Roman" w:hAnsi="Times New Roman" w:cs="Times New Roman"/>
          <w:color w:val="000000"/>
          <w:sz w:val="24"/>
          <w:szCs w:val="24"/>
          <w:shd w:val="clear" w:color="auto" w:fill="FCFCFC"/>
        </w:rPr>
        <w:t>is  consent</w:t>
      </w:r>
      <w:proofErr w:type="gramEnd"/>
      <w:r>
        <w:rPr>
          <w:rFonts w:ascii="Times New Roman" w:eastAsia="Times New Roman" w:hAnsi="Times New Roman" w:cs="Times New Roman"/>
          <w:color w:val="000000"/>
          <w:sz w:val="24"/>
          <w:szCs w:val="24"/>
          <w:shd w:val="clear" w:color="auto" w:fill="FCFCFC"/>
        </w:rPr>
        <w:t xml:space="preserve"> to participate.</w:t>
      </w:r>
    </w:p>
    <w:p w14:paraId="0000009F" w14:textId="77777777" w:rsidR="00470772" w:rsidRDefault="00A6606E">
      <w:pPr>
        <w:widowControl w:val="0"/>
        <w:spacing w:after="0" w:line="360" w:lineRule="auto"/>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b/>
          <w:bCs/>
          <w:color w:val="000000"/>
          <w:sz w:val="24"/>
          <w:szCs w:val="24"/>
          <w:shd w:val="clear" w:color="auto" w:fill="FCFCFC"/>
        </w:rPr>
        <w:t>Consent for publication:</w:t>
      </w:r>
      <w:r>
        <w:rPr>
          <w:rFonts w:ascii="Times New Roman" w:eastAsia="Times New Roman" w:hAnsi="Times New Roman" w:cs="Times New Roman"/>
          <w:color w:val="000000"/>
          <w:sz w:val="24"/>
          <w:szCs w:val="24"/>
          <w:shd w:val="clear" w:color="auto" w:fill="FCFCFC"/>
        </w:rPr>
        <w:t xml:space="preserve"> There is consent for the publication </w:t>
      </w:r>
      <w:r>
        <w:rPr>
          <w:rFonts w:ascii="Times New Roman" w:eastAsia="Times New Roman" w:hAnsi="Times New Roman" w:cs="Times New Roman"/>
          <w:color w:val="000000"/>
          <w:sz w:val="24"/>
          <w:szCs w:val="24"/>
          <w:shd w:val="clear" w:color="auto" w:fill="FCFCFC"/>
        </w:rPr>
        <w:t>of this paper.</w:t>
      </w:r>
    </w:p>
    <w:p w14:paraId="000000A1" w14:textId="77777777" w:rsidR="00470772" w:rsidRDefault="00470772">
      <w:pPr>
        <w:spacing w:line="360" w:lineRule="auto"/>
        <w:jc w:val="both"/>
        <w:rPr>
          <w:rFonts w:ascii="Times New Roman" w:eastAsia="Times New Roman" w:hAnsi="Times New Roman" w:cs="Times New Roman"/>
          <w:sz w:val="24"/>
          <w:szCs w:val="24"/>
        </w:rPr>
      </w:pPr>
    </w:p>
    <w:p w14:paraId="000000A2" w14:textId="77777777" w:rsidR="00470772" w:rsidRDefault="00470772">
      <w:pPr>
        <w:spacing w:line="360" w:lineRule="auto"/>
        <w:jc w:val="both"/>
        <w:rPr>
          <w:rFonts w:ascii="Times New Roman" w:eastAsia="Times New Roman" w:hAnsi="Times New Roman" w:cs="Times New Roman"/>
          <w:sz w:val="24"/>
          <w:szCs w:val="24"/>
        </w:rPr>
      </w:pPr>
    </w:p>
    <w:p w14:paraId="000000A3" w14:textId="77777777" w:rsidR="00470772" w:rsidRDefault="00A6606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000000A4" w14:textId="77777777" w:rsidR="00470772" w:rsidRDefault="00470772">
      <w:pPr>
        <w:spacing w:line="360" w:lineRule="auto"/>
        <w:jc w:val="both"/>
        <w:rPr>
          <w:rFonts w:ascii="Times New Roman" w:eastAsia="Times New Roman" w:hAnsi="Times New Roman" w:cs="Times New Roman"/>
          <w:sz w:val="24"/>
          <w:szCs w:val="24"/>
        </w:rPr>
      </w:pPr>
    </w:p>
    <w:p w14:paraId="000000A5"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Lee JY et al. Giant granulosa cell tumor of the ovary: review of literature. J Ovarian Res. 2021;14(1):78.</w:t>
      </w:r>
    </w:p>
    <w:p w14:paraId="000000A6" w14:textId="77777777" w:rsidR="00470772" w:rsidRDefault="00470772">
      <w:pPr>
        <w:spacing w:line="360" w:lineRule="auto"/>
        <w:jc w:val="both"/>
        <w:rPr>
          <w:rFonts w:ascii="Times New Roman" w:eastAsia="Times New Roman" w:hAnsi="Times New Roman" w:cs="Times New Roman"/>
          <w:sz w:val="24"/>
          <w:szCs w:val="24"/>
        </w:rPr>
      </w:pPr>
    </w:p>
    <w:p w14:paraId="000000A7" w14:textId="77777777" w:rsidR="00470772" w:rsidRDefault="00470772">
      <w:pPr>
        <w:spacing w:line="360" w:lineRule="auto"/>
        <w:jc w:val="both"/>
        <w:rPr>
          <w:rFonts w:ascii="Times New Roman" w:eastAsia="Times New Roman" w:hAnsi="Times New Roman" w:cs="Times New Roman"/>
          <w:sz w:val="24"/>
          <w:szCs w:val="24"/>
        </w:rPr>
      </w:pPr>
    </w:p>
    <w:p w14:paraId="000000A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Singh R et al. Clinicopathological spectrum of </w:t>
      </w:r>
      <w:r>
        <w:rPr>
          <w:rFonts w:ascii="Times New Roman" w:eastAsia="Times New Roman" w:hAnsi="Times New Roman" w:cs="Times New Roman"/>
          <w:sz w:val="24"/>
          <w:szCs w:val="24"/>
        </w:rPr>
        <w:t xml:space="preserve">ovarian sex cord stromal tumors. Indian J </w:t>
      </w:r>
      <w:proofErr w:type="spellStart"/>
      <w:r>
        <w:rPr>
          <w:rFonts w:ascii="Times New Roman" w:eastAsia="Times New Roman" w:hAnsi="Times New Roman" w:cs="Times New Roman"/>
          <w:sz w:val="24"/>
          <w:szCs w:val="24"/>
        </w:rPr>
        <w:t>Pathol</w:t>
      </w:r>
      <w:proofErr w:type="spellEnd"/>
      <w:r>
        <w:rPr>
          <w:rFonts w:ascii="Times New Roman" w:eastAsia="Times New Roman" w:hAnsi="Times New Roman" w:cs="Times New Roman"/>
          <w:sz w:val="24"/>
          <w:szCs w:val="24"/>
        </w:rPr>
        <w:t xml:space="preserve"> Microbiol. 2019;62(3):437-442.</w:t>
      </w:r>
    </w:p>
    <w:p w14:paraId="000000A9"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Ahmed A et al. Management outcomes of giant ovarian sex cord stromal tumor: multi-institutional review. Int J </w:t>
      </w:r>
      <w:proofErr w:type="spellStart"/>
      <w:r>
        <w:rPr>
          <w:rFonts w:ascii="Times New Roman" w:eastAsia="Times New Roman" w:hAnsi="Times New Roman" w:cs="Times New Roman"/>
          <w:sz w:val="24"/>
          <w:szCs w:val="24"/>
        </w:rPr>
        <w:t>Gynecol</w:t>
      </w:r>
      <w:proofErr w:type="spellEnd"/>
      <w:r>
        <w:rPr>
          <w:rFonts w:ascii="Times New Roman" w:eastAsia="Times New Roman" w:hAnsi="Times New Roman" w:cs="Times New Roman"/>
          <w:sz w:val="24"/>
          <w:szCs w:val="24"/>
        </w:rPr>
        <w:t xml:space="preserve"> Cancer. 2023;33(3):452-459.</w:t>
      </w:r>
    </w:p>
    <w:p w14:paraId="000000AA"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Pathak S et al. Ovarian </w:t>
      </w:r>
      <w:r>
        <w:rPr>
          <w:rFonts w:ascii="Times New Roman" w:eastAsia="Times New Roman" w:hAnsi="Times New Roman" w:cs="Times New Roman"/>
          <w:sz w:val="24"/>
          <w:szCs w:val="24"/>
        </w:rPr>
        <w:t xml:space="preserve">thecoma-fibroma presenting as massive abdominopelvic mass. </w:t>
      </w:r>
      <w:proofErr w:type="spellStart"/>
      <w:r>
        <w:rPr>
          <w:rFonts w:ascii="Times New Roman" w:eastAsia="Times New Roman" w:hAnsi="Times New Roman" w:cs="Times New Roman"/>
          <w:sz w:val="24"/>
          <w:szCs w:val="24"/>
        </w:rPr>
        <w:t>Gynecol</w:t>
      </w:r>
      <w:proofErr w:type="spellEnd"/>
      <w:r>
        <w:rPr>
          <w:rFonts w:ascii="Times New Roman" w:eastAsia="Times New Roman" w:hAnsi="Times New Roman" w:cs="Times New Roman"/>
          <w:sz w:val="24"/>
          <w:szCs w:val="24"/>
        </w:rPr>
        <w:t xml:space="preserve"> Oncol Rep. </w:t>
      </w:r>
      <w:proofErr w:type="gramStart"/>
      <w:r>
        <w:rPr>
          <w:rFonts w:ascii="Times New Roman" w:eastAsia="Times New Roman" w:hAnsi="Times New Roman" w:cs="Times New Roman"/>
          <w:sz w:val="24"/>
          <w:szCs w:val="24"/>
        </w:rPr>
        <w:t>2022;42:101037</w:t>
      </w:r>
      <w:proofErr w:type="gramEnd"/>
      <w:r>
        <w:rPr>
          <w:rFonts w:ascii="Times New Roman" w:eastAsia="Times New Roman" w:hAnsi="Times New Roman" w:cs="Times New Roman"/>
          <w:sz w:val="24"/>
          <w:szCs w:val="24"/>
        </w:rPr>
        <w:t>.</w:t>
      </w:r>
    </w:p>
    <w:p w14:paraId="000000AB"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Zhang H et al. Molecular characterization of FOXL2 mutations in granulosa cell tumors. Mod </w:t>
      </w:r>
      <w:proofErr w:type="spellStart"/>
      <w:r>
        <w:rPr>
          <w:rFonts w:ascii="Times New Roman" w:eastAsia="Times New Roman" w:hAnsi="Times New Roman" w:cs="Times New Roman"/>
          <w:sz w:val="24"/>
          <w:szCs w:val="24"/>
        </w:rPr>
        <w:t>Pathol</w:t>
      </w:r>
      <w:proofErr w:type="spellEnd"/>
      <w:r>
        <w:rPr>
          <w:rFonts w:ascii="Times New Roman" w:eastAsia="Times New Roman" w:hAnsi="Times New Roman" w:cs="Times New Roman"/>
          <w:sz w:val="24"/>
          <w:szCs w:val="24"/>
        </w:rPr>
        <w:t>. 2023;36(7):1245-1254.</w:t>
      </w:r>
    </w:p>
    <w:p w14:paraId="000000AC" w14:textId="77777777" w:rsidR="00470772" w:rsidRDefault="00470772">
      <w:pPr>
        <w:spacing w:line="360" w:lineRule="auto"/>
        <w:jc w:val="both"/>
        <w:rPr>
          <w:rFonts w:ascii="Times New Roman" w:eastAsia="Times New Roman" w:hAnsi="Times New Roman" w:cs="Times New Roman"/>
          <w:sz w:val="24"/>
          <w:szCs w:val="24"/>
        </w:rPr>
      </w:pPr>
    </w:p>
    <w:p w14:paraId="000000AD"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Brown DL et al. Imaging features o</w:t>
      </w:r>
      <w:r>
        <w:rPr>
          <w:rFonts w:ascii="Times New Roman" w:eastAsia="Times New Roman" w:hAnsi="Times New Roman" w:cs="Times New Roman"/>
          <w:sz w:val="24"/>
          <w:szCs w:val="24"/>
        </w:rPr>
        <w:t xml:space="preserve">f ovarian stromal tumors. </w:t>
      </w:r>
      <w:proofErr w:type="spellStart"/>
      <w:r>
        <w:rPr>
          <w:rFonts w:ascii="Times New Roman" w:eastAsia="Times New Roman" w:hAnsi="Times New Roman" w:cs="Times New Roman"/>
          <w:sz w:val="24"/>
          <w:szCs w:val="24"/>
        </w:rPr>
        <w:t>Radiographics</w:t>
      </w:r>
      <w:proofErr w:type="spellEnd"/>
      <w:r>
        <w:rPr>
          <w:rFonts w:ascii="Times New Roman" w:eastAsia="Times New Roman" w:hAnsi="Times New Roman" w:cs="Times New Roman"/>
          <w:sz w:val="24"/>
          <w:szCs w:val="24"/>
        </w:rPr>
        <w:t>. 2018;38(6):1503-1521.</w:t>
      </w:r>
    </w:p>
    <w:p w14:paraId="000000AE" w14:textId="77777777" w:rsidR="00470772" w:rsidRDefault="00470772">
      <w:pPr>
        <w:spacing w:line="360" w:lineRule="auto"/>
        <w:jc w:val="both"/>
        <w:rPr>
          <w:rFonts w:ascii="Times New Roman" w:eastAsia="Times New Roman" w:hAnsi="Times New Roman" w:cs="Times New Roman"/>
          <w:sz w:val="24"/>
          <w:szCs w:val="24"/>
        </w:rPr>
      </w:pPr>
    </w:p>
    <w:p w14:paraId="000000AF"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Shah H et al. Sertoli-Leydig cell tumor: diagnostic and therapeutic considerations. Arch </w:t>
      </w:r>
      <w:proofErr w:type="spellStart"/>
      <w:r>
        <w:rPr>
          <w:rFonts w:ascii="Times New Roman" w:eastAsia="Times New Roman" w:hAnsi="Times New Roman" w:cs="Times New Roman"/>
          <w:sz w:val="24"/>
          <w:szCs w:val="24"/>
        </w:rPr>
        <w:t>Gynecol</w:t>
      </w:r>
      <w:proofErr w:type="spellEnd"/>
      <w:r>
        <w:rPr>
          <w:rFonts w:ascii="Times New Roman" w:eastAsia="Times New Roman" w:hAnsi="Times New Roman" w:cs="Times New Roman"/>
          <w:sz w:val="24"/>
          <w:szCs w:val="24"/>
        </w:rPr>
        <w:t xml:space="preserve"> Obstet. 2017;296(5):999-1006.</w:t>
      </w:r>
    </w:p>
    <w:p w14:paraId="000000B0" w14:textId="77777777" w:rsidR="00470772" w:rsidRDefault="00470772">
      <w:pPr>
        <w:spacing w:line="360" w:lineRule="auto"/>
        <w:jc w:val="both"/>
        <w:rPr>
          <w:rFonts w:ascii="Times New Roman" w:eastAsia="Times New Roman" w:hAnsi="Times New Roman" w:cs="Times New Roman"/>
          <w:sz w:val="24"/>
          <w:szCs w:val="24"/>
        </w:rPr>
      </w:pPr>
    </w:p>
    <w:p w14:paraId="000000B1"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Kim JH et al. Radiologic differentiation of ovarian stroma</w:t>
      </w:r>
      <w:r>
        <w:rPr>
          <w:rFonts w:ascii="Times New Roman" w:eastAsia="Times New Roman" w:hAnsi="Times New Roman" w:cs="Times New Roman"/>
          <w:sz w:val="24"/>
          <w:szCs w:val="24"/>
        </w:rPr>
        <w:t xml:space="preserve">l tumors from epithelial malignancies. Eur </w:t>
      </w:r>
      <w:proofErr w:type="spellStart"/>
      <w:r>
        <w:rPr>
          <w:rFonts w:ascii="Times New Roman" w:eastAsia="Times New Roman" w:hAnsi="Times New Roman" w:cs="Times New Roman"/>
          <w:sz w:val="24"/>
          <w:szCs w:val="24"/>
        </w:rPr>
        <w:t>Radiol</w:t>
      </w:r>
      <w:proofErr w:type="spellEnd"/>
      <w:r>
        <w:rPr>
          <w:rFonts w:ascii="Times New Roman" w:eastAsia="Times New Roman" w:hAnsi="Times New Roman" w:cs="Times New Roman"/>
          <w:sz w:val="24"/>
          <w:szCs w:val="24"/>
        </w:rPr>
        <w:t>. 2020;30(12):6570-6582.</w:t>
      </w:r>
    </w:p>
    <w:p w14:paraId="000000B2"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Jamal S et al. Immunohistochemical profile of ovarian stromal tumors. </w:t>
      </w:r>
      <w:proofErr w:type="spellStart"/>
      <w:r>
        <w:rPr>
          <w:rFonts w:ascii="Times New Roman" w:eastAsia="Times New Roman" w:hAnsi="Times New Roman" w:cs="Times New Roman"/>
          <w:sz w:val="24"/>
          <w:szCs w:val="24"/>
        </w:rPr>
        <w:t>Pathol</w:t>
      </w:r>
      <w:proofErr w:type="spellEnd"/>
      <w:r>
        <w:rPr>
          <w:rFonts w:ascii="Times New Roman" w:eastAsia="Times New Roman" w:hAnsi="Times New Roman" w:cs="Times New Roman"/>
          <w:sz w:val="24"/>
          <w:szCs w:val="24"/>
        </w:rPr>
        <w:t xml:space="preserve"> Res </w:t>
      </w:r>
      <w:proofErr w:type="spellStart"/>
      <w:r>
        <w:rPr>
          <w:rFonts w:ascii="Times New Roman" w:eastAsia="Times New Roman" w:hAnsi="Times New Roman" w:cs="Times New Roman"/>
          <w:sz w:val="24"/>
          <w:szCs w:val="24"/>
        </w:rPr>
        <w:t>Pract</w:t>
      </w:r>
      <w:proofErr w:type="spellEnd"/>
      <w:r>
        <w:rPr>
          <w:rFonts w:ascii="Times New Roman" w:eastAsia="Times New Roman" w:hAnsi="Times New Roman" w:cs="Times New Roman"/>
          <w:sz w:val="24"/>
          <w:szCs w:val="24"/>
        </w:rPr>
        <w:t>. 2020;216(6):152985.</w:t>
      </w:r>
    </w:p>
    <w:p w14:paraId="000000B3" w14:textId="77777777" w:rsidR="00470772" w:rsidRDefault="00470772">
      <w:pPr>
        <w:spacing w:line="360" w:lineRule="auto"/>
        <w:jc w:val="both"/>
        <w:rPr>
          <w:rFonts w:ascii="Times New Roman" w:eastAsia="Times New Roman" w:hAnsi="Times New Roman" w:cs="Times New Roman"/>
          <w:sz w:val="24"/>
          <w:szCs w:val="24"/>
        </w:rPr>
      </w:pPr>
    </w:p>
    <w:p w14:paraId="000000B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Dasgupta S et al. Recurrent adult granulosa cell tumor after 12 ye</w:t>
      </w:r>
      <w:r>
        <w:rPr>
          <w:rFonts w:ascii="Times New Roman" w:eastAsia="Times New Roman" w:hAnsi="Times New Roman" w:cs="Times New Roman"/>
          <w:sz w:val="24"/>
          <w:szCs w:val="24"/>
        </w:rPr>
        <w:t xml:space="preserve">ars: case report. J Cancer Res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2016;12(4):1305-1308.</w:t>
      </w:r>
    </w:p>
    <w:p w14:paraId="000000B5" w14:textId="77777777" w:rsidR="00470772" w:rsidRDefault="00470772">
      <w:pPr>
        <w:spacing w:line="360" w:lineRule="auto"/>
        <w:jc w:val="both"/>
        <w:rPr>
          <w:rFonts w:ascii="Times New Roman" w:eastAsia="Times New Roman" w:hAnsi="Times New Roman" w:cs="Times New Roman"/>
          <w:sz w:val="24"/>
          <w:szCs w:val="24"/>
        </w:rPr>
      </w:pPr>
    </w:p>
    <w:p w14:paraId="000000B6"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Kumar A et al. Giant </w:t>
      </w:r>
      <w:proofErr w:type="spellStart"/>
      <w:r>
        <w:rPr>
          <w:rFonts w:ascii="Times New Roman" w:eastAsia="Times New Roman" w:hAnsi="Times New Roman" w:cs="Times New Roman"/>
          <w:sz w:val="24"/>
          <w:szCs w:val="24"/>
        </w:rPr>
        <w:t>fibrothecoma</w:t>
      </w:r>
      <w:proofErr w:type="spellEnd"/>
      <w:r>
        <w:rPr>
          <w:rFonts w:ascii="Times New Roman" w:eastAsia="Times New Roman" w:hAnsi="Times New Roman" w:cs="Times New Roman"/>
          <w:sz w:val="24"/>
          <w:szCs w:val="24"/>
        </w:rPr>
        <w:t xml:space="preserve"> mimicking malignancy: case report. Case Rep </w:t>
      </w:r>
      <w:proofErr w:type="spellStart"/>
      <w:r>
        <w:rPr>
          <w:rFonts w:ascii="Times New Roman" w:eastAsia="Times New Roman" w:hAnsi="Times New Roman" w:cs="Times New Roman"/>
          <w:sz w:val="24"/>
          <w:szCs w:val="24"/>
        </w:rPr>
        <w:t>Obstet</w:t>
      </w:r>
      <w:proofErr w:type="spellEnd"/>
      <w:r>
        <w:rPr>
          <w:rFonts w:ascii="Times New Roman" w:eastAsia="Times New Roman" w:hAnsi="Times New Roman" w:cs="Times New Roman"/>
          <w:sz w:val="24"/>
          <w:szCs w:val="24"/>
        </w:rPr>
        <w:t xml:space="preserve"> Gynecol. </w:t>
      </w:r>
      <w:proofErr w:type="gramStart"/>
      <w:r>
        <w:rPr>
          <w:rFonts w:ascii="Times New Roman" w:eastAsia="Times New Roman" w:hAnsi="Times New Roman" w:cs="Times New Roman"/>
          <w:sz w:val="24"/>
          <w:szCs w:val="24"/>
        </w:rPr>
        <w:t>2018;2018:9274639</w:t>
      </w:r>
      <w:proofErr w:type="gramEnd"/>
      <w:r>
        <w:rPr>
          <w:rFonts w:ascii="Times New Roman" w:eastAsia="Times New Roman" w:hAnsi="Times New Roman" w:cs="Times New Roman"/>
          <w:sz w:val="24"/>
          <w:szCs w:val="24"/>
        </w:rPr>
        <w:t>.</w:t>
      </w:r>
    </w:p>
    <w:p w14:paraId="000000B7" w14:textId="77777777" w:rsidR="00470772" w:rsidRDefault="00470772">
      <w:pPr>
        <w:spacing w:line="360" w:lineRule="auto"/>
        <w:jc w:val="both"/>
        <w:rPr>
          <w:rFonts w:ascii="Times New Roman" w:eastAsia="Times New Roman" w:hAnsi="Times New Roman" w:cs="Times New Roman"/>
          <w:sz w:val="24"/>
          <w:szCs w:val="24"/>
        </w:rPr>
      </w:pPr>
    </w:p>
    <w:p w14:paraId="000000B8"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Rivera P et al. Novel targeted therapy for recurrent granulosa cell tumors</w:t>
      </w:r>
      <w:r>
        <w:rPr>
          <w:rFonts w:ascii="Times New Roman" w:eastAsia="Times New Roman" w:hAnsi="Times New Roman" w:cs="Times New Roman"/>
          <w:sz w:val="24"/>
          <w:szCs w:val="24"/>
        </w:rPr>
        <w:t xml:space="preserve">: a systematic review. Front Oncol. </w:t>
      </w:r>
      <w:proofErr w:type="gramStart"/>
      <w:r>
        <w:rPr>
          <w:rFonts w:ascii="Times New Roman" w:eastAsia="Times New Roman" w:hAnsi="Times New Roman" w:cs="Times New Roman"/>
          <w:sz w:val="24"/>
          <w:szCs w:val="24"/>
        </w:rPr>
        <w:t>2024;14:1115673</w:t>
      </w:r>
      <w:proofErr w:type="gramEnd"/>
      <w:r>
        <w:rPr>
          <w:rFonts w:ascii="Times New Roman" w:eastAsia="Times New Roman" w:hAnsi="Times New Roman" w:cs="Times New Roman"/>
          <w:sz w:val="24"/>
          <w:szCs w:val="24"/>
        </w:rPr>
        <w:t>.</w:t>
      </w:r>
    </w:p>
    <w:p w14:paraId="000000B9" w14:textId="77777777" w:rsidR="00470772" w:rsidRDefault="00470772">
      <w:pPr>
        <w:spacing w:line="360" w:lineRule="auto"/>
        <w:jc w:val="both"/>
        <w:rPr>
          <w:rFonts w:ascii="Times New Roman" w:eastAsia="Times New Roman" w:hAnsi="Times New Roman" w:cs="Times New Roman"/>
          <w:sz w:val="24"/>
          <w:szCs w:val="24"/>
        </w:rPr>
      </w:pPr>
    </w:p>
    <w:p w14:paraId="000000BA" w14:textId="77777777" w:rsidR="00470772" w:rsidRDefault="00470772">
      <w:pPr>
        <w:spacing w:line="360" w:lineRule="auto"/>
        <w:jc w:val="both"/>
        <w:rPr>
          <w:rFonts w:ascii="Times New Roman" w:eastAsia="Times New Roman" w:hAnsi="Times New Roman" w:cs="Times New Roman"/>
          <w:sz w:val="24"/>
          <w:szCs w:val="24"/>
        </w:rPr>
      </w:pPr>
    </w:p>
    <w:p w14:paraId="000000BB"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Jamal A et al. FOXL2 and SF-1 expression in ovarian sex cord stromal tumors. Hum </w:t>
      </w:r>
      <w:proofErr w:type="spellStart"/>
      <w:r>
        <w:rPr>
          <w:rFonts w:ascii="Times New Roman" w:eastAsia="Times New Roman" w:hAnsi="Times New Roman" w:cs="Times New Roman"/>
          <w:sz w:val="24"/>
          <w:szCs w:val="24"/>
        </w:rPr>
        <w:t>Pathol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2021;110:48</w:t>
      </w:r>
      <w:proofErr w:type="gramEnd"/>
      <w:r>
        <w:rPr>
          <w:rFonts w:ascii="Times New Roman" w:eastAsia="Times New Roman" w:hAnsi="Times New Roman" w:cs="Times New Roman"/>
          <w:sz w:val="24"/>
          <w:szCs w:val="24"/>
        </w:rPr>
        <w:t>-56.</w:t>
      </w:r>
    </w:p>
    <w:p w14:paraId="000000BC" w14:textId="77777777" w:rsidR="00470772" w:rsidRDefault="00470772">
      <w:pPr>
        <w:spacing w:line="360" w:lineRule="auto"/>
        <w:jc w:val="both"/>
        <w:rPr>
          <w:rFonts w:ascii="Times New Roman" w:eastAsia="Times New Roman" w:hAnsi="Times New Roman" w:cs="Times New Roman"/>
          <w:sz w:val="24"/>
          <w:szCs w:val="24"/>
        </w:rPr>
      </w:pPr>
    </w:p>
    <w:p w14:paraId="000000BD"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Kim SY et al. MRI features of sex cord stromal tumors: correlation with histopathology.</w:t>
      </w:r>
      <w:r>
        <w:rPr>
          <w:rFonts w:ascii="Times New Roman" w:eastAsia="Times New Roman" w:hAnsi="Times New Roman" w:cs="Times New Roman"/>
          <w:sz w:val="24"/>
          <w:szCs w:val="24"/>
        </w:rPr>
        <w:t xml:space="preserve"> Clin </w:t>
      </w:r>
      <w:proofErr w:type="spellStart"/>
      <w:r>
        <w:rPr>
          <w:rFonts w:ascii="Times New Roman" w:eastAsia="Times New Roman" w:hAnsi="Times New Roman" w:cs="Times New Roman"/>
          <w:sz w:val="24"/>
          <w:szCs w:val="24"/>
        </w:rPr>
        <w:t>Radiol</w:t>
      </w:r>
      <w:proofErr w:type="spellEnd"/>
      <w:r>
        <w:rPr>
          <w:rFonts w:ascii="Times New Roman" w:eastAsia="Times New Roman" w:hAnsi="Times New Roman" w:cs="Times New Roman"/>
          <w:sz w:val="24"/>
          <w:szCs w:val="24"/>
        </w:rPr>
        <w:t>. 2021;76(9):702-710.</w:t>
      </w:r>
    </w:p>
    <w:p w14:paraId="000000BE" w14:textId="77777777" w:rsidR="00470772" w:rsidRDefault="00470772">
      <w:pPr>
        <w:spacing w:line="360" w:lineRule="auto"/>
        <w:jc w:val="both"/>
        <w:rPr>
          <w:rFonts w:ascii="Times New Roman" w:eastAsia="Times New Roman" w:hAnsi="Times New Roman" w:cs="Times New Roman"/>
          <w:sz w:val="24"/>
          <w:szCs w:val="24"/>
        </w:rPr>
      </w:pPr>
    </w:p>
    <w:p w14:paraId="000000BF"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w:t>
      </w:r>
      <w:proofErr w:type="spellStart"/>
      <w:r>
        <w:rPr>
          <w:rFonts w:ascii="Times New Roman" w:eastAsia="Times New Roman" w:hAnsi="Times New Roman" w:cs="Times New Roman"/>
          <w:sz w:val="24"/>
          <w:szCs w:val="24"/>
        </w:rPr>
        <w:t>Sethi</w:t>
      </w:r>
      <w:proofErr w:type="spellEnd"/>
      <w:r>
        <w:rPr>
          <w:rFonts w:ascii="Times New Roman" w:eastAsia="Times New Roman" w:hAnsi="Times New Roman" w:cs="Times New Roman"/>
          <w:sz w:val="24"/>
          <w:szCs w:val="24"/>
        </w:rPr>
        <w:t xml:space="preserve"> N et al. Role of chemotherapy in malignant ovarian stromal tumors. J </w:t>
      </w:r>
      <w:proofErr w:type="spellStart"/>
      <w:r>
        <w:rPr>
          <w:rFonts w:ascii="Times New Roman" w:eastAsia="Times New Roman" w:hAnsi="Times New Roman" w:cs="Times New Roman"/>
          <w:sz w:val="24"/>
          <w:szCs w:val="24"/>
        </w:rPr>
        <w:t>Obstet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Gynaecol</w:t>
      </w:r>
      <w:proofErr w:type="spellEnd"/>
      <w:r>
        <w:rPr>
          <w:rFonts w:ascii="Times New Roman" w:eastAsia="Times New Roman" w:hAnsi="Times New Roman" w:cs="Times New Roman"/>
          <w:sz w:val="24"/>
          <w:szCs w:val="24"/>
        </w:rPr>
        <w:t xml:space="preserve"> India. 2018;68(4):275-280.</w:t>
      </w:r>
    </w:p>
    <w:p w14:paraId="000000C0" w14:textId="77777777" w:rsidR="00470772" w:rsidRDefault="00470772">
      <w:pPr>
        <w:spacing w:line="360" w:lineRule="auto"/>
        <w:jc w:val="both"/>
        <w:rPr>
          <w:rFonts w:ascii="Times New Roman" w:eastAsia="Times New Roman" w:hAnsi="Times New Roman" w:cs="Times New Roman"/>
          <w:sz w:val="24"/>
          <w:szCs w:val="24"/>
        </w:rPr>
      </w:pPr>
    </w:p>
    <w:p w14:paraId="000000C1"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Rivera P et al. Targeted therapy landscape in ovarian stromal neoplasms. Front Oncol. </w:t>
      </w:r>
      <w:proofErr w:type="gramStart"/>
      <w:r>
        <w:rPr>
          <w:rFonts w:ascii="Times New Roman" w:eastAsia="Times New Roman" w:hAnsi="Times New Roman" w:cs="Times New Roman"/>
          <w:sz w:val="24"/>
          <w:szCs w:val="24"/>
        </w:rPr>
        <w:t>2024;14:</w:t>
      </w:r>
      <w:r>
        <w:rPr>
          <w:rFonts w:ascii="Times New Roman" w:eastAsia="Times New Roman" w:hAnsi="Times New Roman" w:cs="Times New Roman"/>
          <w:sz w:val="24"/>
          <w:szCs w:val="24"/>
        </w:rPr>
        <w:t>1184552</w:t>
      </w:r>
      <w:proofErr w:type="gramEnd"/>
      <w:r>
        <w:rPr>
          <w:rFonts w:ascii="Times New Roman" w:eastAsia="Times New Roman" w:hAnsi="Times New Roman" w:cs="Times New Roman"/>
          <w:sz w:val="24"/>
          <w:szCs w:val="24"/>
        </w:rPr>
        <w:t>.</w:t>
      </w:r>
    </w:p>
    <w:p w14:paraId="000000C2" w14:textId="77777777" w:rsidR="00470772" w:rsidRDefault="00470772">
      <w:pPr>
        <w:spacing w:line="360" w:lineRule="auto"/>
        <w:jc w:val="both"/>
        <w:rPr>
          <w:rFonts w:ascii="Times New Roman" w:eastAsia="Times New Roman" w:hAnsi="Times New Roman" w:cs="Times New Roman"/>
          <w:sz w:val="24"/>
          <w:szCs w:val="24"/>
        </w:rPr>
      </w:pPr>
    </w:p>
    <w:p w14:paraId="000000C3" w14:textId="77777777" w:rsidR="00470772" w:rsidRDefault="00470772">
      <w:pPr>
        <w:spacing w:line="360" w:lineRule="auto"/>
        <w:jc w:val="both"/>
        <w:rPr>
          <w:rFonts w:ascii="Times New Roman" w:eastAsia="Times New Roman" w:hAnsi="Times New Roman" w:cs="Times New Roman"/>
          <w:sz w:val="24"/>
          <w:szCs w:val="24"/>
        </w:rPr>
      </w:pPr>
    </w:p>
    <w:p w14:paraId="000000C4"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Das S et al. Late recurrence of adult granulosa cell tumor: analysis of 20 cases. </w:t>
      </w:r>
      <w:proofErr w:type="spellStart"/>
      <w:r>
        <w:rPr>
          <w:rFonts w:ascii="Times New Roman" w:eastAsia="Times New Roman" w:hAnsi="Times New Roman" w:cs="Times New Roman"/>
          <w:sz w:val="24"/>
          <w:szCs w:val="24"/>
        </w:rPr>
        <w:t>Gynecol</w:t>
      </w:r>
      <w:proofErr w:type="spellEnd"/>
      <w:r>
        <w:rPr>
          <w:rFonts w:ascii="Times New Roman" w:eastAsia="Times New Roman" w:hAnsi="Times New Roman" w:cs="Times New Roman"/>
          <w:sz w:val="24"/>
          <w:szCs w:val="24"/>
        </w:rPr>
        <w:t xml:space="preserve"> Oncol. 2019;152(3):591-597.</w:t>
      </w:r>
    </w:p>
    <w:p w14:paraId="000000C5" w14:textId="77777777" w:rsidR="00470772" w:rsidRDefault="00470772">
      <w:pPr>
        <w:spacing w:line="360" w:lineRule="auto"/>
        <w:jc w:val="both"/>
        <w:rPr>
          <w:rFonts w:ascii="Times New Roman" w:eastAsia="Times New Roman" w:hAnsi="Times New Roman" w:cs="Times New Roman"/>
          <w:sz w:val="24"/>
          <w:szCs w:val="24"/>
        </w:rPr>
      </w:pPr>
    </w:p>
    <w:p w14:paraId="000000C6" w14:textId="77777777" w:rsidR="00470772" w:rsidRDefault="00A6606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Jamison JJ et al. Prognostic markers in granulosa cell tumors. Am J Clin </w:t>
      </w:r>
      <w:proofErr w:type="spellStart"/>
      <w:r>
        <w:rPr>
          <w:rFonts w:ascii="Times New Roman" w:eastAsia="Times New Roman" w:hAnsi="Times New Roman" w:cs="Times New Roman"/>
          <w:sz w:val="24"/>
          <w:szCs w:val="24"/>
        </w:rPr>
        <w:t>Pathol</w:t>
      </w:r>
      <w:proofErr w:type="spellEnd"/>
      <w:r>
        <w:rPr>
          <w:rFonts w:ascii="Times New Roman" w:eastAsia="Times New Roman" w:hAnsi="Times New Roman" w:cs="Times New Roman"/>
          <w:sz w:val="24"/>
          <w:szCs w:val="24"/>
        </w:rPr>
        <w:t>. 2020;154(1):120-129.</w:t>
      </w:r>
    </w:p>
    <w:p w14:paraId="000000C7" w14:textId="77777777" w:rsidR="00470772" w:rsidRDefault="00A6606E">
      <w:pPr>
        <w:shd w:val="clear" w:color="auto" w:fill="FFFFFF"/>
        <w:spacing w:before="280" w:after="28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19. </w:t>
      </w:r>
      <w:proofErr w:type="spellStart"/>
      <w:r>
        <w:rPr>
          <w:rFonts w:ascii="Times New Roman" w:eastAsia="Times New Roman" w:hAnsi="Times New Roman" w:cs="Times New Roman"/>
          <w:color w:val="000000"/>
          <w:sz w:val="24"/>
          <w:szCs w:val="24"/>
          <w:highlight w:val="white"/>
        </w:rPr>
        <w:t>Swarnava</w:t>
      </w:r>
      <w:proofErr w:type="spellEnd"/>
      <w:r>
        <w:rPr>
          <w:rFonts w:ascii="Times New Roman" w:eastAsia="Times New Roman" w:hAnsi="Times New Roman" w:cs="Times New Roman"/>
          <w:color w:val="000000"/>
          <w:sz w:val="24"/>
          <w:szCs w:val="24"/>
          <w:highlight w:val="white"/>
        </w:rPr>
        <w:t xml:space="preserve"> Chanda. </w:t>
      </w:r>
      <w:r>
        <w:rPr>
          <w:rFonts w:ascii="Times New Roman" w:eastAsia="Times New Roman" w:hAnsi="Times New Roman" w:cs="Times New Roman"/>
          <w:color w:val="113383"/>
          <w:sz w:val="24"/>
          <w:szCs w:val="24"/>
        </w:rPr>
        <w:t xml:space="preserve">A Giant Ovarian Sex Cord Stromal Tumor Presenting as a Massive </w:t>
      </w:r>
      <w:proofErr w:type="spellStart"/>
      <w:r>
        <w:rPr>
          <w:rFonts w:ascii="Times New Roman" w:eastAsia="Times New Roman" w:hAnsi="Times New Roman" w:cs="Times New Roman"/>
          <w:color w:val="113383"/>
          <w:sz w:val="24"/>
          <w:szCs w:val="24"/>
        </w:rPr>
        <w:t>Abdomino</w:t>
      </w:r>
      <w:proofErr w:type="spellEnd"/>
      <w:r>
        <w:rPr>
          <w:rFonts w:ascii="Times New Roman" w:eastAsia="Times New Roman" w:hAnsi="Times New Roman" w:cs="Times New Roman"/>
          <w:color w:val="113383"/>
          <w:sz w:val="24"/>
          <w:szCs w:val="24"/>
        </w:rPr>
        <w:t>-pelvic Mass: A Rare Case Report.</w:t>
      </w: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0F4C82"/>
            <w:sz w:val="24"/>
            <w:szCs w:val="24"/>
          </w:rPr>
          <w:t>International Research Journal of Oncology</w:t>
        </w:r>
      </w:hyperlink>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0F4C82"/>
            <w:sz w:val="24"/>
            <w:szCs w:val="24"/>
          </w:rPr>
          <w:t>2025 - Volume 8 [Issue 2]</w:t>
        </w:r>
      </w:hyperlink>
      <w:r>
        <w:rPr>
          <w:rFonts w:ascii="Times New Roman" w:eastAsia="Times New Roman" w:hAnsi="Times New Roman" w:cs="Times New Roman"/>
          <w:color w:val="333333"/>
          <w:sz w:val="24"/>
          <w:szCs w:val="24"/>
        </w:rPr>
        <w:t xml:space="preserve">: 200-205. </w:t>
      </w:r>
    </w:p>
    <w:p w14:paraId="000000C8" w14:textId="77777777" w:rsidR="00470772" w:rsidRDefault="00A6606E">
      <w:pPr>
        <w:shd w:val="clear" w:color="auto" w:fill="FFFFFF"/>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333333"/>
          <w:sz w:val="24"/>
          <w:szCs w:val="24"/>
        </w:rPr>
        <w:t xml:space="preserve">20. </w:t>
      </w:r>
      <w:hyperlink r:id="rId20">
        <w:r>
          <w:rPr>
            <w:rFonts w:ascii="Times New Roman" w:eastAsia="Times New Roman" w:hAnsi="Times New Roman" w:cs="Times New Roman"/>
            <w:color w:val="1A4480"/>
            <w:sz w:val="24"/>
            <w:szCs w:val="24"/>
            <w:highlight w:val="white"/>
          </w:rPr>
          <w:t>Kris Ann P Schultz</w:t>
        </w:r>
      </w:hyperlink>
      <w:r>
        <w:rPr>
          <w:rFonts w:ascii="Times New Roman" w:eastAsia="Times New Roman" w:hAnsi="Times New Roman" w:cs="Times New Roman"/>
          <w:color w:val="1B1B1B"/>
          <w:sz w:val="24"/>
          <w:szCs w:val="24"/>
          <w:highlight w:val="white"/>
        </w:rPr>
        <w:t xml:space="preserve"> et al. </w:t>
      </w:r>
      <w:r>
        <w:rPr>
          <w:rFonts w:ascii="Times New Roman" w:eastAsia="Times New Roman" w:hAnsi="Times New Roman" w:cs="Times New Roman"/>
          <w:color w:val="1B1B1B"/>
          <w:sz w:val="24"/>
          <w:szCs w:val="24"/>
        </w:rPr>
        <w:t xml:space="preserve">Ovarian Sex Cord-Stromal Tumors. J Oncol </w:t>
      </w:r>
      <w:proofErr w:type="spellStart"/>
      <w:r>
        <w:rPr>
          <w:rFonts w:ascii="Times New Roman" w:eastAsia="Times New Roman" w:hAnsi="Times New Roman" w:cs="Times New Roman"/>
          <w:color w:val="1B1B1B"/>
          <w:sz w:val="24"/>
          <w:szCs w:val="24"/>
        </w:rPr>
        <w:t>Pract</w:t>
      </w:r>
      <w:proofErr w:type="spellEnd"/>
      <w:r>
        <w:rPr>
          <w:rFonts w:ascii="Times New Roman" w:eastAsia="Times New Roman" w:hAnsi="Times New Roman" w:cs="Times New Roman"/>
          <w:color w:val="1B1B1B"/>
          <w:sz w:val="24"/>
          <w:szCs w:val="24"/>
          <w:highlight w:val="white"/>
        </w:rPr>
        <w:t xml:space="preserve">. 2016 </w:t>
      </w:r>
      <w:r>
        <w:rPr>
          <w:rFonts w:ascii="Times New Roman" w:eastAsia="Times New Roman" w:hAnsi="Times New Roman" w:cs="Times New Roman"/>
          <w:color w:val="000000"/>
          <w:sz w:val="24"/>
          <w:szCs w:val="24"/>
          <w:highlight w:val="white"/>
        </w:rPr>
        <w:t>Oct;12(10):940–946.</w:t>
      </w:r>
    </w:p>
    <w:p w14:paraId="000000C9" w14:textId="77777777" w:rsidR="00470772" w:rsidRDefault="00A6606E">
      <w:pPr>
        <w:pStyle w:val="Heading2"/>
        <w:spacing w:after="0" w:line="360" w:lineRule="auto"/>
        <w:jc w:val="both"/>
        <w:rPr>
          <w:b w:val="0"/>
          <w:bCs w:val="0"/>
          <w:color w:val="000000"/>
          <w:sz w:val="24"/>
          <w:szCs w:val="24"/>
        </w:rPr>
      </w:pPr>
      <w:r>
        <w:rPr>
          <w:b w:val="0"/>
          <w:bCs w:val="0"/>
          <w:color w:val="000000"/>
          <w:sz w:val="24"/>
          <w:szCs w:val="24"/>
          <w:highlight w:val="white"/>
        </w:rPr>
        <w:t xml:space="preserve">21. </w:t>
      </w:r>
      <w:proofErr w:type="spellStart"/>
      <w:r>
        <w:rPr>
          <w:b w:val="0"/>
          <w:bCs w:val="0"/>
          <w:color w:val="000000"/>
          <w:sz w:val="24"/>
          <w:szCs w:val="24"/>
        </w:rPr>
        <w:t>Soukayna</w:t>
      </w:r>
      <w:proofErr w:type="spellEnd"/>
      <w:r>
        <w:rPr>
          <w:b w:val="0"/>
          <w:bCs w:val="0"/>
          <w:color w:val="000000"/>
          <w:sz w:val="24"/>
          <w:szCs w:val="24"/>
        </w:rPr>
        <w:t> </w:t>
      </w:r>
      <w:proofErr w:type="spellStart"/>
      <w:r>
        <w:rPr>
          <w:b w:val="0"/>
          <w:bCs w:val="0"/>
          <w:color w:val="000000"/>
          <w:sz w:val="24"/>
          <w:szCs w:val="24"/>
        </w:rPr>
        <w:t>Bourabaa</w:t>
      </w:r>
      <w:proofErr w:type="spellEnd"/>
      <w:r>
        <w:rPr>
          <w:b w:val="0"/>
          <w:bCs w:val="0"/>
          <w:color w:val="000000"/>
          <w:sz w:val="24"/>
          <w:szCs w:val="24"/>
        </w:rPr>
        <w:t xml:space="preserve"> et al. Ovarian sex cord-stromal tumor: A case report and review of literature. </w:t>
      </w:r>
      <w:hyperlink r:id="rId21">
        <w:r>
          <w:rPr>
            <w:b w:val="0"/>
            <w:bCs w:val="0"/>
            <w:color w:val="000000"/>
            <w:sz w:val="24"/>
            <w:szCs w:val="24"/>
          </w:rPr>
          <w:t>Surgery Case Reports</w:t>
        </w:r>
      </w:hyperlink>
      <w:r>
        <w:rPr>
          <w:b w:val="0"/>
          <w:bCs w:val="0"/>
          <w:color w:val="000000"/>
          <w:sz w:val="24"/>
          <w:szCs w:val="24"/>
        </w:rPr>
        <w:t xml:space="preserve">. </w:t>
      </w:r>
      <w:hyperlink r:id="rId22">
        <w:r>
          <w:rPr>
            <w:b w:val="0"/>
            <w:bCs w:val="0"/>
            <w:color w:val="000000"/>
            <w:sz w:val="24"/>
            <w:szCs w:val="24"/>
          </w:rPr>
          <w:t>Volume 5</w:t>
        </w:r>
      </w:hyperlink>
      <w:r>
        <w:rPr>
          <w:b w:val="0"/>
          <w:bCs w:val="0"/>
          <w:color w:val="000000"/>
          <w:sz w:val="24"/>
          <w:szCs w:val="24"/>
        </w:rPr>
        <w:t>, July 2025, 100107</w:t>
      </w:r>
    </w:p>
    <w:p w14:paraId="000000CA" w14:textId="77777777" w:rsidR="00470772" w:rsidRDefault="00A6606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J. Li, J. Li, W. Jiang. Oncological prognosis and fertility outcomes of different surgical extents for malignant ovarian sex-cord stromal tumors: a narrative review. C</w:t>
      </w:r>
      <w:r>
        <w:rPr>
          <w:rFonts w:ascii="Times New Roman" w:eastAsia="Times New Roman" w:hAnsi="Times New Roman" w:cs="Times New Roman"/>
          <w:color w:val="000000"/>
          <w:sz w:val="24"/>
          <w:szCs w:val="24"/>
        </w:rPr>
        <w:t xml:space="preserve">ancer </w:t>
      </w:r>
      <w:proofErr w:type="spellStart"/>
      <w:r>
        <w:rPr>
          <w:rFonts w:ascii="Times New Roman" w:eastAsia="Times New Roman" w:hAnsi="Times New Roman" w:cs="Times New Roman"/>
          <w:color w:val="000000"/>
          <w:sz w:val="24"/>
          <w:szCs w:val="24"/>
        </w:rPr>
        <w:t>Manag</w:t>
      </w:r>
      <w:proofErr w:type="spellEnd"/>
      <w:r>
        <w:rPr>
          <w:rFonts w:ascii="Times New Roman" w:eastAsia="Times New Roman" w:hAnsi="Times New Roman" w:cs="Times New Roman"/>
          <w:color w:val="000000"/>
          <w:sz w:val="24"/>
          <w:szCs w:val="24"/>
        </w:rPr>
        <w:t xml:space="preserve"> Res, 14 (2022), pp. 697-717, </w:t>
      </w:r>
      <w:hyperlink r:id="rId23">
        <w:r>
          <w:rPr>
            <w:rFonts w:ascii="Times New Roman" w:eastAsia="Times New Roman" w:hAnsi="Times New Roman" w:cs="Times New Roman"/>
            <w:color w:val="000000"/>
            <w:sz w:val="24"/>
            <w:szCs w:val="24"/>
          </w:rPr>
          <w:t>10.2147/CMAR.S350457</w:t>
        </w:r>
      </w:hyperlink>
      <w:r>
        <w:rPr>
          <w:rFonts w:ascii="Times New Roman" w:eastAsia="Times New Roman" w:hAnsi="Times New Roman" w:cs="Times New Roman"/>
          <w:color w:val="000000"/>
          <w:sz w:val="24"/>
          <w:szCs w:val="24"/>
        </w:rPr>
        <w:t>.</w:t>
      </w:r>
    </w:p>
    <w:p w14:paraId="000000CB" w14:textId="77777777" w:rsidR="00470772" w:rsidRDefault="00470772">
      <w:pPr>
        <w:jc w:val="both"/>
        <w:rPr>
          <w:rFonts w:ascii="Times New Roman" w:eastAsia="Times New Roman" w:hAnsi="Times New Roman" w:cs="Times New Roman"/>
          <w:color w:val="000000"/>
          <w:sz w:val="24"/>
          <w:szCs w:val="24"/>
        </w:rPr>
      </w:pPr>
    </w:p>
    <w:p w14:paraId="000000CC" w14:textId="77777777" w:rsidR="00470772" w:rsidRDefault="00470772">
      <w:pPr>
        <w:pStyle w:val="Heading2"/>
        <w:spacing w:after="0" w:line="360" w:lineRule="auto"/>
        <w:jc w:val="both"/>
        <w:rPr>
          <w:b w:val="0"/>
          <w:bCs w:val="0"/>
          <w:color w:val="000000"/>
          <w:sz w:val="24"/>
          <w:szCs w:val="24"/>
        </w:rPr>
      </w:pPr>
    </w:p>
    <w:p w14:paraId="000000CD" w14:textId="77777777" w:rsidR="00470772" w:rsidRDefault="00470772">
      <w:pPr>
        <w:pStyle w:val="Heading1"/>
        <w:spacing w:before="0"/>
        <w:rPr>
          <w:color w:val="1F1F1F"/>
        </w:rPr>
      </w:pPr>
    </w:p>
    <w:p w14:paraId="000000CE" w14:textId="77777777" w:rsidR="00470772" w:rsidRDefault="00470772">
      <w:pPr>
        <w:shd w:val="clear" w:color="auto" w:fill="FFFFFF"/>
        <w:jc w:val="both"/>
        <w:rPr>
          <w:rFonts w:ascii="Times New Roman" w:eastAsia="Times New Roman" w:hAnsi="Times New Roman" w:cs="Times New Roman"/>
          <w:color w:val="1B1B1B"/>
          <w:sz w:val="24"/>
          <w:szCs w:val="24"/>
          <w:highlight w:val="white"/>
        </w:rPr>
      </w:pPr>
    </w:p>
    <w:p w14:paraId="000000CF" w14:textId="77777777" w:rsidR="00470772" w:rsidRDefault="00470772">
      <w:pPr>
        <w:shd w:val="clear" w:color="auto" w:fill="FFFFFF"/>
        <w:jc w:val="both"/>
        <w:rPr>
          <w:rFonts w:ascii="Times New Roman" w:eastAsia="Times New Roman" w:hAnsi="Times New Roman" w:cs="Times New Roman"/>
          <w:color w:val="1B1B1B"/>
          <w:sz w:val="24"/>
          <w:szCs w:val="24"/>
        </w:rPr>
      </w:pPr>
    </w:p>
    <w:p w14:paraId="000000D0" w14:textId="77777777" w:rsidR="00470772" w:rsidRDefault="00470772">
      <w:pPr>
        <w:shd w:val="clear" w:color="auto" w:fill="FFFFFF"/>
        <w:spacing w:before="280" w:after="280" w:line="360" w:lineRule="auto"/>
        <w:jc w:val="both"/>
        <w:rPr>
          <w:rFonts w:ascii="Times New Roman" w:eastAsia="Times New Roman" w:hAnsi="Times New Roman" w:cs="Times New Roman"/>
          <w:color w:val="333333"/>
          <w:sz w:val="24"/>
          <w:szCs w:val="24"/>
        </w:rPr>
      </w:pPr>
    </w:p>
    <w:p w14:paraId="000000D1" w14:textId="77777777" w:rsidR="00470772" w:rsidRDefault="00470772">
      <w:pPr>
        <w:pStyle w:val="Heading1"/>
        <w:shd w:val="clear" w:color="auto" w:fill="FFFFFF"/>
        <w:spacing w:before="0"/>
        <w:rPr>
          <w:rFonts w:ascii="Arial" w:eastAsia="Arial" w:hAnsi="Arial" w:cs="Arial"/>
        </w:rPr>
      </w:pPr>
    </w:p>
    <w:p w14:paraId="000000D2" w14:textId="77777777" w:rsidR="00470772" w:rsidRDefault="00470772">
      <w:pPr>
        <w:pStyle w:val="Heading2"/>
        <w:shd w:val="clear" w:color="auto" w:fill="FFFFFF"/>
        <w:spacing w:after="225"/>
        <w:rPr>
          <w:rFonts w:ascii="Arial" w:eastAsia="Arial" w:hAnsi="Arial" w:cs="Arial"/>
          <w:color w:val="113383"/>
        </w:rPr>
      </w:pPr>
    </w:p>
    <w:p w14:paraId="000000D3" w14:textId="77777777" w:rsidR="00470772" w:rsidRDefault="00470772">
      <w:pPr>
        <w:spacing w:line="360" w:lineRule="auto"/>
        <w:jc w:val="both"/>
        <w:rPr>
          <w:rFonts w:ascii="Times New Roman" w:eastAsia="Times New Roman" w:hAnsi="Times New Roman" w:cs="Times New Roman"/>
          <w:sz w:val="24"/>
          <w:szCs w:val="24"/>
        </w:rPr>
      </w:pPr>
    </w:p>
    <w:sectPr w:rsidR="0047077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69C4B" w14:textId="77777777" w:rsidR="00A6606E" w:rsidRDefault="00A6606E" w:rsidP="001C3790">
      <w:pPr>
        <w:spacing w:after="0" w:line="240" w:lineRule="auto"/>
      </w:pPr>
      <w:r>
        <w:separator/>
      </w:r>
    </w:p>
  </w:endnote>
  <w:endnote w:type="continuationSeparator" w:id="0">
    <w:p w14:paraId="47D5DACC" w14:textId="77777777" w:rsidR="00A6606E" w:rsidRDefault="00A6606E" w:rsidP="001C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C89CC1D-8D76-46F1-9F1A-59296A3F9858}"/>
    <w:embedBold r:id="rId2" w:fontKey="{C31194A6-E659-4866-AFB0-F560AA8945E3}"/>
  </w:font>
  <w:font w:name="Cambria">
    <w:panose1 w:val="02040503050406030204"/>
    <w:charset w:val="00"/>
    <w:family w:val="roman"/>
    <w:pitch w:val="variable"/>
    <w:sig w:usb0="E00006FF" w:usb1="420024FF" w:usb2="02000000" w:usb3="00000000" w:csb0="0000019F" w:csb1="00000000"/>
    <w:embedRegular r:id="rId3" w:fontKey="{6C47D0D4-5798-415E-9C86-6D258B7AA7CA}"/>
    <w:embedBold r:id="rId4" w:fontKey="{E00C65B5-736F-4CE5-A778-B97B78BA3B2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396D600-D363-4331-A663-5F3038AC9A0B}"/>
    <w:embedItalic r:id="rId6" w:fontKey="{C60EDAA7-BF0E-40B8-907D-2C57C3A0AD96}"/>
  </w:font>
  <w:font w:name="Gungsuh">
    <w:charset w:val="81"/>
    <w:family w:val="roman"/>
    <w:pitch w:val="variable"/>
    <w:sig w:usb0="B00002AF" w:usb1="69D77CFB" w:usb2="00000030" w:usb3="00000000" w:csb0="0008009F" w:csb1="00000000"/>
    <w:embedRegular r:id="rId7" w:fontKey="{47C89532-B1E4-4681-973E-2F072954DB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AD17" w14:textId="77777777" w:rsidR="001C3790" w:rsidRDefault="001C3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B7E83" w14:textId="77777777" w:rsidR="001C3790" w:rsidRDefault="001C3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D0B0" w14:textId="77777777" w:rsidR="001C3790" w:rsidRDefault="001C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8F0A6" w14:textId="77777777" w:rsidR="00A6606E" w:rsidRDefault="00A6606E" w:rsidP="001C3790">
      <w:pPr>
        <w:spacing w:after="0" w:line="240" w:lineRule="auto"/>
      </w:pPr>
      <w:r>
        <w:separator/>
      </w:r>
    </w:p>
  </w:footnote>
  <w:footnote w:type="continuationSeparator" w:id="0">
    <w:p w14:paraId="0CCB188A" w14:textId="77777777" w:rsidR="00A6606E" w:rsidRDefault="00A6606E" w:rsidP="001C3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585D4" w14:textId="538D7643" w:rsidR="001C3790" w:rsidRDefault="001C3790">
    <w:pPr>
      <w:pStyle w:val="Header"/>
    </w:pPr>
    <w:r>
      <w:rPr>
        <w:noProof/>
      </w:rPr>
      <w:pict w14:anchorId="37F52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86E7" w14:textId="2AF30A88" w:rsidR="001C3790" w:rsidRDefault="001C3790">
    <w:pPr>
      <w:pStyle w:val="Header"/>
    </w:pPr>
    <w:r>
      <w:rPr>
        <w:noProof/>
      </w:rPr>
      <w:pict w14:anchorId="2EE53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8A939" w14:textId="1B929A5D" w:rsidR="001C3790" w:rsidRDefault="001C3790">
    <w:pPr>
      <w:pStyle w:val="Header"/>
    </w:pPr>
    <w:r>
      <w:rPr>
        <w:noProof/>
      </w:rPr>
      <w:pict w14:anchorId="157DF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63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D0F79"/>
    <w:multiLevelType w:val="multilevel"/>
    <w:tmpl w:val="6DEEE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AA1981"/>
    <w:multiLevelType w:val="multilevel"/>
    <w:tmpl w:val="39A4C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772"/>
    <w:rsid w:val="001C3790"/>
    <w:rsid w:val="00470772"/>
    <w:rsid w:val="00A30AB1"/>
    <w:rsid w:val="00A6606E"/>
    <w:rsid w:val="00D96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910337"/>
  <w15:docId w15:val="{78DE82A3-BB13-458C-9198-4127D2A5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A30AB1"/>
    <w:rPr>
      <w:color w:val="0000FF" w:themeColor="hyperlink"/>
      <w:u w:val="single"/>
    </w:rPr>
  </w:style>
  <w:style w:type="character" w:styleId="UnresolvedMention">
    <w:name w:val="Unresolved Mention"/>
    <w:basedOn w:val="DefaultParagraphFont"/>
    <w:uiPriority w:val="99"/>
    <w:semiHidden/>
    <w:unhideWhenUsed/>
    <w:rsid w:val="00A30AB1"/>
    <w:rPr>
      <w:color w:val="605E5C"/>
      <w:shd w:val="clear" w:color="auto" w:fill="E1DFDD"/>
    </w:rPr>
  </w:style>
  <w:style w:type="paragraph" w:styleId="Header">
    <w:name w:val="header"/>
    <w:basedOn w:val="Normal"/>
    <w:link w:val="HeaderChar"/>
    <w:uiPriority w:val="99"/>
    <w:unhideWhenUsed/>
    <w:rsid w:val="001C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790"/>
  </w:style>
  <w:style w:type="paragraph" w:styleId="Footer">
    <w:name w:val="footer"/>
    <w:basedOn w:val="Normal"/>
    <w:link w:val="FooterChar"/>
    <w:uiPriority w:val="99"/>
    <w:unhideWhenUsed/>
    <w:rsid w:val="001C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sex-cord-gonadal-stromal-tumour" TargetMode="External"/><Relationship Id="rId13" Type="http://schemas.openxmlformats.org/officeDocument/2006/relationships/hyperlink" Target="https://www.sciencedirect.com/topics/medicine-and-dentistry/preoperative-evaluation" TargetMode="External"/><Relationship Id="rId18" Type="http://schemas.openxmlformats.org/officeDocument/2006/relationships/hyperlink" Target="https://journalirjo.com/index.php/IRJO/inde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sciencedirect.com/journal/surgery-case-reports" TargetMode="External"/><Relationship Id="rId7" Type="http://schemas.openxmlformats.org/officeDocument/2006/relationships/hyperlink" Target="https://www.sciencedirect.com/topics/medicine-and-dentistry/ovarian-tumor" TargetMode="External"/><Relationship Id="rId12" Type="http://schemas.openxmlformats.org/officeDocument/2006/relationships/hyperlink" Target="https://www.sciencedirect.com/topics/medicine-and-dentistry/cystectomy" TargetMode="External"/><Relationship Id="rId17" Type="http://schemas.openxmlformats.org/officeDocument/2006/relationships/hyperlink" Target="https://www.sciencedirect.com/topics/medicine-and-dentistry/targeted-therapy"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sciencedirect.com/topics/medicine-and-dentistry/desmoplastic-fibroma" TargetMode="External"/><Relationship Id="rId20" Type="http://schemas.openxmlformats.org/officeDocument/2006/relationships/hyperlink" Target="https://pubmed.ncbi.nlm.nih.gov/?term=%22Schultz%20KAP%22%5BAuthor%5D"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medicine-and-dentistry/krukenberg-tumo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ciencedirect.com/topics/medicine-and-dentistry/thecoma" TargetMode="External"/><Relationship Id="rId23" Type="http://schemas.openxmlformats.org/officeDocument/2006/relationships/hyperlink" Target="https://doi.org/10.2147/CMAR.S350457" TargetMode="External"/><Relationship Id="rId28" Type="http://schemas.openxmlformats.org/officeDocument/2006/relationships/header" Target="header3.xml"/><Relationship Id="rId10" Type="http://schemas.openxmlformats.org/officeDocument/2006/relationships/hyperlink" Target="https://www.sciencedirect.com/topics/medicine-and-dentistry/granulosa-cell-tumour" TargetMode="External"/><Relationship Id="rId19" Type="http://schemas.openxmlformats.org/officeDocument/2006/relationships/hyperlink" Target="https://journalirjo.com/index.php/IRJO/issue/view/2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direct.com/topics/medicine-and-dentistry/stromal-tumor" TargetMode="External"/><Relationship Id="rId14" Type="http://schemas.openxmlformats.org/officeDocument/2006/relationships/hyperlink" Target="https://www.sciencedirect.com/topics/medicine-and-dentistry/laparoscopic-surgery" TargetMode="External"/><Relationship Id="rId22" Type="http://schemas.openxmlformats.org/officeDocument/2006/relationships/hyperlink" Target="https://www.sciencedirect.com/journal/surgery-case-reports/vol/5/suppl/C"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3666</Words>
  <Characters>20900</Characters>
  <Application>Microsoft Office Word</Application>
  <DocSecurity>0</DocSecurity>
  <Lines>174</Lines>
  <Paragraphs>49</Paragraphs>
  <ScaleCrop>false</ScaleCrop>
  <Company/>
  <LinksUpToDate>false</LinksUpToDate>
  <CharactersWithSpaces>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2025-11-19T11:01:00Z</dcterms:created>
  <dcterms:modified xsi:type="dcterms:W3CDTF">2025-11-20T06:42:00Z</dcterms:modified>
</cp:coreProperties>
</file>