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96BC2" w14:textId="3BFBA224" w:rsidR="00754C9A" w:rsidRDefault="008C6841" w:rsidP="00441B6F">
      <w:pPr>
        <w:pStyle w:val="Title"/>
        <w:spacing w:after="0"/>
        <w:jc w:val="both"/>
        <w:rPr>
          <w:rFonts w:ascii="Arial" w:hAnsi="Arial" w:cs="Arial"/>
        </w:rPr>
      </w:pPr>
      <w:r w:rsidRPr="008C6841">
        <w:rPr>
          <w:rFonts w:ascii="Arial" w:hAnsi="Arial" w:cs="Arial"/>
        </w:rPr>
        <w:t>Case report</w:t>
      </w:r>
    </w:p>
    <w:p w14:paraId="35DF5D18" w14:textId="77777777" w:rsidR="008C6841" w:rsidRDefault="008C6841" w:rsidP="00441B6F">
      <w:pPr>
        <w:pStyle w:val="Title"/>
        <w:spacing w:after="0"/>
        <w:jc w:val="both"/>
        <w:rPr>
          <w:rFonts w:ascii="Arial" w:hAnsi="Arial" w:cs="Arial"/>
        </w:rPr>
      </w:pPr>
    </w:p>
    <w:p w14:paraId="28C7E312" w14:textId="52DFDAE6" w:rsidR="00163BC4" w:rsidRPr="00163BC4" w:rsidRDefault="00BA79AC" w:rsidP="00441B6F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</w:rPr>
      </w:pPr>
      <w:r>
        <w:rPr>
          <w:rFonts w:ascii="Arial" w:hAnsi="Arial" w:cs="Arial"/>
          <w:bCs/>
          <w:iCs/>
          <w:kern w:val="28"/>
          <w:sz w:val="36"/>
        </w:rPr>
        <w:t>Atypical Neurological Presentation of Eosinophilic Granulomatosis with Polyangiitis: Concurrent Quadriparesis and Seizures as Initial Manifestations</w:t>
      </w:r>
      <w:r w:rsidR="00231920">
        <w:rPr>
          <w:rFonts w:ascii="Arial" w:hAnsi="Arial" w:cs="Arial"/>
          <w:bCs/>
          <w:iCs/>
          <w:kern w:val="28"/>
          <w:sz w:val="36"/>
        </w:rPr>
        <w:t xml:space="preserve"> </w:t>
      </w:r>
    </w:p>
    <w:p w14:paraId="175EEB1B" w14:textId="77777777" w:rsidR="00A258C3" w:rsidRPr="00790ADA" w:rsidRDefault="00A258C3" w:rsidP="00441B6F">
      <w:pPr>
        <w:pStyle w:val="Author"/>
        <w:spacing w:line="240" w:lineRule="auto"/>
        <w:jc w:val="both"/>
        <w:rPr>
          <w:rFonts w:ascii="Arial" w:hAnsi="Arial" w:cs="Arial"/>
          <w:sz w:val="36"/>
        </w:rPr>
      </w:pPr>
    </w:p>
    <w:p w14:paraId="4A94AB44" w14:textId="77777777" w:rsidR="00B829D0" w:rsidRDefault="00B829D0" w:rsidP="00A11243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506F8847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61CBE5EE" w14:textId="2CF99D04" w:rsidR="00B01FCD" w:rsidRPr="00FB3A86" w:rsidRDefault="006535DD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3235A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0B0DED2" wp14:editId="65C40B7D">
                <wp:extent cx="5303520" cy="635"/>
                <wp:effectExtent l="9525" t="15240" r="11430" b="13335"/>
                <wp:docPr id="7238409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4C35A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" strokeweight="1.5pt"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6640C901" w14:textId="6B5556A5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  <w:r w:rsidR="0066510A">
        <w:rPr>
          <w:rFonts w:ascii="Arial" w:hAnsi="Arial" w:cs="Arial"/>
        </w:rPr>
        <w:t xml:space="preserve"> </w:t>
      </w:r>
    </w:p>
    <w:p w14:paraId="5E6C1AA1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576"/>
      </w:tblGrid>
      <w:tr w:rsidR="00296529" w:rsidRPr="001E44FE" w14:paraId="58197B10" w14:textId="77777777" w:rsidTr="001E44FE">
        <w:tc>
          <w:tcPr>
            <w:tcW w:w="9576" w:type="dxa"/>
            <w:shd w:val="clear" w:color="auto" w:fill="F2F2F2"/>
          </w:tcPr>
          <w:p w14:paraId="0F035867" w14:textId="77777777" w:rsid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Background:</w:t>
            </w:r>
          </w:p>
          <w:p w14:paraId="784E8B2C" w14:textId="5640CCF3" w:rsidR="00797F42" w:rsidRP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szCs w:val="22"/>
                <w:lang w:val="en-IN"/>
              </w:rPr>
              <w:t>Eosinophilic granulomatosis with polyangiitis (EGPA) is a small to medium-vessel vasculitis characterized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by asthma, hyper eosinophilia, and multisystem involvement. Neurological disease most frequently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manifests as mononeuritis multiplex, whereas symmetric polyradiculopathy and central nervous system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 xml:space="preserve">(CNS) vasculitis are distinctly uncommon. </w:t>
            </w:r>
          </w:p>
          <w:p w14:paraId="3C857B41" w14:textId="58E6702F" w:rsidR="00797F42" w:rsidRP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Case Presentation:</w:t>
            </w:r>
          </w:p>
          <w:p w14:paraId="1E384714" w14:textId="77777777" w:rsid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szCs w:val="22"/>
                <w:lang w:val="en-IN"/>
              </w:rPr>
              <w:t>We report a 40-year-old woman with long-standing asthma who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presented with a rapidly progressive ascending quadriparesis, glove-and-stocking sensory loss and vasculitic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rash, she subsequently experienced focal seizures that evolved into refractory status epilepticus.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Investigations revealed marked eosinophilia, axonal sensorimotor polyradiculopathy on nerve conduction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studies, and a skin biopsy demonstrating eosinophilic vasculitis. Cytogenetic analyses excluded clonal hyper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eosinophilic syndromes. MRI of the brain revealed multifocal acute infarcts consistent with CNS vasculitis.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ANCA testing was negative. The constellation of asthma, hyper eosinophilia, neuropathy, extravascular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eosinophilic inflammation, and multisystem involvement fulfilled ACR/EULAR classification criteria for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EGPA. Despite initiation of high-dose corticosteroids and cyclophosphamide, she developed aspiration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pneumonia during prolonged seizures and mechanical ventilation and ultimately died from intractable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 xml:space="preserve">status epilepticus. </w:t>
            </w:r>
          </w:p>
          <w:p w14:paraId="17DE2B28" w14:textId="77777777" w:rsid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Conclusion:</w:t>
            </w:r>
          </w:p>
          <w:p w14:paraId="679B9E6C" w14:textId="65E185FD" w:rsidR="00505F06" w:rsidRP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szCs w:val="22"/>
                <w:lang w:val="en-IN"/>
              </w:rPr>
              <w:t>This case exemplifies an under-recognized neurological spectrum of EGPA, where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simultaneous peripheral and central nervous system involvement results in rapid clinical deterioration and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fatal outcome. Early recognition of this aggressive variant is crucial to improving therapeutic opportunities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and preventing catastrophic progression.</w:t>
            </w:r>
          </w:p>
        </w:tc>
      </w:tr>
    </w:tbl>
    <w:p w14:paraId="6492E8E1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59DFA48D" w14:textId="5DCC3032" w:rsidR="0024282C" w:rsidRPr="008D12CA" w:rsidRDefault="00A24E7E" w:rsidP="008D12CA">
      <w:pPr>
        <w:pStyle w:val="Body"/>
        <w:rPr>
          <w:rFonts w:ascii="Arial" w:hAnsi="Arial" w:cs="Arial"/>
          <w:i/>
          <w:lang w:val="en-IN"/>
        </w:rPr>
      </w:pPr>
      <w:r>
        <w:rPr>
          <w:rFonts w:ascii="Arial" w:hAnsi="Arial" w:cs="Arial"/>
          <w:i/>
        </w:rPr>
        <w:t>Keywords:</w:t>
      </w:r>
      <w:r w:rsidR="00797F42">
        <w:rPr>
          <w:rFonts w:ascii="Arial" w:hAnsi="Arial" w:cs="Arial"/>
          <w:i/>
        </w:rPr>
        <w:t xml:space="preserve"> ANCA</w:t>
      </w:r>
      <w:r w:rsidR="00797F42" w:rsidRPr="00797F42">
        <w:rPr>
          <w:rFonts w:ascii="Arial" w:hAnsi="Arial" w:cs="Arial"/>
          <w:i/>
          <w:lang w:val="en-IN"/>
        </w:rPr>
        <w:t>-negative vasculitis,</w:t>
      </w:r>
      <w:r w:rsidR="00797F42">
        <w:rPr>
          <w:rFonts w:ascii="Arial" w:hAnsi="Arial" w:cs="Arial"/>
          <w:i/>
          <w:lang w:val="en-IN"/>
        </w:rPr>
        <w:t xml:space="preserve"> C</w:t>
      </w:r>
      <w:r w:rsidR="00797F42" w:rsidRPr="00797F42">
        <w:rPr>
          <w:rFonts w:ascii="Arial" w:hAnsi="Arial" w:cs="Arial"/>
          <w:i/>
          <w:lang w:val="en-IN"/>
        </w:rPr>
        <w:t xml:space="preserve">entral nervous system vasculitis, </w:t>
      </w:r>
      <w:r w:rsidR="00797F42">
        <w:rPr>
          <w:rFonts w:ascii="Arial" w:hAnsi="Arial" w:cs="Arial"/>
          <w:i/>
          <w:lang w:val="en-IN"/>
        </w:rPr>
        <w:t>E</w:t>
      </w:r>
      <w:r w:rsidR="00797F42" w:rsidRPr="00797F42">
        <w:rPr>
          <w:rFonts w:ascii="Arial" w:hAnsi="Arial" w:cs="Arial"/>
          <w:i/>
          <w:lang w:val="en-IN"/>
        </w:rPr>
        <w:t>osinophilic granulomatosis with polyangiitis</w:t>
      </w:r>
      <w:r w:rsidR="008D12CA">
        <w:rPr>
          <w:rFonts w:ascii="Arial" w:hAnsi="Arial" w:cs="Arial"/>
          <w:i/>
          <w:lang w:val="en-IN"/>
        </w:rPr>
        <w:t xml:space="preserve"> </w:t>
      </w:r>
      <w:r w:rsidR="00797F42" w:rsidRPr="00797F42">
        <w:rPr>
          <w:rFonts w:ascii="Arial" w:hAnsi="Arial" w:cs="Arial"/>
          <w:i/>
          <w:lang w:val="en-IN"/>
        </w:rPr>
        <w:t>(</w:t>
      </w:r>
      <w:r w:rsidR="008D12CA" w:rsidRPr="00797F42">
        <w:rPr>
          <w:rFonts w:ascii="Arial" w:hAnsi="Arial" w:cs="Arial"/>
          <w:i/>
          <w:lang w:val="en-IN"/>
        </w:rPr>
        <w:t>EGPA</w:t>
      </w:r>
      <w:r w:rsidR="00797F42" w:rsidRPr="00797F42">
        <w:rPr>
          <w:rFonts w:ascii="Arial" w:hAnsi="Arial" w:cs="Arial"/>
          <w:i/>
          <w:lang w:val="en-IN"/>
        </w:rPr>
        <w:t xml:space="preserve">), </w:t>
      </w:r>
      <w:r w:rsidR="008D12CA">
        <w:rPr>
          <w:rFonts w:ascii="Arial" w:hAnsi="Arial" w:cs="Arial"/>
          <w:i/>
          <w:lang w:val="en-IN"/>
        </w:rPr>
        <w:t>G</w:t>
      </w:r>
      <w:r w:rsidR="00797F42" w:rsidRPr="00797F42">
        <w:rPr>
          <w:rFonts w:ascii="Arial" w:hAnsi="Arial" w:cs="Arial"/>
          <w:i/>
          <w:lang w:val="en-IN"/>
        </w:rPr>
        <w:t xml:space="preserve">eneralized tonic </w:t>
      </w:r>
      <w:proofErr w:type="spellStart"/>
      <w:r w:rsidR="00797F42" w:rsidRPr="00797F42">
        <w:rPr>
          <w:rFonts w:ascii="Arial" w:hAnsi="Arial" w:cs="Arial"/>
          <w:i/>
          <w:lang w:val="en-IN"/>
        </w:rPr>
        <w:t>clonic</w:t>
      </w:r>
      <w:proofErr w:type="spellEnd"/>
      <w:r w:rsidR="00797F42" w:rsidRPr="00797F42">
        <w:rPr>
          <w:rFonts w:ascii="Arial" w:hAnsi="Arial" w:cs="Arial"/>
          <w:i/>
          <w:lang w:val="en-IN"/>
        </w:rPr>
        <w:t xml:space="preserve"> seizures, </w:t>
      </w:r>
      <w:r w:rsidR="00CA4120">
        <w:rPr>
          <w:rFonts w:ascii="Arial" w:hAnsi="Arial" w:cs="Arial"/>
          <w:i/>
          <w:lang w:val="en-IN"/>
        </w:rPr>
        <w:t>P</w:t>
      </w:r>
      <w:r w:rsidR="00797F42" w:rsidRPr="00797F42">
        <w:rPr>
          <w:rFonts w:ascii="Arial" w:hAnsi="Arial" w:cs="Arial"/>
          <w:i/>
          <w:lang w:val="en-IN"/>
        </w:rPr>
        <w:t>olyradiculopathy</w:t>
      </w:r>
      <w:r w:rsidR="00797F42" w:rsidRPr="00797F42">
        <w:rPr>
          <w:rFonts w:ascii="Arial" w:hAnsi="Arial" w:cs="Arial"/>
          <w:i/>
        </w:rPr>
        <w:t xml:space="preserve"> </w:t>
      </w:r>
    </w:p>
    <w:p w14:paraId="73B8973A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0B8E7C64" w14:textId="4EB80D6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F7B32">
        <w:rPr>
          <w:rFonts w:ascii="Arial" w:hAnsi="Arial" w:cs="Arial"/>
        </w:rPr>
        <w:t xml:space="preserve"> </w:t>
      </w:r>
    </w:p>
    <w:p w14:paraId="7446C697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4B19B14A" w14:textId="0AAD8391" w:rsidR="008D12CA" w:rsidRPr="008D12CA" w:rsidRDefault="008D12CA" w:rsidP="008D12CA">
      <w:pPr>
        <w:pStyle w:val="AbstHead"/>
        <w:jc w:val="both"/>
        <w:rPr>
          <w:rFonts w:ascii="Arial" w:hAnsi="Arial" w:cs="Arial"/>
          <w:b w:val="0"/>
          <w:bCs/>
          <w:sz w:val="20"/>
          <w:lang w:val="en-IN"/>
        </w:rPr>
      </w:pP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Eosinophilic granulomatosis with polyangiitis (EGPA) is an eosinophil-rich vasculitis characterized by asthma, eosinophilia, and multisystem involvement. Neurological manifestations are frequent, affecting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nearly two-thirds (55-72 %) of patients </w:t>
      </w:r>
      <w:r w:rsidRPr="008D12CA">
        <w:rPr>
          <w:rFonts w:ascii="Arial" w:hAnsi="Arial" w:cs="Arial"/>
          <w:b w:val="0"/>
          <w:bCs/>
          <w:sz w:val="20"/>
          <w:lang w:val="en-IN"/>
        </w:rPr>
        <w:t>[1]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, yet they typically present as mononeuritis multiplex or an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asymmetric axonal neuropathy rather than a symmetric sensorimotor polyradiculopathy </w:t>
      </w:r>
      <w:r w:rsidRPr="008D12CA">
        <w:rPr>
          <w:rFonts w:ascii="Arial" w:hAnsi="Arial" w:cs="Arial"/>
          <w:b w:val="0"/>
          <w:bCs/>
          <w:sz w:val="20"/>
          <w:lang w:val="en-IN"/>
        </w:rPr>
        <w:t>[2]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Such atypical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patterns may closely mimic Guillain-Barré syndrome (GBS) and can delay recognition and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treatment.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 Central nervous system (CNS) involvement is significantly less common, reported in only 5-9% of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cases, but is associated with substantial morbidity. The spectrum includes ischemic infarcts, hemorrhage,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seizures, encephalopathy, and rarely, diffuse </w:t>
      </w:r>
      <w:proofErr w:type="spellStart"/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vasculitic</w:t>
      </w:r>
      <w:proofErr w:type="spellEnd"/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 injury </w:t>
      </w:r>
      <w:r w:rsidRPr="008D12CA">
        <w:rPr>
          <w:rFonts w:ascii="Arial" w:hAnsi="Arial" w:cs="Arial"/>
          <w:b w:val="0"/>
          <w:bCs/>
          <w:sz w:val="20"/>
          <w:lang w:val="en-IN"/>
        </w:rPr>
        <w:t>[3]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Case reports describe presentations ranging from quadriplegia and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lastRenderedPageBreak/>
        <w:t>stroke-like episodes to rapidly progressive paraplegia, reflecting the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expanding neurological phenotype of EGPA </w:t>
      </w:r>
      <w:r w:rsidRPr="008D12CA">
        <w:rPr>
          <w:rFonts w:ascii="Arial" w:hAnsi="Arial" w:cs="Arial"/>
          <w:b w:val="0"/>
          <w:bCs/>
          <w:sz w:val="20"/>
          <w:lang w:val="en-IN"/>
        </w:rPr>
        <w:t>[2,3]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. Distinguishing EGPA from hyper eosinophilic syndromes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(HES) remains essential, as therapeutic strategies diverge substantially.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However,</w:t>
      </w:r>
      <w:r w:rsidR="00731DA5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when EGPA presents with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simultaneous peripheral and CNS involvement, diagnosis may be obscured by its resemblance to GBS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[4,5]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, acute cerebrovascular disease, or infectious neuropathies </w:t>
      </w:r>
      <w:r w:rsidRPr="008D12CA">
        <w:rPr>
          <w:rFonts w:ascii="Arial" w:hAnsi="Arial" w:cs="Arial"/>
          <w:b w:val="0"/>
          <w:bCs/>
          <w:sz w:val="20"/>
          <w:lang w:val="en-IN"/>
        </w:rPr>
        <w:t>[6]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Concurrent asthma, eosinophilia,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proofErr w:type="spellStart"/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vasculitic</w:t>
      </w:r>
      <w:proofErr w:type="spellEnd"/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 rash, and atypical neuropathy should prompt consideration of EGPA to avoid delays in treatment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[7,8]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This case highlights the diagnostic challenges and the consequences of delayed recognition in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aggressive neurological EGPA</w:t>
      </w:r>
    </w:p>
    <w:p w14:paraId="453DC1F6" w14:textId="77777777" w:rsidR="00731DA5" w:rsidRDefault="00902823" w:rsidP="00731DA5">
      <w:pPr>
        <w:pStyle w:val="AbstHead"/>
        <w:spacing w:after="0"/>
        <w:jc w:val="both"/>
        <w:rPr>
          <w:rFonts w:ascii="Arial" w:hAnsi="Arial" w:cs="Arial"/>
        </w:rPr>
      </w:pPr>
      <w:r w:rsidRPr="008D12CA">
        <w:rPr>
          <w:rFonts w:ascii="Arial" w:hAnsi="Arial" w:cs="Arial"/>
          <w:b w:val="0"/>
          <w:bCs/>
        </w:rPr>
        <w:t>2</w:t>
      </w:r>
      <w:r>
        <w:rPr>
          <w:rFonts w:ascii="Arial" w:hAnsi="Arial" w:cs="Arial"/>
        </w:rPr>
        <w:t xml:space="preserve">. </w:t>
      </w:r>
      <w:r w:rsidR="00731DA5">
        <w:rPr>
          <w:rFonts w:ascii="Arial" w:hAnsi="Arial" w:cs="Arial"/>
        </w:rPr>
        <w:t xml:space="preserve">CAse </w:t>
      </w:r>
      <w:proofErr w:type="gramStart"/>
      <w:r w:rsidR="00731DA5">
        <w:rPr>
          <w:rFonts w:ascii="Arial" w:hAnsi="Arial" w:cs="Arial"/>
        </w:rPr>
        <w:t>presentation:-</w:t>
      </w:r>
      <w:proofErr w:type="gramEnd"/>
    </w:p>
    <w:p w14:paraId="2405742E" w14:textId="77777777" w:rsidR="00790ADA" w:rsidRDefault="00790ADA" w:rsidP="00441B6F">
      <w:pPr>
        <w:pStyle w:val="Body"/>
        <w:spacing w:after="0"/>
        <w:rPr>
          <w:rFonts w:ascii="Arial" w:hAnsi="Arial" w:cs="Arial"/>
        </w:rPr>
      </w:pPr>
    </w:p>
    <w:p w14:paraId="3749311B" w14:textId="1BC037D3" w:rsidR="002E0D56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A 40-year-old woman with a 15-year history of bronchial asthma on intermittent metered-dose inhaler use,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presented to the emergency department with progressive neurological symptoms. She initially developed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numbness, tingling, and weakness in both lower limbs over a period of two weeks, followed by similar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symptoms in the upper limbs over the subsequent week. The weakness was distal-predominant, beginning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as difficulty holding footwear and later manifesting as impaired fine motor activities such as buttoning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clothes, mixing food, writing, and gripping objects.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 She also reported diminished perception of hot and cold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stimuli in the distal extremities.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One week before admission, she experienced two focal seizures, and during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hospitalization, she developed recurrent episodes of generalized seizures refractory to initial therapy</w:t>
      </w:r>
      <w:r>
        <w:rPr>
          <w:rFonts w:ascii="Arial" w:hAnsi="Arial" w:cs="Arial"/>
          <w:lang w:val="en-IN"/>
        </w:rPr>
        <w:t>.</w:t>
      </w:r>
    </w:p>
    <w:p w14:paraId="65D86CA7" w14:textId="0B7F029E" w:rsid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 xml:space="preserve">On examination, her vital signs were stable and mild expiratory wheeze was noted.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Neurological assessment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revealed distal-predominant weakness in all four limbs with hypotonia, absent deep tendon reflexes in the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lower limbs and mute plantar responses.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Sensory examination demonstrated impaired touch, pain,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temperature, vibration, and joint position sense in a glove-and-stocking distribution.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Cranial nerve and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cerebellar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examinations were normal.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Skin examination revealed ill-defined erythematous and violaceous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patches over both lower limbs and the trunk [Figure </w:t>
      </w:r>
      <w:r w:rsidRPr="00731DA5">
        <w:rPr>
          <w:rFonts w:ascii="Arial" w:hAnsi="Arial" w:cs="Arial"/>
          <w:i/>
          <w:iCs/>
          <w:lang w:val="en-IN"/>
        </w:rPr>
        <w:t>1</w:t>
      </w:r>
      <w:r w:rsidRPr="00731DA5">
        <w:rPr>
          <w:rFonts w:ascii="Arial" w:hAnsi="Arial" w:cs="Arial"/>
          <w:lang w:val="en-IN"/>
        </w:rPr>
        <w:t>].</w:t>
      </w:r>
    </w:p>
    <w:p w14:paraId="2EFE4B8B" w14:textId="78E3E28E" w:rsid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Lab</w:t>
      </w:r>
      <w:r w:rsidR="00CA4120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Investigations [Table </w:t>
      </w:r>
      <w:r w:rsidRPr="00731DA5">
        <w:rPr>
          <w:rFonts w:ascii="Arial" w:hAnsi="Arial" w:cs="Arial"/>
          <w:i/>
          <w:iCs/>
          <w:lang w:val="en-IN"/>
        </w:rPr>
        <w:t>1</w:t>
      </w:r>
      <w:r w:rsidRPr="00731DA5">
        <w:rPr>
          <w:rFonts w:ascii="Arial" w:hAnsi="Arial" w:cs="Arial"/>
          <w:lang w:val="en-IN"/>
        </w:rPr>
        <w:t xml:space="preserve">] demonstrated marked </w:t>
      </w:r>
      <w:proofErr w:type="spellStart"/>
      <w:r w:rsidRPr="00731DA5">
        <w:rPr>
          <w:rFonts w:ascii="Arial" w:hAnsi="Arial" w:cs="Arial"/>
          <w:lang w:val="en-IN"/>
        </w:rPr>
        <w:t>leukocytosis</w:t>
      </w:r>
      <w:proofErr w:type="spellEnd"/>
      <w:r w:rsidRPr="00731DA5">
        <w:rPr>
          <w:rFonts w:ascii="Arial" w:hAnsi="Arial" w:cs="Arial"/>
          <w:lang w:val="en-IN"/>
        </w:rPr>
        <w:t xml:space="preserve"> (51,900/</w:t>
      </w:r>
      <w:proofErr w:type="spellStart"/>
      <w:r w:rsidRPr="00731DA5">
        <w:rPr>
          <w:rFonts w:ascii="Arial" w:hAnsi="Arial" w:cs="Arial"/>
          <w:lang w:val="en-IN"/>
        </w:rPr>
        <w:t>μL</w:t>
      </w:r>
      <w:proofErr w:type="spellEnd"/>
      <w:r w:rsidRPr="00731DA5">
        <w:rPr>
          <w:rFonts w:ascii="Arial" w:hAnsi="Arial" w:cs="Arial"/>
          <w:lang w:val="en-IN"/>
        </w:rPr>
        <w:t>).</w:t>
      </w:r>
      <w:r w:rsidR="00AB3B32">
        <w:rPr>
          <w:rFonts w:ascii="Arial" w:hAnsi="Arial" w:cs="Arial"/>
          <w:lang w:val="en-IN"/>
        </w:rPr>
        <w:t xml:space="preserve">  </w:t>
      </w:r>
      <w:r w:rsidRPr="00731DA5">
        <w:rPr>
          <w:rFonts w:ascii="Arial" w:hAnsi="Arial" w:cs="Arial"/>
          <w:lang w:val="en-IN"/>
        </w:rPr>
        <w:t>Peripheral smear revealed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marked eosinophilia (80%).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Bone marrow biopsy showed normocellular marrow with myeloid hyperplasia,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showing predominantly eosinophils and their precursors with no evidence of blasts or necrosis [Figure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i/>
          <w:iCs/>
          <w:lang w:val="en-IN"/>
        </w:rPr>
        <w:t>2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Molecular tests for hyper eosinophilic syndrome (eosinophilic leukemia) demonstrated no evidence of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CBFB, FGFR1, PDGFRA or PDGFRB gene </w:t>
      </w:r>
      <w:proofErr w:type="gramStart"/>
      <w:r w:rsidRPr="00731DA5">
        <w:rPr>
          <w:rFonts w:ascii="Arial" w:hAnsi="Arial" w:cs="Arial"/>
          <w:lang w:val="en-IN"/>
        </w:rPr>
        <w:t xml:space="preserve">rearrangements </w:t>
      </w:r>
      <w:r w:rsidR="00962FE4">
        <w:rPr>
          <w:rFonts w:ascii="Arial" w:hAnsi="Arial" w:cs="Arial"/>
          <w:lang w:val="en-IN"/>
        </w:rPr>
        <w:t>.</w:t>
      </w:r>
      <w:proofErr w:type="gramEnd"/>
      <w:r w:rsidR="00962FE4">
        <w:rPr>
          <w:rFonts w:ascii="Arial" w:hAnsi="Arial" w:cs="Arial"/>
          <w:lang w:val="en-IN"/>
        </w:rPr>
        <w:t xml:space="preserve">  </w:t>
      </w:r>
      <w:r w:rsidRPr="00731DA5">
        <w:rPr>
          <w:rFonts w:ascii="Arial" w:hAnsi="Arial" w:cs="Arial"/>
          <w:lang w:val="en-IN"/>
        </w:rPr>
        <w:t>Skin biopsy revealed atrophic skin with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hyperkeratosis with underlying dermis showing numerous scattered congested blood vessels.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One focus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showed thrombi and many foci of extravasated red blood cells were present.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The Perivascular areas showed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dense eosinophilic and some lymphocytic infiltrates [Figures </w:t>
      </w:r>
      <w:r w:rsidR="00962FE4">
        <w:rPr>
          <w:rFonts w:ascii="Arial" w:hAnsi="Arial" w:cs="Arial"/>
          <w:lang w:val="en-IN"/>
        </w:rPr>
        <w:t>3</w:t>
      </w:r>
      <w:r w:rsidRPr="00731DA5">
        <w:rPr>
          <w:rFonts w:ascii="Arial" w:hAnsi="Arial" w:cs="Arial"/>
          <w:lang w:val="en-IN"/>
        </w:rPr>
        <w:t>,</w:t>
      </w:r>
      <w:r w:rsidR="00962FE4">
        <w:rPr>
          <w:rFonts w:ascii="Arial" w:hAnsi="Arial" w:cs="Arial"/>
          <w:lang w:val="en-IN"/>
        </w:rPr>
        <w:t xml:space="preserve"> 4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Nerve conduction studies (NCS)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suggested a severe axonal sensorimotor polyradiculopathy, shown by markedly reduced Compound muscle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action potential (CMAP) and Sensory nerve action potential (SNAP) amplitudes with preserved velocities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[Figures </w:t>
      </w:r>
      <w:r w:rsidR="00962FE4">
        <w:rPr>
          <w:rFonts w:ascii="Arial" w:hAnsi="Arial" w:cs="Arial"/>
          <w:i/>
          <w:iCs/>
          <w:lang w:val="en-IN"/>
        </w:rPr>
        <w:t>5</w:t>
      </w:r>
      <w:r w:rsidRPr="00731DA5">
        <w:rPr>
          <w:rFonts w:ascii="Arial" w:hAnsi="Arial" w:cs="Arial"/>
          <w:lang w:val="en-IN"/>
        </w:rPr>
        <w:t>-</w:t>
      </w:r>
      <w:r w:rsidR="00962FE4">
        <w:rPr>
          <w:rFonts w:ascii="Arial" w:hAnsi="Arial" w:cs="Arial"/>
          <w:i/>
          <w:iCs/>
          <w:lang w:val="en-IN"/>
        </w:rPr>
        <w:t>7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MRI of the brain demonstrated multiple acute infarcts (diffusion restriction imaging showing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diffusion restriction in multiple areas of cerebral hemispheres) consistent with CNS vasculitis [Figure</w:t>
      </w:r>
      <w:r>
        <w:rPr>
          <w:rFonts w:ascii="Arial" w:hAnsi="Arial" w:cs="Arial"/>
          <w:lang w:val="en-IN"/>
        </w:rPr>
        <w:t xml:space="preserve"> </w:t>
      </w:r>
      <w:r w:rsidR="00962FE4">
        <w:rPr>
          <w:rFonts w:ascii="Arial" w:hAnsi="Arial" w:cs="Arial"/>
          <w:lang w:val="en-IN"/>
        </w:rPr>
        <w:t>8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ANCA and other serological tests were negative [Table </w:t>
      </w:r>
      <w:r w:rsidRPr="00731DA5">
        <w:rPr>
          <w:rFonts w:ascii="Arial" w:hAnsi="Arial" w:cs="Arial"/>
          <w:i/>
          <w:iCs/>
          <w:lang w:val="en-IN"/>
        </w:rPr>
        <w:t>2</w:t>
      </w:r>
      <w:r w:rsidRPr="00731DA5">
        <w:rPr>
          <w:rFonts w:ascii="Arial" w:hAnsi="Arial" w:cs="Arial"/>
          <w:lang w:val="en-IN"/>
        </w:rPr>
        <w:t>].</w:t>
      </w:r>
    </w:p>
    <w:p w14:paraId="1F8193D6" w14:textId="56C55CD4" w:rsidR="00731DA5" w:rsidRP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The combination of asthma, marked eosinophilia, vasculitic rash, peripheral neuropathy and histological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evidence of eosinophilic vasculitis fulfilled the American College of Rheumatology (ACR)/ European Alliance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of Associations for Rheumatology (EULAR) classification criteria for EGPA.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High-dose intravenous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corticosteroids were initiated, followed by cyclophosphamide</w:t>
      </w:r>
      <w:r w:rsidR="00AB3B32">
        <w:rPr>
          <w:rFonts w:ascii="Arial" w:hAnsi="Arial" w:cs="Arial"/>
          <w:lang w:val="en-IN"/>
        </w:rPr>
        <w:t xml:space="preserve">.  </w:t>
      </w:r>
      <w:r w:rsidRPr="00731DA5">
        <w:rPr>
          <w:rFonts w:ascii="Arial" w:hAnsi="Arial" w:cs="Arial"/>
          <w:lang w:val="en-IN"/>
        </w:rPr>
        <w:t>Despite this, she developed aspiration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pneumonia during prolonged seizures and mechanical ventilation, and ultimately died from intractable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status epilepticus.</w:t>
      </w:r>
    </w:p>
    <w:p w14:paraId="122CC18C" w14:textId="5B96902B" w:rsidR="00790ADA" w:rsidRPr="00FB3A86" w:rsidRDefault="00790ADA" w:rsidP="00731DA5">
      <w:pPr>
        <w:pStyle w:val="Body"/>
        <w:spacing w:after="0"/>
        <w:rPr>
          <w:rFonts w:ascii="Arial" w:hAnsi="Arial" w:cs="Arial"/>
        </w:rPr>
      </w:pPr>
    </w:p>
    <w:p w14:paraId="5A09D9DF" w14:textId="4A72F8B2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discussion</w:t>
      </w:r>
    </w:p>
    <w:p w14:paraId="46F81AD3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25B27E8B" w14:textId="61F9B3DF" w:rsid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Neurological involvement in eosinophilic granulomatosis with polyangiitis (EGPA) is well recognized, but it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most often presents as mononeuritis multiplex or asymmetric axonal neuropathy.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Symmetric sensorimotor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polyradiculopathy, as seen in this patient, is distinctly uncommon and may closely mimic Guillain-Barré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syndrome (GBS), increasing the potential for misdiagnosis [4].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Axonal injury in EGPA results from both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eosinophil-mediated cytotoxicity and necrotizing vasculitis of the vasa nervorum, consistent with severe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amplitude reduction observed on nerve conduction studies [4].</w:t>
      </w:r>
    </w:p>
    <w:p w14:paraId="5D833D09" w14:textId="0CFE3131" w:rsidR="00731DA5" w:rsidRP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Central nervous system (CNS) involvement is rare, occurring in only 5-9% of EGPA cases, and most often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manifests as ischemic lesions, hemorrhage, or seizures.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 recent systematic review highlighted wide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variability in neuroimaging findings and emphasized the diagnostic difficulty when CNS vasculitis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accompanies peripheral neuropathy [1].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The multifocal acute infarcts in this patient align with previously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reported vasculitic CNS patterns, including cases presenting with quadriplegia or stroke-like episodes [2]</w:t>
      </w:r>
    </w:p>
    <w:p w14:paraId="6AEC89F7" w14:textId="11B33021" w:rsidR="00731DA5" w:rsidRP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Differentiating EGPA from hyper eosinophilic syndrome (HES) is critical, as management diverges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substantially.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In this case, the absence of clonal markers on the eosinophilic leukemia panel presence of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eosinophilic vasculitis on biopsy, </w:t>
      </w:r>
      <w:r w:rsidRPr="00731DA5">
        <w:rPr>
          <w:rFonts w:ascii="Arial" w:hAnsi="Arial" w:cs="Arial"/>
          <w:lang w:val="en-IN"/>
        </w:rPr>
        <w:lastRenderedPageBreak/>
        <w:t xml:space="preserve">favored EGPA.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Asthma, eosinophilia, neuropathy, and extravascular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eosinophilic inflammation fulfilled the ACR/EULAR criteria, even in the absence of ANCA positivity, which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is typical of the eosinophilic phenotype of EGPA.</w:t>
      </w:r>
    </w:p>
    <w:p w14:paraId="3729F030" w14:textId="4C94CA92" w:rsidR="00B95236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 xml:space="preserve">Early immunosuppression is essential to prevent irreversible neurological injury.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Large EGPA cohorts show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improved outcomes in neuropathic disease with timely corticosteroids and cyclophosphamide.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Similar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benefits have been reported in severe quadriparesis and CNS vasculitis treated with high-dose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glucocorticoids and cytotoxic agents [3].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Despite initiation of immunosuppression, the patient progressed to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refractory status epilepticus and ultimately sustained a cardiac arrest.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This outcome highlights the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aggressive nature of neurological EGPA and reinforces the importance of considering EGPA early when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eosinophilia, vasculitic features, and atypical neuropathy are present [5-8].</w:t>
      </w:r>
    </w:p>
    <w:p w14:paraId="143CF81E" w14:textId="0B940DD9" w:rsidR="00731DA5" w:rsidRDefault="00731DA5" w:rsidP="00731DA5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4. conclusion</w:t>
      </w:r>
    </w:p>
    <w:p w14:paraId="02F3CEB6" w14:textId="77777777" w:rsidR="00731DA5" w:rsidRDefault="00731DA5" w:rsidP="00731DA5">
      <w:pPr>
        <w:pStyle w:val="Head1"/>
        <w:spacing w:after="0"/>
        <w:jc w:val="both"/>
        <w:rPr>
          <w:rFonts w:ascii="Arial" w:hAnsi="Arial" w:cs="Arial"/>
        </w:rPr>
      </w:pPr>
    </w:p>
    <w:p w14:paraId="3BE82FED" w14:textId="12570E80" w:rsidR="00731DA5" w:rsidRPr="00731DA5" w:rsidRDefault="00731DA5" w:rsidP="00731DA5">
      <w:pPr>
        <w:jc w:val="both"/>
        <w:rPr>
          <w:rFonts w:ascii="Arial" w:hAnsi="Arial" w:cs="Arial"/>
          <w:lang w:val="en-IN" w:eastAsia="en-GB"/>
        </w:rPr>
      </w:pPr>
      <w:r w:rsidRPr="00731DA5">
        <w:rPr>
          <w:rFonts w:ascii="Arial" w:hAnsi="Arial" w:cs="Arial"/>
          <w:lang w:val="en-IN" w:eastAsia="en-GB"/>
        </w:rPr>
        <w:t>This fatal presentation of EGPA demonstrates how the disease can initially mimic more common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 xml:space="preserve">neurological conditions while rapidly progressing to life-threatening complications. </w:t>
      </w:r>
      <w:r w:rsidR="00AB3B32"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The development of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refractory status epilepticus and cardiac arrest in this patient highlights the need to recognize EGPA early in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 xml:space="preserve">asthmatic individuals with eosinophilia and atypical neuropathy. </w:t>
      </w:r>
      <w:r w:rsidR="00AB3B32"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Prompt diagnosis is essential, even though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outcomes may remain poor in aggressive phenotypes of the disease</w:t>
      </w:r>
    </w:p>
    <w:p w14:paraId="3B18D26A" w14:textId="34B501FF" w:rsidR="00231920" w:rsidRDefault="00863BD3" w:rsidP="00441B6F">
      <w:pPr>
        <w:pStyle w:val="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24D08E5" w14:textId="77777777" w:rsidR="00790ADA" w:rsidRDefault="00790ADA" w:rsidP="00441B6F">
      <w:pPr>
        <w:pStyle w:val="Body"/>
        <w:spacing w:after="0"/>
        <w:rPr>
          <w:rFonts w:ascii="Arial" w:hAnsi="Arial" w:cs="Arial"/>
        </w:rPr>
      </w:pPr>
    </w:p>
    <w:p w14:paraId="205B119C" w14:textId="30942377" w:rsidR="00863BD3" w:rsidRDefault="009500A6" w:rsidP="00441B6F">
      <w:pPr>
        <w:tabs>
          <w:tab w:val="left" w:pos="1080"/>
        </w:tabs>
        <w:jc w:val="both"/>
        <w:rPr>
          <w:rFonts w:ascii="Arial" w:hAnsi="Arial"/>
          <w:b/>
          <w:bCs/>
          <w:lang w:val="en-IN"/>
        </w:rPr>
      </w:pPr>
      <w:r>
        <w:rPr>
          <w:rFonts w:ascii="Arial" w:hAnsi="Arial"/>
          <w:b/>
        </w:rPr>
        <w:t>Table 1</w:t>
      </w:r>
      <w:r w:rsidR="005B635C">
        <w:rPr>
          <w:rFonts w:ascii="Arial" w:hAnsi="Arial"/>
          <w:b/>
        </w:rPr>
        <w:t>:</w:t>
      </w:r>
      <w:r w:rsidR="00470020">
        <w:rPr>
          <w:rFonts w:ascii="Arial" w:hAnsi="Arial"/>
          <w:b/>
        </w:rPr>
        <w:t xml:space="preserve"> </w:t>
      </w:r>
      <w:r w:rsidR="005B635C" w:rsidRPr="005B635C">
        <w:rPr>
          <w:rFonts w:ascii="Arial" w:hAnsi="Arial"/>
          <w:b/>
          <w:bCs/>
          <w:lang w:val="en-IN"/>
        </w:rPr>
        <w:t>Investigation panel</w:t>
      </w:r>
    </w:p>
    <w:p w14:paraId="793C8EE7" w14:textId="77777777" w:rsidR="005B635C" w:rsidRDefault="005B635C" w:rsidP="00441B6F">
      <w:pPr>
        <w:tabs>
          <w:tab w:val="left" w:pos="1080"/>
        </w:tabs>
        <w:jc w:val="both"/>
        <w:rPr>
          <w:rFonts w:ascii="Arial" w:hAnsi="Arial"/>
          <w:b/>
          <w:bCs/>
          <w:lang w:val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808"/>
        <w:gridCol w:w="2808"/>
      </w:tblGrid>
      <w:tr w:rsidR="005B635C" w14:paraId="07161082" w14:textId="77777777" w:rsidTr="005B635C">
        <w:tc>
          <w:tcPr>
            <w:tcW w:w="2808" w:type="dxa"/>
          </w:tcPr>
          <w:p w14:paraId="40D6243F" w14:textId="061EBB60" w:rsidR="005B635C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/>
              </w:rPr>
            </w:pPr>
            <w:r w:rsidRPr="005B635C">
              <w:rPr>
                <w:rFonts w:ascii="Arial" w:hAnsi="Arial"/>
                <w:b/>
                <w:bCs/>
                <w:lang w:val="en-IN"/>
              </w:rPr>
              <w:t xml:space="preserve">LAB INVESTIGATIONS </w:t>
            </w:r>
          </w:p>
        </w:tc>
        <w:tc>
          <w:tcPr>
            <w:tcW w:w="2808" w:type="dxa"/>
          </w:tcPr>
          <w:p w14:paraId="72396338" w14:textId="4F33AD18" w:rsidR="005B635C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/>
              </w:rPr>
            </w:pPr>
            <w:r w:rsidRPr="005B635C">
              <w:rPr>
                <w:rFonts w:ascii="Arial" w:hAnsi="Arial"/>
                <w:b/>
                <w:bCs/>
                <w:lang w:val="en-IN"/>
              </w:rPr>
              <w:t>RESULTS</w:t>
            </w:r>
          </w:p>
        </w:tc>
        <w:tc>
          <w:tcPr>
            <w:tcW w:w="2808" w:type="dxa"/>
          </w:tcPr>
          <w:p w14:paraId="1EA04F7C" w14:textId="0738426A" w:rsidR="005B635C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/>
              </w:rPr>
            </w:pPr>
            <w:r w:rsidRPr="005B635C">
              <w:rPr>
                <w:rFonts w:ascii="Arial" w:hAnsi="Arial"/>
                <w:b/>
                <w:bCs/>
                <w:lang w:val="en-IN"/>
              </w:rPr>
              <w:t>REFERENCE RANGE</w:t>
            </w:r>
          </w:p>
        </w:tc>
      </w:tr>
      <w:tr w:rsidR="005B635C" w14:paraId="45280049" w14:textId="77777777" w:rsidTr="005B635C">
        <w:tc>
          <w:tcPr>
            <w:tcW w:w="2808" w:type="dxa"/>
          </w:tcPr>
          <w:p w14:paraId="7483F123" w14:textId="049C184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Haemoglobin </w:t>
            </w:r>
          </w:p>
        </w:tc>
        <w:tc>
          <w:tcPr>
            <w:tcW w:w="2808" w:type="dxa"/>
          </w:tcPr>
          <w:p w14:paraId="04C6C879" w14:textId="38BBEF3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13.5</w:t>
            </w:r>
          </w:p>
        </w:tc>
        <w:tc>
          <w:tcPr>
            <w:tcW w:w="2808" w:type="dxa"/>
          </w:tcPr>
          <w:p w14:paraId="59058E11" w14:textId="662883B3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12 – 16 g/dL</w:t>
            </w:r>
          </w:p>
        </w:tc>
      </w:tr>
      <w:tr w:rsidR="005B635C" w14:paraId="08AE9E00" w14:textId="77777777" w:rsidTr="005B635C">
        <w:tc>
          <w:tcPr>
            <w:tcW w:w="2808" w:type="dxa"/>
          </w:tcPr>
          <w:p w14:paraId="2A9FCFC1" w14:textId="62072B6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Platelet</w:t>
            </w:r>
          </w:p>
        </w:tc>
        <w:tc>
          <w:tcPr>
            <w:tcW w:w="2808" w:type="dxa"/>
          </w:tcPr>
          <w:p w14:paraId="4FF1F3C8" w14:textId="13381D26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233000</w:t>
            </w:r>
          </w:p>
        </w:tc>
        <w:tc>
          <w:tcPr>
            <w:tcW w:w="2808" w:type="dxa"/>
          </w:tcPr>
          <w:p w14:paraId="1022233D" w14:textId="30807DE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150000 -450000 /μL</w:t>
            </w:r>
          </w:p>
        </w:tc>
      </w:tr>
      <w:tr w:rsidR="005B635C" w14:paraId="2B637121" w14:textId="77777777" w:rsidTr="005B635C">
        <w:tc>
          <w:tcPr>
            <w:tcW w:w="2808" w:type="dxa"/>
          </w:tcPr>
          <w:p w14:paraId="2218D5A9" w14:textId="286C1146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White Blood Cells (WBC) </w:t>
            </w:r>
          </w:p>
        </w:tc>
        <w:tc>
          <w:tcPr>
            <w:tcW w:w="2808" w:type="dxa"/>
          </w:tcPr>
          <w:p w14:paraId="2DC97369" w14:textId="0C1A4E7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51900</w:t>
            </w:r>
          </w:p>
        </w:tc>
        <w:tc>
          <w:tcPr>
            <w:tcW w:w="2808" w:type="dxa"/>
          </w:tcPr>
          <w:p w14:paraId="245D53C5" w14:textId="54DF6AA4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4000-11000 /μL</w:t>
            </w:r>
          </w:p>
        </w:tc>
      </w:tr>
      <w:tr w:rsidR="005B635C" w14:paraId="6DC54998" w14:textId="77777777" w:rsidTr="005B635C">
        <w:tc>
          <w:tcPr>
            <w:tcW w:w="2808" w:type="dxa"/>
          </w:tcPr>
          <w:p w14:paraId="4A1DDA2C" w14:textId="5678CD5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Blood Urea  </w:t>
            </w:r>
          </w:p>
        </w:tc>
        <w:tc>
          <w:tcPr>
            <w:tcW w:w="2808" w:type="dxa"/>
          </w:tcPr>
          <w:p w14:paraId="7647998E" w14:textId="621AE05F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30</w:t>
            </w:r>
          </w:p>
        </w:tc>
        <w:tc>
          <w:tcPr>
            <w:tcW w:w="2808" w:type="dxa"/>
          </w:tcPr>
          <w:p w14:paraId="33DAD90B" w14:textId="1D33E46A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18–40 mg/dL</w:t>
            </w:r>
          </w:p>
        </w:tc>
      </w:tr>
      <w:tr w:rsidR="005B635C" w14:paraId="0FB29457" w14:textId="77777777" w:rsidTr="005B635C">
        <w:tc>
          <w:tcPr>
            <w:tcW w:w="2808" w:type="dxa"/>
          </w:tcPr>
          <w:p w14:paraId="4CA0F3AE" w14:textId="2287D3B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Creatinine </w:t>
            </w:r>
          </w:p>
        </w:tc>
        <w:tc>
          <w:tcPr>
            <w:tcW w:w="2808" w:type="dxa"/>
          </w:tcPr>
          <w:p w14:paraId="55B13ED7" w14:textId="74DD8640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0.5</w:t>
            </w:r>
          </w:p>
        </w:tc>
        <w:tc>
          <w:tcPr>
            <w:tcW w:w="2808" w:type="dxa"/>
          </w:tcPr>
          <w:p w14:paraId="0BC495C6" w14:textId="5391AFB0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0.5-1.1 mg/dL</w:t>
            </w:r>
          </w:p>
        </w:tc>
      </w:tr>
      <w:tr w:rsidR="005B635C" w14:paraId="79D5B4A5" w14:textId="77777777" w:rsidTr="005B635C">
        <w:tc>
          <w:tcPr>
            <w:tcW w:w="2808" w:type="dxa"/>
          </w:tcPr>
          <w:p w14:paraId="0CB6744E" w14:textId="5BDF23E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Sodium  </w:t>
            </w:r>
          </w:p>
        </w:tc>
        <w:tc>
          <w:tcPr>
            <w:tcW w:w="2808" w:type="dxa"/>
          </w:tcPr>
          <w:p w14:paraId="4E989B5E" w14:textId="6C29D3D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131</w:t>
            </w:r>
          </w:p>
        </w:tc>
        <w:tc>
          <w:tcPr>
            <w:tcW w:w="2808" w:type="dxa"/>
          </w:tcPr>
          <w:p w14:paraId="4F8D467B" w14:textId="39E74A3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135-145 mEq/L</w:t>
            </w:r>
          </w:p>
        </w:tc>
      </w:tr>
      <w:tr w:rsidR="005B635C" w14:paraId="350DAD3F" w14:textId="77777777" w:rsidTr="005B635C">
        <w:tc>
          <w:tcPr>
            <w:tcW w:w="2808" w:type="dxa"/>
          </w:tcPr>
          <w:p w14:paraId="267F02CC" w14:textId="2A4D4723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Potassium </w:t>
            </w:r>
          </w:p>
        </w:tc>
        <w:tc>
          <w:tcPr>
            <w:tcW w:w="2808" w:type="dxa"/>
          </w:tcPr>
          <w:p w14:paraId="719B1742" w14:textId="270C557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4.5</w:t>
            </w:r>
          </w:p>
        </w:tc>
        <w:tc>
          <w:tcPr>
            <w:tcW w:w="2808" w:type="dxa"/>
          </w:tcPr>
          <w:p w14:paraId="65D8464C" w14:textId="163B67CD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3.5-5.0 mmol/L</w:t>
            </w:r>
          </w:p>
        </w:tc>
      </w:tr>
      <w:tr w:rsidR="005B635C" w14:paraId="2DF60543" w14:textId="77777777" w:rsidTr="005B635C">
        <w:tc>
          <w:tcPr>
            <w:tcW w:w="2808" w:type="dxa"/>
          </w:tcPr>
          <w:p w14:paraId="4A4C89BC" w14:textId="358F834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Calcium </w:t>
            </w:r>
          </w:p>
        </w:tc>
        <w:tc>
          <w:tcPr>
            <w:tcW w:w="2808" w:type="dxa"/>
          </w:tcPr>
          <w:p w14:paraId="754CCBE2" w14:textId="5A175FA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9.2</w:t>
            </w:r>
          </w:p>
        </w:tc>
        <w:tc>
          <w:tcPr>
            <w:tcW w:w="2808" w:type="dxa"/>
          </w:tcPr>
          <w:p w14:paraId="1E368E19" w14:textId="706ACA2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8.5-10.5 mg/dL</w:t>
            </w:r>
          </w:p>
        </w:tc>
      </w:tr>
      <w:tr w:rsidR="005B635C" w14:paraId="15506773" w14:textId="77777777" w:rsidTr="005B635C">
        <w:tc>
          <w:tcPr>
            <w:tcW w:w="2808" w:type="dxa"/>
          </w:tcPr>
          <w:p w14:paraId="36307D33" w14:textId="29B7CCF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Magnesium </w:t>
            </w:r>
          </w:p>
        </w:tc>
        <w:tc>
          <w:tcPr>
            <w:tcW w:w="2808" w:type="dxa"/>
          </w:tcPr>
          <w:p w14:paraId="7D3FD5C1" w14:textId="2F98B1F6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1.9</w:t>
            </w:r>
          </w:p>
        </w:tc>
        <w:tc>
          <w:tcPr>
            <w:tcW w:w="2808" w:type="dxa"/>
          </w:tcPr>
          <w:p w14:paraId="14F85137" w14:textId="2F190C6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1.7- 2.2 mg/dL</w:t>
            </w:r>
          </w:p>
        </w:tc>
      </w:tr>
      <w:tr w:rsidR="005B635C" w14:paraId="79CAF176" w14:textId="77777777" w:rsidTr="005B635C">
        <w:tc>
          <w:tcPr>
            <w:tcW w:w="2808" w:type="dxa"/>
          </w:tcPr>
          <w:p w14:paraId="35552B45" w14:textId="67E7D70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Phosphorus </w:t>
            </w:r>
          </w:p>
        </w:tc>
        <w:tc>
          <w:tcPr>
            <w:tcW w:w="2808" w:type="dxa"/>
          </w:tcPr>
          <w:p w14:paraId="1F69CAD0" w14:textId="2C9AB630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3.1</w:t>
            </w:r>
          </w:p>
        </w:tc>
        <w:tc>
          <w:tcPr>
            <w:tcW w:w="2808" w:type="dxa"/>
          </w:tcPr>
          <w:p w14:paraId="389651BF" w14:textId="78A6D44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2.5 - 4.5 mg/dL</w:t>
            </w:r>
          </w:p>
        </w:tc>
      </w:tr>
      <w:tr w:rsidR="005B635C" w14:paraId="6584E1B1" w14:textId="77777777" w:rsidTr="005B635C">
        <w:tc>
          <w:tcPr>
            <w:tcW w:w="2808" w:type="dxa"/>
          </w:tcPr>
          <w:p w14:paraId="6800E02B" w14:textId="149744C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Total Bilirubin </w:t>
            </w:r>
          </w:p>
        </w:tc>
        <w:tc>
          <w:tcPr>
            <w:tcW w:w="2808" w:type="dxa"/>
          </w:tcPr>
          <w:p w14:paraId="04A4CA2F" w14:textId="584417A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0.7</w:t>
            </w:r>
          </w:p>
        </w:tc>
        <w:tc>
          <w:tcPr>
            <w:tcW w:w="2808" w:type="dxa"/>
          </w:tcPr>
          <w:p w14:paraId="40ED2A84" w14:textId="24C5BB4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0.3 - 1 mg/dL</w:t>
            </w:r>
          </w:p>
        </w:tc>
      </w:tr>
      <w:tr w:rsidR="005B635C" w14:paraId="30022310" w14:textId="77777777" w:rsidTr="005B635C">
        <w:tc>
          <w:tcPr>
            <w:tcW w:w="2808" w:type="dxa"/>
          </w:tcPr>
          <w:p w14:paraId="5ECFD195" w14:textId="32DCF79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Direct Bilirubin </w:t>
            </w:r>
          </w:p>
        </w:tc>
        <w:tc>
          <w:tcPr>
            <w:tcW w:w="2808" w:type="dxa"/>
          </w:tcPr>
          <w:p w14:paraId="65A81738" w14:textId="66BD02C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0.3</w:t>
            </w:r>
          </w:p>
        </w:tc>
        <w:tc>
          <w:tcPr>
            <w:tcW w:w="2808" w:type="dxa"/>
          </w:tcPr>
          <w:p w14:paraId="7C8FB43A" w14:textId="40C935D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0.1 - 0.3 mg/dL</w:t>
            </w:r>
          </w:p>
        </w:tc>
      </w:tr>
      <w:tr w:rsidR="005B635C" w14:paraId="6E745ABB" w14:textId="77777777" w:rsidTr="005B635C">
        <w:tc>
          <w:tcPr>
            <w:tcW w:w="2808" w:type="dxa"/>
          </w:tcPr>
          <w:p w14:paraId="46F92E95" w14:textId="617F4DE4" w:rsidR="005B635C" w:rsidRPr="00AB3B32" w:rsidRDefault="005B635C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Aspartate Aminotransferase (AST) </w:t>
            </w:r>
          </w:p>
        </w:tc>
        <w:tc>
          <w:tcPr>
            <w:tcW w:w="2808" w:type="dxa"/>
          </w:tcPr>
          <w:p w14:paraId="607CE217" w14:textId="57BB093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28</w:t>
            </w:r>
          </w:p>
        </w:tc>
        <w:tc>
          <w:tcPr>
            <w:tcW w:w="2808" w:type="dxa"/>
          </w:tcPr>
          <w:p w14:paraId="31FA67FE" w14:textId="191AAC6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10-40 IU/L</w:t>
            </w:r>
          </w:p>
        </w:tc>
      </w:tr>
      <w:tr w:rsidR="005B635C" w14:paraId="7C1B011F" w14:textId="77777777" w:rsidTr="005B635C">
        <w:tc>
          <w:tcPr>
            <w:tcW w:w="2808" w:type="dxa"/>
          </w:tcPr>
          <w:p w14:paraId="03192C02" w14:textId="7D3E6E3F" w:rsidR="005B635C" w:rsidRPr="00AB3B32" w:rsidRDefault="005B635C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Alanine Aminotransferase (ALT) </w:t>
            </w:r>
          </w:p>
        </w:tc>
        <w:tc>
          <w:tcPr>
            <w:tcW w:w="2808" w:type="dxa"/>
          </w:tcPr>
          <w:p w14:paraId="77BA0172" w14:textId="2F4F053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18</w:t>
            </w:r>
          </w:p>
        </w:tc>
        <w:tc>
          <w:tcPr>
            <w:tcW w:w="2808" w:type="dxa"/>
          </w:tcPr>
          <w:p w14:paraId="35D65F83" w14:textId="4981680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10-40 IU/L</w:t>
            </w:r>
          </w:p>
        </w:tc>
      </w:tr>
      <w:tr w:rsidR="005B635C" w14:paraId="17F71F4E" w14:textId="77777777" w:rsidTr="005B635C">
        <w:tc>
          <w:tcPr>
            <w:tcW w:w="2808" w:type="dxa"/>
          </w:tcPr>
          <w:p w14:paraId="270733B4" w14:textId="76DF2BC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Alkaline phosphatase (ALP)</w:t>
            </w:r>
          </w:p>
        </w:tc>
        <w:tc>
          <w:tcPr>
            <w:tcW w:w="2808" w:type="dxa"/>
          </w:tcPr>
          <w:p w14:paraId="5A574BC4" w14:textId="30671F34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75 </w:t>
            </w:r>
          </w:p>
        </w:tc>
        <w:tc>
          <w:tcPr>
            <w:tcW w:w="2808" w:type="dxa"/>
          </w:tcPr>
          <w:p w14:paraId="62029410" w14:textId="47EFCA99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30-120 IU/L</w:t>
            </w:r>
          </w:p>
        </w:tc>
      </w:tr>
      <w:tr w:rsidR="005B635C" w14:paraId="39FB95E8" w14:textId="77777777" w:rsidTr="005B635C">
        <w:tc>
          <w:tcPr>
            <w:tcW w:w="2808" w:type="dxa"/>
          </w:tcPr>
          <w:p w14:paraId="6F8FB701" w14:textId="4BA9758E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Total Protein  </w:t>
            </w:r>
          </w:p>
        </w:tc>
        <w:tc>
          <w:tcPr>
            <w:tcW w:w="2808" w:type="dxa"/>
          </w:tcPr>
          <w:p w14:paraId="776C8AC9" w14:textId="1047765F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5.7</w:t>
            </w:r>
          </w:p>
        </w:tc>
        <w:tc>
          <w:tcPr>
            <w:tcW w:w="2808" w:type="dxa"/>
          </w:tcPr>
          <w:p w14:paraId="1A1530BE" w14:textId="60BBDAE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5.5-9 g/dL</w:t>
            </w:r>
          </w:p>
        </w:tc>
      </w:tr>
      <w:tr w:rsidR="005B635C" w14:paraId="3F8D6091" w14:textId="77777777" w:rsidTr="005B635C">
        <w:tc>
          <w:tcPr>
            <w:tcW w:w="2808" w:type="dxa"/>
          </w:tcPr>
          <w:p w14:paraId="1D27EA9B" w14:textId="1522DDB4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Albumin  </w:t>
            </w:r>
          </w:p>
        </w:tc>
        <w:tc>
          <w:tcPr>
            <w:tcW w:w="2808" w:type="dxa"/>
          </w:tcPr>
          <w:p w14:paraId="1F5FF3FC" w14:textId="2478E8F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3.3</w:t>
            </w:r>
          </w:p>
        </w:tc>
        <w:tc>
          <w:tcPr>
            <w:tcW w:w="2808" w:type="dxa"/>
          </w:tcPr>
          <w:p w14:paraId="3F1FBC73" w14:textId="26D1E3D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3.5-5.5 g/dL</w:t>
            </w:r>
          </w:p>
        </w:tc>
      </w:tr>
      <w:tr w:rsidR="005B635C" w14:paraId="4256C6E1" w14:textId="77777777" w:rsidTr="005B635C">
        <w:tc>
          <w:tcPr>
            <w:tcW w:w="2808" w:type="dxa"/>
          </w:tcPr>
          <w:p w14:paraId="2A121C0F" w14:textId="6B5DCDAE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Prothrombin time (PT) </w:t>
            </w:r>
          </w:p>
        </w:tc>
        <w:tc>
          <w:tcPr>
            <w:tcW w:w="2808" w:type="dxa"/>
          </w:tcPr>
          <w:p w14:paraId="13CB3C73" w14:textId="097E3D7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13.54 s</w:t>
            </w:r>
          </w:p>
        </w:tc>
        <w:tc>
          <w:tcPr>
            <w:tcW w:w="2808" w:type="dxa"/>
          </w:tcPr>
          <w:p w14:paraId="76DAC8D0" w14:textId="10AB4783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11-13 s</w:t>
            </w:r>
          </w:p>
        </w:tc>
      </w:tr>
      <w:tr w:rsidR="005B635C" w14:paraId="07D03A61" w14:textId="77777777" w:rsidTr="005B635C">
        <w:tc>
          <w:tcPr>
            <w:tcW w:w="2808" w:type="dxa"/>
          </w:tcPr>
          <w:p w14:paraId="01794844" w14:textId="1A8A7DE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International Normalised Ratio (INR) </w:t>
            </w:r>
          </w:p>
        </w:tc>
        <w:tc>
          <w:tcPr>
            <w:tcW w:w="2808" w:type="dxa"/>
          </w:tcPr>
          <w:p w14:paraId="24D619F8" w14:textId="08EE146F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0.9</w:t>
            </w:r>
          </w:p>
        </w:tc>
        <w:tc>
          <w:tcPr>
            <w:tcW w:w="2808" w:type="dxa"/>
          </w:tcPr>
          <w:p w14:paraId="44AEFA97" w14:textId="4E0CC5D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0.8-1.1</w:t>
            </w:r>
          </w:p>
        </w:tc>
      </w:tr>
      <w:tr w:rsidR="005B635C" w14:paraId="4ABACEC4" w14:textId="77777777" w:rsidTr="005B635C">
        <w:tc>
          <w:tcPr>
            <w:tcW w:w="2808" w:type="dxa"/>
          </w:tcPr>
          <w:p w14:paraId="4F82CDCF" w14:textId="24C080E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Activated partial thromboplastin time (APTT) </w:t>
            </w:r>
          </w:p>
        </w:tc>
        <w:tc>
          <w:tcPr>
            <w:tcW w:w="2808" w:type="dxa"/>
          </w:tcPr>
          <w:p w14:paraId="681E4BAC" w14:textId="1DD611C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28.5 s</w:t>
            </w:r>
          </w:p>
        </w:tc>
        <w:tc>
          <w:tcPr>
            <w:tcW w:w="2808" w:type="dxa"/>
          </w:tcPr>
          <w:p w14:paraId="6D49FEA4" w14:textId="081E6E7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25-35 s</w:t>
            </w:r>
          </w:p>
        </w:tc>
      </w:tr>
      <w:tr w:rsidR="005B635C" w14:paraId="7798FF36" w14:textId="77777777" w:rsidTr="005B635C">
        <w:tc>
          <w:tcPr>
            <w:tcW w:w="2808" w:type="dxa"/>
          </w:tcPr>
          <w:p w14:paraId="174B0CBE" w14:textId="01A16550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Urine Albumin  </w:t>
            </w:r>
          </w:p>
        </w:tc>
        <w:tc>
          <w:tcPr>
            <w:tcW w:w="2808" w:type="dxa"/>
          </w:tcPr>
          <w:p w14:paraId="353481C2" w14:textId="0622E10A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100</w:t>
            </w:r>
          </w:p>
        </w:tc>
        <w:tc>
          <w:tcPr>
            <w:tcW w:w="2808" w:type="dxa"/>
          </w:tcPr>
          <w:p w14:paraId="3A62B3D0" w14:textId="4FA07394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&lt;30 mg/dL</w:t>
            </w:r>
          </w:p>
        </w:tc>
      </w:tr>
      <w:tr w:rsidR="005B635C" w14:paraId="2CC0845A" w14:textId="77777777" w:rsidTr="005B635C">
        <w:tc>
          <w:tcPr>
            <w:tcW w:w="2808" w:type="dxa"/>
          </w:tcPr>
          <w:p w14:paraId="46DCFD18" w14:textId="6CB47412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Urine RBC </w:t>
            </w:r>
          </w:p>
        </w:tc>
        <w:tc>
          <w:tcPr>
            <w:tcW w:w="2808" w:type="dxa"/>
          </w:tcPr>
          <w:p w14:paraId="26E65125" w14:textId="4E3B4429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Nil</w:t>
            </w:r>
          </w:p>
        </w:tc>
        <w:tc>
          <w:tcPr>
            <w:tcW w:w="2808" w:type="dxa"/>
          </w:tcPr>
          <w:p w14:paraId="6CC3C098" w14:textId="05FB0A0A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0-2/ high power field (hpf)</w:t>
            </w:r>
          </w:p>
        </w:tc>
      </w:tr>
      <w:tr w:rsidR="00753A67" w14:paraId="2CC75913" w14:textId="77777777" w:rsidTr="005B635C">
        <w:tc>
          <w:tcPr>
            <w:tcW w:w="2808" w:type="dxa"/>
          </w:tcPr>
          <w:p w14:paraId="33611C9D" w14:textId="14266B99" w:rsidR="00753A67" w:rsidRPr="00AB3B32" w:rsidRDefault="00753A67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Serum Creatine phosphokinase (CPK)</w:t>
            </w:r>
          </w:p>
        </w:tc>
        <w:tc>
          <w:tcPr>
            <w:tcW w:w="2808" w:type="dxa"/>
          </w:tcPr>
          <w:p w14:paraId="2F93830F" w14:textId="48A22EA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1200 </w:t>
            </w:r>
          </w:p>
        </w:tc>
        <w:tc>
          <w:tcPr>
            <w:tcW w:w="2808" w:type="dxa"/>
          </w:tcPr>
          <w:p w14:paraId="4917AFFD" w14:textId="10E49AB5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30 – 135 IU/L</w:t>
            </w:r>
          </w:p>
        </w:tc>
      </w:tr>
      <w:tr w:rsidR="00753A67" w14:paraId="0A706492" w14:textId="77777777" w:rsidTr="00DD2ACB">
        <w:tc>
          <w:tcPr>
            <w:tcW w:w="2808" w:type="dxa"/>
          </w:tcPr>
          <w:p w14:paraId="3C9007D4" w14:textId="724BAB84" w:rsidR="00753A67" w:rsidRPr="00AB3B32" w:rsidRDefault="00753A67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Hepatitis B Surface Antigen (</w:t>
            </w:r>
            <w:proofErr w:type="gramStart"/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HBsAg )</w:t>
            </w:r>
            <w:proofErr w:type="gramEnd"/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 </w:t>
            </w:r>
          </w:p>
        </w:tc>
        <w:tc>
          <w:tcPr>
            <w:tcW w:w="5616" w:type="dxa"/>
            <w:gridSpan w:val="2"/>
          </w:tcPr>
          <w:p w14:paraId="33B03866" w14:textId="6E08848D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</w:tc>
      </w:tr>
      <w:tr w:rsidR="00753A67" w14:paraId="366DA40F" w14:textId="77777777" w:rsidTr="00F61DA4">
        <w:tc>
          <w:tcPr>
            <w:tcW w:w="2808" w:type="dxa"/>
          </w:tcPr>
          <w:p w14:paraId="42BD48D2" w14:textId="5A7E5636" w:rsidR="00753A67" w:rsidRPr="00AB3B32" w:rsidRDefault="00753A67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Anti- Hepatitis C Virus Antibody (Anti-HCV Ab)</w:t>
            </w:r>
          </w:p>
        </w:tc>
        <w:tc>
          <w:tcPr>
            <w:tcW w:w="5616" w:type="dxa"/>
            <w:gridSpan w:val="2"/>
          </w:tcPr>
          <w:p w14:paraId="4EBFADF9" w14:textId="77777777" w:rsidR="00753A67" w:rsidRPr="00753A67" w:rsidRDefault="00753A67" w:rsidP="00753A67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  <w:p w14:paraId="6A7C1CE6" w14:textId="7777777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</w:tc>
      </w:tr>
      <w:tr w:rsidR="00753A67" w14:paraId="326A6CF0" w14:textId="77777777" w:rsidTr="00697446">
        <w:tc>
          <w:tcPr>
            <w:tcW w:w="2808" w:type="dxa"/>
          </w:tcPr>
          <w:p w14:paraId="28564B52" w14:textId="4164120E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Human immunodeficiency virus (HIV)</w:t>
            </w:r>
          </w:p>
        </w:tc>
        <w:tc>
          <w:tcPr>
            <w:tcW w:w="5616" w:type="dxa"/>
            <w:gridSpan w:val="2"/>
          </w:tcPr>
          <w:p w14:paraId="6DE44680" w14:textId="77777777" w:rsidR="00753A67" w:rsidRPr="00753A67" w:rsidRDefault="00753A67" w:rsidP="00753A67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  <w:p w14:paraId="03175D7E" w14:textId="7777777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</w:tc>
      </w:tr>
      <w:tr w:rsidR="00753A67" w14:paraId="17C5D34B" w14:textId="77777777" w:rsidTr="006144A9">
        <w:tc>
          <w:tcPr>
            <w:tcW w:w="2808" w:type="dxa"/>
          </w:tcPr>
          <w:p w14:paraId="13AEC0DB" w14:textId="70EA0C8B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Anti-nuclear Antibody (ANA)</w:t>
            </w:r>
          </w:p>
        </w:tc>
        <w:tc>
          <w:tcPr>
            <w:tcW w:w="5616" w:type="dxa"/>
            <w:gridSpan w:val="2"/>
          </w:tcPr>
          <w:p w14:paraId="421F10BF" w14:textId="77777777" w:rsidR="00753A67" w:rsidRPr="00753A67" w:rsidRDefault="00753A67" w:rsidP="00753A67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  <w:p w14:paraId="75CB6A9C" w14:textId="7777777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</w:tc>
      </w:tr>
      <w:tr w:rsidR="00753A67" w14:paraId="2B1A02D0" w14:textId="77777777" w:rsidTr="00562B14">
        <w:tc>
          <w:tcPr>
            <w:tcW w:w="2808" w:type="dxa"/>
          </w:tcPr>
          <w:p w14:paraId="5923AD1D" w14:textId="4BD35363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lastRenderedPageBreak/>
              <w:t>Cytoplasmic and Perinuclear Anti-Neutrophil Cytoplasmic Antibody (C &amp; P- ANCA)</w:t>
            </w:r>
          </w:p>
        </w:tc>
        <w:tc>
          <w:tcPr>
            <w:tcW w:w="5616" w:type="dxa"/>
            <w:gridSpan w:val="2"/>
          </w:tcPr>
          <w:p w14:paraId="648DB307" w14:textId="6141FAFD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</w:tc>
      </w:tr>
      <w:tr w:rsidR="00753A67" w14:paraId="1AAC8E5D" w14:textId="77777777" w:rsidTr="00562B14">
        <w:tc>
          <w:tcPr>
            <w:tcW w:w="2808" w:type="dxa"/>
          </w:tcPr>
          <w:p w14:paraId="720F9787" w14:textId="419D0424" w:rsidR="00753A67" w:rsidRPr="0079187B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9187B">
              <w:rPr>
                <w:rFonts w:ascii="Arial" w:hAnsi="Arial"/>
                <w:bCs/>
                <w:sz w:val="20"/>
                <w:szCs w:val="20"/>
                <w:lang w:val="en-IN"/>
              </w:rPr>
              <w:t>USG Abdomen &amp; Pelvis</w:t>
            </w:r>
          </w:p>
        </w:tc>
        <w:tc>
          <w:tcPr>
            <w:tcW w:w="5616" w:type="dxa"/>
            <w:gridSpan w:val="2"/>
          </w:tcPr>
          <w:p w14:paraId="5B34FBCB" w14:textId="0373EE6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No significant abnormality</w:t>
            </w:r>
          </w:p>
        </w:tc>
      </w:tr>
      <w:tr w:rsidR="00753A67" w14:paraId="2DCB1B3E" w14:textId="77777777" w:rsidTr="00562B14">
        <w:tc>
          <w:tcPr>
            <w:tcW w:w="2808" w:type="dxa"/>
          </w:tcPr>
          <w:p w14:paraId="1745A80E" w14:textId="4A6CEACF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Fundoscopy</w:t>
            </w:r>
          </w:p>
        </w:tc>
        <w:tc>
          <w:tcPr>
            <w:tcW w:w="5616" w:type="dxa"/>
            <w:gridSpan w:val="2"/>
          </w:tcPr>
          <w:p w14:paraId="664CDD1A" w14:textId="4201395F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Multiple intra- retinal hemorrhages present</w:t>
            </w:r>
          </w:p>
        </w:tc>
      </w:tr>
      <w:tr w:rsidR="00470020" w14:paraId="331CF164" w14:textId="77777777" w:rsidTr="00562B14">
        <w:tc>
          <w:tcPr>
            <w:tcW w:w="2808" w:type="dxa"/>
          </w:tcPr>
          <w:p w14:paraId="7F1125AA" w14:textId="0DDAE2EF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proofErr w:type="gramStart"/>
            <w:r w:rsidRPr="00AB3B32">
              <w:rPr>
                <w:rFonts w:ascii="Arial" w:hAnsi="Arial" w:cs="Arial"/>
                <w:sz w:val="20"/>
                <w:szCs w:val="20"/>
              </w:rPr>
              <w:t>ECG:-</w:t>
            </w:r>
            <w:proofErr w:type="gramEnd"/>
            <w:r w:rsidRPr="00AB3B3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16" w:type="dxa"/>
            <w:gridSpan w:val="2"/>
          </w:tcPr>
          <w:p w14:paraId="4FDED84D" w14:textId="07310A69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 w:cs="Arial"/>
                <w:sz w:val="20"/>
                <w:szCs w:val="20"/>
              </w:rPr>
              <w:t xml:space="preserve">Heart </w:t>
            </w:r>
            <w:r w:rsidR="0079187B">
              <w:rPr>
                <w:rFonts w:ascii="Arial" w:hAnsi="Arial" w:cs="Arial"/>
                <w:sz w:val="20"/>
                <w:szCs w:val="20"/>
              </w:rPr>
              <w:t>r</w:t>
            </w:r>
            <w:r w:rsidRPr="00AB3B32">
              <w:rPr>
                <w:rFonts w:ascii="Arial" w:hAnsi="Arial" w:cs="Arial"/>
                <w:sz w:val="20"/>
                <w:szCs w:val="20"/>
              </w:rPr>
              <w:t>ate -90bpm, normal axis, normal sinus rhythm, no ST-T segment changes, no LVH features</w:t>
            </w:r>
          </w:p>
        </w:tc>
      </w:tr>
      <w:tr w:rsidR="00470020" w14:paraId="7B2B18FF" w14:textId="77777777" w:rsidTr="00C865AD">
        <w:tc>
          <w:tcPr>
            <w:tcW w:w="8424" w:type="dxa"/>
            <w:gridSpan w:val="3"/>
          </w:tcPr>
          <w:p w14:paraId="0155CF5B" w14:textId="77777777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/>
                <w:sz w:val="20"/>
                <w:szCs w:val="20"/>
                <w:lang w:val="en-IN"/>
              </w:rPr>
            </w:pPr>
            <w:proofErr w:type="gramStart"/>
            <w:r w:rsidRPr="00753A67">
              <w:rPr>
                <w:rFonts w:ascii="Arial" w:hAnsi="Arial"/>
                <w:b/>
                <w:sz w:val="20"/>
                <w:szCs w:val="20"/>
                <w:lang w:val="en-IN"/>
              </w:rPr>
              <w:t>Abbreviations:-</w:t>
            </w:r>
            <w:proofErr w:type="gramEnd"/>
            <w:r w:rsidRPr="00753A67">
              <w:rPr>
                <w:rFonts w:ascii="Arial" w:hAnsi="Arial"/>
                <w:b/>
                <w:sz w:val="20"/>
                <w:szCs w:val="20"/>
                <w:lang w:val="en-IN"/>
              </w:rPr>
              <w:t xml:space="preserve"> </w:t>
            </w:r>
          </w:p>
          <w:p w14:paraId="37419731" w14:textId="77777777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  <w:p w14:paraId="7F5F040B" w14:textId="41886965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ng- nanogram, pg- picogram, mg- milligram, g- gram, dL- deciliter, mL- millilitr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e</w:t>
            </w: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, IU- International Unit, μ-micro, cm- centimet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re</w:t>
            </w: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, mm –</w:t>
            </w: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 millimetr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e</w:t>
            </w: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, mEq/L – milliequivalents per lit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re</w:t>
            </w: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, s- seconds, USG- Ultrasonography, ECG- Electro cardio gram</w:t>
            </w:r>
            <w:r w:rsidR="0079187B">
              <w:rPr>
                <w:rFonts w:ascii="Arial" w:hAnsi="Arial"/>
                <w:bCs/>
                <w:sz w:val="20"/>
                <w:szCs w:val="20"/>
                <w:lang w:val="en-IN"/>
              </w:rPr>
              <w:t>, LVH- Left ventricular hypertrophy</w:t>
            </w:r>
          </w:p>
        </w:tc>
      </w:tr>
    </w:tbl>
    <w:p w14:paraId="4FB4C1A2" w14:textId="77777777" w:rsidR="00863BD3" w:rsidRDefault="00863BD3" w:rsidP="00441B6F">
      <w:pPr>
        <w:pStyle w:val="BodyText3"/>
        <w:tabs>
          <w:tab w:val="left" w:pos="1080"/>
        </w:tabs>
        <w:spacing w:after="0"/>
        <w:ind w:left="1080" w:hanging="1080"/>
        <w:jc w:val="both"/>
        <w:rPr>
          <w:rFonts w:ascii="Arial" w:hAnsi="Arial"/>
          <w:b/>
          <w:sz w:val="20"/>
          <w:szCs w:val="20"/>
        </w:rPr>
      </w:pPr>
    </w:p>
    <w:p w14:paraId="7F7C301A" w14:textId="77777777" w:rsidR="00376BBE" w:rsidRDefault="00376BBE" w:rsidP="00441B6F">
      <w:pPr>
        <w:pStyle w:val="Body"/>
        <w:spacing w:after="0"/>
        <w:rPr>
          <w:rFonts w:ascii="Arial" w:hAnsi="Arial" w:cs="Arial"/>
        </w:rPr>
      </w:pPr>
    </w:p>
    <w:p w14:paraId="5A4E44A3" w14:textId="77777777" w:rsidR="00376BBE" w:rsidRDefault="00376BBE" w:rsidP="00441B6F">
      <w:pPr>
        <w:pStyle w:val="Body"/>
        <w:spacing w:after="0"/>
        <w:rPr>
          <w:rFonts w:ascii="Arial" w:hAnsi="Arial" w:cs="Arial"/>
        </w:rPr>
      </w:pPr>
    </w:p>
    <w:p w14:paraId="2525CBC3" w14:textId="77777777" w:rsidR="00790ADA" w:rsidRDefault="00790ADA" w:rsidP="00441B6F">
      <w:pPr>
        <w:pStyle w:val="Body"/>
        <w:spacing w:after="0"/>
        <w:rPr>
          <w:rFonts w:ascii="Arial" w:hAnsi="Arial" w:cs="Arial"/>
        </w:rPr>
      </w:pPr>
    </w:p>
    <w:p w14:paraId="7A3D58EC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632DBE1A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6F95F0A0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102B2BC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65DD34D1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179C68D8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DACF4EA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3D15EE5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4A3A4D17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3577D6DE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4E559572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2BEF36F6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1C3A5E1F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3A60728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39AEE0F9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38CEE601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48CA5F98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23FD293F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FFE7CF7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1B63FF1C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261CA126" w14:textId="18E0B1C6" w:rsidR="001B2A6F" w:rsidRDefault="001B2A6F" w:rsidP="00441B6F">
      <w:pPr>
        <w:pStyle w:val="Body"/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D9EA8D" wp14:editId="114B76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43175" cy="3041920"/>
            <wp:effectExtent l="19050" t="19050" r="0" b="6350"/>
            <wp:wrapTight wrapText="bothSides">
              <wp:wrapPolygon edited="0">
                <wp:start x="-162" y="-135"/>
                <wp:lineTo x="-162" y="21645"/>
                <wp:lineTo x="21519" y="21645"/>
                <wp:lineTo x="21519" y="-135"/>
                <wp:lineTo x="-162" y="-135"/>
              </wp:wrapPolygon>
            </wp:wrapTight>
            <wp:docPr id="1323373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4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005FD4A" w14:textId="77777777" w:rsidR="001B2A6F" w:rsidRPr="00FB3A86" w:rsidRDefault="001B2A6F" w:rsidP="00441B6F">
      <w:pPr>
        <w:pStyle w:val="Body"/>
        <w:spacing w:after="0"/>
        <w:rPr>
          <w:rFonts w:ascii="Arial" w:hAnsi="Arial" w:cs="Arial"/>
        </w:rPr>
      </w:pPr>
    </w:p>
    <w:p w14:paraId="37F4C798" w14:textId="77777777" w:rsidR="00315186" w:rsidRPr="00315186" w:rsidRDefault="00315186" w:rsidP="00441B6F"/>
    <w:p w14:paraId="4499F31A" w14:textId="77777777" w:rsidR="00315186" w:rsidRPr="00315186" w:rsidRDefault="00315186" w:rsidP="00441B6F"/>
    <w:p w14:paraId="7EA6F98F" w14:textId="24D88585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EF436A5" w14:textId="325A96FC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ABEEB30" w14:textId="26FDD8B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3C5D332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9271DD4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C4F06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A30C76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C53D58" w14:textId="0E9E1FBA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5258BAF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3DC3E87" w14:textId="1D4FA6AE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F7809B" w14:textId="23F6CC61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5D8A3FD" w14:textId="4646375E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AF57E2B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BD42F0" w14:textId="4C7B09E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878FB5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2A3DDB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9CCAEDE" w14:textId="29CE313C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16D458B" w14:textId="56773064" w:rsidR="001B2A6F" w:rsidRPr="00962FE4" w:rsidRDefault="00786869" w:rsidP="00786869">
      <w:pPr>
        <w:pStyle w:val="AcknHead"/>
        <w:jc w:val="both"/>
        <w:rPr>
          <w:rFonts w:ascii="Arial" w:hAnsi="Arial" w:cs="Arial"/>
          <w:sz w:val="20"/>
        </w:rPr>
      </w:pPr>
      <w:r w:rsidRPr="00962FE4">
        <w:rPr>
          <w:rFonts w:ascii="Arial" w:hAnsi="Arial" w:cs="Arial"/>
          <w:sz w:val="20"/>
        </w:rPr>
        <w:t>FIGURE 1</w:t>
      </w:r>
      <w:r w:rsidRPr="00962FE4">
        <w:rPr>
          <w:rFonts w:ascii="Arial" w:hAnsi="Arial" w:cs="Arial"/>
          <w:b w:val="0"/>
          <w:bCs/>
          <w:sz w:val="20"/>
        </w:rPr>
        <w:t xml:space="preserve">: </w:t>
      </w:r>
      <w:r w:rsidRPr="00962FE4">
        <w:rPr>
          <w:rFonts w:ascii="Arial" w:hAnsi="Arial" w:cs="Arial"/>
          <w:b w:val="0"/>
          <w:bCs/>
          <w:caps w:val="0"/>
          <w:sz w:val="20"/>
        </w:rPr>
        <w:t>Ill-defined diffuse erythematous and violaceous patches</w:t>
      </w:r>
      <w:r w:rsidRPr="00962FE4">
        <w:rPr>
          <w:rFonts w:ascii="Arial" w:hAnsi="Arial" w:cs="Arial"/>
          <w:b w:val="0"/>
          <w:bCs/>
          <w:sz w:val="20"/>
        </w:rPr>
        <w:t xml:space="preserve"> </w:t>
      </w:r>
      <w:r w:rsidRPr="00962FE4">
        <w:rPr>
          <w:rFonts w:ascii="Arial" w:hAnsi="Arial" w:cs="Arial"/>
          <w:b w:val="0"/>
          <w:bCs/>
          <w:caps w:val="0"/>
          <w:sz w:val="20"/>
        </w:rPr>
        <w:t>noted over bilateral lower limbs</w:t>
      </w:r>
    </w:p>
    <w:p w14:paraId="5AD0B465" w14:textId="27517174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9A05CA6" w14:textId="566C581B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7DB2F40" w14:textId="580BB493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73ADBD6" w14:textId="771A9A4F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B8C1821" w14:textId="63949BD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29660B0" w14:textId="06F14809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9328" behindDoc="1" locked="0" layoutInCell="1" allowOverlap="1" wp14:anchorId="20F1F26E" wp14:editId="6B648F47">
            <wp:simplePos x="0" y="0"/>
            <wp:positionH relativeFrom="column">
              <wp:posOffset>419100</wp:posOffset>
            </wp:positionH>
            <wp:positionV relativeFrom="paragraph">
              <wp:posOffset>87630</wp:posOffset>
            </wp:positionV>
            <wp:extent cx="4914900" cy="2764155"/>
            <wp:effectExtent l="0" t="0" r="0" b="0"/>
            <wp:wrapThrough wrapText="bothSides">
              <wp:wrapPolygon edited="0">
                <wp:start x="0" y="0"/>
                <wp:lineTo x="0" y="21436"/>
                <wp:lineTo x="21516" y="21436"/>
                <wp:lineTo x="21516" y="0"/>
                <wp:lineTo x="0" y="0"/>
              </wp:wrapPolygon>
            </wp:wrapThrough>
            <wp:docPr id="932877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F4E3F" w14:textId="0A1105AA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8CAEED2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11A0669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51C64E7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4CFBD60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2292385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581F77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F491BA8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8C31440" w14:textId="719587D3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D7E1BE6" w14:textId="686B52F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D075D9B" w14:textId="0F47D25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D6C0571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DD6C635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192283F" w14:textId="395BF131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565AD5E" w14:textId="512E171C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12384B2" w14:textId="6689096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7059CA2" w14:textId="50DBCF4D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872B764" w14:textId="0FF139BF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304C9F7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02FBDB6" w14:textId="75EE3193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991EAFC" w14:textId="454E7C7D" w:rsidR="00786869" w:rsidRPr="00962FE4" w:rsidRDefault="00786869" w:rsidP="00786869">
      <w:pPr>
        <w:jc w:val="both"/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>FIGURE 2:</w:t>
      </w:r>
      <w:r w:rsidRPr="00962FE4">
        <w:rPr>
          <w:rFonts w:ascii="Arial" w:hAnsi="Arial" w:cs="Arial"/>
        </w:rPr>
        <w:t xml:space="preserve">   Bone marrow biopsy (40x, 100x- H&amp; E stain</w:t>
      </w:r>
      <w:proofErr w:type="gramStart"/>
      <w:r w:rsidRPr="00962FE4">
        <w:rPr>
          <w:rFonts w:ascii="Arial" w:hAnsi="Arial" w:cs="Arial"/>
        </w:rPr>
        <w:t>) :</w:t>
      </w:r>
      <w:proofErr w:type="gramEnd"/>
      <w:r w:rsidRPr="00962FE4">
        <w:rPr>
          <w:rFonts w:ascii="Arial" w:hAnsi="Arial" w:cs="Arial"/>
        </w:rPr>
        <w:t>- Normocellular marrow with myeloid hyperplasia, showing predominantly eosinophils and their precursors, no evidence of blasts and necrosis.</w:t>
      </w:r>
    </w:p>
    <w:p w14:paraId="6DF0B018" w14:textId="77777777" w:rsidR="00786869" w:rsidRPr="00962FE4" w:rsidRDefault="00786869" w:rsidP="00786869">
      <w:pPr>
        <w:jc w:val="both"/>
        <w:rPr>
          <w:rFonts w:ascii="Arial" w:hAnsi="Arial" w:cs="Arial"/>
        </w:rPr>
      </w:pPr>
      <w:r w:rsidRPr="00962FE4">
        <w:rPr>
          <w:rFonts w:ascii="Arial" w:hAnsi="Arial" w:cs="Arial"/>
        </w:rPr>
        <w:t>a-(40x): Normocellular marrow with myeloid hyperplasia</w:t>
      </w:r>
    </w:p>
    <w:p w14:paraId="45A07B95" w14:textId="4523B024" w:rsidR="00786869" w:rsidRDefault="00786869" w:rsidP="00786869">
      <w:pPr>
        <w:jc w:val="both"/>
        <w:rPr>
          <w:rFonts w:ascii="Arial" w:hAnsi="Arial" w:cs="Arial"/>
        </w:rPr>
      </w:pPr>
      <w:r w:rsidRPr="00962FE4">
        <w:rPr>
          <w:rFonts w:ascii="Arial" w:hAnsi="Arial" w:cs="Arial"/>
        </w:rPr>
        <w:t>b-(100x): Myeloid hyperplasia, showing predominantly eosinophils and their precursors</w:t>
      </w:r>
    </w:p>
    <w:p w14:paraId="05293032" w14:textId="182A9CD9" w:rsidR="00B41E2C" w:rsidRDefault="00B41E2C" w:rsidP="00786869">
      <w:pPr>
        <w:jc w:val="both"/>
        <w:rPr>
          <w:rFonts w:ascii="Arial" w:hAnsi="Arial" w:cs="Arial"/>
        </w:rPr>
      </w:pPr>
    </w:p>
    <w:p w14:paraId="35CFEA87" w14:textId="046511A4" w:rsidR="00B41E2C" w:rsidRDefault="00B41E2C" w:rsidP="00786869">
      <w:pPr>
        <w:jc w:val="both"/>
        <w:rPr>
          <w:rFonts w:ascii="Arial" w:hAnsi="Arial" w:cs="Arial"/>
        </w:rPr>
      </w:pPr>
    </w:p>
    <w:p w14:paraId="346276D4" w14:textId="77777777" w:rsidR="00B41E2C" w:rsidRPr="00962FE4" w:rsidRDefault="00B41E2C" w:rsidP="00786869">
      <w:pPr>
        <w:jc w:val="both"/>
        <w:rPr>
          <w:rFonts w:ascii="Arial" w:hAnsi="Arial" w:cs="Arial"/>
        </w:rPr>
      </w:pPr>
      <w:bookmarkStart w:id="0" w:name="_GoBack"/>
      <w:bookmarkEnd w:id="0"/>
    </w:p>
    <w:p w14:paraId="1E1BE748" w14:textId="1B26E4AE" w:rsidR="00541143" w:rsidRPr="00962FE4" w:rsidRDefault="00541143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18ABFE78" w14:textId="77777777" w:rsidR="00962FE4" w:rsidRPr="00962FE4" w:rsidRDefault="00962FE4" w:rsidP="00786869">
      <w:pPr>
        <w:rPr>
          <w:rFonts w:ascii="Arial" w:hAnsi="Arial" w:cs="Arial"/>
        </w:rPr>
      </w:pPr>
    </w:p>
    <w:p w14:paraId="5AF3B6A9" w14:textId="77777777" w:rsidR="00962FE4" w:rsidRDefault="00962FE4" w:rsidP="00786869">
      <w:pPr>
        <w:rPr>
          <w:rFonts w:ascii="Arial" w:hAnsi="Arial" w:cs="Arial"/>
          <w:sz w:val="22"/>
          <w:szCs w:val="22"/>
        </w:rPr>
      </w:pPr>
    </w:p>
    <w:p w14:paraId="2FAD2287" w14:textId="77777777" w:rsidR="00962FE4" w:rsidRDefault="00962FE4" w:rsidP="00786869">
      <w:pPr>
        <w:rPr>
          <w:rFonts w:ascii="Arial" w:hAnsi="Arial" w:cs="Arial"/>
          <w:sz w:val="22"/>
          <w:szCs w:val="22"/>
        </w:rPr>
      </w:pPr>
    </w:p>
    <w:p w14:paraId="04CC0371" w14:textId="2968AC77" w:rsidR="00786869" w:rsidRDefault="00786869" w:rsidP="00786869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69937C25" wp14:editId="243DC32D">
            <wp:simplePos x="0" y="0"/>
            <wp:positionH relativeFrom="column">
              <wp:posOffset>114300</wp:posOffset>
            </wp:positionH>
            <wp:positionV relativeFrom="paragraph">
              <wp:posOffset>498475</wp:posOffset>
            </wp:positionV>
            <wp:extent cx="3676650" cy="2686050"/>
            <wp:effectExtent l="19050" t="19050" r="0" b="0"/>
            <wp:wrapNone/>
            <wp:docPr id="1470743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98" cy="2686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69E68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7A42989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427D8FBC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6B53485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48C8C98F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858BA5A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4276247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E544F24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7877D449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9CC5243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406989ED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5D476638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ADA4504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37AC1A0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79448B17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5D41F93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587F57AE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7D9496C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CAB4084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51A07809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63BC1F3" w14:textId="77777777" w:rsid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6623BFE" w14:textId="699035A4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3</w:t>
      </w:r>
      <w:r w:rsidRPr="00962FE4">
        <w:rPr>
          <w:rFonts w:ascii="Arial" w:hAnsi="Arial" w:cs="Arial"/>
        </w:rPr>
        <w:t>: Skin biopsy (40x, 100x- Hematoxylin &amp; Eosin stain)</w:t>
      </w:r>
    </w:p>
    <w:p w14:paraId="62A224C6" w14:textId="77777777" w:rsidR="00786869" w:rsidRPr="00962FE4" w:rsidRDefault="00786869" w:rsidP="00786869">
      <w:pPr>
        <w:rPr>
          <w:rFonts w:ascii="Arial" w:hAnsi="Arial" w:cs="Arial"/>
        </w:rPr>
      </w:pPr>
    </w:p>
    <w:p w14:paraId="71A43CF0" w14:textId="77777777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a- (40x- H&amp; E stain)- Section studied shows atrophic skin with hyperkeratosis, the underlying dermis showing</w:t>
      </w:r>
    </w:p>
    <w:p w14:paraId="44C2AFD5" w14:textId="77777777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numerous scattered congested blood vessels. One focus shows thrombi, and many foci of extravasated red</w:t>
      </w:r>
    </w:p>
    <w:p w14:paraId="7BE066E7" w14:textId="3178E1B8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blood cells seen]</w:t>
      </w:r>
    </w:p>
    <w:p w14:paraId="6D14D1F7" w14:textId="6AD894AA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b- (100x- H&amp; E stain)- Numerous scattered congested blood vessels with a focus of thrombi seen.</w:t>
      </w:r>
    </w:p>
    <w:p w14:paraId="03276AF7" w14:textId="77777777" w:rsidR="00962FE4" w:rsidRDefault="00962FE4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0933A9BC" w14:textId="77777777" w:rsidR="00962FE4" w:rsidRDefault="00962FE4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4E020EAB" w14:textId="77777777" w:rsidR="00962FE4" w:rsidRDefault="00962FE4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01A29235" w14:textId="35490999" w:rsidR="00786869" w:rsidRPr="00962FE4" w:rsidRDefault="00786869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  <w:r w:rsidRPr="00962FE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9504" behindDoc="1" locked="0" layoutInCell="1" allowOverlap="1" wp14:anchorId="566F5308" wp14:editId="2D893EBC">
            <wp:simplePos x="0" y="0"/>
            <wp:positionH relativeFrom="column">
              <wp:posOffset>142875</wp:posOffset>
            </wp:positionH>
            <wp:positionV relativeFrom="paragraph">
              <wp:posOffset>32385</wp:posOffset>
            </wp:positionV>
            <wp:extent cx="2390775" cy="2377440"/>
            <wp:effectExtent l="19050" t="19050" r="9525" b="3810"/>
            <wp:wrapTight wrapText="bothSides">
              <wp:wrapPolygon edited="0">
                <wp:start x="-172" y="-173"/>
                <wp:lineTo x="-172" y="21635"/>
                <wp:lineTo x="21686" y="21635"/>
                <wp:lineTo x="21686" y="-173"/>
                <wp:lineTo x="-172" y="-173"/>
              </wp:wrapPolygon>
            </wp:wrapTight>
            <wp:docPr id="18909019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49406" w14:textId="6C65F7B9" w:rsidR="00786869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5E6075E" w14:textId="3C86441B" w:rsidR="00786869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CB2B61A" w14:textId="67500DF4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C85EBEC" w14:textId="4C6C69A4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2ECAA8" w14:textId="74AD7640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A934081" w14:textId="1072FECB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E287444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94D46C0" w14:textId="5782E1B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6BC785B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6F6DA6" w14:textId="283624FB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28CDC8A" w14:textId="2A3AD00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0164FAB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F0802A3" w14:textId="365CABA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84238E3" w14:textId="308062E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684130A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016B32C" w14:textId="5E45063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B199BA0" w14:textId="6EBAEA44" w:rsidR="00786869" w:rsidRPr="00962FE4" w:rsidRDefault="00786869" w:rsidP="00786869"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4</w:t>
      </w:r>
      <w:r w:rsidRPr="00962FE4">
        <w:rPr>
          <w:rFonts w:ascii="Arial" w:hAnsi="Arial" w:cs="Arial"/>
        </w:rPr>
        <w:t xml:space="preserve">: Skin biopsy </w:t>
      </w:r>
      <w:proofErr w:type="gramStart"/>
      <w:r w:rsidRPr="00962FE4">
        <w:rPr>
          <w:rFonts w:ascii="Arial" w:hAnsi="Arial" w:cs="Arial"/>
        </w:rPr>
        <w:t>( 100</w:t>
      </w:r>
      <w:proofErr w:type="gramEnd"/>
      <w:r w:rsidRPr="00962FE4">
        <w:rPr>
          <w:rFonts w:ascii="Arial" w:hAnsi="Arial" w:cs="Arial"/>
        </w:rPr>
        <w:t>x- H&amp; E stain) :- Section studied shows perivascular area with dense eosinophilic and some lymphocytic infiltrates</w:t>
      </w:r>
      <w:r w:rsidRPr="00962FE4">
        <w:t xml:space="preserve"> </w:t>
      </w:r>
    </w:p>
    <w:p w14:paraId="3EE71FFB" w14:textId="77777777" w:rsidR="00786869" w:rsidRDefault="00786869" w:rsidP="00786869"/>
    <w:p w14:paraId="1A5CEE8A" w14:textId="41CC72EE" w:rsidR="00786869" w:rsidRDefault="00786869" w:rsidP="00786869"/>
    <w:p w14:paraId="2F6EF840" w14:textId="1C8F6583" w:rsidR="00786869" w:rsidRDefault="00786869" w:rsidP="00786869"/>
    <w:p w14:paraId="5320E8D4" w14:textId="4B54B735" w:rsidR="00786869" w:rsidRDefault="00786869" w:rsidP="00786869"/>
    <w:p w14:paraId="6ACF3C04" w14:textId="1A68FCC7" w:rsidR="00786869" w:rsidRDefault="00786869" w:rsidP="00786869"/>
    <w:p w14:paraId="24A16B20" w14:textId="161EF9ED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EB0AC3B" wp14:editId="28EC922D">
            <wp:simplePos x="0" y="0"/>
            <wp:positionH relativeFrom="column">
              <wp:posOffset>142875</wp:posOffset>
            </wp:positionH>
            <wp:positionV relativeFrom="paragraph">
              <wp:posOffset>94615</wp:posOffset>
            </wp:positionV>
            <wp:extent cx="3448050" cy="3448050"/>
            <wp:effectExtent l="19050" t="19050" r="0" b="0"/>
            <wp:wrapTight wrapText="bothSides">
              <wp:wrapPolygon edited="0">
                <wp:start x="-119" y="-119"/>
                <wp:lineTo x="-119" y="21600"/>
                <wp:lineTo x="21600" y="21600"/>
                <wp:lineTo x="21600" y="-119"/>
                <wp:lineTo x="-119" y="-119"/>
              </wp:wrapPolygon>
            </wp:wrapTight>
            <wp:docPr id="3845446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FF0F" w14:textId="54895248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7301B4B" w14:textId="41E9E286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CE66F9" w14:textId="034A3F28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B10762B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A9712AF" w14:textId="248B60E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6D0840D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124BADB" w14:textId="25172F0D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A66959E" w14:textId="3E41B8E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8037002" w14:textId="0A2C6F91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5E5C28C" w14:textId="5A414C75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4C41906" w14:textId="1C19989F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91A165" w14:textId="43E35F2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D94F70B" w14:textId="5CD126B3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930437D" w14:textId="67F2D856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0FEF51C" w14:textId="1501347F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300DEAE" w14:textId="4048A9F2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A06ED4D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FA72E1F" w14:textId="427DCD6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04BD2D8" w14:textId="734FEF6D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4AA352E" w14:textId="4F08093F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BB684BA" w14:textId="1AAC21CE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6FCF123" w14:textId="1059E5E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17E6A22" w14:textId="336C55A8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5</w:t>
      </w:r>
      <w:r w:rsidRPr="00962FE4">
        <w:rPr>
          <w:rFonts w:ascii="Arial" w:hAnsi="Arial" w:cs="Arial"/>
          <w:b/>
          <w:bCs/>
        </w:rPr>
        <w:t>:</w:t>
      </w:r>
      <w:r w:rsidRPr="00962FE4">
        <w:rPr>
          <w:rFonts w:ascii="Arial" w:hAnsi="Arial" w:cs="Arial"/>
        </w:rPr>
        <w:t xml:space="preserve"> Lower limb Motor Nerve Conduction Study (NCS) – showed markedly reduced CMAP amplitudes in all tested nerves with preserved conduction velocities and normal/mildly prolonged latencies, consistent</w:t>
      </w:r>
    </w:p>
    <w:p w14:paraId="49BA94A2" w14:textId="77777777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with a severe symmetrical motor axonal neuropathy</w:t>
      </w:r>
    </w:p>
    <w:p w14:paraId="3D9E8AF8" w14:textId="0EA3337F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22F20D4" w14:textId="341AF588" w:rsidR="00541143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 wp14:anchorId="119E6AC9" wp14:editId="7483699B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3371850" cy="3371850"/>
            <wp:effectExtent l="19050" t="19050" r="0" b="0"/>
            <wp:wrapTight wrapText="bothSides">
              <wp:wrapPolygon edited="0">
                <wp:start x="-122" y="-122"/>
                <wp:lineTo x="-122" y="21600"/>
                <wp:lineTo x="21600" y="21600"/>
                <wp:lineTo x="21600" y="-122"/>
                <wp:lineTo x="-122" y="-122"/>
              </wp:wrapPolygon>
            </wp:wrapTight>
            <wp:docPr id="3229749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339B8" w14:textId="4E447A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A3E6B32" w14:textId="768213A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92DA34B" w14:textId="2A90D6A6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C7BE114" w14:textId="18CFF28D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F600DD4" w14:textId="384024A9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93ED9B5" w14:textId="70ABE12D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BD01F9" w14:textId="61427C1C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01A44A0" w14:textId="2849ABB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6B60A95" w14:textId="1B6B4D1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5AE4CF1" w14:textId="58CCFF03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4916286" w14:textId="1A040138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1CBB4EC" w14:textId="20B9FA9C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D263D4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5E8003C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87BA876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2A940FC" w14:textId="15810B2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50D3DBF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B800CB" w14:textId="3D848D4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A111DED" w14:textId="523253DE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B0F4EFB" w14:textId="6C0A9FF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40195CD" w14:textId="4182979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E155F2" w14:textId="77777777" w:rsidR="00541143" w:rsidRPr="00962FE4" w:rsidRDefault="00541143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4494EA6A" w14:textId="58789395" w:rsidR="00786869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6</w:t>
      </w:r>
      <w:r w:rsidRPr="00962FE4">
        <w:rPr>
          <w:rFonts w:ascii="Arial" w:hAnsi="Arial" w:cs="Arial"/>
          <w:b/>
          <w:bCs/>
        </w:rPr>
        <w:t>:</w:t>
      </w:r>
      <w:r w:rsidRPr="00962FE4">
        <w:rPr>
          <w:rFonts w:ascii="Arial" w:hAnsi="Arial" w:cs="Arial"/>
        </w:rPr>
        <w:t xml:space="preserve"> Upper limb Motor Nerve Conduction Study (NCS) – showed markedly reduced CMAP amplitudes in all tested nerves with preserved conduction velocities and normal/mildly prolonged latencies, consistent</w:t>
      </w:r>
      <w:r w:rsidR="0079187B">
        <w:rPr>
          <w:rFonts w:ascii="Arial" w:hAnsi="Arial" w:cs="Arial"/>
        </w:rPr>
        <w:t xml:space="preserve"> </w:t>
      </w:r>
      <w:r w:rsidRPr="00962FE4">
        <w:rPr>
          <w:rFonts w:ascii="Arial" w:hAnsi="Arial" w:cs="Arial"/>
        </w:rPr>
        <w:t>with a severe symmetrical motor axonal neuropathy</w:t>
      </w:r>
    </w:p>
    <w:p w14:paraId="27624BA0" w14:textId="126EFDBB" w:rsidR="00962FE4" w:rsidRPr="00962FE4" w:rsidRDefault="00962FE4" w:rsidP="00786869">
      <w:pPr>
        <w:rPr>
          <w:rFonts w:ascii="Arial" w:hAnsi="Arial" w:cs="Arial"/>
        </w:rPr>
      </w:pPr>
    </w:p>
    <w:p w14:paraId="62F7E5EF" w14:textId="1D96EFBD" w:rsidR="00541143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.</w:t>
      </w:r>
    </w:p>
    <w:p w14:paraId="34450F4F" w14:textId="63A1EE6C" w:rsidR="00786869" w:rsidRPr="00786869" w:rsidRDefault="00962FE4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389AEDB3" wp14:editId="5FB5569E">
            <wp:simplePos x="0" y="0"/>
            <wp:positionH relativeFrom="column">
              <wp:posOffset>-36830</wp:posOffset>
            </wp:positionH>
            <wp:positionV relativeFrom="paragraph">
              <wp:posOffset>58420</wp:posOffset>
            </wp:positionV>
            <wp:extent cx="3543300" cy="3543300"/>
            <wp:effectExtent l="19050" t="19050" r="0" b="0"/>
            <wp:wrapTight wrapText="bothSides">
              <wp:wrapPolygon edited="0">
                <wp:start x="-116" y="-116"/>
                <wp:lineTo x="-116" y="21600"/>
                <wp:lineTo x="21600" y="21600"/>
                <wp:lineTo x="21600" y="-116"/>
                <wp:lineTo x="-116" y="-116"/>
              </wp:wrapPolygon>
            </wp:wrapTight>
            <wp:docPr id="11184183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9A284" w14:textId="77777777" w:rsidR="00786869" w:rsidRPr="00786869" w:rsidRDefault="00786869" w:rsidP="00786869">
      <w:pPr>
        <w:rPr>
          <w:rFonts w:ascii="Arial" w:hAnsi="Arial" w:cs="Arial"/>
        </w:rPr>
      </w:pPr>
    </w:p>
    <w:p w14:paraId="1BFAD8C3" w14:textId="77777777" w:rsidR="00786869" w:rsidRPr="00786869" w:rsidRDefault="00786869" w:rsidP="00786869">
      <w:pPr>
        <w:rPr>
          <w:rFonts w:ascii="Arial" w:hAnsi="Arial" w:cs="Arial"/>
        </w:rPr>
      </w:pPr>
    </w:p>
    <w:p w14:paraId="07989D21" w14:textId="77777777" w:rsidR="00786869" w:rsidRPr="00786869" w:rsidRDefault="00786869" w:rsidP="00786869">
      <w:pPr>
        <w:rPr>
          <w:rFonts w:ascii="Arial" w:hAnsi="Arial" w:cs="Arial"/>
        </w:rPr>
      </w:pPr>
    </w:p>
    <w:p w14:paraId="576E09A0" w14:textId="77777777" w:rsidR="00786869" w:rsidRPr="00786869" w:rsidRDefault="00786869" w:rsidP="00786869">
      <w:pPr>
        <w:rPr>
          <w:rFonts w:ascii="Arial" w:hAnsi="Arial" w:cs="Arial"/>
        </w:rPr>
      </w:pPr>
    </w:p>
    <w:p w14:paraId="06CDAA71" w14:textId="77777777" w:rsidR="00786869" w:rsidRPr="00786869" w:rsidRDefault="00786869" w:rsidP="00786869">
      <w:pPr>
        <w:rPr>
          <w:rFonts w:ascii="Arial" w:hAnsi="Arial" w:cs="Arial"/>
        </w:rPr>
      </w:pPr>
    </w:p>
    <w:p w14:paraId="5E3568FD" w14:textId="77777777" w:rsidR="00786869" w:rsidRPr="00786869" w:rsidRDefault="00786869" w:rsidP="00786869">
      <w:pPr>
        <w:rPr>
          <w:rFonts w:ascii="Arial" w:hAnsi="Arial" w:cs="Arial"/>
        </w:rPr>
      </w:pPr>
    </w:p>
    <w:p w14:paraId="08399D43" w14:textId="77777777" w:rsidR="00786869" w:rsidRPr="00786869" w:rsidRDefault="00786869" w:rsidP="00786869">
      <w:pPr>
        <w:rPr>
          <w:rFonts w:ascii="Arial" w:hAnsi="Arial" w:cs="Arial"/>
        </w:rPr>
      </w:pPr>
    </w:p>
    <w:p w14:paraId="768D6FF8" w14:textId="77777777" w:rsidR="00786869" w:rsidRPr="00786869" w:rsidRDefault="00786869" w:rsidP="00786869">
      <w:pPr>
        <w:rPr>
          <w:rFonts w:ascii="Arial" w:hAnsi="Arial" w:cs="Arial"/>
        </w:rPr>
      </w:pPr>
    </w:p>
    <w:p w14:paraId="3FE2DA7A" w14:textId="77777777" w:rsidR="00786869" w:rsidRPr="00786869" w:rsidRDefault="00786869" w:rsidP="00786869">
      <w:pPr>
        <w:rPr>
          <w:rFonts w:ascii="Arial" w:hAnsi="Arial" w:cs="Arial"/>
        </w:rPr>
      </w:pPr>
    </w:p>
    <w:p w14:paraId="5E2FDE0F" w14:textId="77777777" w:rsidR="00786869" w:rsidRPr="00786869" w:rsidRDefault="00786869" w:rsidP="00786869">
      <w:pPr>
        <w:rPr>
          <w:rFonts w:ascii="Arial" w:hAnsi="Arial" w:cs="Arial"/>
        </w:rPr>
      </w:pPr>
    </w:p>
    <w:p w14:paraId="192452CD" w14:textId="77777777" w:rsidR="00786869" w:rsidRPr="00786869" w:rsidRDefault="00786869" w:rsidP="00786869">
      <w:pPr>
        <w:rPr>
          <w:rFonts w:ascii="Arial" w:hAnsi="Arial" w:cs="Arial"/>
        </w:rPr>
      </w:pPr>
    </w:p>
    <w:p w14:paraId="27F2FC6F" w14:textId="77777777" w:rsidR="00786869" w:rsidRPr="00786869" w:rsidRDefault="00786869" w:rsidP="00786869">
      <w:pPr>
        <w:rPr>
          <w:rFonts w:ascii="Arial" w:hAnsi="Arial" w:cs="Arial"/>
        </w:rPr>
      </w:pPr>
    </w:p>
    <w:p w14:paraId="187B6229" w14:textId="77777777" w:rsidR="00786869" w:rsidRPr="00786869" w:rsidRDefault="00786869" w:rsidP="00786869">
      <w:pPr>
        <w:rPr>
          <w:rFonts w:ascii="Arial" w:hAnsi="Arial" w:cs="Arial"/>
        </w:rPr>
      </w:pPr>
    </w:p>
    <w:p w14:paraId="2CC46699" w14:textId="77777777" w:rsidR="00786869" w:rsidRPr="00786869" w:rsidRDefault="00786869" w:rsidP="00786869">
      <w:pPr>
        <w:rPr>
          <w:rFonts w:ascii="Arial" w:hAnsi="Arial" w:cs="Arial"/>
        </w:rPr>
      </w:pPr>
    </w:p>
    <w:p w14:paraId="02964B09" w14:textId="77777777" w:rsidR="00786869" w:rsidRPr="00786869" w:rsidRDefault="00786869" w:rsidP="00786869">
      <w:pPr>
        <w:rPr>
          <w:rFonts w:ascii="Arial" w:hAnsi="Arial" w:cs="Arial"/>
        </w:rPr>
      </w:pPr>
    </w:p>
    <w:p w14:paraId="7846263B" w14:textId="77777777" w:rsidR="00786869" w:rsidRPr="00786869" w:rsidRDefault="00786869" w:rsidP="00786869">
      <w:pPr>
        <w:rPr>
          <w:rFonts w:ascii="Arial" w:hAnsi="Arial" w:cs="Arial"/>
        </w:rPr>
      </w:pPr>
    </w:p>
    <w:p w14:paraId="3FD0360A" w14:textId="77777777" w:rsidR="00786869" w:rsidRPr="00786869" w:rsidRDefault="00786869" w:rsidP="00786869">
      <w:pPr>
        <w:rPr>
          <w:rFonts w:ascii="Arial" w:hAnsi="Arial" w:cs="Arial"/>
        </w:rPr>
      </w:pPr>
    </w:p>
    <w:p w14:paraId="2B0963F8" w14:textId="77777777" w:rsidR="00786869" w:rsidRPr="00786869" w:rsidRDefault="00786869" w:rsidP="00786869">
      <w:pPr>
        <w:rPr>
          <w:rFonts w:ascii="Arial" w:hAnsi="Arial" w:cs="Arial"/>
        </w:rPr>
      </w:pPr>
    </w:p>
    <w:p w14:paraId="7C9CE781" w14:textId="77777777" w:rsidR="00786869" w:rsidRPr="00786869" w:rsidRDefault="00786869" w:rsidP="00786869">
      <w:pPr>
        <w:rPr>
          <w:rFonts w:ascii="Arial" w:hAnsi="Arial" w:cs="Arial"/>
        </w:rPr>
      </w:pPr>
    </w:p>
    <w:p w14:paraId="47E3CC9C" w14:textId="77777777" w:rsidR="00786869" w:rsidRPr="00786869" w:rsidRDefault="00786869" w:rsidP="00786869">
      <w:pPr>
        <w:rPr>
          <w:rFonts w:ascii="Arial" w:hAnsi="Arial" w:cs="Arial"/>
        </w:rPr>
      </w:pPr>
    </w:p>
    <w:p w14:paraId="2E2E30CD" w14:textId="77777777" w:rsidR="00786869" w:rsidRPr="00786869" w:rsidRDefault="00786869" w:rsidP="00786869">
      <w:pPr>
        <w:rPr>
          <w:rFonts w:ascii="Arial" w:hAnsi="Arial" w:cs="Arial"/>
        </w:rPr>
      </w:pPr>
    </w:p>
    <w:p w14:paraId="1D71E70E" w14:textId="77777777" w:rsid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42AD9CD" w14:textId="77777777" w:rsidR="00786869" w:rsidRPr="00786869" w:rsidRDefault="00786869" w:rsidP="00786869">
      <w:pPr>
        <w:rPr>
          <w:rFonts w:ascii="Arial" w:hAnsi="Arial" w:cs="Arial"/>
        </w:rPr>
      </w:pPr>
    </w:p>
    <w:p w14:paraId="6D393ED9" w14:textId="77777777" w:rsidR="00786869" w:rsidRPr="00786869" w:rsidRDefault="00786869" w:rsidP="00786869">
      <w:pPr>
        <w:rPr>
          <w:rFonts w:ascii="Arial" w:hAnsi="Arial" w:cs="Arial"/>
        </w:rPr>
      </w:pPr>
    </w:p>
    <w:p w14:paraId="0204B5EB" w14:textId="77777777" w:rsidR="00786869" w:rsidRPr="00786869" w:rsidRDefault="00786869" w:rsidP="00786869">
      <w:pPr>
        <w:rPr>
          <w:rFonts w:ascii="Arial" w:hAnsi="Arial" w:cs="Arial"/>
          <w:b/>
          <w:bCs/>
          <w:sz w:val="22"/>
          <w:szCs w:val="22"/>
        </w:rPr>
      </w:pPr>
    </w:p>
    <w:p w14:paraId="0BDF22AD" w14:textId="138636FB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7</w:t>
      </w:r>
      <w:r w:rsidRPr="00962FE4">
        <w:rPr>
          <w:rFonts w:ascii="Arial" w:hAnsi="Arial" w:cs="Arial"/>
        </w:rPr>
        <w:t>: Sensory Nerve Conduction Study (NCS) - revealed severely reduced sensory amplitudes in upper limbs and absent sural responses bilaterally with preserved velocities, indicating a severe symmetrical</w:t>
      </w:r>
    </w:p>
    <w:p w14:paraId="24DDA784" w14:textId="43F682B6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 xml:space="preserve">sensory axonal neuropathy </w:t>
      </w:r>
    </w:p>
    <w:p w14:paraId="32F21204" w14:textId="48F7E2B2" w:rsid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19AB0A4" w14:textId="77777777" w:rsidR="00786869" w:rsidRPr="00786869" w:rsidRDefault="00786869" w:rsidP="00786869">
      <w:pPr>
        <w:rPr>
          <w:rFonts w:ascii="Arial" w:hAnsi="Arial" w:cs="Arial"/>
        </w:rPr>
      </w:pPr>
    </w:p>
    <w:p w14:paraId="2B2F2DFC" w14:textId="27B62E2B" w:rsidR="00541143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79FBB876" wp14:editId="27779D70">
            <wp:simplePos x="0" y="0"/>
            <wp:positionH relativeFrom="column">
              <wp:posOffset>343906</wp:posOffset>
            </wp:positionH>
            <wp:positionV relativeFrom="paragraph">
              <wp:posOffset>-112387</wp:posOffset>
            </wp:positionV>
            <wp:extent cx="3162300" cy="3028950"/>
            <wp:effectExtent l="19050" t="19050" r="0" b="0"/>
            <wp:wrapTight wrapText="bothSides">
              <wp:wrapPolygon edited="0">
                <wp:start x="-130" y="-136"/>
                <wp:lineTo x="-130" y="21600"/>
                <wp:lineTo x="21600" y="21600"/>
                <wp:lineTo x="21600" y="-136"/>
                <wp:lineTo x="-130" y="-136"/>
              </wp:wrapPolygon>
            </wp:wrapTight>
            <wp:docPr id="8116774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9A3A2" w14:textId="0173C59B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A8DD1B8" w14:textId="2C7DB1FA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36BDDE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CACF038" w14:textId="1BBC73E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7E8F325" w14:textId="4362228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F5E8B62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1E86A50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4150F6F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BEE1B48" w14:textId="06DD600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070FDD6" w14:textId="555522E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309997D" w14:textId="798AD5A5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FF894DB" w14:textId="7666451A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808AB83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3A3F8B3" w14:textId="03D42833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208B21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99C70BF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8771D7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07158E4" w14:textId="5C1229BA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2A76700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715B35B" w14:textId="59C561DE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DBB5E51" w14:textId="628DFC78" w:rsidR="00541143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>
        <w:rPr>
          <w:rFonts w:ascii="Arial" w:hAnsi="Arial" w:cs="Arial"/>
          <w:b/>
          <w:bCs/>
        </w:rPr>
        <w:t>8</w:t>
      </w:r>
      <w:r w:rsidRPr="00962FE4">
        <w:rPr>
          <w:rFonts w:ascii="Arial" w:hAnsi="Arial" w:cs="Arial"/>
          <w:b/>
          <w:bCs/>
        </w:rPr>
        <w:t>:</w:t>
      </w:r>
      <w:r w:rsidRPr="00962FE4">
        <w:rPr>
          <w:rFonts w:ascii="Arial" w:hAnsi="Arial" w:cs="Arial"/>
        </w:rPr>
        <w:t xml:space="preserve"> Magnetic Resonance Imaging (MRI) Brain- Diffusion Weighted Imaging (DWI) showing diffusion restriction in cerebral hemisphere, consistent with acute infarction</w:t>
      </w:r>
    </w:p>
    <w:p w14:paraId="6CB55FE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85ED3D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F726AD0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33F03C3" w14:textId="77777777" w:rsidR="00C948C5" w:rsidRPr="00C176DF" w:rsidRDefault="00C948C5" w:rsidP="00470020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67381738" w14:textId="77777777" w:rsidR="00860000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6DDFBBCC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554BB3AF" w14:textId="77777777" w:rsidR="00470020" w:rsidRDefault="0047002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468A5413" w14:textId="0CC6DEE0" w:rsidR="00962FE4" w:rsidRDefault="00470020" w:rsidP="00470020">
      <w:pPr>
        <w:pStyle w:val="Body"/>
        <w:rPr>
          <w:rFonts w:ascii="Arial" w:hAnsi="Arial" w:cs="Arial"/>
        </w:rPr>
      </w:pPr>
      <w:r w:rsidRPr="00470020">
        <w:rPr>
          <w:rFonts w:ascii="Arial" w:hAnsi="Arial" w:cs="Arial"/>
          <w:lang w:val="en-IN"/>
        </w:rPr>
        <w:t xml:space="preserve">1. </w:t>
      </w:r>
      <w:proofErr w:type="spellStart"/>
      <w:r w:rsidR="0019042F" w:rsidRPr="0019042F">
        <w:rPr>
          <w:rFonts w:ascii="Arial" w:hAnsi="Arial" w:cs="Arial"/>
          <w:lang w:val="en-IN"/>
        </w:rPr>
        <w:t>Vasandani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V., O’Leary, S., Gandhi, R., </w:t>
      </w:r>
      <w:proofErr w:type="spellStart"/>
      <w:r w:rsidR="0019042F" w:rsidRPr="0019042F">
        <w:rPr>
          <w:rFonts w:ascii="Arial" w:hAnsi="Arial" w:cs="Arial"/>
          <w:lang w:val="en-IN"/>
        </w:rPr>
        <w:t>Koneru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S., </w:t>
      </w:r>
      <w:proofErr w:type="spellStart"/>
      <w:r w:rsidR="0019042F" w:rsidRPr="0019042F">
        <w:rPr>
          <w:rFonts w:ascii="Arial" w:hAnsi="Arial" w:cs="Arial"/>
          <w:lang w:val="en-IN"/>
        </w:rPr>
        <w:t>Vasandani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S. K., </w:t>
      </w:r>
      <w:proofErr w:type="spellStart"/>
      <w:r w:rsidR="0019042F" w:rsidRPr="0019042F">
        <w:rPr>
          <w:rFonts w:ascii="Arial" w:hAnsi="Arial" w:cs="Arial"/>
          <w:lang w:val="en-IN"/>
        </w:rPr>
        <w:t>Vasandani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S. K., &amp; </w:t>
      </w:r>
      <w:proofErr w:type="spellStart"/>
      <w:r w:rsidR="0019042F" w:rsidRPr="0019042F">
        <w:rPr>
          <w:rFonts w:ascii="Arial" w:hAnsi="Arial" w:cs="Arial"/>
          <w:lang w:val="en-IN"/>
        </w:rPr>
        <w:t>Vasandani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S. K. (2025). </w:t>
      </w:r>
      <w:proofErr w:type="spellStart"/>
      <w:r w:rsidR="0019042F" w:rsidRPr="0019042F">
        <w:rPr>
          <w:rFonts w:ascii="Arial" w:hAnsi="Arial" w:cs="Arial"/>
          <w:lang w:val="en-IN"/>
        </w:rPr>
        <w:t>Unraveling</w:t>
      </w:r>
      <w:proofErr w:type="spellEnd"/>
      <w:r w:rsidR="0019042F" w:rsidRPr="0019042F">
        <w:rPr>
          <w:rFonts w:ascii="Arial" w:hAnsi="Arial" w:cs="Arial"/>
          <w:lang w:val="en-IN"/>
        </w:rPr>
        <w:t xml:space="preserve"> cerebrovascular involvement in EGPA through digital subtraction angiography: case presentation and systematic literature review. *BMC Rheumatology*, *9*(1), 80. </w:t>
      </w:r>
      <w:hyperlink r:id="rId22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https://doi.org/10.1186/s41927-025-00518-7</w:t>
        </w:r>
      </w:hyperlink>
      <w:r w:rsidR="0019042F">
        <w:rPr>
          <w:rFonts w:ascii="Arial" w:hAnsi="Arial" w:cs="Arial"/>
          <w:lang w:val="en-IN"/>
        </w:rPr>
        <w:t xml:space="preserve">  </w:t>
      </w:r>
    </w:p>
    <w:p w14:paraId="4C8C0EEC" w14:textId="37901CD1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2. </w:t>
      </w:r>
      <w:r w:rsidR="0019042F" w:rsidRPr="0019042F">
        <w:rPr>
          <w:rFonts w:ascii="Arial" w:hAnsi="Arial" w:cs="Arial"/>
          <w:lang w:val="en-IN"/>
        </w:rPr>
        <w:t xml:space="preserve">Inayat, W., Iqbal, S., Adnan, F., Ali, A., &amp; Zeb, A. (2025). "A Case of Eosinophilic Granulomatosis </w:t>
      </w:r>
      <w:proofErr w:type="gramStart"/>
      <w:r w:rsidR="0019042F" w:rsidRPr="0019042F">
        <w:rPr>
          <w:rFonts w:ascii="Arial" w:hAnsi="Arial" w:cs="Arial"/>
          <w:lang w:val="en-IN"/>
        </w:rPr>
        <w:t>With</w:t>
      </w:r>
      <w:proofErr w:type="gramEnd"/>
      <w:r w:rsidR="0019042F" w:rsidRPr="0019042F">
        <w:rPr>
          <w:rFonts w:ascii="Arial" w:hAnsi="Arial" w:cs="Arial"/>
          <w:lang w:val="en-IN"/>
        </w:rPr>
        <w:t xml:space="preserve"> Polyangiitis Presenting as Quadriplegia": A Clinical and Diagnostic Report. Journal of Investigative Medicine High Impact Case Reports. </w:t>
      </w:r>
      <w:hyperlink r:id="rId23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https://doi.org/10.1177/23247096251374513</w:t>
        </w:r>
      </w:hyperlink>
      <w:r w:rsidR="0019042F">
        <w:rPr>
          <w:rFonts w:ascii="Arial" w:hAnsi="Arial" w:cs="Arial"/>
          <w:lang w:val="en-IN"/>
        </w:rPr>
        <w:t xml:space="preserve"> </w:t>
      </w:r>
      <w:r w:rsidRPr="00470020">
        <w:rPr>
          <w:rFonts w:ascii="Arial" w:hAnsi="Arial" w:cs="Arial"/>
          <w:lang w:val="en-IN"/>
        </w:rPr>
        <w:t>.</w:t>
      </w:r>
    </w:p>
    <w:p w14:paraId="2308CC9E" w14:textId="7E6A6547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3. </w:t>
      </w:r>
      <w:proofErr w:type="spellStart"/>
      <w:r w:rsidR="0019042F" w:rsidRPr="0019042F">
        <w:rPr>
          <w:rFonts w:ascii="Arial" w:hAnsi="Arial" w:cs="Arial"/>
          <w:lang w:val="en-IN"/>
        </w:rPr>
        <w:t>Challa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A., Sirisha, S., </w:t>
      </w:r>
      <w:proofErr w:type="spellStart"/>
      <w:r w:rsidR="0019042F" w:rsidRPr="0019042F">
        <w:rPr>
          <w:rFonts w:ascii="Arial" w:hAnsi="Arial" w:cs="Arial"/>
          <w:lang w:val="en-IN"/>
        </w:rPr>
        <w:t>Khandelia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H., Parekh, M., Patil, A., &amp; Jayalakshmi, S. (2023). A case of eosinophilic granulomatous polyangiitis with concurrent central and peripheral nervous system involvement. </w:t>
      </w:r>
      <w:proofErr w:type="spellStart"/>
      <w:r w:rsidR="0019042F" w:rsidRPr="0019042F">
        <w:rPr>
          <w:rFonts w:ascii="Arial" w:hAnsi="Arial" w:cs="Arial"/>
          <w:lang w:val="en-IN"/>
        </w:rPr>
        <w:t>Oxf</w:t>
      </w:r>
      <w:proofErr w:type="spellEnd"/>
      <w:r w:rsidR="0019042F" w:rsidRPr="0019042F">
        <w:rPr>
          <w:rFonts w:ascii="Arial" w:hAnsi="Arial" w:cs="Arial"/>
          <w:lang w:val="en-IN"/>
        </w:rPr>
        <w:t xml:space="preserve"> Med Case Reports. </w:t>
      </w:r>
      <w:hyperlink r:id="rId24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https://doi.org/10.1093/omcr/omad067</w:t>
        </w:r>
      </w:hyperlink>
      <w:r w:rsidR="0019042F">
        <w:rPr>
          <w:rFonts w:ascii="Arial" w:hAnsi="Arial" w:cs="Arial"/>
          <w:lang w:val="en-IN"/>
        </w:rPr>
        <w:t xml:space="preserve"> </w:t>
      </w:r>
    </w:p>
    <w:p w14:paraId="09727D5B" w14:textId="4D2C039E" w:rsidR="00470020" w:rsidRPr="00470020" w:rsidRDefault="00470020" w:rsidP="00470020">
      <w:pPr>
        <w:pStyle w:val="Body"/>
        <w:rPr>
          <w:rFonts w:ascii="Arial" w:hAnsi="Arial" w:cs="Arial"/>
          <w:lang w:val="de-DE"/>
        </w:rPr>
      </w:pPr>
      <w:r w:rsidRPr="00470020">
        <w:rPr>
          <w:rFonts w:ascii="Arial" w:hAnsi="Arial" w:cs="Arial"/>
          <w:lang w:val="en-IN"/>
        </w:rPr>
        <w:t xml:space="preserve">4. </w:t>
      </w:r>
      <w:r w:rsidR="0019042F" w:rsidRPr="0019042F">
        <w:rPr>
          <w:rFonts w:ascii="Arial" w:hAnsi="Arial" w:cs="Arial"/>
          <w:lang w:val="en-IN"/>
        </w:rPr>
        <w:t xml:space="preserve">Khandelwal, D., Singh, M., </w:t>
      </w:r>
      <w:proofErr w:type="spellStart"/>
      <w:r w:rsidR="0019042F" w:rsidRPr="0019042F">
        <w:rPr>
          <w:rFonts w:ascii="Arial" w:hAnsi="Arial" w:cs="Arial"/>
          <w:lang w:val="en-IN"/>
        </w:rPr>
        <w:t>Jagota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R., &amp; Mathur, V. (2021). Eosinophilic granulomatosis with polyangiitis (Churg–Strauss syndrome) imitating Guillain–Barre syndrome (GBS): a case report. The Egyptian Journal of Neurology, Psychiatry and Neurosurgery, 57(1), 173. </w:t>
      </w:r>
      <w:hyperlink r:id="rId25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https://doi.org/10.1186/s41983-021-00411-3</w:t>
        </w:r>
      </w:hyperlink>
      <w:r w:rsidR="0019042F">
        <w:rPr>
          <w:rFonts w:ascii="Arial" w:hAnsi="Arial" w:cs="Arial"/>
          <w:lang w:val="en-IN"/>
        </w:rPr>
        <w:t xml:space="preserve"> </w:t>
      </w:r>
    </w:p>
    <w:p w14:paraId="0F6A6A8B" w14:textId="004AD0CE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5. </w:t>
      </w:r>
      <w:r w:rsidR="0019042F" w:rsidRPr="0019042F">
        <w:rPr>
          <w:rFonts w:ascii="Arial" w:hAnsi="Arial" w:cs="Arial"/>
          <w:lang w:val="en-IN"/>
        </w:rPr>
        <w:t xml:space="preserve">Liu, S., Guo, L., Fan, X., Zhang, Z., Zhou, J., Tian, X., Li, M., Zeng, X., Wang, L., &amp; Zhang, F. (2021). Clinical features of central nervous system involvement in patients with eosinophilic granulomatosis with polyangiitis: a retrospective cohort study in China. </w:t>
      </w:r>
      <w:proofErr w:type="spellStart"/>
      <w:r w:rsidR="0019042F" w:rsidRPr="0019042F">
        <w:rPr>
          <w:rFonts w:ascii="Arial" w:hAnsi="Arial" w:cs="Arial"/>
          <w:lang w:val="en-IN"/>
        </w:rPr>
        <w:t>Orphanet</w:t>
      </w:r>
      <w:proofErr w:type="spellEnd"/>
      <w:r w:rsidR="0019042F" w:rsidRPr="0019042F">
        <w:rPr>
          <w:rFonts w:ascii="Arial" w:hAnsi="Arial" w:cs="Arial"/>
          <w:lang w:val="en-IN"/>
        </w:rPr>
        <w:t xml:space="preserve"> Journal of Rare Diseases. </w:t>
      </w:r>
      <w:hyperlink r:id="rId26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https://doi.org/10.1186/s13023-021-01780-x</w:t>
        </w:r>
      </w:hyperlink>
      <w:r w:rsidR="0019042F">
        <w:rPr>
          <w:rFonts w:ascii="Arial" w:hAnsi="Arial" w:cs="Arial"/>
          <w:lang w:val="en-IN"/>
        </w:rPr>
        <w:t xml:space="preserve">  </w:t>
      </w:r>
    </w:p>
    <w:p w14:paraId="2F7BDB2D" w14:textId="674CBD4E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6. </w:t>
      </w:r>
      <w:proofErr w:type="spellStart"/>
      <w:r w:rsidR="0019042F" w:rsidRPr="0019042F">
        <w:rPr>
          <w:rFonts w:ascii="Arial" w:hAnsi="Arial" w:cs="Arial"/>
          <w:lang w:val="en-IN"/>
        </w:rPr>
        <w:t>Nie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N., Liu, L., Bai, C., Wang, D., Gao, S., Liu, J., Zhang, R., Lin, Y., Zhang, Q., &amp; Chang, H. (2024). Eosinophilic granulomatous polyangiitis with central nervous system involvement in children: a case report and literature review. Frontiers in Immunology, 15, 1406424. </w:t>
      </w:r>
      <w:hyperlink r:id="rId27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https://doi.org/10.3389/fimmu.2024.1406424</w:t>
        </w:r>
      </w:hyperlink>
      <w:r w:rsidR="0019042F">
        <w:rPr>
          <w:rFonts w:ascii="Arial" w:hAnsi="Arial" w:cs="Arial"/>
          <w:lang w:val="en-IN"/>
        </w:rPr>
        <w:t xml:space="preserve"> </w:t>
      </w:r>
    </w:p>
    <w:p w14:paraId="0DBC77FA" w14:textId="4E9E5D29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7. </w:t>
      </w:r>
      <w:r w:rsidR="00FC25A6" w:rsidRPr="00FC25A6">
        <w:rPr>
          <w:rFonts w:ascii="Arial" w:hAnsi="Arial" w:cs="Arial"/>
          <w:lang w:val="en-IN"/>
        </w:rPr>
        <w:t>Zhang, Z., Liu, S., Guo, L., Wang, L., Wu, Q., Zheng, W., Hou, Y., Tian, X., Zeng, X., &amp; Zhang, F. (2020). Clinical characteristics of peripheral neuropathy in eosinophilic granulomatosis with polyangiitis: A retrospective single-</w:t>
      </w:r>
      <w:proofErr w:type="spellStart"/>
      <w:r w:rsidR="00FC25A6" w:rsidRPr="00FC25A6">
        <w:rPr>
          <w:rFonts w:ascii="Arial" w:hAnsi="Arial" w:cs="Arial"/>
          <w:lang w:val="en-IN"/>
        </w:rPr>
        <w:t>center</w:t>
      </w:r>
      <w:proofErr w:type="spellEnd"/>
      <w:r w:rsidR="00FC25A6" w:rsidRPr="00FC25A6">
        <w:rPr>
          <w:rFonts w:ascii="Arial" w:hAnsi="Arial" w:cs="Arial"/>
          <w:lang w:val="en-IN"/>
        </w:rPr>
        <w:t xml:space="preserve"> study in China. Journal of Immunology Research. </w:t>
      </w:r>
      <w:hyperlink r:id="rId28" w:history="1">
        <w:r w:rsidR="00FC25A6" w:rsidRPr="00B42993">
          <w:rPr>
            <w:rStyle w:val="Hyperlink"/>
            <w:rFonts w:ascii="Arial" w:hAnsi="Arial" w:cs="Arial"/>
            <w:lang w:val="en-IN"/>
          </w:rPr>
          <w:t>https://doi.org/10.1155/2020/3530768</w:t>
        </w:r>
      </w:hyperlink>
      <w:r w:rsidR="00FC25A6">
        <w:rPr>
          <w:rFonts w:ascii="Arial" w:hAnsi="Arial" w:cs="Arial"/>
          <w:lang w:val="en-IN"/>
        </w:rPr>
        <w:t xml:space="preserve"> </w:t>
      </w:r>
    </w:p>
    <w:p w14:paraId="273645B1" w14:textId="6F9F0C9A" w:rsidR="00470020" w:rsidRDefault="00470020" w:rsidP="001B2A6F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8. </w:t>
      </w:r>
      <w:r w:rsidR="0019042F" w:rsidRPr="0019042F">
        <w:rPr>
          <w:rFonts w:ascii="Arial" w:hAnsi="Arial" w:cs="Arial"/>
          <w:lang w:val="en-IN"/>
        </w:rPr>
        <w:t xml:space="preserve">Guerra, M., </w:t>
      </w:r>
      <w:proofErr w:type="spellStart"/>
      <w:r w:rsidR="0019042F" w:rsidRPr="0019042F">
        <w:rPr>
          <w:rFonts w:ascii="Arial" w:hAnsi="Arial" w:cs="Arial"/>
          <w:lang w:val="en-IN"/>
        </w:rPr>
        <w:t>Marado</w:t>
      </w:r>
      <w:proofErr w:type="spellEnd"/>
      <w:r w:rsidR="0019042F" w:rsidRPr="0019042F">
        <w:rPr>
          <w:rFonts w:ascii="Arial" w:hAnsi="Arial" w:cs="Arial"/>
          <w:lang w:val="en-IN"/>
        </w:rPr>
        <w:t xml:space="preserve">, D., &amp; Fortuna, J. (2023). Acute paraplegia in a patient with eosinophilic granulomatosis and polyangiitis with 20 years of evolution: case report. Acta Biomed, 94(6), e2023243. </w:t>
      </w:r>
      <w:hyperlink r:id="rId29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https://doi.org/10.23750/abm.v94i6.14209</w:t>
        </w:r>
      </w:hyperlink>
      <w:r w:rsidR="0019042F">
        <w:rPr>
          <w:rFonts w:ascii="Arial" w:hAnsi="Arial" w:cs="Arial"/>
          <w:lang w:val="en-IN"/>
        </w:rPr>
        <w:t xml:space="preserve"> </w:t>
      </w:r>
    </w:p>
    <w:p w14:paraId="681C6DFE" w14:textId="77777777" w:rsidR="00470020" w:rsidRDefault="00470020" w:rsidP="00470020">
      <w:pPr>
        <w:pStyle w:val="Body"/>
        <w:spacing w:after="0"/>
        <w:rPr>
          <w:rFonts w:ascii="Arial" w:hAnsi="Arial" w:cs="Arial"/>
          <w:lang w:val="en-IN"/>
        </w:rPr>
      </w:pPr>
    </w:p>
    <w:p w14:paraId="7A536DAF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4B058A7F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18F232BB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0268E1C5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7CB5ACBE" w14:textId="77777777" w:rsidR="00B01FCD" w:rsidRPr="00FB3A86" w:rsidRDefault="00B01FCD" w:rsidP="00441B6F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3235A8">
      <w:headerReference w:type="even" r:id="rId30"/>
      <w:headerReference w:type="default" r:id="rId31"/>
      <w:footerReference w:type="default" r:id="rId32"/>
      <w:headerReference w:type="first" r:id="rId33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C1171" w14:textId="77777777" w:rsidR="000A7347" w:rsidRDefault="000A7347" w:rsidP="00C37E61">
      <w:r>
        <w:separator/>
      </w:r>
    </w:p>
  </w:endnote>
  <w:endnote w:type="continuationSeparator" w:id="0">
    <w:p w14:paraId="260E78D9" w14:textId="77777777" w:rsidR="000A7347" w:rsidRDefault="000A7347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E9EA1" w14:textId="77777777" w:rsidR="003235A8" w:rsidRDefault="003235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51026" w14:textId="226A2A66" w:rsidR="00C37E61" w:rsidRDefault="00C37E61" w:rsidP="00C37E61">
    <w:pPr>
      <w:pStyle w:val="Footer"/>
    </w:pPr>
    <w: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A4BDC" w14:textId="77777777" w:rsidR="009E048A" w:rsidRDefault="009E048A">
    <w:pPr>
      <w:pStyle w:val="Footer"/>
      <w:rPr>
        <w:rFonts w:ascii="Arial" w:hAnsi="Arial" w:cs="Arial"/>
        <w:sz w:val="16"/>
      </w:rPr>
    </w:pPr>
  </w:p>
  <w:p w14:paraId="25ED091F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1183A7B5" w14:textId="77777777" w:rsidR="009E048A" w:rsidRDefault="009E048A">
    <w:pPr>
      <w:pStyle w:val="Footer"/>
      <w:rPr>
        <w:rFonts w:ascii="Arial" w:hAnsi="Arial" w:cs="Arial"/>
        <w:sz w:val="16"/>
      </w:rPr>
    </w:pPr>
  </w:p>
  <w:p w14:paraId="02C57C23" w14:textId="797CC184" w:rsidR="00754C9A" w:rsidRPr="009E048A" w:rsidRDefault="00754C9A">
    <w:pPr>
      <w:pStyle w:val="Footer"/>
      <w:rPr>
        <w:rFonts w:ascii="Arial" w:hAnsi="Arial" w:cs="Arial"/>
        <w:i/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7A344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452EA" w14:textId="77777777" w:rsidR="000A7347" w:rsidRDefault="000A7347" w:rsidP="00C37E61">
      <w:r>
        <w:separator/>
      </w:r>
    </w:p>
  </w:footnote>
  <w:footnote w:type="continuationSeparator" w:id="0">
    <w:p w14:paraId="5363DFC0" w14:textId="77777777" w:rsidR="000A7347" w:rsidRDefault="000A7347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BDD98" w14:textId="1DE09A9C" w:rsidR="003235A8" w:rsidRDefault="003235A8">
    <w:pPr>
      <w:pStyle w:val="Header"/>
    </w:pPr>
    <w:r>
      <w:rPr>
        <w:noProof/>
      </w:rPr>
      <w:pict w14:anchorId="30A751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2" o:spid="_x0000_s2050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47D15" w14:textId="0744CFEC" w:rsidR="003235A8" w:rsidRDefault="003235A8">
    <w:pPr>
      <w:pStyle w:val="Header"/>
    </w:pPr>
    <w:r>
      <w:rPr>
        <w:noProof/>
      </w:rPr>
      <w:pict w14:anchorId="7FC6C3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3" o:spid="_x0000_s2051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0AA3F" w14:textId="3E47C6B3" w:rsidR="00296529" w:rsidRPr="00296529" w:rsidRDefault="003235A8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712BF4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1" o:spid="_x0000_s2049" type="#_x0000_t136" style="position:absolute;left:0;text-align:left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73200588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2E8119A9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29C22790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18747783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471998E8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3C0BDE96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30DC8" w14:textId="24BE7BE2" w:rsidR="003235A8" w:rsidRDefault="003235A8">
    <w:pPr>
      <w:pStyle w:val="Header"/>
    </w:pPr>
    <w:r>
      <w:rPr>
        <w:noProof/>
      </w:rPr>
      <w:pict w14:anchorId="1E46FF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5" o:spid="_x0000_s2053" type="#_x0000_t136" style="position:absolute;margin-left:0;margin-top:0;width:520.65pt;height:57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3F3CD" w14:textId="711509C4" w:rsidR="003235A8" w:rsidRDefault="003235A8">
    <w:pPr>
      <w:pStyle w:val="Header"/>
    </w:pPr>
    <w:r>
      <w:rPr>
        <w:noProof/>
      </w:rPr>
      <w:pict w14:anchorId="7D52EB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6" o:spid="_x0000_s2054" type="#_x0000_t136" style="position:absolute;margin-left:0;margin-top:0;width:520.65pt;height:57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0440D" w14:textId="13FB589B" w:rsidR="003235A8" w:rsidRDefault="003235A8">
    <w:pPr>
      <w:pStyle w:val="Header"/>
    </w:pPr>
    <w:r>
      <w:rPr>
        <w:noProof/>
      </w:rPr>
      <w:pict w14:anchorId="7B5F59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4" o:spid="_x0000_s2052" type="#_x0000_t136" style="position:absolute;margin-left:0;margin-top:0;width:520.65pt;height:57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8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3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4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5"/>
  </w:num>
  <w:num w:numId="3">
    <w:abstractNumId w:val="23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2"/>
  </w:num>
  <w:num w:numId="9">
    <w:abstractNumId w:val="25"/>
  </w:num>
  <w:num w:numId="10">
    <w:abstractNumId w:val="2"/>
  </w:num>
  <w:num w:numId="11">
    <w:abstractNumId w:val="18"/>
  </w:num>
  <w:num w:numId="12">
    <w:abstractNumId w:val="3"/>
  </w:num>
  <w:num w:numId="13">
    <w:abstractNumId w:val="17"/>
  </w:num>
  <w:num w:numId="14">
    <w:abstractNumId w:val="8"/>
  </w:num>
  <w:num w:numId="15">
    <w:abstractNumId w:val="21"/>
  </w:num>
  <w:num w:numId="16">
    <w:abstractNumId w:val="5"/>
  </w:num>
  <w:num w:numId="17">
    <w:abstractNumId w:val="22"/>
  </w:num>
  <w:num w:numId="18">
    <w:abstractNumId w:val="14"/>
  </w:num>
  <w:num w:numId="19">
    <w:abstractNumId w:val="28"/>
  </w:num>
  <w:num w:numId="20">
    <w:abstractNumId w:val="11"/>
  </w:num>
  <w:num w:numId="21">
    <w:abstractNumId w:val="9"/>
  </w:num>
  <w:num w:numId="22">
    <w:abstractNumId w:val="13"/>
  </w:num>
  <w:num w:numId="23">
    <w:abstractNumId w:val="19"/>
  </w:num>
  <w:num w:numId="24">
    <w:abstractNumId w:val="26"/>
  </w:num>
  <w:num w:numId="25">
    <w:abstractNumId w:val="4"/>
  </w:num>
  <w:num w:numId="26">
    <w:abstractNumId w:val="16"/>
  </w:num>
  <w:num w:numId="27">
    <w:abstractNumId w:val="20"/>
  </w:num>
  <w:num w:numId="28">
    <w:abstractNumId w:val="27"/>
  </w:num>
  <w:num w:numId="29">
    <w:abstractNumId w:val="2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19"/>
    <w:rsid w:val="00000F8F"/>
    <w:rsid w:val="00027AD4"/>
    <w:rsid w:val="00030174"/>
    <w:rsid w:val="0004579C"/>
    <w:rsid w:val="000A47FA"/>
    <w:rsid w:val="000A65D3"/>
    <w:rsid w:val="000A7347"/>
    <w:rsid w:val="000B1E33"/>
    <w:rsid w:val="000D689F"/>
    <w:rsid w:val="000E7B7B"/>
    <w:rsid w:val="000E7D62"/>
    <w:rsid w:val="00103357"/>
    <w:rsid w:val="00123C9F"/>
    <w:rsid w:val="00126190"/>
    <w:rsid w:val="00130F17"/>
    <w:rsid w:val="001320BF"/>
    <w:rsid w:val="00163BC4"/>
    <w:rsid w:val="0019042F"/>
    <w:rsid w:val="00191062"/>
    <w:rsid w:val="00192B72"/>
    <w:rsid w:val="001A29D8"/>
    <w:rsid w:val="001A5CAA"/>
    <w:rsid w:val="001B0427"/>
    <w:rsid w:val="001B2A6F"/>
    <w:rsid w:val="001D3A51"/>
    <w:rsid w:val="001E10D2"/>
    <w:rsid w:val="001E25B4"/>
    <w:rsid w:val="001E44FE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B27FB"/>
    <w:rsid w:val="002B685A"/>
    <w:rsid w:val="002C57D2"/>
    <w:rsid w:val="002E0D56"/>
    <w:rsid w:val="00315186"/>
    <w:rsid w:val="003235A8"/>
    <w:rsid w:val="0033343E"/>
    <w:rsid w:val="003512C2"/>
    <w:rsid w:val="00371FB6"/>
    <w:rsid w:val="003763C1"/>
    <w:rsid w:val="00376BBE"/>
    <w:rsid w:val="0039224F"/>
    <w:rsid w:val="003A43A4"/>
    <w:rsid w:val="003A7E18"/>
    <w:rsid w:val="003C4C86"/>
    <w:rsid w:val="003C6258"/>
    <w:rsid w:val="003E2904"/>
    <w:rsid w:val="003E5B66"/>
    <w:rsid w:val="00401927"/>
    <w:rsid w:val="0041027F"/>
    <w:rsid w:val="00412475"/>
    <w:rsid w:val="00423789"/>
    <w:rsid w:val="00440F43"/>
    <w:rsid w:val="00441B6F"/>
    <w:rsid w:val="00446221"/>
    <w:rsid w:val="00450E62"/>
    <w:rsid w:val="004539DB"/>
    <w:rsid w:val="00470020"/>
    <w:rsid w:val="00471A80"/>
    <w:rsid w:val="004756F6"/>
    <w:rsid w:val="004D305E"/>
    <w:rsid w:val="004D4277"/>
    <w:rsid w:val="00502516"/>
    <w:rsid w:val="00505F06"/>
    <w:rsid w:val="00506828"/>
    <w:rsid w:val="0053056E"/>
    <w:rsid w:val="00541143"/>
    <w:rsid w:val="00554FDA"/>
    <w:rsid w:val="00595352"/>
    <w:rsid w:val="005B635C"/>
    <w:rsid w:val="005C784C"/>
    <w:rsid w:val="005D17F6"/>
    <w:rsid w:val="005E5539"/>
    <w:rsid w:val="00602BF5"/>
    <w:rsid w:val="00617FDD"/>
    <w:rsid w:val="00633614"/>
    <w:rsid w:val="00633F68"/>
    <w:rsid w:val="00636EB2"/>
    <w:rsid w:val="006375B8"/>
    <w:rsid w:val="006535DD"/>
    <w:rsid w:val="0066510A"/>
    <w:rsid w:val="00673F9F"/>
    <w:rsid w:val="00686953"/>
    <w:rsid w:val="00687DEA"/>
    <w:rsid w:val="00687E67"/>
    <w:rsid w:val="006967F7"/>
    <w:rsid w:val="006A250C"/>
    <w:rsid w:val="006B21D3"/>
    <w:rsid w:val="006B57D0"/>
    <w:rsid w:val="006D30FF"/>
    <w:rsid w:val="006D6940"/>
    <w:rsid w:val="006F11EC"/>
    <w:rsid w:val="0070082C"/>
    <w:rsid w:val="00731DA5"/>
    <w:rsid w:val="007369E6"/>
    <w:rsid w:val="00746E59"/>
    <w:rsid w:val="00753A67"/>
    <w:rsid w:val="00754C9A"/>
    <w:rsid w:val="0075599A"/>
    <w:rsid w:val="00761D52"/>
    <w:rsid w:val="0077749E"/>
    <w:rsid w:val="00786869"/>
    <w:rsid w:val="00790ADA"/>
    <w:rsid w:val="0079187B"/>
    <w:rsid w:val="00797F42"/>
    <w:rsid w:val="007D2288"/>
    <w:rsid w:val="007E088F"/>
    <w:rsid w:val="007F7B32"/>
    <w:rsid w:val="00804BC2"/>
    <w:rsid w:val="0081431A"/>
    <w:rsid w:val="0083216F"/>
    <w:rsid w:val="0084280E"/>
    <w:rsid w:val="00860000"/>
    <w:rsid w:val="00863BD3"/>
    <w:rsid w:val="008641ED"/>
    <w:rsid w:val="00866D66"/>
    <w:rsid w:val="008671C6"/>
    <w:rsid w:val="00875803"/>
    <w:rsid w:val="008B459E"/>
    <w:rsid w:val="008B469F"/>
    <w:rsid w:val="008C6841"/>
    <w:rsid w:val="008D12CA"/>
    <w:rsid w:val="008E13AE"/>
    <w:rsid w:val="008E1506"/>
    <w:rsid w:val="008E710C"/>
    <w:rsid w:val="008F69D6"/>
    <w:rsid w:val="00902823"/>
    <w:rsid w:val="00915CA6"/>
    <w:rsid w:val="00927834"/>
    <w:rsid w:val="009500A6"/>
    <w:rsid w:val="00957C18"/>
    <w:rsid w:val="00962FE4"/>
    <w:rsid w:val="009659BA"/>
    <w:rsid w:val="00983040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A03B96"/>
    <w:rsid w:val="00A05B19"/>
    <w:rsid w:val="00A11243"/>
    <w:rsid w:val="00A1134E"/>
    <w:rsid w:val="00A24E7E"/>
    <w:rsid w:val="00A258C3"/>
    <w:rsid w:val="00A347C0"/>
    <w:rsid w:val="00A51431"/>
    <w:rsid w:val="00A539AD"/>
    <w:rsid w:val="00A94063"/>
    <w:rsid w:val="00AA6219"/>
    <w:rsid w:val="00AA74E0"/>
    <w:rsid w:val="00AB3B32"/>
    <w:rsid w:val="00AB703F"/>
    <w:rsid w:val="00AC6BB8"/>
    <w:rsid w:val="00AE008F"/>
    <w:rsid w:val="00B01FCD"/>
    <w:rsid w:val="00B1776C"/>
    <w:rsid w:val="00B41E2C"/>
    <w:rsid w:val="00B52583"/>
    <w:rsid w:val="00B52896"/>
    <w:rsid w:val="00B829D0"/>
    <w:rsid w:val="00B95236"/>
    <w:rsid w:val="00B96BD9"/>
    <w:rsid w:val="00BA1B01"/>
    <w:rsid w:val="00BA2641"/>
    <w:rsid w:val="00BA79AC"/>
    <w:rsid w:val="00BB37AA"/>
    <w:rsid w:val="00BC53A0"/>
    <w:rsid w:val="00BE62AD"/>
    <w:rsid w:val="00BF121F"/>
    <w:rsid w:val="00BF1F80"/>
    <w:rsid w:val="00C166EF"/>
    <w:rsid w:val="00C17EB0"/>
    <w:rsid w:val="00C27F5F"/>
    <w:rsid w:val="00C30A0F"/>
    <w:rsid w:val="00C37E61"/>
    <w:rsid w:val="00C53957"/>
    <w:rsid w:val="00C6367D"/>
    <w:rsid w:val="00C70F1B"/>
    <w:rsid w:val="00C71A47"/>
    <w:rsid w:val="00C7464C"/>
    <w:rsid w:val="00C853EE"/>
    <w:rsid w:val="00C85588"/>
    <w:rsid w:val="00C948C5"/>
    <w:rsid w:val="00CA4120"/>
    <w:rsid w:val="00CD6755"/>
    <w:rsid w:val="00CD6856"/>
    <w:rsid w:val="00CE0089"/>
    <w:rsid w:val="00CE793C"/>
    <w:rsid w:val="00CF193C"/>
    <w:rsid w:val="00D173F1"/>
    <w:rsid w:val="00D74CB0"/>
    <w:rsid w:val="00D8295D"/>
    <w:rsid w:val="00DC2A65"/>
    <w:rsid w:val="00DE15F0"/>
    <w:rsid w:val="00DE5663"/>
    <w:rsid w:val="00DE78AA"/>
    <w:rsid w:val="00E053D0"/>
    <w:rsid w:val="00E15994"/>
    <w:rsid w:val="00E3114E"/>
    <w:rsid w:val="00E31A70"/>
    <w:rsid w:val="00E35B02"/>
    <w:rsid w:val="00E66496"/>
    <w:rsid w:val="00E66B35"/>
    <w:rsid w:val="00E66E10"/>
    <w:rsid w:val="00E769F6"/>
    <w:rsid w:val="00E8407C"/>
    <w:rsid w:val="00E84F3C"/>
    <w:rsid w:val="00EA012C"/>
    <w:rsid w:val="00EC6A55"/>
    <w:rsid w:val="00EC7668"/>
    <w:rsid w:val="00ED0288"/>
    <w:rsid w:val="00ED2347"/>
    <w:rsid w:val="00EE52CB"/>
    <w:rsid w:val="00EF581D"/>
    <w:rsid w:val="00EF7FD8"/>
    <w:rsid w:val="00F06F59"/>
    <w:rsid w:val="00F17988"/>
    <w:rsid w:val="00F44252"/>
    <w:rsid w:val="00F469F0"/>
    <w:rsid w:val="00F53273"/>
    <w:rsid w:val="00F62B7F"/>
    <w:rsid w:val="00F755E4"/>
    <w:rsid w:val="00F77D02"/>
    <w:rsid w:val="00FB3A86"/>
    <w:rsid w:val="00FC25A6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7E9275EE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yperlink" Target="https://doi.org/10.1186/s13023-021-01780-x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5" Type="http://schemas.openxmlformats.org/officeDocument/2006/relationships/hyperlink" Target="https://doi.org/10.1186/s41983-021-00411-3" TargetMode="External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doi.org/10.23750/abm.v94i6.142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doi.org/10.1093/omcr/omad067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doi.org/10.1177/23247096251374513" TargetMode="External"/><Relationship Id="rId28" Type="http://schemas.openxmlformats.org/officeDocument/2006/relationships/hyperlink" Target="https://doi.org/10.1155/2020/3530768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s://doi.org/10.1186/s41927-025-00518-7" TargetMode="External"/><Relationship Id="rId27" Type="http://schemas.openxmlformats.org/officeDocument/2006/relationships/hyperlink" Target="https://doi.org/10.3389/fimmu.2024.1406424" TargetMode="External"/><Relationship Id="rId30" Type="http://schemas.openxmlformats.org/officeDocument/2006/relationships/header" Target="header4.xm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FFF7C-2492-4409-855F-1309743F9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25</TotalTime>
  <Pages>9</Pages>
  <Words>2471</Words>
  <Characters>14088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16526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1180</cp:lastModifiedBy>
  <cp:revision>28</cp:revision>
  <cp:lastPrinted>1999-07-06T11:00:00Z</cp:lastPrinted>
  <dcterms:created xsi:type="dcterms:W3CDTF">2025-12-10T18:52:00Z</dcterms:created>
  <dcterms:modified xsi:type="dcterms:W3CDTF">2025-12-11T12:58:00Z</dcterms:modified>
</cp:coreProperties>
</file>