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55C9AC" w14:textId="77777777" w:rsidR="00754C9A" w:rsidRDefault="00754C9A" w:rsidP="00441B6F">
      <w:pPr>
        <w:pStyle w:val="Title"/>
        <w:spacing w:after="0"/>
        <w:jc w:val="both"/>
        <w:rPr>
          <w:rFonts w:ascii="Arial" w:hAnsi="Arial" w:cs="Arial"/>
        </w:rPr>
      </w:pPr>
    </w:p>
    <w:p w14:paraId="3326A3C0" w14:textId="32AC82B2" w:rsidR="00163BC4" w:rsidRPr="00163BC4" w:rsidRDefault="00D34406" w:rsidP="00441B6F">
      <w:pPr>
        <w:pStyle w:val="Author"/>
        <w:spacing w:line="240" w:lineRule="auto"/>
        <w:rPr>
          <w:rFonts w:ascii="Arial" w:hAnsi="Arial" w:cs="Arial"/>
          <w:bCs/>
          <w:iCs/>
          <w:kern w:val="28"/>
          <w:sz w:val="36"/>
        </w:rPr>
      </w:pPr>
      <w:r w:rsidRPr="00D34406">
        <w:rPr>
          <w:rFonts w:ascii="Arial" w:hAnsi="Arial" w:cs="Arial"/>
          <w:bCs/>
          <w:iCs/>
          <w:kern w:val="28"/>
          <w:sz w:val="36"/>
        </w:rPr>
        <w:t>Management of refractory cancer pain in advanced mesothelioma</w:t>
      </w:r>
      <w:r>
        <w:rPr>
          <w:rFonts w:ascii="Arial" w:hAnsi="Arial" w:cs="Arial"/>
          <w:bCs/>
          <w:iCs/>
          <w:kern w:val="28"/>
          <w:sz w:val="36"/>
        </w:rPr>
        <w:t>; s</w:t>
      </w:r>
      <w:r w:rsidRPr="00D34406">
        <w:rPr>
          <w:rFonts w:ascii="Arial" w:hAnsi="Arial" w:cs="Arial"/>
          <w:bCs/>
          <w:iCs/>
          <w:kern w:val="28"/>
          <w:sz w:val="36"/>
        </w:rPr>
        <w:t>uccess of neuraxial analgesia with tunneled epidural port catheter: A Case Report</w:t>
      </w:r>
    </w:p>
    <w:p w14:paraId="6C64D58A" w14:textId="77777777" w:rsidR="00A258C3" w:rsidRPr="00790ADA" w:rsidRDefault="00A258C3" w:rsidP="00441B6F">
      <w:pPr>
        <w:pStyle w:val="Author"/>
        <w:spacing w:line="240" w:lineRule="auto"/>
        <w:jc w:val="both"/>
        <w:rPr>
          <w:rFonts w:ascii="Arial" w:hAnsi="Arial" w:cs="Arial"/>
          <w:sz w:val="36"/>
        </w:rPr>
      </w:pPr>
    </w:p>
    <w:p w14:paraId="44BFA3BA" w14:textId="77777777" w:rsidR="002C57D2" w:rsidRPr="00FB3A86" w:rsidRDefault="002C57D2" w:rsidP="00441B6F">
      <w:pPr>
        <w:pStyle w:val="Affiliation"/>
        <w:spacing w:after="0" w:line="240" w:lineRule="auto"/>
        <w:jc w:val="both"/>
        <w:rPr>
          <w:rFonts w:ascii="Arial" w:hAnsi="Arial" w:cs="Arial"/>
        </w:rPr>
      </w:pPr>
    </w:p>
    <w:p w14:paraId="06F8DD9B" w14:textId="2FEB5548" w:rsidR="00B01FCD" w:rsidRPr="00FB3A86" w:rsidRDefault="00422F76" w:rsidP="00441B6F">
      <w:pPr>
        <w:pStyle w:val="Copyright"/>
        <w:spacing w:after="0" w:line="240" w:lineRule="auto"/>
        <w:jc w:val="both"/>
        <w:rPr>
          <w:rFonts w:ascii="Arial" w:hAnsi="Arial" w:cs="Arial"/>
        </w:rPr>
        <w:sectPr w:rsidR="00B01FCD" w:rsidRPr="00FB3A86" w:rsidSect="001B46E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091B2AA" wp14:editId="688ACD1A">
                <wp:extent cx="5303520" cy="635"/>
                <wp:effectExtent l="13335" t="15240" r="17145" b="13335"/>
                <wp:docPr id="150290535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0057840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45A3E48" w14:textId="13F8F34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51401C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255C37F" w14:textId="77777777" w:rsidTr="001E44FE">
        <w:tc>
          <w:tcPr>
            <w:tcW w:w="9576" w:type="dxa"/>
            <w:shd w:val="clear" w:color="auto" w:fill="F2F2F2"/>
          </w:tcPr>
          <w:p w14:paraId="2BADC152" w14:textId="77777777" w:rsidR="00E3114E" w:rsidRDefault="00E3114E" w:rsidP="00441B6F">
            <w:pPr>
              <w:pStyle w:val="Body"/>
              <w:spacing w:after="0"/>
              <w:rPr>
                <w:rFonts w:ascii="Arial" w:eastAsia="Calibri" w:hAnsi="Arial" w:cs="Arial"/>
                <w:b/>
                <w:szCs w:val="22"/>
              </w:rPr>
            </w:pPr>
          </w:p>
          <w:p w14:paraId="3937C185" w14:textId="1E0697D2" w:rsidR="00D34406" w:rsidRPr="00D34406" w:rsidRDefault="00D34406" w:rsidP="00D34406">
            <w:pPr>
              <w:pStyle w:val="Body"/>
              <w:rPr>
                <w:rFonts w:ascii="Arial" w:eastAsia="Calibri" w:hAnsi="Arial" w:cs="Arial"/>
                <w:szCs w:val="22"/>
              </w:rPr>
            </w:pPr>
            <w:r>
              <w:rPr>
                <w:rFonts w:ascii="Arial" w:eastAsia="Calibri" w:hAnsi="Arial" w:cs="Arial"/>
                <w:b/>
                <w:szCs w:val="22"/>
              </w:rPr>
              <w:t>Introduction</w:t>
            </w:r>
            <w:r w:rsidR="00BA1B01" w:rsidRPr="00BA1B01">
              <w:rPr>
                <w:rFonts w:ascii="Arial" w:eastAsia="Calibri" w:hAnsi="Arial" w:cs="Arial"/>
                <w:b/>
                <w:szCs w:val="22"/>
              </w:rPr>
              <w:t xml:space="preserve">: </w:t>
            </w:r>
            <w:r w:rsidRPr="00D34406">
              <w:rPr>
                <w:rFonts w:ascii="Arial" w:eastAsia="Calibri" w:hAnsi="Arial" w:cs="Arial"/>
                <w:szCs w:val="22"/>
              </w:rPr>
              <w:t xml:space="preserve">Refractory cancer pain is one of the greatest challenges in palliative care, especially in aggressive cancers with a high symptom burden, such as malignant pleural mesothelioma. This rare and fatal disease </w:t>
            </w:r>
            <w:r w:rsidR="006A6BCF" w:rsidRPr="00D34406">
              <w:rPr>
                <w:rFonts w:ascii="Arial" w:eastAsia="Calibri" w:hAnsi="Arial" w:cs="Arial"/>
                <w:szCs w:val="22"/>
              </w:rPr>
              <w:t>presents</w:t>
            </w:r>
            <w:r w:rsidRPr="00D34406">
              <w:rPr>
                <w:rFonts w:ascii="Arial" w:eastAsia="Calibri" w:hAnsi="Arial" w:cs="Arial"/>
                <w:szCs w:val="22"/>
              </w:rPr>
              <w:t xml:space="preserve"> mixed pain that often remains significant despite initial measures, making it necessary to combine different approaches to achieve satisfactory relief.</w:t>
            </w:r>
          </w:p>
          <w:p w14:paraId="6573E94B" w14:textId="598FB0A4" w:rsidR="00D34406" w:rsidRPr="00D34406" w:rsidRDefault="00D34406" w:rsidP="00D34406">
            <w:pPr>
              <w:pStyle w:val="Body"/>
              <w:rPr>
                <w:rFonts w:ascii="Arial" w:eastAsia="Calibri" w:hAnsi="Arial" w:cs="Arial"/>
                <w:szCs w:val="22"/>
              </w:rPr>
            </w:pPr>
            <w:r>
              <w:rPr>
                <w:rFonts w:ascii="Arial" w:eastAsia="Calibri" w:hAnsi="Arial" w:cs="Arial"/>
                <w:b/>
                <w:bCs/>
                <w:szCs w:val="22"/>
              </w:rPr>
              <w:t xml:space="preserve">Presentation of case: </w:t>
            </w:r>
            <w:r w:rsidRPr="00D34406">
              <w:rPr>
                <w:rFonts w:ascii="Arial" w:eastAsia="Calibri" w:hAnsi="Arial" w:cs="Arial"/>
                <w:szCs w:val="22"/>
              </w:rPr>
              <w:t xml:space="preserve">We present the case of a 27-year-old woman with metastatic mesothelioma and abrupt functional decline, whose breakthrough and refractory pain caused her profound physical and emotional suffering. Despite systemic morphine </w:t>
            </w:r>
            <w:r>
              <w:rPr>
                <w:rFonts w:ascii="Arial" w:eastAsia="Calibri" w:hAnsi="Arial" w:cs="Arial"/>
                <w:szCs w:val="22"/>
              </w:rPr>
              <w:t>administration</w:t>
            </w:r>
            <w:r w:rsidRPr="00D34406">
              <w:rPr>
                <w:rFonts w:ascii="Arial" w:eastAsia="Calibri" w:hAnsi="Arial" w:cs="Arial"/>
                <w:szCs w:val="22"/>
              </w:rPr>
              <w:t>, relief was insufficient.</w:t>
            </w:r>
            <w:r>
              <w:rPr>
                <w:rFonts w:ascii="Arial" w:eastAsia="Calibri" w:hAnsi="Arial" w:cs="Arial"/>
                <w:szCs w:val="22"/>
              </w:rPr>
              <w:t xml:space="preserve"> </w:t>
            </w:r>
            <w:r w:rsidRPr="00D34406">
              <w:rPr>
                <w:rFonts w:ascii="Arial" w:eastAsia="Calibri" w:hAnsi="Arial" w:cs="Arial"/>
                <w:szCs w:val="22"/>
              </w:rPr>
              <w:t>Given the urgency, continuous epidural neuraxial analgesia (ropivacaine and morphine) was initiated, achieving substantial pain control and greater well-being for the patient. The need for a safe discharge plan and the patient's limited life expectancy led to the placement of a tunneled epidural port.</w:t>
            </w:r>
          </w:p>
          <w:p w14:paraId="70C7214F" w14:textId="4BE6E4B3" w:rsidR="00505F06" w:rsidRPr="00BA1B01" w:rsidRDefault="00D34406" w:rsidP="00D34406">
            <w:pPr>
              <w:pStyle w:val="Body"/>
              <w:rPr>
                <w:rFonts w:ascii="Arial" w:eastAsia="Calibri" w:hAnsi="Arial" w:cs="Arial"/>
                <w:szCs w:val="22"/>
              </w:rPr>
            </w:pPr>
            <w:r w:rsidRPr="00D34406">
              <w:rPr>
                <w:rFonts w:ascii="Arial" w:eastAsia="Calibri" w:hAnsi="Arial" w:cs="Arial"/>
                <w:b/>
                <w:bCs/>
                <w:szCs w:val="22"/>
              </w:rPr>
              <w:t>Conclusion:</w:t>
            </w:r>
            <w:r>
              <w:rPr>
                <w:rFonts w:ascii="Arial" w:eastAsia="Calibri" w:hAnsi="Arial" w:cs="Arial"/>
                <w:b/>
                <w:bCs/>
                <w:szCs w:val="22"/>
              </w:rPr>
              <w:t xml:space="preserve"> </w:t>
            </w:r>
            <w:r w:rsidRPr="00D34406">
              <w:rPr>
                <w:rFonts w:ascii="Arial" w:eastAsia="Calibri" w:hAnsi="Arial" w:cs="Arial"/>
                <w:szCs w:val="22"/>
              </w:rPr>
              <w:t>This device enabled effective pain and anxiety management at home, reaffirming the value of specialized intervention for patients in advanced stages of their illness. The comprehensive, person-centered approach, focused on their dignity, demonstrated how symptom optimization contributes to quality of life.</w:t>
            </w:r>
          </w:p>
        </w:tc>
      </w:tr>
    </w:tbl>
    <w:p w14:paraId="4F3992E9" w14:textId="77777777" w:rsidR="00636EB2" w:rsidRDefault="00636EB2" w:rsidP="00441B6F">
      <w:pPr>
        <w:pStyle w:val="Body"/>
        <w:spacing w:after="0"/>
        <w:rPr>
          <w:rFonts w:ascii="Arial" w:hAnsi="Arial" w:cs="Arial"/>
          <w:i/>
        </w:rPr>
      </w:pPr>
    </w:p>
    <w:p w14:paraId="6EC5E230" w14:textId="47800993" w:rsidR="00A24E7E" w:rsidRDefault="00A24E7E" w:rsidP="00441B6F">
      <w:pPr>
        <w:pStyle w:val="Body"/>
        <w:spacing w:after="0"/>
        <w:rPr>
          <w:rFonts w:ascii="Arial" w:hAnsi="Arial" w:cs="Arial"/>
          <w:i/>
        </w:rPr>
      </w:pPr>
      <w:r>
        <w:rPr>
          <w:rFonts w:ascii="Arial" w:hAnsi="Arial" w:cs="Arial"/>
          <w:i/>
        </w:rPr>
        <w:t xml:space="preserve">Keywords: </w:t>
      </w:r>
      <w:r w:rsidR="00D34406" w:rsidRPr="00D34406">
        <w:rPr>
          <w:rFonts w:ascii="Arial" w:hAnsi="Arial" w:cs="Arial"/>
          <w:i/>
        </w:rPr>
        <w:t>Refractory pain, pleural mesothelioma, palliative care, neuraxial analgesia, tunneled epidural catheter.</w:t>
      </w:r>
    </w:p>
    <w:p w14:paraId="38833AB5" w14:textId="77777777" w:rsidR="00790ADA" w:rsidRDefault="00790ADA" w:rsidP="00441B6F">
      <w:pPr>
        <w:pStyle w:val="Body"/>
        <w:spacing w:after="0"/>
        <w:rPr>
          <w:rFonts w:ascii="Arial" w:hAnsi="Arial" w:cs="Arial"/>
          <w:i/>
        </w:rPr>
      </w:pPr>
    </w:p>
    <w:p w14:paraId="66C23A79" w14:textId="77777777" w:rsidR="0024282C" w:rsidRDefault="0024282C" w:rsidP="00441B6F">
      <w:pPr>
        <w:pStyle w:val="Body"/>
        <w:spacing w:after="0"/>
        <w:rPr>
          <w:rFonts w:ascii="Arial" w:hAnsi="Arial" w:cs="Arial"/>
          <w:i/>
          <w:sz w:val="18"/>
        </w:rPr>
      </w:pPr>
    </w:p>
    <w:p w14:paraId="444A1238" w14:textId="77777777" w:rsidR="00505F06" w:rsidRPr="00A24E7E" w:rsidRDefault="00505F06" w:rsidP="00441B6F">
      <w:pPr>
        <w:pStyle w:val="Body"/>
        <w:spacing w:after="0"/>
        <w:rPr>
          <w:rFonts w:ascii="Arial" w:hAnsi="Arial" w:cs="Arial"/>
          <w:i/>
        </w:rPr>
      </w:pPr>
    </w:p>
    <w:p w14:paraId="68A9B526" w14:textId="485C4C4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1976598" w14:textId="77777777" w:rsidR="00790ADA" w:rsidRPr="00FB3A86" w:rsidRDefault="00790ADA" w:rsidP="00441B6F">
      <w:pPr>
        <w:pStyle w:val="AbstHead"/>
        <w:spacing w:after="0"/>
        <w:jc w:val="both"/>
        <w:rPr>
          <w:rFonts w:ascii="Arial" w:hAnsi="Arial" w:cs="Arial"/>
        </w:rPr>
      </w:pPr>
    </w:p>
    <w:p w14:paraId="1DA37486" w14:textId="034B8791"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Cancer-related pain often becomes one of the most complex challenges in palliative care, particularly when it ceases to respond to standard pharmacological strategies. While the analgesic ladder proposed by the World Health Organization remains a fundamental reference for the treatment of cancer pain, in clinical practice, many patients in advanced stages do not achieve sufficient relief with systemic drugs. This occurs due to both poor therapeutic response and the appearance of adverse effects that prevent further increases in dosage (</w:t>
      </w:r>
      <w:proofErr w:type="spellStart"/>
      <w:r w:rsidR="0094386A">
        <w:rPr>
          <w:rFonts w:ascii="Arial" w:eastAsia="Calibri" w:hAnsi="Arial" w:cs="Arial"/>
          <w:szCs w:val="22"/>
        </w:rPr>
        <w:t>Portenoy</w:t>
      </w:r>
      <w:proofErr w:type="spellEnd"/>
      <w:r w:rsidR="0094386A">
        <w:rPr>
          <w:rFonts w:ascii="Arial" w:eastAsia="Calibri" w:hAnsi="Arial" w:cs="Arial"/>
          <w:szCs w:val="22"/>
        </w:rPr>
        <w:t xml:space="preserve">, 2011) </w:t>
      </w:r>
      <w:r w:rsidR="00611FDB">
        <w:rPr>
          <w:rFonts w:ascii="Arial" w:eastAsia="Calibri" w:hAnsi="Arial" w:cs="Arial"/>
          <w:szCs w:val="22"/>
        </w:rPr>
        <w:t>(</w:t>
      </w:r>
      <w:r w:rsidR="00611FDB" w:rsidRPr="00611FDB">
        <w:rPr>
          <w:rFonts w:ascii="Arial" w:eastAsia="Calibri" w:hAnsi="Arial" w:cs="Arial"/>
          <w:szCs w:val="22"/>
        </w:rPr>
        <w:t>Fallon, Giusti, Aielli, Hoskin, Rolke, Sharma, Ripamonti, &amp; ESMO Guidelines Committee</w:t>
      </w:r>
      <w:r w:rsidR="00611FDB">
        <w:rPr>
          <w:rFonts w:ascii="Arial" w:eastAsia="Calibri" w:hAnsi="Arial" w:cs="Arial"/>
          <w:szCs w:val="22"/>
        </w:rPr>
        <w:t xml:space="preserve">, </w:t>
      </w:r>
      <w:r w:rsidR="00611FDB" w:rsidRPr="00611FDB">
        <w:rPr>
          <w:rFonts w:ascii="Arial" w:eastAsia="Calibri" w:hAnsi="Arial" w:cs="Arial"/>
          <w:szCs w:val="22"/>
        </w:rPr>
        <w:t>2018</w:t>
      </w:r>
      <w:r w:rsidR="00611FDB">
        <w:rPr>
          <w:rFonts w:ascii="Arial" w:eastAsia="Calibri" w:hAnsi="Arial" w:cs="Arial"/>
          <w:szCs w:val="22"/>
        </w:rPr>
        <w:t>)</w:t>
      </w:r>
      <w:r w:rsidRPr="00D34406">
        <w:rPr>
          <w:rFonts w:ascii="Arial" w:eastAsia="Calibri" w:hAnsi="Arial" w:cs="Arial"/>
          <w:szCs w:val="22"/>
        </w:rPr>
        <w:t>.</w:t>
      </w:r>
    </w:p>
    <w:p w14:paraId="22B9FA3E" w14:textId="6CB567B2"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lastRenderedPageBreak/>
        <w:t xml:space="preserve">Malignant mesothelioma is a relatively rare but lethal tumor, with an incidence rate ranging from 7 to 40 cases per million, causing approximately 40,000 deaths worldwide annually </w:t>
      </w:r>
      <w:r w:rsidR="00FD285A" w:rsidRPr="00FD285A">
        <w:rPr>
          <w:rFonts w:ascii="Arial" w:eastAsia="Calibri" w:hAnsi="Arial" w:cs="Arial"/>
          <w:szCs w:val="22"/>
        </w:rPr>
        <w:t>Rigon, Mutti, &amp; Campanella, 2024)</w:t>
      </w:r>
      <w:r w:rsidRPr="00D34406">
        <w:rPr>
          <w:rFonts w:ascii="Arial" w:eastAsia="Calibri" w:hAnsi="Arial" w:cs="Arial"/>
          <w:szCs w:val="22"/>
        </w:rPr>
        <w:t>. Pleural mesothelioma, which involves the internal thoracic cavity and the visceral lining covering the lungs, accounts for more than 70% of all cases</w:t>
      </w:r>
      <w:r w:rsidR="0043104F">
        <w:rPr>
          <w:rFonts w:ascii="Arial" w:eastAsia="Calibri" w:hAnsi="Arial" w:cs="Arial"/>
          <w:szCs w:val="22"/>
        </w:rPr>
        <w:t xml:space="preserve"> </w:t>
      </w:r>
      <w:r w:rsidR="00B67A71">
        <w:rPr>
          <w:rFonts w:ascii="Arial" w:eastAsia="Calibri" w:hAnsi="Arial" w:cs="Arial"/>
          <w:szCs w:val="22"/>
        </w:rPr>
        <w:t>(</w:t>
      </w:r>
      <w:r w:rsidR="00B5775D">
        <w:rPr>
          <w:rFonts w:ascii="Arial" w:eastAsia="Calibri" w:hAnsi="Arial" w:cs="Arial"/>
          <w:szCs w:val="22"/>
        </w:rPr>
        <w:t xml:space="preserve">Rigon, et al., </w:t>
      </w:r>
      <w:r w:rsidR="00B67A71">
        <w:rPr>
          <w:rFonts w:ascii="Arial" w:eastAsia="Calibri" w:hAnsi="Arial" w:cs="Arial"/>
          <w:szCs w:val="22"/>
        </w:rPr>
        <w:t>2026)</w:t>
      </w:r>
      <w:r w:rsidRPr="00D34406">
        <w:rPr>
          <w:rFonts w:ascii="Arial" w:eastAsia="Calibri" w:hAnsi="Arial" w:cs="Arial"/>
          <w:szCs w:val="22"/>
        </w:rPr>
        <w:t>.</w:t>
      </w:r>
    </w:p>
    <w:p w14:paraId="52B643B9" w14:textId="17CC9CC4"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Malignant pleural mesothelioma has a considerable symptom burden and a poor prognosis, with a median life expectancy of between 8 and 22 months after diagnosis, depending on the stage and histological subtype</w:t>
      </w:r>
      <w:r w:rsidR="0043104F">
        <w:rPr>
          <w:rFonts w:ascii="Arial" w:eastAsia="Calibri" w:hAnsi="Arial" w:cs="Arial"/>
          <w:szCs w:val="22"/>
        </w:rPr>
        <w:t xml:space="preserve"> </w:t>
      </w:r>
      <w:r w:rsidR="00B67A71">
        <w:rPr>
          <w:rFonts w:ascii="Arial" w:eastAsia="Calibri" w:hAnsi="Arial" w:cs="Arial"/>
          <w:szCs w:val="22"/>
        </w:rPr>
        <w:t>(Rigon</w:t>
      </w:r>
      <w:r w:rsidR="00E63D94">
        <w:rPr>
          <w:rFonts w:ascii="Arial" w:eastAsia="Calibri" w:hAnsi="Arial" w:cs="Arial"/>
          <w:szCs w:val="22"/>
        </w:rPr>
        <w:t>, et al., 2026)</w:t>
      </w:r>
      <w:r w:rsidRPr="00D34406">
        <w:rPr>
          <w:rFonts w:ascii="Arial" w:eastAsia="Calibri" w:hAnsi="Arial" w:cs="Arial"/>
          <w:szCs w:val="22"/>
        </w:rPr>
        <w:t>.</w:t>
      </w:r>
    </w:p>
    <w:p w14:paraId="48ED41D2" w14:textId="77777777" w:rsidR="0043104F" w:rsidRDefault="00D34406" w:rsidP="00D34406">
      <w:pPr>
        <w:pStyle w:val="Body"/>
        <w:rPr>
          <w:rFonts w:ascii="Arial" w:eastAsia="Calibri" w:hAnsi="Arial" w:cs="Arial"/>
          <w:szCs w:val="22"/>
        </w:rPr>
      </w:pPr>
      <w:r w:rsidRPr="00D34406">
        <w:rPr>
          <w:rFonts w:ascii="Arial" w:eastAsia="Calibri" w:hAnsi="Arial" w:cs="Arial"/>
          <w:szCs w:val="22"/>
        </w:rPr>
        <w:t xml:space="preserve">Patients typically present with a diverse array of symptoms, including dyspnea, pain, and cachexia. In many cases, the pain becomes refractory to standard management measures due to tumor infiltration of the pleura, chest wall, and nerve structures. This pain, of mixed origin, poses a therapeutic challenge and is exacerbated by the rapid progression of the disease and the limited life expectancy, necessitating the prioritization of effective pain relief strategies </w:t>
      </w:r>
      <w:r w:rsidR="0043104F">
        <w:rPr>
          <w:rFonts w:ascii="Arial" w:eastAsia="Calibri" w:hAnsi="Arial" w:cs="Arial"/>
          <w:szCs w:val="22"/>
        </w:rPr>
        <w:t>(</w:t>
      </w:r>
      <w:r w:rsidR="0043104F" w:rsidRPr="0043104F">
        <w:rPr>
          <w:rFonts w:ascii="Arial" w:eastAsia="Calibri" w:hAnsi="Arial" w:cs="Arial"/>
          <w:szCs w:val="22"/>
        </w:rPr>
        <w:t xml:space="preserve">Saunders, Ashton, Hall, Laird, &amp; MacLeod, 2019). </w:t>
      </w:r>
    </w:p>
    <w:p w14:paraId="7F405CB9" w14:textId="6DF1F325"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 xml:space="preserve">Although opioids and adjuvant therapies form the basis of treatment, many patients require more specialized interventions when these drugs are insufficient. In this regard, neuraxial analgesia (epidural or intrathecal) is considered an effective alternative, as it allows for the administration of localized medications and reduces the dose of systemic opioids </w:t>
      </w:r>
      <w:r w:rsidR="00FA5068">
        <w:rPr>
          <w:rFonts w:ascii="Arial" w:eastAsia="Calibri" w:hAnsi="Arial" w:cs="Arial"/>
          <w:szCs w:val="22"/>
        </w:rPr>
        <w:t>(</w:t>
      </w:r>
      <w:r w:rsidR="00FA5068" w:rsidRPr="00FA5068">
        <w:rPr>
          <w:rFonts w:ascii="Arial" w:eastAsia="Calibri" w:hAnsi="Arial" w:cs="Arial"/>
          <w:szCs w:val="22"/>
        </w:rPr>
        <w:t xml:space="preserve">Díaz, Sánchez, </w:t>
      </w:r>
      <w:proofErr w:type="spellStart"/>
      <w:r w:rsidR="00FA5068" w:rsidRPr="00FA5068">
        <w:rPr>
          <w:rFonts w:ascii="Arial" w:eastAsia="Calibri" w:hAnsi="Arial" w:cs="Arial"/>
          <w:szCs w:val="22"/>
        </w:rPr>
        <w:t>Fontán</w:t>
      </w:r>
      <w:proofErr w:type="spellEnd"/>
      <w:r w:rsidR="00FA5068" w:rsidRPr="00FA5068">
        <w:rPr>
          <w:rFonts w:ascii="Arial" w:eastAsia="Calibri" w:hAnsi="Arial" w:cs="Arial"/>
          <w:szCs w:val="22"/>
        </w:rPr>
        <w:t xml:space="preserve">, Peralta, </w:t>
      </w:r>
      <w:proofErr w:type="spellStart"/>
      <w:r w:rsidR="00FA5068" w:rsidRPr="00FA5068">
        <w:rPr>
          <w:rFonts w:ascii="Arial" w:eastAsia="Calibri" w:hAnsi="Arial" w:cs="Arial"/>
          <w:szCs w:val="22"/>
        </w:rPr>
        <w:t>Berraquero</w:t>
      </w:r>
      <w:proofErr w:type="spellEnd"/>
      <w:r w:rsidR="00FA5068" w:rsidRPr="00FA5068">
        <w:rPr>
          <w:rFonts w:ascii="Arial" w:eastAsia="Calibri" w:hAnsi="Arial" w:cs="Arial"/>
          <w:szCs w:val="22"/>
        </w:rPr>
        <w:t xml:space="preserve">, Naranjo, </w:t>
      </w:r>
      <w:proofErr w:type="spellStart"/>
      <w:r w:rsidR="00FA5068" w:rsidRPr="00FA5068">
        <w:rPr>
          <w:rFonts w:ascii="Arial" w:eastAsia="Calibri" w:hAnsi="Arial" w:cs="Arial"/>
          <w:szCs w:val="22"/>
        </w:rPr>
        <w:t>Gándara</w:t>
      </w:r>
      <w:proofErr w:type="spellEnd"/>
      <w:r w:rsidR="00FA5068" w:rsidRPr="00FA5068">
        <w:rPr>
          <w:rFonts w:ascii="Arial" w:eastAsia="Calibri" w:hAnsi="Arial" w:cs="Arial"/>
          <w:szCs w:val="22"/>
        </w:rPr>
        <w:t>, &amp; Fernández</w:t>
      </w:r>
      <w:r w:rsidR="00FA5068">
        <w:rPr>
          <w:rFonts w:ascii="Arial" w:eastAsia="Calibri" w:hAnsi="Arial" w:cs="Arial"/>
          <w:szCs w:val="22"/>
        </w:rPr>
        <w:t>,</w:t>
      </w:r>
      <w:r w:rsidR="00FA5068" w:rsidRPr="00FA5068">
        <w:rPr>
          <w:rFonts w:ascii="Arial" w:eastAsia="Calibri" w:hAnsi="Arial" w:cs="Arial"/>
          <w:szCs w:val="22"/>
        </w:rPr>
        <w:t xml:space="preserve"> 2023)</w:t>
      </w:r>
      <w:r w:rsidR="00186BE3">
        <w:rPr>
          <w:rFonts w:ascii="Arial" w:eastAsia="Calibri" w:hAnsi="Arial" w:cs="Arial"/>
          <w:szCs w:val="22"/>
        </w:rPr>
        <w:t xml:space="preserve"> (</w:t>
      </w:r>
      <w:r w:rsidR="00186BE3" w:rsidRPr="00186BE3">
        <w:rPr>
          <w:rFonts w:ascii="Arial" w:eastAsia="Calibri" w:hAnsi="Arial" w:cs="Arial"/>
          <w:szCs w:val="22"/>
        </w:rPr>
        <w:t>Heo, Pyeon,</w:t>
      </w:r>
      <w:r w:rsidR="00186BE3">
        <w:rPr>
          <w:rFonts w:ascii="Arial" w:eastAsia="Calibri" w:hAnsi="Arial" w:cs="Arial"/>
          <w:szCs w:val="22"/>
        </w:rPr>
        <w:t xml:space="preserve"> </w:t>
      </w:r>
      <w:r w:rsidR="00186BE3" w:rsidRPr="00186BE3">
        <w:rPr>
          <w:rFonts w:ascii="Arial" w:eastAsia="Calibri" w:hAnsi="Arial" w:cs="Arial"/>
          <w:szCs w:val="22"/>
        </w:rPr>
        <w:t xml:space="preserve">Lee, Kim, Choi, </w:t>
      </w:r>
      <w:r w:rsidR="00186BE3">
        <w:rPr>
          <w:rFonts w:ascii="Arial" w:eastAsia="Calibri" w:hAnsi="Arial" w:cs="Arial"/>
          <w:szCs w:val="22"/>
        </w:rPr>
        <w:t xml:space="preserve">&amp; </w:t>
      </w:r>
      <w:r w:rsidR="00186BE3" w:rsidRPr="00186BE3">
        <w:rPr>
          <w:rFonts w:ascii="Arial" w:eastAsia="Calibri" w:hAnsi="Arial" w:cs="Arial"/>
          <w:szCs w:val="22"/>
        </w:rPr>
        <w:t>Yoon, 2014).</w:t>
      </w:r>
      <w:r w:rsidRPr="00D34406">
        <w:rPr>
          <w:rFonts w:ascii="Arial" w:eastAsia="Calibri" w:hAnsi="Arial" w:cs="Arial"/>
          <w:szCs w:val="22"/>
        </w:rPr>
        <w:t xml:space="preserve"> However, the prolonged use of epidural or intrathecal catheters carries risks, such as infections, displacement, or serious complications if not managed properly </w:t>
      </w:r>
      <w:r w:rsidR="00086DED">
        <w:rPr>
          <w:rFonts w:ascii="Arial" w:eastAsia="Calibri" w:hAnsi="Arial" w:cs="Arial"/>
          <w:szCs w:val="22"/>
        </w:rPr>
        <w:t>(</w:t>
      </w:r>
      <w:proofErr w:type="spellStart"/>
      <w:r w:rsidR="00086DED" w:rsidRPr="00086DED">
        <w:rPr>
          <w:rFonts w:ascii="Arial" w:eastAsia="Calibri" w:hAnsi="Arial" w:cs="Arial"/>
          <w:szCs w:val="22"/>
        </w:rPr>
        <w:t>Bomberg</w:t>
      </w:r>
      <w:proofErr w:type="spellEnd"/>
      <w:r w:rsidR="00086DED" w:rsidRPr="00086DED">
        <w:rPr>
          <w:rFonts w:ascii="Arial" w:eastAsia="Calibri" w:hAnsi="Arial" w:cs="Arial"/>
          <w:szCs w:val="22"/>
        </w:rPr>
        <w:t xml:space="preserve">, </w:t>
      </w:r>
      <w:proofErr w:type="spellStart"/>
      <w:r w:rsidR="00086DED" w:rsidRPr="00086DED">
        <w:rPr>
          <w:rFonts w:ascii="Arial" w:eastAsia="Calibri" w:hAnsi="Arial" w:cs="Arial"/>
          <w:szCs w:val="22"/>
        </w:rPr>
        <w:t>Kubulus</w:t>
      </w:r>
      <w:proofErr w:type="spellEnd"/>
      <w:r w:rsidR="00086DED" w:rsidRPr="00086DED">
        <w:rPr>
          <w:rFonts w:ascii="Arial" w:eastAsia="Calibri" w:hAnsi="Arial" w:cs="Arial"/>
          <w:szCs w:val="22"/>
        </w:rPr>
        <w:t xml:space="preserve">, Herberger, </w:t>
      </w:r>
      <w:proofErr w:type="spellStart"/>
      <w:r w:rsidR="00086DED" w:rsidRPr="00086DED">
        <w:rPr>
          <w:rFonts w:ascii="Arial" w:eastAsia="Calibri" w:hAnsi="Arial" w:cs="Arial"/>
          <w:szCs w:val="22"/>
        </w:rPr>
        <w:t>Wagenpfeil</w:t>
      </w:r>
      <w:proofErr w:type="spellEnd"/>
      <w:r w:rsidR="00086DED" w:rsidRPr="00086DED">
        <w:rPr>
          <w:rFonts w:ascii="Arial" w:eastAsia="Calibri" w:hAnsi="Arial" w:cs="Arial"/>
          <w:szCs w:val="22"/>
        </w:rPr>
        <w:t xml:space="preserve">, Kessler, </w:t>
      </w:r>
      <w:proofErr w:type="spellStart"/>
      <w:r w:rsidR="00086DED" w:rsidRPr="00086DED">
        <w:rPr>
          <w:rFonts w:ascii="Arial" w:eastAsia="Calibri" w:hAnsi="Arial" w:cs="Arial"/>
          <w:szCs w:val="22"/>
        </w:rPr>
        <w:t>Steinfeldt</w:t>
      </w:r>
      <w:proofErr w:type="spellEnd"/>
      <w:r w:rsidR="00086DED" w:rsidRPr="00086DED">
        <w:rPr>
          <w:rFonts w:ascii="Arial" w:eastAsia="Calibri" w:hAnsi="Arial" w:cs="Arial"/>
          <w:szCs w:val="22"/>
        </w:rPr>
        <w:t xml:space="preserve">, </w:t>
      </w:r>
      <w:proofErr w:type="spellStart"/>
      <w:r w:rsidR="00086DED" w:rsidRPr="00086DED">
        <w:rPr>
          <w:rFonts w:ascii="Arial" w:eastAsia="Calibri" w:hAnsi="Arial" w:cs="Arial"/>
          <w:szCs w:val="22"/>
        </w:rPr>
        <w:t>Standl</w:t>
      </w:r>
      <w:proofErr w:type="spellEnd"/>
      <w:r w:rsidR="00086DED" w:rsidRPr="00086DED">
        <w:rPr>
          <w:rFonts w:ascii="Arial" w:eastAsia="Calibri" w:hAnsi="Arial" w:cs="Arial"/>
          <w:szCs w:val="22"/>
        </w:rPr>
        <w:t xml:space="preserve">, Gottschalk, Stork, Meissner, Birnbaum, Koch, Sessler, Volk, &amp; Raddatz, 2016) </w:t>
      </w:r>
      <w:r w:rsidR="00086DED">
        <w:rPr>
          <w:rFonts w:ascii="Arial" w:eastAsia="Calibri" w:hAnsi="Arial" w:cs="Arial"/>
          <w:szCs w:val="22"/>
        </w:rPr>
        <w:t>(</w:t>
      </w:r>
      <w:r w:rsidR="00086DED" w:rsidRPr="00086DED">
        <w:rPr>
          <w:rFonts w:ascii="Arial" w:eastAsia="Calibri" w:hAnsi="Arial" w:cs="Arial"/>
          <w:szCs w:val="22"/>
        </w:rPr>
        <w:t>van Kassel,</w:t>
      </w:r>
      <w:r w:rsidR="00086DED">
        <w:rPr>
          <w:rFonts w:ascii="Arial" w:eastAsia="Calibri" w:hAnsi="Arial" w:cs="Arial"/>
          <w:szCs w:val="22"/>
        </w:rPr>
        <w:t xml:space="preserve"> </w:t>
      </w:r>
      <w:proofErr w:type="spellStart"/>
      <w:r w:rsidR="00086DED" w:rsidRPr="00086DED">
        <w:rPr>
          <w:rFonts w:ascii="Arial" w:eastAsia="Calibri" w:hAnsi="Arial" w:cs="Arial"/>
          <w:szCs w:val="22"/>
        </w:rPr>
        <w:t>Hermanides</w:t>
      </w:r>
      <w:proofErr w:type="spellEnd"/>
      <w:r w:rsidR="00086DED" w:rsidRPr="00086DED">
        <w:rPr>
          <w:rFonts w:ascii="Arial" w:eastAsia="Calibri" w:hAnsi="Arial" w:cs="Arial"/>
          <w:szCs w:val="22"/>
        </w:rPr>
        <w:t xml:space="preserve">, </w:t>
      </w:r>
      <w:proofErr w:type="spellStart"/>
      <w:r w:rsidR="00086DED" w:rsidRPr="00086DED">
        <w:rPr>
          <w:rFonts w:ascii="Arial" w:eastAsia="Calibri" w:hAnsi="Arial" w:cs="Arial"/>
          <w:szCs w:val="22"/>
        </w:rPr>
        <w:t>Lirk</w:t>
      </w:r>
      <w:proofErr w:type="spellEnd"/>
      <w:r w:rsidR="00086DED" w:rsidRPr="00086DED">
        <w:rPr>
          <w:rFonts w:ascii="Arial" w:eastAsia="Calibri" w:hAnsi="Arial" w:cs="Arial"/>
          <w:szCs w:val="22"/>
        </w:rPr>
        <w:t>,</w:t>
      </w:r>
      <w:r w:rsidR="00086DED">
        <w:rPr>
          <w:rFonts w:ascii="Arial" w:eastAsia="Calibri" w:hAnsi="Arial" w:cs="Arial"/>
          <w:szCs w:val="22"/>
        </w:rPr>
        <w:t xml:space="preserve"> </w:t>
      </w:r>
      <w:r w:rsidR="00086DED" w:rsidRPr="00086DED">
        <w:rPr>
          <w:rFonts w:ascii="Arial" w:eastAsia="Calibri" w:hAnsi="Arial" w:cs="Arial"/>
          <w:szCs w:val="22"/>
        </w:rPr>
        <w:t>&amp; Hollmann,</w:t>
      </w:r>
      <w:r w:rsidR="00086DED">
        <w:rPr>
          <w:rFonts w:ascii="Arial" w:eastAsia="Calibri" w:hAnsi="Arial" w:cs="Arial"/>
          <w:szCs w:val="22"/>
        </w:rPr>
        <w:t xml:space="preserve"> </w:t>
      </w:r>
      <w:r w:rsidR="00086DED" w:rsidRPr="00086DED">
        <w:rPr>
          <w:rFonts w:ascii="Arial" w:eastAsia="Calibri" w:hAnsi="Arial" w:cs="Arial"/>
          <w:szCs w:val="22"/>
        </w:rPr>
        <w:t>2025)</w:t>
      </w:r>
      <w:r w:rsidRPr="00D34406">
        <w:rPr>
          <w:rFonts w:ascii="Arial" w:eastAsia="Calibri" w:hAnsi="Arial" w:cs="Arial"/>
          <w:szCs w:val="22"/>
        </w:rPr>
        <w:t>. Therefore, the development of tunneled or subcutaneous port catheters has been an important advance: these systems offer a more stable route for continuous infusion, with a lower incidence of technical problems (</w:t>
      </w:r>
      <w:r w:rsidR="00186BE3" w:rsidRPr="00186BE3">
        <w:rPr>
          <w:rFonts w:ascii="Arial" w:eastAsia="Calibri" w:hAnsi="Arial" w:cs="Arial"/>
          <w:szCs w:val="22"/>
        </w:rPr>
        <w:t xml:space="preserve">Heo, </w:t>
      </w:r>
      <w:r w:rsidR="00186BE3">
        <w:rPr>
          <w:rFonts w:ascii="Arial" w:eastAsia="Calibri" w:hAnsi="Arial" w:cs="Arial"/>
          <w:szCs w:val="22"/>
        </w:rPr>
        <w:t xml:space="preserve">et al., </w:t>
      </w:r>
      <w:r w:rsidR="00186BE3" w:rsidRPr="00186BE3">
        <w:rPr>
          <w:rFonts w:ascii="Arial" w:eastAsia="Calibri" w:hAnsi="Arial" w:cs="Arial"/>
          <w:szCs w:val="22"/>
        </w:rPr>
        <w:t>2014).</w:t>
      </w:r>
    </w:p>
    <w:p w14:paraId="63321872" w14:textId="77777777" w:rsidR="00D34406" w:rsidRPr="00D34406" w:rsidRDefault="00D34406" w:rsidP="00D34406">
      <w:pPr>
        <w:pStyle w:val="Body"/>
        <w:rPr>
          <w:rFonts w:ascii="Arial" w:eastAsia="Calibri" w:hAnsi="Arial" w:cs="Arial"/>
          <w:szCs w:val="22"/>
        </w:rPr>
      </w:pPr>
      <w:r w:rsidRPr="00D34406">
        <w:rPr>
          <w:rFonts w:ascii="Arial" w:eastAsia="Calibri" w:hAnsi="Arial" w:cs="Arial"/>
          <w:szCs w:val="22"/>
        </w:rPr>
        <w:t>Even with these improvements, evidence on the use of port-type epidural systems in patients with mesothelioma is limited, as there are few detailed clinical reports in this specific population.</w:t>
      </w:r>
    </w:p>
    <w:p w14:paraId="361465CB" w14:textId="77777777" w:rsidR="00D34406" w:rsidRDefault="00D34406" w:rsidP="00D34406">
      <w:pPr>
        <w:pStyle w:val="Body"/>
        <w:spacing w:after="0"/>
        <w:rPr>
          <w:rFonts w:ascii="Arial" w:eastAsia="Calibri" w:hAnsi="Arial" w:cs="Arial"/>
          <w:szCs w:val="22"/>
        </w:rPr>
      </w:pPr>
      <w:r w:rsidRPr="00D34406">
        <w:rPr>
          <w:rFonts w:ascii="Arial" w:eastAsia="Calibri" w:hAnsi="Arial" w:cs="Arial"/>
          <w:szCs w:val="22"/>
        </w:rPr>
        <w:t>Such reports can provide useful information on their safety, efficacy, and tolerability, and contribute to strengthening the available evidence for their application within the field of palliative care.</w:t>
      </w:r>
    </w:p>
    <w:p w14:paraId="7A1379FD" w14:textId="77777777" w:rsidR="00D34406" w:rsidRDefault="00D34406" w:rsidP="00D34406">
      <w:pPr>
        <w:pStyle w:val="Body"/>
        <w:spacing w:after="0"/>
        <w:rPr>
          <w:rFonts w:ascii="Arial" w:eastAsia="Calibri" w:hAnsi="Arial" w:cs="Arial"/>
          <w:szCs w:val="22"/>
        </w:rPr>
      </w:pPr>
    </w:p>
    <w:p w14:paraId="2CE4FD7A" w14:textId="3E49C5B3" w:rsidR="007F7B32" w:rsidRDefault="00902823" w:rsidP="00441B6F">
      <w:pPr>
        <w:pStyle w:val="AbstHead"/>
        <w:spacing w:after="0"/>
        <w:jc w:val="both"/>
        <w:rPr>
          <w:rFonts w:ascii="Arial" w:hAnsi="Arial" w:cs="Arial"/>
        </w:rPr>
      </w:pPr>
      <w:r>
        <w:rPr>
          <w:rFonts w:ascii="Arial" w:hAnsi="Arial" w:cs="Arial"/>
        </w:rPr>
        <w:t xml:space="preserve">2. </w:t>
      </w:r>
      <w:r w:rsidR="00D34406">
        <w:rPr>
          <w:rFonts w:ascii="Arial" w:hAnsi="Arial" w:cs="Arial"/>
        </w:rPr>
        <w:t>PRESENTATION OF CASE</w:t>
      </w:r>
    </w:p>
    <w:p w14:paraId="67DCF1AE" w14:textId="77777777" w:rsidR="00790ADA" w:rsidRPr="00FB3A86" w:rsidRDefault="00790ADA" w:rsidP="00441B6F">
      <w:pPr>
        <w:pStyle w:val="AbstHead"/>
        <w:spacing w:after="0"/>
        <w:jc w:val="both"/>
        <w:rPr>
          <w:rFonts w:ascii="Arial" w:hAnsi="Arial" w:cs="Arial"/>
        </w:rPr>
      </w:pPr>
    </w:p>
    <w:p w14:paraId="61875773" w14:textId="488DB03B" w:rsidR="004279DB" w:rsidRPr="004279DB" w:rsidRDefault="004279DB" w:rsidP="004279DB">
      <w:pPr>
        <w:pStyle w:val="Body"/>
        <w:rPr>
          <w:rFonts w:ascii="Arial" w:eastAsia="Calibri" w:hAnsi="Arial" w:cs="Arial"/>
          <w:szCs w:val="22"/>
        </w:rPr>
      </w:pPr>
      <w:r>
        <w:rPr>
          <w:rFonts w:ascii="Arial" w:hAnsi="Arial" w:cs="Arial"/>
        </w:rPr>
        <w:t xml:space="preserve">The case was </w:t>
      </w:r>
      <w:r w:rsidRPr="004279DB">
        <w:rPr>
          <w:rFonts w:ascii="Arial" w:eastAsia="Calibri" w:hAnsi="Arial" w:cs="Arial"/>
          <w:szCs w:val="22"/>
        </w:rPr>
        <w:t>a 27-year-old woman, previously healthy and with no relevant personal or family history. Following a fall in May 2025, she began experiencing pain localized to the right scapula region. She was initially evaluated at the primary care level, where symptomatic management was prescribed; however, due to persistent and progressive pain, a non-contrast and contrast-enhanced computed tomography scan of the chest, abdomen, and pelvis was performed in September 2025.</w:t>
      </w:r>
    </w:p>
    <w:p w14:paraId="55C51704" w14:textId="520ACB2C" w:rsidR="004279DB" w:rsidRDefault="004279DB" w:rsidP="004279DB">
      <w:pPr>
        <w:pStyle w:val="Body"/>
        <w:rPr>
          <w:rFonts w:ascii="Arial" w:eastAsia="Calibri" w:hAnsi="Arial" w:cs="Arial"/>
          <w:szCs w:val="22"/>
        </w:rPr>
      </w:pPr>
      <w:r w:rsidRPr="004279DB">
        <w:rPr>
          <w:rFonts w:ascii="Arial" w:eastAsia="Calibri" w:hAnsi="Arial" w:cs="Arial"/>
          <w:szCs w:val="22"/>
        </w:rPr>
        <w:t>The radiological study identified lesions suggestive of malignancy, leading to a lung biopsy performed in October 2025</w:t>
      </w:r>
      <w:r w:rsidR="006C6098">
        <w:rPr>
          <w:rFonts w:ascii="Arial" w:eastAsia="Calibri" w:hAnsi="Arial" w:cs="Arial"/>
          <w:szCs w:val="22"/>
        </w:rPr>
        <w:t xml:space="preserve"> (Figure 1)</w:t>
      </w:r>
      <w:r w:rsidRPr="004279DB">
        <w:rPr>
          <w:rFonts w:ascii="Arial" w:eastAsia="Calibri" w:hAnsi="Arial" w:cs="Arial"/>
          <w:szCs w:val="22"/>
        </w:rPr>
        <w:t xml:space="preserve">. </w:t>
      </w:r>
    </w:p>
    <w:p w14:paraId="7A72B9BF" w14:textId="7B304472" w:rsidR="00685153" w:rsidRDefault="00685153" w:rsidP="004279DB">
      <w:pPr>
        <w:pStyle w:val="Body"/>
        <w:rPr>
          <w:rFonts w:ascii="Arial" w:eastAsia="Calibri" w:hAnsi="Arial" w:cs="Arial"/>
          <w:szCs w:val="22"/>
        </w:rPr>
      </w:pPr>
      <w:r>
        <w:rPr>
          <w:rFonts w:ascii="Arial" w:eastAsia="Calibri" w:hAnsi="Arial" w:cs="Arial"/>
          <w:noProof/>
          <w:szCs w:val="22"/>
        </w:rPr>
        <w:lastRenderedPageBreak/>
        <w:drawing>
          <wp:inline distT="0" distB="0" distL="0" distR="0" wp14:anchorId="06D3F055" wp14:editId="60781E53">
            <wp:extent cx="5614670" cy="3871595"/>
            <wp:effectExtent l="0" t="0" r="5080" b="0"/>
            <wp:docPr id="12760166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3871595"/>
                    </a:xfrm>
                    <a:prstGeom prst="rect">
                      <a:avLst/>
                    </a:prstGeom>
                    <a:noFill/>
                  </pic:spPr>
                </pic:pic>
              </a:graphicData>
            </a:graphic>
          </wp:inline>
        </w:drawing>
      </w:r>
    </w:p>
    <w:p w14:paraId="286EEDA8" w14:textId="1F87F446" w:rsidR="00F5153E" w:rsidRDefault="00F5153E" w:rsidP="004279DB">
      <w:pPr>
        <w:pStyle w:val="Body"/>
        <w:rPr>
          <w:rFonts w:ascii="Arial" w:eastAsia="Calibri" w:hAnsi="Arial" w:cs="Arial"/>
          <w:szCs w:val="22"/>
        </w:rPr>
      </w:pPr>
      <w:bookmarkStart w:id="0" w:name="_Hlk215895285"/>
      <w:r>
        <w:rPr>
          <w:rFonts w:ascii="Arial" w:eastAsia="Calibri" w:hAnsi="Arial" w:cs="Arial"/>
          <w:szCs w:val="22"/>
        </w:rPr>
        <w:t>Source: File from the patient</w:t>
      </w:r>
    </w:p>
    <w:bookmarkEnd w:id="0"/>
    <w:p w14:paraId="4395B7D3" w14:textId="7F1C50E2" w:rsidR="00C519DA" w:rsidRPr="00F5153E" w:rsidRDefault="00C519DA" w:rsidP="004279DB">
      <w:pPr>
        <w:pStyle w:val="Body"/>
        <w:rPr>
          <w:rFonts w:ascii="Arial" w:eastAsia="Calibri" w:hAnsi="Arial" w:cs="Arial"/>
          <w:b/>
          <w:bCs/>
          <w:szCs w:val="22"/>
        </w:rPr>
      </w:pPr>
      <w:r w:rsidRPr="00F5153E">
        <w:rPr>
          <w:rFonts w:ascii="Arial" w:eastAsia="Calibri" w:hAnsi="Arial" w:cs="Arial"/>
          <w:b/>
          <w:bCs/>
          <w:szCs w:val="22"/>
        </w:rPr>
        <w:t>Figur</w:t>
      </w:r>
      <w:r w:rsidR="006674E8" w:rsidRPr="00F5153E">
        <w:rPr>
          <w:rFonts w:ascii="Arial" w:eastAsia="Calibri" w:hAnsi="Arial" w:cs="Arial"/>
          <w:b/>
          <w:bCs/>
          <w:szCs w:val="22"/>
        </w:rPr>
        <w:t>e</w:t>
      </w:r>
      <w:r w:rsidRPr="00F5153E">
        <w:rPr>
          <w:rFonts w:ascii="Arial" w:eastAsia="Calibri" w:hAnsi="Arial" w:cs="Arial"/>
          <w:b/>
          <w:bCs/>
          <w:szCs w:val="22"/>
        </w:rPr>
        <w:t xml:space="preserve"> 1. </w:t>
      </w:r>
      <w:r w:rsidR="009D740A" w:rsidRPr="00F5153E">
        <w:rPr>
          <w:rFonts w:ascii="Arial" w:eastAsia="Calibri" w:hAnsi="Arial" w:cs="Arial"/>
          <w:b/>
          <w:bCs/>
          <w:szCs w:val="22"/>
        </w:rPr>
        <w:t>Contrast-enhanced chest CT scan in arterial (a-b) and venous (c-d) phases; circumferential pleural thickening with loculated fluid inside is observed, presenting significant enhancement, occupying the right hemithorax and infiltrating the middle and posterior mediastinum.</w:t>
      </w:r>
    </w:p>
    <w:p w14:paraId="16BCA093" w14:textId="2FF018DF" w:rsidR="00715C1D" w:rsidRDefault="00715C1D" w:rsidP="004279DB">
      <w:pPr>
        <w:pStyle w:val="Body"/>
        <w:rPr>
          <w:rFonts w:ascii="Arial" w:eastAsia="Calibri" w:hAnsi="Arial" w:cs="Arial"/>
          <w:szCs w:val="22"/>
        </w:rPr>
      </w:pPr>
      <w:r w:rsidRPr="00715C1D">
        <w:rPr>
          <w:rFonts w:ascii="Arial" w:eastAsia="Calibri" w:hAnsi="Arial" w:cs="Arial"/>
          <w:szCs w:val="22"/>
        </w:rPr>
        <w:t>Histopathological analysis of pleura sample, revealed an epithelioid tumor with an immunophenotype compatible with mesothelial origin, establishing a diagnosis of metastatic mesothelioma with pulmonary, bone, hepatic, and mediastinal involvement, and bone marrow infiltration (Figure 2).</w:t>
      </w:r>
    </w:p>
    <w:p w14:paraId="58FAAD1C" w14:textId="77777777" w:rsidR="00715C1D" w:rsidRDefault="00715C1D" w:rsidP="004279DB">
      <w:pPr>
        <w:pStyle w:val="Body"/>
        <w:rPr>
          <w:rFonts w:ascii="Arial" w:eastAsia="Calibri" w:hAnsi="Arial" w:cs="Arial"/>
          <w:szCs w:val="22"/>
        </w:rPr>
      </w:pPr>
    </w:p>
    <w:p w14:paraId="79C30AA4" w14:textId="77777777" w:rsidR="00715C1D" w:rsidRDefault="00715C1D" w:rsidP="004279DB">
      <w:pPr>
        <w:pStyle w:val="Body"/>
        <w:rPr>
          <w:rFonts w:ascii="Arial" w:eastAsia="Calibri" w:hAnsi="Arial" w:cs="Arial"/>
          <w:szCs w:val="22"/>
        </w:rPr>
      </w:pPr>
    </w:p>
    <w:p w14:paraId="066A2184" w14:textId="77777777" w:rsidR="00715C1D" w:rsidRDefault="00715C1D" w:rsidP="004279DB">
      <w:pPr>
        <w:pStyle w:val="Body"/>
        <w:rPr>
          <w:rFonts w:ascii="Arial" w:eastAsia="Calibri" w:hAnsi="Arial" w:cs="Arial"/>
          <w:szCs w:val="22"/>
        </w:rPr>
      </w:pPr>
    </w:p>
    <w:p w14:paraId="1444DD49" w14:textId="77777777" w:rsidR="00715C1D" w:rsidRDefault="00715C1D" w:rsidP="00715C1D">
      <w:r w:rsidRPr="00B64B12">
        <w:rPr>
          <w:noProof/>
        </w:rPr>
        <w:lastRenderedPageBreak/>
        <w:drawing>
          <wp:inline distT="0" distB="0" distL="0" distR="0" wp14:anchorId="1A5DD6FE" wp14:editId="04116C8E">
            <wp:extent cx="1647825" cy="1870075"/>
            <wp:effectExtent l="0" t="0" r="9525" b="0"/>
            <wp:docPr id="1026" name="Picture 2" descr="C:\Users\USUARIO\MicrosoftEdgeBackups\Desktop\Q25-7227\H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USUARIO\MicrosoftEdgeBackups\Desktop\Q25-7227\HE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2931" cy="1875870"/>
                    </a:xfrm>
                    <a:prstGeom prst="rect">
                      <a:avLst/>
                    </a:prstGeom>
                    <a:noFill/>
                  </pic:spPr>
                </pic:pic>
              </a:graphicData>
            </a:graphic>
          </wp:inline>
        </w:drawing>
      </w:r>
      <w:r w:rsidRPr="00B64B12">
        <w:rPr>
          <w:noProof/>
        </w:rPr>
        <w:drawing>
          <wp:inline distT="0" distB="0" distL="0" distR="0" wp14:anchorId="29C75978" wp14:editId="5FC00AE3">
            <wp:extent cx="1676400" cy="1873684"/>
            <wp:effectExtent l="0" t="0" r="0" b="0"/>
            <wp:docPr id="3074" name="Picture 2" descr="C:\Users\USUARIO\MicrosoftEdgeBackups\Desktop\Q25-7227\C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UARIO\MicrosoftEdgeBackups\Desktop\Q25-7227\CK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2534" cy="1891716"/>
                    </a:xfrm>
                    <a:prstGeom prst="rect">
                      <a:avLst/>
                    </a:prstGeom>
                    <a:noFill/>
                  </pic:spPr>
                </pic:pic>
              </a:graphicData>
            </a:graphic>
          </wp:inline>
        </w:drawing>
      </w:r>
      <w:r w:rsidRPr="00B64B12">
        <w:rPr>
          <w:noProof/>
        </w:rPr>
        <w:drawing>
          <wp:inline distT="0" distB="0" distL="0" distR="0" wp14:anchorId="656E8C71" wp14:editId="5D0EAD0E">
            <wp:extent cx="1732956" cy="1855470"/>
            <wp:effectExtent l="0" t="0" r="635" b="0"/>
            <wp:docPr id="6148" name="Picture 4" descr="C:\Users\USUARIO\MicrosoftEdgeBackups\Desktop\Q25-7227\W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C:\Users\USUARIO\MicrosoftEdgeBackups\Desktop\Q25-7227\WT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9835" cy="1862835"/>
                    </a:xfrm>
                    <a:prstGeom prst="rect">
                      <a:avLst/>
                    </a:prstGeom>
                    <a:noFill/>
                  </pic:spPr>
                </pic:pic>
              </a:graphicData>
            </a:graphic>
          </wp:inline>
        </w:drawing>
      </w:r>
    </w:p>
    <w:p w14:paraId="30E9F4B7" w14:textId="292D2F7F" w:rsidR="00715C1D" w:rsidRDefault="00715C1D" w:rsidP="00715C1D">
      <w:r>
        <w:t xml:space="preserve">                       A                                              B                                             C</w:t>
      </w:r>
    </w:p>
    <w:p w14:paraId="0E338577" w14:textId="5C09D8D7" w:rsidR="00715C1D" w:rsidRDefault="00715C1D" w:rsidP="004279DB">
      <w:pPr>
        <w:pStyle w:val="Body"/>
        <w:rPr>
          <w:rFonts w:ascii="Arial" w:eastAsia="Calibri" w:hAnsi="Arial" w:cs="Arial"/>
          <w:szCs w:val="22"/>
        </w:rPr>
      </w:pPr>
      <w:r>
        <w:rPr>
          <w:rFonts w:ascii="Arial" w:eastAsia="Calibri" w:hAnsi="Arial" w:cs="Arial"/>
          <w:szCs w:val="22"/>
        </w:rPr>
        <w:t>Source: File from the patient</w:t>
      </w:r>
    </w:p>
    <w:p w14:paraId="788D71EE" w14:textId="51983EC1" w:rsidR="00715C1D" w:rsidRPr="00715C1D" w:rsidRDefault="00715C1D" w:rsidP="004279DB">
      <w:pPr>
        <w:pStyle w:val="Body"/>
        <w:rPr>
          <w:rFonts w:ascii="Arial" w:eastAsia="Calibri" w:hAnsi="Arial" w:cs="Arial"/>
          <w:b/>
          <w:bCs/>
          <w:szCs w:val="22"/>
        </w:rPr>
      </w:pPr>
      <w:r w:rsidRPr="00715C1D">
        <w:rPr>
          <w:rFonts w:ascii="Arial" w:eastAsia="Calibri" w:hAnsi="Arial" w:cs="Arial"/>
          <w:b/>
          <w:bCs/>
          <w:szCs w:val="22"/>
        </w:rPr>
        <w:t xml:space="preserve">Figure 2. Histopathological images. A) Hematoxylin and eosin stain, 10x. Neoplasm with infiltrative pattern, </w:t>
      </w:r>
      <w:proofErr w:type="spellStart"/>
      <w:r w:rsidRPr="00715C1D">
        <w:rPr>
          <w:rFonts w:ascii="Arial" w:eastAsia="Calibri" w:hAnsi="Arial" w:cs="Arial"/>
          <w:b/>
          <w:bCs/>
          <w:szCs w:val="22"/>
        </w:rPr>
        <w:t>discohesive</w:t>
      </w:r>
      <w:proofErr w:type="spellEnd"/>
      <w:r w:rsidRPr="00715C1D">
        <w:rPr>
          <w:rFonts w:ascii="Arial" w:eastAsia="Calibri" w:hAnsi="Arial" w:cs="Arial"/>
          <w:b/>
          <w:bCs/>
          <w:szCs w:val="22"/>
        </w:rPr>
        <w:t xml:space="preserve"> cells separated by fibrous septa, medium in size and with moderate cytoplasm. B) Immunohistochemistry for cytokeratin, 10x. Positive expression of the membranous epithelial marker. C) Immunohistochemistry for WT1, 40x. Intense nuclear positivity is observed, a finding consistent with mesothelial differentiation.</w:t>
      </w:r>
    </w:p>
    <w:p w14:paraId="70D26466" w14:textId="18DDF996" w:rsidR="004279DB" w:rsidRPr="004279DB" w:rsidRDefault="004279DB" w:rsidP="004279DB">
      <w:pPr>
        <w:pStyle w:val="Body"/>
        <w:rPr>
          <w:rFonts w:ascii="Arial" w:eastAsia="Calibri" w:hAnsi="Arial" w:cs="Arial"/>
          <w:szCs w:val="22"/>
        </w:rPr>
      </w:pPr>
      <w:r w:rsidRPr="004279DB">
        <w:rPr>
          <w:rFonts w:ascii="Arial" w:eastAsia="Calibri" w:hAnsi="Arial" w:cs="Arial"/>
          <w:szCs w:val="22"/>
        </w:rPr>
        <w:t>Upon admission</w:t>
      </w:r>
      <w:r>
        <w:rPr>
          <w:rFonts w:ascii="Arial" w:eastAsia="Calibri" w:hAnsi="Arial" w:cs="Arial"/>
          <w:szCs w:val="22"/>
        </w:rPr>
        <w:t>, in</w:t>
      </w:r>
      <w:r w:rsidRPr="004279DB">
        <w:rPr>
          <w:rFonts w:ascii="Arial" w:eastAsia="Calibri" w:hAnsi="Arial" w:cs="Arial"/>
          <w:szCs w:val="22"/>
        </w:rPr>
        <w:t xml:space="preserve"> </w:t>
      </w:r>
      <w:r>
        <w:rPr>
          <w:rFonts w:ascii="Arial" w:eastAsia="Calibri" w:hAnsi="Arial" w:cs="Arial"/>
          <w:szCs w:val="22"/>
        </w:rPr>
        <w:t>September</w:t>
      </w:r>
      <w:r w:rsidRPr="004279DB">
        <w:rPr>
          <w:rFonts w:ascii="Arial" w:eastAsia="Calibri" w:hAnsi="Arial" w:cs="Arial"/>
          <w:szCs w:val="22"/>
        </w:rPr>
        <w:t xml:space="preserve"> 2025, the patient presented with an </w:t>
      </w:r>
      <w:bookmarkStart w:id="1" w:name="_Hlk215899652"/>
      <w:r w:rsidR="00C05749">
        <w:rPr>
          <w:rFonts w:ascii="Arial" w:eastAsia="Calibri" w:hAnsi="Arial" w:cs="Arial"/>
          <w:szCs w:val="22"/>
        </w:rPr>
        <w:t xml:space="preserve">Eastern Cooperative </w:t>
      </w:r>
      <w:r w:rsidR="00B051F3">
        <w:rPr>
          <w:rFonts w:ascii="Arial" w:eastAsia="Calibri" w:hAnsi="Arial" w:cs="Arial"/>
          <w:szCs w:val="22"/>
        </w:rPr>
        <w:t>Oncology Group (</w:t>
      </w:r>
      <w:r w:rsidRPr="004279DB">
        <w:rPr>
          <w:rFonts w:ascii="Arial" w:eastAsia="Calibri" w:hAnsi="Arial" w:cs="Arial"/>
          <w:szCs w:val="22"/>
        </w:rPr>
        <w:t>ECOG</w:t>
      </w:r>
      <w:r w:rsidR="00B051F3">
        <w:rPr>
          <w:rFonts w:ascii="Arial" w:eastAsia="Calibri" w:hAnsi="Arial" w:cs="Arial"/>
          <w:szCs w:val="22"/>
        </w:rPr>
        <w:t>)</w:t>
      </w:r>
      <w:bookmarkEnd w:id="1"/>
      <w:r w:rsidR="00B051F3">
        <w:rPr>
          <w:rFonts w:ascii="Arial" w:eastAsia="Calibri" w:hAnsi="Arial" w:cs="Arial"/>
          <w:szCs w:val="22"/>
        </w:rPr>
        <w:t>, on quality of life,</w:t>
      </w:r>
      <w:r w:rsidRPr="004279DB">
        <w:rPr>
          <w:rFonts w:ascii="Arial" w:eastAsia="Calibri" w:hAnsi="Arial" w:cs="Arial"/>
          <w:szCs w:val="22"/>
        </w:rPr>
        <w:t xml:space="preserve"> performance status of 4, with pain in the right hemithorax radiating to the shoulder, scapula, and ipsilateral hypochondrium, with </w:t>
      </w:r>
      <w:proofErr w:type="gramStart"/>
      <w:r w:rsidRPr="004279DB">
        <w:rPr>
          <w:rFonts w:ascii="Arial" w:eastAsia="Calibri" w:hAnsi="Arial" w:cs="Arial"/>
          <w:szCs w:val="22"/>
        </w:rPr>
        <w:t>a</w:t>
      </w:r>
      <w:proofErr w:type="gramEnd"/>
      <w:r w:rsidRPr="004279DB">
        <w:rPr>
          <w:rFonts w:ascii="Arial" w:eastAsia="Calibri" w:hAnsi="Arial" w:cs="Arial"/>
          <w:szCs w:val="22"/>
        </w:rPr>
        <w:t xml:space="preserve"> </w:t>
      </w:r>
      <w:bookmarkStart w:id="2" w:name="_Hlk215899460"/>
      <w:r w:rsidR="00C8007D" w:rsidRPr="00C8007D">
        <w:rPr>
          <w:rFonts w:ascii="Arial" w:eastAsia="Calibri" w:hAnsi="Arial" w:cs="Arial"/>
          <w:szCs w:val="22"/>
        </w:rPr>
        <w:t>Analogous visual scale</w:t>
      </w:r>
      <w:r w:rsidR="007E630D">
        <w:rPr>
          <w:rFonts w:ascii="Arial" w:eastAsia="Calibri" w:hAnsi="Arial" w:cs="Arial"/>
          <w:szCs w:val="22"/>
        </w:rPr>
        <w:t xml:space="preserve"> (AVS)</w:t>
      </w:r>
      <w:bookmarkEnd w:id="2"/>
      <w:r w:rsidR="007E630D">
        <w:rPr>
          <w:rFonts w:ascii="Arial" w:eastAsia="Calibri" w:hAnsi="Arial" w:cs="Arial"/>
          <w:szCs w:val="22"/>
        </w:rPr>
        <w:t xml:space="preserve"> </w:t>
      </w:r>
      <w:r w:rsidRPr="004279DB">
        <w:rPr>
          <w:rFonts w:ascii="Arial" w:eastAsia="Calibri" w:hAnsi="Arial" w:cs="Arial"/>
          <w:szCs w:val="22"/>
        </w:rPr>
        <w:t xml:space="preserve">intensity of 10/10, of nociceptive and neuropathic characteristics, exacerbated when lying supine or prone, which forced the patient to remain in the right lateral decubitus position. This condition was accompanied by significant dyspnea </w:t>
      </w:r>
      <w:r w:rsidR="0090794F">
        <w:rPr>
          <w:rFonts w:ascii="Arial" w:eastAsia="Calibri" w:hAnsi="Arial" w:cs="Arial"/>
          <w:szCs w:val="22"/>
        </w:rPr>
        <w:t xml:space="preserve">with </w:t>
      </w:r>
      <w:bookmarkStart w:id="3" w:name="_Hlk215900906"/>
      <w:r w:rsidR="003E26DC">
        <w:rPr>
          <w:rFonts w:ascii="Arial" w:eastAsia="Calibri" w:hAnsi="Arial" w:cs="Arial"/>
          <w:szCs w:val="22"/>
        </w:rPr>
        <w:t>r</w:t>
      </w:r>
      <w:r w:rsidR="00F3240C" w:rsidRPr="00F3240C">
        <w:rPr>
          <w:rFonts w:ascii="Arial" w:eastAsia="Calibri" w:hAnsi="Arial" w:cs="Arial"/>
          <w:szCs w:val="22"/>
        </w:rPr>
        <w:t xml:space="preserve">espiratory effort scale </w:t>
      </w:r>
      <w:r w:rsidRPr="004279DB">
        <w:rPr>
          <w:rFonts w:ascii="Arial" w:eastAsia="Calibri" w:hAnsi="Arial" w:cs="Arial"/>
          <w:szCs w:val="22"/>
        </w:rPr>
        <w:t>(BORG</w:t>
      </w:r>
      <w:bookmarkEnd w:id="3"/>
      <w:r w:rsidR="009F19A7">
        <w:rPr>
          <w:rFonts w:ascii="Arial" w:eastAsia="Calibri" w:hAnsi="Arial" w:cs="Arial"/>
          <w:szCs w:val="22"/>
        </w:rPr>
        <w:t>)</w:t>
      </w:r>
      <w:r w:rsidRPr="004279DB">
        <w:rPr>
          <w:rFonts w:ascii="Arial" w:eastAsia="Calibri" w:hAnsi="Arial" w:cs="Arial"/>
          <w:szCs w:val="22"/>
        </w:rPr>
        <w:t xml:space="preserve"> 8/10. Analgesic management was initiated with morphine, requiring progressive dose increases due to poor pain control. The loss of peripheral venous access led to a switch to subcutaneous administration. Throughout this process, the patient developed episodes of anxiety, agitation, diaphoresis, and an internal sensation described as "burning inside," indicative of significant physical and emotional distress.</w:t>
      </w:r>
    </w:p>
    <w:p w14:paraId="709866EE" w14:textId="0FCA932D" w:rsidR="00776AB9" w:rsidRDefault="004279DB" w:rsidP="004279DB">
      <w:pPr>
        <w:pStyle w:val="Body"/>
        <w:spacing w:after="0"/>
        <w:rPr>
          <w:rFonts w:ascii="Arial" w:eastAsia="Calibri" w:hAnsi="Arial" w:cs="Arial"/>
          <w:szCs w:val="22"/>
        </w:rPr>
      </w:pPr>
      <w:r w:rsidRPr="004279DB">
        <w:rPr>
          <w:rFonts w:ascii="Arial" w:eastAsia="Calibri" w:hAnsi="Arial" w:cs="Arial"/>
          <w:szCs w:val="22"/>
        </w:rPr>
        <w:t xml:space="preserve">Given the presence of refractory pain, neuraxial analgesia was initiated by placing an epidural catheter at the T7 level, with a continuous infusion of 0.15% ropivacaine and morphine at a dose of 1 mcg/kg/hour, achieving substantial relief. However, the incidental dislodgement of the catheter, coupled with the patient's strong desire to continue her care at home—since she could no longer receive active cancer therapy—led to the placement of a tunneled port-type epidural catheter, which allowed for the safe continuation of analgesia (Figure </w:t>
      </w:r>
      <w:r w:rsidR="00320A57">
        <w:rPr>
          <w:rFonts w:ascii="Arial" w:eastAsia="Calibri" w:hAnsi="Arial" w:cs="Arial"/>
          <w:szCs w:val="22"/>
        </w:rPr>
        <w:t>3</w:t>
      </w:r>
      <w:r w:rsidRPr="004279DB">
        <w:rPr>
          <w:rFonts w:ascii="Arial" w:eastAsia="Calibri" w:hAnsi="Arial" w:cs="Arial"/>
          <w:szCs w:val="22"/>
        </w:rPr>
        <w:t>).</w:t>
      </w:r>
    </w:p>
    <w:p w14:paraId="1478FE85" w14:textId="77777777" w:rsidR="00776AB9" w:rsidRDefault="00776AB9" w:rsidP="004279DB">
      <w:pPr>
        <w:pStyle w:val="Body"/>
        <w:spacing w:after="0"/>
        <w:rPr>
          <w:rFonts w:ascii="Arial" w:eastAsia="Calibri" w:hAnsi="Arial" w:cs="Arial"/>
          <w:szCs w:val="22"/>
        </w:rPr>
      </w:pPr>
    </w:p>
    <w:p w14:paraId="783D9236" w14:textId="0314833F" w:rsidR="00EE602C" w:rsidRDefault="00EE602C" w:rsidP="004279DB">
      <w:pPr>
        <w:pStyle w:val="Body"/>
        <w:spacing w:after="0"/>
        <w:rPr>
          <w:rFonts w:ascii="Arial" w:eastAsia="Calibri" w:hAnsi="Arial" w:cs="Arial"/>
          <w:szCs w:val="22"/>
        </w:rPr>
      </w:pPr>
      <w:r w:rsidRPr="00EE602C">
        <w:rPr>
          <w:rFonts w:eastAsia="Calibri"/>
          <w:noProof/>
        </w:rPr>
        <w:lastRenderedPageBreak/>
        <w:drawing>
          <wp:inline distT="0" distB="0" distL="0" distR="0" wp14:anchorId="383704BF" wp14:editId="7D9299CC">
            <wp:extent cx="5212080" cy="4742815"/>
            <wp:effectExtent l="0" t="0" r="0" b="0"/>
            <wp:docPr id="160343648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4742815"/>
                    </a:xfrm>
                    <a:prstGeom prst="rect">
                      <a:avLst/>
                    </a:prstGeom>
                    <a:noFill/>
                    <a:ln>
                      <a:noFill/>
                    </a:ln>
                  </pic:spPr>
                </pic:pic>
              </a:graphicData>
            </a:graphic>
          </wp:inline>
        </w:drawing>
      </w:r>
    </w:p>
    <w:p w14:paraId="5BB6FA74" w14:textId="54FC488F" w:rsidR="00F47E16" w:rsidRDefault="00F47E16" w:rsidP="004279DB">
      <w:pPr>
        <w:pStyle w:val="Body"/>
        <w:spacing w:after="0"/>
        <w:rPr>
          <w:rFonts w:ascii="Arial" w:eastAsia="Calibri" w:hAnsi="Arial" w:cs="Arial"/>
          <w:szCs w:val="22"/>
        </w:rPr>
      </w:pPr>
      <w:r w:rsidRPr="00F47E16">
        <w:rPr>
          <w:rFonts w:ascii="Arial" w:eastAsia="Calibri" w:hAnsi="Arial" w:cs="Arial"/>
          <w:szCs w:val="22"/>
        </w:rPr>
        <w:t>Source: File from the patient</w:t>
      </w:r>
    </w:p>
    <w:p w14:paraId="229BB308" w14:textId="0F183BD1" w:rsidR="000E673B" w:rsidRPr="009C736E" w:rsidRDefault="009C736E" w:rsidP="00776AB9">
      <w:pPr>
        <w:pStyle w:val="Body"/>
        <w:rPr>
          <w:rFonts w:ascii="Arial" w:eastAsia="Calibri" w:hAnsi="Arial" w:cs="Arial"/>
          <w:b/>
          <w:bCs/>
          <w:szCs w:val="22"/>
        </w:rPr>
      </w:pPr>
      <w:r w:rsidRPr="009C736E">
        <w:rPr>
          <w:rFonts w:ascii="Arial" w:eastAsia="Calibri" w:hAnsi="Arial" w:cs="Arial"/>
          <w:b/>
          <w:bCs/>
          <w:szCs w:val="22"/>
        </w:rPr>
        <w:t xml:space="preserve">Figure </w:t>
      </w:r>
      <w:r w:rsidR="00320A57">
        <w:rPr>
          <w:rFonts w:ascii="Arial" w:eastAsia="Calibri" w:hAnsi="Arial" w:cs="Arial"/>
          <w:b/>
          <w:bCs/>
          <w:szCs w:val="22"/>
        </w:rPr>
        <w:t>3</w:t>
      </w:r>
      <w:r w:rsidRPr="009C736E">
        <w:rPr>
          <w:rFonts w:ascii="Arial" w:eastAsia="Calibri" w:hAnsi="Arial" w:cs="Arial"/>
          <w:b/>
          <w:bCs/>
          <w:szCs w:val="22"/>
        </w:rPr>
        <w:t>. Fluoroscopic images of the procedure for placing a tunneled port-type epidural catheter. A) Lateral view showing the approach to the thoracic epidural space. B) Fluoroscopic control with contrast demonstrating adequate distribution in the epidural space. C) Anteroposterior projection confirming catheter placement at the T7 thoracic level. D) Placement of the epidural port at the iliac crest.</w:t>
      </w:r>
    </w:p>
    <w:p w14:paraId="3F435C08" w14:textId="0F7BFCBE" w:rsidR="00776AB9" w:rsidRPr="00776AB9" w:rsidRDefault="00776AB9" w:rsidP="00776AB9">
      <w:pPr>
        <w:pStyle w:val="Body"/>
        <w:rPr>
          <w:rFonts w:ascii="Arial" w:eastAsia="Calibri" w:hAnsi="Arial" w:cs="Arial"/>
          <w:szCs w:val="22"/>
        </w:rPr>
      </w:pPr>
      <w:r w:rsidRPr="00776AB9">
        <w:rPr>
          <w:rFonts w:ascii="Arial" w:eastAsia="Calibri" w:hAnsi="Arial" w:cs="Arial"/>
          <w:szCs w:val="22"/>
        </w:rPr>
        <w:t xml:space="preserve">The progressive </w:t>
      </w:r>
      <w:r>
        <w:rPr>
          <w:rFonts w:ascii="Arial" w:eastAsia="Calibri" w:hAnsi="Arial" w:cs="Arial"/>
          <w:szCs w:val="22"/>
        </w:rPr>
        <w:t>administration</w:t>
      </w:r>
      <w:r w:rsidRPr="00776AB9">
        <w:rPr>
          <w:rFonts w:ascii="Arial" w:eastAsia="Calibri" w:hAnsi="Arial" w:cs="Arial"/>
          <w:szCs w:val="22"/>
        </w:rPr>
        <w:t xml:space="preserve"> of the opioid with the new device allowed for effective pain control and a significant reduction in suffering, notably improving the patient's physical and emotional well-being. Simultaneously, the team worked with the patient and her family to understand the diagnosis and prognosis, facilitating the discussion of fears, expectations, and desires, and promoting shared decision-making.</w:t>
      </w:r>
    </w:p>
    <w:p w14:paraId="0D8973CE" w14:textId="77777777" w:rsidR="00776AB9" w:rsidRPr="00776AB9" w:rsidRDefault="00776AB9" w:rsidP="00776AB9">
      <w:pPr>
        <w:pStyle w:val="Body"/>
        <w:rPr>
          <w:rFonts w:ascii="Arial" w:eastAsia="Calibri" w:hAnsi="Arial" w:cs="Arial"/>
          <w:szCs w:val="22"/>
        </w:rPr>
      </w:pPr>
      <w:r w:rsidRPr="00776AB9">
        <w:rPr>
          <w:rFonts w:ascii="Arial" w:eastAsia="Calibri" w:hAnsi="Arial" w:cs="Arial"/>
          <w:szCs w:val="22"/>
        </w:rPr>
        <w:t>The oncology and palliative care team established maintaining comfort and dignity as a priority, comprehensively addressing physical, psychological, social, and spiritual needs. Thanks to this person-centered approach, it was possible to optimize symptom management, offer emotional support, and assist caregivers.</w:t>
      </w:r>
    </w:p>
    <w:p w14:paraId="2DDE12C1" w14:textId="6D2C635A" w:rsidR="00776AB9" w:rsidRDefault="00776AB9" w:rsidP="00776AB9">
      <w:pPr>
        <w:pStyle w:val="Body"/>
        <w:spacing w:after="0"/>
        <w:rPr>
          <w:rFonts w:ascii="Arial" w:eastAsia="Calibri" w:hAnsi="Arial" w:cs="Arial"/>
          <w:szCs w:val="22"/>
        </w:rPr>
      </w:pPr>
      <w:r w:rsidRPr="00776AB9">
        <w:rPr>
          <w:rFonts w:ascii="Arial" w:eastAsia="Calibri" w:hAnsi="Arial" w:cs="Arial"/>
          <w:szCs w:val="22"/>
        </w:rPr>
        <w:t>As a result, the patient was able to remain at home with greater peace of mind, supported by effective pain management and continuous interdisciplinary care, consolidating a care model focused on quality of life and the reduction of overall suffering.</w:t>
      </w:r>
    </w:p>
    <w:p w14:paraId="1302EAC7" w14:textId="77777777" w:rsidR="00776AB9" w:rsidRDefault="00776AB9" w:rsidP="004279DB">
      <w:pPr>
        <w:pStyle w:val="Body"/>
        <w:spacing w:after="0"/>
        <w:rPr>
          <w:rFonts w:ascii="Arial" w:eastAsia="Calibri" w:hAnsi="Arial" w:cs="Arial"/>
          <w:szCs w:val="22"/>
        </w:rPr>
      </w:pPr>
    </w:p>
    <w:p w14:paraId="3A3BE14B" w14:textId="4EC04DFD" w:rsidR="00776AB9" w:rsidRPr="00417699" w:rsidRDefault="00776AB9" w:rsidP="004279DB">
      <w:pPr>
        <w:pStyle w:val="Body"/>
        <w:spacing w:after="0"/>
        <w:rPr>
          <w:rFonts w:ascii="Arial" w:eastAsia="Calibri" w:hAnsi="Arial" w:cs="Arial"/>
          <w:b/>
          <w:bCs/>
          <w:sz w:val="22"/>
          <w:szCs w:val="22"/>
        </w:rPr>
      </w:pPr>
      <w:r w:rsidRPr="00417699">
        <w:rPr>
          <w:rFonts w:ascii="Arial" w:eastAsia="Calibri" w:hAnsi="Arial" w:cs="Arial"/>
          <w:b/>
          <w:bCs/>
          <w:sz w:val="22"/>
          <w:szCs w:val="22"/>
        </w:rPr>
        <w:t xml:space="preserve">3. </w:t>
      </w:r>
      <w:r w:rsidR="00417699" w:rsidRPr="00417699">
        <w:rPr>
          <w:rFonts w:ascii="Arial" w:eastAsia="Calibri" w:hAnsi="Arial" w:cs="Arial"/>
          <w:b/>
          <w:bCs/>
          <w:sz w:val="22"/>
          <w:szCs w:val="22"/>
        </w:rPr>
        <w:t>DISCUSION</w:t>
      </w:r>
    </w:p>
    <w:p w14:paraId="5A247101" w14:textId="77777777" w:rsidR="00417699" w:rsidRDefault="00417699" w:rsidP="004279DB">
      <w:pPr>
        <w:pStyle w:val="Body"/>
        <w:spacing w:after="0"/>
        <w:rPr>
          <w:rFonts w:ascii="Arial" w:eastAsia="Calibri" w:hAnsi="Arial" w:cs="Arial"/>
          <w:szCs w:val="22"/>
        </w:rPr>
      </w:pPr>
    </w:p>
    <w:p w14:paraId="3A64E0DF" w14:textId="0468C858"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The case presented highlights the therapeutic complexity and the overall suffering associated with the diagnosis of metastatic mesothelioma in a young, previously healthy patient. This clinical scenario, characterized by an aggressive oncological disease, a limited prognosis, and rapid functional decline (ECOG 4), underscores the need for early and specialized intervention by a multidisciplinary team (</w:t>
      </w:r>
      <w:r w:rsidR="00422F76" w:rsidRPr="00422F76">
        <w:rPr>
          <w:rFonts w:ascii="Arial" w:eastAsia="Calibri" w:hAnsi="Arial" w:cs="Arial"/>
          <w:szCs w:val="22"/>
        </w:rPr>
        <w:t>World Health Organization</w:t>
      </w:r>
      <w:r w:rsidR="00422F76">
        <w:rPr>
          <w:rFonts w:ascii="Arial" w:eastAsia="Calibri" w:hAnsi="Arial" w:cs="Arial"/>
          <w:szCs w:val="22"/>
        </w:rPr>
        <w:t xml:space="preserve">, </w:t>
      </w:r>
      <w:r w:rsidR="00422F76" w:rsidRPr="00422F76">
        <w:rPr>
          <w:rFonts w:ascii="Arial" w:eastAsia="Calibri" w:hAnsi="Arial" w:cs="Arial"/>
          <w:szCs w:val="22"/>
        </w:rPr>
        <w:t>2018)</w:t>
      </w:r>
      <w:r w:rsidRPr="00417699">
        <w:rPr>
          <w:rFonts w:ascii="Arial" w:eastAsia="Calibri" w:hAnsi="Arial" w:cs="Arial"/>
          <w:szCs w:val="22"/>
        </w:rPr>
        <w:t>. The initial presentation with localized pain, which rapidly progressed to complex pain of extreme intensity (VAS 10/10), demonstrates the high symptomatic burden imposed by this pathology and the urgency of advanced analgesic strategies.</w:t>
      </w:r>
    </w:p>
    <w:p w14:paraId="4B1399E9" w14:textId="3261739F"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Refractory cancer pain is defined as pain that persists despite adequate titration of potent opioids and adjuvants (</w:t>
      </w:r>
      <w:r w:rsidR="005330AA" w:rsidRPr="005330AA">
        <w:rPr>
          <w:rFonts w:ascii="Arial" w:eastAsia="Calibri" w:hAnsi="Arial" w:cs="Arial"/>
          <w:szCs w:val="22"/>
        </w:rPr>
        <w:t xml:space="preserve">Habib, </w:t>
      </w:r>
      <w:proofErr w:type="spellStart"/>
      <w:r w:rsidR="005330AA" w:rsidRPr="005330AA">
        <w:rPr>
          <w:rFonts w:ascii="Arial" w:eastAsia="Calibri" w:hAnsi="Arial" w:cs="Arial"/>
          <w:szCs w:val="22"/>
        </w:rPr>
        <w:t>Schlögl</w:t>
      </w:r>
      <w:proofErr w:type="spellEnd"/>
      <w:r w:rsidR="005330AA" w:rsidRPr="005330AA">
        <w:rPr>
          <w:rFonts w:ascii="Arial" w:eastAsia="Calibri" w:hAnsi="Arial" w:cs="Arial"/>
          <w:szCs w:val="22"/>
        </w:rPr>
        <w:t xml:space="preserve">, Raza, </w:t>
      </w:r>
      <w:proofErr w:type="spellStart"/>
      <w:r w:rsidR="005330AA" w:rsidRPr="005330AA">
        <w:rPr>
          <w:rFonts w:ascii="Arial" w:eastAsia="Calibri" w:hAnsi="Arial" w:cs="Arial"/>
          <w:szCs w:val="22"/>
        </w:rPr>
        <w:t>Chwistek</w:t>
      </w:r>
      <w:proofErr w:type="spellEnd"/>
      <w:r w:rsidR="005330AA" w:rsidRPr="005330AA">
        <w:rPr>
          <w:rFonts w:ascii="Arial" w:eastAsia="Calibri" w:hAnsi="Arial" w:cs="Arial"/>
          <w:szCs w:val="22"/>
        </w:rPr>
        <w:t>, &amp; Gulati, 2023)</w:t>
      </w:r>
      <w:r w:rsidR="005330AA">
        <w:rPr>
          <w:rFonts w:ascii="Arial" w:eastAsia="Calibri" w:hAnsi="Arial" w:cs="Arial"/>
          <w:szCs w:val="22"/>
        </w:rPr>
        <w:t xml:space="preserve"> </w:t>
      </w:r>
      <w:r w:rsidR="000144A0">
        <w:rPr>
          <w:rFonts w:ascii="Arial" w:eastAsia="Calibri" w:hAnsi="Arial" w:cs="Arial"/>
          <w:szCs w:val="22"/>
        </w:rPr>
        <w:t>(</w:t>
      </w:r>
      <w:r w:rsidR="00A128F6" w:rsidRPr="00A128F6">
        <w:rPr>
          <w:rFonts w:ascii="Arial" w:eastAsia="Calibri" w:hAnsi="Arial" w:cs="Arial"/>
          <w:szCs w:val="22"/>
        </w:rPr>
        <w:t>Mercadante, 2023).</w:t>
      </w:r>
      <w:r w:rsidRPr="00417699">
        <w:rPr>
          <w:rFonts w:ascii="Arial" w:eastAsia="Calibri" w:hAnsi="Arial" w:cs="Arial"/>
          <w:szCs w:val="22"/>
        </w:rPr>
        <w:t xml:space="preserve"> In this case, the suboptimal response to systemic morphine and the stepped dose requirements justified the consideration of interventional techniques. The use of neuraxial analgesia (epidural or intrathecal) represents a valid strategy when pain becomes intractable. In this regard, a recent systematic review concludes that the co-administration of epidural opioids with local anesthetics or adjuvants offers better pain control in patients with refractory cancer pain, with a reduction in the dose of systemic opioids and an improvement in quality of life (</w:t>
      </w:r>
      <w:proofErr w:type="spellStart"/>
      <w:r w:rsidR="00A54271" w:rsidRPr="00A54271">
        <w:rPr>
          <w:rFonts w:ascii="Arial" w:eastAsia="Calibri" w:hAnsi="Arial" w:cs="Arial"/>
          <w:szCs w:val="22"/>
        </w:rPr>
        <w:t>Kiehelä</w:t>
      </w:r>
      <w:proofErr w:type="spellEnd"/>
      <w:r w:rsidR="00A54271" w:rsidRPr="00A54271">
        <w:rPr>
          <w:rFonts w:ascii="Arial" w:eastAsia="Calibri" w:hAnsi="Arial" w:cs="Arial"/>
          <w:szCs w:val="22"/>
        </w:rPr>
        <w:t xml:space="preserve">, </w:t>
      </w:r>
      <w:proofErr w:type="spellStart"/>
      <w:r w:rsidR="00A54271" w:rsidRPr="00A54271">
        <w:rPr>
          <w:rFonts w:ascii="Arial" w:eastAsia="Calibri" w:hAnsi="Arial" w:cs="Arial"/>
          <w:szCs w:val="22"/>
        </w:rPr>
        <w:t>Hamunen</w:t>
      </w:r>
      <w:proofErr w:type="spellEnd"/>
      <w:r w:rsidR="00A54271" w:rsidRPr="00A54271">
        <w:rPr>
          <w:rFonts w:ascii="Arial" w:eastAsia="Calibri" w:hAnsi="Arial" w:cs="Arial"/>
          <w:szCs w:val="22"/>
        </w:rPr>
        <w:t xml:space="preserve">, &amp; </w:t>
      </w:r>
      <w:proofErr w:type="spellStart"/>
      <w:r w:rsidR="00A54271" w:rsidRPr="00A54271">
        <w:rPr>
          <w:rFonts w:ascii="Arial" w:eastAsia="Calibri" w:hAnsi="Arial" w:cs="Arial"/>
          <w:szCs w:val="22"/>
        </w:rPr>
        <w:t>Heiskanen</w:t>
      </w:r>
      <w:proofErr w:type="spellEnd"/>
      <w:r w:rsidR="00A54271" w:rsidRPr="00A54271">
        <w:rPr>
          <w:rFonts w:ascii="Arial" w:eastAsia="Calibri" w:hAnsi="Arial" w:cs="Arial"/>
          <w:szCs w:val="22"/>
        </w:rPr>
        <w:t>, 2017).</w:t>
      </w:r>
    </w:p>
    <w:p w14:paraId="4A0463C0" w14:textId="70A7CE3B"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Observational studies have also shown that continuous epidural analgesia can significantly decrease the proportion of patients with severe pain after two weeks of epidural catheterization (</w:t>
      </w:r>
      <w:r w:rsidR="002527B9" w:rsidRPr="002527B9">
        <w:rPr>
          <w:rFonts w:ascii="Arial" w:eastAsia="Calibri" w:hAnsi="Arial" w:cs="Arial"/>
          <w:szCs w:val="22"/>
        </w:rPr>
        <w:t>Jeon, Lee, Choi, Kang, Jung, Kim, Shim, Park, &amp; Joo, 2012</w:t>
      </w:r>
      <w:r w:rsidRPr="00417699">
        <w:rPr>
          <w:rFonts w:ascii="Arial" w:eastAsia="Calibri" w:hAnsi="Arial" w:cs="Arial"/>
          <w:szCs w:val="22"/>
        </w:rPr>
        <w:t>).</w:t>
      </w:r>
    </w:p>
    <w:p w14:paraId="72F1B8C5" w14:textId="6964C9CC" w:rsidR="00417699" w:rsidRDefault="00417699" w:rsidP="00417699">
      <w:pPr>
        <w:pStyle w:val="Body"/>
        <w:rPr>
          <w:rFonts w:ascii="Arial" w:eastAsia="Calibri" w:hAnsi="Arial" w:cs="Arial"/>
          <w:szCs w:val="22"/>
        </w:rPr>
      </w:pPr>
      <w:r w:rsidRPr="00417699">
        <w:rPr>
          <w:rFonts w:ascii="Arial" w:eastAsia="Calibri" w:hAnsi="Arial" w:cs="Arial"/>
          <w:szCs w:val="22"/>
        </w:rPr>
        <w:t>Regarding the tunneled catheter modality, although specific evidence in mesothelioma is limited, its use in patients with refractory cancer pain has proven to be feasible and effective, with important advantages: greater catheter stability, a lower risk of technical complications, and the possibility of maintaining continuous analgesia at home, promoting continued stay in a familiar environment with dignity and comfort (</w:t>
      </w:r>
      <w:r w:rsidR="00535EEF" w:rsidRPr="00535EEF">
        <w:rPr>
          <w:rFonts w:ascii="Arial" w:eastAsia="Calibri" w:hAnsi="Arial" w:cs="Arial"/>
          <w:szCs w:val="22"/>
        </w:rPr>
        <w:t>Vargas-</w:t>
      </w:r>
      <w:proofErr w:type="spellStart"/>
      <w:r w:rsidR="00535EEF" w:rsidRPr="00535EEF">
        <w:rPr>
          <w:rFonts w:ascii="Arial" w:eastAsia="Calibri" w:hAnsi="Arial" w:cs="Arial"/>
          <w:szCs w:val="22"/>
        </w:rPr>
        <w:t>Bermúdez</w:t>
      </w:r>
      <w:proofErr w:type="spellEnd"/>
      <w:r w:rsidR="00535EEF" w:rsidRPr="00535EEF">
        <w:rPr>
          <w:rFonts w:ascii="Arial" w:eastAsia="Calibri" w:hAnsi="Arial" w:cs="Arial"/>
          <w:szCs w:val="22"/>
        </w:rPr>
        <w:t>, González-</w:t>
      </w:r>
      <w:proofErr w:type="spellStart"/>
      <w:r w:rsidR="00535EEF" w:rsidRPr="00535EEF">
        <w:rPr>
          <w:rFonts w:ascii="Arial" w:eastAsia="Calibri" w:hAnsi="Arial" w:cs="Arial"/>
          <w:szCs w:val="22"/>
        </w:rPr>
        <w:t>Barboteo</w:t>
      </w:r>
      <w:proofErr w:type="spellEnd"/>
      <w:r w:rsidR="00535EEF" w:rsidRPr="00535EEF">
        <w:rPr>
          <w:rFonts w:ascii="Arial" w:eastAsia="Calibri" w:hAnsi="Arial" w:cs="Arial"/>
          <w:szCs w:val="22"/>
        </w:rPr>
        <w:t>, &amp; Casals-</w:t>
      </w:r>
      <w:proofErr w:type="spellStart"/>
      <w:r w:rsidR="00535EEF" w:rsidRPr="00535EEF">
        <w:rPr>
          <w:rFonts w:ascii="Arial" w:eastAsia="Calibri" w:hAnsi="Arial" w:cs="Arial"/>
          <w:szCs w:val="22"/>
        </w:rPr>
        <w:t>Merchán</w:t>
      </w:r>
      <w:proofErr w:type="spellEnd"/>
      <w:r w:rsidR="00535EEF" w:rsidRPr="00535EEF">
        <w:rPr>
          <w:rFonts w:ascii="Arial" w:eastAsia="Calibri" w:hAnsi="Arial" w:cs="Arial"/>
          <w:szCs w:val="22"/>
        </w:rPr>
        <w:t>, 2017).</w:t>
      </w:r>
      <w:r w:rsidRPr="00417699">
        <w:rPr>
          <w:rFonts w:ascii="Arial" w:eastAsia="Calibri" w:hAnsi="Arial" w:cs="Arial"/>
          <w:szCs w:val="22"/>
        </w:rPr>
        <w:t xml:space="preserve"> </w:t>
      </w:r>
    </w:p>
    <w:p w14:paraId="25738A01" w14:textId="5ED38066" w:rsidR="00417699" w:rsidRPr="00417699" w:rsidRDefault="00417699" w:rsidP="00417699">
      <w:pPr>
        <w:pStyle w:val="Body"/>
        <w:rPr>
          <w:rFonts w:ascii="Arial" w:eastAsia="Calibri" w:hAnsi="Arial" w:cs="Arial"/>
          <w:szCs w:val="22"/>
        </w:rPr>
      </w:pPr>
      <w:r w:rsidRPr="00417699">
        <w:rPr>
          <w:rFonts w:ascii="Arial" w:eastAsia="Calibri" w:hAnsi="Arial" w:cs="Arial"/>
          <w:szCs w:val="22"/>
        </w:rPr>
        <w:t>This case reinforces the idea that interventional techniques should be considered early in patients with advanced disease and refractory pain, within a person-centered approach that prioritizes their overall well-being: physical, emotional, and social. Furthermore, it highlights the usefulness of tunneled epidural systems as a tool to ensure continuity of care, especially when home-based care is chosen.</w:t>
      </w:r>
    </w:p>
    <w:p w14:paraId="38BC0E32" w14:textId="0336C6CE" w:rsidR="00417699" w:rsidRDefault="00417699" w:rsidP="00417699">
      <w:pPr>
        <w:pStyle w:val="Body"/>
        <w:spacing w:after="0"/>
        <w:rPr>
          <w:rFonts w:ascii="Arial" w:eastAsia="Calibri" w:hAnsi="Arial" w:cs="Arial"/>
          <w:szCs w:val="22"/>
        </w:rPr>
      </w:pPr>
      <w:r w:rsidRPr="00417699">
        <w:rPr>
          <w:rFonts w:ascii="Arial" w:eastAsia="Calibri" w:hAnsi="Arial" w:cs="Arial"/>
          <w:szCs w:val="22"/>
        </w:rPr>
        <w:t>Finally, although the available evidence comes mostly from observational studies and case series, current results support the safety and efficacy of neuraxial analgesia in advanced cancer. However, further studies, ideally prospective and with long-term follow-up, are needed to consolidate protocols that allow for standardized use in palliative care settings.</w:t>
      </w:r>
    </w:p>
    <w:p w14:paraId="52B93A78" w14:textId="77777777" w:rsidR="00776AB9" w:rsidRDefault="00776AB9" w:rsidP="004279DB">
      <w:pPr>
        <w:pStyle w:val="Body"/>
        <w:spacing w:after="0"/>
        <w:rPr>
          <w:rFonts w:ascii="Arial" w:eastAsia="Calibri" w:hAnsi="Arial" w:cs="Arial"/>
          <w:szCs w:val="22"/>
        </w:rPr>
      </w:pPr>
    </w:p>
    <w:p w14:paraId="5C004DE8" w14:textId="08890C21" w:rsidR="00417699" w:rsidRPr="00417699" w:rsidRDefault="00417699" w:rsidP="004279DB">
      <w:pPr>
        <w:pStyle w:val="Body"/>
        <w:spacing w:after="0"/>
        <w:rPr>
          <w:rFonts w:ascii="Arial" w:eastAsia="Calibri" w:hAnsi="Arial" w:cs="Arial"/>
          <w:b/>
          <w:bCs/>
          <w:sz w:val="22"/>
          <w:szCs w:val="22"/>
        </w:rPr>
      </w:pPr>
      <w:r w:rsidRPr="00417699">
        <w:rPr>
          <w:rFonts w:ascii="Arial" w:eastAsia="Calibri" w:hAnsi="Arial" w:cs="Arial"/>
          <w:b/>
          <w:bCs/>
          <w:sz w:val="22"/>
          <w:szCs w:val="22"/>
        </w:rPr>
        <w:t>4. CONCLUSION</w:t>
      </w:r>
    </w:p>
    <w:p w14:paraId="5867F53F" w14:textId="77777777" w:rsidR="00417699" w:rsidRDefault="00417699" w:rsidP="004279DB">
      <w:pPr>
        <w:pStyle w:val="Body"/>
        <w:spacing w:after="0"/>
        <w:rPr>
          <w:rFonts w:ascii="Arial" w:eastAsia="Calibri" w:hAnsi="Arial" w:cs="Arial"/>
          <w:szCs w:val="22"/>
        </w:rPr>
      </w:pPr>
    </w:p>
    <w:p w14:paraId="59FC5A93" w14:textId="0B76D4A6" w:rsidR="00417699" w:rsidRDefault="00417699" w:rsidP="004279DB">
      <w:pPr>
        <w:pStyle w:val="Body"/>
        <w:spacing w:after="0"/>
        <w:rPr>
          <w:rFonts w:ascii="Arial" w:eastAsia="Calibri" w:hAnsi="Arial" w:cs="Arial"/>
          <w:szCs w:val="22"/>
        </w:rPr>
      </w:pPr>
      <w:r w:rsidRPr="00417699">
        <w:rPr>
          <w:rFonts w:ascii="Arial" w:eastAsia="Calibri" w:hAnsi="Arial" w:cs="Arial"/>
          <w:szCs w:val="22"/>
        </w:rPr>
        <w:t>Pain management in advanced mesothelioma presents a significant challenge, especially when conventional strategies fail to alleviate suffering. This case demonstrates that neuraxial analgesia via a tunneled epidural catheter can offer effective and sustained pain control, allowing the patient to remain at home with greater comfort and dignity. The intervention, integrated with interdisciplinary palliative care, showed that individualizing treatment and prioritizing quality of life are key elements for comprehensively addressing refractory pain in advanced diseases.</w:t>
      </w:r>
    </w:p>
    <w:p w14:paraId="180CA17E" w14:textId="77777777" w:rsidR="00776AB9" w:rsidRDefault="00776AB9" w:rsidP="004279DB">
      <w:pPr>
        <w:pStyle w:val="Body"/>
        <w:spacing w:after="0"/>
        <w:rPr>
          <w:rFonts w:ascii="Arial" w:eastAsia="Calibri" w:hAnsi="Arial" w:cs="Arial"/>
          <w:szCs w:val="22"/>
        </w:rPr>
      </w:pPr>
    </w:p>
    <w:p w14:paraId="7BB2991E" w14:textId="77777777" w:rsidR="00315186" w:rsidRPr="00315186" w:rsidRDefault="00315186" w:rsidP="00441B6F"/>
    <w:p w14:paraId="02FE891F" w14:textId="558791F3" w:rsidR="002B685A" w:rsidRDefault="002B685A" w:rsidP="00441B6F">
      <w:pPr>
        <w:pStyle w:val="ReferHead"/>
        <w:spacing w:after="0"/>
        <w:jc w:val="both"/>
        <w:rPr>
          <w:rFonts w:ascii="Arial" w:hAnsi="Arial" w:cs="Arial"/>
          <w:bCs/>
        </w:rPr>
      </w:pPr>
      <w:bookmarkStart w:id="4" w:name="_GoBack"/>
      <w:bookmarkEnd w:id="4"/>
      <w:r w:rsidRPr="002B685A">
        <w:rPr>
          <w:rFonts w:ascii="Arial" w:hAnsi="Arial" w:cs="Arial"/>
          <w:bCs/>
        </w:rPr>
        <w:t>Consent</w:t>
      </w:r>
      <w:r>
        <w:rPr>
          <w:rFonts w:ascii="Arial" w:hAnsi="Arial" w:cs="Arial"/>
          <w:bCs/>
        </w:rPr>
        <w:t xml:space="preserve"> </w:t>
      </w:r>
    </w:p>
    <w:p w14:paraId="79DF1EDC" w14:textId="77777777" w:rsidR="002B685A" w:rsidRPr="002B685A" w:rsidRDefault="002B685A" w:rsidP="00441B6F">
      <w:pPr>
        <w:pStyle w:val="ReferHead"/>
        <w:spacing w:after="0"/>
        <w:jc w:val="both"/>
        <w:rPr>
          <w:rFonts w:ascii="Arial" w:hAnsi="Arial" w:cs="Arial"/>
          <w:bCs/>
        </w:rPr>
      </w:pPr>
    </w:p>
    <w:p w14:paraId="5DE31994" w14:textId="6CDC75F3" w:rsidR="001A29D8" w:rsidRPr="00F469F0" w:rsidRDefault="00417699" w:rsidP="00417699">
      <w:pPr>
        <w:pStyle w:val="ReferHead"/>
        <w:spacing w:after="0"/>
        <w:jc w:val="both"/>
        <w:rPr>
          <w:rFonts w:ascii="Arial" w:hAnsi="Arial" w:cs="Arial"/>
          <w:b w:val="0"/>
          <w:caps w:val="0"/>
          <w:sz w:val="20"/>
          <w:u w:val="single"/>
        </w:rPr>
      </w:pPr>
      <w:r>
        <w:rPr>
          <w:rFonts w:ascii="Arial" w:hAnsi="Arial" w:cs="Arial"/>
          <w:b w:val="0"/>
          <w:caps w:val="0"/>
          <w:sz w:val="20"/>
        </w:rPr>
        <w:t>The patient signed an informed consent to publish her clinical data and imagen files.</w:t>
      </w:r>
    </w:p>
    <w:p w14:paraId="6C592CA3" w14:textId="77777777" w:rsidR="001A29D8" w:rsidRDefault="001A29D8" w:rsidP="00441B6F">
      <w:pPr>
        <w:pStyle w:val="ReferHead"/>
        <w:spacing w:after="0"/>
        <w:jc w:val="both"/>
        <w:rPr>
          <w:rFonts w:ascii="Arial" w:hAnsi="Arial" w:cs="Arial"/>
          <w:b w:val="0"/>
          <w:caps w:val="0"/>
          <w:sz w:val="20"/>
        </w:rPr>
      </w:pPr>
    </w:p>
    <w:p w14:paraId="34125C4E" w14:textId="77777777" w:rsidR="005C784C" w:rsidRDefault="005C784C" w:rsidP="00441B6F">
      <w:pPr>
        <w:pStyle w:val="ReferHead"/>
        <w:spacing w:after="0"/>
        <w:jc w:val="both"/>
        <w:rPr>
          <w:rFonts w:ascii="Arial" w:hAnsi="Arial" w:cs="Arial"/>
          <w:b w:val="0"/>
          <w:caps w:val="0"/>
          <w:sz w:val="20"/>
        </w:rPr>
      </w:pPr>
    </w:p>
    <w:p w14:paraId="2BCFEE05" w14:textId="351D9DE9"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5369EC26" w14:textId="77777777" w:rsidR="004C24DC" w:rsidRPr="002B685A" w:rsidRDefault="004C24DC" w:rsidP="00441B6F">
      <w:pPr>
        <w:pStyle w:val="ReferHead"/>
        <w:spacing w:after="0"/>
        <w:jc w:val="both"/>
        <w:rPr>
          <w:rFonts w:ascii="Arial" w:hAnsi="Arial" w:cs="Arial"/>
          <w:bCs/>
        </w:rPr>
      </w:pPr>
    </w:p>
    <w:p w14:paraId="4ABCF1EA" w14:textId="4C7C882A" w:rsidR="00860000" w:rsidRDefault="00417699" w:rsidP="0094386A">
      <w:pPr>
        <w:pStyle w:val="ReferHead"/>
        <w:spacing w:after="0"/>
        <w:jc w:val="both"/>
        <w:rPr>
          <w:rFonts w:ascii="Arial" w:hAnsi="Arial" w:cs="Arial"/>
        </w:rPr>
      </w:pPr>
      <w:r>
        <w:rPr>
          <w:rFonts w:ascii="Arial" w:hAnsi="Arial" w:cs="Arial"/>
          <w:b w:val="0"/>
          <w:caps w:val="0"/>
          <w:sz w:val="20"/>
        </w:rPr>
        <w:t>Ther</w:t>
      </w:r>
      <w:r w:rsidR="0094386A">
        <w:rPr>
          <w:rFonts w:ascii="Arial" w:hAnsi="Arial" w:cs="Arial"/>
          <w:b w:val="0"/>
          <w:caps w:val="0"/>
          <w:sz w:val="20"/>
        </w:rPr>
        <w:t>e</w:t>
      </w:r>
      <w:r>
        <w:rPr>
          <w:rFonts w:ascii="Arial" w:hAnsi="Arial" w:cs="Arial"/>
          <w:b w:val="0"/>
          <w:caps w:val="0"/>
          <w:sz w:val="20"/>
        </w:rPr>
        <w:t xml:space="preserve"> is not needed </w:t>
      </w:r>
      <w:r w:rsidR="0094386A">
        <w:rPr>
          <w:rFonts w:ascii="Arial" w:hAnsi="Arial" w:cs="Arial"/>
          <w:b w:val="0"/>
          <w:caps w:val="0"/>
          <w:sz w:val="20"/>
        </w:rPr>
        <w:t>submit for the</w:t>
      </w:r>
      <w:r>
        <w:rPr>
          <w:rFonts w:ascii="Arial" w:hAnsi="Arial" w:cs="Arial"/>
          <w:b w:val="0"/>
          <w:caps w:val="0"/>
          <w:sz w:val="20"/>
        </w:rPr>
        <w:t xml:space="preserve"> </w:t>
      </w:r>
      <w:r w:rsidR="0094386A">
        <w:rPr>
          <w:rFonts w:ascii="Arial" w:hAnsi="Arial" w:cs="Arial"/>
          <w:b w:val="0"/>
          <w:caps w:val="0"/>
          <w:sz w:val="20"/>
        </w:rPr>
        <w:t>Ethics Committee.</w:t>
      </w:r>
    </w:p>
    <w:p w14:paraId="0D6A287E" w14:textId="77777777" w:rsidR="0094386A" w:rsidRDefault="0094386A" w:rsidP="00441B6F">
      <w:pPr>
        <w:pStyle w:val="ReferHead"/>
        <w:spacing w:after="0"/>
        <w:jc w:val="both"/>
        <w:rPr>
          <w:rFonts w:ascii="Arial" w:hAnsi="Arial" w:cs="Arial"/>
        </w:rPr>
      </w:pPr>
    </w:p>
    <w:p w14:paraId="4D9985EF" w14:textId="5F77AE64" w:rsidR="00B01FCD" w:rsidRDefault="00B01FCD" w:rsidP="00441B6F">
      <w:pPr>
        <w:pStyle w:val="ReferHead"/>
        <w:spacing w:after="0"/>
        <w:jc w:val="both"/>
        <w:rPr>
          <w:rFonts w:ascii="Arial" w:hAnsi="Arial" w:cs="Arial"/>
        </w:rPr>
      </w:pPr>
      <w:r w:rsidRPr="00FB3A86">
        <w:rPr>
          <w:rFonts w:ascii="Arial" w:hAnsi="Arial" w:cs="Arial"/>
        </w:rPr>
        <w:t>References</w:t>
      </w:r>
    </w:p>
    <w:p w14:paraId="15B3F932" w14:textId="77777777" w:rsidR="00790ADA" w:rsidRPr="00FB3A86" w:rsidRDefault="00790ADA" w:rsidP="00441B6F">
      <w:pPr>
        <w:pStyle w:val="ReferHead"/>
        <w:spacing w:after="0"/>
        <w:jc w:val="both"/>
        <w:rPr>
          <w:rFonts w:ascii="Arial" w:hAnsi="Arial" w:cs="Arial"/>
        </w:rPr>
      </w:pPr>
    </w:p>
    <w:p w14:paraId="003ECC6B" w14:textId="67022E4B" w:rsidR="00186BE3" w:rsidRPr="00186BE3" w:rsidRDefault="009A79E4" w:rsidP="00BF19F5">
      <w:pPr>
        <w:pStyle w:val="Body"/>
      </w:pPr>
      <w:bookmarkStart w:id="5" w:name="_Hlk215811138"/>
      <w:bookmarkStart w:id="6" w:name="_Hlk215809241"/>
      <w:bookmarkStart w:id="7" w:name="_Hlk215808640"/>
      <w:proofErr w:type="spellStart"/>
      <w:r w:rsidRPr="009A79E4">
        <w:t>Bomberg</w:t>
      </w:r>
      <w:proofErr w:type="spellEnd"/>
      <w:r w:rsidRPr="009A79E4">
        <w:t xml:space="preserve">, H., </w:t>
      </w:r>
      <w:proofErr w:type="spellStart"/>
      <w:r w:rsidRPr="009A79E4">
        <w:t>Kubulus</w:t>
      </w:r>
      <w:proofErr w:type="spellEnd"/>
      <w:r w:rsidRPr="009A79E4">
        <w:t xml:space="preserve">, C., Herberger, S., </w:t>
      </w:r>
      <w:proofErr w:type="spellStart"/>
      <w:r w:rsidRPr="009A79E4">
        <w:t>Wagenpfeil</w:t>
      </w:r>
      <w:proofErr w:type="spellEnd"/>
      <w:r w:rsidRPr="009A79E4">
        <w:t xml:space="preserve">, S., Kessler, P., </w:t>
      </w:r>
      <w:proofErr w:type="spellStart"/>
      <w:r w:rsidRPr="009A79E4">
        <w:t>Steinfeldt</w:t>
      </w:r>
      <w:proofErr w:type="spellEnd"/>
      <w:r w:rsidRPr="009A79E4">
        <w:t xml:space="preserve">, T., </w:t>
      </w:r>
      <w:proofErr w:type="spellStart"/>
      <w:r w:rsidRPr="009A79E4">
        <w:t>Standl</w:t>
      </w:r>
      <w:proofErr w:type="spellEnd"/>
      <w:r w:rsidRPr="009A79E4">
        <w:t xml:space="preserve">, T., Gottschalk, A., Stork, J., Meissner, W., Birnbaum, J., Koch, T., Sessler, D.I., Volk, T., &amp; Raddatz, A. (2016). </w:t>
      </w:r>
      <w:proofErr w:type="spellStart"/>
      <w:r w:rsidRPr="009A79E4">
        <w:t>Tunnelling</w:t>
      </w:r>
      <w:proofErr w:type="spellEnd"/>
      <w:r w:rsidRPr="009A79E4">
        <w:t xml:space="preserve"> of thoracic epidural catheters is associated with fewer catheter-related infections: a retrospective registry analysis. British Journal of </w:t>
      </w:r>
      <w:proofErr w:type="spellStart"/>
      <w:r w:rsidRPr="009A79E4">
        <w:t>Anaesthesia</w:t>
      </w:r>
      <w:proofErr w:type="spellEnd"/>
      <w:r w:rsidRPr="009A79E4">
        <w:t xml:space="preserve">, 116(4), 546-553. </w:t>
      </w:r>
      <w:hyperlink r:id="rId19" w:history="1">
        <w:r w:rsidRPr="000D5FD9">
          <w:rPr>
            <w:rStyle w:val="Hyperlink"/>
          </w:rPr>
          <w:t>https://doi.org/10.1093/bja/aew026</w:t>
        </w:r>
      </w:hyperlink>
      <w:r>
        <w:t xml:space="preserve"> </w:t>
      </w:r>
      <w:r w:rsidR="00086DED">
        <w:t xml:space="preserve"> </w:t>
      </w:r>
    </w:p>
    <w:bookmarkEnd w:id="5"/>
    <w:p w14:paraId="6AF40CE2" w14:textId="1FA5CC1D" w:rsidR="0043104F" w:rsidRPr="00FA5068" w:rsidRDefault="00A62588" w:rsidP="00BF19F5">
      <w:pPr>
        <w:pStyle w:val="Body"/>
      </w:pPr>
      <w:r w:rsidRPr="00A62588">
        <w:t xml:space="preserve">Díaz, D., Sánchez, C., </w:t>
      </w:r>
      <w:proofErr w:type="spellStart"/>
      <w:r w:rsidRPr="00A62588">
        <w:t>Fontán</w:t>
      </w:r>
      <w:proofErr w:type="spellEnd"/>
      <w:r w:rsidRPr="00A62588">
        <w:t xml:space="preserve">, I. M., Peralta, E., </w:t>
      </w:r>
      <w:proofErr w:type="spellStart"/>
      <w:r w:rsidRPr="00A62588">
        <w:t>Berraquero</w:t>
      </w:r>
      <w:proofErr w:type="spellEnd"/>
      <w:r w:rsidRPr="00A62588">
        <w:t xml:space="preserve">, M. L., Naranjo, C., </w:t>
      </w:r>
      <w:proofErr w:type="spellStart"/>
      <w:r w:rsidRPr="00A62588">
        <w:t>Gándara</w:t>
      </w:r>
      <w:proofErr w:type="spellEnd"/>
      <w:r w:rsidRPr="00A62588">
        <w:t>, A. V., &amp; Fernández, B. (2023). Care needs of intrathecal infusion therapy in patients with cancer pain. *</w:t>
      </w:r>
      <w:proofErr w:type="spellStart"/>
      <w:r w:rsidRPr="00A62588">
        <w:t>Revista</w:t>
      </w:r>
      <w:proofErr w:type="spellEnd"/>
      <w:r w:rsidRPr="00A62588">
        <w:t xml:space="preserve"> de la Sociedad Española del Dolor, 30*(4), 227-242. </w:t>
      </w:r>
      <w:hyperlink r:id="rId20" w:history="1">
        <w:r w:rsidRPr="000D5FD9">
          <w:rPr>
            <w:rStyle w:val="Hyperlink"/>
          </w:rPr>
          <w:t>https://doi.org/10.20986/resed.2024.4099/2023</w:t>
        </w:r>
      </w:hyperlink>
      <w:r>
        <w:t xml:space="preserve"> </w:t>
      </w:r>
      <w:r w:rsidR="00FA5068">
        <w:t xml:space="preserve"> </w:t>
      </w:r>
    </w:p>
    <w:bookmarkEnd w:id="6"/>
    <w:p w14:paraId="7CAF806B" w14:textId="1E25F30C" w:rsidR="00611FDB" w:rsidRDefault="00BC596B" w:rsidP="00BF19F5">
      <w:pPr>
        <w:pStyle w:val="Body"/>
      </w:pPr>
      <w:r w:rsidRPr="00BC596B">
        <w:t xml:space="preserve">Fallon, M., Giusti, R., </w:t>
      </w:r>
      <w:proofErr w:type="spellStart"/>
      <w:r w:rsidRPr="00BC596B">
        <w:t>Aielli</w:t>
      </w:r>
      <w:proofErr w:type="spellEnd"/>
      <w:r w:rsidRPr="00BC596B">
        <w:t xml:space="preserve">, F., Hoskin, P., </w:t>
      </w:r>
      <w:proofErr w:type="spellStart"/>
      <w:r w:rsidRPr="00BC596B">
        <w:t>Rolke</w:t>
      </w:r>
      <w:proofErr w:type="spellEnd"/>
      <w:r w:rsidRPr="00BC596B">
        <w:t xml:space="preserve">, R., Sharma, M., </w:t>
      </w:r>
      <w:proofErr w:type="spellStart"/>
      <w:r w:rsidRPr="00BC596B">
        <w:t>Ripamonti</w:t>
      </w:r>
      <w:proofErr w:type="spellEnd"/>
      <w:r w:rsidRPr="00BC596B">
        <w:t xml:space="preserve">, C.I., &amp; ESMO Guidelines Committee. (2018). Management of cancer pain in adult patients: ESMO Clinical Practice Guidelines. Annals of Oncology, 29(Suppl 4), iv166-iv191. </w:t>
      </w:r>
      <w:hyperlink r:id="rId21" w:history="1">
        <w:r w:rsidRPr="000D5FD9">
          <w:rPr>
            <w:rStyle w:val="Hyperlink"/>
          </w:rPr>
          <w:t>https://doi.org/10.1093/annonc/mdy152</w:t>
        </w:r>
      </w:hyperlink>
      <w:r>
        <w:t xml:space="preserve"> </w:t>
      </w:r>
      <w:r w:rsidR="00611FDB">
        <w:t xml:space="preserve"> </w:t>
      </w:r>
    </w:p>
    <w:p w14:paraId="6380EC83" w14:textId="57D2EB3F" w:rsidR="007C4BAF" w:rsidRDefault="005C4D56" w:rsidP="00BF19F5">
      <w:pPr>
        <w:pStyle w:val="Body"/>
      </w:pPr>
      <w:bookmarkStart w:id="8" w:name="_Hlk215811864"/>
      <w:r w:rsidRPr="005C4D56">
        <w:t xml:space="preserve">Habib, M. H., </w:t>
      </w:r>
      <w:proofErr w:type="spellStart"/>
      <w:r w:rsidRPr="005C4D56">
        <w:t>Schlögl</w:t>
      </w:r>
      <w:proofErr w:type="spellEnd"/>
      <w:r w:rsidRPr="005C4D56">
        <w:t xml:space="preserve">, M., Raza, S., </w:t>
      </w:r>
      <w:proofErr w:type="spellStart"/>
      <w:r w:rsidRPr="005C4D56">
        <w:t>Chwistek</w:t>
      </w:r>
      <w:proofErr w:type="spellEnd"/>
      <w:r w:rsidRPr="005C4D56">
        <w:t xml:space="preserve">, M., &amp; Gulati, A. (2023). Interventional pain management in cancer patients—a scoping review. Annals of Palliative Medicine, 12(6), 1198-1214. </w:t>
      </w:r>
      <w:hyperlink r:id="rId22" w:history="1">
        <w:r w:rsidRPr="000D5FD9">
          <w:rPr>
            <w:rStyle w:val="Hyperlink"/>
          </w:rPr>
          <w:t>https://doi.org/10.21037/apm-23-433</w:t>
        </w:r>
      </w:hyperlink>
      <w:r>
        <w:t xml:space="preserve"> </w:t>
      </w:r>
      <w:r w:rsidR="00CF37DB">
        <w:t xml:space="preserve"> </w:t>
      </w:r>
    </w:p>
    <w:bookmarkEnd w:id="8"/>
    <w:p w14:paraId="50F11716" w14:textId="2E112747" w:rsidR="00186BE3" w:rsidRPr="0075305F" w:rsidRDefault="00452F4E" w:rsidP="00BF19F5">
      <w:pPr>
        <w:pStyle w:val="Body"/>
      </w:pPr>
      <w:proofErr w:type="spellStart"/>
      <w:r w:rsidRPr="00452F4E">
        <w:t>Heo</w:t>
      </w:r>
      <w:proofErr w:type="spellEnd"/>
      <w:r w:rsidRPr="00452F4E">
        <w:t xml:space="preserve">, B. H., </w:t>
      </w:r>
      <w:proofErr w:type="spellStart"/>
      <w:r w:rsidRPr="00452F4E">
        <w:t>Pyeon</w:t>
      </w:r>
      <w:proofErr w:type="spellEnd"/>
      <w:r w:rsidRPr="00452F4E">
        <w:t xml:space="preserve">, T. H., Lee, H. G., Kim, W. M., Choi, J. I., &amp; Yoon, M. H. (2014). Epidural Infusion of Morphine and Levobupivacaine through a Subcutaneous Port for Cancer Pain Management. Korean J Pain, 27(2), 139-144. </w:t>
      </w:r>
      <w:hyperlink r:id="rId23" w:history="1">
        <w:r w:rsidRPr="000D5FD9">
          <w:rPr>
            <w:rStyle w:val="Hyperlink"/>
          </w:rPr>
          <w:t>https://doi.org/10.3344/kjp.2014.27.2.139</w:t>
        </w:r>
      </w:hyperlink>
      <w:r>
        <w:t xml:space="preserve"> </w:t>
      </w:r>
      <w:r w:rsidR="00186BE3" w:rsidRPr="0075305F">
        <w:t xml:space="preserve"> </w:t>
      </w:r>
    </w:p>
    <w:p w14:paraId="25F7EF88" w14:textId="1A7E99B3" w:rsidR="00146D00" w:rsidRDefault="00F9762B" w:rsidP="00BF19F5">
      <w:pPr>
        <w:pStyle w:val="Body"/>
      </w:pPr>
      <w:bookmarkStart w:id="9" w:name="_Hlk215896244"/>
      <w:r w:rsidRPr="00F9762B">
        <w:t xml:space="preserve">Jeon, Y. S., Lee, J. A., Choi, J. W., Kang, E. G., Jung, H. S., Kim, H. K., Shim, B. Y., Park, J. H., &amp; </w:t>
      </w:r>
      <w:proofErr w:type="spellStart"/>
      <w:r w:rsidRPr="00F9762B">
        <w:t>Joo</w:t>
      </w:r>
      <w:proofErr w:type="spellEnd"/>
      <w:r w:rsidRPr="00F9762B">
        <w:t xml:space="preserve">, J. D. (2012). Efficacy of epidural analgesia in patients with cancer pain: A retrospective observational study. Yonsei Medical Journal, 53(3), 649-653. </w:t>
      </w:r>
      <w:hyperlink r:id="rId24" w:history="1">
        <w:r w:rsidRPr="000D5FD9">
          <w:rPr>
            <w:rStyle w:val="Hyperlink"/>
          </w:rPr>
          <w:t>https://doi.org/10.3349/ymj.2012.53.3.649</w:t>
        </w:r>
      </w:hyperlink>
      <w:r>
        <w:t xml:space="preserve"> </w:t>
      </w:r>
      <w:r w:rsidR="002527B9">
        <w:t xml:space="preserve"> </w:t>
      </w:r>
    </w:p>
    <w:p w14:paraId="5883E294" w14:textId="501AFC3F" w:rsidR="00317450" w:rsidRDefault="007D6919" w:rsidP="00BF19F5">
      <w:pPr>
        <w:pStyle w:val="Body"/>
      </w:pPr>
      <w:proofErr w:type="spellStart"/>
      <w:r w:rsidRPr="007D6919">
        <w:t>Kiehelä</w:t>
      </w:r>
      <w:proofErr w:type="spellEnd"/>
      <w:r w:rsidRPr="007D6919">
        <w:t xml:space="preserve">, L., </w:t>
      </w:r>
      <w:proofErr w:type="spellStart"/>
      <w:r w:rsidRPr="007D6919">
        <w:t>Hamunen</w:t>
      </w:r>
      <w:proofErr w:type="spellEnd"/>
      <w:r w:rsidRPr="007D6919">
        <w:t xml:space="preserve">, K., &amp; </w:t>
      </w:r>
      <w:proofErr w:type="spellStart"/>
      <w:r w:rsidRPr="007D6919">
        <w:t>Heiskanen</w:t>
      </w:r>
      <w:proofErr w:type="spellEnd"/>
      <w:r w:rsidRPr="007D6919">
        <w:t xml:space="preserve">, T. (2017). Spinal analgesia for severe cancer pain: A retrospective analysis of 60 patients. </w:t>
      </w:r>
      <w:proofErr w:type="spellStart"/>
      <w:r w:rsidRPr="007D6919">
        <w:t>Scand</w:t>
      </w:r>
      <w:proofErr w:type="spellEnd"/>
      <w:r w:rsidRPr="007D6919">
        <w:t xml:space="preserve"> J Pain, 16, 140-145. </w:t>
      </w:r>
      <w:hyperlink r:id="rId25" w:history="1">
        <w:r w:rsidRPr="000D5FD9">
          <w:rPr>
            <w:rStyle w:val="Hyperlink"/>
          </w:rPr>
          <w:t>https://doi.org/10.1016/j.sjpain.2017.04.073</w:t>
        </w:r>
      </w:hyperlink>
      <w:r>
        <w:t xml:space="preserve"> </w:t>
      </w:r>
      <w:r w:rsidR="00AF340F">
        <w:t xml:space="preserve"> </w:t>
      </w:r>
    </w:p>
    <w:bookmarkEnd w:id="9"/>
    <w:p w14:paraId="40C9D8D4" w14:textId="25B688E9" w:rsidR="00B1739C" w:rsidRPr="00B1739C" w:rsidRDefault="00DA24E2" w:rsidP="00BF19F5">
      <w:pPr>
        <w:pStyle w:val="Body"/>
      </w:pPr>
      <w:proofErr w:type="spellStart"/>
      <w:r w:rsidRPr="00DA24E2">
        <w:t>Mercadante</w:t>
      </w:r>
      <w:proofErr w:type="spellEnd"/>
      <w:r w:rsidRPr="00DA24E2">
        <w:t xml:space="preserve">, S. (2023). Refractory Cancer Pain and Intrathecal Therapy: Critical Review of a Systematic Review. Pain </w:t>
      </w:r>
      <w:proofErr w:type="spellStart"/>
      <w:r w:rsidRPr="00DA24E2">
        <w:t>Ther</w:t>
      </w:r>
      <w:proofErr w:type="spellEnd"/>
      <w:r w:rsidRPr="00DA24E2">
        <w:t xml:space="preserve">., 12(3), 645-654. </w:t>
      </w:r>
      <w:hyperlink r:id="rId26" w:history="1">
        <w:r w:rsidRPr="000D5FD9">
          <w:rPr>
            <w:rStyle w:val="Hyperlink"/>
          </w:rPr>
          <w:t>https://doi.org/10.1007/s40122-023-00507-z</w:t>
        </w:r>
      </w:hyperlink>
      <w:r>
        <w:t xml:space="preserve"> </w:t>
      </w:r>
      <w:r w:rsidR="00A128F6">
        <w:t xml:space="preserve"> </w:t>
      </w:r>
    </w:p>
    <w:bookmarkEnd w:id="7"/>
    <w:p w14:paraId="208C230D" w14:textId="1850726C" w:rsidR="0094386A" w:rsidRDefault="0035087D" w:rsidP="00BF19F5">
      <w:pPr>
        <w:pStyle w:val="Body"/>
      </w:pPr>
      <w:proofErr w:type="spellStart"/>
      <w:r w:rsidRPr="0035087D">
        <w:t>Portenoy</w:t>
      </w:r>
      <w:proofErr w:type="spellEnd"/>
      <w:r w:rsidRPr="0035087D">
        <w:t xml:space="preserve">, R. K. (2011). Treatment of cancer pain. The Lancet, 377(9784), 2236–2247. </w:t>
      </w:r>
      <w:hyperlink r:id="rId27" w:history="1">
        <w:r w:rsidRPr="000D5FD9">
          <w:rPr>
            <w:rStyle w:val="Hyperlink"/>
          </w:rPr>
          <w:t>https://doi.org/10.1016/S0140-6736(11)60236-5</w:t>
        </w:r>
      </w:hyperlink>
      <w:r>
        <w:t xml:space="preserve"> </w:t>
      </w:r>
      <w:r w:rsidR="0094386A">
        <w:t xml:space="preserve"> </w:t>
      </w:r>
    </w:p>
    <w:p w14:paraId="61E9B189" w14:textId="41B9EE41" w:rsidR="00FD285A" w:rsidRDefault="000D1B73" w:rsidP="00BF19F5">
      <w:pPr>
        <w:pStyle w:val="Body"/>
      </w:pPr>
      <w:proofErr w:type="spellStart"/>
      <w:r w:rsidRPr="000D1B73">
        <w:lastRenderedPageBreak/>
        <w:t>Rigon</w:t>
      </w:r>
      <w:proofErr w:type="spellEnd"/>
      <w:r w:rsidRPr="000D1B73">
        <w:t xml:space="preserve">, M., </w:t>
      </w:r>
      <w:proofErr w:type="spellStart"/>
      <w:r w:rsidRPr="000D1B73">
        <w:t>Mutti</w:t>
      </w:r>
      <w:proofErr w:type="spellEnd"/>
      <w:r w:rsidRPr="000D1B73">
        <w:t>, L., &amp; Campanella, M. (2024). Pleural mesothelioma (</w:t>
      </w:r>
      <w:proofErr w:type="spellStart"/>
      <w:r w:rsidRPr="000D1B73">
        <w:t>PMe</w:t>
      </w:r>
      <w:proofErr w:type="spellEnd"/>
      <w:r w:rsidRPr="000D1B73">
        <w:t xml:space="preserve">): The evolving molecular knowledge of a rare and aggressive cancer. Molecular Oncology. </w:t>
      </w:r>
      <w:hyperlink r:id="rId28" w:history="1">
        <w:r w:rsidRPr="000D5FD9">
          <w:rPr>
            <w:rStyle w:val="Hyperlink"/>
          </w:rPr>
          <w:t>https://doi.org/10.1002/1878-0261.13591</w:t>
        </w:r>
      </w:hyperlink>
      <w:r>
        <w:t xml:space="preserve"> </w:t>
      </w:r>
      <w:r w:rsidR="00FD285A" w:rsidRPr="00FD285A">
        <w:t>.</w:t>
      </w:r>
      <w:r w:rsidR="00FD285A">
        <w:t xml:space="preserve"> </w:t>
      </w:r>
    </w:p>
    <w:p w14:paraId="66A597CA" w14:textId="44E0C85C" w:rsidR="00FD285A" w:rsidRPr="00B5775D" w:rsidRDefault="002047AA" w:rsidP="00BF19F5">
      <w:pPr>
        <w:pStyle w:val="Body"/>
      </w:pPr>
      <w:r w:rsidRPr="002047AA">
        <w:t>Saunders, J., Ashton, M., Hall, C., Laird, B., &amp; MacLeod, N. (2019). Pain management in patients with malignant mesothelioma: challenges and solutions. Lung Cancer (</w:t>
      </w:r>
      <w:proofErr w:type="spellStart"/>
      <w:r w:rsidRPr="002047AA">
        <w:t>Auckl</w:t>
      </w:r>
      <w:proofErr w:type="spellEnd"/>
      <w:r w:rsidRPr="002047AA">
        <w:t xml:space="preserve">), 10, 37-46. </w:t>
      </w:r>
      <w:hyperlink r:id="rId29" w:history="1">
        <w:r w:rsidRPr="000D5FD9">
          <w:rPr>
            <w:rStyle w:val="Hyperlink"/>
          </w:rPr>
          <w:t>https://doi.org/10.2147/LCTT.S192558</w:t>
        </w:r>
      </w:hyperlink>
      <w:r>
        <w:t xml:space="preserve"> </w:t>
      </w:r>
      <w:r w:rsidR="00FD285A" w:rsidRPr="00B5775D">
        <w:t xml:space="preserve">. </w:t>
      </w:r>
    </w:p>
    <w:p w14:paraId="25368AE5" w14:textId="3494443A" w:rsidR="00086DED" w:rsidRPr="0075305F" w:rsidRDefault="004C4F79" w:rsidP="00BF19F5">
      <w:pPr>
        <w:pStyle w:val="Body"/>
        <w:rPr>
          <w:lang w:val="es-MX"/>
        </w:rPr>
      </w:pPr>
      <w:r w:rsidRPr="004C4F79">
        <w:t xml:space="preserve">van Kassel, M. N., </w:t>
      </w:r>
      <w:proofErr w:type="spellStart"/>
      <w:r w:rsidRPr="004C4F79">
        <w:t>Hermanides</w:t>
      </w:r>
      <w:proofErr w:type="spellEnd"/>
      <w:r w:rsidRPr="004C4F79">
        <w:t xml:space="preserve">, J., </w:t>
      </w:r>
      <w:proofErr w:type="spellStart"/>
      <w:r w:rsidRPr="004C4F79">
        <w:t>Lirk</w:t>
      </w:r>
      <w:proofErr w:type="spellEnd"/>
      <w:r w:rsidRPr="004C4F79">
        <w:t xml:space="preserve">, P., &amp; Hollmann, M. W. (2025). Prevention of Epidural Catheter Migration and Inflammation by Tunneling: A Systematic Review and Meta-Analysis. J Clin Med., 14(16), 5788. </w:t>
      </w:r>
      <w:hyperlink r:id="rId30" w:history="1">
        <w:r w:rsidRPr="000D5FD9">
          <w:rPr>
            <w:rStyle w:val="Hyperlink"/>
          </w:rPr>
          <w:t>https://doi.org/10.3390/jcm14165788</w:t>
        </w:r>
      </w:hyperlink>
      <w:r>
        <w:t xml:space="preserve"> </w:t>
      </w:r>
      <w:r w:rsidR="00086DED" w:rsidRPr="0075305F">
        <w:rPr>
          <w:lang w:val="es-MX"/>
        </w:rPr>
        <w:t xml:space="preserve"> </w:t>
      </w:r>
    </w:p>
    <w:p w14:paraId="2879C5FF" w14:textId="4CF6246D" w:rsidR="00EE3F0A" w:rsidRDefault="00324855" w:rsidP="00BF19F5">
      <w:pPr>
        <w:pStyle w:val="Body"/>
      </w:pPr>
      <w:bookmarkStart w:id="10" w:name="_Hlk215812788"/>
      <w:r w:rsidRPr="00324855">
        <w:rPr>
          <w:lang w:val="es-MX"/>
        </w:rPr>
        <w:t xml:space="preserve">Vargas-Bermúdez, A., González-Barboteo, J., &amp; Casals-Merchán, M. (2015). Long </w:t>
      </w:r>
      <w:proofErr w:type="spellStart"/>
      <w:r w:rsidRPr="00324855">
        <w:rPr>
          <w:lang w:val="es-MX"/>
        </w:rPr>
        <w:t>term</w:t>
      </w:r>
      <w:proofErr w:type="spellEnd"/>
      <w:r w:rsidRPr="00324855">
        <w:rPr>
          <w:lang w:val="es-MX"/>
        </w:rPr>
        <w:t xml:space="preserve"> epidural </w:t>
      </w:r>
      <w:proofErr w:type="spellStart"/>
      <w:r w:rsidRPr="00324855">
        <w:rPr>
          <w:lang w:val="es-MX"/>
        </w:rPr>
        <w:t>catheter</w:t>
      </w:r>
      <w:proofErr w:type="spellEnd"/>
      <w:r w:rsidRPr="00324855">
        <w:rPr>
          <w:lang w:val="es-MX"/>
        </w:rPr>
        <w:t xml:space="preserve"> </w:t>
      </w:r>
      <w:proofErr w:type="spellStart"/>
      <w:r w:rsidRPr="00324855">
        <w:rPr>
          <w:lang w:val="es-MX"/>
        </w:rPr>
        <w:t>for</w:t>
      </w:r>
      <w:proofErr w:type="spellEnd"/>
      <w:r w:rsidRPr="00324855">
        <w:rPr>
          <w:lang w:val="es-MX"/>
        </w:rPr>
        <w:t xml:space="preserve"> </w:t>
      </w:r>
      <w:proofErr w:type="spellStart"/>
      <w:r w:rsidRPr="00324855">
        <w:rPr>
          <w:lang w:val="es-MX"/>
        </w:rPr>
        <w:t>the</w:t>
      </w:r>
      <w:proofErr w:type="spellEnd"/>
      <w:r w:rsidRPr="00324855">
        <w:rPr>
          <w:lang w:val="es-MX"/>
        </w:rPr>
        <w:t xml:space="preserve"> </w:t>
      </w:r>
      <w:proofErr w:type="spellStart"/>
      <w:r w:rsidRPr="00324855">
        <w:rPr>
          <w:lang w:val="es-MX"/>
        </w:rPr>
        <w:t>palliative</w:t>
      </w:r>
      <w:proofErr w:type="spellEnd"/>
      <w:r w:rsidRPr="00324855">
        <w:rPr>
          <w:lang w:val="es-MX"/>
        </w:rPr>
        <w:t xml:space="preserve"> </w:t>
      </w:r>
      <w:proofErr w:type="spellStart"/>
      <w:r w:rsidRPr="00324855">
        <w:rPr>
          <w:lang w:val="es-MX"/>
        </w:rPr>
        <w:t>management</w:t>
      </w:r>
      <w:proofErr w:type="spellEnd"/>
      <w:r w:rsidRPr="00324855">
        <w:rPr>
          <w:lang w:val="es-MX"/>
        </w:rPr>
        <w:t xml:space="preserve"> </w:t>
      </w:r>
      <w:proofErr w:type="spellStart"/>
      <w:r w:rsidRPr="00324855">
        <w:rPr>
          <w:lang w:val="es-MX"/>
        </w:rPr>
        <w:t>of</w:t>
      </w:r>
      <w:proofErr w:type="spellEnd"/>
      <w:r w:rsidRPr="00324855">
        <w:rPr>
          <w:lang w:val="es-MX"/>
        </w:rPr>
        <w:t xml:space="preserve"> a </w:t>
      </w:r>
      <w:proofErr w:type="spellStart"/>
      <w:r w:rsidRPr="00324855">
        <w:rPr>
          <w:lang w:val="es-MX"/>
        </w:rPr>
        <w:t>patient</w:t>
      </w:r>
      <w:proofErr w:type="spellEnd"/>
      <w:r w:rsidRPr="00324855">
        <w:rPr>
          <w:lang w:val="es-MX"/>
        </w:rPr>
        <w:t xml:space="preserve"> </w:t>
      </w:r>
      <w:proofErr w:type="spellStart"/>
      <w:r w:rsidRPr="00324855">
        <w:rPr>
          <w:lang w:val="es-MX"/>
        </w:rPr>
        <w:t>with</w:t>
      </w:r>
      <w:proofErr w:type="spellEnd"/>
      <w:r w:rsidRPr="00324855">
        <w:rPr>
          <w:lang w:val="es-MX"/>
        </w:rPr>
        <w:t xml:space="preserve"> </w:t>
      </w:r>
      <w:proofErr w:type="spellStart"/>
      <w:r w:rsidRPr="00324855">
        <w:rPr>
          <w:lang w:val="es-MX"/>
        </w:rPr>
        <w:t>refractory</w:t>
      </w:r>
      <w:proofErr w:type="spellEnd"/>
      <w:r w:rsidRPr="00324855">
        <w:rPr>
          <w:lang w:val="es-MX"/>
        </w:rPr>
        <w:t xml:space="preserve"> </w:t>
      </w:r>
      <w:proofErr w:type="spellStart"/>
      <w:r w:rsidRPr="00324855">
        <w:rPr>
          <w:lang w:val="es-MX"/>
        </w:rPr>
        <w:t>cancer</w:t>
      </w:r>
      <w:proofErr w:type="spellEnd"/>
      <w:r w:rsidRPr="00324855">
        <w:rPr>
          <w:lang w:val="es-MX"/>
        </w:rPr>
        <w:t xml:space="preserve"> </w:t>
      </w:r>
      <w:proofErr w:type="spellStart"/>
      <w:r w:rsidRPr="00324855">
        <w:rPr>
          <w:lang w:val="es-MX"/>
        </w:rPr>
        <w:t>pain</w:t>
      </w:r>
      <w:proofErr w:type="spellEnd"/>
      <w:r w:rsidRPr="00324855">
        <w:rPr>
          <w:lang w:val="es-MX"/>
        </w:rPr>
        <w:t xml:space="preserve">. Medicina Paliativa, 24(2), 99-103. </w:t>
      </w:r>
      <w:hyperlink r:id="rId31" w:history="1">
        <w:r w:rsidRPr="000D5FD9">
          <w:rPr>
            <w:rStyle w:val="Hyperlink"/>
            <w:lang w:val="es-MX"/>
          </w:rPr>
          <w:t>https://doi.org/10.1016/j.medipa.2015.02.002</w:t>
        </w:r>
      </w:hyperlink>
      <w:r w:rsidR="00EE3F0A">
        <w:t>.</w:t>
      </w:r>
      <w:r w:rsidR="00135265">
        <w:t xml:space="preserve"> </w:t>
      </w:r>
    </w:p>
    <w:bookmarkEnd w:id="10"/>
    <w:p w14:paraId="35446BA9" w14:textId="53A564CC" w:rsidR="00086DED" w:rsidRDefault="00122229" w:rsidP="00BF19F5">
      <w:pPr>
        <w:pStyle w:val="Body"/>
      </w:pPr>
      <w:r w:rsidRPr="00122229">
        <w:t xml:space="preserve">World Health Organization. (2018). Integrating palliative care and symptom relief into primary health care: A WHO guide for planners, implementers and managers. </w:t>
      </w:r>
      <w:hyperlink r:id="rId32" w:history="1">
        <w:r w:rsidRPr="000D5FD9">
          <w:rPr>
            <w:rStyle w:val="Hyperlink"/>
          </w:rPr>
          <w:t>https://iris.who.int/handle/10665/274559</w:t>
        </w:r>
      </w:hyperlink>
      <w:r>
        <w:t xml:space="preserve"> </w:t>
      </w:r>
      <w:r w:rsidR="00086DED">
        <w:t xml:space="preserve"> </w:t>
      </w:r>
    </w:p>
    <w:p w14:paraId="6BD5A260"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04A7958A" w14:textId="77777777" w:rsidR="005777F1" w:rsidRDefault="005777F1" w:rsidP="00441B6F">
      <w:pPr>
        <w:pStyle w:val="Body"/>
        <w:spacing w:after="0"/>
        <w:rPr>
          <w:rFonts w:ascii="Arial" w:hAnsi="Arial" w:cs="Arial"/>
        </w:rPr>
      </w:pPr>
    </w:p>
    <w:p w14:paraId="7D0EC18C" w14:textId="1C0E247E" w:rsidR="005777F1" w:rsidRDefault="005777F1" w:rsidP="00441B6F">
      <w:pPr>
        <w:pStyle w:val="Body"/>
        <w:spacing w:after="0"/>
        <w:rPr>
          <w:rFonts w:ascii="Arial" w:hAnsi="Arial" w:cs="Arial"/>
        </w:rPr>
      </w:pPr>
      <w:r>
        <w:rPr>
          <w:rFonts w:ascii="Arial" w:hAnsi="Arial" w:cs="Arial"/>
        </w:rPr>
        <w:t xml:space="preserve">AVS </w:t>
      </w:r>
      <w:r w:rsidRPr="005777F1">
        <w:rPr>
          <w:rFonts w:ascii="Arial" w:hAnsi="Arial" w:cs="Arial"/>
        </w:rPr>
        <w:t>Analogous visual scale</w:t>
      </w:r>
      <w:r>
        <w:rPr>
          <w:rFonts w:ascii="Arial" w:hAnsi="Arial" w:cs="Arial"/>
        </w:rPr>
        <w:t xml:space="preserve"> of pain intensity</w:t>
      </w:r>
    </w:p>
    <w:p w14:paraId="39799871" w14:textId="7F08CDC6" w:rsidR="009F19A7" w:rsidRDefault="009F19A7" w:rsidP="00441B6F">
      <w:pPr>
        <w:pStyle w:val="Body"/>
        <w:spacing w:after="0"/>
        <w:rPr>
          <w:rFonts w:ascii="Arial" w:hAnsi="Arial" w:cs="Arial"/>
        </w:rPr>
      </w:pPr>
      <w:r>
        <w:rPr>
          <w:rFonts w:ascii="Arial" w:hAnsi="Arial" w:cs="Arial"/>
        </w:rPr>
        <w:t xml:space="preserve">BORG </w:t>
      </w:r>
      <w:r w:rsidR="000243B6">
        <w:rPr>
          <w:rFonts w:ascii="Arial" w:hAnsi="Arial" w:cs="Arial"/>
        </w:rPr>
        <w:t>R</w:t>
      </w:r>
      <w:r w:rsidRPr="009F19A7">
        <w:rPr>
          <w:rFonts w:ascii="Arial" w:hAnsi="Arial" w:cs="Arial"/>
        </w:rPr>
        <w:t xml:space="preserve">espiratory effort scale </w:t>
      </w:r>
    </w:p>
    <w:p w14:paraId="00740AC7" w14:textId="6C454BCB" w:rsidR="00B051F3" w:rsidRDefault="00B051F3" w:rsidP="00441B6F">
      <w:pPr>
        <w:pStyle w:val="Body"/>
        <w:spacing w:after="0"/>
        <w:rPr>
          <w:rFonts w:ascii="Arial" w:hAnsi="Arial" w:cs="Arial"/>
        </w:rPr>
      </w:pPr>
      <w:r>
        <w:rPr>
          <w:rFonts w:ascii="Arial" w:hAnsi="Arial" w:cs="Arial"/>
        </w:rPr>
        <w:t xml:space="preserve">ECOG </w:t>
      </w:r>
      <w:r w:rsidRPr="00B051F3">
        <w:rPr>
          <w:rFonts w:ascii="Arial" w:hAnsi="Arial" w:cs="Arial"/>
        </w:rPr>
        <w:t xml:space="preserve">Eastern Cooperative Oncology Group </w:t>
      </w:r>
    </w:p>
    <w:p w14:paraId="0F429A8B" w14:textId="3710A965" w:rsidR="004D4277" w:rsidRPr="00C65BE3" w:rsidRDefault="004D4277" w:rsidP="00C65BE3">
      <w:pPr>
        <w:pStyle w:val="Body"/>
        <w:spacing w:after="0"/>
        <w:rPr>
          <w:rFonts w:ascii="Arial" w:hAnsi="Arial" w:cs="Arial"/>
        </w:rPr>
        <w:sectPr w:rsidR="004D4277" w:rsidRPr="00C65BE3" w:rsidSect="001B46E3">
          <w:headerReference w:type="even" r:id="rId33"/>
          <w:headerReference w:type="default" r:id="rId34"/>
          <w:footerReference w:type="default" r:id="rId35"/>
          <w:headerReference w:type="first" r:id="rId36"/>
          <w:type w:val="continuous"/>
          <w:pgSz w:w="12240" w:h="15840"/>
          <w:pgMar w:top="1440" w:right="2016" w:bottom="2016" w:left="2016" w:header="720" w:footer="1123" w:gutter="0"/>
          <w:cols w:space="720"/>
          <w:docGrid w:linePitch="272"/>
        </w:sectPr>
      </w:pPr>
    </w:p>
    <w:p w14:paraId="092F8F1B" w14:textId="77777777" w:rsidR="00B01FCD" w:rsidRPr="00FB3A86" w:rsidRDefault="00B01FCD" w:rsidP="00441B6F">
      <w:pPr>
        <w:pStyle w:val="Appendix"/>
        <w:spacing w:after="0"/>
        <w:jc w:val="both"/>
        <w:rPr>
          <w:rFonts w:ascii="Arial" w:hAnsi="Arial" w:cs="Arial"/>
          <w:b w:val="0"/>
        </w:rPr>
      </w:pPr>
    </w:p>
    <w:sectPr w:rsidR="00B01FCD" w:rsidRPr="00FB3A86" w:rsidSect="001B46E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25CA2F" w14:textId="77777777" w:rsidR="00025DD5" w:rsidRDefault="00025DD5" w:rsidP="00C37E61">
      <w:r>
        <w:separator/>
      </w:r>
    </w:p>
  </w:endnote>
  <w:endnote w:type="continuationSeparator" w:id="0">
    <w:p w14:paraId="710A6A7C" w14:textId="77777777" w:rsidR="00025DD5" w:rsidRDefault="00025DD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F23D9" w14:textId="77777777" w:rsidR="001B46E3" w:rsidRDefault="001B46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7BC59" w14:textId="4FC63488" w:rsidR="00C37E61" w:rsidRPr="00936466" w:rsidRDefault="00C37E61" w:rsidP="00936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E139A" w14:textId="77777777" w:rsidR="009E048A" w:rsidRDefault="009E048A">
    <w:pPr>
      <w:pStyle w:val="Footer"/>
      <w:rPr>
        <w:rFonts w:ascii="Arial" w:hAnsi="Arial" w:cs="Arial"/>
        <w:sz w:val="16"/>
      </w:rPr>
    </w:pPr>
  </w:p>
  <w:p w14:paraId="1EB2DFA7"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F3AC1F0" w14:textId="77777777" w:rsidR="009E048A" w:rsidRDefault="009E048A">
    <w:pPr>
      <w:pStyle w:val="Footer"/>
      <w:rPr>
        <w:rFonts w:ascii="Arial" w:hAnsi="Arial" w:cs="Arial"/>
        <w:sz w:val="16"/>
      </w:rPr>
    </w:pPr>
  </w:p>
  <w:p w14:paraId="1C2EFDD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AE24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2C2F" w14:textId="77777777" w:rsidR="00025DD5" w:rsidRDefault="00025DD5" w:rsidP="00C37E61">
      <w:r>
        <w:separator/>
      </w:r>
    </w:p>
  </w:footnote>
  <w:footnote w:type="continuationSeparator" w:id="0">
    <w:p w14:paraId="5D637379" w14:textId="77777777" w:rsidR="00025DD5" w:rsidRDefault="00025DD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6EF42" w14:textId="1246875A" w:rsidR="001B46E3" w:rsidRDefault="001B46E3">
    <w:pPr>
      <w:pStyle w:val="Header"/>
    </w:pPr>
    <w:r>
      <w:rPr>
        <w:noProof/>
      </w:rPr>
      <w:pict w14:anchorId="0E0935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0"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194B4" w14:textId="38E16B61" w:rsidR="001B46E3" w:rsidRDefault="001B46E3">
    <w:pPr>
      <w:pStyle w:val="Header"/>
    </w:pPr>
    <w:r>
      <w:rPr>
        <w:noProof/>
      </w:rPr>
      <w:pict w14:anchorId="621E20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1"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BAD87" w14:textId="5678760F" w:rsidR="00296529" w:rsidRPr="00296529" w:rsidRDefault="001B46E3" w:rsidP="00296529">
    <w:pPr>
      <w:ind w:left="2160"/>
      <w:jc w:val="center"/>
      <w:rPr>
        <w:rFonts w:ascii="Times New Roman" w:eastAsia="Calibri" w:hAnsi="Times New Roman"/>
        <w:i/>
        <w:sz w:val="18"/>
        <w:szCs w:val="22"/>
      </w:rPr>
    </w:pPr>
    <w:r>
      <w:rPr>
        <w:noProof/>
      </w:rPr>
      <w:pict w14:anchorId="61D57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09"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E1CD6A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63B0D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284F33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173522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023A5D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9D393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B9993" w14:textId="6A69D844" w:rsidR="001B46E3" w:rsidRDefault="001B46E3">
    <w:pPr>
      <w:pStyle w:val="Header"/>
    </w:pPr>
    <w:r>
      <w:rPr>
        <w:noProof/>
      </w:rPr>
      <w:pict w14:anchorId="348196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3"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D5A7A" w14:textId="13FE9F21" w:rsidR="001B46E3" w:rsidRDefault="001B46E3">
    <w:pPr>
      <w:pStyle w:val="Header"/>
    </w:pPr>
    <w:r>
      <w:rPr>
        <w:noProof/>
      </w:rPr>
      <w:pict w14:anchorId="3111D3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4"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E0C2C" w14:textId="078B3244" w:rsidR="001B46E3" w:rsidRDefault="001B46E3">
    <w:pPr>
      <w:pStyle w:val="Header"/>
    </w:pPr>
    <w:r>
      <w:rPr>
        <w:noProof/>
      </w:rPr>
      <w:pict w14:anchorId="752780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5287112"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DE62F3"/>
    <w:multiLevelType w:val="hybridMultilevel"/>
    <w:tmpl w:val="9DB6B8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27FC"/>
    <w:rsid w:val="000144A0"/>
    <w:rsid w:val="00014AF6"/>
    <w:rsid w:val="000243B6"/>
    <w:rsid w:val="00025DD5"/>
    <w:rsid w:val="00030174"/>
    <w:rsid w:val="0004579C"/>
    <w:rsid w:val="00064113"/>
    <w:rsid w:val="00086DED"/>
    <w:rsid w:val="000A47FA"/>
    <w:rsid w:val="000A65D3"/>
    <w:rsid w:val="000B1E33"/>
    <w:rsid w:val="000D1B73"/>
    <w:rsid w:val="000D689F"/>
    <w:rsid w:val="000E6440"/>
    <w:rsid w:val="000E673B"/>
    <w:rsid w:val="000E7B7B"/>
    <w:rsid w:val="000E7D62"/>
    <w:rsid w:val="00103357"/>
    <w:rsid w:val="00122229"/>
    <w:rsid w:val="00123C9F"/>
    <w:rsid w:val="00126190"/>
    <w:rsid w:val="0013006B"/>
    <w:rsid w:val="00130F17"/>
    <w:rsid w:val="001320BF"/>
    <w:rsid w:val="00135265"/>
    <w:rsid w:val="00146D00"/>
    <w:rsid w:val="00163BC4"/>
    <w:rsid w:val="00186BE3"/>
    <w:rsid w:val="00191062"/>
    <w:rsid w:val="00192B72"/>
    <w:rsid w:val="001A29D8"/>
    <w:rsid w:val="001A5CAA"/>
    <w:rsid w:val="001B0427"/>
    <w:rsid w:val="001B46E3"/>
    <w:rsid w:val="001C4A28"/>
    <w:rsid w:val="001D3A51"/>
    <w:rsid w:val="001E10D2"/>
    <w:rsid w:val="001E25B4"/>
    <w:rsid w:val="001E44FE"/>
    <w:rsid w:val="00200595"/>
    <w:rsid w:val="002047AA"/>
    <w:rsid w:val="00204835"/>
    <w:rsid w:val="00231920"/>
    <w:rsid w:val="0023195C"/>
    <w:rsid w:val="0024282C"/>
    <w:rsid w:val="002460DC"/>
    <w:rsid w:val="00250985"/>
    <w:rsid w:val="002527B9"/>
    <w:rsid w:val="002556F6"/>
    <w:rsid w:val="00283105"/>
    <w:rsid w:val="00284C4C"/>
    <w:rsid w:val="00287E68"/>
    <w:rsid w:val="002906DA"/>
    <w:rsid w:val="00296529"/>
    <w:rsid w:val="002B27FB"/>
    <w:rsid w:val="002B4B5C"/>
    <w:rsid w:val="002B685A"/>
    <w:rsid w:val="002C57D2"/>
    <w:rsid w:val="002E0D56"/>
    <w:rsid w:val="00315186"/>
    <w:rsid w:val="00317450"/>
    <w:rsid w:val="00320A57"/>
    <w:rsid w:val="00324855"/>
    <w:rsid w:val="0033343E"/>
    <w:rsid w:val="0035087D"/>
    <w:rsid w:val="003512C2"/>
    <w:rsid w:val="00354DB4"/>
    <w:rsid w:val="00371FB6"/>
    <w:rsid w:val="003763C1"/>
    <w:rsid w:val="00376BBE"/>
    <w:rsid w:val="0039224F"/>
    <w:rsid w:val="003A43A4"/>
    <w:rsid w:val="003A59F4"/>
    <w:rsid w:val="003A7E18"/>
    <w:rsid w:val="003C4C86"/>
    <w:rsid w:val="003C6258"/>
    <w:rsid w:val="003E031A"/>
    <w:rsid w:val="003E26DC"/>
    <w:rsid w:val="003E2904"/>
    <w:rsid w:val="00401927"/>
    <w:rsid w:val="004020AF"/>
    <w:rsid w:val="0041027F"/>
    <w:rsid w:val="00412475"/>
    <w:rsid w:val="00417699"/>
    <w:rsid w:val="00422F76"/>
    <w:rsid w:val="00423789"/>
    <w:rsid w:val="004279DB"/>
    <w:rsid w:val="0043104F"/>
    <w:rsid w:val="00440F43"/>
    <w:rsid w:val="00441B6F"/>
    <w:rsid w:val="00446221"/>
    <w:rsid w:val="00450E62"/>
    <w:rsid w:val="00452F4E"/>
    <w:rsid w:val="004539DB"/>
    <w:rsid w:val="0045651B"/>
    <w:rsid w:val="00471A80"/>
    <w:rsid w:val="004C24DC"/>
    <w:rsid w:val="004C4F79"/>
    <w:rsid w:val="004D305E"/>
    <w:rsid w:val="004D4277"/>
    <w:rsid w:val="004E1E65"/>
    <w:rsid w:val="00502516"/>
    <w:rsid w:val="00503739"/>
    <w:rsid w:val="00505F06"/>
    <w:rsid w:val="00506828"/>
    <w:rsid w:val="0053056E"/>
    <w:rsid w:val="005330AA"/>
    <w:rsid w:val="00535EEF"/>
    <w:rsid w:val="00536830"/>
    <w:rsid w:val="005468EE"/>
    <w:rsid w:val="00554FDA"/>
    <w:rsid w:val="005777F1"/>
    <w:rsid w:val="005C4D56"/>
    <w:rsid w:val="005C784C"/>
    <w:rsid w:val="005C78AE"/>
    <w:rsid w:val="005D17F6"/>
    <w:rsid w:val="005E5539"/>
    <w:rsid w:val="00602BF5"/>
    <w:rsid w:val="00611FDB"/>
    <w:rsid w:val="00617FDD"/>
    <w:rsid w:val="00633614"/>
    <w:rsid w:val="00633F68"/>
    <w:rsid w:val="00636EB2"/>
    <w:rsid w:val="006375B8"/>
    <w:rsid w:val="006573D8"/>
    <w:rsid w:val="00662FEC"/>
    <w:rsid w:val="0066510A"/>
    <w:rsid w:val="006674E8"/>
    <w:rsid w:val="00673F9F"/>
    <w:rsid w:val="0068413E"/>
    <w:rsid w:val="00685153"/>
    <w:rsid w:val="00686953"/>
    <w:rsid w:val="00687DEA"/>
    <w:rsid w:val="00687E67"/>
    <w:rsid w:val="006967F7"/>
    <w:rsid w:val="006A250C"/>
    <w:rsid w:val="006A6BCF"/>
    <w:rsid w:val="006B21D3"/>
    <w:rsid w:val="006B57D0"/>
    <w:rsid w:val="006C6098"/>
    <w:rsid w:val="006D30FF"/>
    <w:rsid w:val="006D3C88"/>
    <w:rsid w:val="006D6940"/>
    <w:rsid w:val="006E2282"/>
    <w:rsid w:val="006F11EC"/>
    <w:rsid w:val="0070082C"/>
    <w:rsid w:val="00707218"/>
    <w:rsid w:val="00715C1D"/>
    <w:rsid w:val="007369E6"/>
    <w:rsid w:val="00746E59"/>
    <w:rsid w:val="0075305F"/>
    <w:rsid w:val="00753D9E"/>
    <w:rsid w:val="00754C9A"/>
    <w:rsid w:val="0075599A"/>
    <w:rsid w:val="00761D52"/>
    <w:rsid w:val="00776AB9"/>
    <w:rsid w:val="0077749E"/>
    <w:rsid w:val="00780C3A"/>
    <w:rsid w:val="00790ADA"/>
    <w:rsid w:val="007C4BAF"/>
    <w:rsid w:val="007D2288"/>
    <w:rsid w:val="007D6919"/>
    <w:rsid w:val="007E088F"/>
    <w:rsid w:val="007E630D"/>
    <w:rsid w:val="007F7B32"/>
    <w:rsid w:val="00803419"/>
    <w:rsid w:val="00804BC2"/>
    <w:rsid w:val="00804CE9"/>
    <w:rsid w:val="0081431A"/>
    <w:rsid w:val="00817539"/>
    <w:rsid w:val="008235D7"/>
    <w:rsid w:val="0083216F"/>
    <w:rsid w:val="0084285A"/>
    <w:rsid w:val="00860000"/>
    <w:rsid w:val="00863BD3"/>
    <w:rsid w:val="008641ED"/>
    <w:rsid w:val="00866D66"/>
    <w:rsid w:val="008671C6"/>
    <w:rsid w:val="00875803"/>
    <w:rsid w:val="008A7C91"/>
    <w:rsid w:val="008B18A5"/>
    <w:rsid w:val="008B459E"/>
    <w:rsid w:val="008E13AE"/>
    <w:rsid w:val="008E1506"/>
    <w:rsid w:val="008E710C"/>
    <w:rsid w:val="008F15A4"/>
    <w:rsid w:val="008F69D6"/>
    <w:rsid w:val="008F6F72"/>
    <w:rsid w:val="00900C7A"/>
    <w:rsid w:val="00902823"/>
    <w:rsid w:val="0090794F"/>
    <w:rsid w:val="00915CA6"/>
    <w:rsid w:val="00927834"/>
    <w:rsid w:val="00936466"/>
    <w:rsid w:val="0094386A"/>
    <w:rsid w:val="009500A6"/>
    <w:rsid w:val="00957C18"/>
    <w:rsid w:val="009659BA"/>
    <w:rsid w:val="00983040"/>
    <w:rsid w:val="009A79E4"/>
    <w:rsid w:val="009B3FB9"/>
    <w:rsid w:val="009C2465"/>
    <w:rsid w:val="009C736E"/>
    <w:rsid w:val="009D35A0"/>
    <w:rsid w:val="009D740A"/>
    <w:rsid w:val="009D7EB7"/>
    <w:rsid w:val="009E048A"/>
    <w:rsid w:val="009E08E9"/>
    <w:rsid w:val="009E3DB9"/>
    <w:rsid w:val="009E6E35"/>
    <w:rsid w:val="009F0EDA"/>
    <w:rsid w:val="009F19A7"/>
    <w:rsid w:val="00A03B96"/>
    <w:rsid w:val="00A05B19"/>
    <w:rsid w:val="00A1134E"/>
    <w:rsid w:val="00A128F6"/>
    <w:rsid w:val="00A24E7E"/>
    <w:rsid w:val="00A258C3"/>
    <w:rsid w:val="00A347C0"/>
    <w:rsid w:val="00A51431"/>
    <w:rsid w:val="00A539AD"/>
    <w:rsid w:val="00A54271"/>
    <w:rsid w:val="00A56197"/>
    <w:rsid w:val="00A62588"/>
    <w:rsid w:val="00A94063"/>
    <w:rsid w:val="00AA6219"/>
    <w:rsid w:val="00AA74E0"/>
    <w:rsid w:val="00AB703F"/>
    <w:rsid w:val="00AC6BB8"/>
    <w:rsid w:val="00AE008F"/>
    <w:rsid w:val="00AF340F"/>
    <w:rsid w:val="00B01FCD"/>
    <w:rsid w:val="00B051F3"/>
    <w:rsid w:val="00B1739C"/>
    <w:rsid w:val="00B1776C"/>
    <w:rsid w:val="00B311B8"/>
    <w:rsid w:val="00B52583"/>
    <w:rsid w:val="00B52896"/>
    <w:rsid w:val="00B5775D"/>
    <w:rsid w:val="00B67A71"/>
    <w:rsid w:val="00B90F8D"/>
    <w:rsid w:val="00B95236"/>
    <w:rsid w:val="00B96BD9"/>
    <w:rsid w:val="00BA1B01"/>
    <w:rsid w:val="00BA2641"/>
    <w:rsid w:val="00BB37AA"/>
    <w:rsid w:val="00BB54F2"/>
    <w:rsid w:val="00BC53A0"/>
    <w:rsid w:val="00BC596B"/>
    <w:rsid w:val="00BE62AD"/>
    <w:rsid w:val="00BF121F"/>
    <w:rsid w:val="00BF19F5"/>
    <w:rsid w:val="00BF1F80"/>
    <w:rsid w:val="00C05749"/>
    <w:rsid w:val="00C166EF"/>
    <w:rsid w:val="00C17EB0"/>
    <w:rsid w:val="00C27F5F"/>
    <w:rsid w:val="00C30A0F"/>
    <w:rsid w:val="00C37E61"/>
    <w:rsid w:val="00C519DA"/>
    <w:rsid w:val="00C542B9"/>
    <w:rsid w:val="00C65BE3"/>
    <w:rsid w:val="00C70F1B"/>
    <w:rsid w:val="00C71A47"/>
    <w:rsid w:val="00C7464C"/>
    <w:rsid w:val="00C8007D"/>
    <w:rsid w:val="00C85588"/>
    <w:rsid w:val="00CD6755"/>
    <w:rsid w:val="00CD6856"/>
    <w:rsid w:val="00CE0089"/>
    <w:rsid w:val="00CE793C"/>
    <w:rsid w:val="00CF193C"/>
    <w:rsid w:val="00CF37DB"/>
    <w:rsid w:val="00D05032"/>
    <w:rsid w:val="00D10E48"/>
    <w:rsid w:val="00D12D30"/>
    <w:rsid w:val="00D173F1"/>
    <w:rsid w:val="00D34406"/>
    <w:rsid w:val="00D36E8C"/>
    <w:rsid w:val="00D74CB0"/>
    <w:rsid w:val="00D8295D"/>
    <w:rsid w:val="00DA24E2"/>
    <w:rsid w:val="00DA31AE"/>
    <w:rsid w:val="00DB47F8"/>
    <w:rsid w:val="00DC2A65"/>
    <w:rsid w:val="00DC3A63"/>
    <w:rsid w:val="00DE15F0"/>
    <w:rsid w:val="00DE5663"/>
    <w:rsid w:val="00DE78AA"/>
    <w:rsid w:val="00E053D0"/>
    <w:rsid w:val="00E11FDC"/>
    <w:rsid w:val="00E12763"/>
    <w:rsid w:val="00E15994"/>
    <w:rsid w:val="00E3114E"/>
    <w:rsid w:val="00E31A70"/>
    <w:rsid w:val="00E32AF1"/>
    <w:rsid w:val="00E35B02"/>
    <w:rsid w:val="00E37E4E"/>
    <w:rsid w:val="00E63D94"/>
    <w:rsid w:val="00E66496"/>
    <w:rsid w:val="00E66B35"/>
    <w:rsid w:val="00E66E10"/>
    <w:rsid w:val="00E769F6"/>
    <w:rsid w:val="00E8407C"/>
    <w:rsid w:val="00E84F3C"/>
    <w:rsid w:val="00EA012C"/>
    <w:rsid w:val="00EC6A55"/>
    <w:rsid w:val="00ED0288"/>
    <w:rsid w:val="00EE3F0A"/>
    <w:rsid w:val="00EE52CB"/>
    <w:rsid w:val="00EE602C"/>
    <w:rsid w:val="00EF581D"/>
    <w:rsid w:val="00EF7FD8"/>
    <w:rsid w:val="00F06F59"/>
    <w:rsid w:val="00F17988"/>
    <w:rsid w:val="00F3240C"/>
    <w:rsid w:val="00F469F0"/>
    <w:rsid w:val="00F47E16"/>
    <w:rsid w:val="00F5153E"/>
    <w:rsid w:val="00F53273"/>
    <w:rsid w:val="00F755E4"/>
    <w:rsid w:val="00F77D02"/>
    <w:rsid w:val="00F9762B"/>
    <w:rsid w:val="00FA5068"/>
    <w:rsid w:val="00FB3A86"/>
    <w:rsid w:val="00FD285A"/>
    <w:rsid w:val="00FD36C8"/>
    <w:rsid w:val="00FF3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D8B578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yperlink" Target="https://doi.org/10.1007/s40122-023-00507-z" TargetMode="External"/><Relationship Id="rId21" Type="http://schemas.openxmlformats.org/officeDocument/2006/relationships/hyperlink" Target="https://doi.org/10.1093/annonc/mdy152"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sjpain.2017.04.073" TargetMode="External"/><Relationship Id="rId33" Type="http://schemas.openxmlformats.org/officeDocument/2006/relationships/header" Target="head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doi.org/10.20986/resed.2024.4099/2023" TargetMode="External"/><Relationship Id="rId29" Type="http://schemas.openxmlformats.org/officeDocument/2006/relationships/hyperlink" Target="https://doi.org/10.2147/LCTT.S1925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3349/ymj.2012.53.3.649" TargetMode="External"/><Relationship Id="rId32" Type="http://schemas.openxmlformats.org/officeDocument/2006/relationships/hyperlink" Target="https://iris.who.int/handle/10665/274559"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3344/kjp.2014.27.2.139" TargetMode="External"/><Relationship Id="rId28" Type="http://schemas.openxmlformats.org/officeDocument/2006/relationships/hyperlink" Target="https://doi.org/10.1002/1878-0261.13591" TargetMode="External"/><Relationship Id="rId36" Type="http://schemas.openxmlformats.org/officeDocument/2006/relationships/header" Target="header6.xml"/><Relationship Id="rId10" Type="http://schemas.openxmlformats.org/officeDocument/2006/relationships/footer" Target="footer1.xml"/><Relationship Id="rId19" Type="http://schemas.openxmlformats.org/officeDocument/2006/relationships/hyperlink" Target="https://doi.org/10.1093/bja/aew026" TargetMode="External"/><Relationship Id="rId31" Type="http://schemas.openxmlformats.org/officeDocument/2006/relationships/hyperlink" Target="https://doi.org/10.1016/j.medipa.2015.02.00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21037/apm-23-433" TargetMode="External"/><Relationship Id="rId27" Type="http://schemas.openxmlformats.org/officeDocument/2006/relationships/hyperlink" Target="https://doi.org/10.1016/S0140-6736(11)60236-5" TargetMode="External"/><Relationship Id="rId30" Type="http://schemas.openxmlformats.org/officeDocument/2006/relationships/hyperlink" Target="https://doi.org/10.3390/jcm14165788" TargetMode="External"/><Relationship Id="rId35"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D86EE-A0B3-4BBE-95AF-E57E9EB42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131</TotalTime>
  <Pages>8</Pages>
  <Words>2659</Words>
  <Characters>15161</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17785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100</cp:revision>
  <cp:lastPrinted>1999-07-06T11:00:00Z</cp:lastPrinted>
  <dcterms:created xsi:type="dcterms:W3CDTF">2025-12-05T13:43:00Z</dcterms:created>
  <dcterms:modified xsi:type="dcterms:W3CDTF">2025-12-10T14:15:00Z</dcterms:modified>
</cp:coreProperties>
</file>