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ED652" w14:textId="2BCAC4E3" w:rsidR="00A7310E" w:rsidRDefault="00330FC1">
      <w:pPr>
        <w:pStyle w:val="Title"/>
        <w:spacing w:after="0"/>
        <w:jc w:val="both"/>
        <w:rPr>
          <w:rFonts w:ascii="Arial" w:eastAsia="Arial" w:hAnsi="Arial" w:cs="Arial"/>
        </w:rPr>
      </w:pPr>
      <w:r w:rsidRPr="00330FC1">
        <w:rPr>
          <w:rFonts w:ascii="Arial" w:eastAsia="Arial" w:hAnsi="Arial" w:cs="Arial"/>
        </w:rPr>
        <w:t>Original Research Article</w:t>
      </w:r>
    </w:p>
    <w:p w14:paraId="09A55D27" w14:textId="77777777" w:rsidR="00330FC1" w:rsidRDefault="00330FC1" w:rsidP="00330FC1"/>
    <w:p w14:paraId="25457FD1" w14:textId="77777777" w:rsidR="00330FC1" w:rsidRPr="00330FC1" w:rsidRDefault="00330FC1" w:rsidP="00330FC1"/>
    <w:p w14:paraId="1990E9DF" w14:textId="77777777" w:rsidR="00A7310E" w:rsidRDefault="000616A3">
      <w:pPr>
        <w:pBdr>
          <w:top w:val="nil"/>
          <w:left w:val="nil"/>
          <w:bottom w:val="nil"/>
          <w:right w:val="nil"/>
          <w:between w:val="nil"/>
        </w:pBdr>
        <w:jc w:val="right"/>
        <w:rPr>
          <w:rFonts w:ascii="Arial" w:eastAsia="Arial" w:hAnsi="Arial" w:cs="Arial"/>
          <w:b/>
          <w:bCs/>
          <w:sz w:val="36"/>
          <w:szCs w:val="36"/>
        </w:rPr>
      </w:pPr>
      <w:r>
        <w:rPr>
          <w:rFonts w:ascii="Arial" w:eastAsia="Arial" w:hAnsi="Arial" w:cs="Arial"/>
          <w:b/>
          <w:bCs/>
          <w:sz w:val="36"/>
          <w:szCs w:val="36"/>
        </w:rPr>
        <w:t>Vulvovaginal Candidiasis: Lifestyle Habits that Favor Recurrent Infection in Medical Students</w:t>
      </w:r>
    </w:p>
    <w:p w14:paraId="6768E0EF" w14:textId="77777777" w:rsidR="00A7310E" w:rsidRDefault="00A7310E">
      <w:pPr>
        <w:pBdr>
          <w:top w:val="nil"/>
          <w:left w:val="nil"/>
          <w:bottom w:val="nil"/>
          <w:right w:val="nil"/>
          <w:between w:val="nil"/>
        </w:pBdr>
        <w:jc w:val="both"/>
        <w:rPr>
          <w:rFonts w:ascii="Arial" w:eastAsia="Arial" w:hAnsi="Arial" w:cs="Arial"/>
          <w:b/>
          <w:bCs/>
          <w:sz w:val="36"/>
          <w:szCs w:val="36"/>
        </w:rPr>
      </w:pPr>
    </w:p>
    <w:p w14:paraId="6A6D8E5E" w14:textId="77777777" w:rsidR="00A7310E" w:rsidRDefault="00A7310E">
      <w:pPr>
        <w:pBdr>
          <w:top w:val="nil"/>
          <w:left w:val="nil"/>
          <w:bottom w:val="nil"/>
          <w:right w:val="nil"/>
          <w:between w:val="nil"/>
        </w:pBdr>
        <w:jc w:val="right"/>
        <w:rPr>
          <w:rFonts w:ascii="Arial" w:eastAsia="Arial" w:hAnsi="Arial" w:cs="Arial"/>
          <w:i/>
          <w:iCs/>
          <w:color w:val="0000FF"/>
          <w:sz w:val="16"/>
          <w:szCs w:val="16"/>
        </w:rPr>
      </w:pPr>
    </w:p>
    <w:p w14:paraId="07FB98F3" w14:textId="77777777" w:rsidR="00A7310E" w:rsidRDefault="000616A3">
      <w:pPr>
        <w:pBdr>
          <w:top w:val="nil"/>
          <w:left w:val="nil"/>
          <w:bottom w:val="nil"/>
          <w:right w:val="nil"/>
          <w:between w:val="nil"/>
        </w:pBdr>
        <w:jc w:val="both"/>
        <w:rPr>
          <w:rFonts w:ascii="Arial" w:eastAsia="Arial" w:hAnsi="Arial" w:cs="Arial"/>
          <w:color w:val="0000FF"/>
          <w:sz w:val="16"/>
          <w:szCs w:val="16"/>
        </w:rPr>
        <w:sectPr w:rsidR="00A7310E" w:rsidSect="00131A97">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FF"/>
          <w:sz w:val="16"/>
          <w:szCs w:val="16"/>
        </w:rPr>
        <mc:AlternateContent>
          <mc:Choice Requires="wpg">
            <w:drawing>
              <wp:inline distT="0" distB="0" distL="114300" distR="114300" wp14:anchorId="0EE9AE92" wp14:editId="35DAC618">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FF"/>
          <w:sz w:val="16"/>
          <w:szCs w:val="16"/>
        </w:rPr>
        <w:t>.</w:t>
      </w:r>
    </w:p>
    <w:p w14:paraId="5A274BDC" w14:textId="77777777" w:rsidR="00A7310E" w:rsidRDefault="000616A3">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 xml:space="preserve">ABSTRACT </w:t>
      </w:r>
    </w:p>
    <w:p w14:paraId="30962FDB" w14:textId="77777777" w:rsidR="00A7310E" w:rsidRDefault="00A7310E">
      <w:pPr>
        <w:keepNext/>
        <w:pBdr>
          <w:top w:val="nil"/>
          <w:left w:val="nil"/>
          <w:bottom w:val="nil"/>
          <w:right w:val="nil"/>
          <w:between w:val="nil"/>
        </w:pBdr>
        <w:jc w:val="both"/>
        <w:rPr>
          <w:rFonts w:ascii="Arial" w:eastAsia="Arial" w:hAnsi="Arial" w:cs="Arial"/>
          <w:b/>
          <w:bCs/>
          <w:smallCaps/>
          <w:color w:val="0000FF"/>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7310E" w14:paraId="70550D7D" w14:textId="77777777">
        <w:tc>
          <w:tcPr>
            <w:tcW w:w="8424" w:type="dxa"/>
            <w:shd w:val="clear" w:color="auto" w:fill="F2F2F2"/>
          </w:tcPr>
          <w:p w14:paraId="0CB6C4D8"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 xml:space="preserve">Aims: </w:t>
            </w:r>
            <w:r>
              <w:rPr>
                <w:rFonts w:ascii="Arial" w:eastAsia="Arial" w:hAnsi="Arial" w:cs="Arial"/>
              </w:rPr>
              <w:t>Identify lifestyle habits and risk factors associated with CVV in medical students.</w:t>
            </w:r>
          </w:p>
          <w:p w14:paraId="5AAA559A"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Study design:</w:t>
            </w:r>
            <w:r>
              <w:rPr>
                <w:rFonts w:ascii="Arial" w:eastAsia="Arial" w:hAnsi="Arial" w:cs="Arial"/>
              </w:rPr>
              <w:t xml:space="preserve">  Observational, cross-sectional, and quantitative study conducted between May and June 2025. </w:t>
            </w:r>
          </w:p>
          <w:p w14:paraId="53A2EB8E"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 xml:space="preserve">Place and Duration of Study: </w:t>
            </w:r>
            <w:r>
              <w:rPr>
                <w:rFonts w:ascii="Arial" w:eastAsia="Arial" w:hAnsi="Arial" w:cs="Arial"/>
              </w:rPr>
              <w:t xml:space="preserve">The study was conducted through an online questionnaire which was applied for female students from the Medicine course at the University of </w:t>
            </w:r>
            <w:proofErr w:type="spellStart"/>
            <w:r>
              <w:rPr>
                <w:rFonts w:ascii="Arial" w:eastAsia="Arial" w:hAnsi="Arial" w:cs="Arial"/>
              </w:rPr>
              <w:t>Gurupi</w:t>
            </w:r>
            <w:proofErr w:type="spellEnd"/>
            <w:r>
              <w:rPr>
                <w:rFonts w:ascii="Arial" w:eastAsia="Arial" w:hAnsi="Arial" w:cs="Arial"/>
              </w:rPr>
              <w:t xml:space="preserve"> (</w:t>
            </w:r>
            <w:proofErr w:type="spellStart"/>
            <w:r>
              <w:rPr>
                <w:rFonts w:ascii="Arial" w:eastAsia="Arial" w:hAnsi="Arial" w:cs="Arial"/>
              </w:rPr>
              <w:t>UnirG</w:t>
            </w:r>
            <w:proofErr w:type="spellEnd"/>
            <w:r>
              <w:rPr>
                <w:rFonts w:ascii="Arial" w:eastAsia="Arial" w:hAnsi="Arial" w:cs="Arial"/>
              </w:rPr>
              <w:t xml:space="preserve">), placed in </w:t>
            </w:r>
            <w:proofErr w:type="spellStart"/>
            <w:r>
              <w:rPr>
                <w:rFonts w:ascii="Arial" w:eastAsia="Arial" w:hAnsi="Arial" w:cs="Arial"/>
              </w:rPr>
              <w:t>Gurupi</w:t>
            </w:r>
            <w:proofErr w:type="spellEnd"/>
            <w:r>
              <w:rPr>
                <w:rFonts w:ascii="Arial" w:eastAsia="Arial" w:hAnsi="Arial" w:cs="Arial"/>
              </w:rPr>
              <w:t>, from the state of Tocantins in Brazil. The responses were obtained from May to June 2025.</w:t>
            </w:r>
          </w:p>
          <w:p w14:paraId="2C339508"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Methodology:</w:t>
            </w:r>
            <w:r>
              <w:rPr>
                <w:rFonts w:ascii="Arial" w:eastAsia="Arial" w:hAnsi="Arial" w:cs="Arial"/>
              </w:rPr>
              <w:t xml:space="preserve"> A cross-sectional, quantitative study was conducted with 93 female students from the Medicine course at the University of </w:t>
            </w:r>
            <w:proofErr w:type="spellStart"/>
            <w:r>
              <w:rPr>
                <w:rFonts w:ascii="Arial" w:eastAsia="Arial" w:hAnsi="Arial" w:cs="Arial"/>
              </w:rPr>
              <w:t>Gurupi</w:t>
            </w:r>
            <w:proofErr w:type="spellEnd"/>
            <w:r>
              <w:rPr>
                <w:rFonts w:ascii="Arial" w:eastAsia="Arial" w:hAnsi="Arial" w:cs="Arial"/>
              </w:rPr>
              <w:t xml:space="preserve"> (</w:t>
            </w:r>
            <w:proofErr w:type="spellStart"/>
            <w:r>
              <w:rPr>
                <w:rFonts w:ascii="Arial" w:eastAsia="Arial" w:hAnsi="Arial" w:cs="Arial"/>
              </w:rPr>
              <w:t>UnirG</w:t>
            </w:r>
            <w:proofErr w:type="spellEnd"/>
            <w:r>
              <w:rPr>
                <w:rFonts w:ascii="Arial" w:eastAsia="Arial" w:hAnsi="Arial" w:cs="Arial"/>
              </w:rPr>
              <w:t>), included and selected through intentional (non-probabilistic) sampling. Data were collected using a 20-question online questionnaire with mandatory responses, and analyzed through prevalence ratios (PR) with 95% confidence intervals (95% CI).</w:t>
            </w:r>
          </w:p>
          <w:p w14:paraId="51E923B4"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 xml:space="preserve">Results: </w:t>
            </w:r>
            <w:r>
              <w:rPr>
                <w:rFonts w:ascii="Arial Unicode MS" w:eastAsia="Arial Unicode MS" w:hAnsi="Arial Unicode MS" w:cs="Arial Unicode MS"/>
              </w:rPr>
              <w:t>The prevalence of VVC was 58.1%, and recurrent VVC (≥4 episodes/year) was 9.7%. Over half of those with previous VVC reported an increase in episodes after entering medical school (51.8%), and 32.2% linked episodes to academic stress. Negative impacts on sleep (90.3%) and diet (86%) were frequent, and 64.8% reported self-medication with antifungals. Poorer diet showed the strongest association with increased VVC episodes (PR=2.11; 95%CI: 0.57–7.</w:t>
            </w:r>
            <w:proofErr w:type="gramStart"/>
            <w:r>
              <w:rPr>
                <w:rFonts w:ascii="Arial Unicode MS" w:eastAsia="Arial Unicode MS" w:hAnsi="Arial Unicode MS" w:cs="Arial Unicode MS"/>
              </w:rPr>
              <w:t>86 ;</w:t>
            </w:r>
            <w:proofErr w:type="gramEnd"/>
            <w:r>
              <w:rPr>
                <w:rFonts w:ascii="Arial Unicode MS" w:eastAsia="Arial Unicode MS" w:hAnsi="Arial Unicode MS" w:cs="Arial Unicode MS"/>
              </w:rPr>
              <w:t xml:space="preserve"> </w:t>
            </w:r>
            <w:r>
              <w:rPr>
                <w:rFonts w:ascii="Arial" w:eastAsia="Arial" w:hAnsi="Arial" w:cs="Arial"/>
                <w:i/>
                <w:iCs/>
              </w:rPr>
              <w:t xml:space="preserve">P </w:t>
            </w:r>
            <w:r>
              <w:rPr>
                <w:rFonts w:ascii="Arial" w:eastAsia="Arial" w:hAnsi="Arial" w:cs="Arial"/>
              </w:rPr>
              <w:t xml:space="preserve">= 0,357). Negative impacts on sleep, not changing clothes after exercise, and staying up all night to study also showed PRs &gt;1, indicating a trend toward increased risk. In contrast, academic overload and sleeping less than eight hours showed PRs &lt;1, suggesting a potential protective effect. </w:t>
            </w:r>
          </w:p>
          <w:p w14:paraId="780B9B63"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Conclusion:</w:t>
            </w:r>
            <w:r>
              <w:rPr>
                <w:rFonts w:ascii="Arial" w:eastAsia="Arial" w:hAnsi="Arial" w:cs="Arial"/>
              </w:rPr>
              <w:t xml:space="preserve"> The study shows that the relationship between academic life, lifestyle habits, and recurrent vulvovaginal candidiasis is multifactorial and influenced by individual and social factors. These findings highlight the need for educational strategies on personal health, rational antimicrobial use, and, when possible, psychosocial support for university students.</w:t>
            </w:r>
          </w:p>
        </w:tc>
      </w:tr>
    </w:tbl>
    <w:p w14:paraId="09F35D3D" w14:textId="77777777" w:rsidR="00A7310E" w:rsidRDefault="00A7310E">
      <w:pPr>
        <w:pBdr>
          <w:top w:val="nil"/>
          <w:left w:val="nil"/>
          <w:bottom w:val="nil"/>
          <w:right w:val="nil"/>
          <w:between w:val="nil"/>
        </w:pBdr>
        <w:jc w:val="both"/>
        <w:rPr>
          <w:rFonts w:ascii="Arial" w:eastAsia="Arial" w:hAnsi="Arial" w:cs="Arial"/>
          <w:i/>
          <w:iCs/>
          <w:color w:val="0000FF"/>
        </w:rPr>
      </w:pPr>
    </w:p>
    <w:p w14:paraId="584CA521" w14:textId="1652F39D" w:rsidR="00A7310E" w:rsidRDefault="000616A3">
      <w:pPr>
        <w:pBdr>
          <w:top w:val="nil"/>
          <w:left w:val="nil"/>
          <w:bottom w:val="nil"/>
          <w:right w:val="nil"/>
          <w:between w:val="nil"/>
        </w:pBdr>
        <w:jc w:val="both"/>
        <w:rPr>
          <w:rFonts w:ascii="Arial" w:eastAsia="Arial" w:hAnsi="Arial" w:cs="Arial"/>
          <w:i/>
          <w:iCs/>
        </w:rPr>
      </w:pPr>
      <w:r>
        <w:rPr>
          <w:rFonts w:ascii="Arial" w:eastAsia="Arial" w:hAnsi="Arial" w:cs="Arial"/>
          <w:i/>
          <w:iCs/>
        </w:rPr>
        <w:t xml:space="preserve">Keywords: Candidiasis, Candida </w:t>
      </w:r>
      <w:proofErr w:type="spellStart"/>
      <w:proofErr w:type="gramStart"/>
      <w:r>
        <w:rPr>
          <w:rFonts w:ascii="Arial" w:eastAsia="Arial" w:hAnsi="Arial" w:cs="Arial"/>
          <w:i/>
          <w:iCs/>
        </w:rPr>
        <w:t>sp</w:t>
      </w:r>
      <w:proofErr w:type="spellEnd"/>
      <w:r>
        <w:rPr>
          <w:rFonts w:ascii="Arial" w:eastAsia="Arial" w:hAnsi="Arial" w:cs="Arial"/>
          <w:i/>
          <w:iCs/>
        </w:rPr>
        <w:t>..Vulvovaginitis</w:t>
      </w:r>
      <w:proofErr w:type="gramEnd"/>
      <w:r>
        <w:rPr>
          <w:rFonts w:ascii="Arial" w:eastAsia="Arial" w:hAnsi="Arial" w:cs="Arial"/>
          <w:i/>
          <w:iCs/>
        </w:rPr>
        <w:t>.</w:t>
      </w:r>
    </w:p>
    <w:p w14:paraId="075887BC" w14:textId="77777777" w:rsidR="00131A97" w:rsidRDefault="00131A97">
      <w:pPr>
        <w:pBdr>
          <w:top w:val="nil"/>
          <w:left w:val="nil"/>
          <w:bottom w:val="nil"/>
          <w:right w:val="nil"/>
          <w:between w:val="nil"/>
        </w:pBdr>
        <w:jc w:val="both"/>
        <w:rPr>
          <w:rFonts w:ascii="Arial" w:eastAsia="Arial" w:hAnsi="Arial" w:cs="Arial"/>
          <w:i/>
          <w:iCs/>
        </w:rPr>
      </w:pPr>
    </w:p>
    <w:p w14:paraId="0F67D721" w14:textId="77777777" w:rsidR="00A7310E" w:rsidRDefault="000616A3">
      <w:pPr>
        <w:keepNext/>
        <w:jc w:val="both"/>
        <w:rPr>
          <w:rFonts w:ascii="Arial" w:eastAsia="Arial" w:hAnsi="Arial" w:cs="Arial"/>
          <w:b/>
          <w:bCs/>
          <w:smallCaps/>
          <w:sz w:val="22"/>
          <w:szCs w:val="22"/>
        </w:rPr>
      </w:pPr>
      <w:r>
        <w:rPr>
          <w:rFonts w:ascii="Arial" w:eastAsia="Arial" w:hAnsi="Arial" w:cs="Arial"/>
          <w:b/>
          <w:bCs/>
          <w:smallCaps/>
          <w:sz w:val="22"/>
          <w:szCs w:val="22"/>
        </w:rPr>
        <w:t>1. Introduction</w:t>
      </w:r>
    </w:p>
    <w:p w14:paraId="1DB4D54C" w14:textId="77777777" w:rsidR="00A7310E" w:rsidRDefault="00A7310E">
      <w:pPr>
        <w:keepNext/>
        <w:pBdr>
          <w:top w:val="nil"/>
          <w:left w:val="nil"/>
          <w:bottom w:val="nil"/>
          <w:right w:val="nil"/>
          <w:between w:val="nil"/>
        </w:pBdr>
        <w:jc w:val="both"/>
        <w:rPr>
          <w:rFonts w:ascii="Arial" w:eastAsia="Arial" w:hAnsi="Arial" w:cs="Arial"/>
          <w:b/>
          <w:bCs/>
          <w:smallCaps/>
          <w:color w:val="0000FF"/>
          <w:sz w:val="22"/>
          <w:szCs w:val="22"/>
        </w:rPr>
      </w:pPr>
    </w:p>
    <w:p w14:paraId="3D6782F3"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 xml:space="preserve">Vulvovaginal candidiasis (VVC) is one of the most common gynecological infections in women of reproductive age, accounting for approximately 20% to 25% of cases of vulvovaginitis. It is estimated that approximately 75% of women will experience at least one episode in their lifetime, and between 5% and 9% will develop recurrent vulvovaginal candidiasis (RVVC), characterized by four or more episodes per year (SILVA et al., 2023; CARVALHO et al., 2024). The most frequent symptoms are intense itching, whitish discharge, vulvar burning, and dyspareunia, with a significant impact on women's quality of life related to emotional and sexual aspects (FERREIRA et al., 2024). </w:t>
      </w:r>
    </w:p>
    <w:p w14:paraId="471782E9" w14:textId="77777777" w:rsidR="00A7310E" w:rsidRDefault="00A7310E">
      <w:pPr>
        <w:pBdr>
          <w:top w:val="nil"/>
          <w:left w:val="nil"/>
          <w:bottom w:val="nil"/>
          <w:right w:val="nil"/>
          <w:between w:val="nil"/>
        </w:pBdr>
        <w:jc w:val="both"/>
        <w:rPr>
          <w:rFonts w:ascii="Arial" w:eastAsia="Arial" w:hAnsi="Arial" w:cs="Arial"/>
        </w:rPr>
      </w:pPr>
    </w:p>
    <w:p w14:paraId="6C060E4B"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Given the high prevalence and clinical impact of VVC, it is essential to investigate predisposing factors. The analysis of lifestyle habits in medical students can contribute to a better understanding of the disease and to the development of more effective preventive and therapeutic strategies in this target population. According to Elias et al. (2023), the main factors associated with vulvovaginal candidiasis are diabetes mellitus, pregnancy, antibiotic use, sexual activity, immunosuppression, contraceptive use, other medications, and immunodeficiency conditions.   </w:t>
      </w:r>
    </w:p>
    <w:p w14:paraId="3F5F316E" w14:textId="77777777" w:rsidR="00A7310E" w:rsidRDefault="00A7310E">
      <w:pPr>
        <w:jc w:val="both"/>
        <w:rPr>
          <w:rFonts w:ascii="Arial" w:eastAsia="Arial" w:hAnsi="Arial" w:cs="Arial"/>
        </w:rPr>
      </w:pPr>
    </w:p>
    <w:p w14:paraId="41F82F3D" w14:textId="77777777" w:rsidR="00A7310E" w:rsidRDefault="000616A3">
      <w:pPr>
        <w:jc w:val="both"/>
        <w:rPr>
          <w:rFonts w:ascii="Arial" w:eastAsia="Arial" w:hAnsi="Arial" w:cs="Arial"/>
        </w:rPr>
      </w:pPr>
      <w:r>
        <w:rPr>
          <w:rFonts w:ascii="Arial" w:eastAsia="Arial" w:hAnsi="Arial" w:cs="Arial"/>
        </w:rPr>
        <w:t xml:space="preserve">Although the literature describes multiple factors associated with recurrent candidiasis, there are few studies evaluating this phenomenon in young female university students, especially medical students, who have a routine marked by stress and sleep deprivation. Healthcare students, especially medical students, are exposed to a stressful routine that favors the aggravation of risk factors and harmful lifestyle habits, such as poor diet, physical inactivity, sleep disturbances, stress, mental disorders, as well as alcoholism and smoking (KANUF et al., 2024).       </w:t>
      </w:r>
    </w:p>
    <w:p w14:paraId="69390EAD" w14:textId="77777777" w:rsidR="00A7310E" w:rsidRDefault="00A7310E">
      <w:pPr>
        <w:jc w:val="both"/>
        <w:rPr>
          <w:rFonts w:ascii="Arial" w:eastAsia="Arial" w:hAnsi="Arial" w:cs="Arial"/>
        </w:rPr>
      </w:pPr>
    </w:p>
    <w:p w14:paraId="4CF4E2AE" w14:textId="77777777" w:rsidR="00A7310E" w:rsidRDefault="000616A3">
      <w:pPr>
        <w:jc w:val="both"/>
        <w:rPr>
          <w:rFonts w:ascii="Arial" w:eastAsia="Arial" w:hAnsi="Arial" w:cs="Arial"/>
        </w:rPr>
      </w:pPr>
      <w:r>
        <w:rPr>
          <w:rFonts w:ascii="Arial" w:eastAsia="Arial" w:hAnsi="Arial" w:cs="Arial"/>
        </w:rPr>
        <w:t xml:space="preserve">Chronic stress can modulate immunity, altering local and systemic responses that increase susceptibility to opportunistic infections. Among university students, academic stress has been linked to an increase in infectious symptoms and worsening sleep and eating habits—factors that, together, can predispose individuals to episodes of VVC (LIMA et al., 2018).           </w:t>
      </w:r>
    </w:p>
    <w:p w14:paraId="69A91343" w14:textId="77777777" w:rsidR="00A7310E" w:rsidRDefault="00A7310E">
      <w:pPr>
        <w:jc w:val="both"/>
        <w:rPr>
          <w:rFonts w:ascii="Arial" w:eastAsia="Arial" w:hAnsi="Arial" w:cs="Arial"/>
        </w:rPr>
      </w:pPr>
    </w:p>
    <w:p w14:paraId="1654DA51" w14:textId="77777777" w:rsidR="00A7310E" w:rsidRDefault="000616A3">
      <w:pPr>
        <w:jc w:val="both"/>
        <w:rPr>
          <w:rFonts w:ascii="Arial" w:eastAsia="Arial" w:hAnsi="Arial" w:cs="Arial"/>
        </w:rPr>
      </w:pPr>
      <w:r>
        <w:rPr>
          <w:rFonts w:ascii="Arial" w:eastAsia="Arial" w:hAnsi="Arial" w:cs="Arial"/>
        </w:rPr>
        <w:t>Given this, the present study aims to analyze the association between lifestyle habits—including sleep, diet, alcohol, tobacco, and medication use—and the occurrence of recurrent vulvovaginal candidiasis in medical students at a university in southern Tocantins, with an emphasis on modifiable practices and subjective perceptions of relationships with the academic environment. The study seeks to provide data on risk factors that may be targeted for preventive interventions in this population.</w:t>
      </w:r>
    </w:p>
    <w:p w14:paraId="50481B42" w14:textId="77777777" w:rsidR="00A7310E" w:rsidRDefault="00A7310E">
      <w:pPr>
        <w:pBdr>
          <w:top w:val="nil"/>
          <w:left w:val="nil"/>
          <w:bottom w:val="nil"/>
          <w:right w:val="nil"/>
          <w:between w:val="nil"/>
        </w:pBdr>
        <w:jc w:val="both"/>
        <w:rPr>
          <w:rFonts w:ascii="Arial" w:eastAsia="Arial" w:hAnsi="Arial" w:cs="Arial"/>
        </w:rPr>
      </w:pPr>
    </w:p>
    <w:p w14:paraId="794A97E7" w14:textId="77777777" w:rsidR="00A7310E" w:rsidRDefault="00A7310E">
      <w:pPr>
        <w:pBdr>
          <w:top w:val="nil"/>
          <w:left w:val="nil"/>
          <w:bottom w:val="nil"/>
          <w:right w:val="nil"/>
          <w:between w:val="nil"/>
        </w:pBdr>
        <w:jc w:val="both"/>
        <w:rPr>
          <w:rFonts w:ascii="Arial" w:eastAsia="Arial" w:hAnsi="Arial" w:cs="Arial"/>
        </w:rPr>
      </w:pPr>
    </w:p>
    <w:p w14:paraId="3DB26C75" w14:textId="77777777" w:rsidR="00A7310E" w:rsidRDefault="000616A3">
      <w:pPr>
        <w:keepNext/>
        <w:jc w:val="both"/>
        <w:rPr>
          <w:rFonts w:ascii="Arial" w:eastAsia="Arial" w:hAnsi="Arial" w:cs="Arial"/>
          <w:b/>
          <w:bCs/>
          <w:smallCaps/>
          <w:color w:val="000000"/>
          <w:sz w:val="22"/>
          <w:szCs w:val="22"/>
        </w:rPr>
      </w:pPr>
      <w:r>
        <w:rPr>
          <w:rFonts w:ascii="Arial" w:eastAsia="Arial" w:hAnsi="Arial" w:cs="Arial"/>
          <w:b/>
          <w:bCs/>
          <w:smallCaps/>
          <w:sz w:val="22"/>
          <w:szCs w:val="22"/>
        </w:rPr>
        <w:t>2. Methodology</w:t>
      </w:r>
    </w:p>
    <w:p w14:paraId="00F7A1F2" w14:textId="77777777" w:rsidR="00A7310E" w:rsidRDefault="00A7310E">
      <w:pPr>
        <w:pBdr>
          <w:top w:val="nil"/>
          <w:left w:val="nil"/>
          <w:bottom w:val="nil"/>
          <w:right w:val="nil"/>
          <w:between w:val="nil"/>
        </w:pBdr>
        <w:jc w:val="both"/>
        <w:rPr>
          <w:rFonts w:ascii="Arial" w:eastAsia="Arial" w:hAnsi="Arial" w:cs="Arial"/>
          <w:color w:val="0000FF"/>
        </w:rPr>
      </w:pPr>
    </w:p>
    <w:p w14:paraId="370C616F" w14:textId="77777777" w:rsidR="00A7310E" w:rsidRDefault="000616A3">
      <w:pPr>
        <w:jc w:val="both"/>
        <w:rPr>
          <w:rFonts w:ascii="Arial" w:eastAsia="Arial" w:hAnsi="Arial" w:cs="Arial"/>
        </w:rPr>
      </w:pPr>
      <w:r>
        <w:rPr>
          <w:rFonts w:ascii="Arial" w:eastAsia="Arial" w:hAnsi="Arial" w:cs="Arial"/>
        </w:rPr>
        <w:t>This is an observational, cross-sectional, quantitative study designed to investigate lifestyle habits and risk factors associated with CVV in medical students. The cross-sectional design was selected because it allows for simultaneous assessment of exposures and the outcome of interest in the study population.</w:t>
      </w:r>
    </w:p>
    <w:p w14:paraId="7102B2B8" w14:textId="77777777" w:rsidR="00A7310E" w:rsidRDefault="00A7310E">
      <w:pPr>
        <w:jc w:val="both"/>
        <w:rPr>
          <w:rFonts w:ascii="Arial" w:eastAsia="Arial" w:hAnsi="Arial" w:cs="Arial"/>
        </w:rPr>
      </w:pPr>
    </w:p>
    <w:p w14:paraId="0F8F2885" w14:textId="77777777" w:rsidR="00A7310E" w:rsidRDefault="000616A3">
      <w:pPr>
        <w:jc w:val="both"/>
        <w:rPr>
          <w:rFonts w:ascii="Arial" w:eastAsia="Arial" w:hAnsi="Arial" w:cs="Arial"/>
        </w:rPr>
      </w:pPr>
      <w:r>
        <w:rPr>
          <w:rFonts w:ascii="Arial" w:eastAsia="Arial" w:hAnsi="Arial" w:cs="Arial"/>
        </w:rPr>
        <w:t xml:space="preserve">The study was conducted at the Faculty of Medicine of the University of </w:t>
      </w:r>
      <w:proofErr w:type="spellStart"/>
      <w:r>
        <w:rPr>
          <w:rFonts w:ascii="Arial" w:eastAsia="Arial" w:hAnsi="Arial" w:cs="Arial"/>
        </w:rPr>
        <w:t>Gurupi</w:t>
      </w:r>
      <w:proofErr w:type="spellEnd"/>
      <w:r>
        <w:rPr>
          <w:rFonts w:ascii="Arial" w:eastAsia="Arial" w:hAnsi="Arial" w:cs="Arial"/>
        </w:rPr>
        <w:t xml:space="preserve"> (</w:t>
      </w:r>
      <w:proofErr w:type="spellStart"/>
      <w:r>
        <w:rPr>
          <w:rFonts w:ascii="Arial" w:eastAsia="Arial" w:hAnsi="Arial" w:cs="Arial"/>
        </w:rPr>
        <w:t>UnirG</w:t>
      </w:r>
      <w:proofErr w:type="spellEnd"/>
      <w:r>
        <w:rPr>
          <w:rFonts w:ascii="Arial" w:eastAsia="Arial" w:hAnsi="Arial" w:cs="Arial"/>
        </w:rPr>
        <w:t xml:space="preserve">), located in </w:t>
      </w:r>
      <w:proofErr w:type="spellStart"/>
      <w:r>
        <w:rPr>
          <w:rFonts w:ascii="Arial" w:eastAsia="Arial" w:hAnsi="Arial" w:cs="Arial"/>
        </w:rPr>
        <w:t>Gurupi</w:t>
      </w:r>
      <w:proofErr w:type="spellEnd"/>
      <w:r>
        <w:rPr>
          <w:rFonts w:ascii="Arial" w:eastAsia="Arial" w:hAnsi="Arial" w:cs="Arial"/>
        </w:rPr>
        <w:t>, Tocantins, Brazil. The stages of the project took place between February 2025 and November 2026, with data collection conducted specifically from May to June 2025. The research involved students linked to the campus in the city of Gurupi.</w:t>
      </w:r>
    </w:p>
    <w:p w14:paraId="02122A8C" w14:textId="77777777" w:rsidR="00A7310E" w:rsidRDefault="00A7310E">
      <w:pPr>
        <w:pBdr>
          <w:top w:val="nil"/>
          <w:left w:val="nil"/>
          <w:bottom w:val="nil"/>
          <w:right w:val="nil"/>
          <w:between w:val="nil"/>
        </w:pBdr>
        <w:jc w:val="both"/>
        <w:rPr>
          <w:rFonts w:ascii="Arial" w:eastAsia="Arial" w:hAnsi="Arial" w:cs="Arial"/>
        </w:rPr>
      </w:pPr>
    </w:p>
    <w:p w14:paraId="0DF6E121"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 xml:space="preserve">The target population consisted of female students enrolled between the 1st and 12th semesters of the medical course. Those who agreed to participate voluntarily, signed the Free and Informed Consent Form (FICF), and had an active institutional email address were considered eligible. Participants who did not sign or agree to the FICF, male students, as they did not belong to the epidemiologically relevant group for the outcome investigated, and students without an active academic connection to the </w:t>
      </w:r>
      <w:proofErr w:type="spellStart"/>
      <w:r>
        <w:rPr>
          <w:rFonts w:ascii="Arial" w:eastAsia="Arial" w:hAnsi="Arial" w:cs="Arial"/>
        </w:rPr>
        <w:t>UnirG</w:t>
      </w:r>
      <w:proofErr w:type="spellEnd"/>
      <w:r>
        <w:rPr>
          <w:rFonts w:ascii="Arial" w:eastAsia="Arial" w:hAnsi="Arial" w:cs="Arial"/>
        </w:rPr>
        <w:t xml:space="preserve"> medical course were excluded. </w:t>
      </w:r>
    </w:p>
    <w:p w14:paraId="53275F2B" w14:textId="77777777" w:rsidR="00A7310E" w:rsidRDefault="00A7310E">
      <w:pPr>
        <w:jc w:val="both"/>
        <w:rPr>
          <w:rFonts w:ascii="Arial" w:eastAsia="Arial" w:hAnsi="Arial" w:cs="Arial"/>
        </w:rPr>
      </w:pPr>
    </w:p>
    <w:p w14:paraId="287ADD99" w14:textId="77777777" w:rsidR="00A7310E" w:rsidRDefault="000616A3">
      <w:pPr>
        <w:jc w:val="both"/>
        <w:rPr>
          <w:rFonts w:ascii="Arial" w:eastAsia="Arial" w:hAnsi="Arial" w:cs="Arial"/>
        </w:rPr>
      </w:pPr>
      <w:r>
        <w:rPr>
          <w:rFonts w:ascii="Arial" w:eastAsia="Arial" w:hAnsi="Arial" w:cs="Arial"/>
        </w:rPr>
        <w:t>Participants were recruited through in-person invitations made on the institution's premises, including classrooms and common areas, as well as additional publicity through the extension project “</w:t>
      </w:r>
      <w:proofErr w:type="spellStart"/>
      <w:r>
        <w:rPr>
          <w:rFonts w:ascii="Arial" w:eastAsia="Arial" w:hAnsi="Arial" w:cs="Arial"/>
        </w:rPr>
        <w:t>Papo</w:t>
      </w:r>
      <w:proofErr w:type="spellEnd"/>
      <w:r>
        <w:rPr>
          <w:rFonts w:ascii="Arial" w:eastAsia="Arial" w:hAnsi="Arial" w:cs="Arial"/>
        </w:rPr>
        <w:t xml:space="preserve"> </w:t>
      </w:r>
      <w:proofErr w:type="spellStart"/>
      <w:r>
        <w:rPr>
          <w:rFonts w:ascii="Arial" w:eastAsia="Arial" w:hAnsi="Arial" w:cs="Arial"/>
        </w:rPr>
        <w:t>Calcinha</w:t>
      </w:r>
      <w:proofErr w:type="spellEnd"/>
      <w:r>
        <w:rPr>
          <w:rFonts w:ascii="Arial" w:eastAsia="Arial" w:hAnsi="Arial" w:cs="Arial"/>
        </w:rPr>
        <w:t xml:space="preserve"> e </w:t>
      </w:r>
      <w:proofErr w:type="spellStart"/>
      <w:r>
        <w:rPr>
          <w:rFonts w:ascii="Arial" w:eastAsia="Arial" w:hAnsi="Arial" w:cs="Arial"/>
        </w:rPr>
        <w:t>Candidíase</w:t>
      </w:r>
      <w:proofErr w:type="spellEnd"/>
      <w:r>
        <w:rPr>
          <w:rFonts w:ascii="Arial" w:eastAsia="Arial" w:hAnsi="Arial" w:cs="Arial"/>
        </w:rPr>
        <w:t xml:space="preserve">” (Panties and Candidiasis Chat) on Instagram. The total number of eligible students was 400, of whom 93 agreed to participate, resulting in a final sample of 93 participants. </w:t>
      </w:r>
    </w:p>
    <w:p w14:paraId="0C93FC6B" w14:textId="77777777" w:rsidR="00A7310E" w:rsidRDefault="00A7310E">
      <w:pPr>
        <w:jc w:val="both"/>
        <w:rPr>
          <w:rFonts w:ascii="Arial" w:eastAsia="Arial" w:hAnsi="Arial" w:cs="Arial"/>
        </w:rPr>
      </w:pPr>
    </w:p>
    <w:p w14:paraId="24475370" w14:textId="77777777" w:rsidR="00A7310E" w:rsidRDefault="000616A3">
      <w:pPr>
        <w:jc w:val="both"/>
        <w:rPr>
          <w:rFonts w:ascii="Arial" w:eastAsia="Arial" w:hAnsi="Arial" w:cs="Arial"/>
        </w:rPr>
      </w:pPr>
      <w:r>
        <w:rPr>
          <w:rFonts w:ascii="Arial" w:eastAsia="Arial" w:hAnsi="Arial" w:cs="Arial"/>
        </w:rPr>
        <w:t xml:space="preserve">The sampling method used was intentional (non-probabilistic), chosen because the target population was restricted and clearly defined, and the sensitive nature of the research required voluntary and informed participation. Probabilistic methods would have resulted in low adherence and practical unfeasibility in the context studied. </w:t>
      </w:r>
    </w:p>
    <w:p w14:paraId="5F58BCDD" w14:textId="77777777" w:rsidR="00A7310E" w:rsidRDefault="00A7310E">
      <w:pPr>
        <w:jc w:val="both"/>
        <w:rPr>
          <w:rFonts w:ascii="Arial" w:eastAsia="Arial" w:hAnsi="Arial" w:cs="Arial"/>
        </w:rPr>
      </w:pPr>
    </w:p>
    <w:p w14:paraId="6A524792" w14:textId="77777777" w:rsidR="00A7310E" w:rsidRDefault="000616A3">
      <w:pPr>
        <w:jc w:val="both"/>
        <w:rPr>
          <w:rFonts w:ascii="Arial" w:eastAsia="Arial" w:hAnsi="Arial" w:cs="Arial"/>
        </w:rPr>
      </w:pPr>
      <w:r>
        <w:rPr>
          <w:rFonts w:ascii="Arial" w:eastAsia="Arial" w:hAnsi="Arial" w:cs="Arial"/>
        </w:rPr>
        <w:t>The study variables were defined in advance. The primary outcome was the increased occurrence of self-reported CVV episodes during undergraduate studies. The exposure variables included the impact of college on sleep, the impact of college on eating, college overload, sleep &lt;8 hours per night, the habit of returning from physical activity to college without changing clothes, and the habit of spending nights studying.</w:t>
      </w:r>
    </w:p>
    <w:p w14:paraId="71908B58" w14:textId="77777777" w:rsidR="00A7310E" w:rsidRDefault="00A7310E">
      <w:pPr>
        <w:pBdr>
          <w:top w:val="nil"/>
          <w:left w:val="nil"/>
          <w:bottom w:val="nil"/>
          <w:right w:val="nil"/>
          <w:between w:val="nil"/>
        </w:pBdr>
        <w:jc w:val="both"/>
        <w:rPr>
          <w:rFonts w:ascii="Arial" w:eastAsia="Arial" w:hAnsi="Arial" w:cs="Arial"/>
        </w:rPr>
      </w:pPr>
    </w:p>
    <w:p w14:paraId="513EB0F8"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Data collection was performed using an online questionnaire consisting of 20 mandatory multiple-choice questions, administered via Google Forms. The instrument was developed by the authors and administered in a standardized manner to all participants.</w:t>
      </w:r>
    </w:p>
    <w:p w14:paraId="6D17F9A0" w14:textId="77777777" w:rsidR="00A7310E" w:rsidRDefault="00A7310E">
      <w:pPr>
        <w:jc w:val="both"/>
        <w:rPr>
          <w:rFonts w:ascii="Arial" w:eastAsia="Arial" w:hAnsi="Arial" w:cs="Arial"/>
        </w:rPr>
      </w:pPr>
    </w:p>
    <w:p w14:paraId="4BD05FAB" w14:textId="77777777" w:rsidR="00A7310E" w:rsidRDefault="000616A3">
      <w:pPr>
        <w:jc w:val="both"/>
        <w:rPr>
          <w:rFonts w:ascii="Arial" w:eastAsia="Arial" w:hAnsi="Arial" w:cs="Arial"/>
        </w:rPr>
      </w:pPr>
      <w:r>
        <w:rPr>
          <w:rFonts w:ascii="Arial" w:eastAsia="Arial" w:hAnsi="Arial" w:cs="Arial"/>
        </w:rPr>
        <w:t>To minimize bias, strategies such as standardization of the instrument, self-administered application, and broad recruitment were adopted. However, potential inherent biases were considered, including selection bias resulting from intentional sampling and memory bias in self-reported responses. Regarding missing data, there were no missing data due to the mandatory nature of the responses in the form.</w:t>
      </w:r>
    </w:p>
    <w:p w14:paraId="13F2F65F" w14:textId="77777777" w:rsidR="00A7310E" w:rsidRDefault="00A7310E">
      <w:pPr>
        <w:jc w:val="both"/>
        <w:rPr>
          <w:rFonts w:ascii="Arial" w:eastAsia="Arial" w:hAnsi="Arial" w:cs="Arial"/>
        </w:rPr>
      </w:pPr>
    </w:p>
    <w:p w14:paraId="6AE2466B" w14:textId="77777777" w:rsidR="00A7310E" w:rsidRDefault="000616A3">
      <w:pPr>
        <w:jc w:val="both"/>
        <w:rPr>
          <w:rFonts w:ascii="Arial" w:eastAsia="Arial" w:hAnsi="Arial" w:cs="Arial"/>
        </w:rPr>
      </w:pPr>
      <w:r>
        <w:rPr>
          <w:rFonts w:ascii="Arial Unicode MS" w:eastAsia="Arial Unicode MS" w:hAnsi="Arial Unicode MS" w:cs="Arial Unicode MS"/>
        </w:rPr>
        <w:t>Statistical analysis was performed using manual calculations with basic epidemiological formulas. Prevalence ratios (PR) were estimated with their respective 95% confidence intervals (95% CI), as well as p-values, considering statistical significance of p ≤ 0.05. The analyses were performed manually in Microsoft Excel® spreadsheets, without the use of regression models or multivariate adjustments, since the objective of the study was descriptive and exploratory.</w:t>
      </w:r>
    </w:p>
    <w:p w14:paraId="05B461A6" w14:textId="77777777" w:rsidR="00A7310E" w:rsidRDefault="00A7310E">
      <w:pPr>
        <w:pBdr>
          <w:top w:val="nil"/>
          <w:left w:val="nil"/>
          <w:bottom w:val="nil"/>
          <w:right w:val="nil"/>
          <w:between w:val="nil"/>
        </w:pBdr>
        <w:jc w:val="both"/>
        <w:rPr>
          <w:rFonts w:ascii="Arial" w:eastAsia="Arial" w:hAnsi="Arial" w:cs="Arial"/>
        </w:rPr>
      </w:pPr>
    </w:p>
    <w:p w14:paraId="7412CAA2"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 xml:space="preserve">The study was approved by the Research Ethics Committee of the University of </w:t>
      </w:r>
      <w:proofErr w:type="spellStart"/>
      <w:r>
        <w:rPr>
          <w:rFonts w:ascii="Arial" w:eastAsia="Arial" w:hAnsi="Arial" w:cs="Arial"/>
        </w:rPr>
        <w:t>Gurupi</w:t>
      </w:r>
      <w:proofErr w:type="spellEnd"/>
      <w:r>
        <w:rPr>
          <w:rFonts w:ascii="Arial" w:eastAsia="Arial" w:hAnsi="Arial" w:cs="Arial"/>
        </w:rPr>
        <w:t xml:space="preserve"> (</w:t>
      </w:r>
      <w:proofErr w:type="spellStart"/>
      <w:r>
        <w:rPr>
          <w:rFonts w:ascii="Arial" w:eastAsia="Arial" w:hAnsi="Arial" w:cs="Arial"/>
        </w:rPr>
        <w:t>UnirG</w:t>
      </w:r>
      <w:proofErr w:type="spellEnd"/>
      <w:r>
        <w:rPr>
          <w:rFonts w:ascii="Arial" w:eastAsia="Arial" w:hAnsi="Arial" w:cs="Arial"/>
        </w:rPr>
        <w:t>), under No. 7.506.597, and was conducted in accordance with current ethical principles. All participants provided free and informed consent.</w:t>
      </w:r>
    </w:p>
    <w:p w14:paraId="0FF4A4F0" w14:textId="77777777" w:rsidR="00A7310E" w:rsidRDefault="00A7310E">
      <w:pPr>
        <w:keepNext/>
        <w:pBdr>
          <w:top w:val="nil"/>
          <w:left w:val="nil"/>
          <w:bottom w:val="nil"/>
          <w:right w:val="nil"/>
          <w:between w:val="nil"/>
        </w:pBdr>
        <w:jc w:val="both"/>
        <w:rPr>
          <w:rFonts w:ascii="Arial" w:eastAsia="Arial" w:hAnsi="Arial" w:cs="Arial"/>
        </w:rPr>
      </w:pPr>
    </w:p>
    <w:p w14:paraId="376836DF" w14:textId="77777777" w:rsidR="00A7310E" w:rsidRDefault="00A7310E">
      <w:pPr>
        <w:keepNext/>
        <w:pBdr>
          <w:top w:val="nil"/>
          <w:left w:val="nil"/>
          <w:bottom w:val="nil"/>
          <w:right w:val="nil"/>
          <w:between w:val="nil"/>
        </w:pBdr>
        <w:jc w:val="both"/>
        <w:rPr>
          <w:rFonts w:ascii="Arial" w:eastAsia="Arial" w:hAnsi="Arial" w:cs="Arial"/>
        </w:rPr>
      </w:pPr>
    </w:p>
    <w:p w14:paraId="340DDEE1" w14:textId="77777777" w:rsidR="00A7310E" w:rsidRDefault="000616A3">
      <w:pPr>
        <w:keepNext/>
        <w:jc w:val="both"/>
        <w:rPr>
          <w:rFonts w:ascii="Arial" w:eastAsia="Arial" w:hAnsi="Arial" w:cs="Arial"/>
        </w:rPr>
      </w:pPr>
      <w:r>
        <w:rPr>
          <w:rFonts w:ascii="Arial" w:eastAsia="Arial" w:hAnsi="Arial" w:cs="Arial"/>
          <w:b/>
          <w:bCs/>
          <w:smallCaps/>
          <w:sz w:val="22"/>
          <w:szCs w:val="22"/>
        </w:rPr>
        <w:t>3. Results and discussion</w:t>
      </w:r>
    </w:p>
    <w:p w14:paraId="132C3DB9" w14:textId="77777777" w:rsidR="00A7310E" w:rsidRDefault="00A7310E">
      <w:pPr>
        <w:pBdr>
          <w:top w:val="nil"/>
          <w:left w:val="nil"/>
          <w:bottom w:val="nil"/>
          <w:right w:val="nil"/>
          <w:between w:val="nil"/>
        </w:pBdr>
        <w:jc w:val="both"/>
        <w:rPr>
          <w:rFonts w:ascii="Arial" w:eastAsia="Arial" w:hAnsi="Arial" w:cs="Arial"/>
        </w:rPr>
      </w:pPr>
    </w:p>
    <w:p w14:paraId="2348AFD6" w14:textId="77777777" w:rsidR="00A7310E" w:rsidRDefault="000616A3">
      <w:pPr>
        <w:jc w:val="both"/>
        <w:rPr>
          <w:rFonts w:ascii="Arial" w:eastAsia="Arial" w:hAnsi="Arial" w:cs="Arial"/>
        </w:rPr>
      </w:pPr>
      <w:r>
        <w:rPr>
          <w:rFonts w:ascii="Arial" w:eastAsia="Arial" w:hAnsi="Arial" w:cs="Arial"/>
        </w:rPr>
        <w:t xml:space="preserve">Regarding the question “Have you ever had candidiasis?”, most students, 54 (58.1%), answered “YES.” Thirty-four of them (36.6%) answered “NO,” and 5.4% answered “I DON’T KNOW.” Based on the data obtained, it was observed that five medical students reported not knowing whether they had ever had vulvovaginal candidiasis (VVC). This data may indicate a persistent difficulty among women, including those in higher education, in recognizing the difference between physiological and pathological secretions. This difficulty is common and still present even among female university students in the health field, as shown by a study conducted with 179 students from the Medicine, Nursing, and Physiotherapy courses at the Federal University of Campina Grande, which found that only 35% correctly identified the typical symptoms of candidiasis, and more than half confused physiological discharge with abnormal “discharge” (SANTOS et al., 2022). </w:t>
      </w:r>
    </w:p>
    <w:p w14:paraId="368E5F1D" w14:textId="77777777" w:rsidR="00A7310E" w:rsidRDefault="00A7310E">
      <w:pPr>
        <w:jc w:val="both"/>
        <w:rPr>
          <w:rFonts w:ascii="Arial" w:eastAsia="Arial" w:hAnsi="Arial" w:cs="Arial"/>
        </w:rPr>
      </w:pPr>
    </w:p>
    <w:p w14:paraId="0EE3A21F" w14:textId="77777777" w:rsidR="00A7310E" w:rsidRDefault="000616A3">
      <w:pPr>
        <w:jc w:val="both"/>
        <w:rPr>
          <w:rFonts w:ascii="Arial" w:eastAsia="Arial" w:hAnsi="Arial" w:cs="Arial"/>
        </w:rPr>
      </w:pPr>
      <w:r>
        <w:rPr>
          <w:rFonts w:ascii="Arial" w:eastAsia="Arial" w:hAnsi="Arial" w:cs="Arial"/>
        </w:rPr>
        <w:t xml:space="preserve">According to Table 1, we identified recurrent vulvovaginal candidiasis (RVVC) in 9.7% of the sample (09 students) in this study. The literature defines RVVC as four or more episodes per year. According to a recent integrative review, the estimated prevalence of RVVC in the general population of women of childbearing age ranges from 5% to 8%, being more common in patients with genetic predisposition, use of hormonal contraceptives, intestinal dysbiosis, </w:t>
      </w:r>
      <w:r>
        <w:rPr>
          <w:rFonts w:ascii="Arial" w:eastAsia="Arial" w:hAnsi="Arial" w:cs="Arial"/>
        </w:rPr>
        <w:lastRenderedPageBreak/>
        <w:t>and weakened immunity (SOBRINHO et al., 2023). The findings of this study indicate a higher prevalence than that described in the literature, suggesting that academic and behavioral factors specific to this group may be involved in their greater vulnerability.</w:t>
      </w:r>
    </w:p>
    <w:p w14:paraId="4DCF36C8" w14:textId="77777777" w:rsidR="00A7310E" w:rsidRDefault="00A7310E">
      <w:pPr>
        <w:jc w:val="both"/>
        <w:rPr>
          <w:rFonts w:ascii="Arial" w:eastAsia="Arial" w:hAnsi="Arial" w:cs="Arial"/>
        </w:rPr>
      </w:pPr>
    </w:p>
    <w:p w14:paraId="2175875A" w14:textId="77777777" w:rsidR="00A7310E" w:rsidRDefault="000616A3">
      <w:pPr>
        <w:tabs>
          <w:tab w:val="left" w:pos="1080"/>
        </w:tabs>
        <w:jc w:val="both"/>
        <w:rPr>
          <w:rFonts w:ascii="Arial" w:eastAsia="Arial" w:hAnsi="Arial" w:cs="Arial"/>
          <w:b/>
          <w:bCs/>
        </w:rPr>
      </w:pPr>
      <w:r>
        <w:rPr>
          <w:rFonts w:ascii="Arial" w:eastAsia="Arial" w:hAnsi="Arial" w:cs="Arial"/>
          <w:b/>
          <w:bCs/>
        </w:rPr>
        <w:t>Table 1.</w:t>
      </w:r>
      <w:r>
        <w:rPr>
          <w:rFonts w:ascii="Arial" w:eastAsia="Arial" w:hAnsi="Arial" w:cs="Arial"/>
          <w:b/>
          <w:bCs/>
        </w:rPr>
        <w:tab/>
        <w:t>Frequency of VVC episodes in the last 5 years (n = 93)</w:t>
      </w:r>
    </w:p>
    <w:p w14:paraId="34D6425D" w14:textId="77777777" w:rsidR="00A7310E" w:rsidRDefault="00A7310E">
      <w:pPr>
        <w:tabs>
          <w:tab w:val="left" w:pos="1080"/>
        </w:tabs>
        <w:jc w:val="both"/>
        <w:rPr>
          <w:rFonts w:ascii="Arial" w:eastAsia="Arial" w:hAnsi="Arial" w:cs="Arial"/>
          <w:b/>
          <w:bCs/>
        </w:rPr>
      </w:pPr>
    </w:p>
    <w:tbl>
      <w:tblPr>
        <w:tblStyle w:val="a0"/>
        <w:tblW w:w="7260" w:type="dxa"/>
        <w:jc w:val="center"/>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526"/>
        <w:gridCol w:w="1829"/>
        <w:gridCol w:w="1905"/>
      </w:tblGrid>
      <w:tr w:rsidR="00A7310E" w14:paraId="0CDA150C" w14:textId="77777777">
        <w:trPr>
          <w:jc w:val="center"/>
        </w:trPr>
        <w:tc>
          <w:tcPr>
            <w:tcW w:w="3525" w:type="dxa"/>
            <w:tcBorders>
              <w:bottom w:val="single" w:sz="4" w:space="0" w:color="000000"/>
            </w:tcBorders>
          </w:tcPr>
          <w:p w14:paraId="1ABCCC3E" w14:textId="77777777" w:rsidR="00A7310E" w:rsidRDefault="000616A3">
            <w:pPr>
              <w:jc w:val="both"/>
              <w:rPr>
                <w:rFonts w:ascii="Arial" w:eastAsia="Arial" w:hAnsi="Arial" w:cs="Arial"/>
                <w:b/>
                <w:bCs/>
              </w:rPr>
            </w:pPr>
            <w:r>
              <w:rPr>
                <w:rFonts w:ascii="Arial" w:eastAsia="Arial" w:hAnsi="Arial" w:cs="Arial"/>
                <w:b/>
                <w:bCs/>
              </w:rPr>
              <w:t>Frequency</w:t>
            </w:r>
          </w:p>
        </w:tc>
        <w:tc>
          <w:tcPr>
            <w:tcW w:w="1829" w:type="dxa"/>
            <w:tcBorders>
              <w:bottom w:val="single" w:sz="4" w:space="0" w:color="000000"/>
            </w:tcBorders>
          </w:tcPr>
          <w:p w14:paraId="57F433EC" w14:textId="77777777" w:rsidR="00A7310E" w:rsidRDefault="000616A3">
            <w:pPr>
              <w:jc w:val="both"/>
              <w:rPr>
                <w:rFonts w:ascii="Arial" w:eastAsia="Arial" w:hAnsi="Arial" w:cs="Arial"/>
                <w:b/>
                <w:bCs/>
              </w:rPr>
            </w:pPr>
            <w:r>
              <w:rPr>
                <w:rFonts w:ascii="Arial" w:eastAsia="Arial" w:hAnsi="Arial" w:cs="Arial"/>
                <w:b/>
                <w:bCs/>
              </w:rPr>
              <w:t>n</w:t>
            </w:r>
          </w:p>
        </w:tc>
        <w:tc>
          <w:tcPr>
            <w:tcW w:w="1905" w:type="dxa"/>
            <w:tcBorders>
              <w:bottom w:val="single" w:sz="4" w:space="0" w:color="000000"/>
            </w:tcBorders>
          </w:tcPr>
          <w:p w14:paraId="4E78D6ED" w14:textId="77777777" w:rsidR="00A7310E" w:rsidRDefault="000616A3">
            <w:pPr>
              <w:jc w:val="both"/>
              <w:rPr>
                <w:rFonts w:ascii="Arial" w:eastAsia="Arial" w:hAnsi="Arial" w:cs="Arial"/>
                <w:b/>
                <w:bCs/>
              </w:rPr>
            </w:pPr>
            <w:r>
              <w:rPr>
                <w:rFonts w:ascii="Arial" w:eastAsia="Arial" w:hAnsi="Arial" w:cs="Arial"/>
                <w:b/>
                <w:bCs/>
              </w:rPr>
              <w:t>%</w:t>
            </w:r>
          </w:p>
        </w:tc>
      </w:tr>
      <w:tr w:rsidR="00A7310E" w14:paraId="73D547AF" w14:textId="77777777">
        <w:trPr>
          <w:trHeight w:val="225"/>
          <w:jc w:val="center"/>
        </w:trPr>
        <w:tc>
          <w:tcPr>
            <w:tcW w:w="3525" w:type="dxa"/>
            <w:tcBorders>
              <w:bottom w:val="nil"/>
            </w:tcBorders>
          </w:tcPr>
          <w:p w14:paraId="256623C2" w14:textId="77777777" w:rsidR="00A7310E" w:rsidRDefault="000616A3">
            <w:pPr>
              <w:jc w:val="both"/>
              <w:rPr>
                <w:rFonts w:ascii="Arial" w:eastAsia="Arial" w:hAnsi="Arial" w:cs="Arial"/>
              </w:rPr>
            </w:pPr>
            <w:r>
              <w:rPr>
                <w:rFonts w:ascii="Arial" w:eastAsia="Arial" w:hAnsi="Arial" w:cs="Arial"/>
              </w:rPr>
              <w:t>Never</w:t>
            </w:r>
          </w:p>
        </w:tc>
        <w:tc>
          <w:tcPr>
            <w:tcW w:w="1829" w:type="dxa"/>
            <w:tcBorders>
              <w:bottom w:val="nil"/>
            </w:tcBorders>
          </w:tcPr>
          <w:p w14:paraId="5A769E5E" w14:textId="77777777" w:rsidR="00A7310E" w:rsidRDefault="000616A3">
            <w:pPr>
              <w:jc w:val="both"/>
              <w:rPr>
                <w:rFonts w:ascii="Arial" w:eastAsia="Arial" w:hAnsi="Arial" w:cs="Arial"/>
              </w:rPr>
            </w:pPr>
            <w:r>
              <w:rPr>
                <w:rFonts w:ascii="Arial" w:eastAsia="Arial" w:hAnsi="Arial" w:cs="Arial"/>
              </w:rPr>
              <w:t>44</w:t>
            </w:r>
          </w:p>
        </w:tc>
        <w:tc>
          <w:tcPr>
            <w:tcW w:w="1905" w:type="dxa"/>
            <w:tcBorders>
              <w:bottom w:val="nil"/>
            </w:tcBorders>
          </w:tcPr>
          <w:p w14:paraId="13A674A3" w14:textId="77777777" w:rsidR="00A7310E" w:rsidRDefault="000616A3">
            <w:pPr>
              <w:jc w:val="both"/>
              <w:rPr>
                <w:rFonts w:ascii="Arial" w:eastAsia="Arial" w:hAnsi="Arial" w:cs="Arial"/>
              </w:rPr>
            </w:pPr>
            <w:r>
              <w:rPr>
                <w:rFonts w:ascii="Arial" w:eastAsia="Arial" w:hAnsi="Arial" w:cs="Arial"/>
              </w:rPr>
              <w:t>47,3</w:t>
            </w:r>
          </w:p>
        </w:tc>
      </w:tr>
      <w:tr w:rsidR="00A7310E" w14:paraId="6C6314BE" w14:textId="77777777">
        <w:trPr>
          <w:trHeight w:val="255"/>
          <w:jc w:val="center"/>
        </w:trPr>
        <w:tc>
          <w:tcPr>
            <w:tcW w:w="3525" w:type="dxa"/>
            <w:tcBorders>
              <w:bottom w:val="nil"/>
            </w:tcBorders>
          </w:tcPr>
          <w:p w14:paraId="582C06CC" w14:textId="77777777" w:rsidR="00A7310E" w:rsidRDefault="000616A3">
            <w:pPr>
              <w:jc w:val="both"/>
              <w:rPr>
                <w:rFonts w:ascii="Arial" w:eastAsia="Arial" w:hAnsi="Arial" w:cs="Arial"/>
              </w:rPr>
            </w:pPr>
            <w:r>
              <w:rPr>
                <w:rFonts w:ascii="Arial" w:eastAsia="Arial" w:hAnsi="Arial" w:cs="Arial"/>
              </w:rPr>
              <w:t>1 episode per year</w:t>
            </w:r>
          </w:p>
        </w:tc>
        <w:tc>
          <w:tcPr>
            <w:tcW w:w="1829" w:type="dxa"/>
            <w:tcBorders>
              <w:bottom w:val="nil"/>
            </w:tcBorders>
          </w:tcPr>
          <w:p w14:paraId="2C0DB4A0" w14:textId="77777777" w:rsidR="00A7310E" w:rsidRDefault="000616A3">
            <w:pPr>
              <w:jc w:val="both"/>
              <w:rPr>
                <w:rFonts w:ascii="Arial" w:eastAsia="Arial" w:hAnsi="Arial" w:cs="Arial"/>
              </w:rPr>
            </w:pPr>
            <w:r>
              <w:rPr>
                <w:rFonts w:ascii="Arial" w:eastAsia="Arial" w:hAnsi="Arial" w:cs="Arial"/>
              </w:rPr>
              <w:t>24</w:t>
            </w:r>
          </w:p>
        </w:tc>
        <w:tc>
          <w:tcPr>
            <w:tcW w:w="1905" w:type="dxa"/>
            <w:tcBorders>
              <w:bottom w:val="nil"/>
            </w:tcBorders>
          </w:tcPr>
          <w:p w14:paraId="24D722E9" w14:textId="77777777" w:rsidR="00A7310E" w:rsidRDefault="000616A3">
            <w:pPr>
              <w:jc w:val="both"/>
              <w:rPr>
                <w:rFonts w:ascii="Arial" w:eastAsia="Arial" w:hAnsi="Arial" w:cs="Arial"/>
              </w:rPr>
            </w:pPr>
            <w:r>
              <w:rPr>
                <w:rFonts w:ascii="Arial" w:eastAsia="Arial" w:hAnsi="Arial" w:cs="Arial"/>
              </w:rPr>
              <w:t>25,8</w:t>
            </w:r>
          </w:p>
        </w:tc>
      </w:tr>
      <w:tr w:rsidR="00A7310E" w14:paraId="4E56B7F6" w14:textId="77777777">
        <w:trPr>
          <w:trHeight w:val="260"/>
          <w:jc w:val="center"/>
        </w:trPr>
        <w:tc>
          <w:tcPr>
            <w:tcW w:w="3525" w:type="dxa"/>
            <w:tcBorders>
              <w:bottom w:val="nil"/>
            </w:tcBorders>
          </w:tcPr>
          <w:p w14:paraId="301F9D88" w14:textId="77777777" w:rsidR="00A7310E" w:rsidRDefault="000616A3">
            <w:pPr>
              <w:jc w:val="both"/>
              <w:rPr>
                <w:rFonts w:ascii="Arial" w:eastAsia="Arial" w:hAnsi="Arial" w:cs="Arial"/>
              </w:rPr>
            </w:pPr>
            <w:r>
              <w:rPr>
                <w:rFonts w:ascii="Arial" w:eastAsia="Arial" w:hAnsi="Arial" w:cs="Arial"/>
              </w:rPr>
              <w:t>2 episodes per year</w:t>
            </w:r>
          </w:p>
        </w:tc>
        <w:tc>
          <w:tcPr>
            <w:tcW w:w="1829" w:type="dxa"/>
            <w:tcBorders>
              <w:bottom w:val="nil"/>
            </w:tcBorders>
          </w:tcPr>
          <w:p w14:paraId="47EB4272" w14:textId="77777777" w:rsidR="00A7310E" w:rsidRDefault="000616A3">
            <w:pPr>
              <w:jc w:val="both"/>
              <w:rPr>
                <w:rFonts w:ascii="Arial" w:eastAsia="Arial" w:hAnsi="Arial" w:cs="Arial"/>
              </w:rPr>
            </w:pPr>
            <w:r>
              <w:rPr>
                <w:rFonts w:ascii="Arial" w:eastAsia="Arial" w:hAnsi="Arial" w:cs="Arial"/>
              </w:rPr>
              <w:t>12</w:t>
            </w:r>
          </w:p>
        </w:tc>
        <w:tc>
          <w:tcPr>
            <w:tcW w:w="1905" w:type="dxa"/>
            <w:tcBorders>
              <w:bottom w:val="nil"/>
            </w:tcBorders>
          </w:tcPr>
          <w:p w14:paraId="2760F9AA" w14:textId="77777777" w:rsidR="00A7310E" w:rsidRDefault="000616A3">
            <w:pPr>
              <w:jc w:val="both"/>
              <w:rPr>
                <w:rFonts w:ascii="Arial" w:eastAsia="Arial" w:hAnsi="Arial" w:cs="Arial"/>
              </w:rPr>
            </w:pPr>
            <w:r>
              <w:rPr>
                <w:rFonts w:ascii="Arial" w:eastAsia="Arial" w:hAnsi="Arial" w:cs="Arial"/>
              </w:rPr>
              <w:t>12,9</w:t>
            </w:r>
          </w:p>
        </w:tc>
      </w:tr>
      <w:tr w:rsidR="00A7310E" w14:paraId="780BBEA2" w14:textId="77777777">
        <w:trPr>
          <w:jc w:val="center"/>
        </w:trPr>
        <w:tc>
          <w:tcPr>
            <w:tcW w:w="3525" w:type="dxa"/>
            <w:tcBorders>
              <w:top w:val="nil"/>
              <w:bottom w:val="nil"/>
            </w:tcBorders>
          </w:tcPr>
          <w:p w14:paraId="6FDC43F6" w14:textId="77777777" w:rsidR="00A7310E" w:rsidRDefault="000616A3">
            <w:pPr>
              <w:jc w:val="both"/>
              <w:rPr>
                <w:rFonts w:ascii="Arial" w:eastAsia="Arial" w:hAnsi="Arial" w:cs="Arial"/>
              </w:rPr>
            </w:pPr>
            <w:r>
              <w:rPr>
                <w:rFonts w:ascii="Arial" w:eastAsia="Arial" w:hAnsi="Arial" w:cs="Arial"/>
              </w:rPr>
              <w:t>3 episodes per year</w:t>
            </w:r>
          </w:p>
        </w:tc>
        <w:tc>
          <w:tcPr>
            <w:tcW w:w="1829" w:type="dxa"/>
            <w:tcBorders>
              <w:top w:val="nil"/>
              <w:bottom w:val="nil"/>
            </w:tcBorders>
          </w:tcPr>
          <w:p w14:paraId="70282E46" w14:textId="77777777" w:rsidR="00A7310E" w:rsidRDefault="000616A3">
            <w:pPr>
              <w:jc w:val="both"/>
              <w:rPr>
                <w:rFonts w:ascii="Arial" w:eastAsia="Arial" w:hAnsi="Arial" w:cs="Arial"/>
              </w:rPr>
            </w:pPr>
            <w:r>
              <w:rPr>
                <w:rFonts w:ascii="Arial" w:eastAsia="Arial" w:hAnsi="Arial" w:cs="Arial"/>
              </w:rPr>
              <w:t>4</w:t>
            </w:r>
          </w:p>
        </w:tc>
        <w:tc>
          <w:tcPr>
            <w:tcW w:w="1905" w:type="dxa"/>
            <w:tcBorders>
              <w:top w:val="nil"/>
              <w:bottom w:val="nil"/>
            </w:tcBorders>
          </w:tcPr>
          <w:p w14:paraId="508421A6" w14:textId="77777777" w:rsidR="00A7310E" w:rsidRDefault="000616A3">
            <w:pPr>
              <w:jc w:val="both"/>
              <w:rPr>
                <w:rFonts w:ascii="Arial" w:eastAsia="Arial" w:hAnsi="Arial" w:cs="Arial"/>
              </w:rPr>
            </w:pPr>
            <w:r>
              <w:rPr>
                <w:rFonts w:ascii="Arial" w:eastAsia="Arial" w:hAnsi="Arial" w:cs="Arial"/>
              </w:rPr>
              <w:t>4,3</w:t>
            </w:r>
          </w:p>
        </w:tc>
      </w:tr>
      <w:tr w:rsidR="00A7310E" w14:paraId="3B188B75" w14:textId="77777777">
        <w:trPr>
          <w:jc w:val="center"/>
        </w:trPr>
        <w:tc>
          <w:tcPr>
            <w:tcW w:w="3525" w:type="dxa"/>
            <w:tcBorders>
              <w:top w:val="nil"/>
              <w:bottom w:val="nil"/>
            </w:tcBorders>
          </w:tcPr>
          <w:p w14:paraId="759D4B2D" w14:textId="77777777" w:rsidR="00A7310E" w:rsidRDefault="000616A3">
            <w:pPr>
              <w:jc w:val="both"/>
              <w:rPr>
                <w:rFonts w:ascii="Arial" w:eastAsia="Arial" w:hAnsi="Arial" w:cs="Arial"/>
              </w:rPr>
            </w:pPr>
            <w:r>
              <w:rPr>
                <w:rFonts w:ascii="Arial" w:eastAsia="Arial" w:hAnsi="Arial" w:cs="Arial"/>
              </w:rPr>
              <w:t>4 episodes per year or more (RVVC)</w:t>
            </w:r>
          </w:p>
        </w:tc>
        <w:tc>
          <w:tcPr>
            <w:tcW w:w="1829" w:type="dxa"/>
            <w:tcBorders>
              <w:top w:val="nil"/>
              <w:bottom w:val="nil"/>
            </w:tcBorders>
          </w:tcPr>
          <w:p w14:paraId="2E5A0724" w14:textId="77777777" w:rsidR="00A7310E" w:rsidRDefault="000616A3">
            <w:pPr>
              <w:jc w:val="both"/>
              <w:rPr>
                <w:rFonts w:ascii="Arial" w:eastAsia="Arial" w:hAnsi="Arial" w:cs="Arial"/>
              </w:rPr>
            </w:pPr>
            <w:r>
              <w:rPr>
                <w:rFonts w:ascii="Arial" w:eastAsia="Arial" w:hAnsi="Arial" w:cs="Arial"/>
              </w:rPr>
              <w:t>9</w:t>
            </w:r>
          </w:p>
        </w:tc>
        <w:tc>
          <w:tcPr>
            <w:tcW w:w="1905" w:type="dxa"/>
            <w:tcBorders>
              <w:top w:val="nil"/>
              <w:bottom w:val="nil"/>
            </w:tcBorders>
          </w:tcPr>
          <w:p w14:paraId="4ED0CB6A" w14:textId="77777777" w:rsidR="00A7310E" w:rsidRDefault="000616A3">
            <w:pPr>
              <w:jc w:val="both"/>
              <w:rPr>
                <w:rFonts w:ascii="Arial" w:eastAsia="Arial" w:hAnsi="Arial" w:cs="Arial"/>
              </w:rPr>
            </w:pPr>
            <w:r>
              <w:rPr>
                <w:rFonts w:ascii="Arial" w:eastAsia="Arial" w:hAnsi="Arial" w:cs="Arial"/>
              </w:rPr>
              <w:t>9,7</w:t>
            </w:r>
          </w:p>
        </w:tc>
      </w:tr>
      <w:tr w:rsidR="00A7310E" w14:paraId="39A6B1B1" w14:textId="77777777">
        <w:trPr>
          <w:jc w:val="center"/>
        </w:trPr>
        <w:tc>
          <w:tcPr>
            <w:tcW w:w="3525" w:type="dxa"/>
            <w:tcBorders>
              <w:top w:val="nil"/>
              <w:bottom w:val="single" w:sz="4" w:space="0" w:color="000000"/>
            </w:tcBorders>
          </w:tcPr>
          <w:p w14:paraId="37AADB33" w14:textId="77777777" w:rsidR="00A7310E" w:rsidRDefault="00A7310E">
            <w:pPr>
              <w:jc w:val="both"/>
              <w:rPr>
                <w:rFonts w:ascii="Arial" w:eastAsia="Arial" w:hAnsi="Arial" w:cs="Arial"/>
              </w:rPr>
            </w:pPr>
          </w:p>
        </w:tc>
        <w:tc>
          <w:tcPr>
            <w:tcW w:w="1829" w:type="dxa"/>
            <w:tcBorders>
              <w:top w:val="nil"/>
              <w:bottom w:val="single" w:sz="4" w:space="0" w:color="000000"/>
            </w:tcBorders>
          </w:tcPr>
          <w:p w14:paraId="30A8093F" w14:textId="77777777" w:rsidR="00A7310E" w:rsidRDefault="00A7310E">
            <w:pPr>
              <w:jc w:val="both"/>
              <w:rPr>
                <w:rFonts w:ascii="Arial" w:eastAsia="Arial" w:hAnsi="Arial" w:cs="Arial"/>
              </w:rPr>
            </w:pPr>
          </w:p>
        </w:tc>
        <w:tc>
          <w:tcPr>
            <w:tcW w:w="1905" w:type="dxa"/>
            <w:tcBorders>
              <w:top w:val="nil"/>
              <w:bottom w:val="single" w:sz="4" w:space="0" w:color="000000"/>
            </w:tcBorders>
          </w:tcPr>
          <w:p w14:paraId="397787EF" w14:textId="77777777" w:rsidR="00A7310E" w:rsidRDefault="00A7310E">
            <w:pPr>
              <w:jc w:val="both"/>
              <w:rPr>
                <w:rFonts w:ascii="Arial" w:eastAsia="Arial" w:hAnsi="Arial" w:cs="Arial"/>
              </w:rPr>
            </w:pPr>
          </w:p>
        </w:tc>
      </w:tr>
    </w:tbl>
    <w:p w14:paraId="4AFBB349" w14:textId="77777777" w:rsidR="00A7310E" w:rsidRDefault="000616A3">
      <w:pPr>
        <w:tabs>
          <w:tab w:val="left" w:pos="1080"/>
        </w:tabs>
        <w:ind w:left="1080"/>
        <w:jc w:val="both"/>
        <w:rPr>
          <w:rFonts w:ascii="Arial" w:eastAsia="Arial" w:hAnsi="Arial" w:cs="Arial"/>
        </w:rPr>
      </w:pPr>
      <w:r>
        <w:rPr>
          <w:rFonts w:ascii="Arial" w:eastAsia="Arial" w:hAnsi="Arial" w:cs="Arial"/>
          <w:i/>
          <w:iCs/>
          <w:sz w:val="18"/>
          <w:szCs w:val="18"/>
        </w:rPr>
        <w:t>VVC= vulvovaginal candidiasis; RVVC= recurrent vulvovaginal candidiasis.</w:t>
      </w:r>
    </w:p>
    <w:p w14:paraId="3519C525" w14:textId="77777777" w:rsidR="00A7310E" w:rsidRDefault="00A7310E">
      <w:pPr>
        <w:pBdr>
          <w:top w:val="nil"/>
          <w:left w:val="nil"/>
          <w:bottom w:val="nil"/>
          <w:right w:val="nil"/>
          <w:between w:val="nil"/>
        </w:pBdr>
        <w:jc w:val="both"/>
        <w:rPr>
          <w:rFonts w:ascii="Arial" w:eastAsia="Arial" w:hAnsi="Arial" w:cs="Arial"/>
        </w:rPr>
      </w:pPr>
    </w:p>
    <w:p w14:paraId="38ACFD2D" w14:textId="77777777" w:rsidR="00A7310E" w:rsidRDefault="00A7310E">
      <w:pPr>
        <w:pBdr>
          <w:top w:val="nil"/>
          <w:left w:val="nil"/>
          <w:bottom w:val="nil"/>
          <w:right w:val="nil"/>
          <w:between w:val="nil"/>
        </w:pBdr>
        <w:jc w:val="both"/>
        <w:rPr>
          <w:rFonts w:ascii="Arial" w:eastAsia="Arial" w:hAnsi="Arial" w:cs="Arial"/>
        </w:rPr>
      </w:pPr>
    </w:p>
    <w:p w14:paraId="5F796DEE" w14:textId="77777777" w:rsidR="00A7310E" w:rsidRDefault="000616A3">
      <w:pPr>
        <w:jc w:val="both"/>
        <w:rPr>
          <w:rFonts w:ascii="Arial" w:eastAsia="Arial" w:hAnsi="Arial" w:cs="Arial"/>
        </w:rPr>
      </w:pPr>
      <w:r>
        <w:rPr>
          <w:rFonts w:ascii="Arial" w:eastAsia="Arial" w:hAnsi="Arial" w:cs="Arial"/>
        </w:rPr>
        <w:t>Regarding the question: “Has there been an increase in the frequency of CVV episodes since starting college?”, 28 participants answered ‘YES’ (51.8%). When asked: “Did you associate these episodes with stressful moments at college?”, thirty students answered “YES” (55.5%).</w:t>
      </w:r>
    </w:p>
    <w:p w14:paraId="507B2158" w14:textId="77777777" w:rsidR="00A7310E" w:rsidRDefault="00A7310E">
      <w:pPr>
        <w:jc w:val="both"/>
        <w:rPr>
          <w:rFonts w:ascii="Arial" w:eastAsia="Arial" w:hAnsi="Arial" w:cs="Arial"/>
        </w:rPr>
      </w:pPr>
    </w:p>
    <w:p w14:paraId="1EBB1DAA" w14:textId="77777777" w:rsidR="00A7310E" w:rsidRDefault="000616A3">
      <w:pPr>
        <w:jc w:val="both"/>
        <w:rPr>
          <w:rFonts w:ascii="Arial" w:eastAsia="Arial" w:hAnsi="Arial" w:cs="Arial"/>
        </w:rPr>
      </w:pPr>
      <w:r>
        <w:rPr>
          <w:rFonts w:ascii="Arial" w:eastAsia="Arial" w:hAnsi="Arial" w:cs="Arial"/>
        </w:rPr>
        <w:t>Regarding specific risk factors, aspects such as sleep and eating were addressed to explore the direct impacts of the college routine on the quality of life of those students. Among the responses, 90.3% reported a negative impact on sleep (moderate or strong) and 86% reported a negative impact on eating habits. Overall, 88.2% of participants reported emotional overload directly associated with college, while 79.6% reported overload due to external factors.</w:t>
      </w:r>
    </w:p>
    <w:p w14:paraId="0B6DBD6E" w14:textId="77777777" w:rsidR="00A7310E" w:rsidRDefault="00A7310E">
      <w:pPr>
        <w:jc w:val="both"/>
        <w:rPr>
          <w:rFonts w:ascii="Arial" w:eastAsia="Arial" w:hAnsi="Arial" w:cs="Arial"/>
        </w:rPr>
      </w:pPr>
    </w:p>
    <w:p w14:paraId="0C08E10F"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 xml:space="preserve">The existence of periods of significant stress during the course is supported by the literature, as demonstrated by a study of medical students in which 76% presented symptoms of emotional exhaustion and 60% reported high stress during exam cycles and clinical internships (OLIVEIRA et al., 2021).  This set of factors is associated with changes in the vaginal microbiota and a decrease in local immunity, favoring the growth of Candida </w:t>
      </w:r>
      <w:proofErr w:type="spellStart"/>
      <w:r>
        <w:rPr>
          <w:rFonts w:ascii="Arial" w:eastAsia="Arial" w:hAnsi="Arial" w:cs="Arial"/>
        </w:rPr>
        <w:t>spp</w:t>
      </w:r>
      <w:proofErr w:type="spellEnd"/>
      <w:r>
        <w:rPr>
          <w:rFonts w:ascii="Arial" w:eastAsia="Arial" w:hAnsi="Arial" w:cs="Arial"/>
        </w:rPr>
        <w:t xml:space="preserve"> (LIMA et al., 2018). </w:t>
      </w:r>
    </w:p>
    <w:p w14:paraId="4BAEA37D" w14:textId="77777777" w:rsidR="00A7310E" w:rsidRDefault="00A7310E">
      <w:pPr>
        <w:pBdr>
          <w:top w:val="nil"/>
          <w:left w:val="nil"/>
          <w:bottom w:val="nil"/>
          <w:right w:val="nil"/>
          <w:between w:val="nil"/>
        </w:pBdr>
        <w:jc w:val="both"/>
        <w:rPr>
          <w:rFonts w:ascii="Arial" w:eastAsia="Arial" w:hAnsi="Arial" w:cs="Arial"/>
        </w:rPr>
      </w:pPr>
    </w:p>
    <w:p w14:paraId="05C2BE3E" w14:textId="77777777" w:rsidR="00A7310E" w:rsidRDefault="000616A3">
      <w:pPr>
        <w:jc w:val="both"/>
        <w:rPr>
          <w:rFonts w:ascii="Arial" w:eastAsia="Arial" w:hAnsi="Arial" w:cs="Arial"/>
        </w:rPr>
      </w:pPr>
      <w:r>
        <w:rPr>
          <w:rFonts w:ascii="Arial" w:eastAsia="Arial" w:hAnsi="Arial" w:cs="Arial"/>
        </w:rPr>
        <w:t>Chronic stress is known to negatively interfere with immunity and hormone regulation, creating a physiological environment conducive to the proliferation of infections. Sleep disorders and chronic sleep deprivation aggravate this situation, as they affect innate and adaptive immunity and increase susceptibility to bacterial and fungal infections (BESSELS; IRWIN; OPP, 2019). Chronic stress can also affect intestinal barrier function and alter the composition of the intestinal microbiome, creating an environment conducive to the growth of opportunistic pathogens such as Candida. In addition, intestinal dysbiosis can also compromise the local and systemic immune response, increasing vulnerability to recurrent fungal infections (TSOGBAYAR; KORECKY, 2025).</w:t>
      </w:r>
    </w:p>
    <w:p w14:paraId="1B08FD1C" w14:textId="77777777" w:rsidR="00A7310E" w:rsidRDefault="00A7310E">
      <w:pPr>
        <w:jc w:val="both"/>
        <w:rPr>
          <w:rFonts w:ascii="Arial" w:eastAsia="Arial" w:hAnsi="Arial" w:cs="Arial"/>
        </w:rPr>
      </w:pPr>
    </w:p>
    <w:p w14:paraId="42E2D192"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 xml:space="preserve">Among the personal habits of female students as a whole, the study examined the use of panty liners (9.6%), unprotected sexual intercourse (31.2%), wearing underwear to bed (48.3%), the use of tight pants (52.6%), hygiene of the intimate region more than once a day with soap (66.6%), high consumption of foods rich in carbohydrates (76.3%), and the habit of returning from physical activity to college without changing pants (39.7%). </w:t>
      </w:r>
    </w:p>
    <w:p w14:paraId="128EA2F0" w14:textId="77777777" w:rsidR="00A7310E" w:rsidRDefault="00A7310E">
      <w:pPr>
        <w:pBdr>
          <w:top w:val="nil"/>
          <w:left w:val="nil"/>
          <w:bottom w:val="nil"/>
          <w:right w:val="nil"/>
          <w:between w:val="nil"/>
        </w:pBdr>
        <w:jc w:val="both"/>
        <w:rPr>
          <w:rFonts w:ascii="Arial" w:eastAsia="Arial" w:hAnsi="Arial" w:cs="Arial"/>
        </w:rPr>
      </w:pPr>
    </w:p>
    <w:p w14:paraId="050D7CF3" w14:textId="77777777" w:rsidR="00A7310E" w:rsidRDefault="000616A3">
      <w:pPr>
        <w:jc w:val="both"/>
        <w:rPr>
          <w:rFonts w:ascii="Arial" w:eastAsia="Arial" w:hAnsi="Arial" w:cs="Arial"/>
        </w:rPr>
      </w:pPr>
      <w:r>
        <w:rPr>
          <w:rFonts w:ascii="Arial" w:eastAsia="Arial" w:hAnsi="Arial" w:cs="Arial"/>
        </w:rPr>
        <w:t xml:space="preserve">According to Dovo et al. (2022), factors such as younger age, active sex life, and contraceptive use may contribute to an increase in episodes of VVC. In this context, behaviors related to hygiene and clothing may interfere with the homeostasis of the vaginal microbiota. The high prevalence of tight pants and underwear during sleep favors the creation of a warm and humid </w:t>
      </w:r>
      <w:r>
        <w:rPr>
          <w:rFonts w:ascii="Arial" w:eastAsia="Arial" w:hAnsi="Arial" w:cs="Arial"/>
        </w:rPr>
        <w:lastRenderedPageBreak/>
        <w:t>environment in the genital region, conducive to the proliferation of Candida spp. (Sobel, 2016). Recent studies also indicate that the use of synthetic or Lycra fabrics may increase the risk of fungal infection, while cotton fabrics, by allowing better ventilation, help reduce moisture and local heating (Anjos et al., 2023).</w:t>
      </w:r>
    </w:p>
    <w:p w14:paraId="717F2CBF" w14:textId="77777777" w:rsidR="00A7310E" w:rsidRDefault="00A7310E">
      <w:pPr>
        <w:jc w:val="both"/>
        <w:rPr>
          <w:rFonts w:ascii="Arial" w:eastAsia="Arial" w:hAnsi="Arial" w:cs="Arial"/>
        </w:rPr>
      </w:pPr>
    </w:p>
    <w:p w14:paraId="36E49D9D" w14:textId="77777777" w:rsidR="00A7310E" w:rsidRDefault="000616A3">
      <w:pPr>
        <w:jc w:val="both"/>
        <w:rPr>
          <w:rFonts w:ascii="Arial" w:eastAsia="Arial" w:hAnsi="Arial" w:cs="Arial"/>
        </w:rPr>
      </w:pPr>
      <w:r>
        <w:rPr>
          <w:rFonts w:ascii="Arial" w:eastAsia="Arial" w:hAnsi="Arial" w:cs="Arial"/>
        </w:rPr>
        <w:t xml:space="preserve">According to Man A, et al. (2017), Candida is commonly observed in patients with poor glycemic control, thus, the consumption of foods with a high glycemic index favors the disease, since sugar is the main energy substrate for this fungus.  In addition, frequent consumption of allergenic foods, such as milk and </w:t>
      </w:r>
      <w:proofErr w:type="gramStart"/>
      <w:r>
        <w:rPr>
          <w:rFonts w:ascii="Arial" w:eastAsia="Arial" w:hAnsi="Arial" w:cs="Arial"/>
        </w:rPr>
        <w:t>peanuts,  can</w:t>
      </w:r>
      <w:proofErr w:type="gramEnd"/>
      <w:r>
        <w:rPr>
          <w:rFonts w:ascii="Arial" w:eastAsia="Arial" w:hAnsi="Arial" w:cs="Arial"/>
        </w:rPr>
        <w:t xml:space="preserve"> lead to an imbalance in the intestinal flora, altering the pH of the intestine and reducing the number and role of beneficial bacteria and promoting the growth of Candida (SOBEL JD, 2016). </w:t>
      </w:r>
    </w:p>
    <w:p w14:paraId="7B7F5E2F" w14:textId="77777777" w:rsidR="00A7310E" w:rsidRDefault="00A7310E">
      <w:pPr>
        <w:jc w:val="both"/>
        <w:rPr>
          <w:rFonts w:ascii="Arial" w:eastAsia="Arial" w:hAnsi="Arial" w:cs="Arial"/>
        </w:rPr>
      </w:pPr>
    </w:p>
    <w:p w14:paraId="604D1C38" w14:textId="77777777" w:rsidR="00A7310E" w:rsidRDefault="000616A3">
      <w:pPr>
        <w:jc w:val="both"/>
        <w:rPr>
          <w:rFonts w:ascii="Arial" w:eastAsia="Arial" w:hAnsi="Arial" w:cs="Arial"/>
        </w:rPr>
      </w:pPr>
      <w:r>
        <w:rPr>
          <w:rFonts w:ascii="Arial" w:eastAsia="Arial" w:hAnsi="Arial" w:cs="Arial"/>
        </w:rPr>
        <w:t xml:space="preserve">Table 2 presents a statistical analysis of habits that are similar to the academic routine as exposure factors for the outcome of increased occurrence of CVV in college. The results of this study did not show statistically significant associations between the exposure factors analyzed and reports of increased CVV episodes during college. However, despite the lack of statistical significance, the findings revealed important trends. </w:t>
      </w:r>
    </w:p>
    <w:p w14:paraId="094086F5" w14:textId="77777777" w:rsidR="00A7310E" w:rsidRDefault="00A7310E">
      <w:pPr>
        <w:jc w:val="both"/>
        <w:rPr>
          <w:rFonts w:ascii="Arial" w:eastAsia="Arial" w:hAnsi="Arial" w:cs="Arial"/>
        </w:rPr>
      </w:pPr>
    </w:p>
    <w:p w14:paraId="0B862D17" w14:textId="77777777" w:rsidR="00A7310E" w:rsidRDefault="000616A3">
      <w:pPr>
        <w:tabs>
          <w:tab w:val="left" w:pos="1080"/>
        </w:tabs>
        <w:jc w:val="both"/>
        <w:rPr>
          <w:rFonts w:ascii="Arial" w:eastAsia="Arial" w:hAnsi="Arial" w:cs="Arial"/>
          <w:b/>
          <w:bCs/>
        </w:rPr>
      </w:pPr>
      <w:r>
        <w:rPr>
          <w:rFonts w:ascii="Arial" w:eastAsia="Arial" w:hAnsi="Arial" w:cs="Arial"/>
          <w:b/>
          <w:bCs/>
        </w:rPr>
        <w:t>Table 2.</w:t>
      </w:r>
      <w:r>
        <w:rPr>
          <w:rFonts w:ascii="Arial" w:eastAsia="Arial" w:hAnsi="Arial" w:cs="Arial"/>
          <w:b/>
          <w:bCs/>
        </w:rPr>
        <w:tab/>
        <w:t>Statistical analysis of habits that could approximate academic routine as exposure factors for the outcome of increased occurrence of CVV in college.</w:t>
      </w:r>
    </w:p>
    <w:p w14:paraId="357C74CB" w14:textId="77777777" w:rsidR="00A7310E" w:rsidRDefault="00A7310E">
      <w:pPr>
        <w:tabs>
          <w:tab w:val="left" w:pos="1080"/>
        </w:tabs>
        <w:jc w:val="both"/>
        <w:rPr>
          <w:rFonts w:ascii="Arial" w:eastAsia="Arial" w:hAnsi="Arial" w:cs="Arial"/>
          <w:b/>
          <w:bCs/>
        </w:rPr>
      </w:pPr>
    </w:p>
    <w:tbl>
      <w:tblPr>
        <w:tblStyle w:val="a1"/>
        <w:tblW w:w="8208" w:type="dxa"/>
        <w:jc w:val="center"/>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158"/>
        <w:gridCol w:w="1638"/>
        <w:gridCol w:w="1706"/>
        <w:gridCol w:w="1706"/>
      </w:tblGrid>
      <w:tr w:rsidR="00A7310E" w14:paraId="36733F08" w14:textId="77777777">
        <w:trPr>
          <w:jc w:val="center"/>
        </w:trPr>
        <w:tc>
          <w:tcPr>
            <w:tcW w:w="3156" w:type="dxa"/>
            <w:tcBorders>
              <w:bottom w:val="single" w:sz="4" w:space="0" w:color="000000"/>
            </w:tcBorders>
          </w:tcPr>
          <w:p w14:paraId="02995462" w14:textId="77777777" w:rsidR="00A7310E" w:rsidRDefault="000616A3">
            <w:pPr>
              <w:jc w:val="both"/>
              <w:rPr>
                <w:rFonts w:ascii="Arial" w:eastAsia="Arial" w:hAnsi="Arial" w:cs="Arial"/>
                <w:b/>
                <w:bCs/>
              </w:rPr>
            </w:pPr>
            <w:r>
              <w:rPr>
                <w:rFonts w:ascii="Arial" w:eastAsia="Arial" w:hAnsi="Arial" w:cs="Arial"/>
                <w:b/>
                <w:bCs/>
              </w:rPr>
              <w:t>Variable</w:t>
            </w:r>
          </w:p>
        </w:tc>
        <w:tc>
          <w:tcPr>
            <w:tcW w:w="1638" w:type="dxa"/>
            <w:tcBorders>
              <w:bottom w:val="single" w:sz="4" w:space="0" w:color="000000"/>
            </w:tcBorders>
          </w:tcPr>
          <w:p w14:paraId="4F46F5C3" w14:textId="77777777" w:rsidR="00A7310E" w:rsidRDefault="000616A3">
            <w:pPr>
              <w:jc w:val="both"/>
              <w:rPr>
                <w:rFonts w:ascii="Arial" w:eastAsia="Arial" w:hAnsi="Arial" w:cs="Arial"/>
                <w:b/>
                <w:bCs/>
              </w:rPr>
            </w:pPr>
            <w:r>
              <w:rPr>
                <w:rFonts w:ascii="Arial" w:eastAsia="Arial" w:hAnsi="Arial" w:cs="Arial"/>
                <w:b/>
                <w:bCs/>
              </w:rPr>
              <w:t>PR</w:t>
            </w:r>
          </w:p>
        </w:tc>
        <w:tc>
          <w:tcPr>
            <w:tcW w:w="1706" w:type="dxa"/>
            <w:tcBorders>
              <w:bottom w:val="single" w:sz="4" w:space="0" w:color="000000"/>
            </w:tcBorders>
          </w:tcPr>
          <w:p w14:paraId="704F2297" w14:textId="77777777" w:rsidR="00A7310E" w:rsidRDefault="000616A3">
            <w:pPr>
              <w:jc w:val="both"/>
              <w:rPr>
                <w:rFonts w:ascii="Arial" w:eastAsia="Arial" w:hAnsi="Arial" w:cs="Arial"/>
                <w:b/>
                <w:bCs/>
              </w:rPr>
            </w:pPr>
            <w:r>
              <w:rPr>
                <w:rFonts w:ascii="Arial" w:eastAsia="Arial" w:hAnsi="Arial" w:cs="Arial"/>
                <w:b/>
                <w:bCs/>
              </w:rPr>
              <w:t>95% CI</w:t>
            </w:r>
          </w:p>
        </w:tc>
        <w:tc>
          <w:tcPr>
            <w:tcW w:w="1706" w:type="dxa"/>
            <w:tcBorders>
              <w:bottom w:val="single" w:sz="4" w:space="0" w:color="000000"/>
            </w:tcBorders>
          </w:tcPr>
          <w:p w14:paraId="26EEE927" w14:textId="77777777" w:rsidR="00A7310E" w:rsidRDefault="000616A3">
            <w:pPr>
              <w:jc w:val="both"/>
              <w:rPr>
                <w:rFonts w:ascii="Arial" w:eastAsia="Arial" w:hAnsi="Arial" w:cs="Arial"/>
                <w:b/>
                <w:bCs/>
                <w:i/>
                <w:iCs/>
              </w:rPr>
            </w:pPr>
            <w:r>
              <w:rPr>
                <w:rFonts w:ascii="Arial" w:eastAsia="Arial" w:hAnsi="Arial" w:cs="Arial"/>
                <w:b/>
                <w:bCs/>
                <w:i/>
                <w:iCs/>
              </w:rPr>
              <w:t>P</w:t>
            </w:r>
          </w:p>
        </w:tc>
      </w:tr>
      <w:tr w:rsidR="00A7310E" w14:paraId="0DD7C1B0" w14:textId="77777777">
        <w:trPr>
          <w:trHeight w:val="225"/>
          <w:jc w:val="center"/>
        </w:trPr>
        <w:tc>
          <w:tcPr>
            <w:tcW w:w="3156" w:type="dxa"/>
            <w:tcBorders>
              <w:bottom w:val="nil"/>
            </w:tcBorders>
          </w:tcPr>
          <w:p w14:paraId="7E45E2C7" w14:textId="77777777" w:rsidR="00A7310E" w:rsidRDefault="000616A3">
            <w:pPr>
              <w:jc w:val="both"/>
              <w:rPr>
                <w:rFonts w:ascii="Arial" w:eastAsia="Arial" w:hAnsi="Arial" w:cs="Arial"/>
              </w:rPr>
            </w:pPr>
            <w:r>
              <w:rPr>
                <w:rFonts w:ascii="Arial" w:eastAsia="Arial" w:hAnsi="Arial" w:cs="Arial"/>
              </w:rPr>
              <w:t>Impact of college on sleep</w:t>
            </w:r>
          </w:p>
        </w:tc>
        <w:tc>
          <w:tcPr>
            <w:tcW w:w="1638" w:type="dxa"/>
            <w:tcBorders>
              <w:bottom w:val="nil"/>
            </w:tcBorders>
          </w:tcPr>
          <w:p w14:paraId="5A19FA6E" w14:textId="77777777" w:rsidR="00A7310E" w:rsidRDefault="000616A3">
            <w:pPr>
              <w:jc w:val="both"/>
              <w:rPr>
                <w:rFonts w:ascii="Arial" w:eastAsia="Arial" w:hAnsi="Arial" w:cs="Arial"/>
              </w:rPr>
            </w:pPr>
            <w:r>
              <w:rPr>
                <w:rFonts w:ascii="Arial" w:eastAsia="Arial" w:hAnsi="Arial" w:cs="Arial"/>
              </w:rPr>
              <w:t>1,39</w:t>
            </w:r>
          </w:p>
        </w:tc>
        <w:tc>
          <w:tcPr>
            <w:tcW w:w="1706" w:type="dxa"/>
            <w:tcBorders>
              <w:bottom w:val="nil"/>
            </w:tcBorders>
          </w:tcPr>
          <w:p w14:paraId="31A93DD4" w14:textId="77777777" w:rsidR="00A7310E" w:rsidRDefault="000616A3">
            <w:pPr>
              <w:jc w:val="both"/>
              <w:rPr>
                <w:rFonts w:ascii="Arial" w:eastAsia="Arial" w:hAnsi="Arial" w:cs="Arial"/>
              </w:rPr>
            </w:pPr>
            <w:r>
              <w:rPr>
                <w:rFonts w:ascii="Arial" w:eastAsia="Arial" w:hAnsi="Arial" w:cs="Arial"/>
              </w:rPr>
              <w:t>0,39 - 4,93</w:t>
            </w:r>
          </w:p>
        </w:tc>
        <w:tc>
          <w:tcPr>
            <w:tcW w:w="1706" w:type="dxa"/>
            <w:tcBorders>
              <w:bottom w:val="nil"/>
            </w:tcBorders>
          </w:tcPr>
          <w:p w14:paraId="44B5CF1F" w14:textId="77777777" w:rsidR="00A7310E" w:rsidRDefault="000616A3">
            <w:pPr>
              <w:jc w:val="both"/>
              <w:rPr>
                <w:rFonts w:ascii="Arial" w:eastAsia="Arial" w:hAnsi="Arial" w:cs="Arial"/>
              </w:rPr>
            </w:pPr>
            <w:r>
              <w:rPr>
                <w:rFonts w:ascii="Arial" w:eastAsia="Arial" w:hAnsi="Arial" w:cs="Arial"/>
              </w:rPr>
              <w:t>0,87</w:t>
            </w:r>
          </w:p>
        </w:tc>
      </w:tr>
      <w:tr w:rsidR="00A7310E" w14:paraId="0F994B9E" w14:textId="77777777">
        <w:trPr>
          <w:trHeight w:val="255"/>
          <w:jc w:val="center"/>
        </w:trPr>
        <w:tc>
          <w:tcPr>
            <w:tcW w:w="3156" w:type="dxa"/>
            <w:tcBorders>
              <w:bottom w:val="nil"/>
            </w:tcBorders>
          </w:tcPr>
          <w:p w14:paraId="292E4638" w14:textId="77777777" w:rsidR="00A7310E" w:rsidRDefault="000616A3">
            <w:pPr>
              <w:jc w:val="both"/>
              <w:rPr>
                <w:rFonts w:ascii="Arial" w:eastAsia="Arial" w:hAnsi="Arial" w:cs="Arial"/>
              </w:rPr>
            </w:pPr>
            <w:r>
              <w:rPr>
                <w:rFonts w:ascii="Arial" w:eastAsia="Arial" w:hAnsi="Arial" w:cs="Arial"/>
              </w:rPr>
              <w:t>Impact of college on eating habits</w:t>
            </w:r>
          </w:p>
        </w:tc>
        <w:tc>
          <w:tcPr>
            <w:tcW w:w="1638" w:type="dxa"/>
            <w:tcBorders>
              <w:bottom w:val="nil"/>
            </w:tcBorders>
          </w:tcPr>
          <w:p w14:paraId="6F489E8B" w14:textId="77777777" w:rsidR="00A7310E" w:rsidRDefault="000616A3">
            <w:pPr>
              <w:jc w:val="both"/>
              <w:rPr>
                <w:rFonts w:ascii="Arial" w:eastAsia="Arial" w:hAnsi="Arial" w:cs="Arial"/>
              </w:rPr>
            </w:pPr>
            <w:r>
              <w:rPr>
                <w:rFonts w:ascii="Arial" w:eastAsia="Arial" w:hAnsi="Arial" w:cs="Arial"/>
              </w:rPr>
              <w:t>2,11</w:t>
            </w:r>
          </w:p>
        </w:tc>
        <w:tc>
          <w:tcPr>
            <w:tcW w:w="1706" w:type="dxa"/>
            <w:tcBorders>
              <w:bottom w:val="nil"/>
            </w:tcBorders>
          </w:tcPr>
          <w:p w14:paraId="4FF73048" w14:textId="77777777" w:rsidR="00A7310E" w:rsidRDefault="000616A3">
            <w:pPr>
              <w:jc w:val="both"/>
              <w:rPr>
                <w:rFonts w:ascii="Arial" w:eastAsia="Arial" w:hAnsi="Arial" w:cs="Arial"/>
              </w:rPr>
            </w:pPr>
            <w:r>
              <w:rPr>
                <w:rFonts w:ascii="Arial" w:eastAsia="Arial" w:hAnsi="Arial" w:cs="Arial"/>
              </w:rPr>
              <w:t>0,57 - 7,86</w:t>
            </w:r>
          </w:p>
        </w:tc>
        <w:tc>
          <w:tcPr>
            <w:tcW w:w="1706" w:type="dxa"/>
            <w:tcBorders>
              <w:bottom w:val="nil"/>
            </w:tcBorders>
          </w:tcPr>
          <w:p w14:paraId="590428AD" w14:textId="77777777" w:rsidR="00A7310E" w:rsidRDefault="000616A3">
            <w:pPr>
              <w:jc w:val="both"/>
              <w:rPr>
                <w:rFonts w:ascii="Arial" w:eastAsia="Arial" w:hAnsi="Arial" w:cs="Arial"/>
              </w:rPr>
            </w:pPr>
            <w:r>
              <w:rPr>
                <w:rFonts w:ascii="Arial" w:eastAsia="Arial" w:hAnsi="Arial" w:cs="Arial"/>
              </w:rPr>
              <w:t>0,35</w:t>
            </w:r>
          </w:p>
        </w:tc>
      </w:tr>
      <w:tr w:rsidR="00A7310E" w14:paraId="775256ED" w14:textId="77777777">
        <w:trPr>
          <w:trHeight w:val="260"/>
          <w:jc w:val="center"/>
        </w:trPr>
        <w:tc>
          <w:tcPr>
            <w:tcW w:w="3156" w:type="dxa"/>
            <w:tcBorders>
              <w:bottom w:val="nil"/>
            </w:tcBorders>
          </w:tcPr>
          <w:p w14:paraId="06F6ACEA" w14:textId="77777777" w:rsidR="00A7310E" w:rsidRDefault="000616A3">
            <w:pPr>
              <w:jc w:val="both"/>
              <w:rPr>
                <w:rFonts w:ascii="Arial" w:eastAsia="Arial" w:hAnsi="Arial" w:cs="Arial"/>
              </w:rPr>
            </w:pPr>
            <w:r>
              <w:rPr>
                <w:rFonts w:ascii="Arial" w:eastAsia="Arial" w:hAnsi="Arial" w:cs="Arial"/>
              </w:rPr>
              <w:t>College overload</w:t>
            </w:r>
          </w:p>
        </w:tc>
        <w:tc>
          <w:tcPr>
            <w:tcW w:w="1638" w:type="dxa"/>
            <w:tcBorders>
              <w:bottom w:val="nil"/>
            </w:tcBorders>
          </w:tcPr>
          <w:p w14:paraId="40544F8B" w14:textId="77777777" w:rsidR="00A7310E" w:rsidRDefault="000616A3">
            <w:pPr>
              <w:jc w:val="both"/>
              <w:rPr>
                <w:rFonts w:ascii="Arial" w:eastAsia="Arial" w:hAnsi="Arial" w:cs="Arial"/>
              </w:rPr>
            </w:pPr>
            <w:r>
              <w:rPr>
                <w:rFonts w:ascii="Arial" w:eastAsia="Arial" w:hAnsi="Arial" w:cs="Arial"/>
              </w:rPr>
              <w:t>0,62</w:t>
            </w:r>
          </w:p>
        </w:tc>
        <w:tc>
          <w:tcPr>
            <w:tcW w:w="1706" w:type="dxa"/>
            <w:tcBorders>
              <w:bottom w:val="nil"/>
            </w:tcBorders>
          </w:tcPr>
          <w:p w14:paraId="7D7C6CB9" w14:textId="77777777" w:rsidR="00A7310E" w:rsidRDefault="000616A3">
            <w:pPr>
              <w:jc w:val="both"/>
              <w:rPr>
                <w:rFonts w:ascii="Arial" w:eastAsia="Arial" w:hAnsi="Arial" w:cs="Arial"/>
              </w:rPr>
            </w:pPr>
            <w:r>
              <w:rPr>
                <w:rFonts w:ascii="Arial" w:eastAsia="Arial" w:hAnsi="Arial" w:cs="Arial"/>
              </w:rPr>
              <w:t>0,30 - 1,29</w:t>
            </w:r>
          </w:p>
        </w:tc>
        <w:tc>
          <w:tcPr>
            <w:tcW w:w="1706" w:type="dxa"/>
            <w:tcBorders>
              <w:bottom w:val="nil"/>
            </w:tcBorders>
          </w:tcPr>
          <w:p w14:paraId="2963DE42" w14:textId="77777777" w:rsidR="00A7310E" w:rsidRDefault="000616A3">
            <w:pPr>
              <w:jc w:val="both"/>
              <w:rPr>
                <w:rFonts w:ascii="Arial" w:eastAsia="Arial" w:hAnsi="Arial" w:cs="Arial"/>
              </w:rPr>
            </w:pPr>
            <w:r>
              <w:rPr>
                <w:rFonts w:ascii="Arial" w:eastAsia="Arial" w:hAnsi="Arial" w:cs="Arial"/>
              </w:rPr>
              <w:t>0,40</w:t>
            </w:r>
          </w:p>
        </w:tc>
      </w:tr>
      <w:tr w:rsidR="00A7310E" w14:paraId="20E185FE" w14:textId="77777777">
        <w:trPr>
          <w:jc w:val="center"/>
        </w:trPr>
        <w:tc>
          <w:tcPr>
            <w:tcW w:w="3156" w:type="dxa"/>
            <w:tcBorders>
              <w:top w:val="nil"/>
              <w:bottom w:val="nil"/>
            </w:tcBorders>
          </w:tcPr>
          <w:p w14:paraId="2CDDB0D8" w14:textId="77777777" w:rsidR="00A7310E" w:rsidRDefault="00A7310E">
            <w:pPr>
              <w:jc w:val="both"/>
              <w:rPr>
                <w:rFonts w:ascii="Arial" w:eastAsia="Arial" w:hAnsi="Arial" w:cs="Arial"/>
              </w:rPr>
            </w:pPr>
          </w:p>
        </w:tc>
        <w:tc>
          <w:tcPr>
            <w:tcW w:w="1638" w:type="dxa"/>
            <w:tcBorders>
              <w:top w:val="nil"/>
              <w:bottom w:val="nil"/>
            </w:tcBorders>
          </w:tcPr>
          <w:p w14:paraId="4FD613ED" w14:textId="77777777" w:rsidR="00A7310E" w:rsidRDefault="00A7310E">
            <w:pPr>
              <w:jc w:val="both"/>
              <w:rPr>
                <w:rFonts w:ascii="Arial" w:eastAsia="Arial" w:hAnsi="Arial" w:cs="Arial"/>
              </w:rPr>
            </w:pPr>
          </w:p>
        </w:tc>
        <w:tc>
          <w:tcPr>
            <w:tcW w:w="1706" w:type="dxa"/>
            <w:tcBorders>
              <w:top w:val="nil"/>
              <w:bottom w:val="nil"/>
            </w:tcBorders>
          </w:tcPr>
          <w:p w14:paraId="62C7538C" w14:textId="77777777" w:rsidR="00A7310E" w:rsidRDefault="00A7310E">
            <w:pPr>
              <w:jc w:val="both"/>
              <w:rPr>
                <w:rFonts w:ascii="Arial" w:eastAsia="Arial" w:hAnsi="Arial" w:cs="Arial"/>
              </w:rPr>
            </w:pPr>
          </w:p>
        </w:tc>
        <w:tc>
          <w:tcPr>
            <w:tcW w:w="1706" w:type="dxa"/>
            <w:tcBorders>
              <w:top w:val="nil"/>
              <w:bottom w:val="nil"/>
            </w:tcBorders>
          </w:tcPr>
          <w:p w14:paraId="13DD03A5" w14:textId="77777777" w:rsidR="00A7310E" w:rsidRDefault="00A7310E">
            <w:pPr>
              <w:jc w:val="both"/>
              <w:rPr>
                <w:rFonts w:ascii="Arial" w:eastAsia="Arial" w:hAnsi="Arial" w:cs="Arial"/>
              </w:rPr>
            </w:pPr>
          </w:p>
        </w:tc>
      </w:tr>
      <w:tr w:rsidR="00A7310E" w14:paraId="077F9D1A" w14:textId="77777777">
        <w:trPr>
          <w:jc w:val="center"/>
        </w:trPr>
        <w:tc>
          <w:tcPr>
            <w:tcW w:w="3156" w:type="dxa"/>
            <w:tcBorders>
              <w:top w:val="nil"/>
              <w:bottom w:val="single" w:sz="4" w:space="0" w:color="000000"/>
            </w:tcBorders>
          </w:tcPr>
          <w:p w14:paraId="06DE2BD5" w14:textId="77777777" w:rsidR="00A7310E" w:rsidRDefault="00A7310E">
            <w:pPr>
              <w:jc w:val="both"/>
              <w:rPr>
                <w:rFonts w:ascii="Arial" w:eastAsia="Arial" w:hAnsi="Arial" w:cs="Arial"/>
              </w:rPr>
            </w:pPr>
          </w:p>
        </w:tc>
        <w:tc>
          <w:tcPr>
            <w:tcW w:w="1638" w:type="dxa"/>
            <w:tcBorders>
              <w:top w:val="nil"/>
              <w:bottom w:val="single" w:sz="4" w:space="0" w:color="000000"/>
            </w:tcBorders>
          </w:tcPr>
          <w:p w14:paraId="14443398" w14:textId="77777777" w:rsidR="00A7310E" w:rsidRDefault="00A7310E">
            <w:pPr>
              <w:jc w:val="both"/>
              <w:rPr>
                <w:rFonts w:ascii="Arial" w:eastAsia="Arial" w:hAnsi="Arial" w:cs="Arial"/>
              </w:rPr>
            </w:pPr>
          </w:p>
        </w:tc>
        <w:tc>
          <w:tcPr>
            <w:tcW w:w="1706" w:type="dxa"/>
            <w:tcBorders>
              <w:top w:val="nil"/>
              <w:bottom w:val="single" w:sz="4" w:space="0" w:color="000000"/>
            </w:tcBorders>
          </w:tcPr>
          <w:p w14:paraId="177BFDF3" w14:textId="77777777" w:rsidR="00A7310E" w:rsidRDefault="00A7310E">
            <w:pPr>
              <w:jc w:val="both"/>
              <w:rPr>
                <w:rFonts w:ascii="Arial" w:eastAsia="Arial" w:hAnsi="Arial" w:cs="Arial"/>
              </w:rPr>
            </w:pPr>
          </w:p>
        </w:tc>
        <w:tc>
          <w:tcPr>
            <w:tcW w:w="1706" w:type="dxa"/>
            <w:tcBorders>
              <w:top w:val="nil"/>
              <w:bottom w:val="single" w:sz="4" w:space="0" w:color="000000"/>
            </w:tcBorders>
          </w:tcPr>
          <w:p w14:paraId="0ACA21CE" w14:textId="77777777" w:rsidR="00A7310E" w:rsidRDefault="00A7310E">
            <w:pPr>
              <w:jc w:val="both"/>
              <w:rPr>
                <w:rFonts w:ascii="Arial" w:eastAsia="Arial" w:hAnsi="Arial" w:cs="Arial"/>
              </w:rPr>
            </w:pPr>
          </w:p>
        </w:tc>
      </w:tr>
    </w:tbl>
    <w:p w14:paraId="45BAA9F0" w14:textId="77777777" w:rsidR="00A7310E" w:rsidRDefault="000616A3">
      <w:pPr>
        <w:tabs>
          <w:tab w:val="left" w:pos="1080"/>
        </w:tabs>
        <w:ind w:left="1080"/>
        <w:jc w:val="both"/>
        <w:rPr>
          <w:rFonts w:ascii="Times New Roman" w:eastAsia="Times New Roman" w:hAnsi="Times New Roman" w:cs="Times New Roman"/>
          <w:color w:val="FF0000"/>
        </w:rPr>
      </w:pPr>
      <w:r>
        <w:rPr>
          <w:rFonts w:ascii="Arial" w:eastAsia="Arial" w:hAnsi="Arial" w:cs="Arial"/>
          <w:i/>
          <w:iCs/>
          <w:sz w:val="18"/>
          <w:szCs w:val="18"/>
        </w:rPr>
        <w:t>PR: Prevalence Ratio; 95% CI: 95% Confidence Interval. P = .05.</w:t>
      </w:r>
    </w:p>
    <w:p w14:paraId="25163E92" w14:textId="77777777" w:rsidR="00A7310E" w:rsidRDefault="00A7310E">
      <w:pPr>
        <w:jc w:val="both"/>
        <w:rPr>
          <w:rFonts w:ascii="Arial" w:eastAsia="Arial" w:hAnsi="Arial" w:cs="Arial"/>
          <w:color w:val="FF0000"/>
        </w:rPr>
      </w:pPr>
    </w:p>
    <w:p w14:paraId="616B2D78" w14:textId="77777777" w:rsidR="00A7310E" w:rsidRDefault="00A7310E">
      <w:pPr>
        <w:jc w:val="both"/>
        <w:rPr>
          <w:rFonts w:ascii="Arial" w:eastAsia="Arial" w:hAnsi="Arial" w:cs="Arial"/>
        </w:rPr>
      </w:pPr>
    </w:p>
    <w:p w14:paraId="67BC4AE7"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The negative impact of diet showed the highest magnitude of association (PR=2.11; 95% CI: 0.57–7.86; P=0.357), suggesting that students who reported a decline in diet quality during their academic life had approximately twice the prevalence of increased CVV episodes. Similarly, the negative impact of college on sleep (PR=1.39; 95% CI: 0.39–4.93; P=0.873), returning from physical activity without changing clothes (PR=1.51; 95% CI: 0.82–2.80; P=0.276), and the habit of “staying up all night” studying (PR=1.30; 95% CI: 0.70–2.41; P=0.553) also showed PRs above unity, pointing to a risk trend.</w:t>
      </w:r>
    </w:p>
    <w:p w14:paraId="3D9278DA" w14:textId="77777777" w:rsidR="00A7310E" w:rsidRDefault="00A7310E">
      <w:pPr>
        <w:pBdr>
          <w:top w:val="nil"/>
          <w:left w:val="nil"/>
          <w:bottom w:val="nil"/>
          <w:right w:val="nil"/>
          <w:between w:val="nil"/>
        </w:pBdr>
        <w:jc w:val="both"/>
        <w:rPr>
          <w:rFonts w:ascii="Arial" w:eastAsia="Arial" w:hAnsi="Arial" w:cs="Arial"/>
        </w:rPr>
      </w:pPr>
    </w:p>
    <w:p w14:paraId="3733237B" w14:textId="77777777" w:rsidR="00A7310E" w:rsidRDefault="000616A3">
      <w:pPr>
        <w:jc w:val="both"/>
        <w:rPr>
          <w:rFonts w:ascii="Arial" w:eastAsia="Arial" w:hAnsi="Arial" w:cs="Arial"/>
        </w:rPr>
      </w:pPr>
      <w:r>
        <w:rPr>
          <w:rFonts w:ascii="Arial" w:eastAsia="Arial" w:hAnsi="Arial" w:cs="Arial"/>
        </w:rPr>
        <w:t>In contrast, academic overload (PR=0.62; 95% CI: 0.30–1.29; P=0.406) and sleeping less than eight hours per day (PR=0.89; 95% CI: 0.37–2.12; P=1.000) had prevalence ratios below 1, numerically suggesting a protective effect. These contradictory results reinforce the notion that the determinants of CVV are multifactorial and complex.</w:t>
      </w:r>
    </w:p>
    <w:p w14:paraId="3FE4E8D2" w14:textId="77777777" w:rsidR="00A7310E" w:rsidRDefault="00A7310E">
      <w:pPr>
        <w:jc w:val="both"/>
        <w:rPr>
          <w:rFonts w:ascii="Arial" w:eastAsia="Arial" w:hAnsi="Arial" w:cs="Arial"/>
        </w:rPr>
      </w:pPr>
    </w:p>
    <w:p w14:paraId="4BC49089" w14:textId="77777777" w:rsidR="00A7310E" w:rsidRDefault="000616A3">
      <w:pPr>
        <w:jc w:val="both"/>
        <w:rPr>
          <w:rFonts w:ascii="Arial" w:eastAsia="Arial" w:hAnsi="Arial" w:cs="Arial"/>
        </w:rPr>
      </w:pPr>
      <w:r>
        <w:rPr>
          <w:rFonts w:ascii="Arial" w:eastAsia="Arial" w:hAnsi="Arial" w:cs="Arial"/>
        </w:rPr>
        <w:t>The literature has highlighted the relevance of lifestyle habits, such as adequate sleep and a balanced diet, in maintaining mental health. Recent studies show that sleep problems, such as insomnia and excessive sleepiness, are associated with academic stress and compromise students' psychological well-being (MACIEL et al., 2023). Similarly, unbalanced eating habits, characterized by high consumption of ultra-processed foods and deficient in essential nutrients, have been linked to common mental disorders, such as depression and anxiety (PEREIRA, 2025). Both findings reinforce the importance of interventions aimed at promoting quality sleep and a balanced diet for maintaining mental and physical health in university students.</w:t>
      </w:r>
    </w:p>
    <w:p w14:paraId="4EE9C637" w14:textId="77777777" w:rsidR="00A7310E" w:rsidRDefault="00A7310E">
      <w:pPr>
        <w:jc w:val="both"/>
        <w:rPr>
          <w:rFonts w:ascii="Arial" w:eastAsia="Arial" w:hAnsi="Arial" w:cs="Arial"/>
        </w:rPr>
      </w:pPr>
    </w:p>
    <w:p w14:paraId="7965FBC7"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lastRenderedPageBreak/>
        <w:t>The lack of statistical significance should be interpreted considering the methodological limitations. The small sample size compromises the power of the study, making it difficult to detect real associations, and the cross-sectional research makes it impossible to establish causal relationships, restricting associations to inferences.</w:t>
      </w:r>
    </w:p>
    <w:p w14:paraId="5878EC4A" w14:textId="77777777" w:rsidR="00A7310E" w:rsidRDefault="00A7310E">
      <w:pPr>
        <w:pBdr>
          <w:top w:val="nil"/>
          <w:left w:val="nil"/>
          <w:bottom w:val="nil"/>
          <w:right w:val="nil"/>
          <w:between w:val="nil"/>
        </w:pBdr>
        <w:jc w:val="both"/>
        <w:rPr>
          <w:rFonts w:ascii="Arial" w:eastAsia="Arial" w:hAnsi="Arial" w:cs="Arial"/>
        </w:rPr>
      </w:pPr>
    </w:p>
    <w:p w14:paraId="320DBB69" w14:textId="77777777" w:rsidR="00A7310E" w:rsidRDefault="000616A3">
      <w:pPr>
        <w:jc w:val="both"/>
        <w:rPr>
          <w:rFonts w:ascii="Arial" w:eastAsia="Arial" w:hAnsi="Arial" w:cs="Arial"/>
        </w:rPr>
      </w:pPr>
      <w:r>
        <w:rPr>
          <w:rFonts w:ascii="Arial" w:eastAsia="Arial" w:hAnsi="Arial" w:cs="Arial"/>
        </w:rPr>
        <w:t>Another noteworthy finding was the high rate of self-medication with antifungals, reported in this sample by 64.8% of participants who had already experienced CVV (compulsive visceral infection). This value aligns with evidence found in research with health students, in which more than 90% reported the practice of self-medication with anti-inflammatories, antibiotics, and other classes of drugs, raising concerns about incorrect use and the risk of developing microbial resistance (WILLMANN et al., 2023).</w:t>
      </w:r>
    </w:p>
    <w:p w14:paraId="53DB6D88" w14:textId="77777777" w:rsidR="00A7310E" w:rsidRDefault="00A7310E">
      <w:pPr>
        <w:jc w:val="both"/>
        <w:rPr>
          <w:rFonts w:ascii="Arial" w:eastAsia="Arial" w:hAnsi="Arial" w:cs="Arial"/>
        </w:rPr>
      </w:pPr>
    </w:p>
    <w:p w14:paraId="2405D1B3" w14:textId="77777777" w:rsidR="00A7310E" w:rsidRDefault="000616A3">
      <w:pPr>
        <w:jc w:val="both"/>
        <w:rPr>
          <w:rFonts w:ascii="Arial" w:eastAsia="Arial" w:hAnsi="Arial" w:cs="Arial"/>
          <w:color w:val="FF0000"/>
        </w:rPr>
      </w:pPr>
      <w:r>
        <w:rPr>
          <w:rFonts w:ascii="Arial" w:eastAsia="Arial" w:hAnsi="Arial" w:cs="Arial"/>
        </w:rPr>
        <w:t>Table 3 presents the distribution of the sample in relation to the periods of the university at the time of answering the questionnaire, which has the grid subdivided into 3 moments specified in the table. Furthermore, a difficulty in adherence was observed in the final periods of the course, especially among the students in their internship. This partially limits the comparison between basic and professional cycles, which may have affected the representativeness of a portion that experienced a longer period of exposure to the academic environment. In addition, the use of a self-reported questionnaire may generate memory bias or omission of information.</w:t>
      </w:r>
    </w:p>
    <w:p w14:paraId="0E4A8AF6" w14:textId="77777777" w:rsidR="00A7310E" w:rsidRDefault="00A7310E">
      <w:pPr>
        <w:jc w:val="both"/>
        <w:rPr>
          <w:rFonts w:ascii="Arial" w:eastAsia="Arial" w:hAnsi="Arial" w:cs="Arial"/>
          <w:color w:val="FF0000"/>
        </w:rPr>
      </w:pPr>
    </w:p>
    <w:p w14:paraId="5CC1A50E" w14:textId="77777777" w:rsidR="00A7310E" w:rsidRDefault="00A7310E">
      <w:pPr>
        <w:jc w:val="both"/>
        <w:rPr>
          <w:rFonts w:ascii="Arial" w:eastAsia="Arial" w:hAnsi="Arial" w:cs="Arial"/>
        </w:rPr>
      </w:pPr>
    </w:p>
    <w:p w14:paraId="0BE5F1F1" w14:textId="77777777" w:rsidR="00A7310E" w:rsidRDefault="000616A3">
      <w:pPr>
        <w:tabs>
          <w:tab w:val="left" w:pos="1080"/>
        </w:tabs>
        <w:jc w:val="both"/>
        <w:rPr>
          <w:rFonts w:ascii="Arial" w:eastAsia="Arial" w:hAnsi="Arial" w:cs="Arial"/>
          <w:b/>
          <w:bCs/>
        </w:rPr>
      </w:pPr>
      <w:r>
        <w:rPr>
          <w:rFonts w:ascii="Arial" w:eastAsia="Arial" w:hAnsi="Arial" w:cs="Arial"/>
          <w:b/>
          <w:bCs/>
        </w:rPr>
        <w:t>Table 3.</w:t>
      </w:r>
      <w:r>
        <w:rPr>
          <w:rFonts w:ascii="Arial" w:eastAsia="Arial" w:hAnsi="Arial" w:cs="Arial"/>
          <w:b/>
          <w:bCs/>
        </w:rPr>
        <w:tab/>
        <w:t xml:space="preserve">Distribution of female students across medical school semesters </w:t>
      </w:r>
    </w:p>
    <w:p w14:paraId="0F7F5497" w14:textId="77777777" w:rsidR="00A7310E" w:rsidRDefault="00A7310E">
      <w:pPr>
        <w:tabs>
          <w:tab w:val="left" w:pos="1080"/>
        </w:tabs>
        <w:jc w:val="both"/>
        <w:rPr>
          <w:rFonts w:ascii="Arial" w:eastAsia="Arial" w:hAnsi="Arial" w:cs="Arial"/>
          <w:b/>
          <w:bCs/>
        </w:rPr>
      </w:pPr>
    </w:p>
    <w:tbl>
      <w:tblPr>
        <w:tblStyle w:val="a2"/>
        <w:tblW w:w="7260" w:type="dxa"/>
        <w:jc w:val="center"/>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885"/>
        <w:gridCol w:w="1470"/>
        <w:gridCol w:w="1905"/>
      </w:tblGrid>
      <w:tr w:rsidR="00A7310E" w14:paraId="2F5AE2EC" w14:textId="77777777">
        <w:trPr>
          <w:jc w:val="center"/>
        </w:trPr>
        <w:tc>
          <w:tcPr>
            <w:tcW w:w="3885" w:type="dxa"/>
            <w:tcBorders>
              <w:bottom w:val="single" w:sz="4" w:space="0" w:color="000000"/>
            </w:tcBorders>
          </w:tcPr>
          <w:p w14:paraId="22DCD483" w14:textId="77777777" w:rsidR="00A7310E" w:rsidRDefault="000616A3">
            <w:pPr>
              <w:jc w:val="both"/>
              <w:rPr>
                <w:rFonts w:ascii="Arial" w:eastAsia="Arial" w:hAnsi="Arial" w:cs="Arial"/>
                <w:b/>
                <w:bCs/>
              </w:rPr>
            </w:pPr>
            <w:r>
              <w:rPr>
                <w:rFonts w:ascii="Arial" w:eastAsia="Arial" w:hAnsi="Arial" w:cs="Arial"/>
                <w:b/>
                <w:bCs/>
              </w:rPr>
              <w:t>Semester</w:t>
            </w:r>
          </w:p>
        </w:tc>
        <w:tc>
          <w:tcPr>
            <w:tcW w:w="1470" w:type="dxa"/>
            <w:tcBorders>
              <w:bottom w:val="single" w:sz="4" w:space="0" w:color="000000"/>
            </w:tcBorders>
          </w:tcPr>
          <w:p w14:paraId="0CD16D26" w14:textId="77777777" w:rsidR="00A7310E" w:rsidRDefault="000616A3">
            <w:pPr>
              <w:jc w:val="both"/>
              <w:rPr>
                <w:rFonts w:ascii="Arial" w:eastAsia="Arial" w:hAnsi="Arial" w:cs="Arial"/>
                <w:b/>
                <w:bCs/>
              </w:rPr>
            </w:pPr>
            <w:r>
              <w:rPr>
                <w:rFonts w:ascii="Arial" w:eastAsia="Arial" w:hAnsi="Arial" w:cs="Arial"/>
                <w:b/>
                <w:bCs/>
              </w:rPr>
              <w:t>n</w:t>
            </w:r>
          </w:p>
        </w:tc>
        <w:tc>
          <w:tcPr>
            <w:tcW w:w="1905" w:type="dxa"/>
            <w:tcBorders>
              <w:bottom w:val="single" w:sz="4" w:space="0" w:color="000000"/>
            </w:tcBorders>
          </w:tcPr>
          <w:p w14:paraId="59551030" w14:textId="77777777" w:rsidR="00A7310E" w:rsidRDefault="000616A3">
            <w:pPr>
              <w:jc w:val="both"/>
              <w:rPr>
                <w:rFonts w:ascii="Arial" w:eastAsia="Arial" w:hAnsi="Arial" w:cs="Arial"/>
                <w:b/>
                <w:bCs/>
              </w:rPr>
            </w:pPr>
            <w:r>
              <w:rPr>
                <w:rFonts w:ascii="Arial" w:eastAsia="Arial" w:hAnsi="Arial" w:cs="Arial"/>
                <w:b/>
                <w:bCs/>
              </w:rPr>
              <w:t>%</w:t>
            </w:r>
          </w:p>
        </w:tc>
      </w:tr>
      <w:tr w:rsidR="00A7310E" w14:paraId="3030B44D" w14:textId="77777777">
        <w:trPr>
          <w:trHeight w:val="225"/>
          <w:jc w:val="center"/>
        </w:trPr>
        <w:tc>
          <w:tcPr>
            <w:tcW w:w="3885" w:type="dxa"/>
            <w:tcBorders>
              <w:bottom w:val="nil"/>
            </w:tcBorders>
          </w:tcPr>
          <w:p w14:paraId="4CC03746" w14:textId="77777777" w:rsidR="00A7310E" w:rsidRDefault="000616A3">
            <w:pPr>
              <w:jc w:val="both"/>
              <w:rPr>
                <w:rFonts w:ascii="Arial" w:eastAsia="Arial" w:hAnsi="Arial" w:cs="Arial"/>
              </w:rPr>
            </w:pPr>
            <w:r>
              <w:rPr>
                <w:rFonts w:ascii="Arial" w:eastAsia="Arial" w:hAnsi="Arial" w:cs="Arial"/>
              </w:rPr>
              <w:t>Basic cycle (1st to 4th semester)</w:t>
            </w:r>
          </w:p>
        </w:tc>
        <w:tc>
          <w:tcPr>
            <w:tcW w:w="1470" w:type="dxa"/>
            <w:tcBorders>
              <w:bottom w:val="nil"/>
            </w:tcBorders>
          </w:tcPr>
          <w:p w14:paraId="05155379" w14:textId="77777777" w:rsidR="00A7310E" w:rsidRDefault="000616A3">
            <w:pPr>
              <w:jc w:val="both"/>
              <w:rPr>
                <w:rFonts w:ascii="Arial" w:eastAsia="Arial" w:hAnsi="Arial" w:cs="Arial"/>
              </w:rPr>
            </w:pPr>
            <w:r>
              <w:rPr>
                <w:rFonts w:ascii="Arial" w:eastAsia="Arial" w:hAnsi="Arial" w:cs="Arial"/>
              </w:rPr>
              <w:t>33</w:t>
            </w:r>
          </w:p>
        </w:tc>
        <w:tc>
          <w:tcPr>
            <w:tcW w:w="1905" w:type="dxa"/>
            <w:tcBorders>
              <w:bottom w:val="nil"/>
            </w:tcBorders>
          </w:tcPr>
          <w:p w14:paraId="1E2FF0AC" w14:textId="77777777" w:rsidR="00A7310E" w:rsidRDefault="000616A3">
            <w:pPr>
              <w:jc w:val="both"/>
              <w:rPr>
                <w:rFonts w:ascii="Arial" w:eastAsia="Arial" w:hAnsi="Arial" w:cs="Arial"/>
              </w:rPr>
            </w:pPr>
            <w:r>
              <w:rPr>
                <w:rFonts w:ascii="Arial" w:eastAsia="Arial" w:hAnsi="Arial" w:cs="Arial"/>
              </w:rPr>
              <w:t>35,48</w:t>
            </w:r>
          </w:p>
        </w:tc>
      </w:tr>
      <w:tr w:rsidR="00A7310E" w14:paraId="68E52374" w14:textId="77777777">
        <w:trPr>
          <w:trHeight w:val="255"/>
          <w:jc w:val="center"/>
        </w:trPr>
        <w:tc>
          <w:tcPr>
            <w:tcW w:w="3885" w:type="dxa"/>
            <w:tcBorders>
              <w:bottom w:val="nil"/>
            </w:tcBorders>
          </w:tcPr>
          <w:p w14:paraId="5781C231" w14:textId="77777777" w:rsidR="00A7310E" w:rsidRDefault="000616A3">
            <w:pPr>
              <w:jc w:val="both"/>
              <w:rPr>
                <w:rFonts w:ascii="Arial" w:eastAsia="Arial" w:hAnsi="Arial" w:cs="Arial"/>
              </w:rPr>
            </w:pPr>
            <w:r>
              <w:rPr>
                <w:rFonts w:ascii="Arial" w:eastAsia="Arial" w:hAnsi="Arial" w:cs="Arial"/>
              </w:rPr>
              <w:t>Clinical cycle (5th to 8th semester)</w:t>
            </w:r>
          </w:p>
        </w:tc>
        <w:tc>
          <w:tcPr>
            <w:tcW w:w="1470" w:type="dxa"/>
            <w:tcBorders>
              <w:bottom w:val="nil"/>
            </w:tcBorders>
          </w:tcPr>
          <w:p w14:paraId="2803B1F0" w14:textId="77777777" w:rsidR="00A7310E" w:rsidRDefault="000616A3">
            <w:pPr>
              <w:jc w:val="both"/>
              <w:rPr>
                <w:rFonts w:ascii="Arial" w:eastAsia="Arial" w:hAnsi="Arial" w:cs="Arial"/>
              </w:rPr>
            </w:pPr>
            <w:r>
              <w:rPr>
                <w:rFonts w:ascii="Arial" w:eastAsia="Arial" w:hAnsi="Arial" w:cs="Arial"/>
              </w:rPr>
              <w:t>34</w:t>
            </w:r>
          </w:p>
        </w:tc>
        <w:tc>
          <w:tcPr>
            <w:tcW w:w="1905" w:type="dxa"/>
            <w:tcBorders>
              <w:bottom w:val="nil"/>
            </w:tcBorders>
          </w:tcPr>
          <w:p w14:paraId="30CDF963" w14:textId="77777777" w:rsidR="00A7310E" w:rsidRDefault="000616A3">
            <w:pPr>
              <w:jc w:val="both"/>
              <w:rPr>
                <w:rFonts w:ascii="Arial" w:eastAsia="Arial" w:hAnsi="Arial" w:cs="Arial"/>
              </w:rPr>
            </w:pPr>
            <w:r>
              <w:rPr>
                <w:rFonts w:ascii="Arial" w:eastAsia="Arial" w:hAnsi="Arial" w:cs="Arial"/>
              </w:rPr>
              <w:t>36,55</w:t>
            </w:r>
          </w:p>
        </w:tc>
      </w:tr>
      <w:tr w:rsidR="00A7310E" w14:paraId="4EA7183C" w14:textId="77777777">
        <w:trPr>
          <w:trHeight w:val="260"/>
          <w:jc w:val="center"/>
        </w:trPr>
        <w:tc>
          <w:tcPr>
            <w:tcW w:w="3885" w:type="dxa"/>
            <w:tcBorders>
              <w:bottom w:val="nil"/>
            </w:tcBorders>
          </w:tcPr>
          <w:p w14:paraId="398E06D6" w14:textId="77777777" w:rsidR="00A7310E" w:rsidRDefault="000616A3">
            <w:pPr>
              <w:jc w:val="both"/>
              <w:rPr>
                <w:rFonts w:ascii="Arial" w:eastAsia="Arial" w:hAnsi="Arial" w:cs="Arial"/>
              </w:rPr>
            </w:pPr>
            <w:r>
              <w:rPr>
                <w:rFonts w:ascii="Arial" w:eastAsia="Arial" w:hAnsi="Arial" w:cs="Arial"/>
              </w:rPr>
              <w:t>Medical internship (9th to 12th semester)</w:t>
            </w:r>
          </w:p>
        </w:tc>
        <w:tc>
          <w:tcPr>
            <w:tcW w:w="1470" w:type="dxa"/>
            <w:tcBorders>
              <w:bottom w:val="nil"/>
            </w:tcBorders>
          </w:tcPr>
          <w:p w14:paraId="18A91696" w14:textId="77777777" w:rsidR="00A7310E" w:rsidRDefault="000616A3">
            <w:pPr>
              <w:jc w:val="both"/>
              <w:rPr>
                <w:rFonts w:ascii="Arial" w:eastAsia="Arial" w:hAnsi="Arial" w:cs="Arial"/>
              </w:rPr>
            </w:pPr>
            <w:r>
              <w:rPr>
                <w:rFonts w:ascii="Arial" w:eastAsia="Arial" w:hAnsi="Arial" w:cs="Arial"/>
              </w:rPr>
              <w:t>26</w:t>
            </w:r>
          </w:p>
        </w:tc>
        <w:tc>
          <w:tcPr>
            <w:tcW w:w="1905" w:type="dxa"/>
            <w:tcBorders>
              <w:bottom w:val="nil"/>
            </w:tcBorders>
          </w:tcPr>
          <w:p w14:paraId="29D43FFA" w14:textId="77777777" w:rsidR="00A7310E" w:rsidRDefault="000616A3">
            <w:pPr>
              <w:jc w:val="both"/>
              <w:rPr>
                <w:rFonts w:ascii="Arial" w:eastAsia="Arial" w:hAnsi="Arial" w:cs="Arial"/>
              </w:rPr>
            </w:pPr>
            <w:r>
              <w:rPr>
                <w:rFonts w:ascii="Arial" w:eastAsia="Arial" w:hAnsi="Arial" w:cs="Arial"/>
              </w:rPr>
              <w:t>27,95</w:t>
            </w:r>
          </w:p>
        </w:tc>
      </w:tr>
      <w:tr w:rsidR="00A7310E" w14:paraId="444D717D" w14:textId="77777777">
        <w:trPr>
          <w:jc w:val="center"/>
        </w:trPr>
        <w:tc>
          <w:tcPr>
            <w:tcW w:w="3885" w:type="dxa"/>
            <w:tcBorders>
              <w:top w:val="nil"/>
              <w:bottom w:val="nil"/>
            </w:tcBorders>
          </w:tcPr>
          <w:p w14:paraId="7B599B65" w14:textId="77777777" w:rsidR="00A7310E" w:rsidRDefault="000616A3">
            <w:pPr>
              <w:jc w:val="both"/>
              <w:rPr>
                <w:rFonts w:ascii="Arial" w:eastAsia="Arial" w:hAnsi="Arial" w:cs="Arial"/>
              </w:rPr>
            </w:pPr>
            <w:r>
              <w:rPr>
                <w:rFonts w:ascii="Arial" w:eastAsia="Arial" w:hAnsi="Arial" w:cs="Arial"/>
              </w:rPr>
              <w:t>Total</w:t>
            </w:r>
          </w:p>
        </w:tc>
        <w:tc>
          <w:tcPr>
            <w:tcW w:w="1470" w:type="dxa"/>
            <w:tcBorders>
              <w:top w:val="nil"/>
              <w:bottom w:val="nil"/>
            </w:tcBorders>
          </w:tcPr>
          <w:p w14:paraId="37AB7D95" w14:textId="77777777" w:rsidR="00A7310E" w:rsidRDefault="000616A3">
            <w:pPr>
              <w:jc w:val="both"/>
              <w:rPr>
                <w:rFonts w:ascii="Arial" w:eastAsia="Arial" w:hAnsi="Arial" w:cs="Arial"/>
              </w:rPr>
            </w:pPr>
            <w:r>
              <w:rPr>
                <w:rFonts w:ascii="Arial" w:eastAsia="Arial" w:hAnsi="Arial" w:cs="Arial"/>
              </w:rPr>
              <w:t>93</w:t>
            </w:r>
          </w:p>
        </w:tc>
        <w:tc>
          <w:tcPr>
            <w:tcW w:w="1905" w:type="dxa"/>
            <w:tcBorders>
              <w:top w:val="nil"/>
              <w:bottom w:val="nil"/>
            </w:tcBorders>
          </w:tcPr>
          <w:p w14:paraId="48FD9BC3" w14:textId="77777777" w:rsidR="00A7310E" w:rsidRDefault="000616A3">
            <w:pPr>
              <w:jc w:val="both"/>
              <w:rPr>
                <w:rFonts w:ascii="Arial" w:eastAsia="Arial" w:hAnsi="Arial" w:cs="Arial"/>
              </w:rPr>
            </w:pPr>
            <w:r>
              <w:rPr>
                <w:rFonts w:ascii="Arial" w:eastAsia="Arial" w:hAnsi="Arial" w:cs="Arial"/>
              </w:rPr>
              <w:t>100</w:t>
            </w:r>
          </w:p>
        </w:tc>
      </w:tr>
      <w:tr w:rsidR="00A7310E" w14:paraId="591F929C" w14:textId="77777777">
        <w:trPr>
          <w:jc w:val="center"/>
        </w:trPr>
        <w:tc>
          <w:tcPr>
            <w:tcW w:w="3885" w:type="dxa"/>
            <w:tcBorders>
              <w:top w:val="nil"/>
              <w:bottom w:val="single" w:sz="4" w:space="0" w:color="000000"/>
            </w:tcBorders>
          </w:tcPr>
          <w:p w14:paraId="6A07A698" w14:textId="77777777" w:rsidR="00A7310E" w:rsidRDefault="00A7310E">
            <w:pPr>
              <w:jc w:val="both"/>
              <w:rPr>
                <w:rFonts w:ascii="Arial" w:eastAsia="Arial" w:hAnsi="Arial" w:cs="Arial"/>
              </w:rPr>
            </w:pPr>
          </w:p>
        </w:tc>
        <w:tc>
          <w:tcPr>
            <w:tcW w:w="1470" w:type="dxa"/>
            <w:tcBorders>
              <w:top w:val="nil"/>
              <w:bottom w:val="single" w:sz="4" w:space="0" w:color="000000"/>
            </w:tcBorders>
          </w:tcPr>
          <w:p w14:paraId="428EFB6C" w14:textId="77777777" w:rsidR="00A7310E" w:rsidRDefault="00A7310E">
            <w:pPr>
              <w:jc w:val="both"/>
              <w:rPr>
                <w:rFonts w:ascii="Arial" w:eastAsia="Arial" w:hAnsi="Arial" w:cs="Arial"/>
              </w:rPr>
            </w:pPr>
          </w:p>
        </w:tc>
        <w:tc>
          <w:tcPr>
            <w:tcW w:w="1905" w:type="dxa"/>
            <w:tcBorders>
              <w:top w:val="nil"/>
              <w:bottom w:val="single" w:sz="4" w:space="0" w:color="000000"/>
            </w:tcBorders>
          </w:tcPr>
          <w:p w14:paraId="02502EC9" w14:textId="77777777" w:rsidR="00A7310E" w:rsidRDefault="00A7310E">
            <w:pPr>
              <w:jc w:val="both"/>
              <w:rPr>
                <w:rFonts w:ascii="Arial" w:eastAsia="Arial" w:hAnsi="Arial" w:cs="Arial"/>
              </w:rPr>
            </w:pPr>
          </w:p>
        </w:tc>
      </w:tr>
    </w:tbl>
    <w:p w14:paraId="2B48505A" w14:textId="77777777" w:rsidR="00A7310E" w:rsidRDefault="000616A3">
      <w:pPr>
        <w:tabs>
          <w:tab w:val="left" w:pos="1080"/>
        </w:tabs>
        <w:ind w:left="1080"/>
        <w:jc w:val="both"/>
        <w:rPr>
          <w:rFonts w:ascii="Arial" w:eastAsia="Arial" w:hAnsi="Arial" w:cs="Arial"/>
          <w:i/>
          <w:iCs/>
          <w:sz w:val="18"/>
          <w:szCs w:val="18"/>
        </w:rPr>
      </w:pPr>
      <w:r>
        <w:rPr>
          <w:rFonts w:ascii="Arial" w:eastAsia="Arial" w:hAnsi="Arial" w:cs="Arial"/>
          <w:i/>
          <w:iCs/>
          <w:sz w:val="18"/>
          <w:szCs w:val="18"/>
        </w:rPr>
        <w:t>Legenda</w:t>
      </w:r>
    </w:p>
    <w:p w14:paraId="103F69D6" w14:textId="77777777" w:rsidR="00A7310E" w:rsidRDefault="00A7310E">
      <w:pPr>
        <w:pBdr>
          <w:top w:val="nil"/>
          <w:left w:val="nil"/>
          <w:bottom w:val="nil"/>
          <w:right w:val="nil"/>
          <w:between w:val="nil"/>
        </w:pBdr>
        <w:tabs>
          <w:tab w:val="left" w:pos="1080"/>
        </w:tabs>
        <w:jc w:val="both"/>
        <w:rPr>
          <w:rFonts w:ascii="Arial" w:eastAsia="Arial" w:hAnsi="Arial" w:cs="Arial"/>
          <w:b/>
          <w:bCs/>
          <w:color w:val="FF0000"/>
        </w:rPr>
      </w:pPr>
    </w:p>
    <w:p w14:paraId="6BCBE1C0" w14:textId="77777777" w:rsidR="00A7310E" w:rsidRDefault="00A7310E">
      <w:pPr>
        <w:pBdr>
          <w:top w:val="nil"/>
          <w:left w:val="nil"/>
          <w:bottom w:val="nil"/>
          <w:right w:val="nil"/>
          <w:between w:val="nil"/>
        </w:pBdr>
        <w:tabs>
          <w:tab w:val="left" w:pos="1080"/>
        </w:tabs>
        <w:jc w:val="both"/>
        <w:rPr>
          <w:rFonts w:ascii="Arial" w:eastAsia="Arial" w:hAnsi="Arial" w:cs="Arial"/>
          <w:b/>
          <w:bCs/>
        </w:rPr>
      </w:pPr>
    </w:p>
    <w:p w14:paraId="07A066A2" w14:textId="77777777" w:rsidR="00A7310E" w:rsidRDefault="00A7310E">
      <w:pPr>
        <w:pBdr>
          <w:top w:val="nil"/>
          <w:left w:val="nil"/>
          <w:bottom w:val="nil"/>
          <w:right w:val="nil"/>
          <w:between w:val="nil"/>
        </w:pBdr>
        <w:jc w:val="both"/>
        <w:rPr>
          <w:rFonts w:ascii="Arial" w:eastAsia="Arial" w:hAnsi="Arial" w:cs="Arial"/>
          <w:color w:val="000000"/>
        </w:rPr>
      </w:pPr>
    </w:p>
    <w:p w14:paraId="2F8E0D46" w14:textId="77777777" w:rsidR="00A7310E" w:rsidRDefault="000616A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77A007A6" w14:textId="77777777" w:rsidR="00A7310E" w:rsidRDefault="00A7310E">
      <w:pPr>
        <w:keepNext/>
        <w:pBdr>
          <w:top w:val="nil"/>
          <w:left w:val="nil"/>
          <w:bottom w:val="nil"/>
          <w:right w:val="nil"/>
          <w:between w:val="nil"/>
        </w:pBdr>
        <w:jc w:val="both"/>
        <w:rPr>
          <w:rFonts w:ascii="Arial" w:eastAsia="Arial" w:hAnsi="Arial" w:cs="Arial"/>
          <w:b/>
          <w:bCs/>
          <w:smallCaps/>
          <w:color w:val="000000"/>
          <w:sz w:val="22"/>
          <w:szCs w:val="22"/>
        </w:rPr>
      </w:pPr>
    </w:p>
    <w:p w14:paraId="5152679C" w14:textId="77777777" w:rsidR="00A7310E" w:rsidRDefault="000616A3">
      <w:pPr>
        <w:jc w:val="both"/>
        <w:rPr>
          <w:rFonts w:ascii="Arial" w:eastAsia="Arial" w:hAnsi="Arial" w:cs="Arial"/>
        </w:rPr>
      </w:pPr>
      <w:r>
        <w:rPr>
          <w:rFonts w:ascii="Arial" w:eastAsia="Arial" w:hAnsi="Arial" w:cs="Arial"/>
        </w:rPr>
        <w:t>The results of this study reinforce that the relationship between academic life, lifestyle habits, and episodes of recurrent vulvovaginal candidiasis is multifactorial, complex, and modulated by several individual and collective factors. Although not all associations reached statistical significance, these findings are scientifically and practically relevant, as they suggest that the phenomenon may manifest itself in different ways in different social contexts.</w:t>
      </w:r>
    </w:p>
    <w:p w14:paraId="615DB2B2" w14:textId="77777777" w:rsidR="00A7310E" w:rsidRDefault="00A7310E">
      <w:pPr>
        <w:jc w:val="both"/>
        <w:rPr>
          <w:rFonts w:ascii="Arial" w:eastAsia="Arial" w:hAnsi="Arial" w:cs="Arial"/>
        </w:rPr>
      </w:pPr>
    </w:p>
    <w:p w14:paraId="629D4D80" w14:textId="77777777" w:rsidR="00A7310E" w:rsidRDefault="000616A3">
      <w:pPr>
        <w:jc w:val="both"/>
        <w:rPr>
          <w:rFonts w:ascii="Arial" w:eastAsia="Arial" w:hAnsi="Arial" w:cs="Arial"/>
        </w:rPr>
      </w:pPr>
      <w:r>
        <w:rPr>
          <w:rFonts w:ascii="Arial" w:eastAsia="Arial" w:hAnsi="Arial" w:cs="Arial"/>
        </w:rPr>
        <w:t>In view of this, it is recommended that educational actions focused on individual health, guidance on the rational use of antimicrobials, and, when possible, psychosocial support for university students be implemented. The findings regarding the negative impact on sleep and eating converge with already established evidence, reinforcing the importance of these factors as potential targets for preventive interventions against health complications that are facilitated by this pattern.</w:t>
      </w:r>
    </w:p>
    <w:p w14:paraId="47B3047C" w14:textId="77777777" w:rsidR="00A7310E" w:rsidRDefault="00A7310E">
      <w:pPr>
        <w:pBdr>
          <w:top w:val="nil"/>
          <w:left w:val="nil"/>
          <w:bottom w:val="nil"/>
          <w:right w:val="nil"/>
          <w:between w:val="nil"/>
        </w:pBdr>
        <w:jc w:val="both"/>
        <w:rPr>
          <w:rFonts w:ascii="Arial" w:eastAsia="Arial" w:hAnsi="Arial" w:cs="Arial"/>
        </w:rPr>
      </w:pPr>
    </w:p>
    <w:p w14:paraId="39BFF2D9"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In addition, it is suggested that future studies adopt larger samples, longitudinal designs, and standardized clinical evaluation in order to deepen the understanding of the relationship between emotional factors and recurrent infections, supporting more effective strategies for promoting mental and physical health, especially in the university environment.</w:t>
      </w:r>
    </w:p>
    <w:p w14:paraId="13D43498" w14:textId="77777777" w:rsidR="00A7310E" w:rsidRDefault="00A7310E">
      <w:pPr>
        <w:pBdr>
          <w:top w:val="nil"/>
          <w:left w:val="nil"/>
          <w:bottom w:val="nil"/>
          <w:right w:val="nil"/>
          <w:between w:val="nil"/>
        </w:pBdr>
        <w:jc w:val="both"/>
        <w:rPr>
          <w:rFonts w:ascii="Arial" w:eastAsia="Arial" w:hAnsi="Arial" w:cs="Arial"/>
        </w:rPr>
      </w:pPr>
    </w:p>
    <w:p w14:paraId="4EF262D1" w14:textId="77777777" w:rsidR="00A7310E" w:rsidRDefault="00A7310E">
      <w:pPr>
        <w:pBdr>
          <w:top w:val="nil"/>
          <w:left w:val="nil"/>
          <w:bottom w:val="nil"/>
          <w:right w:val="nil"/>
          <w:between w:val="nil"/>
        </w:pBdr>
        <w:jc w:val="both"/>
        <w:rPr>
          <w:rFonts w:ascii="Arial" w:eastAsia="Arial" w:hAnsi="Arial" w:cs="Arial"/>
        </w:rPr>
      </w:pPr>
    </w:p>
    <w:p w14:paraId="0ED98B02" w14:textId="77777777" w:rsidR="00A7310E" w:rsidRDefault="000616A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Consent</w:t>
      </w:r>
    </w:p>
    <w:p w14:paraId="4AB6972E" w14:textId="77777777" w:rsidR="00A7310E" w:rsidRDefault="00A7310E">
      <w:pPr>
        <w:keepNext/>
        <w:pBdr>
          <w:top w:val="nil"/>
          <w:left w:val="nil"/>
          <w:bottom w:val="nil"/>
          <w:right w:val="nil"/>
          <w:between w:val="nil"/>
        </w:pBdr>
        <w:jc w:val="both"/>
        <w:rPr>
          <w:rFonts w:ascii="Arial" w:eastAsia="Arial" w:hAnsi="Arial" w:cs="Arial"/>
          <w:b/>
          <w:bCs/>
          <w:smallCaps/>
          <w:color w:val="000000"/>
          <w:sz w:val="22"/>
          <w:szCs w:val="22"/>
        </w:rPr>
      </w:pPr>
    </w:p>
    <w:p w14:paraId="59D2962D" w14:textId="77777777" w:rsidR="00A7310E" w:rsidRDefault="000616A3">
      <w:pPr>
        <w:keepNext/>
        <w:pBdr>
          <w:top w:val="nil"/>
          <w:left w:val="nil"/>
          <w:bottom w:val="nil"/>
          <w:right w:val="nil"/>
          <w:between w:val="nil"/>
        </w:pBdr>
        <w:jc w:val="both"/>
        <w:rPr>
          <w:rFonts w:ascii="Arial" w:eastAsia="Arial" w:hAnsi="Arial" w:cs="Arial"/>
          <w:color w:val="000000"/>
        </w:rPr>
      </w:pPr>
      <w:r>
        <w:rPr>
          <w:rFonts w:ascii="Arial" w:eastAsia="Arial" w:hAnsi="Arial" w:cs="Arial"/>
        </w:rPr>
        <w:t xml:space="preserve">All authors declare that ‘informed consent form was obtained from </w:t>
      </w:r>
      <w:proofErr w:type="gramStart"/>
      <w:r>
        <w:rPr>
          <w:rFonts w:ascii="Arial" w:eastAsia="Arial" w:hAnsi="Arial" w:cs="Arial"/>
        </w:rPr>
        <w:t>the  for</w:t>
      </w:r>
      <w:proofErr w:type="gramEnd"/>
      <w:r>
        <w:rPr>
          <w:rFonts w:ascii="Arial" w:eastAsia="Arial" w:hAnsi="Arial" w:cs="Arial"/>
        </w:rPr>
        <w:t xml:space="preserve"> publication of this article. A copy of the consent form is available for review by the Editorial office/Chief Editor/Editorial Board members of this journal.</w:t>
      </w:r>
    </w:p>
    <w:p w14:paraId="7ED82DB6" w14:textId="77777777" w:rsidR="00A7310E" w:rsidRDefault="00A7310E">
      <w:pPr>
        <w:keepNext/>
        <w:pBdr>
          <w:top w:val="nil"/>
          <w:left w:val="nil"/>
          <w:bottom w:val="nil"/>
          <w:right w:val="nil"/>
          <w:between w:val="nil"/>
        </w:pBdr>
        <w:jc w:val="both"/>
        <w:rPr>
          <w:rFonts w:ascii="Arial" w:eastAsia="Arial" w:hAnsi="Arial" w:cs="Arial"/>
          <w:color w:val="000000"/>
        </w:rPr>
      </w:pPr>
    </w:p>
    <w:p w14:paraId="465E9880" w14:textId="77777777" w:rsidR="00A7310E" w:rsidRDefault="00A7310E">
      <w:pPr>
        <w:keepNext/>
        <w:pBdr>
          <w:top w:val="nil"/>
          <w:left w:val="nil"/>
          <w:bottom w:val="nil"/>
          <w:right w:val="nil"/>
          <w:between w:val="nil"/>
        </w:pBdr>
        <w:jc w:val="both"/>
        <w:rPr>
          <w:rFonts w:ascii="Arial" w:eastAsia="Arial" w:hAnsi="Arial" w:cs="Arial"/>
          <w:color w:val="000000"/>
        </w:rPr>
      </w:pPr>
    </w:p>
    <w:p w14:paraId="360D4A3B" w14:textId="77777777" w:rsidR="00A7310E" w:rsidRDefault="000616A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Ethical approval</w:t>
      </w:r>
    </w:p>
    <w:p w14:paraId="36E58A35" w14:textId="77777777" w:rsidR="00A7310E" w:rsidRDefault="00A7310E">
      <w:pPr>
        <w:keepNext/>
        <w:pBdr>
          <w:top w:val="nil"/>
          <w:left w:val="nil"/>
          <w:bottom w:val="nil"/>
          <w:right w:val="nil"/>
          <w:between w:val="nil"/>
        </w:pBdr>
        <w:jc w:val="both"/>
        <w:rPr>
          <w:rFonts w:ascii="Arial" w:eastAsia="Arial" w:hAnsi="Arial" w:cs="Arial"/>
          <w:b/>
          <w:bCs/>
          <w:smallCaps/>
          <w:color w:val="000000"/>
          <w:sz w:val="22"/>
          <w:szCs w:val="22"/>
        </w:rPr>
      </w:pPr>
    </w:p>
    <w:p w14:paraId="1EF3E5C1" w14:textId="77777777" w:rsidR="00A7310E" w:rsidRDefault="000616A3">
      <w:pPr>
        <w:keepNext/>
        <w:spacing w:after="240"/>
        <w:jc w:val="both"/>
        <w:rPr>
          <w:rFonts w:ascii="Arial" w:eastAsia="Arial" w:hAnsi="Arial" w:cs="Arial"/>
        </w:rPr>
      </w:pPr>
      <w:r>
        <w:rPr>
          <w:rFonts w:ascii="Arial" w:eastAsia="Arial" w:hAnsi="Arial" w:cs="Arial"/>
        </w:rPr>
        <w:t xml:space="preserve">This study was conducted in accordance with the ethical principles of the Declaration of Helsinki and national and institutional research guidelines. The research protocol was reviewed and approved by the Research Ethics Committee of the University of </w:t>
      </w:r>
      <w:proofErr w:type="spellStart"/>
      <w:r>
        <w:rPr>
          <w:rFonts w:ascii="Arial" w:eastAsia="Arial" w:hAnsi="Arial" w:cs="Arial"/>
        </w:rPr>
        <w:t>Gurupi</w:t>
      </w:r>
      <w:proofErr w:type="spellEnd"/>
      <w:r>
        <w:rPr>
          <w:rFonts w:ascii="Arial" w:eastAsia="Arial" w:hAnsi="Arial" w:cs="Arial"/>
        </w:rPr>
        <w:t xml:space="preserve"> (</w:t>
      </w:r>
      <w:proofErr w:type="spellStart"/>
      <w:r>
        <w:rPr>
          <w:rFonts w:ascii="Arial" w:eastAsia="Arial" w:hAnsi="Arial" w:cs="Arial"/>
        </w:rPr>
        <w:t>UnirG</w:t>
      </w:r>
      <w:proofErr w:type="spellEnd"/>
      <w:r>
        <w:rPr>
          <w:rFonts w:ascii="Arial" w:eastAsia="Arial" w:hAnsi="Arial" w:cs="Arial"/>
        </w:rPr>
        <w:t>), under approval number 7.506.597. All ethical requirements for human research were fully met.</w:t>
      </w:r>
    </w:p>
    <w:p w14:paraId="0DC1D011" w14:textId="77777777" w:rsidR="00A7310E" w:rsidRDefault="000616A3">
      <w:pPr>
        <w:keepNext/>
        <w:spacing w:before="240" w:after="240"/>
        <w:jc w:val="both"/>
        <w:rPr>
          <w:rFonts w:ascii="Arial" w:eastAsia="Arial" w:hAnsi="Arial" w:cs="Arial"/>
        </w:rPr>
      </w:pPr>
      <w:r>
        <w:rPr>
          <w:rFonts w:ascii="Arial" w:eastAsia="Arial" w:hAnsi="Arial" w:cs="Arial"/>
        </w:rPr>
        <w:t>All participants received information about the study’s purpose, procedures, risks, and benefits. Participation was voluntary, and anonymity and confidentiality were ensured. Written informed consent was obtained from all participants prior to data collection, through the signing of the Informed Consent Form (ICF).</w:t>
      </w:r>
    </w:p>
    <w:p w14:paraId="5F57E36E" w14:textId="77777777" w:rsidR="00A7310E" w:rsidRDefault="000616A3">
      <w:pPr>
        <w:keepNext/>
        <w:spacing w:before="240" w:after="240"/>
        <w:jc w:val="both"/>
        <w:rPr>
          <w:rFonts w:ascii="Arial" w:eastAsia="Arial" w:hAnsi="Arial" w:cs="Arial"/>
          <w:smallCaps/>
          <w:sz w:val="22"/>
          <w:szCs w:val="22"/>
        </w:rPr>
      </w:pPr>
      <w:r>
        <w:rPr>
          <w:rFonts w:ascii="Arial" w:eastAsia="Arial" w:hAnsi="Arial" w:cs="Arial"/>
        </w:rPr>
        <w:t>The authors confirm that this study does not conflict with public interest and that all procedures comply with applicable legal and institutional regulations. A scanned copy of the ethics approval document can be provided upon editorial request.</w:t>
      </w:r>
    </w:p>
    <w:p w14:paraId="49BCE933" w14:textId="77777777" w:rsidR="00A7310E" w:rsidRDefault="00A7310E">
      <w:pPr>
        <w:keepNext/>
        <w:pBdr>
          <w:top w:val="nil"/>
          <w:left w:val="nil"/>
          <w:bottom w:val="nil"/>
          <w:right w:val="nil"/>
          <w:between w:val="nil"/>
        </w:pBdr>
        <w:jc w:val="both"/>
        <w:rPr>
          <w:rFonts w:ascii="Arial" w:eastAsia="Arial" w:hAnsi="Arial" w:cs="Arial"/>
          <w:b/>
          <w:bCs/>
          <w:smallCaps/>
          <w:sz w:val="22"/>
          <w:szCs w:val="22"/>
        </w:rPr>
      </w:pPr>
    </w:p>
    <w:p w14:paraId="6F4B1521" w14:textId="77777777" w:rsidR="00A7310E" w:rsidRDefault="000616A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2E767765" w14:textId="77777777" w:rsidR="00A7310E" w:rsidRDefault="00A7310E">
      <w:pPr>
        <w:keepNext/>
        <w:pBdr>
          <w:top w:val="nil"/>
          <w:left w:val="nil"/>
          <w:bottom w:val="nil"/>
          <w:right w:val="nil"/>
          <w:between w:val="nil"/>
        </w:pBdr>
        <w:jc w:val="both"/>
        <w:rPr>
          <w:rFonts w:ascii="Arial" w:eastAsia="Arial" w:hAnsi="Arial" w:cs="Arial"/>
          <w:b/>
          <w:bCs/>
          <w:smallCaps/>
          <w:sz w:val="22"/>
          <w:szCs w:val="22"/>
        </w:rPr>
      </w:pPr>
    </w:p>
    <w:p w14:paraId="521CD5E9" w14:textId="65CF7728" w:rsidR="00A7310E" w:rsidRPr="00356A51" w:rsidRDefault="00356A51" w:rsidP="00356A51">
      <w:pPr>
        <w:pStyle w:val="ListParagraph"/>
        <w:numPr>
          <w:ilvl w:val="0"/>
          <w:numId w:val="1"/>
        </w:numPr>
        <w:rPr>
          <w:rFonts w:ascii="Arial" w:eastAsia="Arial" w:hAnsi="Arial" w:cs="Arial"/>
        </w:rPr>
      </w:pPr>
      <w:r w:rsidRPr="00356A51">
        <w:rPr>
          <w:rFonts w:ascii="Arial" w:eastAsia="Arial" w:hAnsi="Arial" w:cs="Arial"/>
        </w:rPr>
        <w:t xml:space="preserve">Silva, G. H. et al. (2023). Prevalence of recurrent vulvovaginal candidiasis in young women. </w:t>
      </w:r>
      <w:proofErr w:type="spellStart"/>
      <w:r w:rsidRPr="00356A51">
        <w:rPr>
          <w:rFonts w:ascii="Arial" w:eastAsia="Arial" w:hAnsi="Arial" w:cs="Arial"/>
        </w:rPr>
        <w:t>Biofarm</w:t>
      </w:r>
      <w:proofErr w:type="spellEnd"/>
      <w:r w:rsidRPr="00356A51">
        <w:rPr>
          <w:rFonts w:ascii="Arial" w:eastAsia="Arial" w:hAnsi="Arial" w:cs="Arial"/>
        </w:rPr>
        <w:t xml:space="preserve"> Journal. Available at: </w:t>
      </w:r>
      <w:hyperlink r:id="rId21" w:history="1">
        <w:r w:rsidRPr="001B0D19">
          <w:rPr>
            <w:rStyle w:val="Hyperlink"/>
            <w:rFonts w:ascii="Arial" w:eastAsia="Arial" w:hAnsi="Arial" w:cs="Arial"/>
          </w:rPr>
          <w:t>https://revista.uepb.edu.br/BIOFARM/article/view/2146</w:t>
        </w:r>
      </w:hyperlink>
    </w:p>
    <w:p w14:paraId="3BD23A80" w14:textId="77777777" w:rsidR="00356A51" w:rsidRPr="00356A51" w:rsidRDefault="00356A51" w:rsidP="00356A51">
      <w:pPr>
        <w:ind w:left="360"/>
        <w:rPr>
          <w:rFonts w:ascii="Arial" w:eastAsia="Arial" w:hAnsi="Arial" w:cs="Arial"/>
        </w:rPr>
      </w:pPr>
    </w:p>
    <w:p w14:paraId="23C3C5AD" w14:textId="69DAA30A" w:rsidR="00356A51" w:rsidRPr="005E1646" w:rsidRDefault="00356A51" w:rsidP="00356A51">
      <w:pPr>
        <w:pStyle w:val="ListParagraph"/>
        <w:numPr>
          <w:ilvl w:val="0"/>
          <w:numId w:val="1"/>
        </w:numPr>
        <w:rPr>
          <w:rFonts w:ascii="Arial" w:eastAsia="Arial" w:hAnsi="Arial" w:cs="Arial"/>
        </w:rPr>
      </w:pPr>
      <w:r w:rsidRPr="005E1646">
        <w:rPr>
          <w:rFonts w:ascii="Arial" w:eastAsia="Arial" w:hAnsi="Arial" w:cs="Arial"/>
        </w:rPr>
        <w:t xml:space="preserve">Carvalho, M. L. et al. (2024). Vulvovaginal candidiasis: prevalence and associated risk factors. </w:t>
      </w:r>
      <w:proofErr w:type="spellStart"/>
      <w:r w:rsidRPr="005E1646">
        <w:rPr>
          <w:rFonts w:ascii="Arial" w:eastAsia="Arial" w:hAnsi="Arial" w:cs="Arial"/>
        </w:rPr>
        <w:t>Epitaya</w:t>
      </w:r>
      <w:proofErr w:type="spellEnd"/>
      <w:r w:rsidRPr="005E1646">
        <w:rPr>
          <w:rFonts w:ascii="Arial" w:eastAsia="Arial" w:hAnsi="Arial" w:cs="Arial"/>
        </w:rPr>
        <w:t xml:space="preserve"> Health Portal. </w:t>
      </w:r>
    </w:p>
    <w:p w14:paraId="0C68C92B" w14:textId="77777777" w:rsidR="00356A51" w:rsidRPr="00356A51" w:rsidRDefault="00356A51" w:rsidP="00356A51">
      <w:pPr>
        <w:ind w:left="360"/>
        <w:rPr>
          <w:rFonts w:ascii="Arial" w:eastAsia="Arial" w:hAnsi="Arial" w:cs="Arial"/>
        </w:rPr>
      </w:pPr>
    </w:p>
    <w:p w14:paraId="3261BEBA" w14:textId="63F33CB4" w:rsidR="00A7310E" w:rsidRPr="00356A51" w:rsidRDefault="00356A51" w:rsidP="00356A51">
      <w:pPr>
        <w:pStyle w:val="ListParagraph"/>
        <w:numPr>
          <w:ilvl w:val="0"/>
          <w:numId w:val="1"/>
        </w:numPr>
        <w:rPr>
          <w:rFonts w:ascii="Arial" w:eastAsia="Arial" w:hAnsi="Arial" w:cs="Arial"/>
        </w:rPr>
      </w:pPr>
      <w:r w:rsidRPr="00356A51">
        <w:rPr>
          <w:rFonts w:ascii="Arial" w:eastAsia="Arial" w:hAnsi="Arial" w:cs="Arial"/>
        </w:rPr>
        <w:t xml:space="preserve">Ferreira, A. R. et al. (2024). Impact of vulvovaginal candidiasis on women's quality of life. Brazilian Journal of Infectious Health Studies. Available at: </w:t>
      </w:r>
      <w:hyperlink r:id="rId22" w:history="1">
        <w:r w:rsidR="00A53554" w:rsidRPr="00C776EA">
          <w:rPr>
            <w:rStyle w:val="Hyperlink"/>
          </w:rPr>
          <w:t>https://doi.org/10.36557/2674-8169.2024v6n4p1947-1952</w:t>
        </w:r>
      </w:hyperlink>
      <w:r w:rsidR="00A53554">
        <w:t xml:space="preserve"> </w:t>
      </w:r>
    </w:p>
    <w:p w14:paraId="0C4DAC7A" w14:textId="77777777" w:rsidR="00356A51" w:rsidRPr="00356A51" w:rsidRDefault="00356A51" w:rsidP="00356A51">
      <w:pPr>
        <w:ind w:left="360"/>
        <w:rPr>
          <w:rFonts w:ascii="Arial" w:eastAsia="Arial" w:hAnsi="Arial" w:cs="Arial"/>
        </w:rPr>
      </w:pPr>
    </w:p>
    <w:p w14:paraId="7F36A73E" w14:textId="1F3020CB" w:rsidR="00A7310E" w:rsidRPr="00356A51" w:rsidRDefault="00356A51" w:rsidP="00356A51">
      <w:pPr>
        <w:pStyle w:val="ListParagraph"/>
        <w:numPr>
          <w:ilvl w:val="0"/>
          <w:numId w:val="1"/>
        </w:numPr>
        <w:rPr>
          <w:rFonts w:ascii="Arial" w:eastAsia="Arial" w:hAnsi="Arial" w:cs="Arial"/>
        </w:rPr>
      </w:pPr>
      <w:r w:rsidRPr="00356A51">
        <w:rPr>
          <w:rFonts w:ascii="Arial" w:eastAsia="Arial" w:hAnsi="Arial" w:cs="Arial"/>
        </w:rPr>
        <w:t xml:space="preserve">Elias, C. D., Teixeira, F. R., Vasconcelos, L. G., Lima, S. M. S., Souza, L. H. R. F., &amp; … (2023). Vulvovaginal candidiasis: associated factors and repercussions. </w:t>
      </w:r>
      <w:proofErr w:type="spellStart"/>
      <w:r w:rsidRPr="00356A51">
        <w:rPr>
          <w:rFonts w:ascii="Arial" w:eastAsia="Arial" w:hAnsi="Arial" w:cs="Arial"/>
        </w:rPr>
        <w:t>Revista</w:t>
      </w:r>
      <w:proofErr w:type="spellEnd"/>
      <w:r w:rsidRPr="00356A51">
        <w:rPr>
          <w:rFonts w:ascii="Arial" w:eastAsia="Arial" w:hAnsi="Arial" w:cs="Arial"/>
        </w:rPr>
        <w:t xml:space="preserve"> Master, 3(2), 45–56. Available at: </w:t>
      </w:r>
      <w:hyperlink r:id="rId23" w:history="1">
        <w:r w:rsidR="00B54F0B" w:rsidRPr="00C776EA">
          <w:rPr>
            <w:rStyle w:val="Hyperlink"/>
          </w:rPr>
          <w:t>https://doi.org/10.47224/revistamaster.v8i16.482</w:t>
        </w:r>
      </w:hyperlink>
      <w:r w:rsidR="00B54F0B">
        <w:t xml:space="preserve"> </w:t>
      </w:r>
    </w:p>
    <w:p w14:paraId="3EF86E6B" w14:textId="77777777" w:rsidR="00356A51" w:rsidRPr="00356A51" w:rsidRDefault="00356A51" w:rsidP="00356A51">
      <w:pPr>
        <w:pStyle w:val="ListParagraph"/>
        <w:rPr>
          <w:rFonts w:ascii="Arial" w:eastAsia="Arial" w:hAnsi="Arial" w:cs="Arial"/>
        </w:rPr>
      </w:pPr>
    </w:p>
    <w:p w14:paraId="273E4982" w14:textId="77777777" w:rsidR="00356A51" w:rsidRPr="00356A51" w:rsidRDefault="00356A51" w:rsidP="00356A51">
      <w:pPr>
        <w:ind w:left="360"/>
        <w:rPr>
          <w:rFonts w:ascii="Arial" w:eastAsia="Arial" w:hAnsi="Arial" w:cs="Arial"/>
        </w:rPr>
      </w:pPr>
    </w:p>
    <w:p w14:paraId="15AB2FBC" w14:textId="7F252389" w:rsidR="00A7310E" w:rsidRPr="00356A51" w:rsidRDefault="00356A51" w:rsidP="00356A51">
      <w:pPr>
        <w:pStyle w:val="ListParagraph"/>
        <w:numPr>
          <w:ilvl w:val="0"/>
          <w:numId w:val="1"/>
        </w:numPr>
        <w:rPr>
          <w:rFonts w:ascii="Arial" w:eastAsia="Arial" w:hAnsi="Arial" w:cs="Arial"/>
        </w:rPr>
      </w:pPr>
      <w:proofErr w:type="spellStart"/>
      <w:r w:rsidRPr="00356A51">
        <w:rPr>
          <w:rFonts w:ascii="Arial" w:eastAsia="Arial" w:hAnsi="Arial" w:cs="Arial"/>
        </w:rPr>
        <w:t>Kanuf</w:t>
      </w:r>
      <w:proofErr w:type="spellEnd"/>
      <w:r w:rsidRPr="00356A51">
        <w:rPr>
          <w:rFonts w:ascii="Arial" w:eastAsia="Arial" w:hAnsi="Arial" w:cs="Arial"/>
        </w:rPr>
        <w:t xml:space="preserve">, V. S. et al. (2024). Lifestyle habits and risk factors among medical students: stressful routine, sleep, diet, among others. </w:t>
      </w:r>
      <w:proofErr w:type="spellStart"/>
      <w:r w:rsidRPr="00356A51">
        <w:rPr>
          <w:rFonts w:ascii="Arial" w:eastAsia="Arial" w:hAnsi="Arial" w:cs="Arial"/>
        </w:rPr>
        <w:t>Revista</w:t>
      </w:r>
      <w:proofErr w:type="spellEnd"/>
      <w:r w:rsidRPr="00356A51">
        <w:rPr>
          <w:rFonts w:ascii="Arial" w:eastAsia="Arial" w:hAnsi="Arial" w:cs="Arial"/>
        </w:rPr>
        <w:t xml:space="preserve"> da </w:t>
      </w:r>
      <w:proofErr w:type="spellStart"/>
      <w:r w:rsidRPr="00356A51">
        <w:rPr>
          <w:rFonts w:ascii="Arial" w:eastAsia="Arial" w:hAnsi="Arial" w:cs="Arial"/>
        </w:rPr>
        <w:t>Faculdade</w:t>
      </w:r>
      <w:proofErr w:type="spellEnd"/>
      <w:r w:rsidRPr="00356A51">
        <w:rPr>
          <w:rFonts w:ascii="Arial" w:eastAsia="Arial" w:hAnsi="Arial" w:cs="Arial"/>
        </w:rPr>
        <w:t xml:space="preserve"> de </w:t>
      </w:r>
      <w:proofErr w:type="spellStart"/>
      <w:r w:rsidRPr="00356A51">
        <w:rPr>
          <w:rFonts w:ascii="Arial" w:eastAsia="Arial" w:hAnsi="Arial" w:cs="Arial"/>
        </w:rPr>
        <w:t>Direito</w:t>
      </w:r>
      <w:proofErr w:type="spellEnd"/>
      <w:r w:rsidRPr="00356A51">
        <w:rPr>
          <w:rFonts w:ascii="Arial" w:eastAsia="Arial" w:hAnsi="Arial" w:cs="Arial"/>
        </w:rPr>
        <w:t xml:space="preserve"> de </w:t>
      </w:r>
      <w:proofErr w:type="spellStart"/>
      <w:r w:rsidRPr="00356A51">
        <w:rPr>
          <w:rFonts w:ascii="Arial" w:eastAsia="Arial" w:hAnsi="Arial" w:cs="Arial"/>
        </w:rPr>
        <w:t>Careiro</w:t>
      </w:r>
      <w:proofErr w:type="spellEnd"/>
      <w:r w:rsidRPr="00356A51">
        <w:rPr>
          <w:rFonts w:ascii="Arial" w:eastAsia="Arial" w:hAnsi="Arial" w:cs="Arial"/>
        </w:rPr>
        <w:t xml:space="preserve">. Available at: </w:t>
      </w:r>
      <w:hyperlink r:id="rId24" w:history="1">
        <w:r w:rsidR="0074278A" w:rsidRPr="00C776EA">
          <w:rPr>
            <w:rStyle w:val="Hyperlink"/>
          </w:rPr>
          <w:t>https://doi.org/10.11606/issn.1679-9836.v103i1e-215543</w:t>
        </w:r>
      </w:hyperlink>
      <w:r w:rsidR="0074278A">
        <w:t xml:space="preserve"> </w:t>
      </w:r>
    </w:p>
    <w:p w14:paraId="011B0736" w14:textId="77777777" w:rsidR="00356A51" w:rsidRPr="00356A51" w:rsidRDefault="00356A51" w:rsidP="00356A51">
      <w:pPr>
        <w:ind w:left="360"/>
        <w:rPr>
          <w:rFonts w:ascii="Arial" w:eastAsia="Arial" w:hAnsi="Arial" w:cs="Arial"/>
        </w:rPr>
      </w:pPr>
    </w:p>
    <w:p w14:paraId="6AC923C0" w14:textId="51D592C8" w:rsidR="00356A51" w:rsidRDefault="00356A51">
      <w:pPr>
        <w:numPr>
          <w:ilvl w:val="0"/>
          <w:numId w:val="1"/>
        </w:numPr>
        <w:rPr>
          <w:rFonts w:ascii="Arial" w:eastAsia="Arial" w:hAnsi="Arial" w:cs="Arial"/>
        </w:rPr>
      </w:pPr>
      <w:r w:rsidRPr="00356A51">
        <w:rPr>
          <w:rFonts w:ascii="Arial" w:eastAsia="Arial" w:hAnsi="Arial" w:cs="Arial"/>
        </w:rPr>
        <w:t xml:space="preserve">6. Lima, R. A. et al. (2018). Lifestyle habits and gynecological infections in university students. Editora Master. </w:t>
      </w:r>
    </w:p>
    <w:p w14:paraId="23A13164" w14:textId="77777777" w:rsidR="00356A51" w:rsidRDefault="00356A51" w:rsidP="00356A51">
      <w:pPr>
        <w:pStyle w:val="ListParagraph"/>
        <w:rPr>
          <w:rFonts w:ascii="Arial" w:eastAsia="Arial" w:hAnsi="Arial" w:cs="Arial"/>
        </w:rPr>
      </w:pPr>
    </w:p>
    <w:p w14:paraId="3A384F06" w14:textId="48392974" w:rsidR="00A7310E" w:rsidRDefault="00356A51">
      <w:pPr>
        <w:numPr>
          <w:ilvl w:val="0"/>
          <w:numId w:val="1"/>
        </w:numPr>
        <w:rPr>
          <w:rFonts w:ascii="Arial" w:eastAsia="Arial" w:hAnsi="Arial" w:cs="Arial"/>
        </w:rPr>
      </w:pPr>
      <w:r w:rsidRPr="00356A51">
        <w:rPr>
          <w:rFonts w:ascii="Arial" w:eastAsia="Arial" w:hAnsi="Arial" w:cs="Arial"/>
        </w:rPr>
        <w:lastRenderedPageBreak/>
        <w:t xml:space="preserve">Santos, E. A. S. et al. (2022). Evaluation of the knowledge of undergraduate health students about candidiasis. Research, Society and Development. Available at: </w:t>
      </w:r>
      <w:hyperlink r:id="rId25" w:history="1">
        <w:r w:rsidR="0022452D" w:rsidRPr="00C776EA">
          <w:rPr>
            <w:rStyle w:val="Hyperlink"/>
            <w:rFonts w:ascii="Arial" w:eastAsia="Arial" w:hAnsi="Arial" w:cs="Arial"/>
          </w:rPr>
          <w:t>https://doi.org/10.35572/rsc.v4i1.243</w:t>
        </w:r>
      </w:hyperlink>
      <w:r w:rsidR="0022452D">
        <w:rPr>
          <w:rFonts w:ascii="Arial" w:eastAsia="Arial" w:hAnsi="Arial" w:cs="Arial"/>
        </w:rPr>
        <w:t xml:space="preserve"> </w:t>
      </w:r>
    </w:p>
    <w:p w14:paraId="1D3C6BE8" w14:textId="77777777" w:rsidR="00A7310E" w:rsidRDefault="00A7310E">
      <w:pPr>
        <w:ind w:left="720"/>
        <w:rPr>
          <w:rFonts w:ascii="Arial" w:eastAsia="Arial" w:hAnsi="Arial" w:cs="Arial"/>
        </w:rPr>
      </w:pPr>
    </w:p>
    <w:p w14:paraId="6AF7285B" w14:textId="01E84C66" w:rsidR="00A7310E" w:rsidRPr="00356A51" w:rsidRDefault="00356A51" w:rsidP="00356A51">
      <w:pPr>
        <w:pStyle w:val="ListParagraph"/>
        <w:numPr>
          <w:ilvl w:val="0"/>
          <w:numId w:val="1"/>
        </w:numPr>
        <w:rPr>
          <w:rFonts w:ascii="Arial" w:eastAsia="Arial" w:hAnsi="Arial" w:cs="Arial"/>
        </w:rPr>
      </w:pPr>
      <w:r w:rsidRPr="00356A51">
        <w:rPr>
          <w:rFonts w:ascii="Arial" w:eastAsia="Arial" w:hAnsi="Arial" w:cs="Arial"/>
        </w:rPr>
        <w:t xml:space="preserve">Sobrinho, A. F. et al. (2023). Recurrent vulvovaginal candidiasis: an integrative review. </w:t>
      </w:r>
      <w:proofErr w:type="spellStart"/>
      <w:r w:rsidRPr="00356A51">
        <w:rPr>
          <w:rFonts w:ascii="Arial" w:eastAsia="Arial" w:hAnsi="Arial" w:cs="Arial"/>
        </w:rPr>
        <w:t>Revista</w:t>
      </w:r>
      <w:proofErr w:type="spellEnd"/>
      <w:r w:rsidRPr="00356A51">
        <w:rPr>
          <w:rFonts w:ascii="Arial" w:eastAsia="Arial" w:hAnsi="Arial" w:cs="Arial"/>
        </w:rPr>
        <w:t xml:space="preserve"> </w:t>
      </w:r>
      <w:proofErr w:type="spellStart"/>
      <w:r w:rsidRPr="00356A51">
        <w:rPr>
          <w:rFonts w:ascii="Arial" w:eastAsia="Arial" w:hAnsi="Arial" w:cs="Arial"/>
        </w:rPr>
        <w:t>Saúde</w:t>
      </w:r>
      <w:proofErr w:type="spellEnd"/>
      <w:r w:rsidRPr="00356A51">
        <w:rPr>
          <w:rFonts w:ascii="Arial" w:eastAsia="Arial" w:hAnsi="Arial" w:cs="Arial"/>
        </w:rPr>
        <w:t xml:space="preserve">. </w:t>
      </w:r>
    </w:p>
    <w:p w14:paraId="57BF2E8C" w14:textId="77777777" w:rsidR="00356A51" w:rsidRPr="00356A51" w:rsidRDefault="00356A51" w:rsidP="00356A51">
      <w:pPr>
        <w:pStyle w:val="ListParagraph"/>
        <w:rPr>
          <w:rFonts w:ascii="Arial" w:eastAsia="Arial" w:hAnsi="Arial" w:cs="Arial"/>
        </w:rPr>
      </w:pPr>
    </w:p>
    <w:p w14:paraId="62901BA6" w14:textId="77777777" w:rsidR="00356A51" w:rsidRPr="00356A51" w:rsidRDefault="00356A51" w:rsidP="00356A51">
      <w:pPr>
        <w:ind w:left="360"/>
        <w:rPr>
          <w:rFonts w:ascii="Arial" w:eastAsia="Arial" w:hAnsi="Arial" w:cs="Arial"/>
        </w:rPr>
      </w:pPr>
    </w:p>
    <w:p w14:paraId="2FA173BC" w14:textId="25648518" w:rsidR="00A7310E" w:rsidRPr="00356A51" w:rsidRDefault="00356A51" w:rsidP="00356A51">
      <w:pPr>
        <w:pStyle w:val="ListParagraph"/>
        <w:numPr>
          <w:ilvl w:val="0"/>
          <w:numId w:val="1"/>
        </w:numPr>
        <w:rPr>
          <w:rFonts w:ascii="Arial" w:eastAsia="Arial" w:hAnsi="Arial" w:cs="Arial"/>
        </w:rPr>
      </w:pPr>
      <w:r w:rsidRPr="00356A51">
        <w:rPr>
          <w:rFonts w:ascii="Arial" w:eastAsia="Arial" w:hAnsi="Arial" w:cs="Arial"/>
        </w:rPr>
        <w:t xml:space="preserve">Oliveira, C. T. et al. (2024). Antifungal therapy and resistance of non-albicans species. </w:t>
      </w:r>
      <w:proofErr w:type="spellStart"/>
      <w:r w:rsidRPr="00356A51">
        <w:rPr>
          <w:rFonts w:ascii="Arial" w:eastAsia="Arial" w:hAnsi="Arial" w:cs="Arial"/>
        </w:rPr>
        <w:t>Revista</w:t>
      </w:r>
      <w:proofErr w:type="spellEnd"/>
      <w:r w:rsidRPr="00356A51">
        <w:rPr>
          <w:rFonts w:ascii="Arial" w:eastAsia="Arial" w:hAnsi="Arial" w:cs="Arial"/>
        </w:rPr>
        <w:t xml:space="preserve"> de </w:t>
      </w:r>
      <w:proofErr w:type="spellStart"/>
      <w:r w:rsidRPr="00356A51">
        <w:rPr>
          <w:rFonts w:ascii="Arial" w:eastAsia="Arial" w:hAnsi="Arial" w:cs="Arial"/>
        </w:rPr>
        <w:t>Ginecologia</w:t>
      </w:r>
      <w:proofErr w:type="spellEnd"/>
      <w:r w:rsidRPr="00356A51">
        <w:rPr>
          <w:rFonts w:ascii="Arial" w:eastAsia="Arial" w:hAnsi="Arial" w:cs="Arial"/>
        </w:rPr>
        <w:t xml:space="preserve"> e </w:t>
      </w:r>
      <w:proofErr w:type="spellStart"/>
      <w:r w:rsidRPr="00356A51">
        <w:rPr>
          <w:rFonts w:ascii="Arial" w:eastAsia="Arial" w:hAnsi="Arial" w:cs="Arial"/>
        </w:rPr>
        <w:t>Obstetrícia</w:t>
      </w:r>
      <w:proofErr w:type="spellEnd"/>
      <w:r w:rsidRPr="00356A51">
        <w:rPr>
          <w:rFonts w:ascii="Arial" w:eastAsia="Arial" w:hAnsi="Arial" w:cs="Arial"/>
        </w:rPr>
        <w:t xml:space="preserve">. </w:t>
      </w:r>
    </w:p>
    <w:p w14:paraId="0AAFF7DD" w14:textId="77777777" w:rsidR="00356A51" w:rsidRPr="00356A51" w:rsidRDefault="00356A51" w:rsidP="00356A51">
      <w:pPr>
        <w:ind w:left="360"/>
        <w:rPr>
          <w:rFonts w:ascii="Arial" w:eastAsia="Arial" w:hAnsi="Arial" w:cs="Arial"/>
        </w:rPr>
      </w:pPr>
    </w:p>
    <w:p w14:paraId="5FE1AF3D" w14:textId="27F0DD24" w:rsidR="00A7310E" w:rsidRDefault="000616A3">
      <w:pPr>
        <w:numPr>
          <w:ilvl w:val="0"/>
          <w:numId w:val="1"/>
        </w:numPr>
        <w:rPr>
          <w:rFonts w:ascii="Arial" w:eastAsia="Arial" w:hAnsi="Arial" w:cs="Arial"/>
        </w:rPr>
      </w:pPr>
      <w:proofErr w:type="spellStart"/>
      <w:r>
        <w:rPr>
          <w:rFonts w:ascii="Arial" w:eastAsia="Arial" w:hAnsi="Arial" w:cs="Arial"/>
        </w:rPr>
        <w:t>Bessels</w:t>
      </w:r>
      <w:proofErr w:type="spellEnd"/>
      <w:r>
        <w:rPr>
          <w:rFonts w:ascii="Arial" w:eastAsia="Arial" w:hAnsi="Arial" w:cs="Arial"/>
        </w:rPr>
        <w:t xml:space="preserve">, R., Irwin, M. R., &amp; Opp, M. (2019). The sleep–immune crosstalk in health and disease. </w:t>
      </w:r>
      <w:r>
        <w:rPr>
          <w:rFonts w:ascii="Arial" w:eastAsia="Arial" w:hAnsi="Arial" w:cs="Arial"/>
          <w:i/>
          <w:iCs/>
        </w:rPr>
        <w:t>Physiol. Rev.</w:t>
      </w:r>
      <w:r>
        <w:rPr>
          <w:rFonts w:ascii="Arial" w:eastAsia="Arial" w:hAnsi="Arial" w:cs="Arial"/>
        </w:rPr>
        <w:t>, 99(3), 1325–1380.</w:t>
      </w:r>
      <w:r w:rsidR="00BA3D66" w:rsidRPr="00BA3D66">
        <w:t xml:space="preserve"> </w:t>
      </w:r>
      <w:hyperlink r:id="rId26" w:history="1">
        <w:r w:rsidR="00BA3D66" w:rsidRPr="00C776EA">
          <w:rPr>
            <w:rStyle w:val="Hyperlink"/>
            <w:rFonts w:ascii="Arial" w:eastAsia="Arial" w:hAnsi="Arial" w:cs="Arial"/>
          </w:rPr>
          <w:t>https://doi.org/10.1152/physrev.00010.2018</w:t>
        </w:r>
      </w:hyperlink>
      <w:r w:rsidR="00BA3D66">
        <w:rPr>
          <w:rFonts w:ascii="Arial" w:eastAsia="Arial" w:hAnsi="Arial" w:cs="Arial"/>
        </w:rPr>
        <w:t xml:space="preserve"> </w:t>
      </w:r>
    </w:p>
    <w:p w14:paraId="700C9CFC" w14:textId="5DCFDBD4" w:rsidR="00A7310E" w:rsidRDefault="000616A3">
      <w:pPr>
        <w:numPr>
          <w:ilvl w:val="0"/>
          <w:numId w:val="1"/>
        </w:numPr>
        <w:spacing w:before="240" w:after="240"/>
        <w:rPr>
          <w:rFonts w:ascii="Arial" w:eastAsia="Arial" w:hAnsi="Arial" w:cs="Arial"/>
        </w:rPr>
      </w:pPr>
      <w:r>
        <w:rPr>
          <w:rFonts w:ascii="Arial" w:eastAsia="Arial" w:hAnsi="Arial" w:cs="Arial"/>
        </w:rPr>
        <w:t xml:space="preserve">Tsogbayar, T., &amp; Korecky, P. (2025). Why do I get fungal infections repeatedly? </w:t>
      </w:r>
      <w:proofErr w:type="spellStart"/>
      <w:r>
        <w:rPr>
          <w:rFonts w:ascii="Arial" w:eastAsia="Arial" w:hAnsi="Arial" w:cs="Arial"/>
          <w:i/>
          <w:iCs/>
        </w:rPr>
        <w:t>Siphox</w:t>
      </w:r>
      <w:proofErr w:type="spellEnd"/>
      <w:r>
        <w:rPr>
          <w:rFonts w:ascii="Arial" w:eastAsia="Arial" w:hAnsi="Arial" w:cs="Arial"/>
          <w:i/>
          <w:iCs/>
        </w:rPr>
        <w:t xml:space="preserve"> Health</w:t>
      </w:r>
      <w:r>
        <w:rPr>
          <w:rFonts w:ascii="Arial" w:eastAsia="Arial" w:hAnsi="Arial" w:cs="Arial"/>
        </w:rPr>
        <w:t xml:space="preserve">.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w:t>
      </w:r>
      <w:hyperlink r:id="rId27">
        <w:r w:rsidR="00A7310E">
          <w:rPr>
            <w:rFonts w:ascii="Arial" w:eastAsia="Arial" w:hAnsi="Arial" w:cs="Arial"/>
          </w:rPr>
          <w:t xml:space="preserve"> </w:t>
        </w:r>
      </w:hyperlink>
      <w:hyperlink r:id="rId28">
        <w:r w:rsidR="00A7310E">
          <w:rPr>
            <w:rFonts w:ascii="Arial" w:eastAsia="Arial" w:hAnsi="Arial" w:cs="Arial"/>
          </w:rPr>
          <w:t>https://siphoxhealth.com/articles/why-do-i-get-fungal-infections-repeatedly</w:t>
        </w:r>
      </w:hyperlink>
      <w:r w:rsidR="003A3656">
        <w:rPr>
          <w:rFonts w:ascii="Arial" w:eastAsia="Arial" w:hAnsi="Arial" w:cs="Arial"/>
        </w:rPr>
        <w:t xml:space="preserve"> </w:t>
      </w:r>
    </w:p>
    <w:p w14:paraId="2EEF69FB" w14:textId="77777777" w:rsidR="00A7310E" w:rsidRDefault="000616A3">
      <w:pPr>
        <w:numPr>
          <w:ilvl w:val="0"/>
          <w:numId w:val="1"/>
        </w:numPr>
        <w:spacing w:before="240" w:after="240"/>
        <w:rPr>
          <w:rFonts w:ascii="Arial" w:eastAsia="Arial" w:hAnsi="Arial" w:cs="Arial"/>
        </w:rPr>
      </w:pPr>
      <w:r>
        <w:rPr>
          <w:rFonts w:ascii="Arial" w:eastAsia="Arial" w:hAnsi="Arial" w:cs="Arial"/>
        </w:rPr>
        <w:t xml:space="preserve">Dovo, E. E. et al. (2022). First detection of mutated ERG11 gene in vulvovaginal </w:t>
      </w:r>
      <w:r>
        <w:rPr>
          <w:rFonts w:ascii="Arial" w:eastAsia="Arial" w:hAnsi="Arial" w:cs="Arial"/>
          <w:i/>
          <w:iCs/>
        </w:rPr>
        <w:t>Candida albicans</w:t>
      </w:r>
      <w:r>
        <w:rPr>
          <w:rFonts w:ascii="Arial" w:eastAsia="Arial" w:hAnsi="Arial" w:cs="Arial"/>
        </w:rPr>
        <w:t xml:space="preserve"> isolates at Ouagadougou/Burkina Faso. </w:t>
      </w:r>
      <w:r>
        <w:rPr>
          <w:rFonts w:ascii="Arial" w:eastAsia="Arial" w:hAnsi="Arial" w:cs="Arial"/>
          <w:i/>
          <w:iCs/>
        </w:rPr>
        <w:t>BMC Infect. Dis.</w:t>
      </w:r>
      <w:r>
        <w:rPr>
          <w:rFonts w:ascii="Arial" w:eastAsia="Arial" w:hAnsi="Arial" w:cs="Arial"/>
        </w:rPr>
        <w:t>, 22(1), 678. https://doi.org/10.1186/s12879-022-07619-5</w:t>
      </w:r>
    </w:p>
    <w:p w14:paraId="31C19488" w14:textId="77777777" w:rsidR="00A7310E" w:rsidRDefault="000616A3">
      <w:pPr>
        <w:numPr>
          <w:ilvl w:val="0"/>
          <w:numId w:val="1"/>
        </w:numPr>
        <w:rPr>
          <w:rFonts w:ascii="Arial" w:eastAsia="Arial" w:hAnsi="Arial" w:cs="Arial"/>
        </w:rPr>
      </w:pPr>
      <w:r>
        <w:rPr>
          <w:rFonts w:ascii="Arial" w:eastAsia="Arial" w:hAnsi="Arial" w:cs="Arial"/>
        </w:rPr>
        <w:t xml:space="preserve">Sobel, J. D. (2016). Recurrent vulvovaginal candidiasis. </w:t>
      </w:r>
      <w:r>
        <w:rPr>
          <w:rFonts w:ascii="Arial" w:eastAsia="Arial" w:hAnsi="Arial" w:cs="Arial"/>
          <w:i/>
          <w:iCs/>
        </w:rPr>
        <w:t>Am. J. Obstet. Gynecol.</w:t>
      </w:r>
      <w:r>
        <w:rPr>
          <w:rFonts w:ascii="Arial" w:eastAsia="Arial" w:hAnsi="Arial" w:cs="Arial"/>
        </w:rPr>
        <w:t>, 214(1), 15–21. https://doi.org/10.1016/j.ajog.2015.06.067</w:t>
      </w:r>
    </w:p>
    <w:p w14:paraId="6A6BF0C8" w14:textId="77777777" w:rsidR="00A7310E" w:rsidRDefault="00A7310E">
      <w:pPr>
        <w:ind w:left="720"/>
        <w:rPr>
          <w:rFonts w:ascii="Arial" w:eastAsia="Arial" w:hAnsi="Arial" w:cs="Arial"/>
        </w:rPr>
      </w:pPr>
    </w:p>
    <w:p w14:paraId="41F3F13D" w14:textId="590F4D90" w:rsidR="00356A51" w:rsidRPr="00356A51" w:rsidRDefault="00356A51" w:rsidP="00356A51">
      <w:pPr>
        <w:pStyle w:val="ListParagraph"/>
        <w:numPr>
          <w:ilvl w:val="0"/>
          <w:numId w:val="1"/>
        </w:numPr>
        <w:rPr>
          <w:rFonts w:ascii="Times New Roman" w:eastAsia="Times New Roman" w:hAnsi="Times New Roman" w:cs="Times New Roman"/>
          <w:sz w:val="24"/>
          <w:szCs w:val="24"/>
          <w:lang w:val="en-GB"/>
        </w:rPr>
      </w:pPr>
      <w:r w:rsidRPr="00356A51">
        <w:rPr>
          <w:rFonts w:ascii="Times New Roman" w:eastAsia="Times New Roman" w:hAnsi="Times New Roman" w:cs="Times New Roman"/>
          <w:sz w:val="24"/>
          <w:szCs w:val="24"/>
        </w:rPr>
        <w:t xml:space="preserve">Anjos, G. A. et al. (2023). Aspects of the therapeutic approach to vulvovaginal candidiasis. </w:t>
      </w:r>
      <w:proofErr w:type="spellStart"/>
      <w:r w:rsidRPr="00356A51">
        <w:rPr>
          <w:rFonts w:ascii="Times New Roman" w:eastAsia="Times New Roman" w:hAnsi="Times New Roman" w:cs="Times New Roman"/>
          <w:sz w:val="24"/>
          <w:szCs w:val="24"/>
        </w:rPr>
        <w:t>Arq</w:t>
      </w:r>
      <w:proofErr w:type="spellEnd"/>
      <w:r w:rsidRPr="00356A51">
        <w:rPr>
          <w:rFonts w:ascii="Times New Roman" w:eastAsia="Times New Roman" w:hAnsi="Times New Roman" w:cs="Times New Roman"/>
          <w:sz w:val="24"/>
          <w:szCs w:val="24"/>
        </w:rPr>
        <w:t xml:space="preserve">. </w:t>
      </w:r>
      <w:proofErr w:type="spellStart"/>
      <w:r w:rsidRPr="00356A51">
        <w:rPr>
          <w:rFonts w:ascii="Times New Roman" w:eastAsia="Times New Roman" w:hAnsi="Times New Roman" w:cs="Times New Roman"/>
          <w:sz w:val="24"/>
          <w:szCs w:val="24"/>
        </w:rPr>
        <w:t>Cienc</w:t>
      </w:r>
      <w:proofErr w:type="spellEnd"/>
      <w:r w:rsidRPr="00356A51">
        <w:rPr>
          <w:rFonts w:ascii="Times New Roman" w:eastAsia="Times New Roman" w:hAnsi="Times New Roman" w:cs="Times New Roman"/>
          <w:sz w:val="24"/>
          <w:szCs w:val="24"/>
        </w:rPr>
        <w:t xml:space="preserve">. </w:t>
      </w:r>
      <w:proofErr w:type="spellStart"/>
      <w:r w:rsidRPr="00356A51">
        <w:rPr>
          <w:rFonts w:ascii="Times New Roman" w:eastAsia="Times New Roman" w:hAnsi="Times New Roman" w:cs="Times New Roman"/>
          <w:sz w:val="24"/>
          <w:szCs w:val="24"/>
        </w:rPr>
        <w:t>Saúde</w:t>
      </w:r>
      <w:proofErr w:type="spellEnd"/>
      <w:r w:rsidRPr="00356A51">
        <w:rPr>
          <w:rFonts w:ascii="Times New Roman" w:eastAsia="Times New Roman" w:hAnsi="Times New Roman" w:cs="Times New Roman"/>
          <w:sz w:val="24"/>
          <w:szCs w:val="24"/>
        </w:rPr>
        <w:t xml:space="preserve"> UNIPAR, 27(3), 1284–1306. Available at: </w:t>
      </w:r>
      <w:hyperlink r:id="rId29" w:history="1">
        <w:r w:rsidR="001F5053" w:rsidRPr="00C776EA">
          <w:rPr>
            <w:rStyle w:val="Hyperlink"/>
            <w:rFonts w:ascii="Times New Roman" w:eastAsia="Times New Roman" w:hAnsi="Times New Roman" w:cs="Times New Roman"/>
            <w:sz w:val="24"/>
            <w:szCs w:val="24"/>
          </w:rPr>
          <w:t>https://doi.org/10.25110/arqsaude.v27i3.2023-015</w:t>
        </w:r>
      </w:hyperlink>
      <w:r w:rsidR="001F5053">
        <w:rPr>
          <w:rFonts w:ascii="Times New Roman" w:eastAsia="Times New Roman" w:hAnsi="Times New Roman" w:cs="Times New Roman"/>
          <w:sz w:val="24"/>
          <w:szCs w:val="24"/>
        </w:rPr>
        <w:t xml:space="preserve"> </w:t>
      </w:r>
    </w:p>
    <w:p w14:paraId="27FCA371" w14:textId="77777777" w:rsidR="00A7310E" w:rsidRDefault="000616A3">
      <w:pPr>
        <w:numPr>
          <w:ilvl w:val="0"/>
          <w:numId w:val="1"/>
        </w:numPr>
        <w:spacing w:before="240" w:after="240"/>
        <w:rPr>
          <w:rFonts w:ascii="Arial" w:eastAsia="Arial" w:hAnsi="Arial" w:cs="Arial"/>
        </w:rPr>
      </w:pPr>
      <w:r>
        <w:rPr>
          <w:rFonts w:ascii="Arial" w:eastAsia="Arial" w:hAnsi="Arial" w:cs="Arial"/>
        </w:rPr>
        <w:t xml:space="preserve">Man, A. et al. (2017). New perspectives on the nutritional factors influencing growth rate of </w:t>
      </w:r>
      <w:r>
        <w:rPr>
          <w:rFonts w:ascii="Arial" w:eastAsia="Arial" w:hAnsi="Arial" w:cs="Arial"/>
          <w:i/>
          <w:iCs/>
        </w:rPr>
        <w:t>Candida albicans</w:t>
      </w:r>
      <w:r>
        <w:rPr>
          <w:rFonts w:ascii="Arial" w:eastAsia="Arial" w:hAnsi="Arial" w:cs="Arial"/>
        </w:rPr>
        <w:t xml:space="preserve"> in diabetics: an in vitro study. </w:t>
      </w:r>
      <w:r>
        <w:rPr>
          <w:rFonts w:ascii="Arial" w:eastAsia="Arial" w:hAnsi="Arial" w:cs="Arial"/>
          <w:i/>
          <w:iCs/>
        </w:rPr>
        <w:t>Mem. Inst. Oswaldo Cruz</w:t>
      </w:r>
      <w:r>
        <w:rPr>
          <w:rFonts w:ascii="Arial" w:eastAsia="Arial" w:hAnsi="Arial" w:cs="Arial"/>
        </w:rPr>
        <w:t>, 112(9), 587–592. https://doi.org/10.1590/0074-02760170098</w:t>
      </w:r>
    </w:p>
    <w:p w14:paraId="74442495" w14:textId="0D2C22E1" w:rsidR="00356A51" w:rsidRPr="00356A51" w:rsidRDefault="00356A51" w:rsidP="00356A51">
      <w:pPr>
        <w:pStyle w:val="ListParagraph"/>
        <w:numPr>
          <w:ilvl w:val="0"/>
          <w:numId w:val="1"/>
        </w:numPr>
        <w:rPr>
          <w:rFonts w:ascii="Times New Roman" w:eastAsia="Times New Roman" w:hAnsi="Times New Roman" w:cs="Times New Roman"/>
          <w:sz w:val="24"/>
          <w:szCs w:val="24"/>
          <w:lang w:val="en-GB"/>
        </w:rPr>
      </w:pPr>
      <w:r w:rsidRPr="00356A51">
        <w:rPr>
          <w:rFonts w:ascii="Times New Roman" w:eastAsia="Times New Roman" w:hAnsi="Times New Roman" w:cs="Times New Roman"/>
          <w:sz w:val="24"/>
          <w:szCs w:val="24"/>
        </w:rPr>
        <w:t xml:space="preserve">16. Maciel, L. A. et al. (2023). Sleep quality and mental health in university students: a cross-sectional study. Cad. </w:t>
      </w:r>
      <w:proofErr w:type="spellStart"/>
      <w:r w:rsidRPr="00356A51">
        <w:rPr>
          <w:rFonts w:ascii="Times New Roman" w:eastAsia="Times New Roman" w:hAnsi="Times New Roman" w:cs="Times New Roman"/>
          <w:sz w:val="24"/>
          <w:szCs w:val="24"/>
        </w:rPr>
        <w:t>Saúde</w:t>
      </w:r>
      <w:proofErr w:type="spellEnd"/>
      <w:r w:rsidRPr="00356A51">
        <w:rPr>
          <w:rFonts w:ascii="Times New Roman" w:eastAsia="Times New Roman" w:hAnsi="Times New Roman" w:cs="Times New Roman"/>
          <w:sz w:val="24"/>
          <w:szCs w:val="24"/>
        </w:rPr>
        <w:t xml:space="preserve"> </w:t>
      </w:r>
      <w:proofErr w:type="spellStart"/>
      <w:r w:rsidRPr="00356A51">
        <w:rPr>
          <w:rFonts w:ascii="Times New Roman" w:eastAsia="Times New Roman" w:hAnsi="Times New Roman" w:cs="Times New Roman"/>
          <w:sz w:val="24"/>
          <w:szCs w:val="24"/>
        </w:rPr>
        <w:t>Pública</w:t>
      </w:r>
      <w:proofErr w:type="spellEnd"/>
      <w:r w:rsidRPr="00356A51">
        <w:rPr>
          <w:rFonts w:ascii="Times New Roman" w:eastAsia="Times New Roman" w:hAnsi="Times New Roman" w:cs="Times New Roman"/>
          <w:sz w:val="24"/>
          <w:szCs w:val="24"/>
        </w:rPr>
        <w:t xml:space="preserve">, 39(2), e00123421. Available at: </w:t>
      </w:r>
      <w:hyperlink r:id="rId30" w:history="1">
        <w:r w:rsidR="009A4D99" w:rsidRPr="00C776EA">
          <w:rPr>
            <w:rStyle w:val="Hyperlink"/>
            <w:rFonts w:ascii="Times New Roman" w:eastAsia="Times New Roman" w:hAnsi="Times New Roman" w:cs="Times New Roman"/>
            <w:sz w:val="24"/>
            <w:szCs w:val="24"/>
          </w:rPr>
          <w:t>https://doi.org/10.1590/1413-81232023284.14132022EN</w:t>
        </w:r>
      </w:hyperlink>
      <w:r w:rsidR="009A4D99">
        <w:rPr>
          <w:rFonts w:ascii="Times New Roman" w:eastAsia="Times New Roman" w:hAnsi="Times New Roman" w:cs="Times New Roman"/>
          <w:sz w:val="24"/>
          <w:szCs w:val="24"/>
        </w:rPr>
        <w:t xml:space="preserve"> </w:t>
      </w:r>
    </w:p>
    <w:p w14:paraId="664FABEA" w14:textId="77777777" w:rsidR="00A7310E" w:rsidRDefault="00A7310E">
      <w:pPr>
        <w:ind w:left="720"/>
        <w:rPr>
          <w:rFonts w:ascii="Arial" w:eastAsia="Arial" w:hAnsi="Arial" w:cs="Arial"/>
        </w:rPr>
      </w:pPr>
    </w:p>
    <w:p w14:paraId="5BE2F100" w14:textId="7C54B39D" w:rsidR="00356A51" w:rsidRPr="009F6893" w:rsidRDefault="00356A51" w:rsidP="00356A51">
      <w:pPr>
        <w:pStyle w:val="ListParagraph"/>
        <w:numPr>
          <w:ilvl w:val="0"/>
          <w:numId w:val="1"/>
        </w:numPr>
        <w:rPr>
          <w:rFonts w:ascii="Times New Roman" w:eastAsia="Times New Roman" w:hAnsi="Times New Roman" w:cs="Times New Roman"/>
          <w:sz w:val="24"/>
          <w:szCs w:val="24"/>
        </w:rPr>
      </w:pPr>
      <w:r w:rsidRPr="009F6893">
        <w:rPr>
          <w:rFonts w:ascii="Arial" w:eastAsia="Arial" w:hAnsi="Arial" w:cs="Arial"/>
        </w:rPr>
        <w:t xml:space="preserve">Pereira, M. F. (2025). Eating habits and mental health in university students: an integrative review. </w:t>
      </w:r>
      <w:proofErr w:type="spellStart"/>
      <w:r w:rsidRPr="009F6893">
        <w:rPr>
          <w:rFonts w:ascii="Arial" w:eastAsia="Arial" w:hAnsi="Arial" w:cs="Arial"/>
        </w:rPr>
        <w:t>Psicologia</w:t>
      </w:r>
      <w:proofErr w:type="spellEnd"/>
      <w:r w:rsidRPr="009F6893">
        <w:rPr>
          <w:rFonts w:ascii="Arial" w:eastAsia="Arial" w:hAnsi="Arial" w:cs="Arial"/>
        </w:rPr>
        <w:t xml:space="preserve"> </w:t>
      </w:r>
      <w:proofErr w:type="spellStart"/>
      <w:r w:rsidRPr="009F6893">
        <w:rPr>
          <w:rFonts w:ascii="Arial" w:eastAsia="Arial" w:hAnsi="Arial" w:cs="Arial"/>
        </w:rPr>
        <w:t>Argumento</w:t>
      </w:r>
      <w:proofErr w:type="spellEnd"/>
      <w:r w:rsidRPr="009F6893">
        <w:rPr>
          <w:rFonts w:ascii="Arial" w:eastAsia="Arial" w:hAnsi="Arial" w:cs="Arial"/>
        </w:rPr>
        <w:t xml:space="preserve">, 43(1), 45–60. Available at: </w:t>
      </w:r>
      <w:hyperlink r:id="rId31" w:history="1">
        <w:r w:rsidR="009F6893" w:rsidRPr="00C776EA">
          <w:rPr>
            <w:rStyle w:val="Hyperlink"/>
          </w:rPr>
          <w:t>https://doi.org/10.7213/psicolargum.43.121.AO14</w:t>
        </w:r>
      </w:hyperlink>
      <w:r w:rsidR="009F6893">
        <w:t xml:space="preserve"> </w:t>
      </w:r>
    </w:p>
    <w:p w14:paraId="6369A55D" w14:textId="77777777" w:rsidR="00356A51" w:rsidRPr="00356A51" w:rsidRDefault="00356A51" w:rsidP="00356A51">
      <w:pPr>
        <w:ind w:left="360"/>
        <w:rPr>
          <w:rFonts w:ascii="Times New Roman" w:eastAsia="Times New Roman" w:hAnsi="Times New Roman" w:cs="Times New Roman"/>
          <w:sz w:val="24"/>
          <w:szCs w:val="24"/>
        </w:rPr>
      </w:pPr>
    </w:p>
    <w:p w14:paraId="7B313410" w14:textId="6AA71055" w:rsidR="00A7310E" w:rsidRDefault="00356A51">
      <w:pPr>
        <w:keepNext/>
        <w:pBdr>
          <w:top w:val="nil"/>
          <w:left w:val="nil"/>
          <w:bottom w:val="nil"/>
          <w:right w:val="nil"/>
          <w:between w:val="nil"/>
        </w:pBdr>
        <w:jc w:val="both"/>
        <w:rPr>
          <w:rFonts w:ascii="Arial" w:eastAsia="Arial" w:hAnsi="Arial" w:cs="Arial"/>
          <w:smallCaps/>
          <w:color w:val="000000"/>
          <w:sz w:val="22"/>
          <w:szCs w:val="22"/>
          <w:highlight w:val="yellow"/>
        </w:rPr>
        <w:sectPr w:rsidR="00A7310E" w:rsidSect="00131A97">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r w:rsidRPr="00356A51">
        <w:rPr>
          <w:rFonts w:ascii="Arial" w:eastAsia="Arial" w:hAnsi="Arial" w:cs="Arial"/>
        </w:rPr>
        <w:t xml:space="preserve">18. Willmann, S. C. et al. (2023). Self-medication among university students in the health field. Research, Society and Development, 12(6), e1312641814. Available at: </w:t>
      </w:r>
      <w:hyperlink r:id="rId36" w:history="1">
        <w:r w:rsidR="002A242E" w:rsidRPr="00C776EA">
          <w:rPr>
            <w:rStyle w:val="Hyperlink"/>
            <w:rFonts w:ascii="Arial" w:eastAsia="Arial" w:hAnsi="Arial" w:cs="Arial"/>
          </w:rPr>
          <w:t>https://doi.org/10.33448/rsd-v12i6.41814</w:t>
        </w:r>
      </w:hyperlink>
      <w:r w:rsidR="002A242E">
        <w:rPr>
          <w:rFonts w:ascii="Arial" w:eastAsia="Arial" w:hAnsi="Arial" w:cs="Arial"/>
        </w:rPr>
        <w:t xml:space="preserve"> </w:t>
      </w:r>
    </w:p>
    <w:p w14:paraId="29A736AF" w14:textId="77777777" w:rsidR="00A7310E" w:rsidRDefault="00A7310E" w:rsidP="00356A51">
      <w:pPr>
        <w:keepNext/>
        <w:pBdr>
          <w:top w:val="nil"/>
          <w:left w:val="nil"/>
          <w:bottom w:val="nil"/>
          <w:right w:val="nil"/>
          <w:between w:val="nil"/>
        </w:pBdr>
        <w:jc w:val="both"/>
        <w:rPr>
          <w:rFonts w:ascii="Arial" w:eastAsia="Arial" w:hAnsi="Arial" w:cs="Arial"/>
          <w:smallCaps/>
          <w:color w:val="000000"/>
          <w:sz w:val="22"/>
          <w:szCs w:val="22"/>
          <w:highlight w:val="yellow"/>
        </w:rPr>
      </w:pPr>
    </w:p>
    <w:sectPr w:rsidR="00A7310E" w:rsidSect="00131A97">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A9BA6" w14:textId="77777777" w:rsidR="00340E86" w:rsidRDefault="00340E86">
      <w:r>
        <w:separator/>
      </w:r>
    </w:p>
  </w:endnote>
  <w:endnote w:type="continuationSeparator" w:id="0">
    <w:p w14:paraId="11A96C17" w14:textId="77777777" w:rsidR="00340E86" w:rsidRDefault="00340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27702D71-7AAB-4551-84B9-4D46C20D4CB4}"/>
    <w:embedBold r:id="rId2" w:fontKey="{D8403C0D-F1B6-4ADC-8512-DA7531C4EBB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A965F1E-D2E3-42E6-8716-FBBC8A6ECAA6}"/>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B7D4035E-F0EA-4CF5-B988-A366A918F861}"/>
  </w:font>
  <w:font w:name="Cambria">
    <w:panose1 w:val="02040503050406030204"/>
    <w:charset w:val="00"/>
    <w:family w:val="roman"/>
    <w:pitch w:val="variable"/>
    <w:sig w:usb0="E00006FF" w:usb1="420024FF" w:usb2="02000000" w:usb3="00000000" w:csb0="0000019F" w:csb1="00000000"/>
    <w:embedRegular r:id="rId5" w:fontKey="{4BD5E720-6C28-419D-89A8-0C78470C36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FBB20" w14:textId="77777777" w:rsidR="00A7310E" w:rsidRDefault="00A7310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148A7" w14:textId="77777777" w:rsidR="00131A97" w:rsidRDefault="00131A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E8CA7" w14:textId="6A6E6719" w:rsidR="00A7310E" w:rsidRPr="001E1FBE" w:rsidRDefault="00A7310E" w:rsidP="001E1FB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0EBB9" w14:textId="77777777" w:rsidR="00A7310E" w:rsidRDefault="00A7310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69CCD" w14:textId="77777777" w:rsidR="00340E86" w:rsidRDefault="00340E86">
      <w:r>
        <w:separator/>
      </w:r>
    </w:p>
  </w:footnote>
  <w:footnote w:type="continuationSeparator" w:id="0">
    <w:p w14:paraId="0347E3BD" w14:textId="77777777" w:rsidR="00340E86" w:rsidRDefault="00340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6239E" w14:textId="066E7950" w:rsidR="00A7310E" w:rsidRDefault="00131A97">
    <w:pPr>
      <w:pBdr>
        <w:top w:val="nil"/>
        <w:left w:val="nil"/>
        <w:bottom w:val="nil"/>
        <w:right w:val="nil"/>
        <w:between w:val="nil"/>
      </w:pBdr>
      <w:tabs>
        <w:tab w:val="center" w:pos="4320"/>
        <w:tab w:val="right" w:pos="8640"/>
      </w:tabs>
      <w:rPr>
        <w:color w:val="000000"/>
      </w:rPr>
    </w:pPr>
    <w:r>
      <w:rPr>
        <w:noProof/>
      </w:rPr>
      <w:pict w14:anchorId="2DEA09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6E471" w14:textId="6848F6AD" w:rsidR="00A7310E" w:rsidRDefault="00131A97">
    <w:pPr>
      <w:pBdr>
        <w:top w:val="nil"/>
        <w:left w:val="nil"/>
        <w:bottom w:val="nil"/>
        <w:right w:val="nil"/>
        <w:between w:val="nil"/>
      </w:pBdr>
      <w:tabs>
        <w:tab w:val="center" w:pos="4320"/>
        <w:tab w:val="right" w:pos="8640"/>
      </w:tabs>
      <w:rPr>
        <w:color w:val="000000"/>
      </w:rPr>
    </w:pPr>
    <w:r>
      <w:rPr>
        <w:noProof/>
      </w:rPr>
      <w:pict w14:anchorId="783D7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98445" w14:textId="234D9E14" w:rsidR="00A7310E" w:rsidRDefault="00131A97">
    <w:pPr>
      <w:ind w:left="2160"/>
      <w:jc w:val="center"/>
      <w:rPr>
        <w:rFonts w:ascii="Times New Roman" w:eastAsia="Times New Roman" w:hAnsi="Times New Roman" w:cs="Times New Roman"/>
        <w:i/>
        <w:iCs/>
        <w:sz w:val="18"/>
        <w:szCs w:val="18"/>
      </w:rPr>
    </w:pPr>
    <w:r>
      <w:rPr>
        <w:noProof/>
      </w:rPr>
      <w:pict w14:anchorId="4F5FA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BE4232E" w14:textId="77777777" w:rsidR="00A7310E" w:rsidRDefault="000616A3">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A268CEE" w14:textId="77777777" w:rsidR="00A7310E" w:rsidRDefault="000616A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23F94B9F" w14:textId="77777777" w:rsidR="00A7310E" w:rsidRDefault="000616A3">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DD6DF57" w14:textId="77777777" w:rsidR="00A7310E" w:rsidRDefault="000616A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742D882" w14:textId="77777777" w:rsidR="00A7310E" w:rsidRDefault="000616A3">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A78CD24" w14:textId="77777777" w:rsidR="00A7310E" w:rsidRDefault="000616A3">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21A0" w14:textId="157AFDB5" w:rsidR="00131A97" w:rsidRDefault="00131A97">
    <w:pPr>
      <w:pStyle w:val="Header"/>
    </w:pPr>
    <w:r>
      <w:rPr>
        <w:noProof/>
      </w:rPr>
      <w:pict w14:anchorId="10D9F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5D92C" w14:textId="3FD1D7AC" w:rsidR="00131A97" w:rsidRDefault="00131A97">
    <w:pPr>
      <w:pStyle w:val="Header"/>
    </w:pPr>
    <w:r>
      <w:rPr>
        <w:noProof/>
      </w:rPr>
      <w:pict w14:anchorId="617AD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D2167" w14:textId="036C63BB" w:rsidR="00131A97" w:rsidRDefault="00131A97">
    <w:pPr>
      <w:pStyle w:val="Header"/>
    </w:pPr>
    <w:r>
      <w:rPr>
        <w:noProof/>
      </w:rPr>
      <w:pict w14:anchorId="118DA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97639"/>
    <w:multiLevelType w:val="multilevel"/>
    <w:tmpl w:val="86829E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10E"/>
    <w:rsid w:val="000616A3"/>
    <w:rsid w:val="0007539A"/>
    <w:rsid w:val="00131A97"/>
    <w:rsid w:val="001E1FBE"/>
    <w:rsid w:val="001F5053"/>
    <w:rsid w:val="0022452D"/>
    <w:rsid w:val="002A242E"/>
    <w:rsid w:val="00304B65"/>
    <w:rsid w:val="00330FC1"/>
    <w:rsid w:val="00340E86"/>
    <w:rsid w:val="00356A51"/>
    <w:rsid w:val="003A3656"/>
    <w:rsid w:val="005E1646"/>
    <w:rsid w:val="0074278A"/>
    <w:rsid w:val="008600F6"/>
    <w:rsid w:val="00887F7C"/>
    <w:rsid w:val="009A4D99"/>
    <w:rsid w:val="009F6893"/>
    <w:rsid w:val="00A16393"/>
    <w:rsid w:val="00A47B9F"/>
    <w:rsid w:val="00A53554"/>
    <w:rsid w:val="00A7310E"/>
    <w:rsid w:val="00AC640B"/>
    <w:rsid w:val="00AF5789"/>
    <w:rsid w:val="00B25FD2"/>
    <w:rsid w:val="00B54F0B"/>
    <w:rsid w:val="00B7799B"/>
    <w:rsid w:val="00BA3D66"/>
    <w:rsid w:val="00C34BF7"/>
    <w:rsid w:val="00D23345"/>
    <w:rsid w:val="00EE3322"/>
    <w:rsid w:val="00EE63E9"/>
    <w:rsid w:val="00FD5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9261D4D"/>
  <w15:docId w15:val="{E419CC78-23C5-4F8A-8BA7-8CB6E1428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FD5D10"/>
  </w:style>
  <w:style w:type="paragraph" w:styleId="Footer">
    <w:name w:val="footer"/>
    <w:basedOn w:val="Normal"/>
    <w:link w:val="FooterChar"/>
    <w:uiPriority w:val="99"/>
    <w:unhideWhenUsed/>
    <w:rsid w:val="00FD5D10"/>
    <w:pPr>
      <w:tabs>
        <w:tab w:val="center" w:pos="4513"/>
        <w:tab w:val="right" w:pos="9026"/>
      </w:tabs>
    </w:pPr>
  </w:style>
  <w:style w:type="character" w:customStyle="1" w:styleId="FooterChar">
    <w:name w:val="Footer Char"/>
    <w:basedOn w:val="DefaultParagraphFont"/>
    <w:link w:val="Footer"/>
    <w:uiPriority w:val="99"/>
    <w:rsid w:val="00FD5D10"/>
  </w:style>
  <w:style w:type="character" w:styleId="Hyperlink">
    <w:name w:val="Hyperlink"/>
    <w:basedOn w:val="DefaultParagraphFont"/>
    <w:uiPriority w:val="99"/>
    <w:unhideWhenUsed/>
    <w:rsid w:val="00FD5D10"/>
    <w:rPr>
      <w:color w:val="0000FF" w:themeColor="hyperlink"/>
      <w:u w:val="single"/>
    </w:rPr>
  </w:style>
  <w:style w:type="character" w:styleId="UnresolvedMention">
    <w:name w:val="Unresolved Mention"/>
    <w:basedOn w:val="DefaultParagraphFont"/>
    <w:uiPriority w:val="99"/>
    <w:semiHidden/>
    <w:unhideWhenUsed/>
    <w:rsid w:val="00FD5D10"/>
    <w:rPr>
      <w:color w:val="605E5C"/>
      <w:shd w:val="clear" w:color="auto" w:fill="E1DFDD"/>
    </w:rPr>
  </w:style>
  <w:style w:type="paragraph" w:styleId="ListParagraph">
    <w:name w:val="List Paragraph"/>
    <w:basedOn w:val="Normal"/>
    <w:uiPriority w:val="34"/>
    <w:qFormat/>
    <w:rsid w:val="00356A51"/>
    <w:pPr>
      <w:ind w:left="720"/>
      <w:contextualSpacing/>
    </w:pPr>
  </w:style>
  <w:style w:type="character" w:customStyle="1" w:styleId="hwtze">
    <w:name w:val="hwtze"/>
    <w:basedOn w:val="DefaultParagraphFont"/>
    <w:rsid w:val="00356A51"/>
  </w:style>
  <w:style w:type="character" w:customStyle="1" w:styleId="rynqvb">
    <w:name w:val="rynqvb"/>
    <w:basedOn w:val="DefaultParagraphFont"/>
    <w:rsid w:val="00356A51"/>
  </w:style>
  <w:style w:type="paragraph" w:styleId="Header">
    <w:name w:val="header"/>
    <w:basedOn w:val="Normal"/>
    <w:link w:val="HeaderChar"/>
    <w:uiPriority w:val="99"/>
    <w:unhideWhenUsed/>
    <w:rsid w:val="00131A97"/>
    <w:pPr>
      <w:tabs>
        <w:tab w:val="center" w:pos="4680"/>
        <w:tab w:val="right" w:pos="9360"/>
      </w:tabs>
    </w:pPr>
  </w:style>
  <w:style w:type="character" w:customStyle="1" w:styleId="HeaderChar">
    <w:name w:val="Header Char"/>
    <w:basedOn w:val="DefaultParagraphFont"/>
    <w:link w:val="Header"/>
    <w:uiPriority w:val="99"/>
    <w:rsid w:val="00131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26" Type="http://schemas.openxmlformats.org/officeDocument/2006/relationships/hyperlink" Target="https://doi.org/10.1152/physrev.00010.2018" TargetMode="External"/><Relationship Id="rId3" Type="http://schemas.openxmlformats.org/officeDocument/2006/relationships/settings" Target="settings.xml"/><Relationship Id="rId21" Type="http://schemas.openxmlformats.org/officeDocument/2006/relationships/hyperlink" Target="https://revista.uepb.edu.br/BIOFARM/article/view/2146" TargetMode="External"/><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25" Type="http://schemas.openxmlformats.org/officeDocument/2006/relationships/hyperlink" Target="https://doi.org/10.35572/rsc.v4i1.243" TargetMode="Externa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1.png"/><Relationship Id="rId29" Type="http://schemas.openxmlformats.org/officeDocument/2006/relationships/hyperlink" Target="https://doi.org/10.25110/arqsaude.v27i3.2023-0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1606/issn.1679-9836.v103i1e-215543" TargetMode="Externa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hyperlink" Target="https://doi.org/10.47224/revistamaster.v8i16.482" TargetMode="External"/><Relationship Id="rId28" Type="http://schemas.openxmlformats.org/officeDocument/2006/relationships/hyperlink" Target="https://siphoxhealth.com/articles/why-do-i-get-fungal-infections-repeatedly" TargetMode="External"/><Relationship Id="rId36" Type="http://schemas.openxmlformats.org/officeDocument/2006/relationships/hyperlink" Target="https://doi.org/10.33448/rsd-v12i6.41814" TargetMode="External"/><Relationship Id="rId10" Type="http://schemas.openxmlformats.org/officeDocument/2006/relationships/footer" Target="footer2.xml"/><Relationship Id="rId31" Type="http://schemas.openxmlformats.org/officeDocument/2006/relationships/hyperlink" Target="https://doi.org/10.7213/psicolargum.43.121.AO14" TargetMode="External"/><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hyperlink" Target="https://doi.org/10.36557/2674-8169.2024v6n4p1947-1952" TargetMode="External"/><Relationship Id="rId27" Type="http://schemas.openxmlformats.org/officeDocument/2006/relationships/hyperlink" Target="https://siphoxhealth.com/articles/why-do-i-get-fungal-infections-repeatedly" TargetMode="External"/><Relationship Id="rId30" Type="http://schemas.openxmlformats.org/officeDocument/2006/relationships/hyperlink" Target="https://doi.org/10.1590/1413-81232023284.14132022EN" TargetMode="External"/><Relationship Id="rId35"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3770</Words>
  <Characters>21491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25</cp:revision>
  <dcterms:created xsi:type="dcterms:W3CDTF">2025-12-03T05:40:00Z</dcterms:created>
  <dcterms:modified xsi:type="dcterms:W3CDTF">2025-12-03T11:47:00Z</dcterms:modified>
</cp:coreProperties>
</file>