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46CF4" w14:textId="77777777" w:rsidR="00754C9A" w:rsidRDefault="00754C9A" w:rsidP="00441B6F">
      <w:pPr>
        <w:pStyle w:val="Title"/>
        <w:spacing w:after="0"/>
        <w:jc w:val="both"/>
        <w:rPr>
          <w:rFonts w:ascii="Arial" w:hAnsi="Arial" w:cs="Arial"/>
        </w:rPr>
      </w:pPr>
    </w:p>
    <w:p w14:paraId="6894D3A9" w14:textId="5D41E1B8" w:rsidR="00163BC4" w:rsidRPr="00163BC4" w:rsidRDefault="006A7A46" w:rsidP="006A7A46">
      <w:pPr>
        <w:pStyle w:val="Author"/>
        <w:spacing w:line="240" w:lineRule="auto"/>
        <w:jc w:val="both"/>
        <w:rPr>
          <w:rFonts w:ascii="Arial" w:hAnsi="Arial" w:cs="Arial"/>
          <w:bCs/>
          <w:iCs/>
          <w:kern w:val="28"/>
          <w:sz w:val="36"/>
        </w:rPr>
      </w:pPr>
      <w:r w:rsidRPr="006A7A46">
        <w:rPr>
          <w:rFonts w:ascii="Arial" w:hAnsi="Arial" w:cs="Arial"/>
          <w:bCs/>
          <w:iCs/>
          <w:kern w:val="28"/>
          <w:sz w:val="36"/>
        </w:rPr>
        <w:t>Platelet-Rich Plasma Enhances Hair Growth and Transplant Survival</w:t>
      </w:r>
      <w:r w:rsidR="008F5554">
        <w:rPr>
          <w:rFonts w:ascii="Arial" w:hAnsi="Arial" w:cs="Arial"/>
          <w:bCs/>
          <w:iCs/>
          <w:kern w:val="28"/>
          <w:sz w:val="36"/>
        </w:rPr>
        <w:t xml:space="preserve"> Rate</w:t>
      </w:r>
      <w:r w:rsidRPr="006A7A46">
        <w:rPr>
          <w:rFonts w:ascii="Arial" w:hAnsi="Arial" w:cs="Arial"/>
          <w:bCs/>
          <w:iCs/>
          <w:kern w:val="28"/>
          <w:sz w:val="36"/>
        </w:rPr>
        <w:t xml:space="preserve"> in Androgenetic Alopecia Patients</w:t>
      </w:r>
      <w:r w:rsidR="00231920">
        <w:rPr>
          <w:rFonts w:ascii="Arial" w:hAnsi="Arial" w:cs="Arial"/>
          <w:bCs/>
          <w:iCs/>
          <w:kern w:val="28"/>
          <w:sz w:val="36"/>
        </w:rPr>
        <w:t xml:space="preserve"> </w:t>
      </w:r>
    </w:p>
    <w:p w14:paraId="3088E086" w14:textId="77777777" w:rsidR="00A258C3" w:rsidRPr="00790ADA" w:rsidRDefault="00A258C3" w:rsidP="006A7A46">
      <w:pPr>
        <w:pStyle w:val="Author"/>
        <w:spacing w:line="240" w:lineRule="auto"/>
        <w:jc w:val="both"/>
        <w:rPr>
          <w:rFonts w:ascii="Arial" w:hAnsi="Arial" w:cs="Arial"/>
          <w:sz w:val="36"/>
        </w:rPr>
      </w:pPr>
    </w:p>
    <w:p w14:paraId="5EB2E1B7" w14:textId="59671B86" w:rsidR="002C57D2" w:rsidRDefault="002C57D2" w:rsidP="00441B6F">
      <w:pPr>
        <w:pStyle w:val="Affiliation"/>
        <w:spacing w:after="0" w:line="240" w:lineRule="auto"/>
        <w:jc w:val="both"/>
        <w:rPr>
          <w:rFonts w:ascii="Arial" w:hAnsi="Arial" w:cs="Arial"/>
        </w:rPr>
      </w:pPr>
    </w:p>
    <w:p w14:paraId="6397BB45" w14:textId="4EF82CDE" w:rsidR="000F0C57" w:rsidRDefault="000F0C57" w:rsidP="00441B6F">
      <w:pPr>
        <w:pStyle w:val="Affiliation"/>
        <w:spacing w:after="0" w:line="240" w:lineRule="auto"/>
        <w:jc w:val="both"/>
        <w:rPr>
          <w:rFonts w:ascii="Arial" w:hAnsi="Arial" w:cs="Arial"/>
        </w:rPr>
      </w:pPr>
    </w:p>
    <w:p w14:paraId="21DE2295" w14:textId="77777777" w:rsidR="000F0C57" w:rsidRPr="00FB3A86" w:rsidRDefault="000F0C57" w:rsidP="00441B6F">
      <w:pPr>
        <w:pStyle w:val="Affiliation"/>
        <w:spacing w:after="0" w:line="240" w:lineRule="auto"/>
        <w:jc w:val="both"/>
        <w:rPr>
          <w:rFonts w:ascii="Arial" w:hAnsi="Arial" w:cs="Arial"/>
        </w:rPr>
      </w:pPr>
    </w:p>
    <w:p w14:paraId="34A56F24" w14:textId="4B191C1E" w:rsidR="00B01FCD" w:rsidRPr="00FB3A86" w:rsidRDefault="003971ED" w:rsidP="00441B6F">
      <w:pPr>
        <w:pStyle w:val="Copyright"/>
        <w:spacing w:after="0" w:line="240" w:lineRule="auto"/>
        <w:jc w:val="both"/>
        <w:rPr>
          <w:rFonts w:ascii="Arial" w:hAnsi="Arial" w:cs="Arial"/>
        </w:rPr>
        <w:sectPr w:rsidR="00B01FCD" w:rsidRPr="00FB3A86" w:rsidSect="000F0C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A580D5" wp14:editId="5A6AB7C6">
                <wp:extent cx="5303520" cy="635"/>
                <wp:effectExtent l="11430" t="11430" r="9525" b="17145"/>
                <wp:docPr id="14114321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FAE3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9223F08" w14:textId="1A0C2CD6" w:rsidR="00B01FCD" w:rsidRDefault="00B01FCD" w:rsidP="003048FD">
      <w:pPr>
        <w:pStyle w:val="AbstHead"/>
        <w:spacing w:after="0"/>
        <w:ind w:left="720" w:firstLine="720"/>
        <w:jc w:val="both"/>
        <w:rPr>
          <w:rFonts w:ascii="Arial" w:hAnsi="Arial" w:cs="Arial"/>
        </w:rPr>
      </w:pPr>
      <w:r w:rsidRPr="00FB3A86">
        <w:rPr>
          <w:rFonts w:ascii="Arial" w:hAnsi="Arial" w:cs="Arial"/>
        </w:rPr>
        <w:t>ABSTRACT</w:t>
      </w:r>
      <w:r w:rsidR="0066510A">
        <w:rPr>
          <w:rFonts w:ascii="Arial" w:hAnsi="Arial" w:cs="Arial"/>
        </w:rPr>
        <w:t xml:space="preserve"> </w:t>
      </w:r>
    </w:p>
    <w:p w14:paraId="31D90C4B" w14:textId="77777777" w:rsidR="00790ADA" w:rsidRPr="00FB3A86" w:rsidRDefault="00790ADA" w:rsidP="00441B6F">
      <w:pPr>
        <w:pStyle w:val="AbstHead"/>
        <w:spacing w:after="0"/>
        <w:jc w:val="both"/>
        <w:rPr>
          <w:rFonts w:ascii="Arial" w:hAnsi="Arial" w:cs="Arial"/>
        </w:rPr>
      </w:pPr>
    </w:p>
    <w:tbl>
      <w:tblPr>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9CDFC26" w14:textId="77777777" w:rsidTr="003048FD">
        <w:tc>
          <w:tcPr>
            <w:tcW w:w="8198" w:type="dxa"/>
            <w:shd w:val="clear" w:color="auto" w:fill="F2F2F2"/>
          </w:tcPr>
          <w:p w14:paraId="43833D27" w14:textId="0742723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2647E" w:rsidRPr="00B2647E">
              <w:rPr>
                <w:rFonts w:ascii="Arial" w:eastAsia="Calibri" w:hAnsi="Arial" w:cs="Arial"/>
                <w:szCs w:val="22"/>
              </w:rPr>
              <w:t>Androgenetic alopecia is the most common form of hair loss, particularly affecting men, and has a significant psychological impact on patients’ quality of life.</w:t>
            </w:r>
            <w:r w:rsidR="00DD0A28">
              <w:rPr>
                <w:rFonts w:ascii="Arial" w:eastAsia="Calibri" w:hAnsi="Arial" w:cs="Arial"/>
                <w:szCs w:val="22"/>
              </w:rPr>
              <w:t xml:space="preserve"> </w:t>
            </w:r>
            <w:r w:rsidR="00DD0A28" w:rsidRPr="00DD0A28">
              <w:rPr>
                <w:rFonts w:ascii="Arial" w:eastAsia="Calibri" w:hAnsi="Arial" w:cs="Arial"/>
                <w:szCs w:val="22"/>
              </w:rPr>
              <w:t>This study aims to evaluate the effectiveness of Platelet-Rich Plasma (PRP) administration following hair transplantation using the Direct Hair Implantation (DHI) method in improving hair growth rate and survival rate of transplanted hair in patients with androgenetic alopecia.</w:t>
            </w:r>
          </w:p>
          <w:p w14:paraId="1CCDD384" w14:textId="6857B4A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40D04">
              <w:rPr>
                <w:rFonts w:ascii="Arial" w:eastAsia="Calibri" w:hAnsi="Arial" w:cs="Arial"/>
                <w:szCs w:val="22"/>
              </w:rPr>
              <w:t xml:space="preserve">This </w:t>
            </w:r>
            <w:r w:rsidR="00E40D04" w:rsidRPr="00156178">
              <w:rPr>
                <w:rFonts w:ascii="Arial" w:eastAsia="Calibri" w:hAnsi="Arial" w:cs="Arial"/>
                <w:szCs w:val="22"/>
              </w:rPr>
              <w:t xml:space="preserve">study was a </w:t>
            </w:r>
            <w:r w:rsidR="003D2524" w:rsidRPr="00156178">
              <w:rPr>
                <w:rFonts w:ascii="Arial" w:eastAsia="Calibri" w:hAnsi="Arial" w:cs="Arial"/>
                <w:szCs w:val="22"/>
              </w:rPr>
              <w:t xml:space="preserve">randomized controlled trial (RCT) involving two treatment groups: one receiving DHI and the </w:t>
            </w:r>
            <w:r w:rsidR="003D2524" w:rsidRPr="003D2524">
              <w:rPr>
                <w:rFonts w:ascii="Arial" w:eastAsia="Calibri" w:hAnsi="Arial" w:cs="Arial"/>
                <w:szCs w:val="22"/>
              </w:rPr>
              <w:t xml:space="preserve">other receiving DHI combined with PRP injections. </w:t>
            </w:r>
          </w:p>
          <w:p w14:paraId="1F383A55" w14:textId="1F135FC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6598C">
              <w:rPr>
                <w:rFonts w:ascii="Arial" w:eastAsia="Calibri" w:hAnsi="Arial" w:cs="Arial"/>
                <w:szCs w:val="22"/>
              </w:rPr>
              <w:t xml:space="preserve">This study was done in </w:t>
            </w:r>
            <w:r w:rsidR="00211D38">
              <w:rPr>
                <w:rFonts w:ascii="Arial" w:eastAsia="Calibri" w:hAnsi="Arial" w:cs="Arial"/>
                <w:szCs w:val="22"/>
              </w:rPr>
              <w:t>6 months (</w:t>
            </w:r>
            <w:r w:rsidR="00193F86">
              <w:rPr>
                <w:rFonts w:ascii="Arial" w:eastAsia="Calibri" w:hAnsi="Arial" w:cs="Arial"/>
                <w:szCs w:val="22"/>
              </w:rPr>
              <w:t xml:space="preserve">within period of </w:t>
            </w:r>
            <w:r w:rsidR="00B60B4A">
              <w:rPr>
                <w:rFonts w:ascii="Arial" w:eastAsia="Calibri" w:hAnsi="Arial" w:cs="Arial"/>
                <w:szCs w:val="22"/>
              </w:rPr>
              <w:t>May-September 2025)</w:t>
            </w:r>
            <w:r w:rsidR="0015513A">
              <w:rPr>
                <w:rFonts w:ascii="Arial" w:eastAsia="Calibri" w:hAnsi="Arial" w:cs="Arial"/>
                <w:szCs w:val="22"/>
              </w:rPr>
              <w:t xml:space="preserve"> </w:t>
            </w:r>
            <w:r w:rsidR="00193F86">
              <w:rPr>
                <w:rFonts w:ascii="Arial" w:eastAsia="Calibri" w:hAnsi="Arial" w:cs="Arial"/>
                <w:szCs w:val="22"/>
              </w:rPr>
              <w:t xml:space="preserve">at </w:t>
            </w:r>
            <w:proofErr w:type="spellStart"/>
            <w:r w:rsidR="00193F86" w:rsidRPr="00193F86">
              <w:rPr>
                <w:rFonts w:ascii="Arial" w:eastAsia="Calibri" w:hAnsi="Arial" w:cs="Arial"/>
                <w:szCs w:val="22"/>
              </w:rPr>
              <w:t>Farmanina</w:t>
            </w:r>
            <w:proofErr w:type="spellEnd"/>
            <w:r w:rsidR="00193F86" w:rsidRPr="00193F86">
              <w:rPr>
                <w:rFonts w:ascii="Arial" w:eastAsia="Calibri" w:hAnsi="Arial" w:cs="Arial"/>
                <w:szCs w:val="22"/>
              </w:rPr>
              <w:t xml:space="preserve"> Aesthetic &amp; Hair Clinic</w:t>
            </w:r>
            <w:r w:rsidR="00193F86">
              <w:rPr>
                <w:rFonts w:ascii="Arial" w:eastAsia="Calibri" w:hAnsi="Arial" w:cs="Arial"/>
                <w:szCs w:val="22"/>
              </w:rPr>
              <w:t>, Denpasar, Bali.</w:t>
            </w:r>
          </w:p>
          <w:p w14:paraId="4B229E61" w14:textId="45FCF095"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p>
          <w:p w14:paraId="13E4F7A7" w14:textId="592D4B2F" w:rsidR="002D58BF" w:rsidRPr="00BA1B01" w:rsidRDefault="002D58BF" w:rsidP="00441B6F">
            <w:pPr>
              <w:pStyle w:val="Body"/>
              <w:spacing w:after="0"/>
              <w:rPr>
                <w:rFonts w:ascii="Arial" w:eastAsia="Calibri" w:hAnsi="Arial" w:cs="Arial"/>
                <w:szCs w:val="22"/>
              </w:rPr>
            </w:pPr>
            <w:r>
              <w:rPr>
                <w:rFonts w:ascii="Arial" w:eastAsia="Calibri" w:hAnsi="Arial" w:cs="Arial"/>
                <w:szCs w:val="22"/>
              </w:rPr>
              <w:t>We enrolled 14 subjects, which were randomly assigned into 2 groups,</w:t>
            </w:r>
            <w:r w:rsidR="00E94C3F">
              <w:rPr>
                <w:rFonts w:ascii="Arial" w:eastAsia="Calibri" w:hAnsi="Arial" w:cs="Arial"/>
                <w:szCs w:val="22"/>
              </w:rPr>
              <w:t xml:space="preserve"> namely the DHI and DHI+PRP</w:t>
            </w:r>
            <w:r>
              <w:rPr>
                <w:rFonts w:ascii="Arial" w:eastAsia="Calibri" w:hAnsi="Arial" w:cs="Arial"/>
                <w:szCs w:val="22"/>
              </w:rPr>
              <w:t xml:space="preserve">. </w:t>
            </w:r>
            <w:r w:rsidR="009E2423">
              <w:rPr>
                <w:rFonts w:ascii="Arial" w:eastAsia="Calibri" w:hAnsi="Arial" w:cs="Arial"/>
                <w:szCs w:val="22"/>
              </w:rPr>
              <w:t xml:space="preserve">Androgenetic alopecia grade was categorized using </w:t>
            </w:r>
            <w:r w:rsidR="00E813C0">
              <w:rPr>
                <w:rFonts w:ascii="Arial" w:eastAsia="Calibri" w:hAnsi="Arial" w:cs="Arial"/>
                <w:szCs w:val="22"/>
              </w:rPr>
              <w:t xml:space="preserve">Norwood criteria. </w:t>
            </w:r>
            <w:r w:rsidRPr="002D58BF">
              <w:rPr>
                <w:rFonts w:ascii="Arial" w:eastAsia="Calibri" w:hAnsi="Arial" w:cs="Arial"/>
                <w:szCs w:val="22"/>
              </w:rPr>
              <w:t xml:space="preserve">Hair length </w:t>
            </w:r>
            <w:r w:rsidRPr="00B56120">
              <w:rPr>
                <w:rFonts w:ascii="Arial" w:eastAsia="Calibri" w:hAnsi="Arial" w:cs="Arial"/>
                <w:szCs w:val="22"/>
              </w:rPr>
              <w:t xml:space="preserve">and </w:t>
            </w:r>
            <w:r w:rsidR="00F513E9" w:rsidRPr="00B56120">
              <w:rPr>
                <w:rFonts w:ascii="Arial" w:eastAsia="Calibri" w:hAnsi="Arial" w:cs="Arial"/>
                <w:szCs w:val="22"/>
              </w:rPr>
              <w:t xml:space="preserve">survival rate based on </w:t>
            </w:r>
            <w:r w:rsidRPr="00B56120">
              <w:rPr>
                <w:rFonts w:ascii="Arial" w:eastAsia="Calibri" w:hAnsi="Arial" w:cs="Arial"/>
                <w:szCs w:val="22"/>
              </w:rPr>
              <w:t xml:space="preserve">follicle density were assessed </w:t>
            </w:r>
            <w:r w:rsidRPr="002D58BF">
              <w:rPr>
                <w:rFonts w:ascii="Arial" w:eastAsia="Calibri" w:hAnsi="Arial" w:cs="Arial"/>
                <w:szCs w:val="22"/>
              </w:rPr>
              <w:t xml:space="preserve">at baseline (day 0), week 4, week 12, and week 16 at two measurement points: 2 cm and 4 cm from the midline of the hairline. </w:t>
            </w:r>
            <w:r w:rsidR="009E5316">
              <w:rPr>
                <w:rFonts w:ascii="Arial" w:eastAsia="Calibri" w:hAnsi="Arial" w:cs="Arial"/>
                <w:szCs w:val="22"/>
              </w:rPr>
              <w:t xml:space="preserve">Hair length was measured </w:t>
            </w:r>
            <w:r w:rsidR="00715ABD">
              <w:rPr>
                <w:rFonts w:ascii="Arial" w:eastAsia="Calibri" w:hAnsi="Arial" w:cs="Arial"/>
                <w:szCs w:val="22"/>
              </w:rPr>
              <w:t>from 10 hair</w:t>
            </w:r>
            <w:r w:rsidR="00F2086C">
              <w:rPr>
                <w:rFonts w:ascii="Arial" w:eastAsia="Calibri" w:hAnsi="Arial" w:cs="Arial"/>
                <w:szCs w:val="22"/>
              </w:rPr>
              <w:t xml:space="preserve">s from a certain area </w:t>
            </w:r>
            <w:r w:rsidR="009E5316">
              <w:rPr>
                <w:rFonts w:ascii="Arial" w:eastAsia="Calibri" w:hAnsi="Arial" w:cs="Arial"/>
                <w:szCs w:val="22"/>
              </w:rPr>
              <w:t xml:space="preserve">using </w:t>
            </w:r>
            <w:proofErr w:type="spellStart"/>
            <w:r w:rsidR="009E5316">
              <w:rPr>
                <w:rFonts w:ascii="Arial" w:eastAsia="Calibri" w:hAnsi="Arial" w:cs="Arial"/>
                <w:szCs w:val="22"/>
              </w:rPr>
              <w:t>vernier</w:t>
            </w:r>
            <w:proofErr w:type="spellEnd"/>
            <w:r w:rsidR="009E5316">
              <w:rPr>
                <w:rFonts w:ascii="Arial" w:eastAsia="Calibri" w:hAnsi="Arial" w:cs="Arial"/>
                <w:szCs w:val="22"/>
              </w:rPr>
              <w:t xml:space="preserve"> caliper</w:t>
            </w:r>
            <w:r w:rsidR="00715ABD">
              <w:rPr>
                <w:rFonts w:ascii="Arial" w:eastAsia="Calibri" w:hAnsi="Arial" w:cs="Arial"/>
                <w:szCs w:val="22"/>
              </w:rPr>
              <w:t xml:space="preserve"> using </w:t>
            </w:r>
            <w:proofErr w:type="spellStart"/>
            <w:r w:rsidR="00715ABD">
              <w:rPr>
                <w:rFonts w:ascii="Arial" w:eastAsia="Calibri" w:hAnsi="Arial" w:cs="Arial"/>
                <w:szCs w:val="22"/>
              </w:rPr>
              <w:t>milimeter</w:t>
            </w:r>
            <w:proofErr w:type="spellEnd"/>
            <w:r w:rsidR="00715ABD">
              <w:rPr>
                <w:rFonts w:ascii="Arial" w:eastAsia="Calibri" w:hAnsi="Arial" w:cs="Arial"/>
                <w:szCs w:val="22"/>
              </w:rPr>
              <w:t xml:space="preserve"> (mm)</w:t>
            </w:r>
            <w:r w:rsidR="00F2086C">
              <w:rPr>
                <w:rFonts w:ascii="Arial" w:eastAsia="Calibri" w:hAnsi="Arial" w:cs="Arial"/>
                <w:szCs w:val="22"/>
              </w:rPr>
              <w:t>, and the results were average</w:t>
            </w:r>
            <w:r w:rsidR="00946FE6">
              <w:rPr>
                <w:rFonts w:ascii="Arial" w:eastAsia="Calibri" w:hAnsi="Arial" w:cs="Arial"/>
                <w:szCs w:val="22"/>
              </w:rPr>
              <w:t>d</w:t>
            </w:r>
            <w:r w:rsidR="009E5316">
              <w:rPr>
                <w:rFonts w:ascii="Arial" w:eastAsia="Calibri" w:hAnsi="Arial" w:cs="Arial"/>
                <w:szCs w:val="22"/>
              </w:rPr>
              <w:t xml:space="preserve">. </w:t>
            </w:r>
            <w:r w:rsidR="0066250E" w:rsidRPr="0066250E">
              <w:rPr>
                <w:rFonts w:ascii="Arial" w:eastAsia="Calibri" w:hAnsi="Arial" w:cs="Arial"/>
                <w:szCs w:val="22"/>
              </w:rPr>
              <w:t>Hair density measurements are carried out using a cosmetic camera equipped with Skin and Hair Analysis Software (</w:t>
            </w:r>
            <w:proofErr w:type="spellStart"/>
            <w:r w:rsidR="0066250E" w:rsidRPr="0066250E">
              <w:rPr>
                <w:rFonts w:ascii="Arial" w:eastAsia="Calibri" w:hAnsi="Arial" w:cs="Arial"/>
                <w:szCs w:val="22"/>
              </w:rPr>
              <w:t>HairSys</w:t>
            </w:r>
            <w:proofErr w:type="spellEnd"/>
            <w:r w:rsidR="0066250E" w:rsidRPr="0066250E">
              <w:rPr>
                <w:rFonts w:ascii="Arial" w:eastAsia="Calibri" w:hAnsi="Arial" w:cs="Arial"/>
                <w:szCs w:val="22"/>
              </w:rPr>
              <w:t>).</w:t>
            </w:r>
            <w:r w:rsidR="0066250E">
              <w:rPr>
                <w:rFonts w:ascii="Arial" w:eastAsia="Calibri" w:hAnsi="Arial" w:cs="Arial"/>
                <w:szCs w:val="22"/>
              </w:rPr>
              <w:t xml:space="preserve"> </w:t>
            </w:r>
            <w:r w:rsidRPr="002D58BF">
              <w:rPr>
                <w:rFonts w:ascii="Arial" w:eastAsia="Calibri" w:hAnsi="Arial" w:cs="Arial"/>
                <w:szCs w:val="22"/>
              </w:rPr>
              <w:t xml:space="preserve">Statistical analyses included the Mixed </w:t>
            </w:r>
            <w:proofErr w:type="spellStart"/>
            <w:r w:rsidRPr="002D58BF">
              <w:rPr>
                <w:rFonts w:ascii="Arial" w:eastAsia="Calibri" w:hAnsi="Arial" w:cs="Arial"/>
                <w:szCs w:val="22"/>
              </w:rPr>
              <w:t>Annova</w:t>
            </w:r>
            <w:proofErr w:type="spellEnd"/>
            <w:r w:rsidRPr="002D58BF">
              <w:rPr>
                <w:rFonts w:ascii="Arial" w:eastAsia="Calibri" w:hAnsi="Arial" w:cs="Arial"/>
                <w:szCs w:val="22"/>
              </w:rPr>
              <w:t>.</w:t>
            </w:r>
          </w:p>
          <w:p w14:paraId="7AFDD53E" w14:textId="257FF806" w:rsidR="00AF12CC"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F12CC">
              <w:rPr>
                <w:rFonts w:ascii="Arial" w:eastAsia="Calibri" w:hAnsi="Arial" w:cs="Arial"/>
                <w:szCs w:val="22"/>
              </w:rPr>
              <w:t>Subjects mean age w</w:t>
            </w:r>
            <w:r w:rsidR="00BA7329">
              <w:rPr>
                <w:rFonts w:ascii="Arial" w:eastAsia="Calibri" w:hAnsi="Arial" w:cs="Arial"/>
                <w:szCs w:val="22"/>
              </w:rPr>
              <w:t xml:space="preserve">ere </w:t>
            </w:r>
            <w:r w:rsidR="000E5B85" w:rsidRPr="000E5B85">
              <w:rPr>
                <w:rFonts w:ascii="Arial" w:eastAsia="Calibri" w:hAnsi="Arial" w:cs="Arial"/>
                <w:szCs w:val="22"/>
              </w:rPr>
              <w:t>34 ± 3</w:t>
            </w:r>
            <w:r w:rsidR="0029384C">
              <w:rPr>
                <w:rFonts w:ascii="Arial" w:eastAsia="Calibri" w:hAnsi="Arial" w:cs="Arial"/>
                <w:szCs w:val="22"/>
              </w:rPr>
              <w:t>.</w:t>
            </w:r>
            <w:r w:rsidR="000E5B85" w:rsidRPr="000E5B85">
              <w:rPr>
                <w:rFonts w:ascii="Arial" w:eastAsia="Calibri" w:hAnsi="Arial" w:cs="Arial"/>
                <w:szCs w:val="22"/>
              </w:rPr>
              <w:t>26</w:t>
            </w:r>
            <w:r w:rsidR="000E5B85">
              <w:rPr>
                <w:rFonts w:ascii="Arial" w:eastAsia="Calibri" w:hAnsi="Arial" w:cs="Arial"/>
                <w:szCs w:val="22"/>
              </w:rPr>
              <w:t xml:space="preserve"> </w:t>
            </w:r>
            <w:r w:rsidR="00195B63">
              <w:rPr>
                <w:rFonts w:ascii="Arial" w:eastAsia="Calibri" w:hAnsi="Arial" w:cs="Arial"/>
                <w:szCs w:val="22"/>
              </w:rPr>
              <w:t xml:space="preserve">years old </w:t>
            </w:r>
            <w:r w:rsidR="000E5B85">
              <w:rPr>
                <w:rFonts w:ascii="Arial" w:eastAsia="Calibri" w:hAnsi="Arial" w:cs="Arial"/>
                <w:szCs w:val="22"/>
              </w:rPr>
              <w:t xml:space="preserve">in DHI and </w:t>
            </w:r>
            <w:r w:rsidR="00195B63" w:rsidRPr="00195B63">
              <w:rPr>
                <w:rFonts w:ascii="Arial" w:eastAsia="Calibri" w:hAnsi="Arial" w:cs="Arial"/>
                <w:szCs w:val="22"/>
              </w:rPr>
              <w:t>35</w:t>
            </w:r>
            <w:r w:rsidR="0029384C">
              <w:rPr>
                <w:rFonts w:ascii="Arial" w:eastAsia="Calibri" w:hAnsi="Arial" w:cs="Arial"/>
                <w:szCs w:val="22"/>
              </w:rPr>
              <w:t>.</w:t>
            </w:r>
            <w:r w:rsidR="00195B63" w:rsidRPr="00195B63">
              <w:rPr>
                <w:rFonts w:ascii="Arial" w:eastAsia="Calibri" w:hAnsi="Arial" w:cs="Arial"/>
                <w:szCs w:val="22"/>
              </w:rPr>
              <w:t>71 ± 3,4</w:t>
            </w:r>
            <w:r w:rsidR="00195B63">
              <w:rPr>
                <w:rFonts w:ascii="Arial" w:eastAsia="Calibri" w:hAnsi="Arial" w:cs="Arial"/>
                <w:szCs w:val="22"/>
              </w:rPr>
              <w:t xml:space="preserve"> years old in DHI+PRP group.</w:t>
            </w:r>
            <w:r w:rsidR="00CE2603">
              <w:rPr>
                <w:rFonts w:ascii="Arial" w:eastAsia="Calibri" w:hAnsi="Arial" w:cs="Arial"/>
                <w:szCs w:val="22"/>
              </w:rPr>
              <w:t xml:space="preserve"> M</w:t>
            </w:r>
            <w:r w:rsidR="00CE2603" w:rsidRPr="00CE2603">
              <w:rPr>
                <w:rFonts w:ascii="Arial" w:eastAsia="Calibri" w:hAnsi="Arial" w:cs="Arial"/>
                <w:szCs w:val="22"/>
              </w:rPr>
              <w:t>ost of them met Norwood criteria 5 (57.14%).</w:t>
            </w:r>
            <w:r w:rsidR="00687E50">
              <w:rPr>
                <w:rFonts w:ascii="Arial" w:eastAsia="Calibri" w:hAnsi="Arial" w:cs="Arial"/>
                <w:szCs w:val="22"/>
              </w:rPr>
              <w:t xml:space="preserve"> </w:t>
            </w:r>
            <w:r w:rsidR="00687E50" w:rsidRPr="00687E50">
              <w:rPr>
                <w:rFonts w:ascii="Arial" w:eastAsia="Calibri" w:hAnsi="Arial" w:cs="Arial"/>
                <w:szCs w:val="22"/>
              </w:rPr>
              <w:t>The results showed that the DHI+PRP group experienced a significant increase in hair length and density compared to the DHI group. At week 16, the DHI+PRP group had a mean difference in hair density of 1.036 in the 2 cm midline area and 1.929 in the 4 cm midline area (</w:t>
            </w:r>
            <w:r w:rsidR="00687E50">
              <w:rPr>
                <w:rFonts w:ascii="Arial" w:eastAsia="Calibri" w:hAnsi="Arial" w:cs="Arial"/>
                <w:szCs w:val="22"/>
              </w:rPr>
              <w:t>P</w:t>
            </w:r>
            <w:r w:rsidR="00687E50" w:rsidRPr="00687E50">
              <w:rPr>
                <w:rFonts w:ascii="Arial" w:eastAsia="Calibri" w:hAnsi="Arial" w:cs="Arial"/>
                <w:szCs w:val="22"/>
              </w:rPr>
              <w:t xml:space="preserve"> &lt; 0.001). The results of the hair length analysis showed that DHI+PRP provided a mean difference in hair length of up to 9.218 cm (</w:t>
            </w:r>
            <w:r w:rsidR="00687E50">
              <w:rPr>
                <w:rFonts w:ascii="Arial" w:eastAsia="Calibri" w:hAnsi="Arial" w:cs="Arial"/>
                <w:szCs w:val="22"/>
              </w:rPr>
              <w:t>P</w:t>
            </w:r>
            <w:r w:rsidR="00687E50" w:rsidRPr="00687E50">
              <w:rPr>
                <w:rFonts w:ascii="Arial" w:eastAsia="Calibri" w:hAnsi="Arial" w:cs="Arial"/>
                <w:szCs w:val="22"/>
              </w:rPr>
              <w:t xml:space="preserve"> &lt; 0.001) in the 2 cm midline area and 9.164 cm (</w:t>
            </w:r>
            <w:r w:rsidR="00687E50">
              <w:rPr>
                <w:rFonts w:ascii="Arial" w:eastAsia="Calibri" w:hAnsi="Arial" w:cs="Arial"/>
                <w:szCs w:val="22"/>
              </w:rPr>
              <w:t>P</w:t>
            </w:r>
            <w:r w:rsidR="00687E50" w:rsidRPr="00687E50">
              <w:rPr>
                <w:rFonts w:ascii="Arial" w:eastAsia="Calibri" w:hAnsi="Arial" w:cs="Arial"/>
                <w:szCs w:val="22"/>
              </w:rPr>
              <w:t xml:space="preserve"> &lt; 0.001) in the 4 cm midline area.</w:t>
            </w:r>
          </w:p>
          <w:p w14:paraId="71EDC86E" w14:textId="0705C38A"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65679" w:rsidRPr="00A65679">
              <w:rPr>
                <w:rFonts w:ascii="Arial" w:eastAsia="Calibri" w:hAnsi="Arial" w:cs="Arial"/>
                <w:szCs w:val="22"/>
              </w:rPr>
              <w:t>PRP administration following DHI hair transplantation significantly enhances hair growth rate and survival rate in patients with androgenetic alopecia, supporting its role as a promising adjuvant therapy in the management of hair loss.</w:t>
            </w:r>
          </w:p>
          <w:p w14:paraId="4A2F0B36" w14:textId="0C0A59AA" w:rsidR="00505F06" w:rsidRPr="00BA1B01" w:rsidRDefault="00505F06" w:rsidP="00441B6F">
            <w:pPr>
              <w:pStyle w:val="Body"/>
              <w:spacing w:after="0"/>
              <w:rPr>
                <w:rFonts w:ascii="Arial" w:eastAsia="Calibri" w:hAnsi="Arial" w:cs="Arial"/>
                <w:szCs w:val="22"/>
              </w:rPr>
            </w:pPr>
          </w:p>
        </w:tc>
      </w:tr>
    </w:tbl>
    <w:p w14:paraId="6591D7D2" w14:textId="29843C18" w:rsidR="003C798D" w:rsidRPr="00B56120" w:rsidRDefault="003C798D" w:rsidP="003C798D">
      <w:pPr>
        <w:pStyle w:val="Body"/>
        <w:spacing w:after="0"/>
        <w:rPr>
          <w:rFonts w:ascii="Arial" w:hAnsi="Arial" w:cs="Arial"/>
          <w:i/>
        </w:rPr>
      </w:pPr>
      <w:r>
        <w:rPr>
          <w:rFonts w:ascii="Arial" w:hAnsi="Arial" w:cs="Arial"/>
          <w:i/>
        </w:rPr>
        <w:t xml:space="preserve">Keywords: </w:t>
      </w:r>
      <w:r w:rsidRPr="0045378F">
        <w:rPr>
          <w:rFonts w:ascii="Arial" w:hAnsi="Arial" w:cs="Arial"/>
          <w:i/>
        </w:rPr>
        <w:t xml:space="preserve">alopecia androgenetic, direct hair transplantation, platelet-rich plasma, </w:t>
      </w:r>
      <w:r w:rsidR="00F513E9" w:rsidRPr="00B56120">
        <w:rPr>
          <w:rFonts w:ascii="Arial" w:hAnsi="Arial" w:cs="Arial"/>
          <w:i/>
        </w:rPr>
        <w:t>hair growth, survival rate</w:t>
      </w:r>
    </w:p>
    <w:p w14:paraId="2C688710" w14:textId="4506CF44"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272B05" w14:textId="6CF5300C" w:rsidR="00567F9F" w:rsidRPr="00567F9F" w:rsidRDefault="00567F9F" w:rsidP="00567F9F">
      <w:pPr>
        <w:pStyle w:val="Body"/>
        <w:rPr>
          <w:rFonts w:ascii="Arial" w:hAnsi="Arial" w:cs="Arial"/>
        </w:rPr>
      </w:pPr>
      <w:r w:rsidRPr="00567F9F">
        <w:rPr>
          <w:rFonts w:ascii="Arial" w:hAnsi="Arial" w:cs="Arial"/>
        </w:rPr>
        <w:t xml:space="preserve">Androgenetic alopecia is one of the most common hair health issues among men and can have serious psychological effects. It often leads to reduced self-confidence, stress, and even depression. Many </w:t>
      </w:r>
      <w:r>
        <w:rPr>
          <w:rFonts w:ascii="Arial" w:hAnsi="Arial" w:cs="Arial"/>
        </w:rPr>
        <w:t>patients</w:t>
      </w:r>
      <w:r w:rsidRPr="00567F9F">
        <w:rPr>
          <w:rFonts w:ascii="Arial" w:hAnsi="Arial" w:cs="Arial"/>
        </w:rPr>
        <w:t xml:space="preserve"> feel isolated and ashamed of their appearance, which can impact their social and professional lives. In many cultures, hair symbolizes beauty, masculinity, and vitality, while baldness is associated with aging, weakness, and diminished attractiveness. This social stigma can cause significant emotional distress.</w:t>
      </w:r>
      <w:r w:rsidR="004E4DD5">
        <w:rPr>
          <w:rFonts w:ascii="Arial" w:hAnsi="Arial" w:cs="Arial"/>
        </w:rPr>
        <w:t xml:space="preserve"> This disease is characterized by </w:t>
      </w:r>
      <w:r w:rsidR="00D377D6" w:rsidRPr="00D377D6">
        <w:rPr>
          <w:rFonts w:ascii="Arial" w:hAnsi="Arial" w:cs="Arial"/>
        </w:rPr>
        <w:t xml:space="preserve">progressive hair thinning caused by a combination of genetic </w:t>
      </w:r>
      <w:r w:rsidR="00D377D6" w:rsidRPr="00D377D6">
        <w:rPr>
          <w:rFonts w:ascii="Arial" w:hAnsi="Arial" w:cs="Arial"/>
        </w:rPr>
        <w:lastRenderedPageBreak/>
        <w:t>factors and androgen hormones, affecting specific areas such as the crown of the head and hairline. The prevalence of androgenetic alopecia continues to increase, with more than 50% of men and approximately 40% of women worldwide experiencing this condition by the age of 30</w:t>
      </w:r>
      <w:r w:rsidR="00D377D6">
        <w:rPr>
          <w:rFonts w:ascii="Arial" w:hAnsi="Arial" w:cs="Arial"/>
        </w:rPr>
        <w:t xml:space="preserve"> (Nasution </w:t>
      </w:r>
      <w:r w:rsidR="00D377D6">
        <w:rPr>
          <w:rFonts w:ascii="Arial" w:hAnsi="Arial" w:cs="Arial"/>
          <w:i/>
          <w:iCs/>
        </w:rPr>
        <w:t>et al</w:t>
      </w:r>
      <w:r w:rsidR="00D377D6" w:rsidRPr="00D93F95">
        <w:rPr>
          <w:rFonts w:ascii="Arial" w:hAnsi="Arial" w:cs="Arial"/>
        </w:rPr>
        <w:t xml:space="preserve">., </w:t>
      </w:r>
      <w:r w:rsidR="00D93F95" w:rsidRPr="00D93F95">
        <w:rPr>
          <w:rFonts w:ascii="Arial" w:hAnsi="Arial" w:cs="Arial"/>
        </w:rPr>
        <w:t>2022)</w:t>
      </w:r>
      <w:r w:rsidR="00D377D6" w:rsidRPr="00D377D6">
        <w:rPr>
          <w:rFonts w:ascii="Arial" w:hAnsi="Arial" w:cs="Arial"/>
        </w:rPr>
        <w:t>.</w:t>
      </w:r>
    </w:p>
    <w:p w14:paraId="1FB856F7" w14:textId="09DA2900" w:rsidR="006024D6" w:rsidRPr="006024D6" w:rsidRDefault="006024D6" w:rsidP="006024D6">
      <w:pPr>
        <w:pStyle w:val="Body"/>
        <w:rPr>
          <w:rFonts w:ascii="Arial" w:hAnsi="Arial" w:cs="Arial"/>
        </w:rPr>
      </w:pPr>
      <w:r w:rsidRPr="006024D6">
        <w:rPr>
          <w:rFonts w:ascii="Arial" w:hAnsi="Arial" w:cs="Arial"/>
        </w:rPr>
        <w:t xml:space="preserve">Various treatments have been developed to address androgenetic alopecia, including topical medications like minoxidil and oral drugs such as finasteride (Putri &amp; </w:t>
      </w:r>
      <w:proofErr w:type="spellStart"/>
      <w:r w:rsidRPr="006024D6">
        <w:rPr>
          <w:rFonts w:ascii="Arial" w:hAnsi="Arial" w:cs="Arial"/>
        </w:rPr>
        <w:t>Listiawan</w:t>
      </w:r>
      <w:proofErr w:type="spellEnd"/>
      <w:r w:rsidRPr="006024D6">
        <w:rPr>
          <w:rFonts w:ascii="Arial" w:hAnsi="Arial" w:cs="Arial"/>
        </w:rPr>
        <w:t xml:space="preserve">, 2022). However, the effectiveness of these treatments often varies and typically requires a long period before noticeable results appear. Moreover, discontinuing minoxidil use usually halts hair regrowth, causing hair density to revert to its pre-treatment state (Lockhart </w:t>
      </w:r>
      <w:r w:rsidRPr="00515BD7">
        <w:rPr>
          <w:rFonts w:ascii="Arial" w:hAnsi="Arial" w:cs="Arial"/>
          <w:i/>
          <w:iCs/>
        </w:rPr>
        <w:t>et al</w:t>
      </w:r>
      <w:r w:rsidRPr="006024D6">
        <w:rPr>
          <w:rFonts w:ascii="Arial" w:hAnsi="Arial" w:cs="Arial"/>
        </w:rPr>
        <w:t xml:space="preserve">., 2016; </w:t>
      </w:r>
      <w:r w:rsidR="00012FAF">
        <w:rPr>
          <w:rFonts w:ascii="Arial" w:hAnsi="Arial" w:cs="Arial"/>
        </w:rPr>
        <w:t>Lucky</w:t>
      </w:r>
      <w:r w:rsidRPr="006024D6">
        <w:rPr>
          <w:rFonts w:ascii="Arial" w:hAnsi="Arial" w:cs="Arial"/>
        </w:rPr>
        <w:t xml:space="preserve"> </w:t>
      </w:r>
      <w:r w:rsidRPr="000A5AE2">
        <w:rPr>
          <w:rFonts w:ascii="Arial" w:hAnsi="Arial" w:cs="Arial"/>
          <w:i/>
          <w:iCs/>
        </w:rPr>
        <w:t>et al</w:t>
      </w:r>
      <w:r w:rsidRPr="006024D6">
        <w:rPr>
          <w:rFonts w:ascii="Arial" w:hAnsi="Arial" w:cs="Arial"/>
        </w:rPr>
        <w:t>., 20</w:t>
      </w:r>
      <w:r w:rsidR="00012FAF">
        <w:rPr>
          <w:rFonts w:ascii="Arial" w:hAnsi="Arial" w:cs="Arial"/>
        </w:rPr>
        <w:t>04</w:t>
      </w:r>
      <w:r w:rsidRPr="006024D6">
        <w:rPr>
          <w:rFonts w:ascii="Arial" w:hAnsi="Arial" w:cs="Arial"/>
        </w:rPr>
        <w:t xml:space="preserve">). Hair transplantation has emerged as a leading solution for managing androgenetic alopecia (Stephanie, 2018; </w:t>
      </w:r>
      <w:proofErr w:type="spellStart"/>
      <w:r w:rsidRPr="006024D6">
        <w:rPr>
          <w:rFonts w:ascii="Arial" w:hAnsi="Arial" w:cs="Arial"/>
        </w:rPr>
        <w:t>Darmaningrat</w:t>
      </w:r>
      <w:proofErr w:type="spellEnd"/>
      <w:r w:rsidRPr="006024D6">
        <w:rPr>
          <w:rFonts w:ascii="Arial" w:hAnsi="Arial" w:cs="Arial"/>
        </w:rPr>
        <w:t xml:space="preserve"> </w:t>
      </w:r>
      <w:r w:rsidRPr="000A5AE2">
        <w:rPr>
          <w:rFonts w:ascii="Arial" w:hAnsi="Arial" w:cs="Arial"/>
          <w:i/>
          <w:iCs/>
        </w:rPr>
        <w:t>et al.,</w:t>
      </w:r>
      <w:r w:rsidRPr="006024D6">
        <w:rPr>
          <w:rFonts w:ascii="Arial" w:hAnsi="Arial" w:cs="Arial"/>
        </w:rPr>
        <w:t xml:space="preserve"> 2020). Advances in transplant techniques—from Follicular Unit Transplantation (FUT) to Direct Hair Implantation (DHI), a method within the Follicular Unit Extraction (FUE) category—have significantly improved outcomes, offering more natural-looking results.</w:t>
      </w:r>
    </w:p>
    <w:p w14:paraId="7DED03BD" w14:textId="4788C498" w:rsidR="006024D6" w:rsidRDefault="00C65C98" w:rsidP="006024D6">
      <w:pPr>
        <w:pStyle w:val="Body"/>
        <w:rPr>
          <w:rFonts w:ascii="Arial" w:hAnsi="Arial" w:cs="Arial"/>
        </w:rPr>
      </w:pPr>
      <w:r w:rsidRPr="00C65C98">
        <w:rPr>
          <w:rFonts w:ascii="Arial" w:hAnsi="Arial" w:cs="Arial"/>
        </w:rPr>
        <w:t xml:space="preserve">Direct hair transplantation techniques face a major challenge due to limited data on the survival rate of implanted follicles. Ideally, the number of follicles that successfully grow should closely match the number implanted. However, post-surgical hair regrowth often takes a considerable amount of time, which can affect patient satisfaction. PRP therapy, rich in cellular growth factors, shows promise in improving follicle survival and accelerating post-transplant hair growth. PRP contains key proteins that aid healing, including EGF, VEGF, IGF-1, PDGF, and TGF-β (Gupta </w:t>
      </w:r>
      <w:r w:rsidRPr="00C65C98">
        <w:rPr>
          <w:rFonts w:ascii="Arial" w:hAnsi="Arial" w:cs="Arial"/>
          <w:i/>
          <w:iCs/>
        </w:rPr>
        <w:t>et al</w:t>
      </w:r>
      <w:r w:rsidRPr="00C65C98">
        <w:rPr>
          <w:rFonts w:ascii="Arial" w:hAnsi="Arial" w:cs="Arial"/>
        </w:rPr>
        <w:t>., 2021).</w:t>
      </w:r>
    </w:p>
    <w:p w14:paraId="4F24B2F8" w14:textId="32C09C4A" w:rsidR="001471CF" w:rsidRDefault="001471CF" w:rsidP="006024D6">
      <w:pPr>
        <w:pStyle w:val="Body"/>
        <w:rPr>
          <w:rFonts w:ascii="Arial" w:hAnsi="Arial" w:cs="Arial"/>
        </w:rPr>
      </w:pPr>
      <w:r w:rsidRPr="001471CF">
        <w:rPr>
          <w:rFonts w:ascii="Arial" w:hAnsi="Arial" w:cs="Arial"/>
        </w:rPr>
        <w:t xml:space="preserve">A range of innovative approaches has been explored to treat androgenetic alopecia, including the use of Platelet-Rich Plasma (PRP) injections. PRP stimulates hair follicle cell regeneration by activating stem cells and enhancing the expression of growth factors. The diverse array of growth factors in PRP plays distinct roles in promoting hair growth (Chen </w:t>
      </w:r>
      <w:r w:rsidRPr="001471CF">
        <w:rPr>
          <w:rFonts w:ascii="Arial" w:hAnsi="Arial" w:cs="Arial"/>
          <w:i/>
          <w:iCs/>
        </w:rPr>
        <w:t>et al</w:t>
      </w:r>
      <w:r w:rsidRPr="001471CF">
        <w:rPr>
          <w:rFonts w:ascii="Arial" w:hAnsi="Arial" w:cs="Arial"/>
        </w:rPr>
        <w:t xml:space="preserve">., 2018; Stevens &amp; </w:t>
      </w:r>
      <w:r w:rsidR="00DB4571">
        <w:rPr>
          <w:rFonts w:ascii="Arial" w:hAnsi="Arial" w:cs="Arial"/>
        </w:rPr>
        <w:t>Stevens</w:t>
      </w:r>
      <w:r w:rsidRPr="001471CF">
        <w:rPr>
          <w:rFonts w:ascii="Arial" w:hAnsi="Arial" w:cs="Arial"/>
        </w:rPr>
        <w:t>, 2019).</w:t>
      </w:r>
    </w:p>
    <w:p w14:paraId="0117E4E8" w14:textId="77777777" w:rsidR="001471CF" w:rsidRPr="001471CF" w:rsidRDefault="001471CF" w:rsidP="001471CF">
      <w:pPr>
        <w:pStyle w:val="Body"/>
        <w:rPr>
          <w:rFonts w:ascii="Arial" w:hAnsi="Arial" w:cs="Arial"/>
        </w:rPr>
      </w:pPr>
      <w:r w:rsidRPr="001471CF">
        <w:rPr>
          <w:rFonts w:ascii="Arial" w:hAnsi="Arial" w:cs="Arial"/>
        </w:rPr>
        <w:t xml:space="preserve">Activated platelets release various growth factors and cytokines from their alpha granules as part of the wound-healing process. When injected into the scalp, these platelets become activated and release growth factors that stimulate hair growth. These factors activate fibroblasts, enhance collagen synthesis, stimulate the extracellular matrix, and boost the body’s natural growth factor expression (Alves &amp; </w:t>
      </w:r>
      <w:proofErr w:type="spellStart"/>
      <w:r w:rsidRPr="001471CF">
        <w:rPr>
          <w:rFonts w:ascii="Arial" w:hAnsi="Arial" w:cs="Arial"/>
        </w:rPr>
        <w:t>Grimalt</w:t>
      </w:r>
      <w:proofErr w:type="spellEnd"/>
      <w:r w:rsidRPr="001471CF">
        <w:rPr>
          <w:rFonts w:ascii="Arial" w:hAnsi="Arial" w:cs="Arial"/>
        </w:rPr>
        <w:t>, 2016).</w:t>
      </w:r>
    </w:p>
    <w:p w14:paraId="73C32E03" w14:textId="0CB55ABF" w:rsidR="001471CF" w:rsidRDefault="001471CF" w:rsidP="001471CF">
      <w:pPr>
        <w:pStyle w:val="Body"/>
        <w:rPr>
          <w:rFonts w:ascii="Arial" w:hAnsi="Arial" w:cs="Arial"/>
        </w:rPr>
      </w:pPr>
      <w:r w:rsidRPr="001471CF">
        <w:rPr>
          <w:rFonts w:ascii="Arial" w:hAnsi="Arial" w:cs="Arial"/>
        </w:rPr>
        <w:t xml:space="preserve">The primary growth factors released by PRP include platelet-derived growth factor (PDGF), transforming growth factor beta (TGF-β), vascular endothelial growth factor (VEGF), epidermal growth factor (EGF), and insulin-like growth factor-1 (IGF-1). These molecules contribute to cell proliferation, differentiation, angiogenesis (formation of new blood vessels), and chemotaxis—all crucial for hair regeneration (Kim </w:t>
      </w:r>
      <w:r w:rsidRPr="001471CF">
        <w:rPr>
          <w:rFonts w:ascii="Arial" w:hAnsi="Arial" w:cs="Arial"/>
          <w:i/>
          <w:iCs/>
        </w:rPr>
        <w:t>et al</w:t>
      </w:r>
      <w:r w:rsidRPr="001471CF">
        <w:rPr>
          <w:rFonts w:ascii="Arial" w:hAnsi="Arial" w:cs="Arial"/>
        </w:rPr>
        <w:t xml:space="preserve">., 2011; Uebel </w:t>
      </w:r>
      <w:r w:rsidRPr="001471CF">
        <w:rPr>
          <w:rFonts w:ascii="Arial" w:hAnsi="Arial" w:cs="Arial"/>
          <w:i/>
          <w:iCs/>
        </w:rPr>
        <w:t>et al</w:t>
      </w:r>
      <w:r w:rsidRPr="001471CF">
        <w:rPr>
          <w:rFonts w:ascii="Arial" w:hAnsi="Arial" w:cs="Arial"/>
        </w:rPr>
        <w:t>., 2006). IGF-1, in particular, has been shown to prolong the anagen (growth) phase of the hair cycle.</w:t>
      </w:r>
    </w:p>
    <w:p w14:paraId="2333A82E" w14:textId="2D08427D" w:rsidR="00127CA8" w:rsidRDefault="00127CA8" w:rsidP="001471CF">
      <w:pPr>
        <w:pStyle w:val="Body"/>
        <w:rPr>
          <w:rFonts w:ascii="Arial" w:hAnsi="Arial" w:cs="Arial"/>
        </w:rPr>
      </w:pPr>
      <w:r w:rsidRPr="00127CA8">
        <w:rPr>
          <w:rFonts w:ascii="Arial" w:hAnsi="Arial" w:cs="Arial"/>
        </w:rPr>
        <w:t xml:space="preserve">Additionally, platelets contain dense granules filled with bioactive compounds such as serotonin, histamine, dopamine, calcium, and adenosine, which enhance membrane permeability and regulate inflammation (Leo </w:t>
      </w:r>
      <w:r w:rsidRPr="00127CA8">
        <w:rPr>
          <w:rFonts w:ascii="Arial" w:hAnsi="Arial" w:cs="Arial"/>
          <w:i/>
          <w:iCs/>
        </w:rPr>
        <w:t>et al</w:t>
      </w:r>
      <w:r w:rsidRPr="00127CA8">
        <w:rPr>
          <w:rFonts w:ascii="Arial" w:hAnsi="Arial" w:cs="Arial"/>
        </w:rPr>
        <w:t xml:space="preserve">., 2015; Asadi </w:t>
      </w:r>
      <w:r w:rsidRPr="00127CA8">
        <w:rPr>
          <w:rFonts w:ascii="Arial" w:hAnsi="Arial" w:cs="Arial"/>
          <w:i/>
          <w:iCs/>
        </w:rPr>
        <w:t>et al</w:t>
      </w:r>
      <w:r w:rsidRPr="00127CA8">
        <w:rPr>
          <w:rFonts w:ascii="Arial" w:hAnsi="Arial" w:cs="Arial"/>
        </w:rPr>
        <w:t xml:space="preserve">., 2014). </w:t>
      </w:r>
      <w:r>
        <w:rPr>
          <w:rFonts w:ascii="Arial" w:hAnsi="Arial" w:cs="Arial"/>
        </w:rPr>
        <w:t>In</w:t>
      </w:r>
      <w:r w:rsidRPr="00127CA8">
        <w:rPr>
          <w:rFonts w:ascii="Arial" w:hAnsi="Arial" w:cs="Arial"/>
        </w:rPr>
        <w:t xml:space="preserve"> vitro and in vivo models demonstrated that PRP stimulates dermal papilla cell proliferation by activating the ERK and Akt signaling pathways, which help prevent cell apoptosis. In animal studies, PRP also accelerated the transition from the telogen (resting) to anagen (growth) phase, highlighting its potential to promote the hair growth cycle</w:t>
      </w:r>
      <w:r>
        <w:rPr>
          <w:rFonts w:ascii="Arial" w:hAnsi="Arial" w:cs="Arial"/>
        </w:rPr>
        <w:t xml:space="preserve"> (</w:t>
      </w:r>
      <w:r w:rsidRPr="00127CA8">
        <w:rPr>
          <w:rFonts w:ascii="Arial" w:hAnsi="Arial" w:cs="Arial"/>
        </w:rPr>
        <w:t>L</w:t>
      </w:r>
      <w:r w:rsidR="00CA5C97">
        <w:rPr>
          <w:rFonts w:ascii="Arial" w:hAnsi="Arial" w:cs="Arial"/>
        </w:rPr>
        <w:t>ee</w:t>
      </w:r>
      <w:r w:rsidRPr="00127CA8">
        <w:rPr>
          <w:rFonts w:ascii="Arial" w:hAnsi="Arial" w:cs="Arial"/>
          <w:i/>
          <w:iCs/>
        </w:rPr>
        <w:t>.</w:t>
      </w:r>
      <w:r>
        <w:rPr>
          <w:rFonts w:ascii="Arial" w:hAnsi="Arial" w:cs="Arial"/>
        </w:rPr>
        <w:t xml:space="preserve">, </w:t>
      </w:r>
      <w:r w:rsidRPr="00127CA8">
        <w:rPr>
          <w:rFonts w:ascii="Arial" w:hAnsi="Arial" w:cs="Arial"/>
        </w:rPr>
        <w:t>2012)</w:t>
      </w:r>
      <w:r>
        <w:rPr>
          <w:rFonts w:ascii="Arial" w:hAnsi="Arial" w:cs="Arial"/>
        </w:rPr>
        <w:t>.</w:t>
      </w:r>
    </w:p>
    <w:p w14:paraId="0C462660" w14:textId="4A8B8B41" w:rsidR="00790ADA" w:rsidRPr="00FB3A86" w:rsidRDefault="002C3DAB" w:rsidP="00FE76BD">
      <w:pPr>
        <w:pStyle w:val="Body"/>
        <w:rPr>
          <w:rFonts w:ascii="Arial" w:hAnsi="Arial" w:cs="Arial"/>
        </w:rPr>
      </w:pPr>
      <w:r w:rsidRPr="002C3DAB">
        <w:rPr>
          <w:rFonts w:ascii="Arial" w:hAnsi="Arial" w:cs="Arial"/>
        </w:rPr>
        <w:t>This study aims to explore the effectiveness of combining direct hair transplantation with platelet-rich plasma therapy in improving follicle survival rates and increasing hair length and density. This approach is expected to provide an innovative and comprehensive solution for those with androgenetic alopecia.</w:t>
      </w:r>
    </w:p>
    <w:p w14:paraId="4328A1E8" w14:textId="682605A0"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7257C1" w14:textId="77777777" w:rsidR="00790ADA" w:rsidRPr="00FB3A86" w:rsidRDefault="00790ADA" w:rsidP="00441B6F">
      <w:pPr>
        <w:pStyle w:val="Body"/>
        <w:spacing w:after="0"/>
        <w:rPr>
          <w:rFonts w:ascii="Arial" w:hAnsi="Arial" w:cs="Arial"/>
        </w:rPr>
      </w:pPr>
    </w:p>
    <w:p w14:paraId="6FB733BA" w14:textId="77777777" w:rsidR="0003776F" w:rsidRDefault="00AA74E0" w:rsidP="00441B6F">
      <w:pPr>
        <w:pStyle w:val="Body"/>
        <w:spacing w:after="0"/>
        <w:rPr>
          <w:rFonts w:ascii="Arial" w:hAnsi="Arial" w:cs="Arial"/>
        </w:rPr>
      </w:pPr>
      <w:r w:rsidRPr="00C30A0F">
        <w:rPr>
          <w:rFonts w:ascii="Arial" w:hAnsi="Arial" w:cs="Arial"/>
          <w:b/>
          <w:caps/>
          <w:sz w:val="22"/>
        </w:rPr>
        <w:t xml:space="preserve">2.1 </w:t>
      </w:r>
      <w:r w:rsidR="0003776F">
        <w:rPr>
          <w:rFonts w:ascii="Arial" w:hAnsi="Arial" w:cs="Arial"/>
          <w:b/>
          <w:sz w:val="22"/>
        </w:rPr>
        <w:t xml:space="preserve">Study design </w:t>
      </w:r>
    </w:p>
    <w:p w14:paraId="729D6333" w14:textId="7FD51127" w:rsidR="00AA74E0" w:rsidRDefault="00B416B2" w:rsidP="00441B6F">
      <w:pPr>
        <w:pStyle w:val="Body"/>
        <w:spacing w:after="0"/>
        <w:rPr>
          <w:rFonts w:ascii="Arial" w:hAnsi="Arial" w:cs="Arial"/>
        </w:rPr>
      </w:pPr>
      <w:r>
        <w:rPr>
          <w:rFonts w:ascii="Arial" w:hAnsi="Arial" w:cs="Arial"/>
        </w:rPr>
        <w:t xml:space="preserve">This was a </w:t>
      </w:r>
      <w:r w:rsidR="00A04222">
        <w:rPr>
          <w:rFonts w:ascii="Arial" w:hAnsi="Arial" w:cs="Arial"/>
        </w:rPr>
        <w:t>clinical trial</w:t>
      </w:r>
      <w:r>
        <w:rPr>
          <w:rFonts w:ascii="Arial" w:hAnsi="Arial" w:cs="Arial"/>
        </w:rPr>
        <w:t xml:space="preserve"> study</w:t>
      </w:r>
      <w:r w:rsidR="00EA450B">
        <w:rPr>
          <w:rFonts w:ascii="Arial" w:hAnsi="Arial" w:cs="Arial"/>
        </w:rPr>
        <w:t>. The subjects were random</w:t>
      </w:r>
      <w:r w:rsidR="007E0E73">
        <w:rPr>
          <w:rFonts w:ascii="Arial" w:hAnsi="Arial" w:cs="Arial"/>
        </w:rPr>
        <w:t>l</w:t>
      </w:r>
      <w:r w:rsidR="00EA450B">
        <w:rPr>
          <w:rFonts w:ascii="Arial" w:hAnsi="Arial" w:cs="Arial"/>
        </w:rPr>
        <w:t>y assigned into 2 groups</w:t>
      </w:r>
      <w:r w:rsidR="007E0E73">
        <w:rPr>
          <w:rFonts w:ascii="Arial" w:hAnsi="Arial" w:cs="Arial"/>
        </w:rPr>
        <w:t xml:space="preserve">, with subjects receiving direct hair implantation (DHI) and DHI </w:t>
      </w:r>
      <w:r w:rsidR="008B7086">
        <w:rPr>
          <w:rFonts w:ascii="Arial" w:hAnsi="Arial" w:cs="Arial"/>
        </w:rPr>
        <w:t>enriched with</w:t>
      </w:r>
      <w:r w:rsidR="007E0E73">
        <w:rPr>
          <w:rFonts w:ascii="Arial" w:hAnsi="Arial" w:cs="Arial"/>
        </w:rPr>
        <w:t xml:space="preserve"> platelet rich </w:t>
      </w:r>
      <w:r w:rsidR="00A80CE3">
        <w:rPr>
          <w:rFonts w:ascii="Arial" w:hAnsi="Arial" w:cs="Arial"/>
        </w:rPr>
        <w:t>plasma (PRP)</w:t>
      </w:r>
      <w:r w:rsidR="008B7086">
        <w:rPr>
          <w:rFonts w:ascii="Arial" w:hAnsi="Arial" w:cs="Arial"/>
        </w:rPr>
        <w:t xml:space="preserve">. </w:t>
      </w:r>
      <w:r w:rsidR="00D24244">
        <w:rPr>
          <w:rFonts w:ascii="Arial" w:hAnsi="Arial" w:cs="Arial"/>
        </w:rPr>
        <w:t xml:space="preserve">The groups then </w:t>
      </w:r>
      <w:r w:rsidR="003D1CB5">
        <w:rPr>
          <w:rFonts w:ascii="Arial" w:hAnsi="Arial" w:cs="Arial"/>
        </w:rPr>
        <w:t xml:space="preserve">followed up in 16 weeks. </w:t>
      </w:r>
    </w:p>
    <w:p w14:paraId="347A5E84" w14:textId="77777777" w:rsidR="000E0FB7" w:rsidRPr="009C2A67" w:rsidRDefault="000E0FB7" w:rsidP="00441B6F">
      <w:pPr>
        <w:pStyle w:val="Body"/>
        <w:spacing w:after="0"/>
        <w:rPr>
          <w:rFonts w:ascii="Arial" w:hAnsi="Arial" w:cs="Arial"/>
          <w:b/>
          <w:bCs/>
          <w:sz w:val="22"/>
          <w:szCs w:val="22"/>
        </w:rPr>
      </w:pPr>
    </w:p>
    <w:p w14:paraId="5E3D3E1B" w14:textId="6EDE42FC" w:rsidR="000E0FB7" w:rsidRDefault="000E0FB7" w:rsidP="00441B6F">
      <w:pPr>
        <w:pStyle w:val="Body"/>
        <w:spacing w:after="0"/>
        <w:rPr>
          <w:rFonts w:ascii="Arial" w:hAnsi="Arial" w:cs="Arial"/>
        </w:rPr>
      </w:pPr>
      <w:r w:rsidRPr="009C2A67">
        <w:rPr>
          <w:rFonts w:ascii="Arial" w:hAnsi="Arial" w:cs="Arial"/>
          <w:b/>
          <w:bCs/>
          <w:sz w:val="22"/>
          <w:szCs w:val="22"/>
        </w:rPr>
        <w:t>2.2. Location</w:t>
      </w:r>
    </w:p>
    <w:p w14:paraId="1174FCC2" w14:textId="5FFEBCC0" w:rsidR="000E0FB7" w:rsidRDefault="000E0FB7" w:rsidP="00441B6F">
      <w:pPr>
        <w:pStyle w:val="Body"/>
        <w:spacing w:after="0"/>
        <w:rPr>
          <w:rFonts w:ascii="Arial" w:hAnsi="Arial" w:cs="Arial"/>
          <w:lang w:val="id"/>
        </w:rPr>
      </w:pPr>
      <w:r>
        <w:rPr>
          <w:rFonts w:ascii="Arial" w:hAnsi="Arial" w:cs="Arial"/>
        </w:rPr>
        <w:t xml:space="preserve">This study </w:t>
      </w:r>
      <w:r w:rsidR="00741583">
        <w:rPr>
          <w:rFonts w:ascii="Arial" w:hAnsi="Arial" w:cs="Arial"/>
        </w:rPr>
        <w:t xml:space="preserve">was done in </w:t>
      </w:r>
      <w:r w:rsidR="00D97443" w:rsidRPr="00D97443">
        <w:rPr>
          <w:rFonts w:ascii="Arial" w:hAnsi="Arial" w:cs="Arial"/>
          <w:lang w:val="id"/>
        </w:rPr>
        <w:t xml:space="preserve">Farmanina </w:t>
      </w:r>
      <w:r w:rsidR="00D97443" w:rsidRPr="00D97443">
        <w:rPr>
          <w:rFonts w:ascii="Arial" w:hAnsi="Arial" w:cs="Arial"/>
          <w:i/>
          <w:lang w:val="id"/>
        </w:rPr>
        <w:t>Aesthetic &amp; Hair Clinic</w:t>
      </w:r>
      <w:r w:rsidR="00D97443" w:rsidRPr="00D97443">
        <w:rPr>
          <w:rFonts w:ascii="Arial" w:hAnsi="Arial" w:cs="Arial"/>
          <w:lang w:val="id"/>
        </w:rPr>
        <w:t>, Denpasar, Bali</w:t>
      </w:r>
      <w:r w:rsidR="00D97443">
        <w:rPr>
          <w:rFonts w:ascii="Arial" w:hAnsi="Arial" w:cs="Arial"/>
          <w:lang w:val="id"/>
        </w:rPr>
        <w:t xml:space="preserve">, Indonesia. Subjects were recruited </w:t>
      </w:r>
      <w:r w:rsidR="004840A0">
        <w:rPr>
          <w:rFonts w:ascii="Arial" w:hAnsi="Arial" w:cs="Arial"/>
          <w:lang w:val="id"/>
        </w:rPr>
        <w:t>during 6 months period (</w:t>
      </w:r>
      <w:r w:rsidR="00EF02E7">
        <w:rPr>
          <w:rFonts w:ascii="Arial" w:hAnsi="Arial" w:cs="Arial"/>
          <w:lang w:val="id"/>
        </w:rPr>
        <w:t>May 15</w:t>
      </w:r>
      <w:r w:rsidR="005D5B64" w:rsidRPr="00B61179">
        <w:rPr>
          <w:rFonts w:ascii="Arial" w:hAnsi="Arial" w:cs="Arial"/>
          <w:vertAlign w:val="superscript"/>
          <w:lang w:val="id"/>
        </w:rPr>
        <w:t>th</w:t>
      </w:r>
      <w:r w:rsidR="005D5B64">
        <w:rPr>
          <w:rFonts w:ascii="Arial" w:hAnsi="Arial" w:cs="Arial"/>
          <w:lang w:val="id"/>
        </w:rPr>
        <w:t xml:space="preserve"> </w:t>
      </w:r>
      <w:r w:rsidR="00B61179">
        <w:rPr>
          <w:rFonts w:ascii="Arial" w:hAnsi="Arial" w:cs="Arial"/>
          <w:lang w:val="id"/>
        </w:rPr>
        <w:t>–</w:t>
      </w:r>
      <w:r w:rsidR="005D5B64">
        <w:rPr>
          <w:rFonts w:ascii="Arial" w:hAnsi="Arial" w:cs="Arial"/>
          <w:lang w:val="id"/>
        </w:rPr>
        <w:t xml:space="preserve"> </w:t>
      </w:r>
      <w:r w:rsidR="00B61179">
        <w:rPr>
          <w:rFonts w:ascii="Arial" w:hAnsi="Arial" w:cs="Arial"/>
          <w:lang w:val="id"/>
        </w:rPr>
        <w:t>September 30</w:t>
      </w:r>
      <w:r w:rsidR="00B61179" w:rsidRPr="00B61179">
        <w:rPr>
          <w:rFonts w:ascii="Arial" w:hAnsi="Arial" w:cs="Arial"/>
          <w:vertAlign w:val="superscript"/>
          <w:lang w:val="id"/>
        </w:rPr>
        <w:t>th</w:t>
      </w:r>
      <w:r w:rsidR="00B61179">
        <w:rPr>
          <w:rFonts w:ascii="Arial" w:hAnsi="Arial" w:cs="Arial"/>
          <w:lang w:val="id"/>
        </w:rPr>
        <w:t xml:space="preserve"> 2025). </w:t>
      </w:r>
    </w:p>
    <w:p w14:paraId="1349168A" w14:textId="77777777" w:rsidR="009C2A67" w:rsidRDefault="009C2A67" w:rsidP="00441B6F">
      <w:pPr>
        <w:pStyle w:val="Body"/>
        <w:spacing w:after="0"/>
        <w:rPr>
          <w:rFonts w:ascii="Arial" w:hAnsi="Arial" w:cs="Arial"/>
          <w:lang w:val="id"/>
        </w:rPr>
      </w:pPr>
    </w:p>
    <w:p w14:paraId="486AE18E" w14:textId="152EE424" w:rsidR="009C2A67" w:rsidRPr="00576F80" w:rsidRDefault="009C2A67" w:rsidP="00441B6F">
      <w:pPr>
        <w:pStyle w:val="Body"/>
        <w:spacing w:after="0"/>
        <w:rPr>
          <w:rFonts w:ascii="Arial" w:hAnsi="Arial" w:cs="Arial"/>
          <w:b/>
          <w:bCs/>
          <w:sz w:val="22"/>
          <w:szCs w:val="22"/>
          <w:lang w:val="id"/>
        </w:rPr>
      </w:pPr>
      <w:r w:rsidRPr="00576F80">
        <w:rPr>
          <w:rFonts w:ascii="Arial" w:hAnsi="Arial" w:cs="Arial"/>
          <w:b/>
          <w:bCs/>
          <w:sz w:val="22"/>
          <w:szCs w:val="22"/>
          <w:lang w:val="id"/>
        </w:rPr>
        <w:t>2.3. Subject criteria</w:t>
      </w:r>
    </w:p>
    <w:p w14:paraId="72ECFE4E" w14:textId="3CC57B2C" w:rsidR="009C2A67" w:rsidRDefault="00613EC1" w:rsidP="00FE76BD">
      <w:pPr>
        <w:pStyle w:val="Body"/>
        <w:rPr>
          <w:rFonts w:ascii="Arial" w:hAnsi="Arial" w:cs="Arial"/>
        </w:rPr>
      </w:pPr>
      <w:r>
        <w:rPr>
          <w:rFonts w:ascii="Arial" w:hAnsi="Arial" w:cs="Arial"/>
        </w:rPr>
        <w:t>Inclusion criteria were m</w:t>
      </w:r>
      <w:r w:rsidRPr="00613EC1">
        <w:rPr>
          <w:rFonts w:ascii="Arial" w:hAnsi="Arial" w:cs="Arial"/>
        </w:rPr>
        <w:t xml:space="preserve">ale participants aged 30–40 years with androgenetic alopecia classified as Norwood stage 4–5, without a history of severe scalp disorders or contraindications to the therapy used in this study, and not undergoing other </w:t>
      </w:r>
      <w:r w:rsidRPr="00613EC1">
        <w:rPr>
          <w:rFonts w:ascii="Arial" w:hAnsi="Arial" w:cs="Arial"/>
        </w:rPr>
        <w:lastRenderedPageBreak/>
        <w:t>medical treatments that could affect hair growth. All participants were required to provide informed consent and agree to follow the study procedures.</w:t>
      </w:r>
    </w:p>
    <w:p w14:paraId="0262B93F" w14:textId="19091780" w:rsidR="00547BD3" w:rsidRDefault="00547BD3" w:rsidP="00FE76BD">
      <w:pPr>
        <w:pStyle w:val="Body"/>
        <w:rPr>
          <w:rFonts w:ascii="Arial" w:hAnsi="Arial" w:cs="Arial"/>
        </w:rPr>
      </w:pPr>
      <w:r>
        <w:rPr>
          <w:rFonts w:ascii="Arial" w:hAnsi="Arial" w:cs="Arial"/>
        </w:rPr>
        <w:t xml:space="preserve">Subjects with </w:t>
      </w:r>
      <w:r w:rsidRPr="00547BD3">
        <w:rPr>
          <w:rFonts w:ascii="Arial" w:hAnsi="Arial" w:cs="Arial"/>
        </w:rPr>
        <w:t>autoimmune diseases or skin disorders, diabetes mellitus, hypertension, heavy smoking (&gt;20 cigarettes/day), excessive alcohol consumption (&gt;29 ml/day), prior hair transplantation, allergies to therapeutic agents, use of medications that could influence study outcomes (e.g., finasteride or minoxidil), or those receiving anticoagulant or antiplatelet therapy for blood disorders</w:t>
      </w:r>
      <w:r>
        <w:rPr>
          <w:rFonts w:ascii="Arial" w:hAnsi="Arial" w:cs="Arial"/>
        </w:rPr>
        <w:t xml:space="preserve"> were excluded</w:t>
      </w:r>
      <w:r w:rsidR="00EB290C">
        <w:rPr>
          <w:rFonts w:ascii="Arial" w:hAnsi="Arial" w:cs="Arial"/>
        </w:rPr>
        <w:t>. Meanwhile drop out criteria was subjects</w:t>
      </w:r>
      <w:r w:rsidR="00EB290C" w:rsidRPr="00EB290C">
        <w:rPr>
          <w:rFonts w:ascii="Arial" w:hAnsi="Arial" w:cs="Arial"/>
        </w:rPr>
        <w:t xml:space="preserve"> who refused to continue therapy or relocated outside the study area.</w:t>
      </w:r>
    </w:p>
    <w:p w14:paraId="29D31EB7" w14:textId="77777777" w:rsidR="00EB290C" w:rsidRDefault="00EB290C" w:rsidP="00441B6F">
      <w:pPr>
        <w:pStyle w:val="Body"/>
        <w:spacing w:after="0"/>
        <w:rPr>
          <w:rFonts w:ascii="Arial" w:hAnsi="Arial" w:cs="Arial"/>
        </w:rPr>
      </w:pPr>
    </w:p>
    <w:p w14:paraId="0CDDDC02" w14:textId="0CBA3C2C" w:rsidR="00CE0D23" w:rsidRPr="00803BE1" w:rsidRDefault="00CE0D23" w:rsidP="00441B6F">
      <w:pPr>
        <w:pStyle w:val="Body"/>
        <w:spacing w:after="0"/>
        <w:rPr>
          <w:rFonts w:ascii="Arial" w:hAnsi="Arial" w:cs="Arial"/>
          <w:b/>
          <w:bCs/>
          <w:sz w:val="22"/>
          <w:szCs w:val="22"/>
        </w:rPr>
      </w:pPr>
      <w:r w:rsidRPr="00803BE1">
        <w:rPr>
          <w:rFonts w:ascii="Arial" w:hAnsi="Arial" w:cs="Arial"/>
          <w:b/>
          <w:bCs/>
          <w:sz w:val="22"/>
          <w:szCs w:val="22"/>
        </w:rPr>
        <w:t xml:space="preserve">2.4. </w:t>
      </w:r>
      <w:r w:rsidR="008036B5" w:rsidRPr="00803BE1">
        <w:rPr>
          <w:rFonts w:ascii="Arial" w:hAnsi="Arial" w:cs="Arial"/>
          <w:b/>
          <w:bCs/>
          <w:sz w:val="22"/>
          <w:szCs w:val="22"/>
        </w:rPr>
        <w:t>S</w:t>
      </w:r>
      <w:r w:rsidR="00F14BBD" w:rsidRPr="00803BE1">
        <w:rPr>
          <w:rFonts w:ascii="Arial" w:hAnsi="Arial" w:cs="Arial"/>
          <w:b/>
          <w:bCs/>
          <w:sz w:val="22"/>
          <w:szCs w:val="22"/>
        </w:rPr>
        <w:t xml:space="preserve">ample </w:t>
      </w:r>
    </w:p>
    <w:p w14:paraId="31B85E50" w14:textId="3709FAE2" w:rsidR="00F14BBD" w:rsidRDefault="008036B5" w:rsidP="00441B6F">
      <w:pPr>
        <w:pStyle w:val="Body"/>
        <w:spacing w:after="0"/>
        <w:rPr>
          <w:rFonts w:ascii="Arial" w:hAnsi="Arial" w:cs="Arial"/>
        </w:rPr>
      </w:pPr>
      <w:r>
        <w:rPr>
          <w:rFonts w:ascii="Arial" w:hAnsi="Arial" w:cs="Arial"/>
        </w:rPr>
        <w:t xml:space="preserve">A total of 14 subjects </w:t>
      </w:r>
      <w:r w:rsidR="00BC244D">
        <w:rPr>
          <w:rFonts w:ascii="Arial" w:hAnsi="Arial" w:cs="Arial"/>
        </w:rPr>
        <w:t xml:space="preserve">were recruited based on minimal sample size </w:t>
      </w:r>
      <w:r w:rsidR="00FD66E7">
        <w:rPr>
          <w:rFonts w:ascii="Arial" w:hAnsi="Arial" w:cs="Arial"/>
        </w:rPr>
        <w:t>(Pocock, 2008)</w:t>
      </w:r>
      <w:r w:rsidR="00815993">
        <w:rPr>
          <w:rFonts w:ascii="Arial" w:hAnsi="Arial" w:cs="Arial"/>
        </w:rPr>
        <w:t>. Subjects were assigned into 2 g</w:t>
      </w:r>
      <w:r w:rsidR="00393295">
        <w:rPr>
          <w:rFonts w:ascii="Arial" w:hAnsi="Arial" w:cs="Arial"/>
        </w:rPr>
        <w:t>ro</w:t>
      </w:r>
      <w:r w:rsidR="00815993">
        <w:rPr>
          <w:rFonts w:ascii="Arial" w:hAnsi="Arial" w:cs="Arial"/>
        </w:rPr>
        <w:t>up</w:t>
      </w:r>
      <w:r w:rsidR="00393295">
        <w:rPr>
          <w:rFonts w:ascii="Arial" w:hAnsi="Arial" w:cs="Arial"/>
        </w:rPr>
        <w:t>s</w:t>
      </w:r>
      <w:r w:rsidR="00815993">
        <w:rPr>
          <w:rFonts w:ascii="Arial" w:hAnsi="Arial" w:cs="Arial"/>
        </w:rPr>
        <w:t xml:space="preserve">; the DHI and DHI+PRP group. </w:t>
      </w:r>
    </w:p>
    <w:p w14:paraId="7AD9E70D" w14:textId="77777777" w:rsidR="007D5C01" w:rsidRDefault="007D5C01" w:rsidP="00441B6F">
      <w:pPr>
        <w:pStyle w:val="Body"/>
        <w:spacing w:after="0"/>
        <w:rPr>
          <w:rFonts w:ascii="Arial" w:hAnsi="Arial" w:cs="Arial"/>
        </w:rPr>
      </w:pPr>
    </w:p>
    <w:p w14:paraId="2BA25F85" w14:textId="38D97591" w:rsidR="003D6047" w:rsidRPr="00B35E8A" w:rsidRDefault="007D5C01" w:rsidP="00441B6F">
      <w:pPr>
        <w:pStyle w:val="Body"/>
        <w:spacing w:after="0"/>
        <w:rPr>
          <w:rFonts w:ascii="Arial" w:hAnsi="Arial" w:cs="Arial"/>
          <w:b/>
          <w:bCs/>
          <w:sz w:val="22"/>
          <w:szCs w:val="22"/>
        </w:rPr>
      </w:pPr>
      <w:r w:rsidRPr="00B35E8A">
        <w:rPr>
          <w:rFonts w:ascii="Arial" w:hAnsi="Arial" w:cs="Arial"/>
          <w:b/>
          <w:bCs/>
          <w:sz w:val="22"/>
          <w:szCs w:val="22"/>
        </w:rPr>
        <w:t>2.</w:t>
      </w:r>
      <w:proofErr w:type="gramStart"/>
      <w:r w:rsidR="00B35E8A">
        <w:rPr>
          <w:rFonts w:ascii="Arial" w:hAnsi="Arial" w:cs="Arial"/>
          <w:b/>
          <w:bCs/>
          <w:sz w:val="22"/>
          <w:szCs w:val="22"/>
        </w:rPr>
        <w:t>5</w:t>
      </w:r>
      <w:r w:rsidRPr="00B35E8A">
        <w:rPr>
          <w:rFonts w:ascii="Arial" w:hAnsi="Arial" w:cs="Arial"/>
          <w:b/>
          <w:bCs/>
          <w:sz w:val="22"/>
          <w:szCs w:val="22"/>
        </w:rPr>
        <w:t>.</w:t>
      </w:r>
      <w:r w:rsidR="003D6047" w:rsidRPr="00B35E8A">
        <w:rPr>
          <w:rFonts w:ascii="Arial" w:hAnsi="Arial" w:cs="Arial"/>
          <w:b/>
          <w:bCs/>
          <w:sz w:val="22"/>
          <w:szCs w:val="22"/>
        </w:rPr>
        <w:t>Hair</w:t>
      </w:r>
      <w:proofErr w:type="gramEnd"/>
      <w:r w:rsidR="003D6047" w:rsidRPr="00B35E8A">
        <w:rPr>
          <w:rFonts w:ascii="Arial" w:hAnsi="Arial" w:cs="Arial"/>
          <w:b/>
          <w:bCs/>
          <w:sz w:val="22"/>
          <w:szCs w:val="22"/>
        </w:rPr>
        <w:t xml:space="preserve"> extraction</w:t>
      </w:r>
    </w:p>
    <w:p w14:paraId="69E79BAA" w14:textId="63AEAD28" w:rsidR="003D6047" w:rsidRDefault="00CC018D" w:rsidP="00FE76BD">
      <w:pPr>
        <w:pStyle w:val="Body"/>
        <w:rPr>
          <w:rFonts w:ascii="Arial" w:hAnsi="Arial" w:cs="Arial"/>
        </w:rPr>
      </w:pPr>
      <w:r w:rsidRPr="00CC018D">
        <w:rPr>
          <w:rFonts w:ascii="Arial" w:hAnsi="Arial" w:cs="Arial"/>
        </w:rPr>
        <w:t>The surgical procedure began with the administration of a local anesthetic solution consisting of 1% lidocaine and adrenaline 1:200,000 (5 mg/ml), delivered using a 1 cc syringe. The solution was injected subcutaneously into the donor area in a horseshoe-shaped pattern to achieve local nerve block. Administration started from the lower edge of the donor area and continued laterally until the nerve block was complete. Anesthetic infiltration was then performed gradually into the skin layers of the donor area, with additional doses provided if the patient reported sensation at the site.</w:t>
      </w:r>
    </w:p>
    <w:p w14:paraId="7FC554BB" w14:textId="77777777" w:rsidR="00626C2D" w:rsidRPr="00626C2D" w:rsidRDefault="00626C2D" w:rsidP="00FE76BD">
      <w:pPr>
        <w:pStyle w:val="Body"/>
        <w:rPr>
          <w:rFonts w:ascii="Arial" w:hAnsi="Arial" w:cs="Arial"/>
          <w:lang w:val="en-ID"/>
        </w:rPr>
      </w:pPr>
      <w:r w:rsidRPr="00626C2D">
        <w:rPr>
          <w:rFonts w:ascii="Arial" w:hAnsi="Arial" w:cs="Arial"/>
          <w:lang w:val="en-ID"/>
        </w:rPr>
        <w:t xml:space="preserve">Following successful </w:t>
      </w:r>
      <w:proofErr w:type="spellStart"/>
      <w:r w:rsidRPr="00626C2D">
        <w:rPr>
          <w:rFonts w:ascii="Arial" w:hAnsi="Arial" w:cs="Arial"/>
          <w:lang w:val="en-ID"/>
        </w:rPr>
        <w:t>anesthesia</w:t>
      </w:r>
      <w:proofErr w:type="spellEnd"/>
      <w:r w:rsidRPr="00626C2D">
        <w:rPr>
          <w:rFonts w:ascii="Arial" w:hAnsi="Arial" w:cs="Arial"/>
          <w:lang w:val="en-ID"/>
        </w:rPr>
        <w:t>, hair follicles were separated using a sterile, disposable punch with a diameter of 0.7–1.0 mm. The detached follicles were then extracted from the skin using forceps. A test extraction was performed in a small area to determine the depth and angle of hair growth in the donor region.</w:t>
      </w:r>
    </w:p>
    <w:p w14:paraId="50507707" w14:textId="77777777" w:rsidR="00626C2D" w:rsidRPr="00626C2D" w:rsidRDefault="00626C2D" w:rsidP="00FE76BD">
      <w:pPr>
        <w:pStyle w:val="Body"/>
        <w:rPr>
          <w:rFonts w:ascii="Arial" w:hAnsi="Arial" w:cs="Arial"/>
          <w:lang w:val="en-ID"/>
        </w:rPr>
      </w:pPr>
      <w:r w:rsidRPr="00626C2D">
        <w:rPr>
          <w:rFonts w:ascii="Arial" w:hAnsi="Arial" w:cs="Arial"/>
          <w:lang w:val="en-ID"/>
        </w:rPr>
        <w:t>Extraction was limited to no more than 30% of hair follicles in a single procedure, and donor site density was maintained at greater than 50 hairs/cm² to prevent visible thinning. The surgeon ensured symmetrical distribution of extracted follicles to minimize trauma. Once the required number of follicles had been harvested, the donor area was cleaned, disinfected, and covered with sterile gauze. The extraction duration did not exceed one hour for every 1,000 follicles.</w:t>
      </w:r>
    </w:p>
    <w:p w14:paraId="69A1FB7C" w14:textId="2B5A7D6A" w:rsidR="003D6047" w:rsidRPr="00FE76BD" w:rsidRDefault="00626C2D" w:rsidP="00FE76BD">
      <w:pPr>
        <w:pStyle w:val="Body"/>
        <w:rPr>
          <w:rFonts w:ascii="Arial" w:hAnsi="Arial" w:cs="Arial"/>
          <w:lang w:val="en-ID"/>
        </w:rPr>
      </w:pPr>
      <w:r w:rsidRPr="00626C2D">
        <w:rPr>
          <w:rFonts w:ascii="Arial" w:hAnsi="Arial" w:cs="Arial"/>
          <w:lang w:val="en-ID"/>
        </w:rPr>
        <w:t>Extracted follicles were classified according to the number of hairs per follicle, ensuring that each follicle contained a single hair. The follicles were stored at a temperature of 4–8°C on a metal plate covered with a saline-moistened cloth. During the extraction process, the metal plate was placed on ice to maintain optimal preservation conditions.</w:t>
      </w:r>
    </w:p>
    <w:p w14:paraId="4D31FBD0" w14:textId="43E1FA0C" w:rsidR="007D5C01" w:rsidRPr="00F07117" w:rsidRDefault="003D6047" w:rsidP="00441B6F">
      <w:pPr>
        <w:pStyle w:val="Body"/>
        <w:spacing w:after="0"/>
        <w:rPr>
          <w:rFonts w:ascii="Arial" w:hAnsi="Arial" w:cs="Arial"/>
          <w:b/>
          <w:bCs/>
          <w:sz w:val="22"/>
          <w:szCs w:val="22"/>
        </w:rPr>
      </w:pPr>
      <w:r w:rsidRPr="00F07117">
        <w:rPr>
          <w:rFonts w:ascii="Arial" w:hAnsi="Arial" w:cs="Arial"/>
          <w:b/>
          <w:bCs/>
          <w:sz w:val="22"/>
          <w:szCs w:val="22"/>
        </w:rPr>
        <w:t>2.</w:t>
      </w:r>
      <w:r w:rsidR="00B35E8A">
        <w:rPr>
          <w:rFonts w:ascii="Arial" w:hAnsi="Arial" w:cs="Arial"/>
          <w:b/>
          <w:bCs/>
          <w:sz w:val="22"/>
          <w:szCs w:val="22"/>
        </w:rPr>
        <w:t>6</w:t>
      </w:r>
      <w:r w:rsidRPr="00F07117">
        <w:rPr>
          <w:rFonts w:ascii="Arial" w:hAnsi="Arial" w:cs="Arial"/>
          <w:b/>
          <w:bCs/>
          <w:sz w:val="22"/>
          <w:szCs w:val="22"/>
        </w:rPr>
        <w:t xml:space="preserve">. </w:t>
      </w:r>
      <w:r w:rsidR="007D5C01" w:rsidRPr="00F07117">
        <w:rPr>
          <w:rFonts w:ascii="Arial" w:hAnsi="Arial" w:cs="Arial"/>
          <w:b/>
          <w:bCs/>
          <w:sz w:val="22"/>
          <w:szCs w:val="22"/>
        </w:rPr>
        <w:t xml:space="preserve"> Direct hair implantation </w:t>
      </w:r>
      <w:r w:rsidR="006B6EFE" w:rsidRPr="00F07117">
        <w:rPr>
          <w:rFonts w:ascii="Arial" w:hAnsi="Arial" w:cs="Arial"/>
          <w:b/>
          <w:bCs/>
          <w:sz w:val="22"/>
          <w:szCs w:val="22"/>
        </w:rPr>
        <w:t>(DHI)</w:t>
      </w:r>
    </w:p>
    <w:p w14:paraId="5CC78B57" w14:textId="77777777" w:rsidR="00CD2CE9" w:rsidRPr="00CD2CE9" w:rsidRDefault="00CD2CE9" w:rsidP="00FE76BD">
      <w:pPr>
        <w:pStyle w:val="Body"/>
        <w:rPr>
          <w:rFonts w:ascii="Arial" w:hAnsi="Arial" w:cs="Arial"/>
          <w:lang w:val="en-ID"/>
        </w:rPr>
      </w:pPr>
      <w:r w:rsidRPr="00CD2CE9">
        <w:rPr>
          <w:rFonts w:ascii="Arial" w:hAnsi="Arial" w:cs="Arial"/>
          <w:lang w:val="en-ID"/>
        </w:rPr>
        <w:t xml:space="preserve">The recipient area was sterilized using an antiseptic solution of 10% povidone iodine, followed by rinsing with saline. Regional </w:t>
      </w:r>
      <w:proofErr w:type="spellStart"/>
      <w:r w:rsidRPr="00CD2CE9">
        <w:rPr>
          <w:rFonts w:ascii="Arial" w:hAnsi="Arial" w:cs="Arial"/>
          <w:lang w:val="en-ID"/>
        </w:rPr>
        <w:t>anesthesia</w:t>
      </w:r>
      <w:proofErr w:type="spellEnd"/>
      <w:r w:rsidRPr="00CD2CE9">
        <w:rPr>
          <w:rFonts w:ascii="Arial" w:hAnsi="Arial" w:cs="Arial"/>
          <w:lang w:val="en-ID"/>
        </w:rPr>
        <w:t xml:space="preserve"> was then administered by blocking the supraorbital and supratrochlear nerves. Additional infiltration </w:t>
      </w:r>
      <w:proofErr w:type="spellStart"/>
      <w:r w:rsidRPr="00CD2CE9">
        <w:rPr>
          <w:rFonts w:ascii="Arial" w:hAnsi="Arial" w:cs="Arial"/>
          <w:lang w:val="en-ID"/>
        </w:rPr>
        <w:t>anesthesia</w:t>
      </w:r>
      <w:proofErr w:type="spellEnd"/>
      <w:r w:rsidRPr="00CD2CE9">
        <w:rPr>
          <w:rFonts w:ascii="Arial" w:hAnsi="Arial" w:cs="Arial"/>
          <w:lang w:val="en-ID"/>
        </w:rPr>
        <w:t xml:space="preserve"> was gradually applied into the skin layers of the recipient area, with supplementary doses provided if the patient reported sensation at the site.</w:t>
      </w:r>
    </w:p>
    <w:p w14:paraId="6E397DDE" w14:textId="77777777" w:rsidR="00CD2CE9" w:rsidRPr="00CD2CE9" w:rsidRDefault="00CD2CE9" w:rsidP="00FE76BD">
      <w:pPr>
        <w:pStyle w:val="Body"/>
        <w:rPr>
          <w:rFonts w:ascii="Arial" w:hAnsi="Arial" w:cs="Arial"/>
          <w:lang w:val="en-ID"/>
        </w:rPr>
      </w:pPr>
      <w:r w:rsidRPr="00CD2CE9">
        <w:rPr>
          <w:rFonts w:ascii="Arial" w:hAnsi="Arial" w:cs="Arial"/>
          <w:lang w:val="en-ID"/>
        </w:rPr>
        <w:t>Hair follicle placement was performed using the Direct Hair Implantation (DHI) technique. Follicles were loaded individually into the DHI implanter by an assistant and handed to the surgeon. Implantation was carried out in the pre-designed recipient area without the need to create recipient sites beforehand. The surgeon implanted follicles from back to front and left to right, with precise adjustment of depth, direction, and angle. During implantation, the recipient area was periodically sprayed with saline solution to enhance follicle survival.</w:t>
      </w:r>
    </w:p>
    <w:p w14:paraId="77BB9DEA" w14:textId="77777777" w:rsidR="00F07117" w:rsidRPr="00F07117" w:rsidRDefault="00F07117" w:rsidP="00FE76BD">
      <w:pPr>
        <w:pStyle w:val="Body"/>
        <w:rPr>
          <w:rFonts w:ascii="Arial" w:hAnsi="Arial" w:cs="Arial"/>
          <w:lang w:val="en-ID"/>
        </w:rPr>
      </w:pPr>
      <w:r w:rsidRPr="00F07117">
        <w:rPr>
          <w:rFonts w:ascii="Arial" w:hAnsi="Arial" w:cs="Arial"/>
          <w:lang w:val="en-ID"/>
        </w:rPr>
        <w:t>Upon completion of follicle placement, the surgeon examined the positioning to ensure appropriate depth. Both donor and recipient areas were cleaned with saline, and the procedure details were documented. Patients were provided with postoperative instructions before discharge. Postoperative documentation included photographs, and patients were allowed to return home after receiving an emergency contact number for further consultation if needed.</w:t>
      </w:r>
    </w:p>
    <w:p w14:paraId="2BFF6375" w14:textId="2893033B" w:rsidR="006B6EFE" w:rsidRPr="00F07117" w:rsidRDefault="00F07117" w:rsidP="00FE76BD">
      <w:pPr>
        <w:pStyle w:val="Body"/>
        <w:rPr>
          <w:rFonts w:ascii="Arial" w:hAnsi="Arial" w:cs="Arial"/>
          <w:lang w:val="en-ID"/>
        </w:rPr>
      </w:pPr>
      <w:r w:rsidRPr="00F07117">
        <w:rPr>
          <w:rFonts w:ascii="Arial" w:hAnsi="Arial" w:cs="Arial"/>
          <w:lang w:val="en-ID"/>
        </w:rPr>
        <w:t>Follow-up procedures included baseline observation on day 0, with subsequent evaluations scheduled at weeks 4, 12, and 16 after the intervention. Follicle survival and new hair growth were assessed, and changes in hair density and growth in the recipient area were recorded. Documentation was maintained with photographs and patient data stored in the archive, and the final procedural report was completed with clinical observation notes.</w:t>
      </w:r>
    </w:p>
    <w:p w14:paraId="0D14CDB1" w14:textId="77777777" w:rsidR="007D5C01" w:rsidRDefault="007D5C01" w:rsidP="00441B6F">
      <w:pPr>
        <w:pStyle w:val="Body"/>
        <w:spacing w:after="0"/>
        <w:rPr>
          <w:rFonts w:ascii="Arial" w:hAnsi="Arial" w:cs="Arial"/>
        </w:rPr>
      </w:pPr>
    </w:p>
    <w:p w14:paraId="0CE54842" w14:textId="3C4A4324" w:rsidR="007D5C01" w:rsidRPr="00F07117" w:rsidRDefault="007D5C01" w:rsidP="00441B6F">
      <w:pPr>
        <w:pStyle w:val="Body"/>
        <w:spacing w:after="0"/>
        <w:rPr>
          <w:rFonts w:ascii="Arial" w:hAnsi="Arial" w:cs="Arial"/>
          <w:b/>
          <w:bCs/>
          <w:sz w:val="22"/>
          <w:szCs w:val="22"/>
        </w:rPr>
      </w:pPr>
      <w:r w:rsidRPr="00F07117">
        <w:rPr>
          <w:rFonts w:ascii="Arial" w:hAnsi="Arial" w:cs="Arial"/>
          <w:b/>
          <w:bCs/>
          <w:sz w:val="22"/>
          <w:szCs w:val="22"/>
        </w:rPr>
        <w:t>2.</w:t>
      </w:r>
      <w:r w:rsidR="003D6047" w:rsidRPr="00F07117">
        <w:rPr>
          <w:rFonts w:ascii="Arial" w:hAnsi="Arial" w:cs="Arial"/>
          <w:b/>
          <w:bCs/>
          <w:sz w:val="22"/>
          <w:szCs w:val="22"/>
        </w:rPr>
        <w:t>7</w:t>
      </w:r>
      <w:r w:rsidRPr="00F07117">
        <w:rPr>
          <w:rFonts w:ascii="Arial" w:hAnsi="Arial" w:cs="Arial"/>
          <w:b/>
          <w:bCs/>
          <w:sz w:val="22"/>
          <w:szCs w:val="22"/>
        </w:rPr>
        <w:t xml:space="preserve">. Platelet rich plasma (PRP) </w:t>
      </w:r>
    </w:p>
    <w:p w14:paraId="0B8DDAA4" w14:textId="787F2F29" w:rsidR="00DB7A12" w:rsidRPr="00DB7A12" w:rsidRDefault="00DB7A12" w:rsidP="00DB7A12">
      <w:pPr>
        <w:pStyle w:val="Body"/>
        <w:spacing w:after="0"/>
        <w:rPr>
          <w:rFonts w:ascii="Arial" w:hAnsi="Arial" w:cs="Arial"/>
          <w:lang w:val="en-ID"/>
        </w:rPr>
      </w:pPr>
      <w:r w:rsidRPr="00DB7A12">
        <w:rPr>
          <w:rFonts w:ascii="Arial" w:hAnsi="Arial" w:cs="Arial"/>
          <w:lang w:val="en-ID"/>
        </w:rPr>
        <w:lastRenderedPageBreak/>
        <w:t xml:space="preserve">A total of 20 cc of venous blood was collected from each patient using a </w:t>
      </w:r>
      <w:proofErr w:type="gramStart"/>
      <w:r w:rsidRPr="00DB7A12">
        <w:rPr>
          <w:rFonts w:ascii="Arial" w:hAnsi="Arial" w:cs="Arial"/>
          <w:lang w:val="en-ID"/>
        </w:rPr>
        <w:t>10 cc</w:t>
      </w:r>
      <w:proofErr w:type="gramEnd"/>
      <w:r w:rsidRPr="00DB7A12">
        <w:rPr>
          <w:rFonts w:ascii="Arial" w:hAnsi="Arial" w:cs="Arial"/>
          <w:lang w:val="en-ID"/>
        </w:rPr>
        <w:t xml:space="preserve"> syringe, with two separate draws of 10 cc each. The blood samples were then transferred into tubes containing anticoagulant solution to prevent clotting.</w:t>
      </w:r>
      <w:r>
        <w:rPr>
          <w:rFonts w:ascii="Arial" w:hAnsi="Arial" w:cs="Arial"/>
          <w:lang w:val="en-ID"/>
        </w:rPr>
        <w:t xml:space="preserve"> </w:t>
      </w:r>
      <w:r w:rsidRPr="00DB7A12">
        <w:rPr>
          <w:rFonts w:ascii="Arial" w:hAnsi="Arial" w:cs="Arial"/>
          <w:lang w:val="en-ID"/>
        </w:rPr>
        <w:t>Subsequently, the samples were processed by centrifugation at 3</w:t>
      </w:r>
      <w:r w:rsidR="00F05317">
        <w:rPr>
          <w:rFonts w:ascii="Arial" w:hAnsi="Arial" w:cs="Arial"/>
          <w:lang w:val="en-ID"/>
        </w:rPr>
        <w:t>,</w:t>
      </w:r>
      <w:r w:rsidRPr="00DB7A12">
        <w:rPr>
          <w:rFonts w:ascii="Arial" w:hAnsi="Arial" w:cs="Arial"/>
          <w:lang w:val="en-ID"/>
        </w:rPr>
        <w:t xml:space="preserve">000 rpm for 20 minutes, allowing the plasma to separate from other blood components. The separated plasma was carefully aspirated using a </w:t>
      </w:r>
      <w:proofErr w:type="gramStart"/>
      <w:r w:rsidRPr="00DB7A12">
        <w:rPr>
          <w:rFonts w:ascii="Arial" w:hAnsi="Arial" w:cs="Arial"/>
          <w:lang w:val="en-ID"/>
        </w:rPr>
        <w:t>3 cc</w:t>
      </w:r>
      <w:proofErr w:type="gramEnd"/>
      <w:r w:rsidRPr="00DB7A12">
        <w:rPr>
          <w:rFonts w:ascii="Arial" w:hAnsi="Arial" w:cs="Arial"/>
          <w:lang w:val="en-ID"/>
        </w:rPr>
        <w:t xml:space="preserve"> syringe.</w:t>
      </w:r>
    </w:p>
    <w:p w14:paraId="5C096A71" w14:textId="77777777" w:rsidR="00DB7A12" w:rsidRPr="00DB7A12" w:rsidRDefault="00DB7A12" w:rsidP="00DB7A12">
      <w:pPr>
        <w:pStyle w:val="Body"/>
        <w:spacing w:after="0"/>
        <w:rPr>
          <w:rFonts w:ascii="Arial" w:hAnsi="Arial" w:cs="Arial"/>
          <w:lang w:val="en-ID"/>
        </w:rPr>
      </w:pPr>
      <w:r w:rsidRPr="00DB7A12">
        <w:rPr>
          <w:rFonts w:ascii="Arial" w:hAnsi="Arial" w:cs="Arial"/>
          <w:lang w:val="en-ID"/>
        </w:rPr>
        <w:t xml:space="preserve">The plasma was then injected into the alopecic areas of the scalp using a 30-gauge needle with the </w:t>
      </w:r>
      <w:proofErr w:type="spellStart"/>
      <w:r w:rsidRPr="00DB7A12">
        <w:rPr>
          <w:rFonts w:ascii="Arial" w:hAnsi="Arial" w:cs="Arial"/>
          <w:lang w:val="en-ID"/>
        </w:rPr>
        <w:t>nappage</w:t>
      </w:r>
      <w:proofErr w:type="spellEnd"/>
      <w:r w:rsidRPr="00DB7A12">
        <w:rPr>
          <w:rFonts w:ascii="Arial" w:hAnsi="Arial" w:cs="Arial"/>
          <w:lang w:val="en-ID"/>
        </w:rPr>
        <w:t xml:space="preserve"> technique. Platelet-rich plasma (PRP) administration was performed intraoperatively.</w:t>
      </w:r>
    </w:p>
    <w:p w14:paraId="04A0ADD5" w14:textId="77777777" w:rsidR="00DB7A12" w:rsidRDefault="00DB7A12" w:rsidP="00441B6F">
      <w:pPr>
        <w:pStyle w:val="Body"/>
        <w:spacing w:after="0"/>
        <w:rPr>
          <w:rFonts w:ascii="Arial" w:hAnsi="Arial" w:cs="Arial"/>
        </w:rPr>
      </w:pPr>
    </w:p>
    <w:p w14:paraId="443A49AB" w14:textId="77777777" w:rsidR="00CA5C97" w:rsidRDefault="00CA5C97" w:rsidP="00441B6F">
      <w:pPr>
        <w:pStyle w:val="Body"/>
        <w:spacing w:after="0"/>
        <w:rPr>
          <w:rFonts w:ascii="Arial" w:hAnsi="Arial" w:cs="Arial"/>
        </w:rPr>
      </w:pPr>
    </w:p>
    <w:p w14:paraId="69D3C0A5" w14:textId="1A1B29FD" w:rsidR="00C570DA" w:rsidRPr="00F045BE" w:rsidRDefault="00C570DA" w:rsidP="00441B6F">
      <w:pPr>
        <w:pStyle w:val="Body"/>
        <w:spacing w:after="0"/>
        <w:rPr>
          <w:rFonts w:ascii="Arial" w:hAnsi="Arial" w:cs="Arial"/>
          <w:b/>
          <w:bCs/>
          <w:sz w:val="22"/>
          <w:szCs w:val="22"/>
        </w:rPr>
      </w:pPr>
      <w:r w:rsidRPr="00F045BE">
        <w:rPr>
          <w:rFonts w:ascii="Arial" w:hAnsi="Arial" w:cs="Arial"/>
          <w:b/>
          <w:bCs/>
          <w:sz w:val="22"/>
          <w:szCs w:val="22"/>
        </w:rPr>
        <w:t xml:space="preserve">2.8. </w:t>
      </w:r>
      <w:r w:rsidR="00E060D1" w:rsidRPr="00F045BE">
        <w:rPr>
          <w:rFonts w:ascii="Arial" w:hAnsi="Arial" w:cs="Arial"/>
          <w:b/>
          <w:bCs/>
          <w:sz w:val="22"/>
          <w:szCs w:val="22"/>
        </w:rPr>
        <w:t>H</w:t>
      </w:r>
      <w:r w:rsidR="00A66D1F" w:rsidRPr="00F045BE">
        <w:rPr>
          <w:rFonts w:ascii="Arial" w:hAnsi="Arial" w:cs="Arial"/>
          <w:b/>
          <w:bCs/>
          <w:sz w:val="22"/>
          <w:szCs w:val="22"/>
        </w:rPr>
        <w:t xml:space="preserve">air follicle survival rate </w:t>
      </w:r>
      <w:r w:rsidR="00E060D1" w:rsidRPr="00F045BE">
        <w:rPr>
          <w:rFonts w:ascii="Arial" w:hAnsi="Arial" w:cs="Arial"/>
          <w:b/>
          <w:bCs/>
          <w:sz w:val="22"/>
          <w:szCs w:val="22"/>
        </w:rPr>
        <w:t xml:space="preserve">analysis </w:t>
      </w:r>
    </w:p>
    <w:p w14:paraId="6734733B" w14:textId="7ACBD541" w:rsidR="00F045BE" w:rsidRDefault="00A04222" w:rsidP="00FE76BD">
      <w:pPr>
        <w:pStyle w:val="Body"/>
        <w:rPr>
          <w:rFonts w:ascii="Arial" w:hAnsi="Arial" w:cs="Arial"/>
          <w:lang w:val="en-ID"/>
        </w:rPr>
      </w:pPr>
      <w:r>
        <w:rPr>
          <w:rFonts w:ascii="Arial" w:hAnsi="Arial" w:cs="Arial"/>
          <w:lang w:val="en-ID"/>
        </w:rPr>
        <w:t xml:space="preserve">Survival rate </w:t>
      </w:r>
      <w:r w:rsidR="004F71A2">
        <w:rPr>
          <w:rFonts w:ascii="Arial" w:hAnsi="Arial" w:cs="Arial"/>
          <w:lang w:val="en-ID"/>
        </w:rPr>
        <w:t xml:space="preserve">in this study </w:t>
      </w:r>
      <w:r>
        <w:rPr>
          <w:rFonts w:ascii="Arial" w:hAnsi="Arial" w:cs="Arial"/>
          <w:lang w:val="en-ID"/>
        </w:rPr>
        <w:t xml:space="preserve">was defined as the number of hair follicles </w:t>
      </w:r>
      <w:r w:rsidR="004F71A2">
        <w:rPr>
          <w:rFonts w:ascii="Arial" w:hAnsi="Arial" w:cs="Arial"/>
          <w:lang w:val="en-ID"/>
        </w:rPr>
        <w:t>survived during periods of follow-up</w:t>
      </w:r>
      <w:r w:rsidR="001B3803">
        <w:rPr>
          <w:rFonts w:ascii="Arial" w:hAnsi="Arial" w:cs="Arial"/>
          <w:lang w:val="en-ID"/>
        </w:rPr>
        <w:t xml:space="preserve"> (hair follicle density)</w:t>
      </w:r>
      <w:r w:rsidR="004F71A2">
        <w:rPr>
          <w:rFonts w:ascii="Arial" w:hAnsi="Arial" w:cs="Arial"/>
          <w:lang w:val="en-ID"/>
        </w:rPr>
        <w:t xml:space="preserve">. </w:t>
      </w:r>
      <w:r w:rsidR="00F045BE" w:rsidRPr="00F045BE">
        <w:rPr>
          <w:rFonts w:ascii="Arial" w:hAnsi="Arial" w:cs="Arial"/>
          <w:lang w:val="en-ID"/>
        </w:rPr>
        <w:t>Photographs of the marked areas were taken using a cosmetic camera. To ensure consistency, the angle and distance of image capture were standardized across all sessions, including baseline</w:t>
      </w:r>
      <w:r w:rsidR="004F71A2">
        <w:rPr>
          <w:rFonts w:ascii="Arial" w:hAnsi="Arial" w:cs="Arial"/>
          <w:lang w:val="en-ID"/>
        </w:rPr>
        <w:t xml:space="preserve"> (</w:t>
      </w:r>
      <w:r w:rsidR="001B3803">
        <w:rPr>
          <w:rFonts w:ascii="Arial" w:hAnsi="Arial" w:cs="Arial"/>
          <w:lang w:val="en-ID"/>
        </w:rPr>
        <w:t xml:space="preserve">directly </w:t>
      </w:r>
      <w:r w:rsidR="004F71A2">
        <w:rPr>
          <w:rFonts w:ascii="Arial" w:hAnsi="Arial" w:cs="Arial"/>
          <w:lang w:val="en-ID"/>
        </w:rPr>
        <w:t>after transplantation)</w:t>
      </w:r>
      <w:r w:rsidR="00F045BE" w:rsidRPr="00F045BE">
        <w:rPr>
          <w:rFonts w:ascii="Arial" w:hAnsi="Arial" w:cs="Arial"/>
          <w:lang w:val="en-ID"/>
        </w:rPr>
        <w:t>, week 4, week 12, and week 16. Each image was stored with the patient’s identification code and the time of capture</w:t>
      </w:r>
      <w:r w:rsidR="004F71A2">
        <w:rPr>
          <w:rFonts w:ascii="Arial" w:hAnsi="Arial" w:cs="Arial"/>
          <w:lang w:val="en-ID"/>
        </w:rPr>
        <w:t xml:space="preserve">. </w:t>
      </w:r>
      <w:r w:rsidR="00F045BE" w:rsidRPr="00F045BE">
        <w:rPr>
          <w:rFonts w:ascii="Arial" w:hAnsi="Arial" w:cs="Arial"/>
          <w:lang w:val="en-ID"/>
        </w:rPr>
        <w:t xml:space="preserve">Follicle survival rate was </w:t>
      </w:r>
      <w:proofErr w:type="spellStart"/>
      <w:r w:rsidR="00F045BE" w:rsidRPr="00F045BE">
        <w:rPr>
          <w:rFonts w:ascii="Arial" w:hAnsi="Arial" w:cs="Arial"/>
          <w:lang w:val="en-ID"/>
        </w:rPr>
        <w:t>analyzed</w:t>
      </w:r>
      <w:proofErr w:type="spellEnd"/>
      <w:r w:rsidR="00F045BE" w:rsidRPr="00F045BE">
        <w:rPr>
          <w:rFonts w:ascii="Arial" w:hAnsi="Arial" w:cs="Arial"/>
          <w:lang w:val="en-ID"/>
        </w:rPr>
        <w:t xml:space="preserve"> using Skin and Hair Analysis Software. The automatic counting feature was employed to calculate the number of hair follicles per cm², with manual verification performed when necessary to ensure detection accuracy.</w:t>
      </w:r>
    </w:p>
    <w:p w14:paraId="5242439A" w14:textId="4854A761" w:rsidR="00F045BE" w:rsidRPr="009C031A" w:rsidRDefault="00F045BE" w:rsidP="00F045BE">
      <w:pPr>
        <w:pStyle w:val="Body"/>
        <w:spacing w:after="0"/>
        <w:rPr>
          <w:rFonts w:ascii="Arial" w:hAnsi="Arial" w:cs="Arial"/>
          <w:b/>
          <w:bCs/>
          <w:sz w:val="22"/>
          <w:szCs w:val="22"/>
          <w:lang w:val="en-ID"/>
        </w:rPr>
      </w:pPr>
      <w:r w:rsidRPr="009C031A">
        <w:rPr>
          <w:rFonts w:ascii="Arial" w:hAnsi="Arial" w:cs="Arial"/>
          <w:b/>
          <w:bCs/>
          <w:sz w:val="22"/>
          <w:szCs w:val="22"/>
          <w:lang w:val="en-ID"/>
        </w:rPr>
        <w:t>2.9. Hair length measurement</w:t>
      </w:r>
    </w:p>
    <w:p w14:paraId="58A3FD60" w14:textId="4BDB7BF6" w:rsidR="009C031A" w:rsidRDefault="00C71A49" w:rsidP="009C031A">
      <w:pPr>
        <w:pStyle w:val="Body"/>
        <w:spacing w:after="0"/>
        <w:rPr>
          <w:rFonts w:ascii="Arial" w:hAnsi="Arial" w:cs="Arial"/>
          <w:lang w:val="en-ID"/>
        </w:rPr>
      </w:pPr>
      <w:r w:rsidRPr="00C71A49">
        <w:rPr>
          <w:rFonts w:ascii="Arial" w:hAnsi="Arial" w:cs="Arial"/>
          <w:lang w:val="en-ID"/>
        </w:rPr>
        <w:t xml:space="preserve">Hair length was measured using a </w:t>
      </w:r>
      <w:proofErr w:type="spellStart"/>
      <w:r w:rsidRPr="00C71A49">
        <w:rPr>
          <w:rFonts w:ascii="Arial" w:hAnsi="Arial" w:cs="Arial"/>
          <w:lang w:val="en-ID"/>
        </w:rPr>
        <w:t>vernier</w:t>
      </w:r>
      <w:proofErr w:type="spellEnd"/>
      <w:r w:rsidRPr="00C71A49">
        <w:rPr>
          <w:rFonts w:ascii="Arial" w:hAnsi="Arial" w:cs="Arial"/>
          <w:lang w:val="en-ID"/>
        </w:rPr>
        <w:t xml:space="preserve"> </w:t>
      </w:r>
      <w:proofErr w:type="spellStart"/>
      <w:r w:rsidRPr="00C71A49">
        <w:rPr>
          <w:rFonts w:ascii="Arial" w:hAnsi="Arial" w:cs="Arial"/>
          <w:lang w:val="en-ID"/>
        </w:rPr>
        <w:t>caliper</w:t>
      </w:r>
      <w:proofErr w:type="spellEnd"/>
      <w:r w:rsidRPr="00C71A49">
        <w:rPr>
          <w:rFonts w:ascii="Arial" w:hAnsi="Arial" w:cs="Arial"/>
          <w:lang w:val="en-ID"/>
        </w:rPr>
        <w:t xml:space="preserve">, and the initial length was documented in </w:t>
      </w:r>
      <w:proofErr w:type="spellStart"/>
      <w:r w:rsidRPr="00C71A49">
        <w:rPr>
          <w:rFonts w:ascii="Arial" w:hAnsi="Arial" w:cs="Arial"/>
          <w:lang w:val="en-ID"/>
        </w:rPr>
        <w:t>millimeters</w:t>
      </w:r>
      <w:proofErr w:type="spellEnd"/>
      <w:r w:rsidRPr="00C71A49">
        <w:rPr>
          <w:rFonts w:ascii="Arial" w:hAnsi="Arial" w:cs="Arial"/>
          <w:lang w:val="en-ID"/>
        </w:rPr>
        <w:t xml:space="preserve"> (mm). The average hair length was then calculated from a sample of 10 </w:t>
      </w:r>
      <w:r>
        <w:rPr>
          <w:rFonts w:ascii="Arial" w:hAnsi="Arial" w:cs="Arial"/>
          <w:lang w:val="en-ID"/>
        </w:rPr>
        <w:t xml:space="preserve">random hair </w:t>
      </w:r>
      <w:r w:rsidRPr="00C71A49">
        <w:rPr>
          <w:rFonts w:ascii="Arial" w:hAnsi="Arial" w:cs="Arial"/>
          <w:lang w:val="en-ID"/>
        </w:rPr>
        <w:t>strands.</w:t>
      </w:r>
      <w:r w:rsidR="009C031A" w:rsidRPr="009C031A">
        <w:rPr>
          <w:rFonts w:ascii="Arial" w:hAnsi="Arial" w:cs="Arial"/>
          <w:lang w:val="en-ID"/>
        </w:rPr>
        <w:t xml:space="preserve"> </w:t>
      </w:r>
      <w:r w:rsidR="004F71A2">
        <w:rPr>
          <w:rFonts w:ascii="Arial" w:hAnsi="Arial" w:cs="Arial"/>
          <w:lang w:val="en-ID"/>
        </w:rPr>
        <w:t xml:space="preserve">Hair length was measured in baseline (after transplantation), </w:t>
      </w:r>
      <w:r w:rsidR="004F71A2" w:rsidRPr="00F045BE">
        <w:rPr>
          <w:rFonts w:ascii="Arial" w:hAnsi="Arial" w:cs="Arial"/>
          <w:lang w:val="en-ID"/>
        </w:rPr>
        <w:t>week 4, week 12, and week 16</w:t>
      </w:r>
      <w:r w:rsidR="004F71A2">
        <w:rPr>
          <w:rFonts w:ascii="Arial" w:hAnsi="Arial" w:cs="Arial"/>
          <w:lang w:val="en-ID"/>
        </w:rPr>
        <w:t>.</w:t>
      </w:r>
    </w:p>
    <w:p w14:paraId="7C43A35B" w14:textId="77777777" w:rsidR="004F1A59" w:rsidRDefault="004F1A59" w:rsidP="009C031A">
      <w:pPr>
        <w:pStyle w:val="Body"/>
        <w:spacing w:after="0"/>
        <w:rPr>
          <w:rFonts w:ascii="Arial" w:hAnsi="Arial" w:cs="Arial"/>
          <w:lang w:val="en-ID"/>
        </w:rPr>
      </w:pPr>
    </w:p>
    <w:p w14:paraId="1C751B2A" w14:textId="5A0EDD4A" w:rsidR="004F1A59" w:rsidRPr="004F1A59" w:rsidRDefault="004F1A59" w:rsidP="009C031A">
      <w:pPr>
        <w:pStyle w:val="Body"/>
        <w:spacing w:after="0"/>
        <w:rPr>
          <w:rFonts w:ascii="Arial" w:hAnsi="Arial" w:cs="Arial"/>
          <w:b/>
          <w:bCs/>
          <w:sz w:val="22"/>
          <w:szCs w:val="22"/>
          <w:lang w:val="en-ID"/>
        </w:rPr>
      </w:pPr>
      <w:r w:rsidRPr="004F1A59">
        <w:rPr>
          <w:rFonts w:ascii="Arial" w:hAnsi="Arial" w:cs="Arial"/>
          <w:b/>
          <w:bCs/>
          <w:sz w:val="22"/>
          <w:szCs w:val="22"/>
          <w:lang w:val="en-ID"/>
        </w:rPr>
        <w:t xml:space="preserve">2.10. Follow up </w:t>
      </w:r>
    </w:p>
    <w:p w14:paraId="76EF02B1" w14:textId="72957EB4" w:rsidR="004F1A59" w:rsidRDefault="004F1A59" w:rsidP="004F1A59">
      <w:pPr>
        <w:pStyle w:val="Body"/>
        <w:spacing w:after="0"/>
        <w:rPr>
          <w:rFonts w:ascii="Arial" w:hAnsi="Arial" w:cs="Arial"/>
        </w:rPr>
      </w:pPr>
      <w:r>
        <w:rPr>
          <w:rFonts w:ascii="Arial" w:hAnsi="Arial" w:cs="Arial"/>
        </w:rPr>
        <w:t>Data were recorded after treatment (Day-0), week 4, week 12, and week 16.</w:t>
      </w:r>
      <w:r w:rsidRPr="004F1A59">
        <w:rPr>
          <w:rFonts w:ascii="Arial" w:hAnsi="Arial" w:cs="Arial"/>
          <w:lang w:val="en-ID"/>
        </w:rPr>
        <w:t xml:space="preserve"> </w:t>
      </w:r>
      <w:r w:rsidRPr="00F045BE">
        <w:rPr>
          <w:rFonts w:ascii="Arial" w:hAnsi="Arial" w:cs="Arial"/>
          <w:lang w:val="en-ID"/>
        </w:rPr>
        <w:t>All evaluations were conducted by an independent assessor who was not involved in the Direct Hair Implantation (DHI) or Platelet-Rich Plasma (PRP) procedures, thereby minimizing the risk of bias.</w:t>
      </w:r>
    </w:p>
    <w:p w14:paraId="06AAA40C" w14:textId="77777777" w:rsidR="004F1A59" w:rsidRDefault="004F1A59" w:rsidP="009C031A">
      <w:pPr>
        <w:pStyle w:val="Body"/>
        <w:spacing w:after="0"/>
        <w:rPr>
          <w:rFonts w:ascii="Arial" w:hAnsi="Arial" w:cs="Arial"/>
          <w:lang w:val="en-ID"/>
        </w:rPr>
      </w:pPr>
    </w:p>
    <w:p w14:paraId="1545BC97" w14:textId="08E513CA" w:rsidR="004D675A" w:rsidRPr="00B31802" w:rsidRDefault="004D675A" w:rsidP="009C031A">
      <w:pPr>
        <w:pStyle w:val="Body"/>
        <w:spacing w:after="0"/>
        <w:rPr>
          <w:rFonts w:ascii="Arial" w:hAnsi="Arial" w:cs="Arial"/>
          <w:b/>
          <w:bCs/>
          <w:lang w:val="en-ID"/>
        </w:rPr>
      </w:pPr>
      <w:r w:rsidRPr="00B31802">
        <w:rPr>
          <w:rFonts w:ascii="Arial" w:hAnsi="Arial" w:cs="Arial"/>
          <w:b/>
          <w:bCs/>
          <w:sz w:val="22"/>
          <w:szCs w:val="22"/>
          <w:lang w:val="en-ID"/>
        </w:rPr>
        <w:t>2.11. Data analysis</w:t>
      </w:r>
    </w:p>
    <w:p w14:paraId="3D758996" w14:textId="5F803E4B" w:rsidR="004D675A" w:rsidRDefault="00B31802" w:rsidP="00FE76BD">
      <w:pPr>
        <w:pStyle w:val="Body"/>
        <w:rPr>
          <w:rFonts w:ascii="Arial" w:hAnsi="Arial" w:cs="Arial"/>
          <w:lang w:val="en-ID"/>
        </w:rPr>
      </w:pPr>
      <w:r>
        <w:rPr>
          <w:rFonts w:ascii="Arial" w:hAnsi="Arial" w:cs="Arial"/>
          <w:lang w:val="en-ID"/>
        </w:rPr>
        <w:t xml:space="preserve">Data were </w:t>
      </w:r>
      <w:proofErr w:type="spellStart"/>
      <w:r>
        <w:rPr>
          <w:rFonts w:ascii="Arial" w:hAnsi="Arial" w:cs="Arial"/>
          <w:lang w:val="en-ID"/>
        </w:rPr>
        <w:t>analyzed</w:t>
      </w:r>
      <w:proofErr w:type="spellEnd"/>
      <w:r>
        <w:rPr>
          <w:rFonts w:ascii="Arial" w:hAnsi="Arial" w:cs="Arial"/>
          <w:lang w:val="en-ID"/>
        </w:rPr>
        <w:t xml:space="preserve"> using SPSS 26.0 version </w:t>
      </w:r>
      <w:r w:rsidRPr="00B31802">
        <w:rPr>
          <w:rFonts w:ascii="Arial" w:hAnsi="Arial" w:cs="Arial"/>
        </w:rPr>
        <w:t xml:space="preserve">Descriptive statistical analysis was used to describe the characteristics of the data obtained, including mean, standard deviation, minimum, and maximum values, for both </w:t>
      </w:r>
      <w:r w:rsidR="00071EF9">
        <w:rPr>
          <w:rFonts w:ascii="Arial" w:hAnsi="Arial" w:cs="Arial"/>
        </w:rPr>
        <w:t xml:space="preserve">in day </w:t>
      </w:r>
      <w:proofErr w:type="gramStart"/>
      <w:r w:rsidR="00071EF9">
        <w:rPr>
          <w:rFonts w:ascii="Arial" w:hAnsi="Arial" w:cs="Arial"/>
        </w:rPr>
        <w:t>0</w:t>
      </w:r>
      <w:r w:rsidRPr="00B31802">
        <w:rPr>
          <w:rFonts w:ascii="Arial" w:hAnsi="Arial" w:cs="Arial"/>
        </w:rPr>
        <w:t xml:space="preserve"> and </w:t>
      </w:r>
      <w:r w:rsidR="00071EF9">
        <w:rPr>
          <w:rFonts w:ascii="Arial" w:hAnsi="Arial" w:cs="Arial"/>
        </w:rPr>
        <w:t>16 weeks</w:t>
      </w:r>
      <w:proofErr w:type="gramEnd"/>
      <w:r w:rsidR="00071EF9">
        <w:rPr>
          <w:rFonts w:ascii="Arial" w:hAnsi="Arial" w:cs="Arial"/>
        </w:rPr>
        <w:t xml:space="preserve"> </w:t>
      </w:r>
      <w:r w:rsidRPr="00B31802">
        <w:rPr>
          <w:rFonts w:ascii="Arial" w:hAnsi="Arial" w:cs="Arial"/>
        </w:rPr>
        <w:t>post-therapy</w:t>
      </w:r>
      <w:r w:rsidR="00071EF9">
        <w:rPr>
          <w:rFonts w:ascii="Arial" w:hAnsi="Arial" w:cs="Arial"/>
        </w:rPr>
        <w:t xml:space="preserve"> follow up</w:t>
      </w:r>
      <w:r w:rsidRPr="00B31802">
        <w:rPr>
          <w:rFonts w:ascii="Arial" w:hAnsi="Arial" w:cs="Arial"/>
        </w:rPr>
        <w:t xml:space="preserve"> measurements. This analysis provided a general overview of the data distribution and variability.</w:t>
      </w:r>
    </w:p>
    <w:p w14:paraId="4F1C77F5" w14:textId="548A97BF" w:rsidR="00C71A49" w:rsidRDefault="00BC0FB5" w:rsidP="00FE76BD">
      <w:pPr>
        <w:pStyle w:val="Body"/>
        <w:rPr>
          <w:rFonts w:ascii="Arial" w:hAnsi="Arial" w:cs="Arial"/>
        </w:rPr>
      </w:pPr>
      <w:r w:rsidRPr="00BC0FB5">
        <w:rPr>
          <w:rFonts w:ascii="Arial" w:hAnsi="Arial" w:cs="Arial"/>
        </w:rPr>
        <w:t>Assumption testing included normality and homogeneity tests. Normality was assessed using the Shapiro–Wilk test</w:t>
      </w:r>
      <w:r w:rsidR="00D06390">
        <w:rPr>
          <w:rFonts w:ascii="Arial" w:hAnsi="Arial" w:cs="Arial"/>
        </w:rPr>
        <w:t>.</w:t>
      </w:r>
      <w:r w:rsidRPr="00BC0FB5">
        <w:rPr>
          <w:rFonts w:ascii="Arial" w:hAnsi="Arial" w:cs="Arial"/>
        </w:rPr>
        <w:t xml:space="preserve"> In this study, most of the hair density and hair length data showed normal distribution (</w:t>
      </w:r>
      <w:r w:rsidR="00F05317">
        <w:rPr>
          <w:rFonts w:ascii="Arial" w:hAnsi="Arial" w:cs="Arial"/>
        </w:rPr>
        <w:t>P</w:t>
      </w:r>
      <w:r w:rsidRPr="00BC0FB5">
        <w:rPr>
          <w:rFonts w:ascii="Arial" w:hAnsi="Arial" w:cs="Arial"/>
        </w:rPr>
        <w:t xml:space="preserve"> &gt; 0.05). Homogeneity was tested using Levene’s test. Variance was considered homogeneous if the </w:t>
      </w:r>
      <w:r w:rsidR="00F05317">
        <w:rPr>
          <w:rFonts w:ascii="Arial" w:hAnsi="Arial" w:cs="Arial"/>
        </w:rPr>
        <w:t>P</w:t>
      </w:r>
      <w:r w:rsidRPr="00BC0FB5">
        <w:rPr>
          <w:rFonts w:ascii="Arial" w:hAnsi="Arial" w:cs="Arial"/>
        </w:rPr>
        <w:t>-value was greater than 0.05, and all data in this study, including hair density and hair length, met this criterion.</w:t>
      </w:r>
    </w:p>
    <w:p w14:paraId="6215BE16" w14:textId="4A49B462" w:rsidR="00790ADA" w:rsidRPr="0027601C" w:rsidRDefault="00BC0FB5" w:rsidP="00FE76BD">
      <w:pPr>
        <w:pStyle w:val="Body"/>
        <w:rPr>
          <w:rFonts w:ascii="Arial" w:hAnsi="Arial" w:cs="Arial"/>
          <w:lang w:val="en-ID"/>
        </w:rPr>
      </w:pPr>
      <w:r w:rsidRPr="00BC0FB5">
        <w:rPr>
          <w:rFonts w:ascii="Arial" w:hAnsi="Arial" w:cs="Arial"/>
        </w:rPr>
        <w:t>The assumption of sphericity was also tested to determine whether the variances of the differences between all pairs of conditions in the repeated-measures design were equal. Mauchly’s test of sphericity was applied, and Greenhouse–Geisser correction was performed when Mauchly’s W was significant (p &lt; 0.05). In this study, hair length data measured at 2 cm and 4 cm from the midline showed p &lt; 0.05, requiring correction.</w:t>
      </w:r>
      <w:r w:rsidR="000D6A33" w:rsidRPr="000D6A33">
        <w:t xml:space="preserve"> </w:t>
      </w:r>
      <w:r w:rsidR="000D6A33" w:rsidRPr="000D6A33">
        <w:rPr>
          <w:rFonts w:ascii="Arial" w:hAnsi="Arial" w:cs="Arial"/>
        </w:rPr>
        <w:t>Post-therapy outcome differences were analyzed using mixed ANOVA</w:t>
      </w:r>
      <w:r w:rsidR="000D6A33">
        <w:rPr>
          <w:rFonts w:ascii="Arial" w:hAnsi="Arial" w:cs="Arial"/>
        </w:rPr>
        <w:t xml:space="preserve"> and post hoc analysis</w:t>
      </w:r>
      <w:r w:rsidR="000D6A33" w:rsidRPr="000D6A33">
        <w:rPr>
          <w:rFonts w:ascii="Arial" w:hAnsi="Arial" w:cs="Arial"/>
        </w:rPr>
        <w:t xml:space="preserve">. </w:t>
      </w:r>
    </w:p>
    <w:p w14:paraId="772A44B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B269E7" w14:textId="77777777" w:rsidR="00082E51" w:rsidRDefault="00082E51" w:rsidP="00441B6F">
      <w:pPr>
        <w:pStyle w:val="Body"/>
        <w:spacing w:after="0"/>
        <w:rPr>
          <w:rFonts w:ascii="Arial" w:hAnsi="Arial" w:cs="Arial"/>
        </w:rPr>
      </w:pPr>
    </w:p>
    <w:p w14:paraId="321A7434" w14:textId="46E21559" w:rsidR="00774893" w:rsidRDefault="00774893" w:rsidP="00082E51">
      <w:pPr>
        <w:pStyle w:val="Body"/>
        <w:spacing w:after="0"/>
        <w:rPr>
          <w:rFonts w:ascii="Arial" w:hAnsi="Arial" w:cs="Arial"/>
          <w:lang w:val="en-ID"/>
        </w:rPr>
      </w:pPr>
      <w:r w:rsidRPr="00774893">
        <w:rPr>
          <w:rFonts w:ascii="Arial" w:hAnsi="Arial" w:cs="Arial"/>
          <w:b/>
          <w:bCs/>
          <w:sz w:val="22"/>
          <w:szCs w:val="22"/>
          <w:lang w:val="en-ID"/>
        </w:rPr>
        <w:t>3</w:t>
      </w:r>
      <w:r w:rsidRPr="00774893">
        <w:rPr>
          <w:rFonts w:ascii="Arial" w:hAnsi="Arial" w:cs="Arial"/>
          <w:b/>
          <w:bCs/>
          <w:sz w:val="24"/>
          <w:szCs w:val="24"/>
          <w:lang w:val="en-ID"/>
        </w:rPr>
        <w:t>.</w:t>
      </w:r>
      <w:r w:rsidRPr="00774893">
        <w:rPr>
          <w:rFonts w:ascii="Arial" w:hAnsi="Arial" w:cs="Arial"/>
          <w:b/>
          <w:bCs/>
          <w:sz w:val="22"/>
          <w:szCs w:val="22"/>
          <w:lang w:val="en-ID"/>
        </w:rPr>
        <w:t>1. Subject characteristics</w:t>
      </w:r>
    </w:p>
    <w:p w14:paraId="0E442F18" w14:textId="01FE2343" w:rsidR="00082E51" w:rsidRDefault="00082E51" w:rsidP="00082E51">
      <w:pPr>
        <w:pStyle w:val="Body"/>
        <w:spacing w:after="0"/>
        <w:rPr>
          <w:rFonts w:ascii="Arial" w:hAnsi="Arial" w:cs="Arial"/>
          <w:lang w:val="en-ID"/>
        </w:rPr>
      </w:pPr>
      <w:r w:rsidRPr="00082E51">
        <w:rPr>
          <w:rFonts w:ascii="Arial" w:hAnsi="Arial" w:cs="Arial"/>
          <w:lang w:val="en-ID"/>
        </w:rPr>
        <w:t>The study involved 14 participants divided into two groups: DHI + PRP (n=7) and DHI (n=7). The analysis of subject characteristics showed that the majority met Norwood criteria 5 (57.14%). There was no association between Norwood criteria and treatment group. Furthermore, there were no statistically significant differences in subject age characteristics between the DHI and DHI+PRP groups</w:t>
      </w:r>
      <w:r>
        <w:rPr>
          <w:rFonts w:ascii="Arial" w:hAnsi="Arial" w:cs="Arial"/>
          <w:lang w:val="en-ID"/>
        </w:rPr>
        <w:t xml:space="preserve"> (Table 1)</w:t>
      </w:r>
      <w:r w:rsidRPr="00082E51">
        <w:rPr>
          <w:rFonts w:ascii="Arial" w:hAnsi="Arial" w:cs="Arial"/>
          <w:lang w:val="en-ID"/>
        </w:rPr>
        <w:t>.</w:t>
      </w:r>
    </w:p>
    <w:p w14:paraId="4C936886" w14:textId="77777777" w:rsidR="00D91EFA" w:rsidRDefault="00D91EFA" w:rsidP="00082E51">
      <w:pPr>
        <w:pStyle w:val="Body"/>
        <w:spacing w:after="0"/>
        <w:rPr>
          <w:rFonts w:ascii="Arial" w:hAnsi="Arial" w:cs="Arial"/>
          <w:lang w:val="en-ID"/>
        </w:rPr>
      </w:pPr>
    </w:p>
    <w:p w14:paraId="5AF19466" w14:textId="1EA45D81" w:rsidR="00D91EFA" w:rsidRPr="00D91EFA" w:rsidRDefault="00D91EFA" w:rsidP="00082E51">
      <w:pPr>
        <w:pStyle w:val="Body"/>
        <w:spacing w:after="0"/>
        <w:rPr>
          <w:rFonts w:ascii="Arial" w:hAnsi="Arial" w:cs="Arial"/>
          <w:b/>
          <w:bCs/>
          <w:lang w:val="en-ID"/>
        </w:rPr>
      </w:pPr>
      <w:r w:rsidRPr="00D91EFA">
        <w:rPr>
          <w:rFonts w:ascii="Arial" w:hAnsi="Arial" w:cs="Arial"/>
          <w:b/>
          <w:bCs/>
          <w:lang w:val="en-ID"/>
        </w:rPr>
        <w:t>Table 1. Subject characteristics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862"/>
        <w:gridCol w:w="2065"/>
        <w:gridCol w:w="2066"/>
      </w:tblGrid>
      <w:tr w:rsidR="00D91EFA" w:rsidRPr="00D91EFA" w14:paraId="5FD9D36A" w14:textId="77777777" w:rsidTr="009A4AA5">
        <w:tc>
          <w:tcPr>
            <w:tcW w:w="2268" w:type="dxa"/>
            <w:vMerge w:val="restart"/>
            <w:tcBorders>
              <w:top w:val="single" w:sz="4" w:space="0" w:color="auto"/>
              <w:bottom w:val="single" w:sz="4" w:space="0" w:color="auto"/>
            </w:tcBorders>
            <w:vAlign w:val="center"/>
          </w:tcPr>
          <w:p w14:paraId="37884E06" w14:textId="5020A5E9" w:rsidR="00D91EFA" w:rsidRPr="00D91EFA" w:rsidRDefault="00D91EFA" w:rsidP="00D91EFA">
            <w:pPr>
              <w:jc w:val="center"/>
              <w:rPr>
                <w:rFonts w:ascii="Arial" w:hAnsi="Arial" w:cs="Arial"/>
                <w:sz w:val="20"/>
                <w:szCs w:val="20"/>
                <w:lang w:val="id"/>
              </w:rPr>
            </w:pPr>
            <w:r w:rsidRPr="00D91EFA">
              <w:rPr>
                <w:rFonts w:ascii="Arial" w:hAnsi="Arial" w:cs="Arial"/>
                <w:sz w:val="20"/>
                <w:szCs w:val="20"/>
                <w:lang w:val="id"/>
              </w:rPr>
              <w:t>Variab</w:t>
            </w:r>
            <w:r>
              <w:rPr>
                <w:rFonts w:ascii="Arial" w:hAnsi="Arial" w:cs="Arial"/>
                <w:sz w:val="20"/>
                <w:szCs w:val="20"/>
                <w:lang w:val="id"/>
              </w:rPr>
              <w:t>les</w:t>
            </w:r>
          </w:p>
        </w:tc>
        <w:tc>
          <w:tcPr>
            <w:tcW w:w="3927" w:type="dxa"/>
            <w:gridSpan w:val="2"/>
            <w:tcBorders>
              <w:top w:val="single" w:sz="4" w:space="0" w:color="auto"/>
            </w:tcBorders>
            <w:vAlign w:val="center"/>
          </w:tcPr>
          <w:p w14:paraId="03261D24" w14:textId="0CDC4D52" w:rsidR="00D91EFA" w:rsidRPr="00D91EFA" w:rsidRDefault="00D91EFA" w:rsidP="00D91EFA">
            <w:pPr>
              <w:jc w:val="center"/>
              <w:rPr>
                <w:rFonts w:ascii="Arial" w:hAnsi="Arial" w:cs="Arial"/>
                <w:sz w:val="20"/>
                <w:szCs w:val="20"/>
                <w:lang w:val="id"/>
              </w:rPr>
            </w:pPr>
            <w:r w:rsidRPr="00D91EFA">
              <w:rPr>
                <w:rFonts w:ascii="Arial" w:hAnsi="Arial" w:cs="Arial"/>
                <w:sz w:val="20"/>
                <w:szCs w:val="20"/>
                <w:lang w:val="id"/>
              </w:rPr>
              <w:t xml:space="preserve">N (%) / </w:t>
            </w:r>
            <w:r>
              <w:rPr>
                <w:rFonts w:ascii="Arial" w:hAnsi="Arial" w:cs="Arial"/>
                <w:sz w:val="20"/>
                <w:szCs w:val="20"/>
                <w:lang w:val="id"/>
              </w:rPr>
              <w:t>means</w:t>
            </w:r>
            <w:r w:rsidRPr="00D91EFA">
              <w:rPr>
                <w:rFonts w:ascii="Arial" w:hAnsi="Arial" w:cs="Arial"/>
                <w:sz w:val="20"/>
                <w:szCs w:val="20"/>
                <w:lang w:val="id"/>
              </w:rPr>
              <w:t xml:space="preserve"> </w:t>
            </w:r>
            <w:r w:rsidRPr="00D91EFA">
              <w:rPr>
                <w:rFonts w:ascii="Arial" w:hAnsi="Arial" w:cs="Arial"/>
                <w:color w:val="000000" w:themeColor="text1"/>
                <w:sz w:val="20"/>
                <w:szCs w:val="20"/>
                <w:lang w:val="id"/>
              </w:rPr>
              <w:t>± SD</w:t>
            </w:r>
          </w:p>
        </w:tc>
        <w:tc>
          <w:tcPr>
            <w:tcW w:w="2066" w:type="dxa"/>
            <w:vMerge w:val="restart"/>
            <w:tcBorders>
              <w:top w:val="single" w:sz="4" w:space="0" w:color="auto"/>
              <w:bottom w:val="single" w:sz="4" w:space="0" w:color="auto"/>
            </w:tcBorders>
            <w:vAlign w:val="center"/>
          </w:tcPr>
          <w:p w14:paraId="6838A333" w14:textId="55364DF7" w:rsidR="00D91EFA" w:rsidRPr="00D91EFA" w:rsidRDefault="00D91EFA" w:rsidP="00D91EFA">
            <w:pPr>
              <w:jc w:val="center"/>
              <w:rPr>
                <w:rFonts w:ascii="Arial" w:hAnsi="Arial" w:cs="Arial"/>
                <w:sz w:val="20"/>
                <w:szCs w:val="20"/>
                <w:lang w:val="id"/>
              </w:rPr>
            </w:pPr>
            <w:r>
              <w:rPr>
                <w:rFonts w:ascii="Arial" w:hAnsi="Arial" w:cs="Arial"/>
                <w:sz w:val="20"/>
                <w:szCs w:val="20"/>
                <w:lang w:val="id"/>
              </w:rPr>
              <w:t>Sig</w:t>
            </w:r>
            <w:r w:rsidRPr="00D91EFA">
              <w:rPr>
                <w:rFonts w:ascii="Arial" w:hAnsi="Arial" w:cs="Arial"/>
                <w:sz w:val="20"/>
                <w:szCs w:val="20"/>
                <w:lang w:val="id"/>
              </w:rPr>
              <w:t xml:space="preserve"> (</w:t>
            </w:r>
            <w:r>
              <w:rPr>
                <w:rFonts w:ascii="Arial" w:hAnsi="Arial" w:cs="Arial"/>
                <w:sz w:val="20"/>
                <w:szCs w:val="20"/>
                <w:lang w:val="id"/>
              </w:rPr>
              <w:t>P</w:t>
            </w:r>
            <w:r w:rsidRPr="00D91EFA">
              <w:rPr>
                <w:rFonts w:ascii="Arial" w:hAnsi="Arial" w:cs="Arial"/>
                <w:sz w:val="20"/>
                <w:szCs w:val="20"/>
                <w:lang w:val="id"/>
              </w:rPr>
              <w:t>)</w:t>
            </w:r>
          </w:p>
        </w:tc>
      </w:tr>
      <w:tr w:rsidR="00D91EFA" w:rsidRPr="00D91EFA" w14:paraId="7A0EF8CA" w14:textId="77777777" w:rsidTr="009A4AA5">
        <w:tc>
          <w:tcPr>
            <w:tcW w:w="2268" w:type="dxa"/>
            <w:vMerge/>
            <w:tcBorders>
              <w:bottom w:val="single" w:sz="4" w:space="0" w:color="auto"/>
            </w:tcBorders>
          </w:tcPr>
          <w:p w14:paraId="42906BF7" w14:textId="77777777" w:rsidR="00D91EFA" w:rsidRPr="00D91EFA" w:rsidRDefault="00D91EFA" w:rsidP="00D91EFA">
            <w:pPr>
              <w:rPr>
                <w:rFonts w:ascii="Arial" w:hAnsi="Arial" w:cs="Arial"/>
                <w:sz w:val="20"/>
                <w:szCs w:val="20"/>
                <w:lang w:val="id"/>
              </w:rPr>
            </w:pPr>
          </w:p>
        </w:tc>
        <w:tc>
          <w:tcPr>
            <w:tcW w:w="1862" w:type="dxa"/>
            <w:tcBorders>
              <w:bottom w:val="single" w:sz="4" w:space="0" w:color="auto"/>
            </w:tcBorders>
          </w:tcPr>
          <w:p w14:paraId="398AB022" w14:textId="77777777" w:rsidR="00D91EFA" w:rsidRPr="00D91EFA" w:rsidRDefault="00D91EFA" w:rsidP="00D91EFA">
            <w:pPr>
              <w:jc w:val="center"/>
              <w:rPr>
                <w:rFonts w:ascii="Arial" w:hAnsi="Arial" w:cs="Arial"/>
                <w:sz w:val="20"/>
                <w:szCs w:val="20"/>
                <w:lang w:val="id"/>
              </w:rPr>
            </w:pPr>
            <w:r w:rsidRPr="00D91EFA">
              <w:rPr>
                <w:rFonts w:ascii="Arial" w:hAnsi="Arial" w:cs="Arial"/>
                <w:sz w:val="20"/>
                <w:szCs w:val="20"/>
                <w:lang w:val="id"/>
              </w:rPr>
              <w:t>DHI</w:t>
            </w:r>
          </w:p>
        </w:tc>
        <w:tc>
          <w:tcPr>
            <w:tcW w:w="2065" w:type="dxa"/>
            <w:tcBorders>
              <w:bottom w:val="single" w:sz="4" w:space="0" w:color="auto"/>
            </w:tcBorders>
          </w:tcPr>
          <w:p w14:paraId="1893D42F" w14:textId="77777777" w:rsidR="00D91EFA" w:rsidRPr="00D91EFA" w:rsidRDefault="00D91EFA" w:rsidP="00D91EFA">
            <w:pPr>
              <w:jc w:val="center"/>
              <w:rPr>
                <w:rFonts w:ascii="Arial" w:hAnsi="Arial" w:cs="Arial"/>
                <w:sz w:val="20"/>
                <w:szCs w:val="20"/>
                <w:lang w:val="id"/>
              </w:rPr>
            </w:pPr>
            <w:r w:rsidRPr="00D91EFA">
              <w:rPr>
                <w:rFonts w:ascii="Arial" w:hAnsi="Arial" w:cs="Arial"/>
                <w:sz w:val="20"/>
                <w:szCs w:val="20"/>
                <w:lang w:val="id"/>
              </w:rPr>
              <w:t>DHI+PRP</w:t>
            </w:r>
          </w:p>
        </w:tc>
        <w:tc>
          <w:tcPr>
            <w:tcW w:w="2066" w:type="dxa"/>
            <w:vMerge/>
            <w:tcBorders>
              <w:bottom w:val="single" w:sz="4" w:space="0" w:color="auto"/>
            </w:tcBorders>
          </w:tcPr>
          <w:p w14:paraId="7A3FBBA7" w14:textId="77777777" w:rsidR="00D91EFA" w:rsidRPr="00D91EFA" w:rsidRDefault="00D91EFA" w:rsidP="00D91EFA">
            <w:pPr>
              <w:rPr>
                <w:rFonts w:ascii="Arial" w:hAnsi="Arial" w:cs="Arial"/>
                <w:sz w:val="20"/>
                <w:szCs w:val="20"/>
                <w:lang w:val="id"/>
              </w:rPr>
            </w:pPr>
          </w:p>
        </w:tc>
      </w:tr>
      <w:tr w:rsidR="00D91EFA" w:rsidRPr="00D91EFA" w14:paraId="2E7988BF" w14:textId="77777777" w:rsidTr="009A4AA5">
        <w:tc>
          <w:tcPr>
            <w:tcW w:w="2268" w:type="dxa"/>
            <w:tcBorders>
              <w:top w:val="single" w:sz="4" w:space="0" w:color="auto"/>
            </w:tcBorders>
          </w:tcPr>
          <w:p w14:paraId="2B6B58CB" w14:textId="571FA524" w:rsidR="00D91EFA" w:rsidRPr="00D91EFA" w:rsidRDefault="00D91EFA" w:rsidP="00D91EFA">
            <w:pPr>
              <w:rPr>
                <w:rFonts w:ascii="Arial" w:hAnsi="Arial" w:cs="Arial"/>
                <w:sz w:val="20"/>
                <w:szCs w:val="20"/>
                <w:lang w:val="id"/>
              </w:rPr>
            </w:pPr>
            <w:r>
              <w:rPr>
                <w:rFonts w:ascii="Arial" w:hAnsi="Arial" w:cs="Arial"/>
                <w:sz w:val="20"/>
                <w:szCs w:val="20"/>
                <w:lang w:val="id"/>
              </w:rPr>
              <w:t>Age</w:t>
            </w:r>
            <w:r w:rsidRPr="00D91EFA">
              <w:rPr>
                <w:rFonts w:ascii="Arial" w:hAnsi="Arial" w:cs="Arial"/>
                <w:sz w:val="20"/>
                <w:szCs w:val="20"/>
                <w:vertAlign w:val="superscript"/>
                <w:lang w:val="id"/>
              </w:rPr>
              <w:t>a</w:t>
            </w:r>
          </w:p>
        </w:tc>
        <w:tc>
          <w:tcPr>
            <w:tcW w:w="1862" w:type="dxa"/>
            <w:tcBorders>
              <w:top w:val="single" w:sz="4" w:space="0" w:color="auto"/>
            </w:tcBorders>
          </w:tcPr>
          <w:p w14:paraId="503A1D84" w14:textId="3ACE6488" w:rsidR="00D91EFA" w:rsidRPr="00D91EFA" w:rsidRDefault="00D91EFA" w:rsidP="00D91EFA">
            <w:pPr>
              <w:rPr>
                <w:rFonts w:ascii="Arial" w:hAnsi="Arial" w:cs="Arial"/>
                <w:sz w:val="20"/>
                <w:szCs w:val="20"/>
                <w:lang w:val="id"/>
              </w:rPr>
            </w:pPr>
            <w:r w:rsidRPr="00D91EFA">
              <w:rPr>
                <w:rFonts w:ascii="Arial" w:hAnsi="Arial" w:cs="Arial"/>
                <w:color w:val="000000" w:themeColor="text1"/>
                <w:sz w:val="20"/>
                <w:szCs w:val="20"/>
                <w:lang w:val="id"/>
              </w:rPr>
              <w:t>34 ± 3</w:t>
            </w:r>
            <w:r w:rsidR="001B3803">
              <w:rPr>
                <w:rFonts w:ascii="Arial" w:hAnsi="Arial" w:cs="Arial"/>
                <w:color w:val="000000" w:themeColor="text1"/>
                <w:sz w:val="20"/>
                <w:szCs w:val="20"/>
                <w:lang w:val="id"/>
              </w:rPr>
              <w:t>.</w:t>
            </w:r>
            <w:r w:rsidRPr="00D91EFA">
              <w:rPr>
                <w:rFonts w:ascii="Arial" w:hAnsi="Arial" w:cs="Arial"/>
                <w:color w:val="000000" w:themeColor="text1"/>
                <w:sz w:val="20"/>
                <w:szCs w:val="20"/>
                <w:lang w:val="id"/>
              </w:rPr>
              <w:t>26</w:t>
            </w:r>
          </w:p>
        </w:tc>
        <w:tc>
          <w:tcPr>
            <w:tcW w:w="2065" w:type="dxa"/>
            <w:tcBorders>
              <w:top w:val="single" w:sz="4" w:space="0" w:color="auto"/>
            </w:tcBorders>
          </w:tcPr>
          <w:p w14:paraId="608B2C84" w14:textId="246D0F3E" w:rsidR="00D91EFA" w:rsidRPr="00D91EFA" w:rsidRDefault="00D91EFA" w:rsidP="00D91EFA">
            <w:pPr>
              <w:rPr>
                <w:rFonts w:ascii="Arial" w:hAnsi="Arial" w:cs="Arial"/>
                <w:sz w:val="20"/>
                <w:szCs w:val="20"/>
                <w:lang w:val="id"/>
              </w:rPr>
            </w:pPr>
            <w:r w:rsidRPr="00D91EFA">
              <w:rPr>
                <w:rFonts w:ascii="Arial" w:hAnsi="Arial" w:cs="Arial"/>
                <w:color w:val="000000" w:themeColor="text1"/>
                <w:sz w:val="20"/>
                <w:szCs w:val="20"/>
                <w:lang w:val="id"/>
              </w:rPr>
              <w:t>35</w:t>
            </w:r>
            <w:r w:rsidR="001B3803">
              <w:rPr>
                <w:rFonts w:ascii="Arial" w:hAnsi="Arial" w:cs="Arial"/>
                <w:color w:val="000000" w:themeColor="text1"/>
                <w:sz w:val="20"/>
                <w:szCs w:val="20"/>
                <w:lang w:val="id"/>
              </w:rPr>
              <w:t>.</w:t>
            </w:r>
            <w:r w:rsidRPr="00D91EFA">
              <w:rPr>
                <w:rFonts w:ascii="Arial" w:hAnsi="Arial" w:cs="Arial"/>
                <w:color w:val="000000" w:themeColor="text1"/>
                <w:sz w:val="20"/>
                <w:szCs w:val="20"/>
                <w:lang w:val="id"/>
              </w:rPr>
              <w:t>71 ± 3</w:t>
            </w:r>
            <w:r w:rsidR="001B3803">
              <w:rPr>
                <w:rFonts w:ascii="Arial" w:hAnsi="Arial" w:cs="Arial"/>
                <w:color w:val="000000" w:themeColor="text1"/>
                <w:sz w:val="20"/>
                <w:szCs w:val="20"/>
                <w:lang w:val="id"/>
              </w:rPr>
              <w:t>.</w:t>
            </w:r>
            <w:r w:rsidRPr="00D91EFA">
              <w:rPr>
                <w:rFonts w:ascii="Arial" w:hAnsi="Arial" w:cs="Arial"/>
                <w:color w:val="000000" w:themeColor="text1"/>
                <w:sz w:val="20"/>
                <w:szCs w:val="20"/>
                <w:lang w:val="id"/>
              </w:rPr>
              <w:t>4</w:t>
            </w:r>
          </w:p>
        </w:tc>
        <w:tc>
          <w:tcPr>
            <w:tcW w:w="2066" w:type="dxa"/>
            <w:tcBorders>
              <w:top w:val="single" w:sz="4" w:space="0" w:color="auto"/>
            </w:tcBorders>
          </w:tcPr>
          <w:p w14:paraId="56379C71" w14:textId="124D4431" w:rsidR="00D91EFA" w:rsidRPr="00D91EFA" w:rsidRDefault="00D91EFA" w:rsidP="00D91EFA">
            <w:pPr>
              <w:rPr>
                <w:rFonts w:ascii="Arial" w:hAnsi="Arial" w:cs="Arial"/>
                <w:sz w:val="20"/>
                <w:szCs w:val="20"/>
                <w:lang w:val="id"/>
              </w:rPr>
            </w:pPr>
            <w:r w:rsidRPr="00D91EFA">
              <w:rPr>
                <w:rFonts w:ascii="Arial" w:hAnsi="Arial" w:cs="Arial"/>
                <w:color w:val="000000" w:themeColor="text1"/>
                <w:sz w:val="20"/>
                <w:szCs w:val="20"/>
                <w:lang w:val="id"/>
              </w:rPr>
              <w:t>0</w:t>
            </w:r>
            <w:r w:rsidR="001B3803">
              <w:rPr>
                <w:rFonts w:ascii="Arial" w:hAnsi="Arial" w:cs="Arial"/>
                <w:color w:val="000000" w:themeColor="text1"/>
                <w:sz w:val="20"/>
                <w:szCs w:val="20"/>
                <w:lang w:val="id"/>
              </w:rPr>
              <w:t>.</w:t>
            </w:r>
            <w:r w:rsidRPr="00D91EFA">
              <w:rPr>
                <w:rFonts w:ascii="Arial" w:hAnsi="Arial" w:cs="Arial"/>
                <w:color w:val="000000" w:themeColor="text1"/>
                <w:sz w:val="20"/>
                <w:szCs w:val="20"/>
                <w:lang w:val="id"/>
              </w:rPr>
              <w:t>35</w:t>
            </w:r>
          </w:p>
        </w:tc>
      </w:tr>
      <w:tr w:rsidR="00D91EFA" w:rsidRPr="00D91EFA" w14:paraId="5E77DE4A" w14:textId="77777777" w:rsidTr="009A4AA5">
        <w:tc>
          <w:tcPr>
            <w:tcW w:w="2268" w:type="dxa"/>
          </w:tcPr>
          <w:p w14:paraId="077FDE3B" w14:textId="79081B60" w:rsidR="00D91EFA" w:rsidRPr="00D91EFA" w:rsidRDefault="00D91EFA" w:rsidP="00D91EFA">
            <w:pPr>
              <w:rPr>
                <w:rFonts w:ascii="Arial" w:hAnsi="Arial" w:cs="Arial"/>
                <w:sz w:val="20"/>
                <w:szCs w:val="20"/>
                <w:lang w:val="id"/>
              </w:rPr>
            </w:pPr>
            <w:r w:rsidRPr="00D91EFA">
              <w:rPr>
                <w:rFonts w:ascii="Arial" w:hAnsi="Arial" w:cs="Arial"/>
                <w:sz w:val="20"/>
                <w:szCs w:val="20"/>
                <w:lang w:val="id"/>
              </w:rPr>
              <w:t>Norwood</w:t>
            </w:r>
            <w:r>
              <w:rPr>
                <w:rFonts w:ascii="Arial" w:hAnsi="Arial" w:cs="Arial"/>
                <w:sz w:val="20"/>
                <w:szCs w:val="20"/>
                <w:lang w:val="id"/>
              </w:rPr>
              <w:t xml:space="preserve"> classification</w:t>
            </w:r>
            <w:r w:rsidRPr="00D91EFA">
              <w:rPr>
                <w:rFonts w:ascii="Arial" w:hAnsi="Arial" w:cs="Arial"/>
                <w:sz w:val="20"/>
                <w:szCs w:val="20"/>
                <w:vertAlign w:val="superscript"/>
                <w:lang w:val="id"/>
              </w:rPr>
              <w:t>b</w:t>
            </w:r>
          </w:p>
        </w:tc>
        <w:tc>
          <w:tcPr>
            <w:tcW w:w="1862" w:type="dxa"/>
          </w:tcPr>
          <w:p w14:paraId="4F7D44EA" w14:textId="77777777" w:rsidR="00D91EFA" w:rsidRPr="00D91EFA" w:rsidRDefault="00D91EFA" w:rsidP="00D91EFA">
            <w:pPr>
              <w:rPr>
                <w:rFonts w:ascii="Arial" w:hAnsi="Arial" w:cs="Arial"/>
                <w:color w:val="000000" w:themeColor="text1"/>
                <w:sz w:val="20"/>
                <w:szCs w:val="20"/>
                <w:lang w:val="id"/>
              </w:rPr>
            </w:pPr>
          </w:p>
        </w:tc>
        <w:tc>
          <w:tcPr>
            <w:tcW w:w="2065" w:type="dxa"/>
          </w:tcPr>
          <w:p w14:paraId="13C9A9CA" w14:textId="77777777" w:rsidR="00D91EFA" w:rsidRPr="00D91EFA" w:rsidRDefault="00D91EFA" w:rsidP="00D91EFA">
            <w:pPr>
              <w:rPr>
                <w:rFonts w:ascii="Arial" w:hAnsi="Arial" w:cs="Arial"/>
                <w:color w:val="000000" w:themeColor="text1"/>
                <w:sz w:val="20"/>
                <w:szCs w:val="20"/>
                <w:lang w:val="id"/>
              </w:rPr>
            </w:pPr>
          </w:p>
        </w:tc>
        <w:tc>
          <w:tcPr>
            <w:tcW w:w="2066" w:type="dxa"/>
          </w:tcPr>
          <w:p w14:paraId="3A83699F" w14:textId="77777777" w:rsidR="00D91EFA" w:rsidRPr="00D91EFA" w:rsidRDefault="00D91EFA" w:rsidP="00D91EFA">
            <w:pPr>
              <w:rPr>
                <w:rFonts w:ascii="Arial" w:hAnsi="Arial" w:cs="Arial"/>
                <w:color w:val="000000" w:themeColor="text1"/>
                <w:sz w:val="20"/>
                <w:szCs w:val="20"/>
                <w:lang w:val="id"/>
              </w:rPr>
            </w:pPr>
          </w:p>
        </w:tc>
      </w:tr>
      <w:tr w:rsidR="00D91EFA" w:rsidRPr="00D91EFA" w14:paraId="2DEFCAFB" w14:textId="77777777" w:rsidTr="009A4AA5">
        <w:tc>
          <w:tcPr>
            <w:tcW w:w="2268" w:type="dxa"/>
          </w:tcPr>
          <w:p w14:paraId="37979B71" w14:textId="77777777" w:rsidR="00D91EFA" w:rsidRPr="00D91EFA" w:rsidRDefault="00D91EFA" w:rsidP="00D91EFA">
            <w:pPr>
              <w:jc w:val="center"/>
              <w:rPr>
                <w:rFonts w:ascii="Arial" w:hAnsi="Arial" w:cs="Arial"/>
                <w:sz w:val="20"/>
                <w:szCs w:val="20"/>
                <w:lang w:val="id"/>
              </w:rPr>
            </w:pPr>
            <w:r w:rsidRPr="00D91EFA">
              <w:rPr>
                <w:rFonts w:ascii="Arial" w:hAnsi="Arial" w:cs="Arial"/>
                <w:sz w:val="20"/>
                <w:szCs w:val="20"/>
                <w:lang w:val="id"/>
              </w:rPr>
              <w:t>4</w:t>
            </w:r>
          </w:p>
        </w:tc>
        <w:tc>
          <w:tcPr>
            <w:tcW w:w="1862" w:type="dxa"/>
          </w:tcPr>
          <w:p w14:paraId="4E3320BB" w14:textId="5D922E1F" w:rsidR="00D91EFA" w:rsidRPr="00D91EFA" w:rsidRDefault="00D91EFA" w:rsidP="00D91EFA">
            <w:pPr>
              <w:rPr>
                <w:rFonts w:ascii="Arial" w:hAnsi="Arial" w:cs="Arial"/>
                <w:color w:val="000000" w:themeColor="text1"/>
                <w:sz w:val="20"/>
                <w:szCs w:val="20"/>
                <w:lang w:val="id"/>
              </w:rPr>
            </w:pPr>
            <w:r w:rsidRPr="00D91EFA">
              <w:rPr>
                <w:rFonts w:ascii="Arial" w:hAnsi="Arial" w:cs="Arial"/>
                <w:color w:val="000000" w:themeColor="text1"/>
                <w:sz w:val="20"/>
                <w:szCs w:val="20"/>
                <w:lang w:val="id"/>
              </w:rPr>
              <w:t>2 (14</w:t>
            </w:r>
            <w:r w:rsidR="001B3803">
              <w:rPr>
                <w:rFonts w:ascii="Arial" w:hAnsi="Arial" w:cs="Arial"/>
                <w:color w:val="000000" w:themeColor="text1"/>
                <w:sz w:val="20"/>
                <w:szCs w:val="20"/>
                <w:lang w:val="id"/>
              </w:rPr>
              <w:t>.</w:t>
            </w:r>
            <w:r w:rsidRPr="00D91EFA">
              <w:rPr>
                <w:rFonts w:ascii="Arial" w:hAnsi="Arial" w:cs="Arial"/>
                <w:color w:val="000000" w:themeColor="text1"/>
                <w:sz w:val="20"/>
                <w:szCs w:val="20"/>
                <w:lang w:val="id"/>
              </w:rPr>
              <w:t>28)</w:t>
            </w:r>
          </w:p>
        </w:tc>
        <w:tc>
          <w:tcPr>
            <w:tcW w:w="2065" w:type="dxa"/>
          </w:tcPr>
          <w:p w14:paraId="1A7B883E" w14:textId="0837B339" w:rsidR="00D91EFA" w:rsidRPr="00D91EFA" w:rsidRDefault="00D91EFA" w:rsidP="00D91EFA">
            <w:pPr>
              <w:rPr>
                <w:rFonts w:ascii="Arial" w:hAnsi="Arial" w:cs="Arial"/>
                <w:color w:val="000000" w:themeColor="text1"/>
                <w:sz w:val="20"/>
                <w:szCs w:val="20"/>
                <w:lang w:val="id"/>
              </w:rPr>
            </w:pPr>
            <w:r w:rsidRPr="00D91EFA">
              <w:rPr>
                <w:rFonts w:ascii="Arial" w:hAnsi="Arial" w:cs="Arial"/>
                <w:color w:val="000000" w:themeColor="text1"/>
                <w:sz w:val="20"/>
                <w:szCs w:val="20"/>
                <w:lang w:val="id"/>
              </w:rPr>
              <w:t>4 (28</w:t>
            </w:r>
            <w:r w:rsidR="001B3803">
              <w:rPr>
                <w:rFonts w:ascii="Arial" w:hAnsi="Arial" w:cs="Arial"/>
                <w:color w:val="000000" w:themeColor="text1"/>
                <w:sz w:val="20"/>
                <w:szCs w:val="20"/>
                <w:lang w:val="id"/>
              </w:rPr>
              <w:t>.</w:t>
            </w:r>
            <w:r w:rsidRPr="00D91EFA">
              <w:rPr>
                <w:rFonts w:ascii="Arial" w:hAnsi="Arial" w:cs="Arial"/>
                <w:color w:val="000000" w:themeColor="text1"/>
                <w:sz w:val="20"/>
                <w:szCs w:val="20"/>
                <w:lang w:val="id"/>
              </w:rPr>
              <w:t>57)</w:t>
            </w:r>
          </w:p>
        </w:tc>
        <w:tc>
          <w:tcPr>
            <w:tcW w:w="2066" w:type="dxa"/>
          </w:tcPr>
          <w:p w14:paraId="102671FE" w14:textId="145530A3" w:rsidR="00D91EFA" w:rsidRPr="00D91EFA" w:rsidRDefault="00D91EFA" w:rsidP="00D91EFA">
            <w:pPr>
              <w:rPr>
                <w:rFonts w:ascii="Arial" w:hAnsi="Arial" w:cs="Arial"/>
                <w:color w:val="000000" w:themeColor="text1"/>
                <w:sz w:val="20"/>
                <w:szCs w:val="20"/>
                <w:lang w:val="id"/>
              </w:rPr>
            </w:pPr>
            <w:r w:rsidRPr="00D91EFA">
              <w:rPr>
                <w:rFonts w:ascii="Arial" w:hAnsi="Arial" w:cs="Arial"/>
                <w:color w:val="000000" w:themeColor="text1"/>
                <w:sz w:val="20"/>
                <w:szCs w:val="20"/>
                <w:lang w:val="id"/>
              </w:rPr>
              <w:t>0</w:t>
            </w:r>
            <w:r w:rsidR="001B3803">
              <w:rPr>
                <w:rFonts w:ascii="Arial" w:hAnsi="Arial" w:cs="Arial"/>
                <w:color w:val="000000" w:themeColor="text1"/>
                <w:sz w:val="20"/>
                <w:szCs w:val="20"/>
                <w:lang w:val="id"/>
              </w:rPr>
              <w:t>.</w:t>
            </w:r>
            <w:r w:rsidRPr="00D91EFA">
              <w:rPr>
                <w:rFonts w:ascii="Arial" w:hAnsi="Arial" w:cs="Arial"/>
                <w:color w:val="000000" w:themeColor="text1"/>
                <w:sz w:val="20"/>
                <w:szCs w:val="20"/>
                <w:lang w:val="id"/>
              </w:rPr>
              <w:t>59</w:t>
            </w:r>
          </w:p>
        </w:tc>
      </w:tr>
      <w:tr w:rsidR="00D91EFA" w:rsidRPr="00D91EFA" w14:paraId="5D6B16F5" w14:textId="77777777" w:rsidTr="009A4AA5">
        <w:tc>
          <w:tcPr>
            <w:tcW w:w="2268" w:type="dxa"/>
            <w:tcBorders>
              <w:bottom w:val="single" w:sz="4" w:space="0" w:color="auto"/>
            </w:tcBorders>
          </w:tcPr>
          <w:p w14:paraId="634AD161" w14:textId="77777777" w:rsidR="00D91EFA" w:rsidRPr="00D91EFA" w:rsidRDefault="00D91EFA" w:rsidP="00D91EFA">
            <w:pPr>
              <w:jc w:val="center"/>
              <w:rPr>
                <w:rFonts w:ascii="Arial" w:hAnsi="Arial" w:cs="Arial"/>
                <w:sz w:val="20"/>
                <w:szCs w:val="20"/>
                <w:lang w:val="id"/>
              </w:rPr>
            </w:pPr>
            <w:r w:rsidRPr="00D91EFA">
              <w:rPr>
                <w:rFonts w:ascii="Arial" w:hAnsi="Arial" w:cs="Arial"/>
                <w:sz w:val="20"/>
                <w:szCs w:val="20"/>
                <w:lang w:val="id"/>
              </w:rPr>
              <w:t>5</w:t>
            </w:r>
          </w:p>
        </w:tc>
        <w:tc>
          <w:tcPr>
            <w:tcW w:w="1862" w:type="dxa"/>
            <w:tcBorders>
              <w:bottom w:val="single" w:sz="4" w:space="0" w:color="auto"/>
            </w:tcBorders>
          </w:tcPr>
          <w:p w14:paraId="484F5A0B" w14:textId="343B6C72" w:rsidR="00D91EFA" w:rsidRPr="00D91EFA" w:rsidRDefault="00D91EFA" w:rsidP="00D91EFA">
            <w:pPr>
              <w:rPr>
                <w:rFonts w:ascii="Arial" w:hAnsi="Arial" w:cs="Arial"/>
                <w:color w:val="000000" w:themeColor="text1"/>
                <w:sz w:val="20"/>
                <w:szCs w:val="20"/>
                <w:lang w:val="id"/>
              </w:rPr>
            </w:pPr>
            <w:r w:rsidRPr="00D91EFA">
              <w:rPr>
                <w:rFonts w:ascii="Arial" w:hAnsi="Arial" w:cs="Arial"/>
                <w:color w:val="000000" w:themeColor="text1"/>
                <w:sz w:val="20"/>
                <w:szCs w:val="20"/>
                <w:lang w:val="id"/>
              </w:rPr>
              <w:t>5 (35</w:t>
            </w:r>
            <w:r w:rsidR="001B3803">
              <w:rPr>
                <w:rFonts w:ascii="Arial" w:hAnsi="Arial" w:cs="Arial"/>
                <w:color w:val="000000" w:themeColor="text1"/>
                <w:sz w:val="20"/>
                <w:szCs w:val="20"/>
                <w:lang w:val="id"/>
              </w:rPr>
              <w:t>.</w:t>
            </w:r>
            <w:r w:rsidRPr="00D91EFA">
              <w:rPr>
                <w:rFonts w:ascii="Arial" w:hAnsi="Arial" w:cs="Arial"/>
                <w:color w:val="000000" w:themeColor="text1"/>
                <w:sz w:val="20"/>
                <w:szCs w:val="20"/>
                <w:lang w:val="id"/>
              </w:rPr>
              <w:t>7)</w:t>
            </w:r>
          </w:p>
        </w:tc>
        <w:tc>
          <w:tcPr>
            <w:tcW w:w="2065" w:type="dxa"/>
            <w:tcBorders>
              <w:bottom w:val="single" w:sz="4" w:space="0" w:color="auto"/>
            </w:tcBorders>
          </w:tcPr>
          <w:p w14:paraId="273E2FBD" w14:textId="3846B4BB" w:rsidR="00D91EFA" w:rsidRPr="00D91EFA" w:rsidRDefault="00D91EFA" w:rsidP="00D91EFA">
            <w:pPr>
              <w:rPr>
                <w:rFonts w:ascii="Arial" w:hAnsi="Arial" w:cs="Arial"/>
                <w:color w:val="000000" w:themeColor="text1"/>
                <w:sz w:val="20"/>
                <w:szCs w:val="20"/>
                <w:lang w:val="id"/>
              </w:rPr>
            </w:pPr>
            <w:r w:rsidRPr="00D91EFA">
              <w:rPr>
                <w:rFonts w:ascii="Arial" w:hAnsi="Arial" w:cs="Arial"/>
                <w:color w:val="000000" w:themeColor="text1"/>
                <w:sz w:val="20"/>
                <w:szCs w:val="20"/>
                <w:lang w:val="id"/>
              </w:rPr>
              <w:t>3 (21</w:t>
            </w:r>
            <w:r w:rsidR="001B3803">
              <w:rPr>
                <w:rFonts w:ascii="Arial" w:hAnsi="Arial" w:cs="Arial"/>
                <w:color w:val="000000" w:themeColor="text1"/>
                <w:sz w:val="20"/>
                <w:szCs w:val="20"/>
                <w:lang w:val="id"/>
              </w:rPr>
              <w:t>.</w:t>
            </w:r>
            <w:r w:rsidRPr="00D91EFA">
              <w:rPr>
                <w:rFonts w:ascii="Arial" w:hAnsi="Arial" w:cs="Arial"/>
                <w:color w:val="000000" w:themeColor="text1"/>
                <w:sz w:val="20"/>
                <w:szCs w:val="20"/>
                <w:lang w:val="id"/>
              </w:rPr>
              <w:t>42)</w:t>
            </w:r>
          </w:p>
        </w:tc>
        <w:tc>
          <w:tcPr>
            <w:tcW w:w="2066" w:type="dxa"/>
            <w:tcBorders>
              <w:bottom w:val="single" w:sz="4" w:space="0" w:color="auto"/>
            </w:tcBorders>
          </w:tcPr>
          <w:p w14:paraId="17BA340A" w14:textId="77777777" w:rsidR="00D91EFA" w:rsidRPr="00D91EFA" w:rsidRDefault="00D91EFA" w:rsidP="00D91EFA">
            <w:pPr>
              <w:rPr>
                <w:rFonts w:ascii="Arial" w:hAnsi="Arial" w:cs="Arial"/>
                <w:color w:val="000000" w:themeColor="text1"/>
                <w:sz w:val="20"/>
                <w:szCs w:val="20"/>
                <w:lang w:val="id"/>
              </w:rPr>
            </w:pPr>
          </w:p>
        </w:tc>
      </w:tr>
    </w:tbl>
    <w:p w14:paraId="3928AB4A" w14:textId="77777777" w:rsidR="00082E51" w:rsidRDefault="00082E51" w:rsidP="00441B6F">
      <w:pPr>
        <w:pStyle w:val="Body"/>
        <w:spacing w:after="0"/>
        <w:rPr>
          <w:rFonts w:ascii="Arial" w:hAnsi="Arial" w:cs="Arial"/>
          <w:lang w:val="en-ID"/>
        </w:rPr>
      </w:pPr>
    </w:p>
    <w:p w14:paraId="62AA53D9" w14:textId="77777777" w:rsidR="00C919C4" w:rsidRDefault="00C919C4" w:rsidP="00441B6F">
      <w:pPr>
        <w:pStyle w:val="Body"/>
        <w:spacing w:after="0"/>
        <w:rPr>
          <w:rFonts w:ascii="Arial" w:hAnsi="Arial" w:cs="Arial"/>
        </w:rPr>
      </w:pPr>
    </w:p>
    <w:p w14:paraId="03B21F77" w14:textId="0C66ACD5" w:rsidR="006F6FEE" w:rsidRDefault="006F6FEE" w:rsidP="00FE76BD">
      <w:pPr>
        <w:pStyle w:val="Body"/>
        <w:rPr>
          <w:rFonts w:ascii="Arial" w:hAnsi="Arial" w:cs="Arial"/>
          <w:lang w:val="en-ID"/>
        </w:rPr>
      </w:pPr>
      <w:r w:rsidRPr="006F6FEE">
        <w:rPr>
          <w:rFonts w:ascii="Arial" w:hAnsi="Arial" w:cs="Arial"/>
          <w:lang w:val="en-ID"/>
        </w:rPr>
        <w:t xml:space="preserve">The mean age of subjects in this study did not differ between the hair transplant and transplant plus PRP groups, consistent with previous reports. A cross-sectional study using </w:t>
      </w:r>
      <w:r>
        <w:rPr>
          <w:rFonts w:ascii="Arial" w:hAnsi="Arial" w:cs="Arial"/>
          <w:lang w:val="en-ID"/>
        </w:rPr>
        <w:t>from</w:t>
      </w:r>
      <w:r w:rsidRPr="006F6FEE">
        <w:rPr>
          <w:rFonts w:ascii="Arial" w:hAnsi="Arial" w:cs="Arial"/>
          <w:lang w:val="en-ID"/>
        </w:rPr>
        <w:t xml:space="preserve"> the United States found that androgenetic alopecia affects a wide demographic range, with male onset typically between 20–39 years (Reddy </w:t>
      </w:r>
      <w:r w:rsidRPr="006F6FEE">
        <w:rPr>
          <w:rFonts w:ascii="Arial" w:hAnsi="Arial" w:cs="Arial"/>
          <w:i/>
          <w:iCs/>
          <w:lang w:val="en-ID"/>
        </w:rPr>
        <w:t>et al</w:t>
      </w:r>
      <w:r w:rsidRPr="006F6FEE">
        <w:rPr>
          <w:rFonts w:ascii="Arial" w:hAnsi="Arial" w:cs="Arial"/>
          <w:lang w:val="en-ID"/>
        </w:rPr>
        <w:t xml:space="preserve">., 2025). Similarly, a clinical-epidemiological study from India reported that androgenetic alopecia accounted for 50% of non-scarring alopecia cases, predominantly in men (76%), with the highest prevalence in the 21–30 age group (Gupta </w:t>
      </w:r>
      <w:r w:rsidRPr="006F6FEE">
        <w:rPr>
          <w:rFonts w:ascii="Arial" w:hAnsi="Arial" w:cs="Arial"/>
          <w:i/>
          <w:iCs/>
          <w:lang w:val="en-ID"/>
        </w:rPr>
        <w:t>et al</w:t>
      </w:r>
      <w:r w:rsidRPr="006F6FEE">
        <w:rPr>
          <w:rFonts w:ascii="Arial" w:hAnsi="Arial" w:cs="Arial"/>
          <w:lang w:val="en-ID"/>
        </w:rPr>
        <w:t xml:space="preserve">., 2025). </w:t>
      </w:r>
    </w:p>
    <w:p w14:paraId="5672737F" w14:textId="5296BD01" w:rsidR="00774893" w:rsidRDefault="006F6FEE" w:rsidP="008F15E2">
      <w:pPr>
        <w:pStyle w:val="Body"/>
        <w:rPr>
          <w:rFonts w:ascii="Arial" w:hAnsi="Arial" w:cs="Arial"/>
          <w:lang w:val="en-ID"/>
        </w:rPr>
      </w:pPr>
      <w:r w:rsidRPr="006F6FEE">
        <w:rPr>
          <w:rFonts w:ascii="Arial" w:hAnsi="Arial" w:cs="Arial"/>
          <w:lang w:val="en-ID"/>
        </w:rPr>
        <w:t>These findings align with earlier studies, where most hair transplant patients (40.13%) were aged 31–40 years using the same follicular extraction unit (FEU) method</w:t>
      </w:r>
      <w:r>
        <w:rPr>
          <w:rFonts w:ascii="Arial" w:hAnsi="Arial" w:cs="Arial"/>
          <w:lang w:val="en-ID"/>
        </w:rPr>
        <w:t xml:space="preserve"> (Ghimire, 2018). Another study also reported </w:t>
      </w:r>
      <w:r w:rsidRPr="006F6FEE">
        <w:rPr>
          <w:rFonts w:ascii="Arial" w:hAnsi="Arial" w:cs="Arial"/>
          <w:lang w:val="en-ID"/>
        </w:rPr>
        <w:t>median patient age of 33 years within the 25–48 age range</w:t>
      </w:r>
      <w:r>
        <w:rPr>
          <w:rFonts w:ascii="Arial" w:hAnsi="Arial" w:cs="Arial"/>
          <w:lang w:val="en-ID"/>
        </w:rPr>
        <w:t xml:space="preserve"> (</w:t>
      </w:r>
      <w:r w:rsidRPr="006F6FEE">
        <w:rPr>
          <w:rFonts w:ascii="Arial" w:hAnsi="Arial" w:cs="Arial"/>
          <w:lang w:val="en-ID"/>
        </w:rPr>
        <w:t xml:space="preserve">Vasudevan </w:t>
      </w:r>
      <w:r w:rsidRPr="006F6FEE">
        <w:rPr>
          <w:rFonts w:ascii="Arial" w:hAnsi="Arial" w:cs="Arial"/>
          <w:i/>
          <w:iCs/>
          <w:lang w:val="en-ID"/>
        </w:rPr>
        <w:t>et al</w:t>
      </w:r>
      <w:r w:rsidRPr="006F6FEE">
        <w:rPr>
          <w:rFonts w:ascii="Arial" w:hAnsi="Arial" w:cs="Arial"/>
          <w:lang w:val="en-ID"/>
        </w:rPr>
        <w:t>. 2020)</w:t>
      </w:r>
      <w:r>
        <w:rPr>
          <w:rFonts w:ascii="Arial" w:hAnsi="Arial" w:cs="Arial"/>
          <w:lang w:val="en-ID"/>
        </w:rPr>
        <w:t>.</w:t>
      </w:r>
    </w:p>
    <w:p w14:paraId="532E6C24" w14:textId="12D2AB38" w:rsidR="00FE76BD" w:rsidRPr="008F15E2" w:rsidRDefault="00774893" w:rsidP="00441B6F">
      <w:pPr>
        <w:pStyle w:val="Body"/>
        <w:spacing w:after="0"/>
        <w:rPr>
          <w:rFonts w:ascii="Arial" w:hAnsi="Arial" w:cs="Arial"/>
          <w:b/>
          <w:bCs/>
          <w:sz w:val="22"/>
          <w:szCs w:val="22"/>
          <w:lang w:val="en-ID"/>
        </w:rPr>
      </w:pPr>
      <w:r w:rsidRPr="00774893">
        <w:rPr>
          <w:rFonts w:ascii="Arial" w:hAnsi="Arial" w:cs="Arial"/>
          <w:b/>
          <w:bCs/>
          <w:sz w:val="22"/>
          <w:szCs w:val="22"/>
          <w:lang w:val="en-ID"/>
        </w:rPr>
        <w:t>3.2. Hair follicle density</w:t>
      </w:r>
      <w:r>
        <w:rPr>
          <w:rFonts w:ascii="Arial" w:hAnsi="Arial" w:cs="Arial"/>
          <w:b/>
          <w:bCs/>
          <w:sz w:val="22"/>
          <w:szCs w:val="22"/>
          <w:lang w:val="en-ID"/>
        </w:rPr>
        <w:t xml:space="preserve"> after the treatments </w:t>
      </w:r>
    </w:p>
    <w:p w14:paraId="35E203E2" w14:textId="0FA10E8B" w:rsidR="004B0CEE" w:rsidRDefault="00082E51" w:rsidP="00FE76BD">
      <w:pPr>
        <w:pStyle w:val="Body"/>
        <w:rPr>
          <w:rFonts w:ascii="Arial" w:hAnsi="Arial" w:cs="Arial"/>
          <w:lang w:val="en-ID"/>
        </w:rPr>
      </w:pPr>
      <w:r w:rsidRPr="00082E51">
        <w:rPr>
          <w:rFonts w:ascii="Arial" w:hAnsi="Arial" w:cs="Arial"/>
          <w:lang w:val="en-ID"/>
        </w:rPr>
        <w:t xml:space="preserve">Hair </w:t>
      </w:r>
      <w:r w:rsidR="00FD3526">
        <w:rPr>
          <w:rFonts w:ascii="Arial" w:hAnsi="Arial" w:cs="Arial"/>
          <w:lang w:val="en-ID"/>
        </w:rPr>
        <w:t xml:space="preserve">follicles </w:t>
      </w:r>
      <w:r w:rsidRPr="00082E51">
        <w:rPr>
          <w:rFonts w:ascii="Arial" w:hAnsi="Arial" w:cs="Arial"/>
          <w:lang w:val="en-ID"/>
        </w:rPr>
        <w:t xml:space="preserve">density measurements at 2 cm from the midline consistently showed higher values in the DHI + PRP group compared to DHI across most observation points. Both groups demonstrated a decline in density between weeks 4 and 12, followed by recovery at week 16. </w:t>
      </w:r>
    </w:p>
    <w:p w14:paraId="0F0EBF76" w14:textId="766F569B" w:rsidR="008F15E2" w:rsidRDefault="008F15E2" w:rsidP="00FE76BD">
      <w:pPr>
        <w:pStyle w:val="Body"/>
        <w:rPr>
          <w:rFonts w:ascii="Arial" w:hAnsi="Arial" w:cs="Arial"/>
          <w:b/>
          <w:bCs/>
          <w:lang w:val="en-ID"/>
        </w:rPr>
      </w:pPr>
      <w:r w:rsidRPr="00096331">
        <w:rPr>
          <w:rFonts w:ascii="Arial" w:hAnsi="Arial" w:cs="Arial"/>
          <w:b/>
          <w:bCs/>
          <w:lang w:val="en-ID"/>
        </w:rPr>
        <w:t>Table 2. Hair follicles</w:t>
      </w:r>
      <w:r>
        <w:rPr>
          <w:rFonts w:ascii="Arial" w:hAnsi="Arial" w:cs="Arial"/>
          <w:b/>
          <w:bCs/>
          <w:lang w:val="en-ID"/>
        </w:rPr>
        <w:t xml:space="preserve"> density</w:t>
      </w:r>
      <w:r w:rsidRPr="00096331">
        <w:rPr>
          <w:rFonts w:ascii="Arial" w:hAnsi="Arial" w:cs="Arial"/>
          <w:b/>
          <w:bCs/>
          <w:lang w:val="en-ID"/>
        </w:rPr>
        <w:t xml:space="preserve"> follow</w:t>
      </w:r>
      <w:r>
        <w:rPr>
          <w:rFonts w:ascii="Arial" w:hAnsi="Arial" w:cs="Arial"/>
          <w:b/>
          <w:bCs/>
          <w:lang w:val="en-ID"/>
        </w:rPr>
        <w:t>-</w:t>
      </w:r>
      <w:r w:rsidRPr="00096331">
        <w:rPr>
          <w:rFonts w:ascii="Arial" w:hAnsi="Arial" w:cs="Arial"/>
          <w:b/>
          <w:bCs/>
          <w:lang w:val="en-ID"/>
        </w:rPr>
        <w:t>up results.</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48"/>
        <w:gridCol w:w="2597"/>
      </w:tblGrid>
      <w:tr w:rsidR="00B56120" w:rsidRPr="00FE76BD" w14:paraId="24FD001E" w14:textId="77777777" w:rsidTr="001D497E">
        <w:trPr>
          <w:jc w:val="center"/>
        </w:trPr>
        <w:tc>
          <w:tcPr>
            <w:tcW w:w="1843" w:type="dxa"/>
            <w:vMerge w:val="restart"/>
            <w:tcBorders>
              <w:top w:val="single" w:sz="4" w:space="0" w:color="auto"/>
              <w:bottom w:val="single" w:sz="4" w:space="0" w:color="auto"/>
            </w:tcBorders>
          </w:tcPr>
          <w:p w14:paraId="2730A987" w14:textId="77777777" w:rsidR="00B56120" w:rsidRPr="00FE76BD" w:rsidRDefault="00B56120" w:rsidP="001D497E">
            <w:pPr>
              <w:jc w:val="center"/>
              <w:rPr>
                <w:rFonts w:ascii="Arial" w:hAnsi="Arial" w:cs="Arial"/>
                <w:bCs/>
                <w:sz w:val="20"/>
                <w:lang w:val="id"/>
              </w:rPr>
            </w:pPr>
            <w:r w:rsidRPr="00FE76BD">
              <w:rPr>
                <w:rFonts w:ascii="Arial" w:hAnsi="Arial" w:cs="Arial"/>
                <w:bCs/>
                <w:sz w:val="20"/>
                <w:lang w:val="id"/>
              </w:rPr>
              <w:t>Follow up period</w:t>
            </w:r>
          </w:p>
        </w:tc>
        <w:tc>
          <w:tcPr>
            <w:tcW w:w="5245" w:type="dxa"/>
            <w:gridSpan w:val="2"/>
            <w:tcBorders>
              <w:top w:val="single" w:sz="4" w:space="0" w:color="auto"/>
              <w:bottom w:val="single" w:sz="4" w:space="0" w:color="auto"/>
            </w:tcBorders>
          </w:tcPr>
          <w:p w14:paraId="10E464D5" w14:textId="77777777" w:rsidR="00B56120" w:rsidRPr="00FE76BD" w:rsidRDefault="00B56120" w:rsidP="001D497E">
            <w:pPr>
              <w:jc w:val="center"/>
              <w:rPr>
                <w:rFonts w:ascii="Arial" w:hAnsi="Arial" w:cs="Arial"/>
                <w:bCs/>
                <w:sz w:val="20"/>
                <w:lang w:val="id"/>
              </w:rPr>
            </w:pPr>
            <w:r w:rsidRPr="00FE76BD">
              <w:rPr>
                <w:rFonts w:ascii="Arial" w:hAnsi="Arial" w:cs="Arial"/>
                <w:bCs/>
                <w:sz w:val="20"/>
                <w:lang w:val="id"/>
              </w:rPr>
              <w:t>Groups</w:t>
            </w:r>
          </w:p>
        </w:tc>
      </w:tr>
      <w:tr w:rsidR="00B56120" w:rsidRPr="00FE76BD" w14:paraId="7EA198CD" w14:textId="77777777" w:rsidTr="001D497E">
        <w:trPr>
          <w:jc w:val="center"/>
        </w:trPr>
        <w:tc>
          <w:tcPr>
            <w:tcW w:w="1843" w:type="dxa"/>
            <w:vMerge/>
            <w:tcBorders>
              <w:top w:val="single" w:sz="4" w:space="0" w:color="auto"/>
              <w:bottom w:val="single" w:sz="4" w:space="0" w:color="auto"/>
            </w:tcBorders>
          </w:tcPr>
          <w:p w14:paraId="18FA5658" w14:textId="77777777" w:rsidR="00B56120" w:rsidRPr="00FE76BD" w:rsidRDefault="00B56120" w:rsidP="001D497E">
            <w:pPr>
              <w:jc w:val="center"/>
              <w:rPr>
                <w:rFonts w:ascii="Arial" w:hAnsi="Arial" w:cs="Arial"/>
                <w:bCs/>
                <w:sz w:val="20"/>
                <w:lang w:val="id"/>
              </w:rPr>
            </w:pPr>
          </w:p>
        </w:tc>
        <w:tc>
          <w:tcPr>
            <w:tcW w:w="2648" w:type="dxa"/>
            <w:tcBorders>
              <w:top w:val="single" w:sz="4" w:space="0" w:color="auto"/>
              <w:bottom w:val="single" w:sz="4" w:space="0" w:color="auto"/>
            </w:tcBorders>
          </w:tcPr>
          <w:p w14:paraId="56CF2078" w14:textId="77777777" w:rsidR="00B56120" w:rsidRPr="00FE76BD" w:rsidRDefault="00B56120" w:rsidP="001D497E">
            <w:pPr>
              <w:jc w:val="center"/>
              <w:rPr>
                <w:rFonts w:ascii="Arial" w:hAnsi="Arial" w:cs="Arial"/>
                <w:bCs/>
                <w:sz w:val="20"/>
                <w:lang w:val="id"/>
              </w:rPr>
            </w:pPr>
            <w:r w:rsidRPr="00FE76BD">
              <w:rPr>
                <w:rFonts w:ascii="Arial" w:hAnsi="Arial" w:cs="Arial"/>
                <w:bCs/>
                <w:sz w:val="20"/>
                <w:lang w:val="id"/>
              </w:rPr>
              <w:t>DHI+PRP (Mean</w:t>
            </w:r>
            <w:r w:rsidRPr="00FE76BD">
              <w:rPr>
                <w:rFonts w:ascii="Arial" w:hAnsi="Arial" w:cs="Arial"/>
                <w:bCs/>
                <w:sz w:val="20"/>
                <w:u w:val="single"/>
                <w:lang w:val="id"/>
              </w:rPr>
              <w:t>+</w:t>
            </w:r>
            <w:r w:rsidRPr="00FE76BD">
              <w:rPr>
                <w:rFonts w:ascii="Arial" w:hAnsi="Arial" w:cs="Arial"/>
                <w:bCs/>
                <w:sz w:val="20"/>
                <w:lang w:val="id"/>
              </w:rPr>
              <w:t>SD)</w:t>
            </w:r>
          </w:p>
        </w:tc>
        <w:tc>
          <w:tcPr>
            <w:tcW w:w="2597" w:type="dxa"/>
            <w:tcBorders>
              <w:top w:val="single" w:sz="4" w:space="0" w:color="auto"/>
              <w:bottom w:val="single" w:sz="4" w:space="0" w:color="auto"/>
            </w:tcBorders>
          </w:tcPr>
          <w:p w14:paraId="631D85C4" w14:textId="77777777" w:rsidR="00B56120" w:rsidRPr="00FE76BD" w:rsidRDefault="00B56120" w:rsidP="001D497E">
            <w:pPr>
              <w:jc w:val="center"/>
              <w:rPr>
                <w:rFonts w:ascii="Arial" w:hAnsi="Arial" w:cs="Arial"/>
                <w:bCs/>
                <w:sz w:val="20"/>
                <w:lang w:val="id"/>
              </w:rPr>
            </w:pPr>
            <w:r w:rsidRPr="00FE76BD">
              <w:rPr>
                <w:rFonts w:ascii="Arial" w:hAnsi="Arial" w:cs="Arial"/>
                <w:bCs/>
                <w:sz w:val="20"/>
                <w:lang w:val="id"/>
              </w:rPr>
              <w:t>DHI (Mean</w:t>
            </w:r>
            <w:r w:rsidRPr="00FE76BD">
              <w:rPr>
                <w:rFonts w:ascii="Arial" w:hAnsi="Arial" w:cs="Arial"/>
                <w:bCs/>
                <w:sz w:val="20"/>
                <w:u w:val="single"/>
                <w:lang w:val="id"/>
              </w:rPr>
              <w:t>+</w:t>
            </w:r>
            <w:r w:rsidRPr="00FE76BD">
              <w:rPr>
                <w:rFonts w:ascii="Arial" w:hAnsi="Arial" w:cs="Arial"/>
                <w:bCs/>
                <w:sz w:val="20"/>
                <w:lang w:val="id"/>
              </w:rPr>
              <w:t>SD)</w:t>
            </w:r>
          </w:p>
        </w:tc>
      </w:tr>
      <w:tr w:rsidR="00B56120" w:rsidRPr="00FE76BD" w14:paraId="16F88B0D" w14:textId="77777777" w:rsidTr="001D497E">
        <w:trPr>
          <w:jc w:val="center"/>
        </w:trPr>
        <w:tc>
          <w:tcPr>
            <w:tcW w:w="7088" w:type="dxa"/>
            <w:gridSpan w:val="3"/>
          </w:tcPr>
          <w:p w14:paraId="186FE032" w14:textId="77777777" w:rsidR="00B56120" w:rsidRPr="00FE76BD" w:rsidRDefault="00B56120" w:rsidP="001D497E">
            <w:pPr>
              <w:rPr>
                <w:rFonts w:ascii="Arial" w:hAnsi="Arial" w:cs="Arial"/>
                <w:bCs/>
                <w:sz w:val="20"/>
                <w:lang w:val="id"/>
              </w:rPr>
            </w:pPr>
            <w:r w:rsidRPr="00FE76BD">
              <w:rPr>
                <w:rFonts w:ascii="Arial" w:hAnsi="Arial" w:cs="Arial"/>
                <w:bCs/>
                <w:sz w:val="20"/>
                <w:lang w:val="id"/>
              </w:rPr>
              <w:t>2 cm dari midline (n of hair follicle)</w:t>
            </w:r>
          </w:p>
        </w:tc>
      </w:tr>
      <w:tr w:rsidR="00B56120" w:rsidRPr="00FE76BD" w14:paraId="0312291F" w14:textId="77777777" w:rsidTr="001D497E">
        <w:trPr>
          <w:jc w:val="center"/>
        </w:trPr>
        <w:tc>
          <w:tcPr>
            <w:tcW w:w="1843" w:type="dxa"/>
          </w:tcPr>
          <w:p w14:paraId="57FB1DA1" w14:textId="77777777" w:rsidR="00B56120" w:rsidRPr="00FE76BD" w:rsidRDefault="00B56120" w:rsidP="001D497E">
            <w:pPr>
              <w:rPr>
                <w:rFonts w:ascii="Arial" w:hAnsi="Arial" w:cs="Arial"/>
                <w:sz w:val="20"/>
                <w:lang w:val="id"/>
              </w:rPr>
            </w:pPr>
            <w:r w:rsidRPr="00FE76BD">
              <w:rPr>
                <w:rFonts w:ascii="Arial" w:hAnsi="Arial" w:cs="Arial"/>
                <w:sz w:val="20"/>
                <w:lang w:val="id"/>
              </w:rPr>
              <w:t>Day-0</w:t>
            </w:r>
          </w:p>
        </w:tc>
        <w:tc>
          <w:tcPr>
            <w:tcW w:w="2648" w:type="dxa"/>
          </w:tcPr>
          <w:p w14:paraId="57AC9443" w14:textId="6393DF56" w:rsidR="00B56120" w:rsidRPr="00FE76BD" w:rsidRDefault="00B56120" w:rsidP="001D497E">
            <w:pPr>
              <w:jc w:val="center"/>
              <w:rPr>
                <w:rFonts w:ascii="Arial" w:hAnsi="Arial" w:cs="Arial"/>
                <w:sz w:val="20"/>
                <w:lang w:val="id"/>
              </w:rPr>
            </w:pPr>
            <w:r w:rsidRPr="00FE76BD">
              <w:rPr>
                <w:rFonts w:ascii="Arial" w:hAnsi="Arial" w:cs="Arial"/>
                <w:sz w:val="20"/>
                <w:lang w:val="id"/>
              </w:rPr>
              <w:t>31</w:t>
            </w:r>
            <w:r w:rsidR="001B3803">
              <w:rPr>
                <w:rFonts w:ascii="Arial" w:hAnsi="Arial" w:cs="Arial"/>
                <w:sz w:val="20"/>
                <w:lang w:val="id"/>
              </w:rPr>
              <w:t>.</w:t>
            </w:r>
            <w:r w:rsidRPr="00FE76BD">
              <w:rPr>
                <w:rFonts w:ascii="Arial" w:hAnsi="Arial" w:cs="Arial"/>
                <w:sz w:val="20"/>
                <w:lang w:val="id"/>
              </w:rPr>
              <w:t xml:space="preserve">29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11</w:t>
            </w:r>
          </w:p>
        </w:tc>
        <w:tc>
          <w:tcPr>
            <w:tcW w:w="2597" w:type="dxa"/>
          </w:tcPr>
          <w:p w14:paraId="12C0A1F7" w14:textId="5C3218F7" w:rsidR="00B56120" w:rsidRPr="00FE76BD" w:rsidRDefault="00B56120" w:rsidP="001D497E">
            <w:pPr>
              <w:jc w:val="center"/>
              <w:rPr>
                <w:rFonts w:ascii="Arial" w:hAnsi="Arial" w:cs="Arial"/>
                <w:sz w:val="20"/>
                <w:lang w:val="id"/>
              </w:rPr>
            </w:pPr>
            <w:r w:rsidRPr="00FE76BD">
              <w:rPr>
                <w:rFonts w:ascii="Arial" w:hAnsi="Arial" w:cs="Arial"/>
                <w:sz w:val="20"/>
                <w:lang w:val="id"/>
              </w:rPr>
              <w:t>32</w:t>
            </w:r>
            <w:r w:rsidR="001B3803">
              <w:rPr>
                <w:rFonts w:ascii="Arial" w:hAnsi="Arial" w:cs="Arial"/>
                <w:sz w:val="20"/>
                <w:lang w:val="id"/>
              </w:rPr>
              <w:t>.</w:t>
            </w:r>
            <w:r w:rsidRPr="00FE76BD">
              <w:rPr>
                <w:rFonts w:ascii="Arial" w:hAnsi="Arial" w:cs="Arial"/>
                <w:sz w:val="20"/>
                <w:lang w:val="id"/>
              </w:rPr>
              <w:t xml:space="preserve">14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34</w:t>
            </w:r>
          </w:p>
        </w:tc>
      </w:tr>
      <w:tr w:rsidR="00B56120" w:rsidRPr="00FE76BD" w14:paraId="3CC836BA" w14:textId="77777777" w:rsidTr="001D497E">
        <w:trPr>
          <w:jc w:val="center"/>
        </w:trPr>
        <w:tc>
          <w:tcPr>
            <w:tcW w:w="1843" w:type="dxa"/>
          </w:tcPr>
          <w:p w14:paraId="6AC03A10" w14:textId="77777777" w:rsidR="00B56120" w:rsidRPr="00FE76BD" w:rsidRDefault="00B56120" w:rsidP="001D497E">
            <w:pPr>
              <w:rPr>
                <w:rFonts w:ascii="Arial" w:hAnsi="Arial" w:cs="Arial"/>
                <w:sz w:val="20"/>
                <w:lang w:val="id"/>
              </w:rPr>
            </w:pPr>
            <w:r w:rsidRPr="00FE76BD">
              <w:rPr>
                <w:rFonts w:ascii="Arial" w:hAnsi="Arial" w:cs="Arial"/>
                <w:sz w:val="20"/>
                <w:lang w:val="id"/>
              </w:rPr>
              <w:t>Week-4</w:t>
            </w:r>
          </w:p>
        </w:tc>
        <w:tc>
          <w:tcPr>
            <w:tcW w:w="2648" w:type="dxa"/>
          </w:tcPr>
          <w:p w14:paraId="6B8073AB" w14:textId="100BC79E" w:rsidR="00B56120" w:rsidRPr="00FE76BD" w:rsidRDefault="00B56120" w:rsidP="001D497E">
            <w:pPr>
              <w:jc w:val="center"/>
              <w:rPr>
                <w:rFonts w:ascii="Arial" w:hAnsi="Arial" w:cs="Arial"/>
                <w:sz w:val="20"/>
                <w:lang w:val="id"/>
              </w:rPr>
            </w:pPr>
            <w:r w:rsidRPr="00FE76BD">
              <w:rPr>
                <w:rFonts w:ascii="Arial" w:hAnsi="Arial" w:cs="Arial"/>
                <w:sz w:val="20"/>
                <w:lang w:val="id"/>
              </w:rPr>
              <w:t>29</w:t>
            </w:r>
            <w:r w:rsidR="001B3803">
              <w:rPr>
                <w:rFonts w:ascii="Arial" w:hAnsi="Arial" w:cs="Arial"/>
                <w:sz w:val="20"/>
                <w:lang w:val="id"/>
              </w:rPr>
              <w:t>.</w:t>
            </w:r>
            <w:r w:rsidRPr="00FE76BD">
              <w:rPr>
                <w:rFonts w:ascii="Arial" w:hAnsi="Arial" w:cs="Arial"/>
                <w:sz w:val="20"/>
                <w:lang w:val="id"/>
              </w:rPr>
              <w:t xml:space="preserve">14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07</w:t>
            </w:r>
          </w:p>
        </w:tc>
        <w:tc>
          <w:tcPr>
            <w:tcW w:w="2597" w:type="dxa"/>
          </w:tcPr>
          <w:p w14:paraId="39E261A1" w14:textId="59993F83" w:rsidR="00B56120" w:rsidRPr="00FE76BD" w:rsidRDefault="00B56120" w:rsidP="001D497E">
            <w:pPr>
              <w:jc w:val="center"/>
              <w:rPr>
                <w:rFonts w:ascii="Arial" w:hAnsi="Arial" w:cs="Arial"/>
                <w:sz w:val="20"/>
                <w:lang w:val="id"/>
              </w:rPr>
            </w:pPr>
            <w:r w:rsidRPr="00FE76BD">
              <w:rPr>
                <w:rFonts w:ascii="Arial" w:hAnsi="Arial" w:cs="Arial"/>
                <w:sz w:val="20"/>
                <w:lang w:val="id"/>
              </w:rPr>
              <w:t>28</w:t>
            </w:r>
            <w:r w:rsidR="001B3803">
              <w:rPr>
                <w:rFonts w:ascii="Arial" w:hAnsi="Arial" w:cs="Arial"/>
                <w:sz w:val="20"/>
                <w:lang w:val="id"/>
              </w:rPr>
              <w:t>.</w:t>
            </w:r>
            <w:r w:rsidRPr="00FE76BD">
              <w:rPr>
                <w:rFonts w:ascii="Arial" w:hAnsi="Arial" w:cs="Arial"/>
                <w:sz w:val="20"/>
                <w:lang w:val="id"/>
              </w:rPr>
              <w:t xml:space="preserve">71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38</w:t>
            </w:r>
          </w:p>
        </w:tc>
      </w:tr>
      <w:tr w:rsidR="00B56120" w:rsidRPr="00FE76BD" w14:paraId="0D858B54" w14:textId="77777777" w:rsidTr="001D497E">
        <w:trPr>
          <w:jc w:val="center"/>
        </w:trPr>
        <w:tc>
          <w:tcPr>
            <w:tcW w:w="1843" w:type="dxa"/>
          </w:tcPr>
          <w:p w14:paraId="67E86438" w14:textId="77777777" w:rsidR="00B56120" w:rsidRPr="00FE76BD" w:rsidRDefault="00B56120" w:rsidP="001D497E">
            <w:pPr>
              <w:rPr>
                <w:rFonts w:ascii="Arial" w:hAnsi="Arial" w:cs="Arial"/>
                <w:sz w:val="20"/>
                <w:lang w:val="id"/>
              </w:rPr>
            </w:pPr>
            <w:r w:rsidRPr="00FE76BD">
              <w:rPr>
                <w:rFonts w:ascii="Arial" w:hAnsi="Arial" w:cs="Arial"/>
                <w:sz w:val="20"/>
                <w:lang w:val="id"/>
              </w:rPr>
              <w:t>Week-12</w:t>
            </w:r>
          </w:p>
        </w:tc>
        <w:tc>
          <w:tcPr>
            <w:tcW w:w="2648" w:type="dxa"/>
          </w:tcPr>
          <w:p w14:paraId="5959B2B3" w14:textId="1115948F" w:rsidR="00B56120" w:rsidRPr="00FE76BD" w:rsidRDefault="00B56120" w:rsidP="001D497E">
            <w:pPr>
              <w:jc w:val="center"/>
              <w:rPr>
                <w:rFonts w:ascii="Arial" w:hAnsi="Arial" w:cs="Arial"/>
                <w:sz w:val="20"/>
                <w:lang w:val="id"/>
              </w:rPr>
            </w:pPr>
            <w:r w:rsidRPr="00FE76BD">
              <w:rPr>
                <w:rFonts w:ascii="Arial" w:hAnsi="Arial" w:cs="Arial"/>
                <w:sz w:val="20"/>
                <w:lang w:val="id"/>
              </w:rPr>
              <w:t>26</w:t>
            </w:r>
            <w:r w:rsidR="001B3803">
              <w:rPr>
                <w:rFonts w:ascii="Arial" w:hAnsi="Arial" w:cs="Arial"/>
                <w:sz w:val="20"/>
                <w:lang w:val="id"/>
              </w:rPr>
              <w:t>.</w:t>
            </w:r>
            <w:r w:rsidRPr="00FE76BD">
              <w:rPr>
                <w:rFonts w:ascii="Arial" w:hAnsi="Arial" w:cs="Arial"/>
                <w:sz w:val="20"/>
                <w:lang w:val="id"/>
              </w:rPr>
              <w:t xml:space="preserve">29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50</w:t>
            </w:r>
          </w:p>
        </w:tc>
        <w:tc>
          <w:tcPr>
            <w:tcW w:w="2597" w:type="dxa"/>
          </w:tcPr>
          <w:p w14:paraId="61296E9E" w14:textId="0F6FDC9D" w:rsidR="00B56120" w:rsidRPr="00FE76BD" w:rsidRDefault="00B56120" w:rsidP="001D497E">
            <w:pPr>
              <w:jc w:val="center"/>
              <w:rPr>
                <w:rFonts w:ascii="Arial" w:hAnsi="Arial" w:cs="Arial"/>
                <w:sz w:val="20"/>
                <w:lang w:val="id"/>
              </w:rPr>
            </w:pPr>
            <w:r w:rsidRPr="00FE76BD">
              <w:rPr>
                <w:rFonts w:ascii="Arial" w:hAnsi="Arial" w:cs="Arial"/>
                <w:sz w:val="20"/>
                <w:lang w:val="id"/>
              </w:rPr>
              <w:t>24</w:t>
            </w:r>
            <w:r w:rsidR="001B3803">
              <w:rPr>
                <w:rFonts w:ascii="Arial" w:hAnsi="Arial" w:cs="Arial"/>
                <w:sz w:val="20"/>
                <w:lang w:val="id"/>
              </w:rPr>
              <w:t>.</w:t>
            </w:r>
            <w:r w:rsidRPr="00FE76BD">
              <w:rPr>
                <w:rFonts w:ascii="Arial" w:hAnsi="Arial" w:cs="Arial"/>
                <w:sz w:val="20"/>
                <w:lang w:val="id"/>
              </w:rPr>
              <w:t xml:space="preserve">43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40</w:t>
            </w:r>
          </w:p>
        </w:tc>
      </w:tr>
      <w:tr w:rsidR="00B56120" w:rsidRPr="00FE76BD" w14:paraId="3BF141DF" w14:textId="77777777" w:rsidTr="001D497E">
        <w:trPr>
          <w:jc w:val="center"/>
        </w:trPr>
        <w:tc>
          <w:tcPr>
            <w:tcW w:w="1843" w:type="dxa"/>
            <w:tcBorders>
              <w:bottom w:val="single" w:sz="4" w:space="0" w:color="auto"/>
            </w:tcBorders>
          </w:tcPr>
          <w:p w14:paraId="573EC685" w14:textId="77777777" w:rsidR="00B56120" w:rsidRPr="00FE76BD" w:rsidRDefault="00B56120" w:rsidP="001D497E">
            <w:pPr>
              <w:rPr>
                <w:rFonts w:ascii="Arial" w:hAnsi="Arial" w:cs="Arial"/>
                <w:sz w:val="20"/>
                <w:lang w:val="id"/>
              </w:rPr>
            </w:pPr>
            <w:r w:rsidRPr="00FE76BD">
              <w:rPr>
                <w:rFonts w:ascii="Arial" w:hAnsi="Arial" w:cs="Arial"/>
                <w:sz w:val="20"/>
                <w:lang w:val="id"/>
              </w:rPr>
              <w:t>Week-16</w:t>
            </w:r>
          </w:p>
        </w:tc>
        <w:tc>
          <w:tcPr>
            <w:tcW w:w="2648" w:type="dxa"/>
            <w:tcBorders>
              <w:bottom w:val="single" w:sz="4" w:space="0" w:color="auto"/>
            </w:tcBorders>
          </w:tcPr>
          <w:p w14:paraId="1E52AE37" w14:textId="3ABF0838" w:rsidR="00B56120" w:rsidRPr="00FE76BD" w:rsidRDefault="00B56120" w:rsidP="001D497E">
            <w:pPr>
              <w:jc w:val="center"/>
              <w:rPr>
                <w:rFonts w:ascii="Arial" w:hAnsi="Arial" w:cs="Arial"/>
                <w:sz w:val="20"/>
                <w:lang w:val="id"/>
              </w:rPr>
            </w:pPr>
            <w:r w:rsidRPr="00FE76BD">
              <w:rPr>
                <w:rFonts w:ascii="Arial" w:hAnsi="Arial" w:cs="Arial"/>
                <w:sz w:val="20"/>
                <w:lang w:val="id"/>
              </w:rPr>
              <w:t>29</w:t>
            </w:r>
            <w:r w:rsidR="001B3803">
              <w:rPr>
                <w:rFonts w:ascii="Arial" w:hAnsi="Arial" w:cs="Arial"/>
                <w:sz w:val="20"/>
                <w:lang w:val="id"/>
              </w:rPr>
              <w:t>.</w:t>
            </w:r>
            <w:r w:rsidRPr="00FE76BD">
              <w:rPr>
                <w:rFonts w:ascii="Arial" w:hAnsi="Arial" w:cs="Arial"/>
                <w:sz w:val="20"/>
                <w:lang w:val="id"/>
              </w:rPr>
              <w:t xml:space="preserve">00 </w:t>
            </w:r>
            <w:r w:rsidRPr="00FE76BD">
              <w:rPr>
                <w:rFonts w:ascii="Arial" w:hAnsi="Arial" w:cs="Arial"/>
                <w:sz w:val="20"/>
                <w:u w:val="single"/>
                <w:lang w:val="id"/>
              </w:rPr>
              <w:t>+</w:t>
            </w:r>
            <w:r w:rsidRPr="00FE76BD">
              <w:rPr>
                <w:rFonts w:ascii="Arial" w:hAnsi="Arial" w:cs="Arial"/>
                <w:sz w:val="20"/>
                <w:lang w:val="id"/>
              </w:rPr>
              <w:t xml:space="preserve"> 0</w:t>
            </w:r>
            <w:r w:rsidR="001B3803">
              <w:rPr>
                <w:rFonts w:ascii="Arial" w:hAnsi="Arial" w:cs="Arial"/>
                <w:sz w:val="20"/>
                <w:lang w:val="id"/>
              </w:rPr>
              <w:t>.</w:t>
            </w:r>
            <w:r w:rsidRPr="00FE76BD">
              <w:rPr>
                <w:rFonts w:ascii="Arial" w:hAnsi="Arial" w:cs="Arial"/>
                <w:sz w:val="20"/>
                <w:lang w:val="id"/>
              </w:rPr>
              <w:t>82</w:t>
            </w:r>
          </w:p>
        </w:tc>
        <w:tc>
          <w:tcPr>
            <w:tcW w:w="2597" w:type="dxa"/>
            <w:tcBorders>
              <w:bottom w:val="single" w:sz="4" w:space="0" w:color="auto"/>
            </w:tcBorders>
          </w:tcPr>
          <w:p w14:paraId="64F23BE9" w14:textId="6DEC27A9" w:rsidR="00B56120" w:rsidRPr="00FE76BD" w:rsidRDefault="00B56120" w:rsidP="001D497E">
            <w:pPr>
              <w:jc w:val="center"/>
              <w:rPr>
                <w:rFonts w:ascii="Arial" w:hAnsi="Arial" w:cs="Arial"/>
                <w:sz w:val="20"/>
                <w:lang w:val="id"/>
              </w:rPr>
            </w:pPr>
            <w:r w:rsidRPr="00FE76BD">
              <w:rPr>
                <w:rFonts w:ascii="Arial" w:hAnsi="Arial" w:cs="Arial"/>
                <w:sz w:val="20"/>
                <w:lang w:val="id"/>
              </w:rPr>
              <w:t>26</w:t>
            </w:r>
            <w:r w:rsidR="001B3803">
              <w:rPr>
                <w:rFonts w:ascii="Arial" w:hAnsi="Arial" w:cs="Arial"/>
                <w:sz w:val="20"/>
                <w:lang w:val="id"/>
              </w:rPr>
              <w:t>.</w:t>
            </w:r>
            <w:r w:rsidRPr="00FE76BD">
              <w:rPr>
                <w:rFonts w:ascii="Arial" w:hAnsi="Arial" w:cs="Arial"/>
                <w:sz w:val="20"/>
                <w:lang w:val="id"/>
              </w:rPr>
              <w:t xml:space="preserve">29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38</w:t>
            </w:r>
          </w:p>
        </w:tc>
      </w:tr>
      <w:tr w:rsidR="00B56120" w:rsidRPr="00FE76BD" w14:paraId="038BF03F" w14:textId="77777777" w:rsidTr="001D497E">
        <w:trPr>
          <w:jc w:val="center"/>
        </w:trPr>
        <w:tc>
          <w:tcPr>
            <w:tcW w:w="7088" w:type="dxa"/>
            <w:gridSpan w:val="3"/>
            <w:tcBorders>
              <w:top w:val="single" w:sz="4" w:space="0" w:color="auto"/>
            </w:tcBorders>
          </w:tcPr>
          <w:p w14:paraId="3178D4E4" w14:textId="77777777" w:rsidR="00B56120" w:rsidRPr="00FE76BD" w:rsidRDefault="00B56120" w:rsidP="001D497E">
            <w:pPr>
              <w:rPr>
                <w:rFonts w:ascii="Arial" w:hAnsi="Arial" w:cs="Arial"/>
                <w:bCs/>
                <w:sz w:val="20"/>
                <w:lang w:val="id"/>
              </w:rPr>
            </w:pPr>
            <w:r w:rsidRPr="00FE76BD">
              <w:rPr>
                <w:rFonts w:ascii="Arial" w:hAnsi="Arial" w:cs="Arial"/>
                <w:bCs/>
                <w:sz w:val="20"/>
                <w:lang w:val="id"/>
              </w:rPr>
              <w:t>4 cm dari midline (n of hair follicle)</w:t>
            </w:r>
          </w:p>
        </w:tc>
      </w:tr>
      <w:tr w:rsidR="00B56120" w:rsidRPr="00FE76BD" w14:paraId="5F31ED02" w14:textId="77777777" w:rsidTr="001D497E">
        <w:trPr>
          <w:jc w:val="center"/>
        </w:trPr>
        <w:tc>
          <w:tcPr>
            <w:tcW w:w="1843" w:type="dxa"/>
          </w:tcPr>
          <w:p w14:paraId="2A8C43F4" w14:textId="77777777" w:rsidR="00B56120" w:rsidRPr="00FE76BD" w:rsidRDefault="00B56120" w:rsidP="001D497E">
            <w:pPr>
              <w:rPr>
                <w:rFonts w:ascii="Arial" w:hAnsi="Arial" w:cs="Arial"/>
                <w:sz w:val="20"/>
                <w:lang w:val="id"/>
              </w:rPr>
            </w:pPr>
            <w:r w:rsidRPr="00FE76BD">
              <w:rPr>
                <w:rFonts w:ascii="Arial" w:hAnsi="Arial" w:cs="Arial"/>
                <w:sz w:val="20"/>
                <w:lang w:val="id"/>
              </w:rPr>
              <w:t>Day-0</w:t>
            </w:r>
          </w:p>
        </w:tc>
        <w:tc>
          <w:tcPr>
            <w:tcW w:w="2648" w:type="dxa"/>
          </w:tcPr>
          <w:p w14:paraId="6217C1C7" w14:textId="14D9A371" w:rsidR="00B56120" w:rsidRPr="00FE76BD" w:rsidRDefault="00B56120" w:rsidP="001D497E">
            <w:pPr>
              <w:jc w:val="center"/>
              <w:rPr>
                <w:rFonts w:ascii="Arial" w:hAnsi="Arial" w:cs="Arial"/>
                <w:sz w:val="20"/>
                <w:lang w:val="id"/>
              </w:rPr>
            </w:pPr>
            <w:r w:rsidRPr="00FE76BD">
              <w:rPr>
                <w:rFonts w:ascii="Arial" w:hAnsi="Arial" w:cs="Arial"/>
                <w:sz w:val="20"/>
                <w:lang w:val="id"/>
              </w:rPr>
              <w:t>31</w:t>
            </w:r>
            <w:r w:rsidR="001B3803">
              <w:rPr>
                <w:rFonts w:ascii="Arial" w:hAnsi="Arial" w:cs="Arial"/>
                <w:sz w:val="20"/>
                <w:lang w:val="id"/>
              </w:rPr>
              <w:t>.</w:t>
            </w:r>
            <w:r w:rsidRPr="00FE76BD">
              <w:rPr>
                <w:rFonts w:ascii="Arial" w:hAnsi="Arial" w:cs="Arial"/>
                <w:sz w:val="20"/>
                <w:lang w:val="id"/>
              </w:rPr>
              <w:t xml:space="preserve">57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51</w:t>
            </w:r>
          </w:p>
        </w:tc>
        <w:tc>
          <w:tcPr>
            <w:tcW w:w="2597" w:type="dxa"/>
          </w:tcPr>
          <w:p w14:paraId="4471DCD7" w14:textId="676F95A1" w:rsidR="00B56120" w:rsidRPr="00FE76BD" w:rsidRDefault="00B56120" w:rsidP="001D497E">
            <w:pPr>
              <w:jc w:val="center"/>
              <w:rPr>
                <w:rFonts w:ascii="Arial" w:hAnsi="Arial" w:cs="Arial"/>
                <w:sz w:val="20"/>
                <w:lang w:val="id"/>
              </w:rPr>
            </w:pPr>
            <w:r w:rsidRPr="00FE76BD">
              <w:rPr>
                <w:rFonts w:ascii="Arial" w:hAnsi="Arial" w:cs="Arial"/>
                <w:sz w:val="20"/>
                <w:lang w:val="id"/>
              </w:rPr>
              <w:t>32</w:t>
            </w:r>
            <w:r w:rsidR="001B3803">
              <w:rPr>
                <w:rFonts w:ascii="Arial" w:hAnsi="Arial" w:cs="Arial"/>
                <w:sz w:val="20"/>
                <w:lang w:val="id"/>
              </w:rPr>
              <w:t>.</w:t>
            </w:r>
            <w:r w:rsidRPr="00FE76BD">
              <w:rPr>
                <w:rFonts w:ascii="Arial" w:hAnsi="Arial" w:cs="Arial"/>
                <w:sz w:val="20"/>
                <w:lang w:val="id"/>
              </w:rPr>
              <w:t xml:space="preserve">43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51</w:t>
            </w:r>
          </w:p>
        </w:tc>
      </w:tr>
      <w:tr w:rsidR="00B56120" w:rsidRPr="00FE76BD" w14:paraId="0292DDE1" w14:textId="77777777" w:rsidTr="001D497E">
        <w:trPr>
          <w:jc w:val="center"/>
        </w:trPr>
        <w:tc>
          <w:tcPr>
            <w:tcW w:w="1843" w:type="dxa"/>
          </w:tcPr>
          <w:p w14:paraId="195E5BD1" w14:textId="77777777" w:rsidR="00B56120" w:rsidRPr="00FE76BD" w:rsidRDefault="00B56120" w:rsidP="001D497E">
            <w:pPr>
              <w:rPr>
                <w:rFonts w:ascii="Arial" w:hAnsi="Arial" w:cs="Arial"/>
                <w:sz w:val="20"/>
                <w:lang w:val="id"/>
              </w:rPr>
            </w:pPr>
            <w:r w:rsidRPr="00FE76BD">
              <w:rPr>
                <w:rFonts w:ascii="Arial" w:hAnsi="Arial" w:cs="Arial"/>
                <w:sz w:val="20"/>
                <w:lang w:val="id"/>
              </w:rPr>
              <w:t>Week-4</w:t>
            </w:r>
          </w:p>
        </w:tc>
        <w:tc>
          <w:tcPr>
            <w:tcW w:w="2648" w:type="dxa"/>
          </w:tcPr>
          <w:p w14:paraId="53F51E97" w14:textId="46D7BD6C" w:rsidR="00B56120" w:rsidRPr="00FE76BD" w:rsidRDefault="00B56120" w:rsidP="001D497E">
            <w:pPr>
              <w:jc w:val="center"/>
              <w:rPr>
                <w:rFonts w:ascii="Arial" w:hAnsi="Arial" w:cs="Arial"/>
                <w:sz w:val="20"/>
                <w:lang w:val="id"/>
              </w:rPr>
            </w:pPr>
            <w:r w:rsidRPr="00FE76BD">
              <w:rPr>
                <w:rFonts w:ascii="Arial" w:hAnsi="Arial" w:cs="Arial"/>
                <w:sz w:val="20"/>
                <w:lang w:val="id"/>
              </w:rPr>
              <w:t>30</w:t>
            </w:r>
            <w:r w:rsidR="001B3803">
              <w:rPr>
                <w:rFonts w:ascii="Arial" w:hAnsi="Arial" w:cs="Arial"/>
                <w:sz w:val="20"/>
                <w:lang w:val="id"/>
              </w:rPr>
              <w:t>.</w:t>
            </w:r>
            <w:r w:rsidRPr="00FE76BD">
              <w:rPr>
                <w:rFonts w:ascii="Arial" w:hAnsi="Arial" w:cs="Arial"/>
                <w:sz w:val="20"/>
                <w:lang w:val="id"/>
              </w:rPr>
              <w:t xml:space="preserve">14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07</w:t>
            </w:r>
          </w:p>
        </w:tc>
        <w:tc>
          <w:tcPr>
            <w:tcW w:w="2597" w:type="dxa"/>
          </w:tcPr>
          <w:p w14:paraId="7DA37380" w14:textId="171AFEC8" w:rsidR="00B56120" w:rsidRPr="00FE76BD" w:rsidRDefault="00B56120" w:rsidP="001D497E">
            <w:pPr>
              <w:jc w:val="center"/>
              <w:rPr>
                <w:rFonts w:ascii="Arial" w:hAnsi="Arial" w:cs="Arial"/>
                <w:sz w:val="20"/>
                <w:lang w:val="id"/>
              </w:rPr>
            </w:pPr>
            <w:r w:rsidRPr="00FE76BD">
              <w:rPr>
                <w:rFonts w:ascii="Arial" w:hAnsi="Arial" w:cs="Arial"/>
                <w:sz w:val="20"/>
                <w:lang w:val="id"/>
              </w:rPr>
              <w:t>27</w:t>
            </w:r>
            <w:r w:rsidR="001B3803">
              <w:rPr>
                <w:rFonts w:ascii="Arial" w:hAnsi="Arial" w:cs="Arial"/>
                <w:sz w:val="20"/>
                <w:lang w:val="id"/>
              </w:rPr>
              <w:t>.</w:t>
            </w:r>
            <w:r w:rsidRPr="00FE76BD">
              <w:rPr>
                <w:rFonts w:ascii="Arial" w:hAnsi="Arial" w:cs="Arial"/>
                <w:sz w:val="20"/>
                <w:lang w:val="id"/>
              </w:rPr>
              <w:t xml:space="preserve">43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72</w:t>
            </w:r>
          </w:p>
        </w:tc>
      </w:tr>
      <w:tr w:rsidR="00B56120" w:rsidRPr="00FE76BD" w14:paraId="169D93D0" w14:textId="77777777" w:rsidTr="001D497E">
        <w:trPr>
          <w:jc w:val="center"/>
        </w:trPr>
        <w:tc>
          <w:tcPr>
            <w:tcW w:w="1843" w:type="dxa"/>
          </w:tcPr>
          <w:p w14:paraId="5756B543" w14:textId="77777777" w:rsidR="00B56120" w:rsidRPr="00FE76BD" w:rsidRDefault="00B56120" w:rsidP="001D497E">
            <w:pPr>
              <w:rPr>
                <w:rFonts w:ascii="Arial" w:hAnsi="Arial" w:cs="Arial"/>
                <w:sz w:val="20"/>
                <w:lang w:val="id"/>
              </w:rPr>
            </w:pPr>
            <w:r w:rsidRPr="00FE76BD">
              <w:rPr>
                <w:rFonts w:ascii="Arial" w:hAnsi="Arial" w:cs="Arial"/>
                <w:sz w:val="20"/>
                <w:lang w:val="id"/>
              </w:rPr>
              <w:t>Week-12</w:t>
            </w:r>
          </w:p>
        </w:tc>
        <w:tc>
          <w:tcPr>
            <w:tcW w:w="2648" w:type="dxa"/>
          </w:tcPr>
          <w:p w14:paraId="3474B1D8" w14:textId="171F5D4F" w:rsidR="00B56120" w:rsidRPr="00FE76BD" w:rsidRDefault="00B56120" w:rsidP="001D497E">
            <w:pPr>
              <w:jc w:val="center"/>
              <w:rPr>
                <w:rFonts w:ascii="Arial" w:hAnsi="Arial" w:cs="Arial"/>
                <w:sz w:val="20"/>
                <w:lang w:val="id"/>
              </w:rPr>
            </w:pPr>
            <w:r w:rsidRPr="00FE76BD">
              <w:rPr>
                <w:rFonts w:ascii="Arial" w:hAnsi="Arial" w:cs="Arial"/>
                <w:sz w:val="20"/>
                <w:lang w:val="id"/>
              </w:rPr>
              <w:t>27</w:t>
            </w:r>
            <w:r w:rsidR="001B3803">
              <w:rPr>
                <w:rFonts w:ascii="Arial" w:hAnsi="Arial" w:cs="Arial"/>
                <w:sz w:val="20"/>
                <w:lang w:val="id"/>
              </w:rPr>
              <w:t>.</w:t>
            </w:r>
            <w:r w:rsidRPr="00FE76BD">
              <w:rPr>
                <w:rFonts w:ascii="Arial" w:hAnsi="Arial" w:cs="Arial"/>
                <w:sz w:val="20"/>
                <w:lang w:val="id"/>
              </w:rPr>
              <w:t xml:space="preserve">29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50</w:t>
            </w:r>
          </w:p>
        </w:tc>
        <w:tc>
          <w:tcPr>
            <w:tcW w:w="2597" w:type="dxa"/>
          </w:tcPr>
          <w:p w14:paraId="7BD78887" w14:textId="2AE33B5D" w:rsidR="00B56120" w:rsidRPr="00FE76BD" w:rsidRDefault="00B56120" w:rsidP="001D497E">
            <w:pPr>
              <w:jc w:val="center"/>
              <w:rPr>
                <w:rFonts w:ascii="Arial" w:hAnsi="Arial" w:cs="Arial"/>
                <w:sz w:val="20"/>
                <w:lang w:val="id"/>
              </w:rPr>
            </w:pPr>
            <w:r w:rsidRPr="00FE76BD">
              <w:rPr>
                <w:rFonts w:ascii="Arial" w:hAnsi="Arial" w:cs="Arial"/>
                <w:sz w:val="20"/>
                <w:lang w:val="id"/>
              </w:rPr>
              <w:t>24</w:t>
            </w:r>
            <w:r w:rsidR="001B3803">
              <w:rPr>
                <w:rFonts w:ascii="Arial" w:hAnsi="Arial" w:cs="Arial"/>
                <w:sz w:val="20"/>
                <w:lang w:val="id"/>
              </w:rPr>
              <w:t>.</w:t>
            </w:r>
            <w:r w:rsidRPr="00FE76BD">
              <w:rPr>
                <w:rFonts w:ascii="Arial" w:hAnsi="Arial" w:cs="Arial"/>
                <w:sz w:val="20"/>
                <w:lang w:val="id"/>
              </w:rPr>
              <w:t xml:space="preserve">00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53</w:t>
            </w:r>
          </w:p>
        </w:tc>
      </w:tr>
      <w:tr w:rsidR="00B56120" w:rsidRPr="00FE76BD" w14:paraId="20F3F053" w14:textId="77777777" w:rsidTr="001D497E">
        <w:trPr>
          <w:jc w:val="center"/>
        </w:trPr>
        <w:tc>
          <w:tcPr>
            <w:tcW w:w="1843" w:type="dxa"/>
            <w:tcBorders>
              <w:bottom w:val="single" w:sz="4" w:space="0" w:color="auto"/>
            </w:tcBorders>
          </w:tcPr>
          <w:p w14:paraId="363C5447" w14:textId="77777777" w:rsidR="00B56120" w:rsidRPr="00FE76BD" w:rsidRDefault="00B56120" w:rsidP="001D497E">
            <w:pPr>
              <w:rPr>
                <w:rFonts w:ascii="Arial" w:hAnsi="Arial" w:cs="Arial"/>
                <w:sz w:val="20"/>
                <w:lang w:val="id"/>
              </w:rPr>
            </w:pPr>
            <w:r w:rsidRPr="00FE76BD">
              <w:rPr>
                <w:rFonts w:ascii="Arial" w:hAnsi="Arial" w:cs="Arial"/>
                <w:sz w:val="20"/>
                <w:lang w:val="id"/>
              </w:rPr>
              <w:t>Week-16</w:t>
            </w:r>
          </w:p>
        </w:tc>
        <w:tc>
          <w:tcPr>
            <w:tcW w:w="2648" w:type="dxa"/>
            <w:tcBorders>
              <w:bottom w:val="single" w:sz="4" w:space="0" w:color="auto"/>
            </w:tcBorders>
          </w:tcPr>
          <w:p w14:paraId="4379E6BC" w14:textId="06B130EC" w:rsidR="00B56120" w:rsidRPr="00FE76BD" w:rsidRDefault="00B56120" w:rsidP="001D497E">
            <w:pPr>
              <w:jc w:val="center"/>
              <w:rPr>
                <w:rFonts w:ascii="Arial" w:hAnsi="Arial" w:cs="Arial"/>
                <w:sz w:val="20"/>
                <w:lang w:val="id"/>
              </w:rPr>
            </w:pPr>
            <w:r w:rsidRPr="00FE76BD">
              <w:rPr>
                <w:rFonts w:ascii="Arial" w:hAnsi="Arial" w:cs="Arial"/>
                <w:sz w:val="20"/>
                <w:lang w:val="id"/>
              </w:rPr>
              <w:t>29</w:t>
            </w:r>
            <w:r w:rsidR="001B3803">
              <w:rPr>
                <w:rFonts w:ascii="Arial" w:hAnsi="Arial" w:cs="Arial"/>
                <w:sz w:val="20"/>
                <w:lang w:val="id"/>
              </w:rPr>
              <w:t>.</w:t>
            </w:r>
            <w:r w:rsidRPr="00FE76BD">
              <w:rPr>
                <w:rFonts w:ascii="Arial" w:hAnsi="Arial" w:cs="Arial"/>
                <w:sz w:val="20"/>
                <w:lang w:val="id"/>
              </w:rPr>
              <w:t xml:space="preserve">86 </w:t>
            </w:r>
            <w:r w:rsidRPr="00FE76BD">
              <w:rPr>
                <w:rFonts w:ascii="Arial" w:hAnsi="Arial" w:cs="Arial"/>
                <w:sz w:val="20"/>
                <w:u w:val="single"/>
                <w:lang w:val="id"/>
              </w:rPr>
              <w:t>+</w:t>
            </w:r>
            <w:r w:rsidRPr="00FE76BD">
              <w:rPr>
                <w:rFonts w:ascii="Arial" w:hAnsi="Arial" w:cs="Arial"/>
                <w:sz w:val="20"/>
                <w:lang w:val="id"/>
              </w:rPr>
              <w:t xml:space="preserve"> 0</w:t>
            </w:r>
            <w:r w:rsidR="001B3803">
              <w:rPr>
                <w:rFonts w:ascii="Arial" w:hAnsi="Arial" w:cs="Arial"/>
                <w:sz w:val="20"/>
                <w:lang w:val="id"/>
              </w:rPr>
              <w:t>.</w:t>
            </w:r>
            <w:r w:rsidRPr="00FE76BD">
              <w:rPr>
                <w:rFonts w:ascii="Arial" w:hAnsi="Arial" w:cs="Arial"/>
                <w:sz w:val="20"/>
                <w:lang w:val="id"/>
              </w:rPr>
              <w:t>69</w:t>
            </w:r>
          </w:p>
        </w:tc>
        <w:tc>
          <w:tcPr>
            <w:tcW w:w="2597" w:type="dxa"/>
            <w:tcBorders>
              <w:bottom w:val="single" w:sz="4" w:space="0" w:color="auto"/>
            </w:tcBorders>
          </w:tcPr>
          <w:p w14:paraId="369583F4" w14:textId="68A75732" w:rsidR="00B56120" w:rsidRPr="00FE76BD" w:rsidRDefault="00B56120" w:rsidP="001D497E">
            <w:pPr>
              <w:jc w:val="center"/>
              <w:rPr>
                <w:rFonts w:ascii="Arial" w:hAnsi="Arial" w:cs="Arial"/>
                <w:sz w:val="20"/>
                <w:lang w:val="id"/>
              </w:rPr>
            </w:pPr>
            <w:r w:rsidRPr="00FE76BD">
              <w:rPr>
                <w:rFonts w:ascii="Arial" w:hAnsi="Arial" w:cs="Arial"/>
                <w:sz w:val="20"/>
                <w:lang w:val="id"/>
              </w:rPr>
              <w:t>25</w:t>
            </w:r>
            <w:r w:rsidR="001B3803">
              <w:rPr>
                <w:rFonts w:ascii="Arial" w:hAnsi="Arial" w:cs="Arial"/>
                <w:sz w:val="20"/>
                <w:lang w:val="id"/>
              </w:rPr>
              <w:t>.</w:t>
            </w:r>
            <w:r w:rsidRPr="00FE76BD">
              <w:rPr>
                <w:rFonts w:ascii="Arial" w:hAnsi="Arial" w:cs="Arial"/>
                <w:sz w:val="20"/>
                <w:lang w:val="id"/>
              </w:rPr>
              <w:t xml:space="preserve">29 </w:t>
            </w:r>
            <w:r w:rsidRPr="00FE76BD">
              <w:rPr>
                <w:rFonts w:ascii="Arial" w:hAnsi="Arial" w:cs="Arial"/>
                <w:sz w:val="20"/>
                <w:u w:val="single"/>
                <w:lang w:val="id"/>
              </w:rPr>
              <w:t>+</w:t>
            </w:r>
            <w:r w:rsidRPr="00FE76BD">
              <w:rPr>
                <w:rFonts w:ascii="Arial" w:hAnsi="Arial" w:cs="Arial"/>
                <w:sz w:val="20"/>
                <w:lang w:val="id"/>
              </w:rPr>
              <w:t xml:space="preserve"> 1</w:t>
            </w:r>
            <w:r w:rsidR="001B3803">
              <w:rPr>
                <w:rFonts w:ascii="Arial" w:hAnsi="Arial" w:cs="Arial"/>
                <w:sz w:val="20"/>
                <w:lang w:val="id"/>
              </w:rPr>
              <w:t>.</w:t>
            </w:r>
            <w:r w:rsidRPr="00FE76BD">
              <w:rPr>
                <w:rFonts w:ascii="Arial" w:hAnsi="Arial" w:cs="Arial"/>
                <w:sz w:val="20"/>
                <w:lang w:val="id"/>
              </w:rPr>
              <w:t>25</w:t>
            </w:r>
          </w:p>
        </w:tc>
      </w:tr>
    </w:tbl>
    <w:p w14:paraId="7C6E17EE" w14:textId="77777777" w:rsidR="008F15E2" w:rsidRDefault="008F15E2" w:rsidP="00FE76BD">
      <w:pPr>
        <w:pStyle w:val="Body"/>
        <w:rPr>
          <w:rFonts w:ascii="Arial" w:hAnsi="Arial" w:cs="Arial"/>
          <w:b/>
          <w:bCs/>
          <w:lang w:val="en-ID"/>
        </w:rPr>
      </w:pPr>
    </w:p>
    <w:p w14:paraId="6AF416F7" w14:textId="77777777" w:rsidR="008F15E2" w:rsidRDefault="008F15E2" w:rsidP="00FE76BD">
      <w:pPr>
        <w:pStyle w:val="Body"/>
        <w:rPr>
          <w:rFonts w:ascii="Arial" w:hAnsi="Arial" w:cs="Arial"/>
          <w:b/>
          <w:bCs/>
          <w:lang w:val="en-ID"/>
        </w:rPr>
      </w:pPr>
    </w:p>
    <w:p w14:paraId="435449C4" w14:textId="77777777" w:rsidR="008F15E2" w:rsidRDefault="008F15E2" w:rsidP="00FE76BD">
      <w:pPr>
        <w:pStyle w:val="Body"/>
        <w:rPr>
          <w:rFonts w:ascii="Arial" w:hAnsi="Arial" w:cs="Arial"/>
          <w:lang w:val="en-ID"/>
        </w:rPr>
      </w:pPr>
    </w:p>
    <w:p w14:paraId="6140213D" w14:textId="77777777" w:rsidR="008F15E2" w:rsidRDefault="008F15E2" w:rsidP="00FE76BD">
      <w:pPr>
        <w:pStyle w:val="Body"/>
        <w:rPr>
          <w:rFonts w:ascii="Arial" w:hAnsi="Arial" w:cs="Arial"/>
          <w:lang w:val="en-ID"/>
        </w:rPr>
      </w:pPr>
    </w:p>
    <w:p w14:paraId="4E232110" w14:textId="77777777" w:rsidR="008F15E2" w:rsidRDefault="008F15E2" w:rsidP="00FE76BD">
      <w:pPr>
        <w:pStyle w:val="Body"/>
        <w:rPr>
          <w:rFonts w:ascii="Arial" w:hAnsi="Arial" w:cs="Arial"/>
          <w:lang w:val="en-ID"/>
        </w:rPr>
      </w:pPr>
    </w:p>
    <w:p w14:paraId="0E6CEA40" w14:textId="77777777" w:rsidR="008F15E2" w:rsidRDefault="008F15E2" w:rsidP="00FE76BD">
      <w:pPr>
        <w:pStyle w:val="Body"/>
        <w:rPr>
          <w:rFonts w:ascii="Arial" w:hAnsi="Arial" w:cs="Arial"/>
          <w:lang w:val="en-ID"/>
        </w:rPr>
      </w:pPr>
    </w:p>
    <w:p w14:paraId="236A33E2" w14:textId="77777777" w:rsidR="00F222D0" w:rsidRDefault="00F222D0" w:rsidP="00FE76BD">
      <w:pPr>
        <w:pStyle w:val="Body"/>
        <w:rPr>
          <w:rFonts w:ascii="Arial" w:hAnsi="Arial" w:cs="Arial"/>
          <w:lang w:val="en-ID"/>
        </w:rPr>
      </w:pPr>
    </w:p>
    <w:p w14:paraId="43AC151D" w14:textId="5C9035BB" w:rsidR="00FE76BD" w:rsidRPr="00774893" w:rsidRDefault="00FE76BD" w:rsidP="00FE76BD">
      <w:pPr>
        <w:pStyle w:val="Body"/>
        <w:rPr>
          <w:rFonts w:ascii="Arial" w:hAnsi="Arial" w:cs="Arial"/>
          <w:lang w:val="en-ID"/>
        </w:rPr>
      </w:pPr>
      <w:r w:rsidRPr="00082E51">
        <w:rPr>
          <w:rFonts w:ascii="Arial" w:hAnsi="Arial" w:cs="Arial"/>
          <w:lang w:val="en-ID"/>
        </w:rPr>
        <w:t xml:space="preserve">Similarly, at 4 cm from the midline, the DHI + PRP group exhibited greater hair </w:t>
      </w:r>
      <w:r>
        <w:rPr>
          <w:rFonts w:ascii="Arial" w:hAnsi="Arial" w:cs="Arial"/>
          <w:lang w:val="en-ID"/>
        </w:rPr>
        <w:t xml:space="preserve">follicles </w:t>
      </w:r>
      <w:r w:rsidRPr="00082E51">
        <w:rPr>
          <w:rFonts w:ascii="Arial" w:hAnsi="Arial" w:cs="Arial"/>
          <w:lang w:val="en-ID"/>
        </w:rPr>
        <w:t>density at nearly all time points, except at baseline (day 0), when the DHI group showed slightly higher follicle counts</w:t>
      </w:r>
      <w:r>
        <w:rPr>
          <w:rFonts w:ascii="Arial" w:hAnsi="Arial" w:cs="Arial"/>
          <w:lang w:val="en-ID"/>
        </w:rPr>
        <w:t xml:space="preserve"> (Table 2)</w:t>
      </w:r>
      <w:r w:rsidRPr="00082E51">
        <w:rPr>
          <w:rFonts w:ascii="Arial" w:hAnsi="Arial" w:cs="Arial"/>
          <w:lang w:val="en-ID"/>
        </w:rPr>
        <w:t>.</w:t>
      </w:r>
    </w:p>
    <w:p w14:paraId="09F4DD70" w14:textId="37B36AF3" w:rsidR="00FE76BD" w:rsidRPr="007E4896" w:rsidRDefault="00FE76BD" w:rsidP="008F15E2">
      <w:pPr>
        <w:pStyle w:val="Body"/>
        <w:rPr>
          <w:rFonts w:ascii="Arial" w:hAnsi="Arial" w:cs="Arial"/>
          <w:lang w:val="en-ID"/>
        </w:rPr>
      </w:pPr>
      <w:r w:rsidRPr="007E4896">
        <w:rPr>
          <w:rFonts w:ascii="Arial" w:hAnsi="Arial" w:cs="Arial"/>
          <w:lang w:val="en-ID"/>
        </w:rPr>
        <w:t xml:space="preserve">In this study, hair density decreased at the 16-week follow-up compared to day 0 post-transplant, when graft survival was naturally 100%. Previous work reported that survival rates at 16 weeks typically range from 60% to over 80%, depending on donor source and technique, with scalp grafts showing 62–80%, beard grafts 73–87%, and chest grafts 57–67%. Survival generally improves over 6–12 months, often exceeding 85–90% under optimal conditions, with an initial “shock loss” phase occurring between weeks 2–8 (Gupta </w:t>
      </w:r>
      <w:r w:rsidRPr="007E4896">
        <w:rPr>
          <w:rFonts w:ascii="Arial" w:hAnsi="Arial" w:cs="Arial"/>
          <w:i/>
          <w:iCs/>
          <w:lang w:val="en-ID"/>
        </w:rPr>
        <w:t>et al</w:t>
      </w:r>
      <w:r w:rsidRPr="007E4896">
        <w:rPr>
          <w:rFonts w:ascii="Arial" w:hAnsi="Arial" w:cs="Arial"/>
          <w:lang w:val="en-ID"/>
        </w:rPr>
        <w:t>., 2019).</w:t>
      </w:r>
    </w:p>
    <w:p w14:paraId="080A536D" w14:textId="08A79367" w:rsidR="007E4896" w:rsidRDefault="007E4896" w:rsidP="00FE76BD">
      <w:pPr>
        <w:pStyle w:val="Body"/>
        <w:rPr>
          <w:rFonts w:ascii="Arial" w:hAnsi="Arial" w:cs="Arial"/>
          <w:lang w:val="en-ID"/>
        </w:rPr>
      </w:pPr>
      <w:r w:rsidRPr="007E4896">
        <w:rPr>
          <w:rFonts w:ascii="Arial" w:hAnsi="Arial" w:cs="Arial"/>
          <w:lang w:val="en-ID"/>
        </w:rPr>
        <w:t xml:space="preserve">In androgenetic alopecia, progressive follicle miniaturization and shortened anagen phase reduce hair density. Digital </w:t>
      </w:r>
      <w:proofErr w:type="spellStart"/>
      <w:r w:rsidRPr="007E4896">
        <w:rPr>
          <w:rFonts w:ascii="Arial" w:hAnsi="Arial" w:cs="Arial"/>
          <w:lang w:val="en-ID"/>
        </w:rPr>
        <w:t>trichoscopy</w:t>
      </w:r>
      <w:proofErr w:type="spellEnd"/>
      <w:r w:rsidRPr="007E4896">
        <w:rPr>
          <w:rFonts w:ascii="Arial" w:hAnsi="Arial" w:cs="Arial"/>
          <w:lang w:val="en-ID"/>
        </w:rPr>
        <w:t xml:space="preserve"> studies have shown normal scalp density ranges from 150–300 hairs/cm², while affected individuals often fall below 100 hairs/cm² in moderate-to-severe cases, with advanced stages reaching 60–80 hairs/cm² (Chang </w:t>
      </w:r>
      <w:r w:rsidRPr="007E4896">
        <w:rPr>
          <w:rFonts w:ascii="Arial" w:hAnsi="Arial" w:cs="Arial"/>
          <w:i/>
          <w:iCs/>
          <w:lang w:val="en-ID"/>
        </w:rPr>
        <w:t>et al</w:t>
      </w:r>
      <w:r w:rsidRPr="007E4896">
        <w:rPr>
          <w:rFonts w:ascii="Arial" w:hAnsi="Arial" w:cs="Arial"/>
          <w:lang w:val="en-ID"/>
        </w:rPr>
        <w:t>., 2023).</w:t>
      </w:r>
    </w:p>
    <w:p w14:paraId="5C157287" w14:textId="4312B614" w:rsidR="00774893" w:rsidRPr="00774893" w:rsidRDefault="00774893" w:rsidP="00FE76BD">
      <w:pPr>
        <w:pStyle w:val="Body"/>
        <w:rPr>
          <w:rFonts w:ascii="Arial" w:hAnsi="Arial" w:cs="Arial"/>
          <w:lang w:val="en-ID"/>
        </w:rPr>
      </w:pPr>
      <w:r w:rsidRPr="00774893">
        <w:rPr>
          <w:rFonts w:ascii="Arial" w:hAnsi="Arial" w:cs="Arial"/>
          <w:lang w:val="en-ID"/>
        </w:rPr>
        <w:t xml:space="preserve">Hair density after transplantation showed an initial decline from day 0 to weeks 4 and 12, followed by recovery at week 16 in both treatment groups (DHI and DHI+PRP). This early reduction is consistent with </w:t>
      </w:r>
      <w:r w:rsidRPr="00774893">
        <w:rPr>
          <w:rFonts w:ascii="Arial" w:hAnsi="Arial" w:cs="Arial"/>
          <w:i/>
          <w:iCs/>
          <w:lang w:val="en-ID"/>
        </w:rPr>
        <w:t>telogen effluvium</w:t>
      </w:r>
      <w:r w:rsidRPr="00774893">
        <w:rPr>
          <w:rFonts w:ascii="Arial" w:hAnsi="Arial" w:cs="Arial"/>
          <w:lang w:val="en-ID"/>
        </w:rPr>
        <w:t xml:space="preserve">, a temporary </w:t>
      </w:r>
      <w:r w:rsidRPr="00774893">
        <w:rPr>
          <w:rFonts w:ascii="Arial" w:hAnsi="Arial" w:cs="Arial"/>
          <w:lang w:val="en-ID"/>
        </w:rPr>
        <w:lastRenderedPageBreak/>
        <w:t>shedding phase triggered by surgical trauma and ischemia, during which dermal papilla cells enter dormancy. Such shedding reflects a reset of the hair cycle rather than graft failure (Jimenez &amp; Higgins, 2022).</w:t>
      </w:r>
    </w:p>
    <w:p w14:paraId="3DD79031" w14:textId="35B5C748" w:rsidR="00774893" w:rsidRPr="00774893" w:rsidRDefault="00774893" w:rsidP="00FE76BD">
      <w:pPr>
        <w:pStyle w:val="Body"/>
        <w:rPr>
          <w:rFonts w:ascii="Arial" w:hAnsi="Arial" w:cs="Arial"/>
          <w:lang w:val="en-ID"/>
        </w:rPr>
      </w:pPr>
      <w:r w:rsidRPr="00774893">
        <w:rPr>
          <w:rFonts w:ascii="Arial" w:hAnsi="Arial" w:cs="Arial"/>
          <w:lang w:val="en-ID"/>
        </w:rPr>
        <w:t>By week 12, many follicles remain in telogen or early anagen, with ongoing remodel</w:t>
      </w:r>
      <w:r w:rsidR="00393295">
        <w:rPr>
          <w:rFonts w:ascii="Arial" w:hAnsi="Arial" w:cs="Arial"/>
          <w:lang w:val="en-ID"/>
        </w:rPr>
        <w:t>li</w:t>
      </w:r>
      <w:r w:rsidRPr="00774893">
        <w:rPr>
          <w:rFonts w:ascii="Arial" w:hAnsi="Arial" w:cs="Arial"/>
          <w:lang w:val="en-ID"/>
        </w:rPr>
        <w:t>ng and revascularization delaying visible regrowth. Re-entry into anagen requires restoration of dermal papilla function and epithelial–mesenchymal signal</w:t>
      </w:r>
      <w:r w:rsidR="00393295">
        <w:rPr>
          <w:rFonts w:ascii="Arial" w:hAnsi="Arial" w:cs="Arial"/>
          <w:lang w:val="en-ID"/>
        </w:rPr>
        <w:t>li</w:t>
      </w:r>
      <w:r w:rsidRPr="00774893">
        <w:rPr>
          <w:rFonts w:ascii="Arial" w:hAnsi="Arial" w:cs="Arial"/>
          <w:lang w:val="en-ID"/>
        </w:rPr>
        <w:t xml:space="preserve">ng, processes essential for long-term follicle stability (Araújo </w:t>
      </w:r>
      <w:r w:rsidRPr="00774893">
        <w:rPr>
          <w:rFonts w:ascii="Arial" w:hAnsi="Arial" w:cs="Arial"/>
          <w:i/>
          <w:iCs/>
          <w:lang w:val="en-ID"/>
        </w:rPr>
        <w:t>et al</w:t>
      </w:r>
      <w:r w:rsidRPr="00774893">
        <w:rPr>
          <w:rFonts w:ascii="Arial" w:hAnsi="Arial" w:cs="Arial"/>
          <w:lang w:val="en-ID"/>
        </w:rPr>
        <w:t>., 2010).</w:t>
      </w:r>
    </w:p>
    <w:p w14:paraId="6072D85B" w14:textId="08B66C9B" w:rsidR="00774893" w:rsidRDefault="00774893" w:rsidP="00FE76BD">
      <w:pPr>
        <w:pStyle w:val="Body"/>
        <w:rPr>
          <w:rFonts w:ascii="Arial" w:hAnsi="Arial" w:cs="Arial"/>
          <w:lang w:val="en-ID"/>
        </w:rPr>
      </w:pPr>
      <w:r w:rsidRPr="00774893">
        <w:rPr>
          <w:rFonts w:ascii="Arial" w:hAnsi="Arial" w:cs="Arial"/>
          <w:lang w:val="en-ID"/>
        </w:rPr>
        <w:t xml:space="preserve">At week 16, a marked increase in density was observed as follicles transitioned into active anagen, producing new hair shafts. Dermal papilla regained inductive capacity, and angiogenesis supported sustained follicle growth. This regenerative timeline aligns with the biological recovery of the follicular microenvironment described in prior studies (Araújo </w:t>
      </w:r>
      <w:r w:rsidRPr="00774893">
        <w:rPr>
          <w:rFonts w:ascii="Arial" w:hAnsi="Arial" w:cs="Arial"/>
          <w:i/>
          <w:iCs/>
          <w:lang w:val="en-ID"/>
        </w:rPr>
        <w:t>et al</w:t>
      </w:r>
      <w:r w:rsidRPr="00774893">
        <w:rPr>
          <w:rFonts w:ascii="Arial" w:hAnsi="Arial" w:cs="Arial"/>
          <w:lang w:val="en-ID"/>
        </w:rPr>
        <w:t>., 2010; Jimenez &amp; Higgins, 2022).</w:t>
      </w:r>
    </w:p>
    <w:p w14:paraId="158DCA77" w14:textId="04B7E7B1" w:rsidR="00774893" w:rsidRPr="00774893" w:rsidRDefault="00774893" w:rsidP="00441B6F">
      <w:pPr>
        <w:pStyle w:val="Body"/>
        <w:spacing w:after="0"/>
        <w:rPr>
          <w:rFonts w:ascii="Arial" w:hAnsi="Arial" w:cs="Arial"/>
          <w:b/>
          <w:bCs/>
          <w:sz w:val="22"/>
          <w:szCs w:val="22"/>
          <w:lang w:val="en-ID"/>
        </w:rPr>
      </w:pPr>
      <w:r w:rsidRPr="00774893">
        <w:rPr>
          <w:rFonts w:ascii="Arial" w:hAnsi="Arial" w:cs="Arial"/>
          <w:b/>
          <w:bCs/>
          <w:sz w:val="22"/>
          <w:szCs w:val="22"/>
          <w:lang w:val="en-ID"/>
        </w:rPr>
        <w:t>3.3. Hair length after the treatments</w:t>
      </w:r>
    </w:p>
    <w:p w14:paraId="000FFEC2" w14:textId="53A1FA40" w:rsidR="00284722" w:rsidRDefault="00FD3526" w:rsidP="00FE76BD">
      <w:pPr>
        <w:pStyle w:val="Body"/>
        <w:rPr>
          <w:rFonts w:ascii="Arial" w:hAnsi="Arial" w:cs="Arial"/>
        </w:rPr>
      </w:pPr>
      <w:r w:rsidRPr="00FD3526">
        <w:rPr>
          <w:rFonts w:ascii="Arial" w:hAnsi="Arial" w:cs="Arial"/>
        </w:rPr>
        <w:t>Table 3 shows that the mean hair length at 2 cm and 4 cm from the midline increased over time in both groups, with consistently higher values observed in the DHI+PRP group compared to the DHI group at each observation point.</w:t>
      </w:r>
    </w:p>
    <w:p w14:paraId="35908C32" w14:textId="77777777" w:rsidR="008F15E2" w:rsidRPr="00284722" w:rsidRDefault="008F15E2" w:rsidP="008F15E2">
      <w:pPr>
        <w:pStyle w:val="Body"/>
        <w:spacing w:after="0"/>
        <w:rPr>
          <w:rFonts w:ascii="Arial" w:hAnsi="Arial" w:cs="Arial"/>
          <w:b/>
          <w:bCs/>
        </w:rPr>
      </w:pPr>
      <w:r w:rsidRPr="00284722">
        <w:rPr>
          <w:rFonts w:ascii="Arial" w:hAnsi="Arial" w:cs="Arial"/>
          <w:b/>
          <w:bCs/>
        </w:rPr>
        <w:t>Table 3. Hair length follow</w:t>
      </w:r>
      <w:r>
        <w:rPr>
          <w:rFonts w:ascii="Arial" w:hAnsi="Arial" w:cs="Arial"/>
          <w:b/>
          <w:bCs/>
        </w:rPr>
        <w:t>-</w:t>
      </w:r>
      <w:r w:rsidRPr="00284722">
        <w:rPr>
          <w:rFonts w:ascii="Arial" w:hAnsi="Arial" w:cs="Arial"/>
          <w:b/>
          <w:bCs/>
        </w:rPr>
        <w:t>up results.</w:t>
      </w:r>
    </w:p>
    <w:tbl>
      <w:tblPr>
        <w:tblStyle w:val="TableGrid3"/>
        <w:tblpPr w:leftFromText="180" w:rightFromText="180" w:vertAnchor="text" w:horzAnchor="page" w:tblpX="1921" w:tblpY="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48"/>
        <w:gridCol w:w="2597"/>
      </w:tblGrid>
      <w:tr w:rsidR="008F15E2" w:rsidRPr="00284722" w14:paraId="54434F8F" w14:textId="77777777" w:rsidTr="001C4F86">
        <w:tc>
          <w:tcPr>
            <w:tcW w:w="1843" w:type="dxa"/>
            <w:vMerge w:val="restart"/>
            <w:tcBorders>
              <w:top w:val="single" w:sz="4" w:space="0" w:color="auto"/>
              <w:bottom w:val="single" w:sz="4" w:space="0" w:color="auto"/>
            </w:tcBorders>
          </w:tcPr>
          <w:p w14:paraId="055F2B2A" w14:textId="77777777" w:rsidR="008F15E2" w:rsidRPr="00284722" w:rsidRDefault="008F15E2" w:rsidP="001C4F86">
            <w:pPr>
              <w:jc w:val="center"/>
              <w:rPr>
                <w:rFonts w:ascii="Arial" w:hAnsi="Arial" w:cs="Arial"/>
                <w:bCs/>
                <w:sz w:val="20"/>
                <w:lang w:val="id"/>
              </w:rPr>
            </w:pPr>
            <w:r w:rsidRPr="00284722">
              <w:rPr>
                <w:rFonts w:ascii="Arial" w:hAnsi="Arial" w:cs="Arial"/>
                <w:bCs/>
                <w:sz w:val="20"/>
                <w:lang w:val="id"/>
              </w:rPr>
              <w:t>Follow up period</w:t>
            </w:r>
          </w:p>
        </w:tc>
        <w:tc>
          <w:tcPr>
            <w:tcW w:w="5245" w:type="dxa"/>
            <w:gridSpan w:val="2"/>
            <w:tcBorders>
              <w:top w:val="single" w:sz="4" w:space="0" w:color="auto"/>
              <w:bottom w:val="single" w:sz="4" w:space="0" w:color="auto"/>
            </w:tcBorders>
          </w:tcPr>
          <w:p w14:paraId="2F07AB4C" w14:textId="77777777" w:rsidR="008F15E2" w:rsidRPr="00284722" w:rsidRDefault="008F15E2" w:rsidP="001C4F86">
            <w:pPr>
              <w:jc w:val="center"/>
              <w:rPr>
                <w:rFonts w:ascii="Arial" w:hAnsi="Arial" w:cs="Arial"/>
                <w:bCs/>
                <w:sz w:val="20"/>
                <w:lang w:val="id"/>
              </w:rPr>
            </w:pPr>
            <w:r w:rsidRPr="00284722">
              <w:rPr>
                <w:rFonts w:ascii="Arial" w:hAnsi="Arial" w:cs="Arial"/>
                <w:bCs/>
                <w:sz w:val="20"/>
                <w:lang w:val="id"/>
              </w:rPr>
              <w:t>Groups</w:t>
            </w:r>
          </w:p>
        </w:tc>
      </w:tr>
      <w:tr w:rsidR="008F15E2" w:rsidRPr="00284722" w14:paraId="21545A1F" w14:textId="77777777" w:rsidTr="001C4F86">
        <w:tc>
          <w:tcPr>
            <w:tcW w:w="1843" w:type="dxa"/>
            <w:vMerge/>
            <w:tcBorders>
              <w:top w:val="single" w:sz="4" w:space="0" w:color="auto"/>
              <w:bottom w:val="single" w:sz="4" w:space="0" w:color="auto"/>
            </w:tcBorders>
          </w:tcPr>
          <w:p w14:paraId="35500FB2" w14:textId="77777777" w:rsidR="008F15E2" w:rsidRPr="00284722" w:rsidRDefault="008F15E2" w:rsidP="001C4F86">
            <w:pPr>
              <w:jc w:val="center"/>
              <w:rPr>
                <w:rFonts w:ascii="Arial" w:hAnsi="Arial" w:cs="Arial"/>
                <w:bCs/>
                <w:sz w:val="20"/>
                <w:lang w:val="id"/>
              </w:rPr>
            </w:pPr>
          </w:p>
        </w:tc>
        <w:tc>
          <w:tcPr>
            <w:tcW w:w="2648" w:type="dxa"/>
            <w:tcBorders>
              <w:top w:val="single" w:sz="4" w:space="0" w:color="auto"/>
              <w:bottom w:val="single" w:sz="4" w:space="0" w:color="auto"/>
            </w:tcBorders>
          </w:tcPr>
          <w:p w14:paraId="5B76E4F9" w14:textId="77777777" w:rsidR="008F15E2" w:rsidRPr="00284722" w:rsidRDefault="008F15E2" w:rsidP="001C4F86">
            <w:pPr>
              <w:jc w:val="center"/>
              <w:rPr>
                <w:rFonts w:ascii="Arial" w:hAnsi="Arial" w:cs="Arial"/>
                <w:bCs/>
                <w:sz w:val="20"/>
                <w:lang w:val="id"/>
              </w:rPr>
            </w:pPr>
            <w:r w:rsidRPr="00284722">
              <w:rPr>
                <w:rFonts w:ascii="Arial" w:hAnsi="Arial" w:cs="Arial"/>
                <w:bCs/>
                <w:sz w:val="20"/>
                <w:lang w:val="id"/>
              </w:rPr>
              <w:t>DHI+PRP (Mean</w:t>
            </w:r>
            <w:r w:rsidRPr="00284722">
              <w:rPr>
                <w:rFonts w:ascii="Arial" w:hAnsi="Arial" w:cs="Arial"/>
                <w:bCs/>
                <w:sz w:val="20"/>
                <w:u w:val="single"/>
                <w:lang w:val="id"/>
              </w:rPr>
              <w:t>+</w:t>
            </w:r>
            <w:r w:rsidRPr="00284722">
              <w:rPr>
                <w:rFonts w:ascii="Arial" w:hAnsi="Arial" w:cs="Arial"/>
                <w:bCs/>
                <w:sz w:val="20"/>
                <w:lang w:val="id"/>
              </w:rPr>
              <w:t>SD)</w:t>
            </w:r>
          </w:p>
        </w:tc>
        <w:tc>
          <w:tcPr>
            <w:tcW w:w="2597" w:type="dxa"/>
            <w:tcBorders>
              <w:top w:val="single" w:sz="4" w:space="0" w:color="auto"/>
              <w:bottom w:val="single" w:sz="4" w:space="0" w:color="auto"/>
            </w:tcBorders>
          </w:tcPr>
          <w:p w14:paraId="7B3AFEF8" w14:textId="77777777" w:rsidR="008F15E2" w:rsidRPr="00284722" w:rsidRDefault="008F15E2" w:rsidP="001C4F86">
            <w:pPr>
              <w:jc w:val="center"/>
              <w:rPr>
                <w:rFonts w:ascii="Arial" w:hAnsi="Arial" w:cs="Arial"/>
                <w:bCs/>
                <w:sz w:val="20"/>
                <w:lang w:val="id"/>
              </w:rPr>
            </w:pPr>
            <w:r w:rsidRPr="00284722">
              <w:rPr>
                <w:rFonts w:ascii="Arial" w:hAnsi="Arial" w:cs="Arial"/>
                <w:bCs/>
                <w:sz w:val="20"/>
                <w:lang w:val="id"/>
              </w:rPr>
              <w:t>DHI (Mean</w:t>
            </w:r>
            <w:r w:rsidRPr="00284722">
              <w:rPr>
                <w:rFonts w:ascii="Arial" w:hAnsi="Arial" w:cs="Arial"/>
                <w:bCs/>
                <w:sz w:val="20"/>
                <w:u w:val="single"/>
                <w:lang w:val="id"/>
              </w:rPr>
              <w:t>+</w:t>
            </w:r>
            <w:r w:rsidRPr="00284722">
              <w:rPr>
                <w:rFonts w:ascii="Arial" w:hAnsi="Arial" w:cs="Arial"/>
                <w:bCs/>
                <w:sz w:val="20"/>
                <w:lang w:val="id"/>
              </w:rPr>
              <w:t>SD)</w:t>
            </w:r>
          </w:p>
        </w:tc>
      </w:tr>
      <w:tr w:rsidR="008F15E2" w:rsidRPr="00284722" w14:paraId="1B5544C8" w14:textId="77777777" w:rsidTr="001C4F86">
        <w:tc>
          <w:tcPr>
            <w:tcW w:w="7088" w:type="dxa"/>
            <w:gridSpan w:val="3"/>
          </w:tcPr>
          <w:p w14:paraId="3C120BA3" w14:textId="77777777" w:rsidR="008F15E2" w:rsidRPr="00284722" w:rsidRDefault="008F15E2" w:rsidP="001C4F86">
            <w:pPr>
              <w:rPr>
                <w:rFonts w:ascii="Arial" w:hAnsi="Arial" w:cs="Arial"/>
                <w:bCs/>
                <w:sz w:val="20"/>
                <w:lang w:val="id"/>
              </w:rPr>
            </w:pPr>
            <w:r w:rsidRPr="00284722">
              <w:rPr>
                <w:rFonts w:ascii="Arial" w:hAnsi="Arial" w:cs="Arial"/>
                <w:bCs/>
                <w:sz w:val="20"/>
                <w:lang w:val="id"/>
              </w:rPr>
              <w:t>2 cm from midline (mm)</w:t>
            </w:r>
          </w:p>
        </w:tc>
      </w:tr>
      <w:tr w:rsidR="008F15E2" w:rsidRPr="00284722" w14:paraId="6833D4ED" w14:textId="77777777" w:rsidTr="001C4F86">
        <w:tc>
          <w:tcPr>
            <w:tcW w:w="1843" w:type="dxa"/>
          </w:tcPr>
          <w:p w14:paraId="313C7AF5" w14:textId="77777777" w:rsidR="008F15E2" w:rsidRPr="00284722" w:rsidRDefault="008F15E2" w:rsidP="001C4F86">
            <w:pPr>
              <w:rPr>
                <w:rFonts w:ascii="Arial" w:hAnsi="Arial" w:cs="Arial"/>
                <w:sz w:val="20"/>
                <w:lang w:val="id"/>
              </w:rPr>
            </w:pPr>
            <w:r w:rsidRPr="00284722">
              <w:rPr>
                <w:rFonts w:ascii="Arial" w:hAnsi="Arial" w:cs="Arial"/>
                <w:sz w:val="20"/>
                <w:lang w:val="id"/>
              </w:rPr>
              <w:t>Day-0</w:t>
            </w:r>
          </w:p>
        </w:tc>
        <w:tc>
          <w:tcPr>
            <w:tcW w:w="2648" w:type="dxa"/>
          </w:tcPr>
          <w:p w14:paraId="7845DBB9" w14:textId="34FB7A25" w:rsidR="008F15E2" w:rsidRPr="00284722" w:rsidRDefault="008F15E2" w:rsidP="001C4F86">
            <w:pPr>
              <w:jc w:val="center"/>
              <w:rPr>
                <w:rFonts w:ascii="Arial" w:hAnsi="Arial" w:cs="Arial"/>
                <w:sz w:val="20"/>
                <w:lang w:val="id"/>
              </w:rPr>
            </w:pPr>
            <w:r w:rsidRPr="00284722">
              <w:rPr>
                <w:rFonts w:ascii="Arial" w:hAnsi="Arial" w:cs="Arial"/>
                <w:sz w:val="20"/>
                <w:lang w:val="id"/>
              </w:rPr>
              <w:t>1</w:t>
            </w:r>
            <w:r w:rsidR="00B442CF">
              <w:rPr>
                <w:rFonts w:ascii="Arial" w:hAnsi="Arial" w:cs="Arial"/>
                <w:sz w:val="20"/>
                <w:lang w:val="id"/>
              </w:rPr>
              <w:t>.</w:t>
            </w:r>
            <w:r w:rsidRPr="00284722">
              <w:rPr>
                <w:rFonts w:ascii="Arial" w:hAnsi="Arial" w:cs="Arial"/>
                <w:sz w:val="20"/>
                <w:lang w:val="id"/>
              </w:rPr>
              <w:t xml:space="preserve">31 </w:t>
            </w:r>
            <w:r w:rsidRPr="00284722">
              <w:rPr>
                <w:rFonts w:ascii="Arial" w:hAnsi="Arial" w:cs="Arial"/>
                <w:sz w:val="20"/>
                <w:u w:val="single"/>
                <w:lang w:val="id"/>
              </w:rPr>
              <w:t>+</w:t>
            </w:r>
            <w:r w:rsidRPr="00284722">
              <w:rPr>
                <w:rFonts w:ascii="Arial" w:hAnsi="Arial" w:cs="Arial"/>
                <w:sz w:val="20"/>
                <w:lang w:val="id"/>
              </w:rPr>
              <w:t xml:space="preserve"> 0</w:t>
            </w:r>
            <w:r w:rsidR="00B442CF">
              <w:rPr>
                <w:rFonts w:ascii="Arial" w:hAnsi="Arial" w:cs="Arial"/>
                <w:sz w:val="20"/>
                <w:lang w:val="id"/>
              </w:rPr>
              <w:t>.</w:t>
            </w:r>
            <w:r w:rsidRPr="00284722">
              <w:rPr>
                <w:rFonts w:ascii="Arial" w:hAnsi="Arial" w:cs="Arial"/>
                <w:sz w:val="20"/>
                <w:lang w:val="id"/>
              </w:rPr>
              <w:t>07</w:t>
            </w:r>
          </w:p>
        </w:tc>
        <w:tc>
          <w:tcPr>
            <w:tcW w:w="2597" w:type="dxa"/>
          </w:tcPr>
          <w:p w14:paraId="2B0B366E" w14:textId="36D3D564" w:rsidR="008F15E2" w:rsidRPr="00284722" w:rsidRDefault="008F15E2" w:rsidP="001C4F86">
            <w:pPr>
              <w:jc w:val="center"/>
              <w:rPr>
                <w:rFonts w:ascii="Arial" w:hAnsi="Arial" w:cs="Arial"/>
                <w:sz w:val="20"/>
                <w:lang w:val="id"/>
              </w:rPr>
            </w:pPr>
            <w:r w:rsidRPr="00284722">
              <w:rPr>
                <w:rFonts w:ascii="Arial" w:hAnsi="Arial" w:cs="Arial"/>
                <w:sz w:val="20"/>
                <w:lang w:val="id"/>
              </w:rPr>
              <w:t>1</w:t>
            </w:r>
            <w:r w:rsidR="00B442CF">
              <w:rPr>
                <w:rFonts w:ascii="Arial" w:hAnsi="Arial" w:cs="Arial"/>
                <w:sz w:val="20"/>
                <w:lang w:val="id"/>
              </w:rPr>
              <w:t>.</w:t>
            </w:r>
            <w:r w:rsidRPr="00284722">
              <w:rPr>
                <w:rFonts w:ascii="Arial" w:hAnsi="Arial" w:cs="Arial"/>
                <w:sz w:val="20"/>
                <w:lang w:val="id"/>
              </w:rPr>
              <w:t xml:space="preserve">29 </w:t>
            </w:r>
            <w:r w:rsidRPr="00284722">
              <w:rPr>
                <w:rFonts w:ascii="Arial" w:hAnsi="Arial" w:cs="Arial"/>
                <w:sz w:val="20"/>
                <w:u w:val="single"/>
                <w:lang w:val="id"/>
              </w:rPr>
              <w:t>+</w:t>
            </w:r>
            <w:r w:rsidRPr="00284722">
              <w:rPr>
                <w:rFonts w:ascii="Arial" w:hAnsi="Arial" w:cs="Arial"/>
                <w:sz w:val="20"/>
                <w:lang w:val="id"/>
              </w:rPr>
              <w:t xml:space="preserve"> 0</w:t>
            </w:r>
            <w:r w:rsidR="00B442CF">
              <w:rPr>
                <w:rFonts w:ascii="Arial" w:hAnsi="Arial" w:cs="Arial"/>
                <w:sz w:val="20"/>
                <w:lang w:val="id"/>
              </w:rPr>
              <w:t>.</w:t>
            </w:r>
            <w:r w:rsidRPr="00284722">
              <w:rPr>
                <w:rFonts w:ascii="Arial" w:hAnsi="Arial" w:cs="Arial"/>
                <w:sz w:val="20"/>
                <w:lang w:val="id"/>
              </w:rPr>
              <w:t>13</w:t>
            </w:r>
          </w:p>
        </w:tc>
      </w:tr>
      <w:tr w:rsidR="008F15E2" w:rsidRPr="00284722" w14:paraId="071B380A" w14:textId="77777777" w:rsidTr="001C4F86">
        <w:tc>
          <w:tcPr>
            <w:tcW w:w="1843" w:type="dxa"/>
          </w:tcPr>
          <w:p w14:paraId="277C866E" w14:textId="77777777" w:rsidR="008F15E2" w:rsidRPr="00284722" w:rsidRDefault="008F15E2" w:rsidP="001C4F86">
            <w:pPr>
              <w:rPr>
                <w:rFonts w:ascii="Arial" w:hAnsi="Arial" w:cs="Arial"/>
                <w:sz w:val="20"/>
                <w:lang w:val="id"/>
              </w:rPr>
            </w:pPr>
            <w:r w:rsidRPr="00284722">
              <w:rPr>
                <w:rFonts w:ascii="Arial" w:hAnsi="Arial" w:cs="Arial"/>
                <w:sz w:val="20"/>
                <w:lang w:val="id"/>
              </w:rPr>
              <w:t>Week-4</w:t>
            </w:r>
          </w:p>
        </w:tc>
        <w:tc>
          <w:tcPr>
            <w:tcW w:w="2648" w:type="dxa"/>
          </w:tcPr>
          <w:p w14:paraId="6F3DE6E0" w14:textId="6273B0FD" w:rsidR="008F15E2" w:rsidRPr="00284722" w:rsidRDefault="008F15E2" w:rsidP="001C4F86">
            <w:pPr>
              <w:jc w:val="center"/>
              <w:rPr>
                <w:rFonts w:ascii="Arial" w:hAnsi="Arial" w:cs="Arial"/>
                <w:sz w:val="20"/>
                <w:lang w:val="id"/>
              </w:rPr>
            </w:pPr>
            <w:r w:rsidRPr="00284722">
              <w:rPr>
                <w:rFonts w:ascii="Arial" w:hAnsi="Arial" w:cs="Arial"/>
                <w:sz w:val="20"/>
                <w:lang w:val="id"/>
              </w:rPr>
              <w:t>14</w:t>
            </w:r>
            <w:r w:rsidR="00B442CF">
              <w:rPr>
                <w:rFonts w:ascii="Arial" w:hAnsi="Arial" w:cs="Arial"/>
                <w:sz w:val="20"/>
                <w:lang w:val="id"/>
              </w:rPr>
              <w:t>.</w:t>
            </w:r>
            <w:r w:rsidRPr="00284722">
              <w:rPr>
                <w:rFonts w:ascii="Arial" w:hAnsi="Arial" w:cs="Arial"/>
                <w:sz w:val="20"/>
                <w:lang w:val="id"/>
              </w:rPr>
              <w:t xml:space="preserve">83 </w:t>
            </w:r>
            <w:r w:rsidRPr="00284722">
              <w:rPr>
                <w:rFonts w:ascii="Arial" w:hAnsi="Arial" w:cs="Arial"/>
                <w:sz w:val="20"/>
                <w:u w:val="single"/>
                <w:lang w:val="id"/>
              </w:rPr>
              <w:t>+</w:t>
            </w:r>
            <w:r w:rsidRPr="00284722">
              <w:rPr>
                <w:rFonts w:ascii="Arial" w:hAnsi="Arial" w:cs="Arial"/>
                <w:sz w:val="20"/>
                <w:lang w:val="id"/>
              </w:rPr>
              <w:t xml:space="preserve"> 0</w:t>
            </w:r>
            <w:r w:rsidR="00B442CF">
              <w:rPr>
                <w:rFonts w:ascii="Arial" w:hAnsi="Arial" w:cs="Arial"/>
                <w:sz w:val="20"/>
                <w:lang w:val="id"/>
              </w:rPr>
              <w:t>.</w:t>
            </w:r>
            <w:r w:rsidRPr="00284722">
              <w:rPr>
                <w:rFonts w:ascii="Arial" w:hAnsi="Arial" w:cs="Arial"/>
                <w:sz w:val="20"/>
                <w:lang w:val="id"/>
              </w:rPr>
              <w:t>92</w:t>
            </w:r>
          </w:p>
        </w:tc>
        <w:tc>
          <w:tcPr>
            <w:tcW w:w="2597" w:type="dxa"/>
          </w:tcPr>
          <w:p w14:paraId="34CF1311" w14:textId="111EC26D" w:rsidR="008F15E2" w:rsidRPr="00284722" w:rsidRDefault="008F15E2" w:rsidP="001C4F86">
            <w:pPr>
              <w:jc w:val="center"/>
              <w:rPr>
                <w:rFonts w:ascii="Arial" w:hAnsi="Arial" w:cs="Arial"/>
                <w:sz w:val="20"/>
                <w:lang w:val="id"/>
              </w:rPr>
            </w:pPr>
            <w:r w:rsidRPr="00284722">
              <w:rPr>
                <w:rFonts w:ascii="Arial" w:hAnsi="Arial" w:cs="Arial"/>
                <w:sz w:val="20"/>
                <w:lang w:val="id"/>
              </w:rPr>
              <w:t>10</w:t>
            </w:r>
            <w:r w:rsidR="00B442CF">
              <w:rPr>
                <w:rFonts w:ascii="Arial" w:hAnsi="Arial" w:cs="Arial"/>
                <w:sz w:val="20"/>
                <w:lang w:val="id"/>
              </w:rPr>
              <w:t>.</w:t>
            </w:r>
            <w:r w:rsidRPr="00284722">
              <w:rPr>
                <w:rFonts w:ascii="Arial" w:hAnsi="Arial" w:cs="Arial"/>
                <w:sz w:val="20"/>
                <w:lang w:val="id"/>
              </w:rPr>
              <w:t xml:space="preserve">14 </w:t>
            </w:r>
            <w:r w:rsidRPr="00284722">
              <w:rPr>
                <w:rFonts w:ascii="Arial" w:hAnsi="Arial" w:cs="Arial"/>
                <w:sz w:val="20"/>
                <w:u w:val="single"/>
                <w:lang w:val="id"/>
              </w:rPr>
              <w:t>+</w:t>
            </w:r>
            <w:r w:rsidRPr="00284722">
              <w:rPr>
                <w:rFonts w:ascii="Arial" w:hAnsi="Arial" w:cs="Arial"/>
                <w:sz w:val="20"/>
                <w:lang w:val="id"/>
              </w:rPr>
              <w:t xml:space="preserve"> 0</w:t>
            </w:r>
            <w:r w:rsidR="00B442CF">
              <w:rPr>
                <w:rFonts w:ascii="Arial" w:hAnsi="Arial" w:cs="Arial"/>
                <w:sz w:val="20"/>
                <w:lang w:val="id"/>
              </w:rPr>
              <w:t>.</w:t>
            </w:r>
            <w:r w:rsidRPr="00284722">
              <w:rPr>
                <w:rFonts w:ascii="Arial" w:hAnsi="Arial" w:cs="Arial"/>
                <w:sz w:val="20"/>
                <w:lang w:val="id"/>
              </w:rPr>
              <w:t>75</w:t>
            </w:r>
          </w:p>
        </w:tc>
      </w:tr>
      <w:tr w:rsidR="008F15E2" w:rsidRPr="00284722" w14:paraId="2C2F3BA5" w14:textId="77777777" w:rsidTr="001C4F86">
        <w:tc>
          <w:tcPr>
            <w:tcW w:w="1843" w:type="dxa"/>
          </w:tcPr>
          <w:p w14:paraId="3A418856" w14:textId="77777777" w:rsidR="008F15E2" w:rsidRPr="00284722" w:rsidRDefault="008F15E2" w:rsidP="001C4F86">
            <w:pPr>
              <w:rPr>
                <w:rFonts w:ascii="Arial" w:hAnsi="Arial" w:cs="Arial"/>
                <w:sz w:val="20"/>
                <w:lang w:val="id"/>
              </w:rPr>
            </w:pPr>
            <w:r w:rsidRPr="00284722">
              <w:rPr>
                <w:rFonts w:ascii="Arial" w:hAnsi="Arial" w:cs="Arial"/>
                <w:sz w:val="20"/>
                <w:lang w:val="id"/>
              </w:rPr>
              <w:t>Week-12</w:t>
            </w:r>
          </w:p>
        </w:tc>
        <w:tc>
          <w:tcPr>
            <w:tcW w:w="2648" w:type="dxa"/>
          </w:tcPr>
          <w:p w14:paraId="7F1827A0" w14:textId="21205BBF" w:rsidR="008F15E2" w:rsidRPr="00284722" w:rsidRDefault="008F15E2" w:rsidP="001C4F86">
            <w:pPr>
              <w:jc w:val="center"/>
              <w:rPr>
                <w:rFonts w:ascii="Arial" w:hAnsi="Arial" w:cs="Arial"/>
                <w:sz w:val="20"/>
                <w:lang w:val="id"/>
              </w:rPr>
            </w:pPr>
            <w:r w:rsidRPr="00284722">
              <w:rPr>
                <w:rFonts w:ascii="Arial" w:hAnsi="Arial" w:cs="Arial"/>
                <w:sz w:val="20"/>
                <w:lang w:val="id"/>
              </w:rPr>
              <w:t>41</w:t>
            </w:r>
            <w:r w:rsidR="00B442CF">
              <w:rPr>
                <w:rFonts w:ascii="Arial" w:hAnsi="Arial" w:cs="Arial"/>
                <w:sz w:val="20"/>
                <w:lang w:val="id"/>
              </w:rPr>
              <w:t>.</w:t>
            </w:r>
            <w:r w:rsidRPr="00284722">
              <w:rPr>
                <w:rFonts w:ascii="Arial" w:hAnsi="Arial" w:cs="Arial"/>
                <w:sz w:val="20"/>
                <w:lang w:val="id"/>
              </w:rPr>
              <w:t xml:space="preserve">83 </w:t>
            </w:r>
            <w:r w:rsidRPr="00284722">
              <w:rPr>
                <w:rFonts w:ascii="Arial" w:hAnsi="Arial" w:cs="Arial"/>
                <w:sz w:val="20"/>
                <w:u w:val="single"/>
                <w:lang w:val="id"/>
              </w:rPr>
              <w:t>+</w:t>
            </w:r>
            <w:r w:rsidRPr="00284722">
              <w:rPr>
                <w:rFonts w:ascii="Arial" w:hAnsi="Arial" w:cs="Arial"/>
                <w:sz w:val="20"/>
                <w:lang w:val="id"/>
              </w:rPr>
              <w:t xml:space="preserve"> 2</w:t>
            </w:r>
            <w:r w:rsidR="00B442CF">
              <w:rPr>
                <w:rFonts w:ascii="Arial" w:hAnsi="Arial" w:cs="Arial"/>
                <w:sz w:val="20"/>
                <w:lang w:val="id"/>
              </w:rPr>
              <w:t>.</w:t>
            </w:r>
            <w:r w:rsidRPr="00284722">
              <w:rPr>
                <w:rFonts w:ascii="Arial" w:hAnsi="Arial" w:cs="Arial"/>
                <w:sz w:val="20"/>
                <w:lang w:val="id"/>
              </w:rPr>
              <w:t>74</w:t>
            </w:r>
          </w:p>
        </w:tc>
        <w:tc>
          <w:tcPr>
            <w:tcW w:w="2597" w:type="dxa"/>
          </w:tcPr>
          <w:p w14:paraId="5CB523E7" w14:textId="60D1AD3F" w:rsidR="008F15E2" w:rsidRPr="00284722" w:rsidRDefault="008F15E2" w:rsidP="001C4F86">
            <w:pPr>
              <w:jc w:val="center"/>
              <w:rPr>
                <w:rFonts w:ascii="Arial" w:hAnsi="Arial" w:cs="Arial"/>
                <w:sz w:val="20"/>
                <w:lang w:val="id"/>
              </w:rPr>
            </w:pPr>
            <w:r w:rsidRPr="00284722">
              <w:rPr>
                <w:rFonts w:ascii="Arial" w:hAnsi="Arial" w:cs="Arial"/>
                <w:sz w:val="20"/>
                <w:lang w:val="id"/>
              </w:rPr>
              <w:t>28</w:t>
            </w:r>
            <w:r w:rsidR="00B442CF">
              <w:rPr>
                <w:rFonts w:ascii="Arial" w:hAnsi="Arial" w:cs="Arial"/>
                <w:sz w:val="20"/>
                <w:lang w:val="id"/>
              </w:rPr>
              <w:t>.</w:t>
            </w:r>
            <w:r w:rsidRPr="00284722">
              <w:rPr>
                <w:rFonts w:ascii="Arial" w:hAnsi="Arial" w:cs="Arial"/>
                <w:sz w:val="20"/>
                <w:lang w:val="id"/>
              </w:rPr>
              <w:t xml:space="preserve">00 </w:t>
            </w:r>
            <w:r w:rsidRPr="00284722">
              <w:rPr>
                <w:rFonts w:ascii="Arial" w:hAnsi="Arial" w:cs="Arial"/>
                <w:sz w:val="20"/>
                <w:u w:val="single"/>
                <w:lang w:val="id"/>
              </w:rPr>
              <w:t>+</w:t>
            </w:r>
            <w:r w:rsidRPr="00284722">
              <w:rPr>
                <w:rFonts w:ascii="Arial" w:hAnsi="Arial" w:cs="Arial"/>
                <w:sz w:val="20"/>
                <w:lang w:val="id"/>
              </w:rPr>
              <w:t xml:space="preserve"> 2</w:t>
            </w:r>
            <w:r w:rsidR="00B442CF">
              <w:rPr>
                <w:rFonts w:ascii="Arial" w:hAnsi="Arial" w:cs="Arial"/>
                <w:sz w:val="20"/>
                <w:lang w:val="id"/>
              </w:rPr>
              <w:t>.</w:t>
            </w:r>
            <w:r w:rsidRPr="00284722">
              <w:rPr>
                <w:rFonts w:ascii="Arial" w:hAnsi="Arial" w:cs="Arial"/>
                <w:sz w:val="20"/>
                <w:lang w:val="id"/>
              </w:rPr>
              <w:t>19</w:t>
            </w:r>
          </w:p>
        </w:tc>
      </w:tr>
      <w:tr w:rsidR="008F15E2" w:rsidRPr="00284722" w14:paraId="0BFA3C8D" w14:textId="77777777" w:rsidTr="001C4F86">
        <w:tc>
          <w:tcPr>
            <w:tcW w:w="1843" w:type="dxa"/>
            <w:tcBorders>
              <w:bottom w:val="single" w:sz="4" w:space="0" w:color="auto"/>
            </w:tcBorders>
          </w:tcPr>
          <w:p w14:paraId="2B1003E8" w14:textId="77777777" w:rsidR="008F15E2" w:rsidRPr="00284722" w:rsidRDefault="008F15E2" w:rsidP="001C4F86">
            <w:pPr>
              <w:rPr>
                <w:rFonts w:ascii="Arial" w:hAnsi="Arial" w:cs="Arial"/>
                <w:sz w:val="20"/>
                <w:lang w:val="id"/>
              </w:rPr>
            </w:pPr>
            <w:r w:rsidRPr="00284722">
              <w:rPr>
                <w:rFonts w:ascii="Arial" w:hAnsi="Arial" w:cs="Arial"/>
                <w:sz w:val="20"/>
                <w:lang w:val="id"/>
              </w:rPr>
              <w:t>Week-16</w:t>
            </w:r>
          </w:p>
        </w:tc>
        <w:tc>
          <w:tcPr>
            <w:tcW w:w="2648" w:type="dxa"/>
            <w:tcBorders>
              <w:bottom w:val="single" w:sz="4" w:space="0" w:color="auto"/>
            </w:tcBorders>
          </w:tcPr>
          <w:p w14:paraId="2072A264" w14:textId="161A4C1E" w:rsidR="008F15E2" w:rsidRPr="00284722" w:rsidRDefault="008F15E2" w:rsidP="001C4F86">
            <w:pPr>
              <w:jc w:val="center"/>
              <w:rPr>
                <w:rFonts w:ascii="Arial" w:hAnsi="Arial" w:cs="Arial"/>
                <w:sz w:val="20"/>
                <w:lang w:val="id"/>
              </w:rPr>
            </w:pPr>
            <w:r w:rsidRPr="00284722">
              <w:rPr>
                <w:rFonts w:ascii="Arial" w:hAnsi="Arial" w:cs="Arial"/>
                <w:sz w:val="20"/>
                <w:lang w:val="id"/>
              </w:rPr>
              <w:t>55</w:t>
            </w:r>
            <w:r w:rsidR="00B442CF">
              <w:rPr>
                <w:rFonts w:ascii="Arial" w:hAnsi="Arial" w:cs="Arial"/>
                <w:sz w:val="20"/>
                <w:lang w:val="id"/>
              </w:rPr>
              <w:t>.</w:t>
            </w:r>
            <w:r w:rsidRPr="00284722">
              <w:rPr>
                <w:rFonts w:ascii="Arial" w:hAnsi="Arial" w:cs="Arial"/>
                <w:sz w:val="20"/>
                <w:lang w:val="id"/>
              </w:rPr>
              <w:t xml:space="preserve">31 </w:t>
            </w:r>
            <w:r w:rsidRPr="00284722">
              <w:rPr>
                <w:rFonts w:ascii="Arial" w:hAnsi="Arial" w:cs="Arial"/>
                <w:sz w:val="20"/>
                <w:u w:val="single"/>
                <w:lang w:val="id"/>
              </w:rPr>
              <w:t>+</w:t>
            </w:r>
            <w:r w:rsidRPr="00284722">
              <w:rPr>
                <w:rFonts w:ascii="Arial" w:hAnsi="Arial" w:cs="Arial"/>
                <w:sz w:val="20"/>
                <w:lang w:val="id"/>
              </w:rPr>
              <w:t xml:space="preserve"> 3</w:t>
            </w:r>
            <w:r w:rsidR="00B442CF">
              <w:rPr>
                <w:rFonts w:ascii="Arial" w:hAnsi="Arial" w:cs="Arial"/>
                <w:sz w:val="20"/>
                <w:lang w:val="id"/>
              </w:rPr>
              <w:t>.</w:t>
            </w:r>
            <w:r w:rsidRPr="00284722">
              <w:rPr>
                <w:rFonts w:ascii="Arial" w:hAnsi="Arial" w:cs="Arial"/>
                <w:sz w:val="20"/>
                <w:lang w:val="id"/>
              </w:rPr>
              <w:t>66</w:t>
            </w:r>
          </w:p>
        </w:tc>
        <w:tc>
          <w:tcPr>
            <w:tcW w:w="2597" w:type="dxa"/>
            <w:tcBorders>
              <w:bottom w:val="single" w:sz="4" w:space="0" w:color="auto"/>
            </w:tcBorders>
          </w:tcPr>
          <w:p w14:paraId="68CC9843" w14:textId="4F03410F" w:rsidR="008F15E2" w:rsidRPr="00284722" w:rsidRDefault="008F15E2" w:rsidP="001C4F86">
            <w:pPr>
              <w:jc w:val="center"/>
              <w:rPr>
                <w:rFonts w:ascii="Arial" w:hAnsi="Arial" w:cs="Arial"/>
                <w:sz w:val="20"/>
                <w:lang w:val="id"/>
              </w:rPr>
            </w:pPr>
            <w:r w:rsidRPr="00284722">
              <w:rPr>
                <w:rFonts w:ascii="Arial" w:hAnsi="Arial" w:cs="Arial"/>
                <w:sz w:val="20"/>
                <w:lang w:val="id"/>
              </w:rPr>
              <w:t>36</w:t>
            </w:r>
            <w:r w:rsidR="00B442CF">
              <w:rPr>
                <w:rFonts w:ascii="Arial" w:hAnsi="Arial" w:cs="Arial"/>
                <w:sz w:val="20"/>
                <w:lang w:val="id"/>
              </w:rPr>
              <w:t>.</w:t>
            </w:r>
            <w:r w:rsidRPr="00284722">
              <w:rPr>
                <w:rFonts w:ascii="Arial" w:hAnsi="Arial" w:cs="Arial"/>
                <w:sz w:val="20"/>
                <w:lang w:val="id"/>
              </w:rPr>
              <w:t xml:space="preserve">99 </w:t>
            </w:r>
            <w:r w:rsidRPr="00284722">
              <w:rPr>
                <w:rFonts w:ascii="Arial" w:hAnsi="Arial" w:cs="Arial"/>
                <w:sz w:val="20"/>
                <w:u w:val="single"/>
                <w:lang w:val="id"/>
              </w:rPr>
              <w:t>+</w:t>
            </w:r>
            <w:r w:rsidRPr="00284722">
              <w:rPr>
                <w:rFonts w:ascii="Arial" w:hAnsi="Arial" w:cs="Arial"/>
                <w:sz w:val="20"/>
                <w:lang w:val="id"/>
              </w:rPr>
              <w:t xml:space="preserve"> 2</w:t>
            </w:r>
            <w:r w:rsidR="00B442CF">
              <w:rPr>
                <w:rFonts w:ascii="Arial" w:hAnsi="Arial" w:cs="Arial"/>
                <w:sz w:val="20"/>
                <w:lang w:val="id"/>
              </w:rPr>
              <w:t>.</w:t>
            </w:r>
            <w:r w:rsidRPr="00284722">
              <w:rPr>
                <w:rFonts w:ascii="Arial" w:hAnsi="Arial" w:cs="Arial"/>
                <w:sz w:val="20"/>
                <w:lang w:val="id"/>
              </w:rPr>
              <w:t>89</w:t>
            </w:r>
          </w:p>
        </w:tc>
      </w:tr>
      <w:tr w:rsidR="008F15E2" w:rsidRPr="00284722" w14:paraId="672753C1" w14:textId="77777777" w:rsidTr="001C4F86">
        <w:tc>
          <w:tcPr>
            <w:tcW w:w="7088" w:type="dxa"/>
            <w:gridSpan w:val="3"/>
            <w:tcBorders>
              <w:top w:val="single" w:sz="4" w:space="0" w:color="auto"/>
            </w:tcBorders>
          </w:tcPr>
          <w:p w14:paraId="19F1AA84" w14:textId="77777777" w:rsidR="008F15E2" w:rsidRPr="00284722" w:rsidRDefault="008F15E2" w:rsidP="001C4F86">
            <w:pPr>
              <w:rPr>
                <w:rFonts w:ascii="Arial" w:hAnsi="Arial" w:cs="Arial"/>
                <w:bCs/>
                <w:sz w:val="20"/>
                <w:lang w:val="id"/>
              </w:rPr>
            </w:pPr>
            <w:r w:rsidRPr="00284722">
              <w:rPr>
                <w:rFonts w:ascii="Arial" w:hAnsi="Arial" w:cs="Arial"/>
                <w:bCs/>
                <w:sz w:val="20"/>
                <w:lang w:val="id"/>
              </w:rPr>
              <w:t>4 cm from midline (mm)</w:t>
            </w:r>
          </w:p>
        </w:tc>
      </w:tr>
      <w:tr w:rsidR="008F15E2" w:rsidRPr="00284722" w14:paraId="0D124B56" w14:textId="77777777" w:rsidTr="001C4F86">
        <w:tc>
          <w:tcPr>
            <w:tcW w:w="1843" w:type="dxa"/>
          </w:tcPr>
          <w:p w14:paraId="6AC51017" w14:textId="77777777" w:rsidR="008F15E2" w:rsidRPr="00284722" w:rsidRDefault="008F15E2" w:rsidP="001C4F86">
            <w:pPr>
              <w:rPr>
                <w:rFonts w:ascii="Arial" w:hAnsi="Arial" w:cs="Arial"/>
                <w:sz w:val="20"/>
                <w:lang w:val="id"/>
              </w:rPr>
            </w:pPr>
            <w:r w:rsidRPr="00284722">
              <w:rPr>
                <w:rFonts w:ascii="Arial" w:hAnsi="Arial" w:cs="Arial"/>
                <w:sz w:val="20"/>
                <w:lang w:val="id"/>
              </w:rPr>
              <w:t>Day-0</w:t>
            </w:r>
          </w:p>
        </w:tc>
        <w:tc>
          <w:tcPr>
            <w:tcW w:w="2648" w:type="dxa"/>
          </w:tcPr>
          <w:p w14:paraId="250741A9" w14:textId="18A8FD22" w:rsidR="008F15E2" w:rsidRPr="00284722" w:rsidRDefault="008F15E2" w:rsidP="001C4F86">
            <w:pPr>
              <w:jc w:val="center"/>
              <w:rPr>
                <w:rFonts w:ascii="Arial" w:hAnsi="Arial" w:cs="Arial"/>
                <w:sz w:val="20"/>
                <w:lang w:val="id"/>
              </w:rPr>
            </w:pPr>
            <w:r w:rsidRPr="00284722">
              <w:rPr>
                <w:rFonts w:ascii="Arial" w:hAnsi="Arial" w:cs="Arial"/>
                <w:sz w:val="20"/>
                <w:lang w:val="id"/>
              </w:rPr>
              <w:t>1</w:t>
            </w:r>
            <w:r w:rsidR="00B442CF">
              <w:rPr>
                <w:rFonts w:ascii="Arial" w:hAnsi="Arial" w:cs="Arial"/>
                <w:sz w:val="20"/>
                <w:lang w:val="id"/>
              </w:rPr>
              <w:t>.</w:t>
            </w:r>
            <w:r w:rsidRPr="00284722">
              <w:rPr>
                <w:rFonts w:ascii="Arial" w:hAnsi="Arial" w:cs="Arial"/>
                <w:sz w:val="20"/>
                <w:lang w:val="id"/>
              </w:rPr>
              <w:t xml:space="preserve">31 </w:t>
            </w:r>
            <w:r w:rsidRPr="00284722">
              <w:rPr>
                <w:rFonts w:ascii="Arial" w:hAnsi="Arial" w:cs="Arial"/>
                <w:sz w:val="20"/>
                <w:u w:val="single"/>
                <w:lang w:val="id"/>
              </w:rPr>
              <w:t>+</w:t>
            </w:r>
            <w:r w:rsidRPr="00284722">
              <w:rPr>
                <w:rFonts w:ascii="Arial" w:hAnsi="Arial" w:cs="Arial"/>
                <w:sz w:val="20"/>
                <w:lang w:val="id"/>
              </w:rPr>
              <w:t xml:space="preserve"> 0</w:t>
            </w:r>
            <w:r w:rsidR="00B442CF">
              <w:rPr>
                <w:rFonts w:ascii="Arial" w:hAnsi="Arial" w:cs="Arial"/>
                <w:sz w:val="20"/>
                <w:lang w:val="id"/>
              </w:rPr>
              <w:t>.</w:t>
            </w:r>
            <w:r w:rsidRPr="00284722">
              <w:rPr>
                <w:rFonts w:ascii="Arial" w:hAnsi="Arial" w:cs="Arial"/>
                <w:sz w:val="20"/>
                <w:lang w:val="id"/>
              </w:rPr>
              <w:t>07</w:t>
            </w:r>
          </w:p>
        </w:tc>
        <w:tc>
          <w:tcPr>
            <w:tcW w:w="2597" w:type="dxa"/>
          </w:tcPr>
          <w:p w14:paraId="226EBB40" w14:textId="2EFECF7C" w:rsidR="008F15E2" w:rsidRPr="00284722" w:rsidRDefault="008F15E2" w:rsidP="001C4F86">
            <w:pPr>
              <w:jc w:val="center"/>
              <w:rPr>
                <w:rFonts w:ascii="Arial" w:hAnsi="Arial" w:cs="Arial"/>
                <w:sz w:val="20"/>
                <w:lang w:val="id"/>
              </w:rPr>
            </w:pPr>
            <w:r w:rsidRPr="00284722">
              <w:rPr>
                <w:rFonts w:ascii="Arial" w:hAnsi="Arial" w:cs="Arial"/>
                <w:sz w:val="20"/>
                <w:lang w:val="id"/>
              </w:rPr>
              <w:t>1</w:t>
            </w:r>
            <w:r w:rsidR="00B442CF">
              <w:rPr>
                <w:rFonts w:ascii="Arial" w:hAnsi="Arial" w:cs="Arial"/>
                <w:sz w:val="20"/>
                <w:lang w:val="id"/>
              </w:rPr>
              <w:t>.</w:t>
            </w:r>
            <w:r w:rsidRPr="00284722">
              <w:rPr>
                <w:rFonts w:ascii="Arial" w:hAnsi="Arial" w:cs="Arial"/>
                <w:sz w:val="20"/>
                <w:lang w:val="id"/>
              </w:rPr>
              <w:t xml:space="preserve">29 </w:t>
            </w:r>
            <w:r w:rsidRPr="00284722">
              <w:rPr>
                <w:rFonts w:ascii="Arial" w:hAnsi="Arial" w:cs="Arial"/>
                <w:sz w:val="20"/>
                <w:u w:val="single"/>
                <w:lang w:val="id"/>
              </w:rPr>
              <w:t>+</w:t>
            </w:r>
            <w:r w:rsidRPr="00284722">
              <w:rPr>
                <w:rFonts w:ascii="Arial" w:hAnsi="Arial" w:cs="Arial"/>
                <w:sz w:val="20"/>
                <w:lang w:val="id"/>
              </w:rPr>
              <w:t xml:space="preserve"> 0</w:t>
            </w:r>
            <w:r w:rsidR="00B442CF">
              <w:rPr>
                <w:rFonts w:ascii="Arial" w:hAnsi="Arial" w:cs="Arial"/>
                <w:sz w:val="20"/>
                <w:lang w:val="id"/>
              </w:rPr>
              <w:t>.</w:t>
            </w:r>
            <w:r w:rsidRPr="00284722">
              <w:rPr>
                <w:rFonts w:ascii="Arial" w:hAnsi="Arial" w:cs="Arial"/>
                <w:sz w:val="20"/>
                <w:lang w:val="id"/>
              </w:rPr>
              <w:t>13</w:t>
            </w:r>
          </w:p>
        </w:tc>
      </w:tr>
      <w:tr w:rsidR="008F15E2" w:rsidRPr="00284722" w14:paraId="3B54F957" w14:textId="77777777" w:rsidTr="001C4F86">
        <w:tc>
          <w:tcPr>
            <w:tcW w:w="1843" w:type="dxa"/>
          </w:tcPr>
          <w:p w14:paraId="11E0E7DB" w14:textId="77777777" w:rsidR="008F15E2" w:rsidRPr="00284722" w:rsidRDefault="008F15E2" w:rsidP="001C4F86">
            <w:pPr>
              <w:rPr>
                <w:rFonts w:ascii="Arial" w:hAnsi="Arial" w:cs="Arial"/>
                <w:sz w:val="20"/>
                <w:lang w:val="id"/>
              </w:rPr>
            </w:pPr>
            <w:r w:rsidRPr="00284722">
              <w:rPr>
                <w:rFonts w:ascii="Arial" w:hAnsi="Arial" w:cs="Arial"/>
                <w:sz w:val="20"/>
                <w:lang w:val="id"/>
              </w:rPr>
              <w:t>Week-4</w:t>
            </w:r>
          </w:p>
        </w:tc>
        <w:tc>
          <w:tcPr>
            <w:tcW w:w="2648" w:type="dxa"/>
          </w:tcPr>
          <w:p w14:paraId="7C2B6637" w14:textId="4049E9EB" w:rsidR="008F15E2" w:rsidRPr="00284722" w:rsidRDefault="008F15E2" w:rsidP="001C4F86">
            <w:pPr>
              <w:jc w:val="center"/>
              <w:rPr>
                <w:rFonts w:ascii="Arial" w:hAnsi="Arial" w:cs="Arial"/>
                <w:sz w:val="20"/>
                <w:lang w:val="id"/>
              </w:rPr>
            </w:pPr>
            <w:r w:rsidRPr="00284722">
              <w:rPr>
                <w:rFonts w:ascii="Arial" w:hAnsi="Arial" w:cs="Arial"/>
                <w:sz w:val="20"/>
                <w:lang w:val="id"/>
              </w:rPr>
              <w:t>14</w:t>
            </w:r>
            <w:r w:rsidR="00B442CF">
              <w:rPr>
                <w:rFonts w:ascii="Arial" w:hAnsi="Arial" w:cs="Arial"/>
                <w:sz w:val="20"/>
                <w:lang w:val="id"/>
              </w:rPr>
              <w:t>.</w:t>
            </w:r>
            <w:r w:rsidRPr="00284722">
              <w:rPr>
                <w:rFonts w:ascii="Arial" w:hAnsi="Arial" w:cs="Arial"/>
                <w:sz w:val="20"/>
                <w:lang w:val="id"/>
              </w:rPr>
              <w:t xml:space="preserve">61 </w:t>
            </w:r>
            <w:r w:rsidRPr="00284722">
              <w:rPr>
                <w:rFonts w:ascii="Arial" w:hAnsi="Arial" w:cs="Arial"/>
                <w:sz w:val="20"/>
                <w:u w:val="single"/>
                <w:lang w:val="id"/>
              </w:rPr>
              <w:t>+</w:t>
            </w:r>
            <w:r w:rsidRPr="00284722">
              <w:rPr>
                <w:rFonts w:ascii="Arial" w:hAnsi="Arial" w:cs="Arial"/>
                <w:sz w:val="20"/>
                <w:lang w:val="id"/>
              </w:rPr>
              <w:t xml:space="preserve"> 0</w:t>
            </w:r>
            <w:r w:rsidR="00B442CF">
              <w:rPr>
                <w:rFonts w:ascii="Arial" w:hAnsi="Arial" w:cs="Arial"/>
                <w:sz w:val="20"/>
                <w:lang w:val="id"/>
              </w:rPr>
              <w:t>.</w:t>
            </w:r>
            <w:r w:rsidRPr="00284722">
              <w:rPr>
                <w:rFonts w:ascii="Arial" w:hAnsi="Arial" w:cs="Arial"/>
                <w:sz w:val="20"/>
                <w:lang w:val="id"/>
              </w:rPr>
              <w:t>91</w:t>
            </w:r>
          </w:p>
        </w:tc>
        <w:tc>
          <w:tcPr>
            <w:tcW w:w="2597" w:type="dxa"/>
          </w:tcPr>
          <w:p w14:paraId="27FD4BE3" w14:textId="10AE6B4A" w:rsidR="008F15E2" w:rsidRPr="00284722" w:rsidRDefault="008F15E2" w:rsidP="001C4F86">
            <w:pPr>
              <w:jc w:val="center"/>
              <w:rPr>
                <w:rFonts w:ascii="Arial" w:hAnsi="Arial" w:cs="Arial"/>
                <w:sz w:val="20"/>
                <w:lang w:val="id"/>
              </w:rPr>
            </w:pPr>
            <w:r w:rsidRPr="00284722">
              <w:rPr>
                <w:rFonts w:ascii="Arial" w:hAnsi="Arial" w:cs="Arial"/>
                <w:sz w:val="20"/>
                <w:lang w:val="id"/>
              </w:rPr>
              <w:t>9</w:t>
            </w:r>
            <w:r w:rsidR="00750B17">
              <w:rPr>
                <w:rFonts w:ascii="Arial" w:hAnsi="Arial" w:cs="Arial"/>
                <w:sz w:val="20"/>
                <w:lang w:val="id"/>
              </w:rPr>
              <w:t>.</w:t>
            </w:r>
            <w:r w:rsidRPr="00284722">
              <w:rPr>
                <w:rFonts w:ascii="Arial" w:hAnsi="Arial" w:cs="Arial"/>
                <w:sz w:val="20"/>
                <w:lang w:val="id"/>
              </w:rPr>
              <w:t xml:space="preserve">94 </w:t>
            </w:r>
            <w:r w:rsidRPr="00284722">
              <w:rPr>
                <w:rFonts w:ascii="Arial" w:hAnsi="Arial" w:cs="Arial"/>
                <w:sz w:val="20"/>
                <w:u w:val="single"/>
                <w:lang w:val="id"/>
              </w:rPr>
              <w:t>+</w:t>
            </w:r>
            <w:r w:rsidRPr="00284722">
              <w:rPr>
                <w:rFonts w:ascii="Arial" w:hAnsi="Arial" w:cs="Arial"/>
                <w:sz w:val="20"/>
                <w:lang w:val="id"/>
              </w:rPr>
              <w:t xml:space="preserve"> 0</w:t>
            </w:r>
            <w:r w:rsidR="00750B17">
              <w:rPr>
                <w:rFonts w:ascii="Arial" w:hAnsi="Arial" w:cs="Arial"/>
                <w:sz w:val="20"/>
                <w:lang w:val="id"/>
              </w:rPr>
              <w:t>.</w:t>
            </w:r>
            <w:r w:rsidRPr="00284722">
              <w:rPr>
                <w:rFonts w:ascii="Arial" w:hAnsi="Arial" w:cs="Arial"/>
                <w:sz w:val="20"/>
                <w:lang w:val="id"/>
              </w:rPr>
              <w:t>75</w:t>
            </w:r>
          </w:p>
        </w:tc>
      </w:tr>
      <w:tr w:rsidR="008F15E2" w:rsidRPr="00284722" w14:paraId="02C7CC43" w14:textId="77777777" w:rsidTr="001C4F86">
        <w:tc>
          <w:tcPr>
            <w:tcW w:w="1843" w:type="dxa"/>
          </w:tcPr>
          <w:p w14:paraId="45EE4916" w14:textId="77777777" w:rsidR="008F15E2" w:rsidRPr="00284722" w:rsidRDefault="008F15E2" w:rsidP="001C4F86">
            <w:pPr>
              <w:rPr>
                <w:rFonts w:ascii="Arial" w:hAnsi="Arial" w:cs="Arial"/>
                <w:sz w:val="20"/>
                <w:lang w:val="id"/>
              </w:rPr>
            </w:pPr>
            <w:r w:rsidRPr="00284722">
              <w:rPr>
                <w:rFonts w:ascii="Arial" w:hAnsi="Arial" w:cs="Arial"/>
                <w:sz w:val="20"/>
                <w:lang w:val="id"/>
              </w:rPr>
              <w:t>Week-12</w:t>
            </w:r>
          </w:p>
        </w:tc>
        <w:tc>
          <w:tcPr>
            <w:tcW w:w="2648" w:type="dxa"/>
          </w:tcPr>
          <w:p w14:paraId="61769999" w14:textId="601EEF8B" w:rsidR="008F15E2" w:rsidRPr="00284722" w:rsidRDefault="008F15E2" w:rsidP="001C4F86">
            <w:pPr>
              <w:jc w:val="center"/>
              <w:rPr>
                <w:rFonts w:ascii="Arial" w:hAnsi="Arial" w:cs="Arial"/>
                <w:sz w:val="20"/>
                <w:lang w:val="id"/>
              </w:rPr>
            </w:pPr>
            <w:r w:rsidRPr="00284722">
              <w:rPr>
                <w:rFonts w:ascii="Arial" w:hAnsi="Arial" w:cs="Arial"/>
                <w:sz w:val="20"/>
                <w:lang w:val="id"/>
              </w:rPr>
              <w:t>41</w:t>
            </w:r>
            <w:r w:rsidR="00750B17">
              <w:rPr>
                <w:rFonts w:ascii="Arial" w:hAnsi="Arial" w:cs="Arial"/>
                <w:sz w:val="20"/>
                <w:lang w:val="id"/>
              </w:rPr>
              <w:t>.</w:t>
            </w:r>
            <w:r w:rsidRPr="00284722">
              <w:rPr>
                <w:rFonts w:ascii="Arial" w:hAnsi="Arial" w:cs="Arial"/>
                <w:sz w:val="20"/>
                <w:lang w:val="id"/>
              </w:rPr>
              <w:t xml:space="preserve">40 </w:t>
            </w:r>
            <w:r w:rsidRPr="00284722">
              <w:rPr>
                <w:rFonts w:ascii="Arial" w:hAnsi="Arial" w:cs="Arial"/>
                <w:sz w:val="20"/>
                <w:u w:val="single"/>
                <w:lang w:val="id"/>
              </w:rPr>
              <w:t>+</w:t>
            </w:r>
            <w:r w:rsidRPr="00284722">
              <w:rPr>
                <w:rFonts w:ascii="Arial" w:hAnsi="Arial" w:cs="Arial"/>
                <w:sz w:val="20"/>
                <w:lang w:val="id"/>
              </w:rPr>
              <w:t xml:space="preserve"> 2</w:t>
            </w:r>
            <w:r w:rsidR="00750B17">
              <w:rPr>
                <w:rFonts w:ascii="Arial" w:hAnsi="Arial" w:cs="Arial"/>
                <w:sz w:val="20"/>
                <w:lang w:val="id"/>
              </w:rPr>
              <w:t>.</w:t>
            </w:r>
            <w:r w:rsidRPr="00284722">
              <w:rPr>
                <w:rFonts w:ascii="Arial" w:hAnsi="Arial" w:cs="Arial"/>
                <w:sz w:val="20"/>
                <w:lang w:val="id"/>
              </w:rPr>
              <w:t>70</w:t>
            </w:r>
          </w:p>
        </w:tc>
        <w:tc>
          <w:tcPr>
            <w:tcW w:w="2597" w:type="dxa"/>
          </w:tcPr>
          <w:p w14:paraId="1DEF5CCC" w14:textId="56712BD9" w:rsidR="008F15E2" w:rsidRPr="00284722" w:rsidRDefault="008F15E2" w:rsidP="001C4F86">
            <w:pPr>
              <w:jc w:val="center"/>
              <w:rPr>
                <w:rFonts w:ascii="Arial" w:hAnsi="Arial" w:cs="Arial"/>
                <w:sz w:val="20"/>
                <w:lang w:val="id"/>
              </w:rPr>
            </w:pPr>
            <w:r w:rsidRPr="00284722">
              <w:rPr>
                <w:rFonts w:ascii="Arial" w:hAnsi="Arial" w:cs="Arial"/>
                <w:sz w:val="20"/>
                <w:lang w:val="id"/>
              </w:rPr>
              <w:t>27</w:t>
            </w:r>
            <w:r w:rsidR="00750B17">
              <w:rPr>
                <w:rFonts w:ascii="Arial" w:hAnsi="Arial" w:cs="Arial"/>
                <w:sz w:val="20"/>
                <w:lang w:val="id"/>
              </w:rPr>
              <w:t>.</w:t>
            </w:r>
            <w:r w:rsidRPr="00284722">
              <w:rPr>
                <w:rFonts w:ascii="Arial" w:hAnsi="Arial" w:cs="Arial"/>
                <w:sz w:val="20"/>
                <w:lang w:val="id"/>
              </w:rPr>
              <w:t xml:space="preserve">66 </w:t>
            </w:r>
            <w:r w:rsidRPr="00284722">
              <w:rPr>
                <w:rFonts w:ascii="Arial" w:hAnsi="Arial" w:cs="Arial"/>
                <w:sz w:val="20"/>
                <w:u w:val="single"/>
                <w:lang w:val="id"/>
              </w:rPr>
              <w:t>+</w:t>
            </w:r>
            <w:r w:rsidRPr="00284722">
              <w:rPr>
                <w:rFonts w:ascii="Arial" w:hAnsi="Arial" w:cs="Arial"/>
                <w:sz w:val="20"/>
                <w:lang w:val="id"/>
              </w:rPr>
              <w:t xml:space="preserve"> 2</w:t>
            </w:r>
            <w:r w:rsidR="00750B17">
              <w:rPr>
                <w:rFonts w:ascii="Arial" w:hAnsi="Arial" w:cs="Arial"/>
                <w:sz w:val="20"/>
                <w:lang w:val="id"/>
              </w:rPr>
              <w:t>.</w:t>
            </w:r>
            <w:r w:rsidRPr="00284722">
              <w:rPr>
                <w:rFonts w:ascii="Arial" w:hAnsi="Arial" w:cs="Arial"/>
                <w:sz w:val="20"/>
                <w:lang w:val="id"/>
              </w:rPr>
              <w:t>16</w:t>
            </w:r>
          </w:p>
        </w:tc>
      </w:tr>
      <w:tr w:rsidR="008F15E2" w:rsidRPr="00284722" w14:paraId="06AD9BD2" w14:textId="77777777" w:rsidTr="001C4F86">
        <w:tc>
          <w:tcPr>
            <w:tcW w:w="1843" w:type="dxa"/>
            <w:tcBorders>
              <w:bottom w:val="single" w:sz="4" w:space="0" w:color="auto"/>
            </w:tcBorders>
          </w:tcPr>
          <w:p w14:paraId="45F3EB20" w14:textId="77777777" w:rsidR="008F15E2" w:rsidRPr="00284722" w:rsidRDefault="008F15E2" w:rsidP="001C4F86">
            <w:pPr>
              <w:rPr>
                <w:rFonts w:ascii="Arial" w:hAnsi="Arial" w:cs="Arial"/>
                <w:sz w:val="20"/>
                <w:lang w:val="id"/>
              </w:rPr>
            </w:pPr>
            <w:r w:rsidRPr="00284722">
              <w:rPr>
                <w:rFonts w:ascii="Arial" w:hAnsi="Arial" w:cs="Arial"/>
                <w:sz w:val="20"/>
                <w:lang w:val="id"/>
              </w:rPr>
              <w:t>Week-16</w:t>
            </w:r>
          </w:p>
        </w:tc>
        <w:tc>
          <w:tcPr>
            <w:tcW w:w="2648" w:type="dxa"/>
            <w:tcBorders>
              <w:bottom w:val="single" w:sz="4" w:space="0" w:color="auto"/>
            </w:tcBorders>
          </w:tcPr>
          <w:p w14:paraId="398FFABA" w14:textId="09FD2E15" w:rsidR="008F15E2" w:rsidRPr="00284722" w:rsidRDefault="008F15E2" w:rsidP="001C4F86">
            <w:pPr>
              <w:jc w:val="center"/>
              <w:rPr>
                <w:rFonts w:ascii="Arial" w:hAnsi="Arial" w:cs="Arial"/>
                <w:sz w:val="20"/>
                <w:lang w:val="id"/>
              </w:rPr>
            </w:pPr>
            <w:r w:rsidRPr="00284722">
              <w:rPr>
                <w:rFonts w:ascii="Arial" w:hAnsi="Arial" w:cs="Arial"/>
                <w:sz w:val="20"/>
                <w:lang w:val="id"/>
              </w:rPr>
              <w:t>54</w:t>
            </w:r>
            <w:r w:rsidR="00750B17">
              <w:rPr>
                <w:rFonts w:ascii="Arial" w:hAnsi="Arial" w:cs="Arial"/>
                <w:sz w:val="20"/>
                <w:lang w:val="id"/>
              </w:rPr>
              <w:t>.</w:t>
            </w:r>
            <w:r w:rsidRPr="00284722">
              <w:rPr>
                <w:rFonts w:ascii="Arial" w:hAnsi="Arial" w:cs="Arial"/>
                <w:sz w:val="20"/>
                <w:lang w:val="id"/>
              </w:rPr>
              <w:t xml:space="preserve">86 </w:t>
            </w:r>
            <w:r w:rsidRPr="00284722">
              <w:rPr>
                <w:rFonts w:ascii="Arial" w:hAnsi="Arial" w:cs="Arial"/>
                <w:sz w:val="20"/>
                <w:u w:val="single"/>
                <w:lang w:val="id"/>
              </w:rPr>
              <w:t>+</w:t>
            </w:r>
            <w:r w:rsidRPr="00284722">
              <w:rPr>
                <w:rFonts w:ascii="Arial" w:hAnsi="Arial" w:cs="Arial"/>
                <w:sz w:val="20"/>
                <w:lang w:val="id"/>
              </w:rPr>
              <w:t xml:space="preserve"> 3</w:t>
            </w:r>
            <w:r w:rsidR="00750B17">
              <w:rPr>
                <w:rFonts w:ascii="Arial" w:hAnsi="Arial" w:cs="Arial"/>
                <w:sz w:val="20"/>
                <w:lang w:val="id"/>
              </w:rPr>
              <w:t>.</w:t>
            </w:r>
            <w:r w:rsidRPr="00284722">
              <w:rPr>
                <w:rFonts w:ascii="Arial" w:hAnsi="Arial" w:cs="Arial"/>
                <w:sz w:val="20"/>
                <w:lang w:val="id"/>
              </w:rPr>
              <w:t>57</w:t>
            </w:r>
          </w:p>
        </w:tc>
        <w:tc>
          <w:tcPr>
            <w:tcW w:w="2597" w:type="dxa"/>
            <w:tcBorders>
              <w:bottom w:val="single" w:sz="4" w:space="0" w:color="auto"/>
            </w:tcBorders>
          </w:tcPr>
          <w:p w14:paraId="639282B7" w14:textId="23CA48E1" w:rsidR="008F15E2" w:rsidRPr="00284722" w:rsidRDefault="008F15E2" w:rsidP="001C4F86">
            <w:pPr>
              <w:jc w:val="center"/>
              <w:rPr>
                <w:rFonts w:ascii="Arial" w:hAnsi="Arial" w:cs="Arial"/>
                <w:sz w:val="20"/>
                <w:lang w:val="id"/>
              </w:rPr>
            </w:pPr>
            <w:r w:rsidRPr="00284722">
              <w:rPr>
                <w:rFonts w:ascii="Arial" w:hAnsi="Arial" w:cs="Arial"/>
                <w:sz w:val="20"/>
                <w:lang w:val="id"/>
              </w:rPr>
              <w:t>36</w:t>
            </w:r>
            <w:r w:rsidR="00750B17">
              <w:rPr>
                <w:rFonts w:ascii="Arial" w:hAnsi="Arial" w:cs="Arial"/>
                <w:sz w:val="20"/>
                <w:lang w:val="id"/>
              </w:rPr>
              <w:t>.</w:t>
            </w:r>
            <w:r w:rsidRPr="00284722">
              <w:rPr>
                <w:rFonts w:ascii="Arial" w:hAnsi="Arial" w:cs="Arial"/>
                <w:sz w:val="20"/>
                <w:lang w:val="id"/>
              </w:rPr>
              <w:t xml:space="preserve">64 </w:t>
            </w:r>
            <w:r w:rsidRPr="00284722">
              <w:rPr>
                <w:rFonts w:ascii="Arial" w:hAnsi="Arial" w:cs="Arial"/>
                <w:sz w:val="20"/>
                <w:u w:val="single"/>
                <w:lang w:val="id"/>
              </w:rPr>
              <w:t>+</w:t>
            </w:r>
            <w:r w:rsidRPr="00284722">
              <w:rPr>
                <w:rFonts w:ascii="Arial" w:hAnsi="Arial" w:cs="Arial"/>
                <w:sz w:val="20"/>
                <w:lang w:val="id"/>
              </w:rPr>
              <w:t xml:space="preserve"> 2</w:t>
            </w:r>
            <w:r w:rsidR="00750B17">
              <w:rPr>
                <w:rFonts w:ascii="Arial" w:hAnsi="Arial" w:cs="Arial"/>
                <w:sz w:val="20"/>
                <w:lang w:val="id"/>
              </w:rPr>
              <w:t>.</w:t>
            </w:r>
            <w:r w:rsidRPr="00284722">
              <w:rPr>
                <w:rFonts w:ascii="Arial" w:hAnsi="Arial" w:cs="Arial"/>
                <w:sz w:val="20"/>
                <w:lang w:val="id"/>
              </w:rPr>
              <w:t>89</w:t>
            </w:r>
          </w:p>
        </w:tc>
      </w:tr>
    </w:tbl>
    <w:p w14:paraId="4D3F8BFF" w14:textId="77777777" w:rsidR="008F15E2" w:rsidRDefault="008F15E2" w:rsidP="008F15E2">
      <w:pPr>
        <w:pStyle w:val="Body"/>
        <w:spacing w:after="0"/>
        <w:rPr>
          <w:rFonts w:ascii="Arial" w:hAnsi="Arial" w:cs="Arial"/>
        </w:rPr>
      </w:pPr>
    </w:p>
    <w:p w14:paraId="19EAA522" w14:textId="77777777" w:rsidR="008F15E2" w:rsidRDefault="008F15E2" w:rsidP="008F15E2">
      <w:pPr>
        <w:pStyle w:val="Body"/>
        <w:spacing w:after="0"/>
        <w:rPr>
          <w:rFonts w:ascii="Arial" w:hAnsi="Arial" w:cs="Arial"/>
        </w:rPr>
      </w:pPr>
    </w:p>
    <w:p w14:paraId="59CDC79E" w14:textId="77777777" w:rsidR="008F15E2" w:rsidRDefault="008F15E2" w:rsidP="008F15E2">
      <w:pPr>
        <w:pStyle w:val="Body"/>
        <w:spacing w:after="0"/>
        <w:rPr>
          <w:rFonts w:ascii="Arial" w:hAnsi="Arial" w:cs="Arial"/>
        </w:rPr>
      </w:pPr>
    </w:p>
    <w:p w14:paraId="466FD011" w14:textId="77777777" w:rsidR="008F15E2" w:rsidRDefault="008F15E2" w:rsidP="008F15E2">
      <w:pPr>
        <w:pStyle w:val="Body"/>
        <w:spacing w:after="0"/>
        <w:rPr>
          <w:rFonts w:ascii="Arial" w:hAnsi="Arial" w:cs="Arial"/>
        </w:rPr>
      </w:pPr>
    </w:p>
    <w:p w14:paraId="4A8DE395" w14:textId="77777777" w:rsidR="008F15E2" w:rsidRDefault="008F15E2" w:rsidP="008F15E2">
      <w:pPr>
        <w:pStyle w:val="Body"/>
        <w:spacing w:after="0"/>
        <w:rPr>
          <w:rFonts w:ascii="Arial" w:hAnsi="Arial" w:cs="Arial"/>
        </w:rPr>
      </w:pPr>
    </w:p>
    <w:p w14:paraId="3E38FD1A" w14:textId="77777777" w:rsidR="008F15E2" w:rsidRDefault="008F15E2" w:rsidP="00FE76BD">
      <w:pPr>
        <w:pStyle w:val="Body"/>
        <w:rPr>
          <w:rFonts w:ascii="Arial" w:hAnsi="Arial" w:cs="Arial"/>
        </w:rPr>
      </w:pPr>
    </w:p>
    <w:p w14:paraId="4E071E63" w14:textId="77777777" w:rsidR="008F15E2" w:rsidRDefault="008F15E2" w:rsidP="00FE76BD">
      <w:pPr>
        <w:pStyle w:val="Body"/>
        <w:rPr>
          <w:rFonts w:ascii="Arial" w:hAnsi="Arial" w:cs="Arial"/>
        </w:rPr>
      </w:pPr>
    </w:p>
    <w:p w14:paraId="6AB265E2" w14:textId="77777777" w:rsidR="008F15E2" w:rsidRDefault="008F15E2" w:rsidP="00FE76BD">
      <w:pPr>
        <w:pStyle w:val="Body"/>
        <w:rPr>
          <w:rFonts w:ascii="Arial" w:hAnsi="Arial" w:cs="Arial"/>
        </w:rPr>
      </w:pPr>
    </w:p>
    <w:p w14:paraId="6BB351F3" w14:textId="77777777" w:rsidR="008F15E2" w:rsidRDefault="008F15E2" w:rsidP="00FE76BD">
      <w:pPr>
        <w:pStyle w:val="Body"/>
        <w:rPr>
          <w:rFonts w:ascii="Arial" w:hAnsi="Arial" w:cs="Arial"/>
        </w:rPr>
      </w:pPr>
    </w:p>
    <w:p w14:paraId="292452A5" w14:textId="6E88DC95" w:rsidR="00FE76BD" w:rsidRPr="007E4896" w:rsidRDefault="00FE76BD" w:rsidP="00FE76BD">
      <w:pPr>
        <w:pStyle w:val="Body"/>
        <w:rPr>
          <w:rFonts w:ascii="Arial" w:hAnsi="Arial" w:cs="Arial"/>
          <w:lang w:val="en-ID"/>
        </w:rPr>
      </w:pPr>
      <w:r w:rsidRPr="007E4896">
        <w:rPr>
          <w:rFonts w:ascii="Arial" w:hAnsi="Arial" w:cs="Arial"/>
          <w:lang w:val="en-ID"/>
        </w:rPr>
        <w:t xml:space="preserve">In this study, transplanted hair demonstrated growth, with mean length at 16 weeks reaching 55.31 ± 3.66 cm at 2 cm from the midline in the DHI+PRP group versus 36.99 ± 2.89 cm in the DHI group, and 54.86 ± 3.57 cm versus 36.64 ± 2.89 cm at 4 cm, respectively. Transplanted follicles undergo a natural cycle beginning with telogen effluvium (2–4 weeks), followed by a latent phase before re-entering anagen, driven by hair follicle-associated pluripotent stem cells (Asakawa </w:t>
      </w:r>
      <w:r w:rsidRPr="007E4896">
        <w:rPr>
          <w:rFonts w:ascii="Arial" w:hAnsi="Arial" w:cs="Arial"/>
          <w:i/>
          <w:iCs/>
          <w:lang w:val="en-ID"/>
        </w:rPr>
        <w:t>et al</w:t>
      </w:r>
      <w:r w:rsidRPr="007E4896">
        <w:rPr>
          <w:rFonts w:ascii="Arial" w:hAnsi="Arial" w:cs="Arial"/>
          <w:lang w:val="en-ID"/>
        </w:rPr>
        <w:t>., 2012</w:t>
      </w:r>
      <w:r w:rsidR="00563161">
        <w:rPr>
          <w:rFonts w:ascii="Arial" w:hAnsi="Arial" w:cs="Arial"/>
          <w:lang w:val="en-ID"/>
        </w:rPr>
        <w:t xml:space="preserve">; Obara </w:t>
      </w:r>
      <w:r w:rsidR="00563161">
        <w:rPr>
          <w:rFonts w:ascii="Arial" w:hAnsi="Arial" w:cs="Arial"/>
          <w:i/>
          <w:iCs/>
          <w:lang w:val="en-ID"/>
        </w:rPr>
        <w:t xml:space="preserve">et al., </w:t>
      </w:r>
      <w:r w:rsidR="00563161">
        <w:rPr>
          <w:rFonts w:ascii="Arial" w:hAnsi="Arial" w:cs="Arial"/>
          <w:lang w:val="en-ID"/>
        </w:rPr>
        <w:t>20</w:t>
      </w:r>
      <w:r w:rsidR="00DC7575">
        <w:rPr>
          <w:rFonts w:ascii="Arial" w:hAnsi="Arial" w:cs="Arial"/>
          <w:lang w:val="en-ID"/>
        </w:rPr>
        <w:t>22</w:t>
      </w:r>
      <w:r w:rsidRPr="007E4896">
        <w:rPr>
          <w:rFonts w:ascii="Arial" w:hAnsi="Arial" w:cs="Arial"/>
          <w:lang w:val="en-ID"/>
        </w:rPr>
        <w:t>).</w:t>
      </w:r>
    </w:p>
    <w:p w14:paraId="171CF736" w14:textId="4BECA792" w:rsidR="00774893" w:rsidRPr="008F15E2" w:rsidRDefault="00FE76BD" w:rsidP="008F15E2">
      <w:pPr>
        <w:pStyle w:val="Body"/>
        <w:rPr>
          <w:rFonts w:ascii="Arial" w:hAnsi="Arial" w:cs="Arial"/>
          <w:lang w:val="en-ID"/>
        </w:rPr>
      </w:pPr>
      <w:r w:rsidRPr="007E4896">
        <w:rPr>
          <w:rFonts w:ascii="Arial" w:hAnsi="Arial" w:cs="Arial"/>
          <w:lang w:val="en-ID"/>
        </w:rPr>
        <w:t>Transplanted hair retains donor genetic characteristics, continuing its natural growth cycle with preserved tensile strength, elasticity, and growth rate, provided follicles remain viable (Robbins, 2012). Shedding during telogen effluvium is expected, with regrowth typically visible after 3–4 months and full density achieved within 9–12 months (Blume-</w:t>
      </w:r>
      <w:proofErr w:type="spellStart"/>
      <w:r w:rsidRPr="007E4896">
        <w:rPr>
          <w:rFonts w:ascii="Arial" w:hAnsi="Arial" w:cs="Arial"/>
          <w:lang w:val="en-ID"/>
        </w:rPr>
        <w:t>Peytavi</w:t>
      </w:r>
      <w:proofErr w:type="spellEnd"/>
      <w:r w:rsidRPr="007E4896">
        <w:rPr>
          <w:rFonts w:ascii="Arial" w:hAnsi="Arial" w:cs="Arial"/>
          <w:lang w:val="en-ID"/>
        </w:rPr>
        <w:t xml:space="preserve"> </w:t>
      </w:r>
      <w:r w:rsidRPr="007E4896">
        <w:rPr>
          <w:rFonts w:ascii="Arial" w:hAnsi="Arial" w:cs="Arial"/>
          <w:i/>
          <w:iCs/>
          <w:lang w:val="en-ID"/>
        </w:rPr>
        <w:t>et al</w:t>
      </w:r>
      <w:r w:rsidRPr="007E4896">
        <w:rPr>
          <w:rFonts w:ascii="Arial" w:hAnsi="Arial" w:cs="Arial"/>
          <w:lang w:val="en-ID"/>
        </w:rPr>
        <w:t>., 2008). Hair maturation continues over 12–18 months, though density may vary due to individual follicle response and surgical technique; the anagen phase remains intact, allowing sustained growth (Robbins, 2012).</w:t>
      </w:r>
    </w:p>
    <w:p w14:paraId="7EBC083E" w14:textId="5190A511" w:rsidR="00B234BA" w:rsidRDefault="00774893" w:rsidP="00441B6F">
      <w:pPr>
        <w:pStyle w:val="Body"/>
        <w:spacing w:after="0"/>
        <w:rPr>
          <w:rFonts w:ascii="Arial" w:hAnsi="Arial" w:cs="Arial"/>
        </w:rPr>
      </w:pPr>
      <w:r w:rsidRPr="00774893">
        <w:rPr>
          <w:rFonts w:ascii="Arial" w:hAnsi="Arial" w:cs="Arial"/>
          <w:b/>
          <w:bCs/>
          <w:sz w:val="22"/>
          <w:szCs w:val="22"/>
        </w:rPr>
        <w:t xml:space="preserve">3.4. </w:t>
      </w:r>
      <w:r>
        <w:rPr>
          <w:rFonts w:ascii="Arial" w:hAnsi="Arial" w:cs="Arial"/>
          <w:b/>
          <w:bCs/>
          <w:sz w:val="22"/>
          <w:szCs w:val="22"/>
        </w:rPr>
        <w:t xml:space="preserve">Effects of PRP to hair </w:t>
      </w:r>
      <w:r w:rsidR="00804315">
        <w:rPr>
          <w:rFonts w:ascii="Arial" w:hAnsi="Arial" w:cs="Arial"/>
          <w:b/>
          <w:bCs/>
          <w:sz w:val="22"/>
          <w:szCs w:val="22"/>
        </w:rPr>
        <w:t>follicles density</w:t>
      </w:r>
      <w:r>
        <w:rPr>
          <w:rFonts w:ascii="Arial" w:hAnsi="Arial" w:cs="Arial"/>
          <w:b/>
          <w:bCs/>
          <w:sz w:val="22"/>
          <w:szCs w:val="22"/>
        </w:rPr>
        <w:t xml:space="preserve"> </w:t>
      </w:r>
    </w:p>
    <w:p w14:paraId="34661228" w14:textId="77777777" w:rsidR="00774893" w:rsidRDefault="00774893" w:rsidP="00FE76BD">
      <w:pPr>
        <w:pStyle w:val="Body"/>
        <w:rPr>
          <w:rFonts w:ascii="Arial" w:hAnsi="Arial" w:cs="Arial"/>
        </w:rPr>
      </w:pPr>
      <w:r w:rsidRPr="00E46C3B">
        <w:rPr>
          <w:rFonts w:ascii="Arial" w:hAnsi="Arial" w:cs="Arial"/>
        </w:rPr>
        <w:t>The data normality test using Shapiro-Wilk shows that almost all data are normally distributed (</w:t>
      </w:r>
      <w:r>
        <w:rPr>
          <w:rFonts w:ascii="Arial" w:hAnsi="Arial" w:cs="Arial"/>
        </w:rPr>
        <w:t>P</w:t>
      </w:r>
      <w:r w:rsidRPr="00E46C3B">
        <w:rPr>
          <w:rFonts w:ascii="Arial" w:hAnsi="Arial" w:cs="Arial"/>
        </w:rPr>
        <w:t xml:space="preserve"> &gt; 0.05), except for the hair </w:t>
      </w:r>
      <w:r>
        <w:rPr>
          <w:rFonts w:ascii="Arial" w:hAnsi="Arial" w:cs="Arial"/>
        </w:rPr>
        <w:t xml:space="preserve">follicles </w:t>
      </w:r>
      <w:r w:rsidRPr="00E46C3B">
        <w:rPr>
          <w:rFonts w:ascii="Arial" w:hAnsi="Arial" w:cs="Arial"/>
        </w:rPr>
        <w:t>density variable 4 cm from the midline at week 16.</w:t>
      </w:r>
      <w:r>
        <w:rPr>
          <w:rFonts w:ascii="Arial" w:hAnsi="Arial" w:cs="Arial"/>
        </w:rPr>
        <w:t xml:space="preserve"> </w:t>
      </w:r>
      <w:r w:rsidRPr="00E249A7">
        <w:rPr>
          <w:rFonts w:ascii="Arial" w:hAnsi="Arial" w:cs="Arial"/>
        </w:rPr>
        <w:t>The data homogeneity test using Levene's test shows that the variance between groups at each observation time is not significantly different (homogeneous) (</w:t>
      </w:r>
      <w:r>
        <w:rPr>
          <w:rFonts w:ascii="Arial" w:hAnsi="Arial" w:cs="Arial"/>
        </w:rPr>
        <w:t>P</w:t>
      </w:r>
      <w:r w:rsidRPr="00E249A7">
        <w:rPr>
          <w:rFonts w:ascii="Arial" w:hAnsi="Arial" w:cs="Arial"/>
        </w:rPr>
        <w:t xml:space="preserve"> &gt; 0.05), so the assumption of homogeneity of variance is met</w:t>
      </w:r>
      <w:r>
        <w:rPr>
          <w:rFonts w:ascii="Arial" w:hAnsi="Arial" w:cs="Arial"/>
        </w:rPr>
        <w:t xml:space="preserve"> for mixed ANOVA test.</w:t>
      </w:r>
    </w:p>
    <w:p w14:paraId="17AE5514" w14:textId="0A8FC19F" w:rsidR="00FE76BD" w:rsidRPr="002521D4" w:rsidRDefault="00FE76BD" w:rsidP="00FE76BD">
      <w:pPr>
        <w:pStyle w:val="Body"/>
        <w:spacing w:after="0"/>
        <w:rPr>
          <w:rFonts w:ascii="Arial" w:hAnsi="Arial" w:cs="Arial"/>
          <w:b/>
          <w:bCs/>
        </w:rPr>
      </w:pPr>
      <w:r w:rsidRPr="002521D4">
        <w:rPr>
          <w:rFonts w:ascii="Arial" w:hAnsi="Arial" w:cs="Arial"/>
          <w:b/>
          <w:bCs/>
        </w:rPr>
        <w:t xml:space="preserve">Table </w:t>
      </w:r>
      <w:r w:rsidR="001D497E">
        <w:rPr>
          <w:rFonts w:ascii="Arial" w:hAnsi="Arial" w:cs="Arial"/>
          <w:b/>
          <w:bCs/>
        </w:rPr>
        <w:t>4</w:t>
      </w:r>
      <w:r w:rsidRPr="002521D4">
        <w:rPr>
          <w:rFonts w:ascii="Arial" w:hAnsi="Arial" w:cs="Arial"/>
          <w:b/>
          <w:bCs/>
        </w:rPr>
        <w:t xml:space="preserve">. Mixed ANOVA test of hair </w:t>
      </w:r>
      <w:r>
        <w:rPr>
          <w:rFonts w:ascii="Arial" w:hAnsi="Arial" w:cs="Arial"/>
          <w:b/>
          <w:bCs/>
        </w:rPr>
        <w:t xml:space="preserve">follicles </w:t>
      </w:r>
      <w:r w:rsidRPr="002521D4">
        <w:rPr>
          <w:rFonts w:ascii="Arial" w:hAnsi="Arial" w:cs="Arial"/>
          <w:b/>
          <w:bCs/>
        </w:rPr>
        <w:t>density in 2 cm and 4 cm from midline</w:t>
      </w:r>
    </w:p>
    <w:tbl>
      <w:tblPr>
        <w:tblStyle w:val="TableGrid"/>
        <w:tblpPr w:leftFromText="180" w:rightFromText="180" w:vertAnchor="text" w:horzAnchor="margin" w:tblpY="1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917"/>
        <w:gridCol w:w="828"/>
        <w:gridCol w:w="886"/>
        <w:gridCol w:w="917"/>
        <w:gridCol w:w="717"/>
        <w:gridCol w:w="882"/>
      </w:tblGrid>
      <w:tr w:rsidR="00FE76BD" w:rsidRPr="0056199E" w14:paraId="4EC2031B" w14:textId="77777777" w:rsidTr="001C4F86">
        <w:tc>
          <w:tcPr>
            <w:tcW w:w="1879" w:type="dxa"/>
            <w:vMerge w:val="restart"/>
            <w:tcBorders>
              <w:top w:val="single" w:sz="4" w:space="0" w:color="auto"/>
            </w:tcBorders>
            <w:vAlign w:val="center"/>
          </w:tcPr>
          <w:p w14:paraId="1602A73A" w14:textId="77777777" w:rsidR="00FE76BD" w:rsidRPr="0056199E" w:rsidRDefault="00FE76BD" w:rsidP="001C4F86">
            <w:pPr>
              <w:jc w:val="center"/>
              <w:rPr>
                <w:rFonts w:ascii="Arial" w:hAnsi="Arial" w:cs="Arial"/>
                <w:b/>
                <w:bCs/>
                <w:sz w:val="20"/>
                <w:szCs w:val="20"/>
              </w:rPr>
            </w:pPr>
            <w:r>
              <w:rPr>
                <w:rFonts w:ascii="Arial" w:hAnsi="Arial" w:cs="Arial"/>
                <w:b/>
                <w:bCs/>
                <w:sz w:val="20"/>
                <w:szCs w:val="20"/>
              </w:rPr>
              <w:t>Variances</w:t>
            </w:r>
          </w:p>
        </w:tc>
        <w:tc>
          <w:tcPr>
            <w:tcW w:w="2551" w:type="dxa"/>
            <w:gridSpan w:val="3"/>
            <w:tcBorders>
              <w:top w:val="single" w:sz="4" w:space="0" w:color="auto"/>
              <w:bottom w:val="single" w:sz="4" w:space="0" w:color="auto"/>
            </w:tcBorders>
            <w:vAlign w:val="center"/>
          </w:tcPr>
          <w:p w14:paraId="7ED61011" w14:textId="77777777" w:rsidR="00FE76BD" w:rsidRPr="0056199E" w:rsidRDefault="00FE76BD" w:rsidP="001C4F86">
            <w:pPr>
              <w:jc w:val="center"/>
              <w:rPr>
                <w:rFonts w:ascii="Arial" w:hAnsi="Arial" w:cs="Arial"/>
                <w:b/>
                <w:bCs/>
                <w:sz w:val="20"/>
                <w:szCs w:val="20"/>
              </w:rPr>
            </w:pPr>
            <w:r>
              <w:rPr>
                <w:rFonts w:ascii="Arial" w:hAnsi="Arial" w:cs="Arial"/>
                <w:b/>
                <w:bCs/>
                <w:sz w:val="20"/>
                <w:szCs w:val="20"/>
              </w:rPr>
              <w:t>Hair density 2 cm from midline</w:t>
            </w:r>
          </w:p>
        </w:tc>
        <w:tc>
          <w:tcPr>
            <w:tcW w:w="2516" w:type="dxa"/>
            <w:gridSpan w:val="3"/>
            <w:tcBorders>
              <w:top w:val="single" w:sz="4" w:space="0" w:color="auto"/>
              <w:bottom w:val="single" w:sz="4" w:space="0" w:color="auto"/>
            </w:tcBorders>
          </w:tcPr>
          <w:p w14:paraId="75335E9F" w14:textId="77777777" w:rsidR="00FE76BD" w:rsidRPr="0056199E" w:rsidRDefault="00FE76BD" w:rsidP="001C4F86">
            <w:pPr>
              <w:jc w:val="center"/>
              <w:rPr>
                <w:rFonts w:ascii="Arial" w:hAnsi="Arial" w:cs="Arial"/>
                <w:b/>
                <w:bCs/>
                <w:sz w:val="20"/>
                <w:szCs w:val="20"/>
              </w:rPr>
            </w:pPr>
            <w:r>
              <w:rPr>
                <w:rFonts w:ascii="Arial" w:hAnsi="Arial" w:cs="Arial"/>
                <w:b/>
                <w:bCs/>
                <w:sz w:val="20"/>
                <w:szCs w:val="20"/>
              </w:rPr>
              <w:t>Hair density 4 cm from midline</w:t>
            </w:r>
          </w:p>
        </w:tc>
      </w:tr>
      <w:tr w:rsidR="00FE76BD" w:rsidRPr="0056199E" w14:paraId="58259105" w14:textId="77777777" w:rsidTr="001C4F86">
        <w:tc>
          <w:tcPr>
            <w:tcW w:w="1879" w:type="dxa"/>
            <w:vMerge/>
            <w:tcBorders>
              <w:bottom w:val="single" w:sz="4" w:space="0" w:color="auto"/>
            </w:tcBorders>
            <w:vAlign w:val="center"/>
          </w:tcPr>
          <w:p w14:paraId="03FDFAB4" w14:textId="77777777" w:rsidR="00FE76BD" w:rsidRDefault="00FE76BD" w:rsidP="001C4F86">
            <w:pPr>
              <w:jc w:val="center"/>
              <w:rPr>
                <w:rFonts w:ascii="Arial" w:hAnsi="Arial" w:cs="Arial"/>
                <w:b/>
                <w:bCs/>
                <w:sz w:val="20"/>
                <w:szCs w:val="20"/>
              </w:rPr>
            </w:pPr>
          </w:p>
        </w:tc>
        <w:tc>
          <w:tcPr>
            <w:tcW w:w="917" w:type="dxa"/>
            <w:tcBorders>
              <w:top w:val="single" w:sz="4" w:space="0" w:color="auto"/>
              <w:bottom w:val="single" w:sz="4" w:space="0" w:color="auto"/>
            </w:tcBorders>
          </w:tcPr>
          <w:p w14:paraId="41878157" w14:textId="77777777" w:rsidR="00FE76BD" w:rsidRPr="0056199E" w:rsidRDefault="00FE76BD" w:rsidP="001C4F86">
            <w:pPr>
              <w:jc w:val="center"/>
              <w:rPr>
                <w:rFonts w:ascii="Arial" w:hAnsi="Arial" w:cs="Arial"/>
                <w:b/>
                <w:bCs/>
                <w:sz w:val="20"/>
                <w:szCs w:val="20"/>
              </w:rPr>
            </w:pPr>
            <w:r w:rsidRPr="0056199E">
              <w:rPr>
                <w:rFonts w:ascii="Arial" w:hAnsi="Arial" w:cs="Arial"/>
                <w:b/>
                <w:bCs/>
                <w:sz w:val="20"/>
                <w:szCs w:val="20"/>
              </w:rPr>
              <w:t>df</w:t>
            </w:r>
          </w:p>
        </w:tc>
        <w:tc>
          <w:tcPr>
            <w:tcW w:w="748" w:type="dxa"/>
            <w:tcBorders>
              <w:top w:val="single" w:sz="4" w:space="0" w:color="auto"/>
              <w:bottom w:val="single" w:sz="4" w:space="0" w:color="auto"/>
            </w:tcBorders>
          </w:tcPr>
          <w:p w14:paraId="0679B80E" w14:textId="77777777" w:rsidR="00FE76BD" w:rsidRPr="0056199E" w:rsidRDefault="00FE76BD" w:rsidP="001C4F86">
            <w:pPr>
              <w:jc w:val="center"/>
              <w:rPr>
                <w:rFonts w:ascii="Arial" w:hAnsi="Arial" w:cs="Arial"/>
                <w:b/>
                <w:bCs/>
                <w:sz w:val="20"/>
                <w:szCs w:val="20"/>
              </w:rPr>
            </w:pPr>
            <w:r w:rsidRPr="0056199E">
              <w:rPr>
                <w:rFonts w:ascii="Arial" w:hAnsi="Arial" w:cs="Arial"/>
                <w:b/>
                <w:bCs/>
                <w:sz w:val="20"/>
                <w:szCs w:val="20"/>
              </w:rPr>
              <w:t>F</w:t>
            </w:r>
          </w:p>
        </w:tc>
        <w:tc>
          <w:tcPr>
            <w:tcW w:w="886" w:type="dxa"/>
            <w:tcBorders>
              <w:top w:val="single" w:sz="4" w:space="0" w:color="auto"/>
              <w:bottom w:val="single" w:sz="4" w:space="0" w:color="auto"/>
            </w:tcBorders>
          </w:tcPr>
          <w:p w14:paraId="0696B593" w14:textId="77777777" w:rsidR="00FE76BD" w:rsidRPr="0056199E" w:rsidRDefault="00FE76BD" w:rsidP="001C4F86">
            <w:pPr>
              <w:jc w:val="center"/>
              <w:rPr>
                <w:rFonts w:ascii="Arial" w:hAnsi="Arial" w:cs="Arial"/>
                <w:b/>
                <w:bCs/>
                <w:sz w:val="20"/>
                <w:szCs w:val="20"/>
              </w:rPr>
            </w:pPr>
            <w:r w:rsidRPr="0056199E">
              <w:rPr>
                <w:rFonts w:ascii="Arial" w:hAnsi="Arial" w:cs="Arial"/>
                <w:b/>
                <w:bCs/>
                <w:sz w:val="20"/>
                <w:szCs w:val="20"/>
              </w:rPr>
              <w:t>Sig. (P)</w:t>
            </w:r>
          </w:p>
        </w:tc>
        <w:tc>
          <w:tcPr>
            <w:tcW w:w="917" w:type="dxa"/>
            <w:tcBorders>
              <w:top w:val="single" w:sz="4" w:space="0" w:color="auto"/>
              <w:bottom w:val="single" w:sz="4" w:space="0" w:color="auto"/>
            </w:tcBorders>
          </w:tcPr>
          <w:p w14:paraId="5EC07CA0" w14:textId="0DD48E4C" w:rsidR="00FE76BD" w:rsidRPr="0056199E" w:rsidRDefault="00F513E9" w:rsidP="001C4F86">
            <w:pPr>
              <w:jc w:val="center"/>
              <w:rPr>
                <w:rFonts w:ascii="Arial" w:hAnsi="Arial" w:cs="Arial"/>
                <w:b/>
                <w:bCs/>
                <w:sz w:val="20"/>
                <w:szCs w:val="20"/>
              </w:rPr>
            </w:pPr>
            <w:r w:rsidRPr="0056199E">
              <w:rPr>
                <w:rFonts w:ascii="Arial" w:hAnsi="Arial" w:cs="Arial"/>
                <w:b/>
                <w:bCs/>
                <w:sz w:val="20"/>
                <w:szCs w:val="20"/>
              </w:rPr>
              <w:t>D</w:t>
            </w:r>
            <w:r w:rsidR="00FE76BD" w:rsidRPr="0056199E">
              <w:rPr>
                <w:rFonts w:ascii="Arial" w:hAnsi="Arial" w:cs="Arial"/>
                <w:b/>
                <w:bCs/>
                <w:sz w:val="20"/>
                <w:szCs w:val="20"/>
              </w:rPr>
              <w:t>f</w:t>
            </w:r>
          </w:p>
        </w:tc>
        <w:tc>
          <w:tcPr>
            <w:tcW w:w="717" w:type="dxa"/>
            <w:tcBorders>
              <w:top w:val="single" w:sz="4" w:space="0" w:color="auto"/>
              <w:bottom w:val="single" w:sz="4" w:space="0" w:color="auto"/>
            </w:tcBorders>
          </w:tcPr>
          <w:p w14:paraId="1979F71F" w14:textId="77777777" w:rsidR="00FE76BD" w:rsidRPr="0056199E" w:rsidRDefault="00FE76BD" w:rsidP="001C4F86">
            <w:pPr>
              <w:jc w:val="center"/>
              <w:rPr>
                <w:rFonts w:ascii="Arial" w:hAnsi="Arial" w:cs="Arial"/>
                <w:b/>
                <w:bCs/>
                <w:sz w:val="20"/>
                <w:szCs w:val="20"/>
              </w:rPr>
            </w:pPr>
            <w:r w:rsidRPr="0056199E">
              <w:rPr>
                <w:rFonts w:ascii="Arial" w:hAnsi="Arial" w:cs="Arial"/>
                <w:b/>
                <w:bCs/>
                <w:sz w:val="20"/>
                <w:szCs w:val="20"/>
              </w:rPr>
              <w:t>F</w:t>
            </w:r>
          </w:p>
        </w:tc>
        <w:tc>
          <w:tcPr>
            <w:tcW w:w="882" w:type="dxa"/>
            <w:tcBorders>
              <w:top w:val="single" w:sz="4" w:space="0" w:color="auto"/>
              <w:bottom w:val="single" w:sz="4" w:space="0" w:color="auto"/>
            </w:tcBorders>
          </w:tcPr>
          <w:p w14:paraId="770A1070" w14:textId="77777777" w:rsidR="00FE76BD" w:rsidRPr="0056199E" w:rsidRDefault="00FE76BD" w:rsidP="001C4F86">
            <w:pPr>
              <w:jc w:val="center"/>
              <w:rPr>
                <w:rFonts w:ascii="Arial" w:hAnsi="Arial" w:cs="Arial"/>
                <w:b/>
                <w:bCs/>
                <w:sz w:val="20"/>
                <w:szCs w:val="20"/>
              </w:rPr>
            </w:pPr>
            <w:r w:rsidRPr="0056199E">
              <w:rPr>
                <w:rFonts w:ascii="Arial" w:hAnsi="Arial" w:cs="Arial"/>
                <w:b/>
                <w:bCs/>
                <w:sz w:val="20"/>
                <w:szCs w:val="20"/>
              </w:rPr>
              <w:t>Sig. (P)</w:t>
            </w:r>
          </w:p>
        </w:tc>
      </w:tr>
      <w:tr w:rsidR="00FE76BD" w:rsidRPr="00880022" w14:paraId="603FCEC7" w14:textId="77777777" w:rsidTr="001C4F86">
        <w:tc>
          <w:tcPr>
            <w:tcW w:w="1879" w:type="dxa"/>
            <w:tcBorders>
              <w:top w:val="single" w:sz="4" w:space="0" w:color="auto"/>
            </w:tcBorders>
          </w:tcPr>
          <w:p w14:paraId="3439623B" w14:textId="77777777" w:rsidR="00FE76BD" w:rsidRPr="002D7114" w:rsidRDefault="00FE76BD" w:rsidP="001C4F86">
            <w:pPr>
              <w:jc w:val="both"/>
              <w:rPr>
                <w:rFonts w:ascii="Arial" w:hAnsi="Arial" w:cs="Arial"/>
                <w:sz w:val="20"/>
                <w:szCs w:val="20"/>
              </w:rPr>
            </w:pPr>
            <w:r w:rsidRPr="002D7114">
              <w:rPr>
                <w:rFonts w:ascii="Arial" w:hAnsi="Arial" w:cs="Arial"/>
                <w:sz w:val="20"/>
                <w:szCs w:val="20"/>
              </w:rPr>
              <w:t>Follow up time</w:t>
            </w:r>
          </w:p>
        </w:tc>
        <w:tc>
          <w:tcPr>
            <w:tcW w:w="917" w:type="dxa"/>
            <w:tcBorders>
              <w:top w:val="single" w:sz="4" w:space="0" w:color="auto"/>
            </w:tcBorders>
          </w:tcPr>
          <w:p w14:paraId="187A3D1D" w14:textId="632CBA04" w:rsidR="00FE76BD" w:rsidRPr="002D7114" w:rsidRDefault="00FE76BD" w:rsidP="001C4F86">
            <w:pPr>
              <w:jc w:val="both"/>
              <w:rPr>
                <w:rFonts w:ascii="Arial" w:hAnsi="Arial" w:cs="Arial"/>
                <w:sz w:val="20"/>
                <w:szCs w:val="20"/>
              </w:rPr>
            </w:pPr>
            <w:r w:rsidRPr="002D7114">
              <w:rPr>
                <w:rFonts w:ascii="Arial" w:hAnsi="Arial" w:cs="Arial"/>
                <w:sz w:val="20"/>
                <w:szCs w:val="20"/>
              </w:rPr>
              <w:t>2</w:t>
            </w:r>
            <w:r w:rsidR="00750B17">
              <w:rPr>
                <w:rFonts w:ascii="Arial" w:hAnsi="Arial" w:cs="Arial"/>
                <w:sz w:val="20"/>
                <w:szCs w:val="20"/>
              </w:rPr>
              <w:t>.</w:t>
            </w:r>
            <w:r w:rsidRPr="002D7114">
              <w:rPr>
                <w:rFonts w:ascii="Arial" w:hAnsi="Arial" w:cs="Arial"/>
                <w:sz w:val="20"/>
                <w:szCs w:val="20"/>
              </w:rPr>
              <w:t>007</w:t>
            </w:r>
          </w:p>
        </w:tc>
        <w:tc>
          <w:tcPr>
            <w:tcW w:w="748" w:type="dxa"/>
            <w:tcBorders>
              <w:top w:val="single" w:sz="4" w:space="0" w:color="auto"/>
            </w:tcBorders>
          </w:tcPr>
          <w:p w14:paraId="2487468C" w14:textId="5C51BDE3" w:rsidR="00FE76BD" w:rsidRPr="002D7114" w:rsidRDefault="00FE76BD" w:rsidP="001C4F86">
            <w:pPr>
              <w:jc w:val="both"/>
              <w:rPr>
                <w:rFonts w:ascii="Arial" w:hAnsi="Arial" w:cs="Arial"/>
                <w:sz w:val="20"/>
                <w:szCs w:val="20"/>
              </w:rPr>
            </w:pPr>
            <w:r w:rsidRPr="002D7114">
              <w:rPr>
                <w:rFonts w:ascii="Arial" w:hAnsi="Arial" w:cs="Arial"/>
                <w:sz w:val="20"/>
                <w:szCs w:val="20"/>
              </w:rPr>
              <w:t>147</w:t>
            </w:r>
            <w:r w:rsidR="00750B17">
              <w:rPr>
                <w:rFonts w:ascii="Arial" w:hAnsi="Arial" w:cs="Arial"/>
                <w:sz w:val="20"/>
                <w:szCs w:val="20"/>
              </w:rPr>
              <w:t>.</w:t>
            </w:r>
            <w:r w:rsidRPr="002D7114">
              <w:rPr>
                <w:rFonts w:ascii="Arial" w:hAnsi="Arial" w:cs="Arial"/>
                <w:sz w:val="20"/>
                <w:szCs w:val="20"/>
              </w:rPr>
              <w:t>15</w:t>
            </w:r>
          </w:p>
        </w:tc>
        <w:tc>
          <w:tcPr>
            <w:tcW w:w="886" w:type="dxa"/>
            <w:tcBorders>
              <w:top w:val="single" w:sz="4" w:space="0" w:color="auto"/>
            </w:tcBorders>
          </w:tcPr>
          <w:p w14:paraId="74AA277F" w14:textId="1F09C0B0" w:rsidR="00FE76BD" w:rsidRPr="002D7114" w:rsidRDefault="00FE76BD" w:rsidP="001C4F86">
            <w:pPr>
              <w:jc w:val="both"/>
              <w:rPr>
                <w:rFonts w:ascii="Arial" w:hAnsi="Arial" w:cs="Arial"/>
                <w:sz w:val="20"/>
                <w:szCs w:val="20"/>
              </w:rPr>
            </w:pPr>
            <w:r w:rsidRPr="002D7114">
              <w:rPr>
                <w:rFonts w:ascii="Arial" w:hAnsi="Arial" w:cs="Arial"/>
                <w:sz w:val="20"/>
                <w:szCs w:val="20"/>
                <w:u w:val="single"/>
              </w:rPr>
              <w:t>&lt;</w:t>
            </w:r>
            <w:r w:rsidRPr="002D7114">
              <w:rPr>
                <w:rFonts w:ascii="Arial" w:hAnsi="Arial" w:cs="Arial"/>
                <w:sz w:val="20"/>
                <w:szCs w:val="20"/>
              </w:rPr>
              <w:t xml:space="preserve"> 0</w:t>
            </w:r>
            <w:r w:rsidR="00750B17">
              <w:rPr>
                <w:rFonts w:ascii="Arial" w:hAnsi="Arial" w:cs="Arial"/>
                <w:sz w:val="20"/>
                <w:szCs w:val="20"/>
              </w:rPr>
              <w:t>.</w:t>
            </w:r>
            <w:r w:rsidRPr="002D7114">
              <w:rPr>
                <w:rFonts w:ascii="Arial" w:hAnsi="Arial" w:cs="Arial"/>
                <w:sz w:val="20"/>
                <w:szCs w:val="20"/>
              </w:rPr>
              <w:t>001</w:t>
            </w:r>
          </w:p>
        </w:tc>
        <w:tc>
          <w:tcPr>
            <w:tcW w:w="917" w:type="dxa"/>
            <w:tcBorders>
              <w:top w:val="single" w:sz="4" w:space="0" w:color="auto"/>
            </w:tcBorders>
          </w:tcPr>
          <w:p w14:paraId="3EBA2DA5" w14:textId="572CFC8D" w:rsidR="00FE76BD" w:rsidRPr="002D7114" w:rsidRDefault="00FE76BD" w:rsidP="001C4F86">
            <w:pPr>
              <w:jc w:val="both"/>
              <w:rPr>
                <w:rFonts w:ascii="Arial" w:hAnsi="Arial" w:cs="Arial"/>
                <w:sz w:val="20"/>
                <w:szCs w:val="20"/>
                <w:u w:val="single"/>
              </w:rPr>
            </w:pPr>
            <w:r w:rsidRPr="002D7114">
              <w:rPr>
                <w:rFonts w:ascii="Arial" w:hAnsi="Arial" w:cs="Arial"/>
                <w:sz w:val="20"/>
                <w:szCs w:val="20"/>
              </w:rPr>
              <w:t>3</w:t>
            </w:r>
            <w:r w:rsidR="00750B17">
              <w:rPr>
                <w:rFonts w:ascii="Arial" w:hAnsi="Arial" w:cs="Arial"/>
                <w:sz w:val="20"/>
                <w:szCs w:val="20"/>
              </w:rPr>
              <w:t>.</w:t>
            </w:r>
            <w:r w:rsidRPr="002D7114">
              <w:rPr>
                <w:rFonts w:ascii="Arial" w:hAnsi="Arial" w:cs="Arial"/>
                <w:sz w:val="20"/>
                <w:szCs w:val="20"/>
              </w:rPr>
              <w:t>000</w:t>
            </w:r>
          </w:p>
        </w:tc>
        <w:tc>
          <w:tcPr>
            <w:tcW w:w="717" w:type="dxa"/>
            <w:tcBorders>
              <w:top w:val="single" w:sz="4" w:space="0" w:color="auto"/>
            </w:tcBorders>
          </w:tcPr>
          <w:p w14:paraId="0775EC2F" w14:textId="351E2CEA" w:rsidR="00FE76BD" w:rsidRPr="002D7114" w:rsidRDefault="00FE76BD" w:rsidP="001C4F86">
            <w:pPr>
              <w:jc w:val="both"/>
              <w:rPr>
                <w:rFonts w:ascii="Arial" w:hAnsi="Arial" w:cs="Arial"/>
                <w:sz w:val="20"/>
                <w:szCs w:val="20"/>
                <w:u w:val="single"/>
              </w:rPr>
            </w:pPr>
            <w:r w:rsidRPr="002D7114">
              <w:rPr>
                <w:rFonts w:ascii="Arial" w:hAnsi="Arial" w:cs="Arial"/>
                <w:sz w:val="20"/>
                <w:szCs w:val="20"/>
              </w:rPr>
              <w:t>99</w:t>
            </w:r>
            <w:r w:rsidR="00750B17">
              <w:rPr>
                <w:rFonts w:ascii="Arial" w:hAnsi="Arial" w:cs="Arial"/>
                <w:sz w:val="20"/>
                <w:szCs w:val="20"/>
              </w:rPr>
              <w:t>.</w:t>
            </w:r>
            <w:r w:rsidRPr="002D7114">
              <w:rPr>
                <w:rFonts w:ascii="Arial" w:hAnsi="Arial" w:cs="Arial"/>
                <w:sz w:val="20"/>
                <w:szCs w:val="20"/>
              </w:rPr>
              <w:t>67</w:t>
            </w:r>
          </w:p>
        </w:tc>
        <w:tc>
          <w:tcPr>
            <w:tcW w:w="882" w:type="dxa"/>
            <w:tcBorders>
              <w:top w:val="single" w:sz="4" w:space="0" w:color="auto"/>
            </w:tcBorders>
          </w:tcPr>
          <w:p w14:paraId="51F2875D" w14:textId="6EB5BAA8" w:rsidR="00FE76BD" w:rsidRPr="002D7114" w:rsidRDefault="00FE76BD" w:rsidP="001C4F86">
            <w:pPr>
              <w:jc w:val="both"/>
              <w:rPr>
                <w:rFonts w:ascii="Arial" w:hAnsi="Arial" w:cs="Arial"/>
                <w:sz w:val="20"/>
                <w:szCs w:val="20"/>
                <w:u w:val="single"/>
              </w:rPr>
            </w:pPr>
            <w:r w:rsidRPr="002D7114">
              <w:rPr>
                <w:rFonts w:ascii="Arial" w:hAnsi="Arial" w:cs="Arial"/>
                <w:sz w:val="20"/>
                <w:szCs w:val="20"/>
                <w:u w:val="single"/>
              </w:rPr>
              <w:t>&lt;</w:t>
            </w:r>
            <w:r w:rsidRPr="002D7114">
              <w:rPr>
                <w:rFonts w:ascii="Arial" w:hAnsi="Arial" w:cs="Arial"/>
                <w:sz w:val="20"/>
                <w:szCs w:val="20"/>
              </w:rPr>
              <w:t xml:space="preserve"> 0</w:t>
            </w:r>
            <w:r w:rsidR="00750B17">
              <w:rPr>
                <w:rFonts w:ascii="Arial" w:hAnsi="Arial" w:cs="Arial"/>
                <w:sz w:val="20"/>
                <w:szCs w:val="20"/>
              </w:rPr>
              <w:t>.</w:t>
            </w:r>
            <w:r w:rsidRPr="002D7114">
              <w:rPr>
                <w:rFonts w:ascii="Arial" w:hAnsi="Arial" w:cs="Arial"/>
                <w:sz w:val="20"/>
                <w:szCs w:val="20"/>
              </w:rPr>
              <w:t>001</w:t>
            </w:r>
          </w:p>
        </w:tc>
      </w:tr>
      <w:tr w:rsidR="00FE76BD" w:rsidRPr="00880022" w14:paraId="30EB58B1" w14:textId="77777777" w:rsidTr="001C4F86">
        <w:tc>
          <w:tcPr>
            <w:tcW w:w="1879" w:type="dxa"/>
          </w:tcPr>
          <w:p w14:paraId="0AEC99E3" w14:textId="77777777" w:rsidR="00FE76BD" w:rsidRPr="002D7114" w:rsidRDefault="00FE76BD" w:rsidP="001C4F86">
            <w:pPr>
              <w:jc w:val="both"/>
              <w:rPr>
                <w:rFonts w:ascii="Arial" w:hAnsi="Arial" w:cs="Arial"/>
                <w:sz w:val="20"/>
                <w:szCs w:val="20"/>
              </w:rPr>
            </w:pPr>
            <w:r w:rsidRPr="002D7114">
              <w:rPr>
                <w:rFonts w:ascii="Arial" w:hAnsi="Arial" w:cs="Arial"/>
                <w:sz w:val="20"/>
                <w:szCs w:val="20"/>
              </w:rPr>
              <w:t>Groups</w:t>
            </w:r>
          </w:p>
        </w:tc>
        <w:tc>
          <w:tcPr>
            <w:tcW w:w="917" w:type="dxa"/>
          </w:tcPr>
          <w:p w14:paraId="31D85B07" w14:textId="18F56EFB" w:rsidR="00FE76BD" w:rsidRPr="002D7114" w:rsidRDefault="00FE76BD" w:rsidP="001C4F86">
            <w:pPr>
              <w:jc w:val="both"/>
              <w:rPr>
                <w:rFonts w:ascii="Arial" w:hAnsi="Arial" w:cs="Arial"/>
                <w:sz w:val="20"/>
                <w:szCs w:val="20"/>
              </w:rPr>
            </w:pPr>
            <w:r w:rsidRPr="002D7114">
              <w:rPr>
                <w:rFonts w:ascii="Arial" w:hAnsi="Arial" w:cs="Arial"/>
                <w:sz w:val="20"/>
                <w:szCs w:val="20"/>
              </w:rPr>
              <w:t>1</w:t>
            </w:r>
            <w:r w:rsidR="00750B17">
              <w:rPr>
                <w:rFonts w:ascii="Arial" w:hAnsi="Arial" w:cs="Arial"/>
                <w:sz w:val="20"/>
                <w:szCs w:val="20"/>
              </w:rPr>
              <w:t>.</w:t>
            </w:r>
            <w:r w:rsidRPr="002D7114">
              <w:rPr>
                <w:rFonts w:ascii="Arial" w:hAnsi="Arial" w:cs="Arial"/>
                <w:sz w:val="20"/>
                <w:szCs w:val="20"/>
              </w:rPr>
              <w:t>000</w:t>
            </w:r>
          </w:p>
        </w:tc>
        <w:tc>
          <w:tcPr>
            <w:tcW w:w="748" w:type="dxa"/>
          </w:tcPr>
          <w:p w14:paraId="5428F2E9" w14:textId="3D373847" w:rsidR="00FE76BD" w:rsidRPr="002D7114" w:rsidRDefault="00FE76BD" w:rsidP="001C4F86">
            <w:pPr>
              <w:jc w:val="both"/>
              <w:rPr>
                <w:rFonts w:ascii="Arial" w:hAnsi="Arial" w:cs="Arial"/>
                <w:sz w:val="20"/>
                <w:szCs w:val="20"/>
              </w:rPr>
            </w:pPr>
            <w:r w:rsidRPr="002D7114">
              <w:rPr>
                <w:rFonts w:ascii="Arial" w:hAnsi="Arial" w:cs="Arial"/>
                <w:sz w:val="20"/>
                <w:szCs w:val="20"/>
              </w:rPr>
              <w:t>4</w:t>
            </w:r>
            <w:r w:rsidR="00750B17">
              <w:rPr>
                <w:rFonts w:ascii="Arial" w:hAnsi="Arial" w:cs="Arial"/>
                <w:sz w:val="20"/>
                <w:szCs w:val="20"/>
              </w:rPr>
              <w:t>.</w:t>
            </w:r>
            <w:r w:rsidRPr="002D7114">
              <w:rPr>
                <w:rFonts w:ascii="Arial" w:hAnsi="Arial" w:cs="Arial"/>
                <w:sz w:val="20"/>
                <w:szCs w:val="20"/>
              </w:rPr>
              <w:t>31</w:t>
            </w:r>
          </w:p>
        </w:tc>
        <w:tc>
          <w:tcPr>
            <w:tcW w:w="886" w:type="dxa"/>
          </w:tcPr>
          <w:p w14:paraId="41FBA68B" w14:textId="5A514E69" w:rsidR="00FE76BD" w:rsidRPr="002D7114" w:rsidRDefault="00FE76BD" w:rsidP="001C4F86">
            <w:pPr>
              <w:jc w:val="both"/>
              <w:rPr>
                <w:rFonts w:ascii="Arial" w:hAnsi="Arial" w:cs="Arial"/>
                <w:sz w:val="20"/>
                <w:szCs w:val="20"/>
              </w:rPr>
            </w:pPr>
            <w:r w:rsidRPr="002D7114">
              <w:rPr>
                <w:rFonts w:ascii="Arial" w:hAnsi="Arial" w:cs="Arial"/>
                <w:sz w:val="20"/>
                <w:szCs w:val="20"/>
              </w:rPr>
              <w:t>0</w:t>
            </w:r>
            <w:r w:rsidR="00750B17">
              <w:rPr>
                <w:rFonts w:ascii="Arial" w:hAnsi="Arial" w:cs="Arial"/>
                <w:sz w:val="20"/>
                <w:szCs w:val="20"/>
              </w:rPr>
              <w:t>.</w:t>
            </w:r>
            <w:r w:rsidRPr="002D7114">
              <w:rPr>
                <w:rFonts w:ascii="Arial" w:hAnsi="Arial" w:cs="Arial"/>
                <w:sz w:val="20"/>
                <w:szCs w:val="20"/>
              </w:rPr>
              <w:t>06</w:t>
            </w:r>
          </w:p>
        </w:tc>
        <w:tc>
          <w:tcPr>
            <w:tcW w:w="917" w:type="dxa"/>
          </w:tcPr>
          <w:p w14:paraId="6E30EA6D" w14:textId="2FEFEC80" w:rsidR="00FE76BD" w:rsidRPr="002D7114" w:rsidRDefault="00FE76BD" w:rsidP="001C4F86">
            <w:pPr>
              <w:jc w:val="both"/>
              <w:rPr>
                <w:rFonts w:ascii="Arial" w:hAnsi="Arial" w:cs="Arial"/>
                <w:sz w:val="20"/>
                <w:szCs w:val="20"/>
              </w:rPr>
            </w:pPr>
            <w:r w:rsidRPr="002D7114">
              <w:rPr>
                <w:rFonts w:ascii="Arial" w:hAnsi="Arial" w:cs="Arial"/>
                <w:sz w:val="20"/>
                <w:szCs w:val="20"/>
              </w:rPr>
              <w:t>1</w:t>
            </w:r>
            <w:r w:rsidR="00750B17">
              <w:rPr>
                <w:rFonts w:ascii="Arial" w:hAnsi="Arial" w:cs="Arial"/>
                <w:sz w:val="20"/>
                <w:szCs w:val="20"/>
              </w:rPr>
              <w:t>.</w:t>
            </w:r>
            <w:r w:rsidRPr="002D7114">
              <w:rPr>
                <w:rFonts w:ascii="Arial" w:hAnsi="Arial" w:cs="Arial"/>
                <w:sz w:val="20"/>
                <w:szCs w:val="20"/>
              </w:rPr>
              <w:t>000</w:t>
            </w:r>
          </w:p>
        </w:tc>
        <w:tc>
          <w:tcPr>
            <w:tcW w:w="717" w:type="dxa"/>
          </w:tcPr>
          <w:p w14:paraId="659E3FD2" w14:textId="648706A5" w:rsidR="00FE76BD" w:rsidRPr="002D7114" w:rsidRDefault="00FE76BD" w:rsidP="001C4F86">
            <w:pPr>
              <w:jc w:val="both"/>
              <w:rPr>
                <w:rFonts w:ascii="Arial" w:hAnsi="Arial" w:cs="Arial"/>
                <w:sz w:val="20"/>
                <w:szCs w:val="20"/>
              </w:rPr>
            </w:pPr>
            <w:r w:rsidRPr="002D7114">
              <w:rPr>
                <w:rFonts w:ascii="Arial" w:hAnsi="Arial" w:cs="Arial"/>
                <w:sz w:val="20"/>
                <w:szCs w:val="20"/>
              </w:rPr>
              <w:t>20</w:t>
            </w:r>
            <w:r w:rsidR="00750B17">
              <w:rPr>
                <w:rFonts w:ascii="Arial" w:hAnsi="Arial" w:cs="Arial"/>
                <w:sz w:val="20"/>
                <w:szCs w:val="20"/>
              </w:rPr>
              <w:t>.</w:t>
            </w:r>
            <w:r w:rsidRPr="002D7114">
              <w:rPr>
                <w:rFonts w:ascii="Arial" w:hAnsi="Arial" w:cs="Arial"/>
                <w:sz w:val="20"/>
                <w:szCs w:val="20"/>
              </w:rPr>
              <w:t>89</w:t>
            </w:r>
          </w:p>
        </w:tc>
        <w:tc>
          <w:tcPr>
            <w:tcW w:w="882" w:type="dxa"/>
          </w:tcPr>
          <w:p w14:paraId="03034E9C" w14:textId="5BBB9FB2" w:rsidR="00FE76BD" w:rsidRPr="002D7114" w:rsidRDefault="00FE76BD" w:rsidP="001C4F86">
            <w:pPr>
              <w:jc w:val="both"/>
              <w:rPr>
                <w:rFonts w:ascii="Arial" w:hAnsi="Arial" w:cs="Arial"/>
                <w:sz w:val="20"/>
                <w:szCs w:val="20"/>
              </w:rPr>
            </w:pPr>
            <w:r w:rsidRPr="002D7114">
              <w:rPr>
                <w:rFonts w:ascii="Arial" w:hAnsi="Arial" w:cs="Arial"/>
                <w:sz w:val="20"/>
                <w:szCs w:val="20"/>
                <w:u w:val="single"/>
              </w:rPr>
              <w:t>&lt;</w:t>
            </w:r>
            <w:r w:rsidRPr="002D7114">
              <w:rPr>
                <w:rFonts w:ascii="Arial" w:hAnsi="Arial" w:cs="Arial"/>
                <w:sz w:val="20"/>
                <w:szCs w:val="20"/>
              </w:rPr>
              <w:t xml:space="preserve"> 0</w:t>
            </w:r>
            <w:r w:rsidR="00750B17">
              <w:rPr>
                <w:rFonts w:ascii="Arial" w:hAnsi="Arial" w:cs="Arial"/>
                <w:sz w:val="20"/>
                <w:szCs w:val="20"/>
              </w:rPr>
              <w:t>.</w:t>
            </w:r>
            <w:r w:rsidRPr="002D7114">
              <w:rPr>
                <w:rFonts w:ascii="Arial" w:hAnsi="Arial" w:cs="Arial"/>
                <w:sz w:val="20"/>
                <w:szCs w:val="20"/>
              </w:rPr>
              <w:t>001</w:t>
            </w:r>
          </w:p>
        </w:tc>
      </w:tr>
      <w:tr w:rsidR="00FE76BD" w:rsidRPr="00880022" w14:paraId="45802F0D" w14:textId="77777777" w:rsidTr="001C4F86">
        <w:tc>
          <w:tcPr>
            <w:tcW w:w="1879" w:type="dxa"/>
            <w:tcBorders>
              <w:bottom w:val="single" w:sz="4" w:space="0" w:color="auto"/>
            </w:tcBorders>
          </w:tcPr>
          <w:p w14:paraId="4FB6439C" w14:textId="77777777" w:rsidR="00FE76BD" w:rsidRPr="002D7114" w:rsidRDefault="00FE76BD" w:rsidP="001C4F86">
            <w:pPr>
              <w:jc w:val="both"/>
              <w:rPr>
                <w:rFonts w:ascii="Arial" w:hAnsi="Arial" w:cs="Arial"/>
                <w:sz w:val="20"/>
                <w:szCs w:val="20"/>
              </w:rPr>
            </w:pPr>
            <w:r w:rsidRPr="002D7114">
              <w:rPr>
                <w:rFonts w:ascii="Arial" w:hAnsi="Arial" w:cs="Arial"/>
                <w:sz w:val="20"/>
                <w:szCs w:val="20"/>
              </w:rPr>
              <w:t>Follow up and group interaction</w:t>
            </w:r>
          </w:p>
        </w:tc>
        <w:tc>
          <w:tcPr>
            <w:tcW w:w="917" w:type="dxa"/>
            <w:tcBorders>
              <w:bottom w:val="single" w:sz="4" w:space="0" w:color="auto"/>
            </w:tcBorders>
          </w:tcPr>
          <w:p w14:paraId="1E4CA931" w14:textId="50BAF8A0" w:rsidR="00FE76BD" w:rsidRPr="002D7114" w:rsidRDefault="00FE76BD" w:rsidP="001C4F86">
            <w:pPr>
              <w:jc w:val="both"/>
              <w:rPr>
                <w:rFonts w:ascii="Arial" w:hAnsi="Arial" w:cs="Arial"/>
                <w:sz w:val="20"/>
                <w:szCs w:val="20"/>
              </w:rPr>
            </w:pPr>
            <w:r w:rsidRPr="002D7114">
              <w:rPr>
                <w:rFonts w:ascii="Arial" w:hAnsi="Arial" w:cs="Arial"/>
                <w:sz w:val="20"/>
                <w:szCs w:val="20"/>
              </w:rPr>
              <w:t>2</w:t>
            </w:r>
            <w:r w:rsidR="00750B17">
              <w:rPr>
                <w:rFonts w:ascii="Arial" w:hAnsi="Arial" w:cs="Arial"/>
                <w:sz w:val="20"/>
                <w:szCs w:val="20"/>
              </w:rPr>
              <w:t>.</w:t>
            </w:r>
            <w:r w:rsidRPr="002D7114">
              <w:rPr>
                <w:rFonts w:ascii="Arial" w:hAnsi="Arial" w:cs="Arial"/>
                <w:sz w:val="20"/>
                <w:szCs w:val="20"/>
              </w:rPr>
              <w:t>007</w:t>
            </w:r>
          </w:p>
        </w:tc>
        <w:tc>
          <w:tcPr>
            <w:tcW w:w="748" w:type="dxa"/>
            <w:tcBorders>
              <w:bottom w:val="single" w:sz="4" w:space="0" w:color="auto"/>
            </w:tcBorders>
          </w:tcPr>
          <w:p w14:paraId="7E037764" w14:textId="0C6CF3D6" w:rsidR="00FE76BD" w:rsidRPr="002D7114" w:rsidRDefault="00FE76BD" w:rsidP="001C4F86">
            <w:pPr>
              <w:jc w:val="both"/>
              <w:rPr>
                <w:rFonts w:ascii="Arial" w:hAnsi="Arial" w:cs="Arial"/>
                <w:sz w:val="20"/>
                <w:szCs w:val="20"/>
              </w:rPr>
            </w:pPr>
            <w:r w:rsidRPr="002D7114">
              <w:rPr>
                <w:rFonts w:ascii="Arial" w:hAnsi="Arial" w:cs="Arial"/>
                <w:sz w:val="20"/>
                <w:szCs w:val="20"/>
              </w:rPr>
              <w:t>8</w:t>
            </w:r>
            <w:r w:rsidR="00750B17">
              <w:rPr>
                <w:rFonts w:ascii="Arial" w:hAnsi="Arial" w:cs="Arial"/>
                <w:sz w:val="20"/>
                <w:szCs w:val="20"/>
              </w:rPr>
              <w:t>.</w:t>
            </w:r>
            <w:r w:rsidRPr="002D7114">
              <w:rPr>
                <w:rFonts w:ascii="Arial" w:hAnsi="Arial" w:cs="Arial"/>
                <w:sz w:val="20"/>
                <w:szCs w:val="20"/>
              </w:rPr>
              <w:t>84</w:t>
            </w:r>
          </w:p>
        </w:tc>
        <w:tc>
          <w:tcPr>
            <w:tcW w:w="886" w:type="dxa"/>
            <w:tcBorders>
              <w:bottom w:val="single" w:sz="4" w:space="0" w:color="auto"/>
            </w:tcBorders>
          </w:tcPr>
          <w:p w14:paraId="6608392D" w14:textId="0B4E6A51" w:rsidR="00FE76BD" w:rsidRPr="002D7114" w:rsidRDefault="00FE76BD" w:rsidP="001C4F86">
            <w:pPr>
              <w:jc w:val="both"/>
              <w:rPr>
                <w:rFonts w:ascii="Arial" w:hAnsi="Arial" w:cs="Arial"/>
                <w:sz w:val="20"/>
                <w:szCs w:val="20"/>
              </w:rPr>
            </w:pPr>
            <w:r w:rsidRPr="002D7114">
              <w:rPr>
                <w:rFonts w:ascii="Arial" w:hAnsi="Arial" w:cs="Arial"/>
                <w:sz w:val="20"/>
                <w:szCs w:val="20"/>
              </w:rPr>
              <w:t>0</w:t>
            </w:r>
            <w:r w:rsidR="00750B17">
              <w:rPr>
                <w:rFonts w:ascii="Arial" w:hAnsi="Arial" w:cs="Arial"/>
                <w:sz w:val="20"/>
                <w:szCs w:val="20"/>
              </w:rPr>
              <w:t>.</w:t>
            </w:r>
            <w:r w:rsidRPr="002D7114">
              <w:rPr>
                <w:rFonts w:ascii="Arial" w:hAnsi="Arial" w:cs="Arial"/>
                <w:sz w:val="20"/>
                <w:szCs w:val="20"/>
              </w:rPr>
              <w:t>001</w:t>
            </w:r>
          </w:p>
        </w:tc>
        <w:tc>
          <w:tcPr>
            <w:tcW w:w="917" w:type="dxa"/>
            <w:tcBorders>
              <w:bottom w:val="single" w:sz="4" w:space="0" w:color="auto"/>
            </w:tcBorders>
          </w:tcPr>
          <w:p w14:paraId="64866B4E" w14:textId="0DF6A163" w:rsidR="00FE76BD" w:rsidRPr="002D7114" w:rsidRDefault="00FE76BD" w:rsidP="001C4F86">
            <w:pPr>
              <w:jc w:val="both"/>
              <w:rPr>
                <w:rFonts w:ascii="Arial" w:hAnsi="Arial" w:cs="Arial"/>
                <w:sz w:val="20"/>
                <w:szCs w:val="20"/>
              </w:rPr>
            </w:pPr>
            <w:r w:rsidRPr="002D7114">
              <w:rPr>
                <w:rFonts w:ascii="Arial" w:hAnsi="Arial" w:cs="Arial"/>
                <w:sz w:val="20"/>
                <w:szCs w:val="20"/>
              </w:rPr>
              <w:t>3</w:t>
            </w:r>
            <w:r w:rsidR="00750B17">
              <w:rPr>
                <w:rFonts w:ascii="Arial" w:hAnsi="Arial" w:cs="Arial"/>
                <w:sz w:val="20"/>
                <w:szCs w:val="20"/>
              </w:rPr>
              <w:t>.</w:t>
            </w:r>
            <w:r w:rsidRPr="002D7114">
              <w:rPr>
                <w:rFonts w:ascii="Arial" w:hAnsi="Arial" w:cs="Arial"/>
                <w:sz w:val="20"/>
                <w:szCs w:val="20"/>
              </w:rPr>
              <w:t>000</w:t>
            </w:r>
          </w:p>
        </w:tc>
        <w:tc>
          <w:tcPr>
            <w:tcW w:w="717" w:type="dxa"/>
            <w:tcBorders>
              <w:bottom w:val="single" w:sz="4" w:space="0" w:color="auto"/>
            </w:tcBorders>
          </w:tcPr>
          <w:p w14:paraId="13CF8820" w14:textId="2514904F" w:rsidR="00FE76BD" w:rsidRPr="002D7114" w:rsidRDefault="00FE76BD" w:rsidP="001C4F86">
            <w:pPr>
              <w:jc w:val="both"/>
              <w:rPr>
                <w:rFonts w:ascii="Arial" w:hAnsi="Arial" w:cs="Arial"/>
                <w:sz w:val="20"/>
                <w:szCs w:val="20"/>
              </w:rPr>
            </w:pPr>
            <w:r w:rsidRPr="002D7114">
              <w:rPr>
                <w:rFonts w:ascii="Arial" w:hAnsi="Arial" w:cs="Arial"/>
                <w:sz w:val="20"/>
                <w:szCs w:val="20"/>
              </w:rPr>
              <w:t>18</w:t>
            </w:r>
            <w:r w:rsidR="00750B17">
              <w:rPr>
                <w:rFonts w:ascii="Arial" w:hAnsi="Arial" w:cs="Arial"/>
                <w:sz w:val="20"/>
                <w:szCs w:val="20"/>
              </w:rPr>
              <w:t>.</w:t>
            </w:r>
            <w:r w:rsidRPr="002D7114">
              <w:rPr>
                <w:rFonts w:ascii="Arial" w:hAnsi="Arial" w:cs="Arial"/>
                <w:sz w:val="20"/>
                <w:szCs w:val="20"/>
              </w:rPr>
              <w:t>90</w:t>
            </w:r>
          </w:p>
        </w:tc>
        <w:tc>
          <w:tcPr>
            <w:tcW w:w="882" w:type="dxa"/>
            <w:tcBorders>
              <w:bottom w:val="single" w:sz="4" w:space="0" w:color="auto"/>
            </w:tcBorders>
          </w:tcPr>
          <w:p w14:paraId="1BA5DF9C" w14:textId="050B695E" w:rsidR="00FE76BD" w:rsidRPr="002D7114" w:rsidRDefault="00FE76BD" w:rsidP="001C4F86">
            <w:pPr>
              <w:jc w:val="both"/>
              <w:rPr>
                <w:rFonts w:ascii="Arial" w:hAnsi="Arial" w:cs="Arial"/>
                <w:sz w:val="20"/>
                <w:szCs w:val="20"/>
              </w:rPr>
            </w:pPr>
            <w:r w:rsidRPr="002D7114">
              <w:rPr>
                <w:rFonts w:ascii="Arial" w:hAnsi="Arial" w:cs="Arial"/>
                <w:sz w:val="20"/>
                <w:szCs w:val="20"/>
                <w:u w:val="single"/>
              </w:rPr>
              <w:t>&lt;</w:t>
            </w:r>
            <w:r w:rsidRPr="002D7114">
              <w:rPr>
                <w:rFonts w:ascii="Arial" w:hAnsi="Arial" w:cs="Arial"/>
                <w:sz w:val="20"/>
                <w:szCs w:val="20"/>
              </w:rPr>
              <w:t xml:space="preserve"> 0</w:t>
            </w:r>
            <w:r w:rsidR="00750B17">
              <w:rPr>
                <w:rFonts w:ascii="Arial" w:hAnsi="Arial" w:cs="Arial"/>
                <w:sz w:val="20"/>
                <w:szCs w:val="20"/>
              </w:rPr>
              <w:t>.</w:t>
            </w:r>
            <w:r w:rsidRPr="002D7114">
              <w:rPr>
                <w:rFonts w:ascii="Arial" w:hAnsi="Arial" w:cs="Arial"/>
                <w:sz w:val="20"/>
                <w:szCs w:val="20"/>
              </w:rPr>
              <w:t>001</w:t>
            </w:r>
          </w:p>
        </w:tc>
      </w:tr>
    </w:tbl>
    <w:p w14:paraId="76898B92" w14:textId="77777777" w:rsidR="00FE76BD" w:rsidRDefault="00FE76BD" w:rsidP="00FE76BD">
      <w:pPr>
        <w:pStyle w:val="Body"/>
        <w:rPr>
          <w:rFonts w:ascii="Arial" w:hAnsi="Arial" w:cs="Arial"/>
        </w:rPr>
      </w:pPr>
    </w:p>
    <w:p w14:paraId="65FAB548" w14:textId="77777777" w:rsidR="00FE76BD" w:rsidRDefault="00FE76BD" w:rsidP="00FE76BD">
      <w:pPr>
        <w:pStyle w:val="Body"/>
        <w:rPr>
          <w:rFonts w:ascii="Arial" w:hAnsi="Arial" w:cs="Arial"/>
        </w:rPr>
      </w:pPr>
    </w:p>
    <w:p w14:paraId="699BC18F" w14:textId="77777777" w:rsidR="00FE76BD" w:rsidRDefault="00FE76BD" w:rsidP="00FE76BD">
      <w:pPr>
        <w:pStyle w:val="Body"/>
        <w:rPr>
          <w:rFonts w:ascii="Arial" w:hAnsi="Arial" w:cs="Arial"/>
        </w:rPr>
      </w:pPr>
    </w:p>
    <w:p w14:paraId="7239FF3C" w14:textId="77777777" w:rsidR="00FE76BD" w:rsidRDefault="00FE76BD" w:rsidP="00FE76BD">
      <w:pPr>
        <w:pStyle w:val="Body"/>
        <w:rPr>
          <w:rFonts w:ascii="Arial" w:hAnsi="Arial" w:cs="Arial"/>
        </w:rPr>
      </w:pPr>
    </w:p>
    <w:p w14:paraId="222404FF" w14:textId="77777777" w:rsidR="00FE76BD" w:rsidRDefault="00FE76BD" w:rsidP="00FE76BD">
      <w:pPr>
        <w:pStyle w:val="Body"/>
        <w:rPr>
          <w:rFonts w:ascii="Arial" w:hAnsi="Arial" w:cs="Arial"/>
        </w:rPr>
      </w:pPr>
    </w:p>
    <w:p w14:paraId="34CF7DE9" w14:textId="5AD9CC51" w:rsidR="00804315" w:rsidRDefault="00804315" w:rsidP="00FE76BD">
      <w:pPr>
        <w:pStyle w:val="Body"/>
        <w:rPr>
          <w:rFonts w:ascii="Arial" w:hAnsi="Arial" w:cs="Arial"/>
        </w:rPr>
      </w:pPr>
      <w:r w:rsidRPr="00774893">
        <w:rPr>
          <w:rFonts w:ascii="Arial" w:hAnsi="Arial" w:cs="Arial"/>
        </w:rPr>
        <w:lastRenderedPageBreak/>
        <w:t>PRP has been frequently compared with standard therapies such as minoxidil and finasteride. Several clinical studies support its role as an effective alternative or adjunct. A prospective intervention study found comparable efficacy between intradermal PRP injections and topical minoxidil with finasteride over 12 months, with both groups showing moderate improvement. PRP was well tolerated and considered safe, offering a valuable option for patients seeking non-pharmacological interventions (</w:t>
      </w:r>
      <w:r w:rsidR="00017394">
        <w:rPr>
          <w:rFonts w:ascii="Arial" w:hAnsi="Arial" w:cs="Arial"/>
        </w:rPr>
        <w:t>Garg</w:t>
      </w:r>
      <w:r w:rsidRPr="00774893">
        <w:rPr>
          <w:rFonts w:ascii="Arial" w:hAnsi="Arial" w:cs="Arial"/>
        </w:rPr>
        <w:t xml:space="preserve"> </w:t>
      </w:r>
      <w:r w:rsidRPr="00774893">
        <w:rPr>
          <w:rFonts w:ascii="Arial" w:hAnsi="Arial" w:cs="Arial"/>
          <w:i/>
          <w:iCs/>
        </w:rPr>
        <w:t>et al</w:t>
      </w:r>
      <w:r w:rsidRPr="00774893">
        <w:rPr>
          <w:rFonts w:ascii="Arial" w:hAnsi="Arial" w:cs="Arial"/>
        </w:rPr>
        <w:t>., 20</w:t>
      </w:r>
      <w:r w:rsidR="00017394">
        <w:rPr>
          <w:rFonts w:ascii="Arial" w:hAnsi="Arial" w:cs="Arial"/>
        </w:rPr>
        <w:t>16</w:t>
      </w:r>
      <w:r w:rsidRPr="00774893">
        <w:rPr>
          <w:rFonts w:ascii="Arial" w:hAnsi="Arial" w:cs="Arial"/>
        </w:rPr>
        <w:t>).</w:t>
      </w:r>
    </w:p>
    <w:p w14:paraId="6DD1D259" w14:textId="0021A87E" w:rsidR="00804315" w:rsidRDefault="00804315" w:rsidP="00FE76BD">
      <w:pPr>
        <w:pStyle w:val="Body"/>
        <w:rPr>
          <w:rFonts w:ascii="Arial" w:hAnsi="Arial" w:cs="Arial"/>
        </w:rPr>
      </w:pPr>
      <w:r w:rsidRPr="00774893">
        <w:rPr>
          <w:rFonts w:ascii="Arial" w:hAnsi="Arial" w:cs="Arial"/>
        </w:rPr>
        <w:t>Hair length and density were significantly higher in subjects receiving DHI+PRP compared to DHI. This finding aligns with a randomized controlled trial showing PRP to be superior to minoxidil in improving hair density, global photographic scores, and patient satisfaction after six months of treatment (</w:t>
      </w:r>
      <w:r w:rsidR="00C3329A">
        <w:rPr>
          <w:rFonts w:ascii="Arial" w:hAnsi="Arial" w:cs="Arial"/>
        </w:rPr>
        <w:t>Olsen</w:t>
      </w:r>
      <w:r w:rsidRPr="00774893">
        <w:rPr>
          <w:rFonts w:ascii="Arial" w:hAnsi="Arial" w:cs="Arial"/>
        </w:rPr>
        <w:t xml:space="preserve"> </w:t>
      </w:r>
      <w:r w:rsidRPr="00774893">
        <w:rPr>
          <w:rFonts w:ascii="Arial" w:hAnsi="Arial" w:cs="Arial"/>
          <w:i/>
          <w:iCs/>
        </w:rPr>
        <w:t>et al</w:t>
      </w:r>
      <w:r w:rsidRPr="00774893">
        <w:rPr>
          <w:rFonts w:ascii="Arial" w:hAnsi="Arial" w:cs="Arial"/>
        </w:rPr>
        <w:t>., 20</w:t>
      </w:r>
      <w:r w:rsidR="00C3329A">
        <w:rPr>
          <w:rFonts w:ascii="Arial" w:hAnsi="Arial" w:cs="Arial"/>
        </w:rPr>
        <w:t>02</w:t>
      </w:r>
      <w:r w:rsidRPr="00774893">
        <w:rPr>
          <w:rFonts w:ascii="Arial" w:hAnsi="Arial" w:cs="Arial"/>
        </w:rPr>
        <w:t>)</w:t>
      </w:r>
      <w:r>
        <w:rPr>
          <w:rFonts w:ascii="Arial" w:hAnsi="Arial" w:cs="Arial"/>
        </w:rPr>
        <w:t>.</w:t>
      </w:r>
    </w:p>
    <w:p w14:paraId="6B494E30" w14:textId="02553308" w:rsidR="00B234BA" w:rsidRDefault="00774893" w:rsidP="00FE76BD">
      <w:pPr>
        <w:pStyle w:val="Body"/>
        <w:rPr>
          <w:rFonts w:ascii="Arial" w:hAnsi="Arial" w:cs="Arial"/>
        </w:rPr>
      </w:pPr>
      <w:r w:rsidRPr="00FD3526">
        <w:rPr>
          <w:rFonts w:ascii="Arial" w:hAnsi="Arial" w:cs="Arial"/>
        </w:rPr>
        <w:t xml:space="preserve">Hair </w:t>
      </w:r>
      <w:r>
        <w:rPr>
          <w:rFonts w:ascii="Arial" w:hAnsi="Arial" w:cs="Arial"/>
        </w:rPr>
        <w:t xml:space="preserve">follicles </w:t>
      </w:r>
      <w:r w:rsidRPr="00FD3526">
        <w:rPr>
          <w:rFonts w:ascii="Arial" w:hAnsi="Arial" w:cs="Arial"/>
        </w:rPr>
        <w:t>density at 2 cm from the midline changed significantly over time (</w:t>
      </w:r>
      <w:r w:rsidR="00C77ACD">
        <w:rPr>
          <w:rFonts w:ascii="Arial" w:hAnsi="Arial" w:cs="Arial"/>
        </w:rPr>
        <w:t>P</w:t>
      </w:r>
      <w:r w:rsidRPr="00FD3526">
        <w:rPr>
          <w:rFonts w:ascii="Arial" w:hAnsi="Arial" w:cs="Arial"/>
        </w:rPr>
        <w:t xml:space="preserve"> &lt; 0.001), with differing patterns between the DHI+PRP and DHI groups (</w:t>
      </w:r>
      <w:r w:rsidR="00C77ACD">
        <w:rPr>
          <w:rFonts w:ascii="Arial" w:hAnsi="Arial" w:cs="Arial"/>
        </w:rPr>
        <w:t>P</w:t>
      </w:r>
      <w:r w:rsidRPr="00FD3526">
        <w:rPr>
          <w:rFonts w:ascii="Arial" w:hAnsi="Arial" w:cs="Arial"/>
        </w:rPr>
        <w:t xml:space="preserve"> = 0.006), although the mean </w:t>
      </w:r>
      <w:r>
        <w:rPr>
          <w:rFonts w:ascii="Arial" w:hAnsi="Arial" w:cs="Arial"/>
        </w:rPr>
        <w:t xml:space="preserve">follicles </w:t>
      </w:r>
      <w:r w:rsidRPr="00FD3526">
        <w:rPr>
          <w:rFonts w:ascii="Arial" w:hAnsi="Arial" w:cs="Arial"/>
        </w:rPr>
        <w:t>density difference between groups was not significant (</w:t>
      </w:r>
      <w:r w:rsidR="00C77ACD">
        <w:rPr>
          <w:rFonts w:ascii="Arial" w:hAnsi="Arial" w:cs="Arial"/>
        </w:rPr>
        <w:t>P</w:t>
      </w:r>
      <w:r w:rsidRPr="00FD3526">
        <w:rPr>
          <w:rFonts w:ascii="Arial" w:hAnsi="Arial" w:cs="Arial"/>
        </w:rPr>
        <w:t xml:space="preserve"> = 0.060). At 4 cm from the midline, hair </w:t>
      </w:r>
      <w:r>
        <w:rPr>
          <w:rFonts w:ascii="Arial" w:hAnsi="Arial" w:cs="Arial"/>
        </w:rPr>
        <w:t xml:space="preserve">follicle </w:t>
      </w:r>
      <w:r w:rsidRPr="00FD3526">
        <w:rPr>
          <w:rFonts w:ascii="Arial" w:hAnsi="Arial" w:cs="Arial"/>
        </w:rPr>
        <w:t xml:space="preserve">density also changed significantly over time (p &lt; 0.001), with both the mean density and its temporal patterns differing significantly between groups (p &lt; 0.001) (Table </w:t>
      </w:r>
      <w:r w:rsidR="001D497E">
        <w:rPr>
          <w:rFonts w:ascii="Arial" w:hAnsi="Arial" w:cs="Arial"/>
        </w:rPr>
        <w:t>4</w:t>
      </w:r>
      <w:r>
        <w:rPr>
          <w:rFonts w:ascii="Arial" w:hAnsi="Arial" w:cs="Arial"/>
        </w:rPr>
        <w:t>)</w:t>
      </w:r>
      <w:r w:rsidRPr="00FD3526">
        <w:rPr>
          <w:rFonts w:ascii="Arial" w:hAnsi="Arial" w:cs="Arial"/>
        </w:rPr>
        <w:t>.</w:t>
      </w:r>
    </w:p>
    <w:p w14:paraId="73433540" w14:textId="65485D11" w:rsidR="00804315" w:rsidRPr="00774893" w:rsidRDefault="00804315" w:rsidP="00FE76BD">
      <w:pPr>
        <w:pStyle w:val="Body"/>
        <w:rPr>
          <w:rFonts w:ascii="Arial" w:hAnsi="Arial" w:cs="Arial"/>
          <w:lang w:val="en-ID"/>
        </w:rPr>
      </w:pPr>
      <w:r w:rsidRPr="00774893">
        <w:rPr>
          <w:rFonts w:ascii="Arial" w:hAnsi="Arial" w:cs="Arial"/>
          <w:lang w:val="en-ID"/>
        </w:rPr>
        <w:t>Early exposure of grafts and scalp tissue to growth factors likely enhanced follicular density, reduced shock loss, and accelerated recovery. A randomized controlled trial similarly reported that intraoperative PRP significantly increased mean hair density and graft growth rates from 4 weeks to 6 months, with &gt;75% of PRP-treated patients achieving hair growth compared to only 25% in controls (Garg, 2016).</w:t>
      </w:r>
    </w:p>
    <w:p w14:paraId="745EBEE6" w14:textId="749DCAE5" w:rsidR="00804315" w:rsidRDefault="00804315" w:rsidP="00FE76BD">
      <w:pPr>
        <w:pStyle w:val="Body"/>
        <w:rPr>
          <w:rFonts w:ascii="Arial" w:hAnsi="Arial" w:cs="Arial"/>
          <w:lang w:val="en-ID"/>
        </w:rPr>
      </w:pPr>
      <w:r w:rsidRPr="00774893">
        <w:rPr>
          <w:rFonts w:ascii="Arial" w:hAnsi="Arial" w:cs="Arial"/>
          <w:lang w:val="en-ID"/>
        </w:rPr>
        <w:t xml:space="preserve">Other studies confirm the benefit of postoperative PRP. Administration at 4 weeks post-transplant reduced bald area size in androgenetic alopecia patients (Zhao &amp; Cao, 2023). Repeated PRP given before and at 1–2 months post-transplant significantly improved follicle survival (82.2% vs. 74%, </w:t>
      </w:r>
      <w:r w:rsidR="00C77ACD">
        <w:rPr>
          <w:rFonts w:ascii="Arial" w:hAnsi="Arial" w:cs="Arial"/>
          <w:lang w:val="en-ID"/>
        </w:rPr>
        <w:t>P</w:t>
      </w:r>
      <w:r w:rsidRPr="00774893">
        <w:rPr>
          <w:rFonts w:ascii="Arial" w:hAnsi="Arial" w:cs="Arial"/>
          <w:lang w:val="en-ID"/>
        </w:rPr>
        <w:t xml:space="preserve"> = 0.0002) and accelerated hair regrowth onset (17.7 vs. 20.1 days, </w:t>
      </w:r>
      <w:r w:rsidR="00C77ACD">
        <w:rPr>
          <w:rFonts w:ascii="Arial" w:hAnsi="Arial" w:cs="Arial"/>
          <w:lang w:val="en-ID"/>
        </w:rPr>
        <w:t>P</w:t>
      </w:r>
      <w:r w:rsidRPr="00774893">
        <w:rPr>
          <w:rFonts w:ascii="Arial" w:hAnsi="Arial" w:cs="Arial"/>
          <w:lang w:val="en-ID"/>
        </w:rPr>
        <w:t xml:space="preserve"> = 0.015) compared with controls (Xue </w:t>
      </w:r>
      <w:r w:rsidRPr="00774893">
        <w:rPr>
          <w:rFonts w:ascii="Arial" w:hAnsi="Arial" w:cs="Arial"/>
          <w:i/>
          <w:iCs/>
          <w:lang w:val="en-ID"/>
        </w:rPr>
        <w:t>et al</w:t>
      </w:r>
      <w:r w:rsidRPr="00774893">
        <w:rPr>
          <w:rFonts w:ascii="Arial" w:hAnsi="Arial" w:cs="Arial"/>
          <w:lang w:val="en-ID"/>
        </w:rPr>
        <w:t>., 2025).</w:t>
      </w:r>
    </w:p>
    <w:p w14:paraId="488743FE" w14:textId="77777777" w:rsidR="00804315" w:rsidRDefault="00804315" w:rsidP="00FE76BD">
      <w:pPr>
        <w:pStyle w:val="Body"/>
        <w:rPr>
          <w:rFonts w:ascii="Arial" w:hAnsi="Arial" w:cs="Arial"/>
          <w:lang w:val="en-ID"/>
        </w:rPr>
      </w:pPr>
      <w:r w:rsidRPr="00804315">
        <w:rPr>
          <w:rFonts w:ascii="Arial" w:hAnsi="Arial" w:cs="Arial"/>
          <w:lang w:val="en-ID"/>
        </w:rPr>
        <w:t>Patients treated with PRP consistently reported thicker hair shafts, with clinical observations confirming greater density, coverage, and faster healing marked by reduced redness and inflammation (</w:t>
      </w:r>
      <w:proofErr w:type="spellStart"/>
      <w:r w:rsidRPr="00804315">
        <w:rPr>
          <w:rFonts w:ascii="Arial" w:hAnsi="Arial" w:cs="Arial"/>
          <w:lang w:val="en-ID"/>
        </w:rPr>
        <w:t>Sindhusen</w:t>
      </w:r>
      <w:proofErr w:type="spellEnd"/>
      <w:r w:rsidRPr="00804315">
        <w:rPr>
          <w:rFonts w:ascii="Arial" w:hAnsi="Arial" w:cs="Arial"/>
          <w:lang w:val="en-ID"/>
        </w:rPr>
        <w:t xml:space="preserve"> </w:t>
      </w:r>
      <w:r w:rsidRPr="00C77ACD">
        <w:rPr>
          <w:rFonts w:ascii="Arial" w:hAnsi="Arial" w:cs="Arial"/>
          <w:i/>
          <w:iCs/>
          <w:lang w:val="en-ID"/>
        </w:rPr>
        <w:t>et al</w:t>
      </w:r>
      <w:r w:rsidRPr="00804315">
        <w:rPr>
          <w:rFonts w:ascii="Arial" w:hAnsi="Arial" w:cs="Arial"/>
          <w:lang w:val="en-ID"/>
        </w:rPr>
        <w:t xml:space="preserve">., 2025). Studies also show that PRP administered before and after transplantation significantly increases hair shaft diameter and follicular density within the first three months, supporting graft survival and accelerating follicle activation through its cytokine-rich profile (Jagtap </w:t>
      </w:r>
      <w:r w:rsidRPr="00C77ACD">
        <w:rPr>
          <w:rFonts w:ascii="Arial" w:hAnsi="Arial" w:cs="Arial"/>
          <w:i/>
          <w:iCs/>
          <w:lang w:val="en-ID"/>
        </w:rPr>
        <w:t>et al</w:t>
      </w:r>
      <w:r w:rsidRPr="00804315">
        <w:rPr>
          <w:rFonts w:ascii="Arial" w:hAnsi="Arial" w:cs="Arial"/>
          <w:lang w:val="en-ID"/>
        </w:rPr>
        <w:t>., 2025).</w:t>
      </w:r>
    </w:p>
    <w:p w14:paraId="71D91527" w14:textId="4C2DD7A1" w:rsidR="00804315" w:rsidRPr="009F6A06" w:rsidRDefault="00804315" w:rsidP="00804315">
      <w:pPr>
        <w:pStyle w:val="Body"/>
        <w:spacing w:after="0"/>
        <w:rPr>
          <w:rFonts w:ascii="Arial" w:hAnsi="Arial" w:cs="Arial"/>
          <w:b/>
          <w:bCs/>
        </w:rPr>
      </w:pPr>
      <w:r w:rsidRPr="009F6A06">
        <w:rPr>
          <w:rFonts w:ascii="Arial" w:hAnsi="Arial" w:cs="Arial"/>
          <w:b/>
          <w:bCs/>
        </w:rPr>
        <w:t xml:space="preserve">Table </w:t>
      </w:r>
      <w:r w:rsidR="001D497E">
        <w:rPr>
          <w:rFonts w:ascii="Arial" w:hAnsi="Arial" w:cs="Arial"/>
          <w:b/>
          <w:bCs/>
        </w:rPr>
        <w:t>5</w:t>
      </w:r>
      <w:r w:rsidRPr="009F6A06">
        <w:rPr>
          <w:rFonts w:ascii="Arial" w:hAnsi="Arial" w:cs="Arial"/>
          <w:b/>
          <w:bCs/>
        </w:rPr>
        <w:t>. Post hoc analysis of hair</w:t>
      </w:r>
      <w:r>
        <w:rPr>
          <w:rFonts w:ascii="Arial" w:hAnsi="Arial" w:cs="Arial"/>
          <w:b/>
          <w:bCs/>
        </w:rPr>
        <w:t xml:space="preserve"> follicles </w:t>
      </w:r>
      <w:r w:rsidRPr="009F6A06">
        <w:rPr>
          <w:rFonts w:ascii="Arial" w:hAnsi="Arial" w:cs="Arial"/>
          <w:b/>
          <w:bCs/>
        </w:rPr>
        <w:t>density</w:t>
      </w:r>
    </w:p>
    <w:p w14:paraId="300D6FB5" w14:textId="77777777" w:rsidR="00804315" w:rsidRDefault="00804315" w:rsidP="00804315">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1449"/>
        <w:gridCol w:w="974"/>
        <w:gridCol w:w="1368"/>
        <w:gridCol w:w="974"/>
      </w:tblGrid>
      <w:tr w:rsidR="00804315" w:rsidRPr="003D23BF" w14:paraId="3A15B810" w14:textId="77777777" w:rsidTr="001C4F86">
        <w:tc>
          <w:tcPr>
            <w:tcW w:w="1888" w:type="dxa"/>
            <w:vMerge w:val="restart"/>
            <w:tcBorders>
              <w:top w:val="single" w:sz="4" w:space="0" w:color="auto"/>
            </w:tcBorders>
            <w:vAlign w:val="center"/>
          </w:tcPr>
          <w:p w14:paraId="0E833405" w14:textId="77777777" w:rsidR="00804315" w:rsidRPr="003D23BF" w:rsidRDefault="00804315" w:rsidP="00FE76BD">
            <w:pPr>
              <w:jc w:val="center"/>
              <w:rPr>
                <w:rFonts w:ascii="Arial" w:hAnsi="Arial" w:cs="Arial"/>
                <w:b/>
                <w:bCs/>
                <w:sz w:val="20"/>
                <w:szCs w:val="20"/>
              </w:rPr>
            </w:pPr>
            <w:r w:rsidRPr="003D23BF">
              <w:rPr>
                <w:rFonts w:ascii="Arial" w:hAnsi="Arial" w:cs="Arial"/>
                <w:b/>
                <w:bCs/>
                <w:sz w:val="20"/>
                <w:szCs w:val="20"/>
              </w:rPr>
              <w:t>Time/Group Pairs</w:t>
            </w:r>
          </w:p>
        </w:tc>
        <w:tc>
          <w:tcPr>
            <w:tcW w:w="2423" w:type="dxa"/>
            <w:gridSpan w:val="2"/>
            <w:tcBorders>
              <w:top w:val="single" w:sz="4" w:space="0" w:color="auto"/>
              <w:bottom w:val="single" w:sz="4" w:space="0" w:color="auto"/>
            </w:tcBorders>
            <w:vAlign w:val="center"/>
          </w:tcPr>
          <w:p w14:paraId="5A6F5F4F" w14:textId="77777777" w:rsidR="00804315" w:rsidRPr="003D23BF" w:rsidRDefault="00804315" w:rsidP="00FE76BD">
            <w:pPr>
              <w:jc w:val="center"/>
              <w:rPr>
                <w:rFonts w:ascii="Arial" w:hAnsi="Arial" w:cs="Arial"/>
                <w:b/>
                <w:bCs/>
                <w:sz w:val="20"/>
                <w:szCs w:val="20"/>
              </w:rPr>
            </w:pPr>
            <w:r w:rsidRPr="003D23BF">
              <w:rPr>
                <w:rFonts w:ascii="Arial" w:hAnsi="Arial" w:cs="Arial"/>
                <w:b/>
                <w:bCs/>
                <w:sz w:val="20"/>
                <w:szCs w:val="20"/>
              </w:rPr>
              <w:t>Hair density 2 cm from midline</w:t>
            </w:r>
          </w:p>
        </w:tc>
        <w:tc>
          <w:tcPr>
            <w:tcW w:w="2342" w:type="dxa"/>
            <w:gridSpan w:val="2"/>
            <w:tcBorders>
              <w:top w:val="single" w:sz="4" w:space="0" w:color="auto"/>
              <w:bottom w:val="single" w:sz="4" w:space="0" w:color="auto"/>
            </w:tcBorders>
            <w:vAlign w:val="center"/>
          </w:tcPr>
          <w:p w14:paraId="7DA83C14" w14:textId="77777777" w:rsidR="00804315" w:rsidRPr="003D23BF" w:rsidRDefault="00804315" w:rsidP="00FE76BD">
            <w:pPr>
              <w:jc w:val="center"/>
              <w:rPr>
                <w:rFonts w:ascii="Arial" w:hAnsi="Arial" w:cs="Arial"/>
                <w:b/>
                <w:bCs/>
                <w:sz w:val="20"/>
                <w:szCs w:val="20"/>
              </w:rPr>
            </w:pPr>
            <w:r w:rsidRPr="003D23BF">
              <w:rPr>
                <w:rFonts w:ascii="Arial" w:hAnsi="Arial" w:cs="Arial"/>
                <w:b/>
                <w:bCs/>
                <w:sz w:val="20"/>
                <w:szCs w:val="20"/>
              </w:rPr>
              <w:t>Hair density 4 cm from midline</w:t>
            </w:r>
          </w:p>
        </w:tc>
      </w:tr>
      <w:tr w:rsidR="00804315" w:rsidRPr="003D23BF" w14:paraId="633D5F1B" w14:textId="77777777" w:rsidTr="001C4F86">
        <w:tc>
          <w:tcPr>
            <w:tcW w:w="1888" w:type="dxa"/>
            <w:vMerge/>
            <w:tcBorders>
              <w:bottom w:val="single" w:sz="4" w:space="0" w:color="auto"/>
            </w:tcBorders>
            <w:vAlign w:val="center"/>
          </w:tcPr>
          <w:p w14:paraId="6E430DC2" w14:textId="77777777" w:rsidR="00804315" w:rsidRPr="003D23BF" w:rsidRDefault="00804315" w:rsidP="00FE76BD">
            <w:pPr>
              <w:jc w:val="center"/>
              <w:rPr>
                <w:rFonts w:ascii="Arial" w:hAnsi="Arial" w:cs="Arial"/>
                <w:b/>
                <w:bCs/>
                <w:sz w:val="20"/>
                <w:szCs w:val="20"/>
              </w:rPr>
            </w:pPr>
          </w:p>
        </w:tc>
        <w:tc>
          <w:tcPr>
            <w:tcW w:w="1449" w:type="dxa"/>
            <w:tcBorders>
              <w:top w:val="single" w:sz="4" w:space="0" w:color="auto"/>
              <w:bottom w:val="single" w:sz="4" w:space="0" w:color="auto"/>
            </w:tcBorders>
          </w:tcPr>
          <w:p w14:paraId="1D73C46A" w14:textId="77777777" w:rsidR="00804315" w:rsidRPr="003D23BF" w:rsidRDefault="00804315" w:rsidP="00FE76BD">
            <w:pPr>
              <w:jc w:val="center"/>
              <w:rPr>
                <w:rFonts w:ascii="Arial" w:hAnsi="Arial" w:cs="Arial"/>
                <w:b/>
                <w:bCs/>
                <w:sz w:val="20"/>
                <w:szCs w:val="20"/>
              </w:rPr>
            </w:pPr>
            <w:r w:rsidRPr="003D23BF">
              <w:rPr>
                <w:rFonts w:ascii="Arial" w:hAnsi="Arial" w:cs="Arial"/>
                <w:b/>
                <w:bCs/>
                <w:sz w:val="20"/>
                <w:szCs w:val="20"/>
              </w:rPr>
              <w:t>Mean differences</w:t>
            </w:r>
          </w:p>
        </w:tc>
        <w:tc>
          <w:tcPr>
            <w:tcW w:w="974" w:type="dxa"/>
            <w:tcBorders>
              <w:top w:val="single" w:sz="4" w:space="0" w:color="auto"/>
              <w:bottom w:val="single" w:sz="4" w:space="0" w:color="auto"/>
            </w:tcBorders>
          </w:tcPr>
          <w:p w14:paraId="7D42D093" w14:textId="77777777" w:rsidR="00804315" w:rsidRPr="003D23BF" w:rsidRDefault="00804315" w:rsidP="00FE76BD">
            <w:pPr>
              <w:jc w:val="center"/>
              <w:rPr>
                <w:rFonts w:ascii="Arial" w:hAnsi="Arial" w:cs="Arial"/>
                <w:b/>
                <w:bCs/>
                <w:sz w:val="20"/>
                <w:szCs w:val="20"/>
              </w:rPr>
            </w:pPr>
            <w:r w:rsidRPr="003D23BF">
              <w:rPr>
                <w:rFonts w:ascii="Arial" w:hAnsi="Arial" w:cs="Arial"/>
                <w:b/>
                <w:bCs/>
                <w:sz w:val="20"/>
                <w:szCs w:val="20"/>
              </w:rPr>
              <w:t>Sig. (P)</w:t>
            </w:r>
          </w:p>
        </w:tc>
        <w:tc>
          <w:tcPr>
            <w:tcW w:w="1368" w:type="dxa"/>
            <w:tcBorders>
              <w:top w:val="single" w:sz="4" w:space="0" w:color="auto"/>
              <w:bottom w:val="single" w:sz="4" w:space="0" w:color="auto"/>
            </w:tcBorders>
          </w:tcPr>
          <w:p w14:paraId="07488ED8" w14:textId="77777777" w:rsidR="00804315" w:rsidRPr="003D23BF" w:rsidRDefault="00804315" w:rsidP="00FE76BD">
            <w:pPr>
              <w:jc w:val="center"/>
              <w:rPr>
                <w:rFonts w:ascii="Arial" w:hAnsi="Arial" w:cs="Arial"/>
                <w:b/>
                <w:bCs/>
                <w:sz w:val="20"/>
                <w:szCs w:val="20"/>
              </w:rPr>
            </w:pPr>
            <w:r w:rsidRPr="003D23BF">
              <w:rPr>
                <w:rFonts w:ascii="Arial" w:hAnsi="Arial" w:cs="Arial"/>
                <w:b/>
                <w:bCs/>
                <w:sz w:val="20"/>
                <w:szCs w:val="20"/>
              </w:rPr>
              <w:t>Mean differences</w:t>
            </w:r>
          </w:p>
        </w:tc>
        <w:tc>
          <w:tcPr>
            <w:tcW w:w="974" w:type="dxa"/>
            <w:tcBorders>
              <w:top w:val="single" w:sz="4" w:space="0" w:color="auto"/>
              <w:bottom w:val="single" w:sz="4" w:space="0" w:color="auto"/>
            </w:tcBorders>
          </w:tcPr>
          <w:p w14:paraId="059C9644" w14:textId="77777777" w:rsidR="00804315" w:rsidRPr="003D23BF" w:rsidRDefault="00804315" w:rsidP="00FE76BD">
            <w:pPr>
              <w:jc w:val="center"/>
              <w:rPr>
                <w:rFonts w:ascii="Arial" w:hAnsi="Arial" w:cs="Arial"/>
                <w:b/>
                <w:bCs/>
                <w:sz w:val="20"/>
                <w:szCs w:val="20"/>
              </w:rPr>
            </w:pPr>
            <w:r w:rsidRPr="003D23BF">
              <w:rPr>
                <w:rFonts w:ascii="Arial" w:hAnsi="Arial" w:cs="Arial"/>
                <w:b/>
                <w:bCs/>
                <w:sz w:val="20"/>
                <w:szCs w:val="20"/>
              </w:rPr>
              <w:t>Sig. (P)</w:t>
            </w:r>
          </w:p>
        </w:tc>
      </w:tr>
      <w:tr w:rsidR="00804315" w:rsidRPr="003D23BF" w14:paraId="302A387B" w14:textId="77777777" w:rsidTr="001C4F86">
        <w:tc>
          <w:tcPr>
            <w:tcW w:w="1888" w:type="dxa"/>
            <w:tcBorders>
              <w:top w:val="single" w:sz="4" w:space="0" w:color="auto"/>
            </w:tcBorders>
            <w:vAlign w:val="center"/>
          </w:tcPr>
          <w:p w14:paraId="447675AF" w14:textId="77777777"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Day 0 – Week 4</w:t>
            </w:r>
          </w:p>
        </w:tc>
        <w:tc>
          <w:tcPr>
            <w:tcW w:w="1449" w:type="dxa"/>
            <w:tcBorders>
              <w:top w:val="single" w:sz="4" w:space="0" w:color="auto"/>
            </w:tcBorders>
            <w:vAlign w:val="center"/>
          </w:tcPr>
          <w:p w14:paraId="0F8DA37A" w14:textId="1C99196A"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2</w:t>
            </w:r>
            <w:r w:rsidR="00C80CEE">
              <w:rPr>
                <w:rFonts w:ascii="Arial" w:hAnsi="Arial" w:cs="Arial"/>
                <w:color w:val="000000"/>
                <w:sz w:val="20"/>
                <w:szCs w:val="20"/>
              </w:rPr>
              <w:t>.</w:t>
            </w:r>
            <w:r w:rsidRPr="003D23BF">
              <w:rPr>
                <w:rFonts w:ascii="Arial" w:hAnsi="Arial" w:cs="Arial"/>
                <w:color w:val="000000"/>
                <w:sz w:val="20"/>
                <w:szCs w:val="20"/>
              </w:rPr>
              <w:t>786</w:t>
            </w:r>
          </w:p>
        </w:tc>
        <w:tc>
          <w:tcPr>
            <w:tcW w:w="974" w:type="dxa"/>
            <w:tcBorders>
              <w:top w:val="single" w:sz="4" w:space="0" w:color="auto"/>
            </w:tcBorders>
            <w:vAlign w:val="center"/>
          </w:tcPr>
          <w:p w14:paraId="47C53E2F" w14:textId="2F442A22" w:rsidR="00804315" w:rsidRPr="003D23BF" w:rsidRDefault="00804315" w:rsidP="00FE76BD">
            <w:pPr>
              <w:jc w:val="both"/>
              <w:rPr>
                <w:rFonts w:ascii="Arial" w:hAnsi="Arial" w:cs="Arial"/>
                <w:sz w:val="20"/>
                <w:szCs w:val="20"/>
              </w:rPr>
            </w:pPr>
            <w:r w:rsidRPr="003D23BF">
              <w:rPr>
                <w:rFonts w:ascii="Arial" w:hAnsi="Arial" w:cs="Arial"/>
                <w:color w:val="000000"/>
                <w:sz w:val="20"/>
                <w:szCs w:val="20"/>
                <w:u w:val="single"/>
              </w:rPr>
              <w:t>&lt;</w:t>
            </w:r>
            <w:r w:rsidRPr="003D23BF">
              <w:rPr>
                <w:rFonts w:ascii="Arial" w:hAnsi="Arial" w:cs="Arial"/>
                <w:color w:val="000000"/>
                <w:sz w:val="20"/>
                <w:szCs w:val="20"/>
              </w:rPr>
              <w:t xml:space="preserve"> 0</w:t>
            </w:r>
            <w:r w:rsidR="00C80CEE">
              <w:rPr>
                <w:rFonts w:ascii="Arial" w:hAnsi="Arial" w:cs="Arial"/>
                <w:color w:val="000000"/>
                <w:sz w:val="20"/>
                <w:szCs w:val="20"/>
              </w:rPr>
              <w:t>.</w:t>
            </w:r>
            <w:r w:rsidRPr="003D23BF">
              <w:rPr>
                <w:rFonts w:ascii="Arial" w:hAnsi="Arial" w:cs="Arial"/>
                <w:color w:val="000000"/>
                <w:sz w:val="20"/>
                <w:szCs w:val="20"/>
              </w:rPr>
              <w:t>001</w:t>
            </w:r>
          </w:p>
        </w:tc>
        <w:tc>
          <w:tcPr>
            <w:tcW w:w="1368" w:type="dxa"/>
            <w:tcBorders>
              <w:top w:val="single" w:sz="4" w:space="0" w:color="auto"/>
            </w:tcBorders>
            <w:vAlign w:val="center"/>
          </w:tcPr>
          <w:p w14:paraId="74EF7A1F" w14:textId="3C0E883C" w:rsidR="00804315" w:rsidRPr="003D23BF" w:rsidRDefault="00804315" w:rsidP="00FE76BD">
            <w:pPr>
              <w:jc w:val="both"/>
              <w:rPr>
                <w:rFonts w:ascii="Arial" w:hAnsi="Arial" w:cs="Arial"/>
                <w:color w:val="000000"/>
                <w:sz w:val="20"/>
                <w:szCs w:val="20"/>
                <w:u w:val="single"/>
              </w:rPr>
            </w:pPr>
            <w:r w:rsidRPr="003D23BF">
              <w:rPr>
                <w:rFonts w:ascii="Arial" w:hAnsi="Arial" w:cs="Arial"/>
                <w:sz w:val="20"/>
                <w:szCs w:val="20"/>
              </w:rPr>
              <w:t>3</w:t>
            </w:r>
            <w:r w:rsidR="00C80CEE">
              <w:rPr>
                <w:rFonts w:ascii="Arial" w:hAnsi="Arial" w:cs="Arial"/>
                <w:sz w:val="20"/>
                <w:szCs w:val="20"/>
              </w:rPr>
              <w:t>.</w:t>
            </w:r>
            <w:r w:rsidRPr="003D23BF">
              <w:rPr>
                <w:rFonts w:ascii="Arial" w:hAnsi="Arial" w:cs="Arial"/>
                <w:sz w:val="20"/>
                <w:szCs w:val="20"/>
              </w:rPr>
              <w:t>214</w:t>
            </w:r>
          </w:p>
        </w:tc>
        <w:tc>
          <w:tcPr>
            <w:tcW w:w="974" w:type="dxa"/>
            <w:tcBorders>
              <w:top w:val="single" w:sz="4" w:space="0" w:color="auto"/>
            </w:tcBorders>
            <w:vAlign w:val="center"/>
          </w:tcPr>
          <w:p w14:paraId="222CEA6E" w14:textId="0A9DEE0F" w:rsidR="00804315" w:rsidRPr="003D23BF" w:rsidRDefault="00804315" w:rsidP="00FE76BD">
            <w:pPr>
              <w:jc w:val="both"/>
              <w:rPr>
                <w:rFonts w:ascii="Arial" w:hAnsi="Arial" w:cs="Arial"/>
                <w:color w:val="000000"/>
                <w:sz w:val="20"/>
                <w:szCs w:val="20"/>
                <w:u w:val="single"/>
              </w:rPr>
            </w:pPr>
            <w:r w:rsidRPr="003D23BF">
              <w:rPr>
                <w:rFonts w:ascii="Arial" w:hAnsi="Arial" w:cs="Arial"/>
                <w:color w:val="000000"/>
                <w:sz w:val="20"/>
                <w:szCs w:val="20"/>
                <w:u w:val="single"/>
              </w:rPr>
              <w:t>&lt;</w:t>
            </w:r>
            <w:r w:rsidRPr="003D23BF">
              <w:rPr>
                <w:rFonts w:ascii="Arial" w:hAnsi="Arial" w:cs="Arial"/>
                <w:color w:val="000000"/>
                <w:sz w:val="20"/>
                <w:szCs w:val="20"/>
              </w:rPr>
              <w:t xml:space="preserve"> 0</w:t>
            </w:r>
            <w:r w:rsidR="00C80CEE">
              <w:rPr>
                <w:rFonts w:ascii="Arial" w:hAnsi="Arial" w:cs="Arial"/>
                <w:color w:val="000000"/>
                <w:sz w:val="20"/>
                <w:szCs w:val="20"/>
              </w:rPr>
              <w:t>.</w:t>
            </w:r>
            <w:r w:rsidRPr="003D23BF">
              <w:rPr>
                <w:rFonts w:ascii="Arial" w:hAnsi="Arial" w:cs="Arial"/>
                <w:color w:val="000000"/>
                <w:sz w:val="20"/>
                <w:szCs w:val="20"/>
              </w:rPr>
              <w:t>001</w:t>
            </w:r>
          </w:p>
        </w:tc>
      </w:tr>
      <w:tr w:rsidR="00804315" w:rsidRPr="003D23BF" w14:paraId="48EE4A93" w14:textId="77777777" w:rsidTr="001C4F86">
        <w:tc>
          <w:tcPr>
            <w:tcW w:w="1888" w:type="dxa"/>
            <w:vAlign w:val="center"/>
          </w:tcPr>
          <w:p w14:paraId="5EC59B33" w14:textId="77777777"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Day 0 – Week 12</w:t>
            </w:r>
          </w:p>
        </w:tc>
        <w:tc>
          <w:tcPr>
            <w:tcW w:w="1449" w:type="dxa"/>
            <w:vAlign w:val="center"/>
          </w:tcPr>
          <w:p w14:paraId="5DDFEF88" w14:textId="580E382E"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6</w:t>
            </w:r>
            <w:r w:rsidR="00C80CEE">
              <w:rPr>
                <w:rFonts w:ascii="Arial" w:hAnsi="Arial" w:cs="Arial"/>
                <w:color w:val="000000"/>
                <w:sz w:val="20"/>
                <w:szCs w:val="20"/>
              </w:rPr>
              <w:t>.</w:t>
            </w:r>
            <w:r w:rsidRPr="003D23BF">
              <w:rPr>
                <w:rFonts w:ascii="Arial" w:hAnsi="Arial" w:cs="Arial"/>
                <w:color w:val="000000"/>
                <w:sz w:val="20"/>
                <w:szCs w:val="20"/>
              </w:rPr>
              <w:t>357</w:t>
            </w:r>
          </w:p>
        </w:tc>
        <w:tc>
          <w:tcPr>
            <w:tcW w:w="974" w:type="dxa"/>
            <w:vAlign w:val="center"/>
          </w:tcPr>
          <w:p w14:paraId="72F525D8" w14:textId="5BF5BC8C" w:rsidR="00804315" w:rsidRPr="003D23BF" w:rsidRDefault="00804315" w:rsidP="00FE76BD">
            <w:pPr>
              <w:jc w:val="both"/>
              <w:rPr>
                <w:rFonts w:ascii="Arial" w:hAnsi="Arial" w:cs="Arial"/>
                <w:sz w:val="20"/>
                <w:szCs w:val="20"/>
              </w:rPr>
            </w:pPr>
            <w:r w:rsidRPr="003D23BF">
              <w:rPr>
                <w:rFonts w:ascii="Arial" w:hAnsi="Arial" w:cs="Arial"/>
                <w:color w:val="000000"/>
                <w:sz w:val="20"/>
                <w:szCs w:val="20"/>
                <w:u w:val="single"/>
              </w:rPr>
              <w:t>&lt;</w:t>
            </w:r>
            <w:r w:rsidRPr="003D23BF">
              <w:rPr>
                <w:rFonts w:ascii="Arial" w:hAnsi="Arial" w:cs="Arial"/>
                <w:color w:val="000000"/>
                <w:sz w:val="20"/>
                <w:szCs w:val="20"/>
              </w:rPr>
              <w:t xml:space="preserve"> 0</w:t>
            </w:r>
            <w:r w:rsidR="00C80CEE">
              <w:rPr>
                <w:rFonts w:ascii="Arial" w:hAnsi="Arial" w:cs="Arial"/>
                <w:color w:val="000000"/>
                <w:sz w:val="20"/>
                <w:szCs w:val="20"/>
              </w:rPr>
              <w:t>.</w:t>
            </w:r>
            <w:r w:rsidRPr="003D23BF">
              <w:rPr>
                <w:rFonts w:ascii="Arial" w:hAnsi="Arial" w:cs="Arial"/>
                <w:color w:val="000000"/>
                <w:sz w:val="20"/>
                <w:szCs w:val="20"/>
              </w:rPr>
              <w:t>001</w:t>
            </w:r>
          </w:p>
        </w:tc>
        <w:tc>
          <w:tcPr>
            <w:tcW w:w="1368" w:type="dxa"/>
            <w:vAlign w:val="center"/>
          </w:tcPr>
          <w:p w14:paraId="41B9CFD2" w14:textId="07DDD844" w:rsidR="00804315" w:rsidRPr="003D23BF" w:rsidRDefault="00804315" w:rsidP="00FE76BD">
            <w:pPr>
              <w:jc w:val="both"/>
              <w:rPr>
                <w:rFonts w:ascii="Arial" w:hAnsi="Arial" w:cs="Arial"/>
                <w:color w:val="000000"/>
                <w:sz w:val="20"/>
                <w:szCs w:val="20"/>
                <w:u w:val="single"/>
              </w:rPr>
            </w:pPr>
            <w:r w:rsidRPr="003D23BF">
              <w:rPr>
                <w:rFonts w:ascii="Arial" w:hAnsi="Arial" w:cs="Arial"/>
                <w:sz w:val="20"/>
                <w:szCs w:val="20"/>
              </w:rPr>
              <w:t>6</w:t>
            </w:r>
            <w:r w:rsidR="00C80CEE">
              <w:rPr>
                <w:rFonts w:ascii="Arial" w:hAnsi="Arial" w:cs="Arial"/>
                <w:sz w:val="20"/>
                <w:szCs w:val="20"/>
              </w:rPr>
              <w:t>.</w:t>
            </w:r>
            <w:r w:rsidRPr="003D23BF">
              <w:rPr>
                <w:rFonts w:ascii="Arial" w:hAnsi="Arial" w:cs="Arial"/>
                <w:sz w:val="20"/>
                <w:szCs w:val="20"/>
              </w:rPr>
              <w:t>357</w:t>
            </w:r>
          </w:p>
        </w:tc>
        <w:tc>
          <w:tcPr>
            <w:tcW w:w="974" w:type="dxa"/>
            <w:vAlign w:val="center"/>
          </w:tcPr>
          <w:p w14:paraId="10668AFA" w14:textId="29AD2D59" w:rsidR="00804315" w:rsidRPr="003D23BF" w:rsidRDefault="00804315" w:rsidP="00FE76BD">
            <w:pPr>
              <w:jc w:val="both"/>
              <w:rPr>
                <w:rFonts w:ascii="Arial" w:hAnsi="Arial" w:cs="Arial"/>
                <w:color w:val="000000"/>
                <w:sz w:val="20"/>
                <w:szCs w:val="20"/>
                <w:u w:val="single"/>
              </w:rPr>
            </w:pPr>
            <w:r w:rsidRPr="003D23BF">
              <w:rPr>
                <w:rFonts w:ascii="Arial" w:hAnsi="Arial" w:cs="Arial"/>
                <w:color w:val="000000"/>
                <w:sz w:val="20"/>
                <w:szCs w:val="20"/>
                <w:u w:val="single"/>
              </w:rPr>
              <w:t>&lt;</w:t>
            </w:r>
            <w:r w:rsidRPr="003D23BF">
              <w:rPr>
                <w:rFonts w:ascii="Arial" w:hAnsi="Arial" w:cs="Arial"/>
                <w:color w:val="000000"/>
                <w:sz w:val="20"/>
                <w:szCs w:val="20"/>
              </w:rPr>
              <w:t xml:space="preserve"> 0</w:t>
            </w:r>
            <w:r w:rsidR="00C80CEE">
              <w:rPr>
                <w:rFonts w:ascii="Arial" w:hAnsi="Arial" w:cs="Arial"/>
                <w:color w:val="000000"/>
                <w:sz w:val="20"/>
                <w:szCs w:val="20"/>
              </w:rPr>
              <w:t>.</w:t>
            </w:r>
            <w:r w:rsidRPr="003D23BF">
              <w:rPr>
                <w:rFonts w:ascii="Arial" w:hAnsi="Arial" w:cs="Arial"/>
                <w:color w:val="000000"/>
                <w:sz w:val="20"/>
                <w:szCs w:val="20"/>
              </w:rPr>
              <w:t>001</w:t>
            </w:r>
          </w:p>
        </w:tc>
      </w:tr>
      <w:tr w:rsidR="00804315" w:rsidRPr="003D23BF" w14:paraId="144D9886" w14:textId="77777777" w:rsidTr="001C4F86">
        <w:tc>
          <w:tcPr>
            <w:tcW w:w="1888" w:type="dxa"/>
            <w:vAlign w:val="center"/>
          </w:tcPr>
          <w:p w14:paraId="78AFB441" w14:textId="77777777"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Day 0 – Week 16</w:t>
            </w:r>
          </w:p>
        </w:tc>
        <w:tc>
          <w:tcPr>
            <w:tcW w:w="1449" w:type="dxa"/>
            <w:vAlign w:val="center"/>
          </w:tcPr>
          <w:p w14:paraId="07A30D10" w14:textId="4B34A330"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4</w:t>
            </w:r>
            <w:r w:rsidR="00C80CEE">
              <w:rPr>
                <w:rFonts w:ascii="Arial" w:hAnsi="Arial" w:cs="Arial"/>
                <w:color w:val="000000"/>
                <w:sz w:val="20"/>
                <w:szCs w:val="20"/>
              </w:rPr>
              <w:t>.</w:t>
            </w:r>
            <w:r w:rsidRPr="003D23BF">
              <w:rPr>
                <w:rFonts w:ascii="Arial" w:hAnsi="Arial" w:cs="Arial"/>
                <w:color w:val="000000"/>
                <w:sz w:val="20"/>
                <w:szCs w:val="20"/>
              </w:rPr>
              <w:t>071</w:t>
            </w:r>
          </w:p>
        </w:tc>
        <w:tc>
          <w:tcPr>
            <w:tcW w:w="974" w:type="dxa"/>
            <w:vAlign w:val="center"/>
          </w:tcPr>
          <w:p w14:paraId="1538E493" w14:textId="602A7EC0" w:rsidR="00804315" w:rsidRPr="003D23BF" w:rsidRDefault="00804315" w:rsidP="00FE76BD">
            <w:pPr>
              <w:jc w:val="both"/>
              <w:rPr>
                <w:rFonts w:ascii="Arial" w:hAnsi="Arial" w:cs="Arial"/>
                <w:sz w:val="20"/>
                <w:szCs w:val="20"/>
              </w:rPr>
            </w:pPr>
            <w:r w:rsidRPr="003D23BF">
              <w:rPr>
                <w:rFonts w:ascii="Arial" w:hAnsi="Arial" w:cs="Arial"/>
                <w:color w:val="000000"/>
                <w:sz w:val="20"/>
                <w:szCs w:val="20"/>
                <w:u w:val="single"/>
              </w:rPr>
              <w:t>&lt;</w:t>
            </w:r>
            <w:r w:rsidRPr="003D23BF">
              <w:rPr>
                <w:rFonts w:ascii="Arial" w:hAnsi="Arial" w:cs="Arial"/>
                <w:color w:val="000000"/>
                <w:sz w:val="20"/>
                <w:szCs w:val="20"/>
              </w:rPr>
              <w:t xml:space="preserve"> 0</w:t>
            </w:r>
            <w:r w:rsidR="00C80CEE">
              <w:rPr>
                <w:rFonts w:ascii="Arial" w:hAnsi="Arial" w:cs="Arial"/>
                <w:color w:val="000000"/>
                <w:sz w:val="20"/>
                <w:szCs w:val="20"/>
              </w:rPr>
              <w:t>.</w:t>
            </w:r>
            <w:r w:rsidRPr="003D23BF">
              <w:rPr>
                <w:rFonts w:ascii="Arial" w:hAnsi="Arial" w:cs="Arial"/>
                <w:color w:val="000000"/>
                <w:sz w:val="20"/>
                <w:szCs w:val="20"/>
              </w:rPr>
              <w:t>001</w:t>
            </w:r>
          </w:p>
        </w:tc>
        <w:tc>
          <w:tcPr>
            <w:tcW w:w="1368" w:type="dxa"/>
            <w:vAlign w:val="center"/>
          </w:tcPr>
          <w:p w14:paraId="42A59300" w14:textId="736D9EB4" w:rsidR="00804315" w:rsidRPr="003D23BF" w:rsidRDefault="00804315" w:rsidP="00FE76BD">
            <w:pPr>
              <w:jc w:val="both"/>
              <w:rPr>
                <w:rFonts w:ascii="Arial" w:hAnsi="Arial" w:cs="Arial"/>
                <w:color w:val="000000"/>
                <w:sz w:val="20"/>
                <w:szCs w:val="20"/>
                <w:u w:val="single"/>
              </w:rPr>
            </w:pPr>
            <w:r w:rsidRPr="003D23BF">
              <w:rPr>
                <w:rFonts w:ascii="Arial" w:hAnsi="Arial" w:cs="Arial"/>
                <w:sz w:val="20"/>
                <w:szCs w:val="20"/>
              </w:rPr>
              <w:t>4</w:t>
            </w:r>
            <w:r w:rsidR="00C80CEE">
              <w:rPr>
                <w:rFonts w:ascii="Arial" w:hAnsi="Arial" w:cs="Arial"/>
                <w:sz w:val="20"/>
                <w:szCs w:val="20"/>
              </w:rPr>
              <w:t>.</w:t>
            </w:r>
            <w:r w:rsidRPr="003D23BF">
              <w:rPr>
                <w:rFonts w:ascii="Arial" w:hAnsi="Arial" w:cs="Arial"/>
                <w:sz w:val="20"/>
                <w:szCs w:val="20"/>
              </w:rPr>
              <w:t>429</w:t>
            </w:r>
          </w:p>
        </w:tc>
        <w:tc>
          <w:tcPr>
            <w:tcW w:w="974" w:type="dxa"/>
            <w:vAlign w:val="center"/>
          </w:tcPr>
          <w:p w14:paraId="6505384C" w14:textId="792539FA" w:rsidR="00804315" w:rsidRPr="003D23BF" w:rsidRDefault="00804315" w:rsidP="00FE76BD">
            <w:pPr>
              <w:jc w:val="both"/>
              <w:rPr>
                <w:rFonts w:ascii="Arial" w:hAnsi="Arial" w:cs="Arial"/>
                <w:color w:val="000000"/>
                <w:sz w:val="20"/>
                <w:szCs w:val="20"/>
                <w:u w:val="single"/>
              </w:rPr>
            </w:pPr>
            <w:r w:rsidRPr="003D23BF">
              <w:rPr>
                <w:rFonts w:ascii="Arial" w:hAnsi="Arial" w:cs="Arial"/>
                <w:color w:val="000000"/>
                <w:sz w:val="20"/>
                <w:szCs w:val="20"/>
                <w:u w:val="single"/>
              </w:rPr>
              <w:t>&lt;</w:t>
            </w:r>
            <w:r w:rsidRPr="003D23BF">
              <w:rPr>
                <w:rFonts w:ascii="Arial" w:hAnsi="Arial" w:cs="Arial"/>
                <w:color w:val="000000"/>
                <w:sz w:val="20"/>
                <w:szCs w:val="20"/>
              </w:rPr>
              <w:t xml:space="preserve"> 0</w:t>
            </w:r>
            <w:r w:rsidR="00C80CEE">
              <w:rPr>
                <w:rFonts w:ascii="Arial" w:hAnsi="Arial" w:cs="Arial"/>
                <w:color w:val="000000"/>
                <w:sz w:val="20"/>
                <w:szCs w:val="20"/>
              </w:rPr>
              <w:t>.</w:t>
            </w:r>
            <w:r w:rsidRPr="003D23BF">
              <w:rPr>
                <w:rFonts w:ascii="Arial" w:hAnsi="Arial" w:cs="Arial"/>
                <w:color w:val="000000"/>
                <w:sz w:val="20"/>
                <w:szCs w:val="20"/>
              </w:rPr>
              <w:t>001</w:t>
            </w:r>
          </w:p>
        </w:tc>
      </w:tr>
      <w:tr w:rsidR="00804315" w:rsidRPr="003D23BF" w14:paraId="24C7C0FA" w14:textId="77777777" w:rsidTr="001C4F86">
        <w:tc>
          <w:tcPr>
            <w:tcW w:w="1888" w:type="dxa"/>
            <w:vAlign w:val="center"/>
          </w:tcPr>
          <w:p w14:paraId="7FE10925" w14:textId="77777777"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Week 4 – Week 12</w:t>
            </w:r>
          </w:p>
        </w:tc>
        <w:tc>
          <w:tcPr>
            <w:tcW w:w="1449" w:type="dxa"/>
            <w:vAlign w:val="center"/>
          </w:tcPr>
          <w:p w14:paraId="7728C0AE" w14:textId="6E6209D8"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3</w:t>
            </w:r>
            <w:r w:rsidR="00C80CEE">
              <w:rPr>
                <w:rFonts w:ascii="Arial" w:hAnsi="Arial" w:cs="Arial"/>
                <w:color w:val="000000"/>
                <w:sz w:val="20"/>
                <w:szCs w:val="20"/>
              </w:rPr>
              <w:t>.</w:t>
            </w:r>
            <w:r w:rsidRPr="003D23BF">
              <w:rPr>
                <w:rFonts w:ascii="Arial" w:hAnsi="Arial" w:cs="Arial"/>
                <w:color w:val="000000"/>
                <w:sz w:val="20"/>
                <w:szCs w:val="20"/>
              </w:rPr>
              <w:t>571</w:t>
            </w:r>
          </w:p>
        </w:tc>
        <w:tc>
          <w:tcPr>
            <w:tcW w:w="974" w:type="dxa"/>
            <w:vAlign w:val="center"/>
          </w:tcPr>
          <w:p w14:paraId="7174D74F" w14:textId="0984206D" w:rsidR="00804315" w:rsidRPr="003D23BF" w:rsidRDefault="00804315" w:rsidP="00FE76BD">
            <w:pPr>
              <w:jc w:val="both"/>
              <w:rPr>
                <w:rFonts w:ascii="Arial" w:hAnsi="Arial" w:cs="Arial"/>
                <w:sz w:val="20"/>
                <w:szCs w:val="20"/>
              </w:rPr>
            </w:pPr>
            <w:r w:rsidRPr="003D23BF">
              <w:rPr>
                <w:rFonts w:ascii="Arial" w:hAnsi="Arial" w:cs="Arial"/>
                <w:color w:val="000000"/>
                <w:sz w:val="20"/>
                <w:szCs w:val="20"/>
                <w:u w:val="single"/>
              </w:rPr>
              <w:t>&lt;</w:t>
            </w:r>
            <w:r w:rsidRPr="003D23BF">
              <w:rPr>
                <w:rFonts w:ascii="Arial" w:hAnsi="Arial" w:cs="Arial"/>
                <w:color w:val="000000"/>
                <w:sz w:val="20"/>
                <w:szCs w:val="20"/>
              </w:rPr>
              <w:t xml:space="preserve"> 0</w:t>
            </w:r>
            <w:r w:rsidR="00C80CEE">
              <w:rPr>
                <w:rFonts w:ascii="Arial" w:hAnsi="Arial" w:cs="Arial"/>
                <w:color w:val="000000"/>
                <w:sz w:val="20"/>
                <w:szCs w:val="20"/>
              </w:rPr>
              <w:t>.</w:t>
            </w:r>
            <w:r w:rsidRPr="003D23BF">
              <w:rPr>
                <w:rFonts w:ascii="Arial" w:hAnsi="Arial" w:cs="Arial"/>
                <w:color w:val="000000"/>
                <w:sz w:val="20"/>
                <w:szCs w:val="20"/>
              </w:rPr>
              <w:t>001</w:t>
            </w:r>
          </w:p>
        </w:tc>
        <w:tc>
          <w:tcPr>
            <w:tcW w:w="1368" w:type="dxa"/>
            <w:vAlign w:val="center"/>
          </w:tcPr>
          <w:p w14:paraId="2A74D488" w14:textId="558A5C3E" w:rsidR="00804315" w:rsidRPr="003D23BF" w:rsidRDefault="00804315" w:rsidP="00FE76BD">
            <w:pPr>
              <w:jc w:val="both"/>
              <w:rPr>
                <w:rFonts w:ascii="Arial" w:hAnsi="Arial" w:cs="Arial"/>
                <w:color w:val="000000"/>
                <w:sz w:val="20"/>
                <w:szCs w:val="20"/>
                <w:u w:val="single"/>
              </w:rPr>
            </w:pPr>
            <w:r w:rsidRPr="003D23BF">
              <w:rPr>
                <w:rFonts w:ascii="Arial" w:hAnsi="Arial" w:cs="Arial"/>
                <w:sz w:val="20"/>
                <w:szCs w:val="20"/>
              </w:rPr>
              <w:t>3</w:t>
            </w:r>
            <w:r w:rsidR="00C80CEE">
              <w:rPr>
                <w:rFonts w:ascii="Arial" w:hAnsi="Arial" w:cs="Arial"/>
                <w:sz w:val="20"/>
                <w:szCs w:val="20"/>
              </w:rPr>
              <w:t>.</w:t>
            </w:r>
            <w:r w:rsidRPr="003D23BF">
              <w:rPr>
                <w:rFonts w:ascii="Arial" w:hAnsi="Arial" w:cs="Arial"/>
                <w:sz w:val="20"/>
                <w:szCs w:val="20"/>
              </w:rPr>
              <w:t>143</w:t>
            </w:r>
          </w:p>
        </w:tc>
        <w:tc>
          <w:tcPr>
            <w:tcW w:w="974" w:type="dxa"/>
            <w:vAlign w:val="center"/>
          </w:tcPr>
          <w:p w14:paraId="5F0A2F5C" w14:textId="1A39357B" w:rsidR="00804315" w:rsidRPr="003D23BF" w:rsidRDefault="00804315" w:rsidP="00FE76BD">
            <w:pPr>
              <w:jc w:val="both"/>
              <w:rPr>
                <w:rFonts w:ascii="Arial" w:hAnsi="Arial" w:cs="Arial"/>
                <w:color w:val="000000"/>
                <w:sz w:val="20"/>
                <w:szCs w:val="20"/>
                <w:u w:val="single"/>
              </w:rPr>
            </w:pPr>
            <w:r w:rsidRPr="003D23BF">
              <w:rPr>
                <w:rFonts w:ascii="Arial" w:hAnsi="Arial" w:cs="Arial"/>
                <w:color w:val="000000"/>
                <w:sz w:val="20"/>
                <w:szCs w:val="20"/>
                <w:u w:val="single"/>
              </w:rPr>
              <w:t>&lt;</w:t>
            </w:r>
            <w:r w:rsidRPr="003D23BF">
              <w:rPr>
                <w:rFonts w:ascii="Arial" w:hAnsi="Arial" w:cs="Arial"/>
                <w:color w:val="000000"/>
                <w:sz w:val="20"/>
                <w:szCs w:val="20"/>
              </w:rPr>
              <w:t xml:space="preserve"> 0</w:t>
            </w:r>
            <w:r w:rsidR="00C80CEE">
              <w:rPr>
                <w:rFonts w:ascii="Arial" w:hAnsi="Arial" w:cs="Arial"/>
                <w:color w:val="000000"/>
                <w:sz w:val="20"/>
                <w:szCs w:val="20"/>
              </w:rPr>
              <w:t>.</w:t>
            </w:r>
            <w:r w:rsidRPr="003D23BF">
              <w:rPr>
                <w:rFonts w:ascii="Arial" w:hAnsi="Arial" w:cs="Arial"/>
                <w:color w:val="000000"/>
                <w:sz w:val="20"/>
                <w:szCs w:val="20"/>
              </w:rPr>
              <w:t>001</w:t>
            </w:r>
          </w:p>
        </w:tc>
      </w:tr>
      <w:tr w:rsidR="00804315" w:rsidRPr="003D23BF" w14:paraId="5CD09AE0" w14:textId="77777777" w:rsidTr="001C4F86">
        <w:tc>
          <w:tcPr>
            <w:tcW w:w="1888" w:type="dxa"/>
            <w:vAlign w:val="center"/>
          </w:tcPr>
          <w:p w14:paraId="1E430785" w14:textId="77777777"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Week 4 – Week 16</w:t>
            </w:r>
          </w:p>
        </w:tc>
        <w:tc>
          <w:tcPr>
            <w:tcW w:w="1449" w:type="dxa"/>
            <w:vAlign w:val="center"/>
          </w:tcPr>
          <w:p w14:paraId="0C8444D9" w14:textId="78A415B2"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1</w:t>
            </w:r>
            <w:r w:rsidR="00C80CEE">
              <w:rPr>
                <w:rFonts w:ascii="Arial" w:hAnsi="Arial" w:cs="Arial"/>
                <w:color w:val="000000"/>
                <w:sz w:val="20"/>
                <w:szCs w:val="20"/>
              </w:rPr>
              <w:t>.</w:t>
            </w:r>
            <w:r w:rsidRPr="003D23BF">
              <w:rPr>
                <w:rFonts w:ascii="Arial" w:hAnsi="Arial" w:cs="Arial"/>
                <w:color w:val="000000"/>
                <w:sz w:val="20"/>
                <w:szCs w:val="20"/>
              </w:rPr>
              <w:t>286</w:t>
            </w:r>
          </w:p>
        </w:tc>
        <w:tc>
          <w:tcPr>
            <w:tcW w:w="974" w:type="dxa"/>
            <w:vAlign w:val="center"/>
          </w:tcPr>
          <w:p w14:paraId="4951EFE7" w14:textId="2AAAB46B"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0</w:t>
            </w:r>
            <w:r w:rsidR="00C80CEE">
              <w:rPr>
                <w:rFonts w:ascii="Arial" w:hAnsi="Arial" w:cs="Arial"/>
                <w:color w:val="000000"/>
                <w:sz w:val="20"/>
                <w:szCs w:val="20"/>
              </w:rPr>
              <w:t>.</w:t>
            </w:r>
            <w:r w:rsidRPr="003D23BF">
              <w:rPr>
                <w:rFonts w:ascii="Arial" w:hAnsi="Arial" w:cs="Arial"/>
                <w:color w:val="000000"/>
                <w:sz w:val="20"/>
                <w:szCs w:val="20"/>
              </w:rPr>
              <w:t>034</w:t>
            </w:r>
          </w:p>
        </w:tc>
        <w:tc>
          <w:tcPr>
            <w:tcW w:w="1368" w:type="dxa"/>
            <w:vAlign w:val="center"/>
          </w:tcPr>
          <w:p w14:paraId="676D5E29" w14:textId="2F9EAADD" w:rsidR="00804315" w:rsidRPr="003D23BF" w:rsidRDefault="00804315" w:rsidP="00FE76BD">
            <w:pPr>
              <w:jc w:val="both"/>
              <w:rPr>
                <w:rFonts w:ascii="Arial" w:hAnsi="Arial" w:cs="Arial"/>
                <w:color w:val="000000"/>
                <w:sz w:val="20"/>
                <w:szCs w:val="20"/>
                <w:u w:val="single"/>
              </w:rPr>
            </w:pPr>
            <w:r w:rsidRPr="003D23BF">
              <w:rPr>
                <w:rFonts w:ascii="Arial" w:hAnsi="Arial" w:cs="Arial"/>
                <w:sz w:val="20"/>
                <w:szCs w:val="20"/>
              </w:rPr>
              <w:t>1</w:t>
            </w:r>
            <w:r w:rsidR="00C80CEE">
              <w:rPr>
                <w:rFonts w:ascii="Arial" w:hAnsi="Arial" w:cs="Arial"/>
                <w:sz w:val="20"/>
                <w:szCs w:val="20"/>
              </w:rPr>
              <w:t>.</w:t>
            </w:r>
            <w:r w:rsidRPr="003D23BF">
              <w:rPr>
                <w:rFonts w:ascii="Arial" w:hAnsi="Arial" w:cs="Arial"/>
                <w:sz w:val="20"/>
                <w:szCs w:val="20"/>
              </w:rPr>
              <w:t>214</w:t>
            </w:r>
          </w:p>
        </w:tc>
        <w:tc>
          <w:tcPr>
            <w:tcW w:w="974" w:type="dxa"/>
            <w:vAlign w:val="center"/>
          </w:tcPr>
          <w:p w14:paraId="69C244A7" w14:textId="751D6F2C" w:rsidR="00804315" w:rsidRPr="003D23BF" w:rsidRDefault="00804315" w:rsidP="00FE76BD">
            <w:pPr>
              <w:jc w:val="both"/>
              <w:rPr>
                <w:rFonts w:ascii="Arial" w:hAnsi="Arial" w:cs="Arial"/>
                <w:color w:val="000000"/>
                <w:sz w:val="20"/>
                <w:szCs w:val="20"/>
                <w:u w:val="single"/>
              </w:rPr>
            </w:pPr>
            <w:r w:rsidRPr="003D23BF">
              <w:rPr>
                <w:rFonts w:ascii="Arial" w:hAnsi="Arial" w:cs="Arial"/>
                <w:color w:val="000000"/>
                <w:sz w:val="20"/>
                <w:szCs w:val="20"/>
              </w:rPr>
              <w:t>0</w:t>
            </w:r>
            <w:r w:rsidR="00C80CEE">
              <w:rPr>
                <w:rFonts w:ascii="Arial" w:hAnsi="Arial" w:cs="Arial"/>
                <w:color w:val="000000"/>
                <w:sz w:val="20"/>
                <w:szCs w:val="20"/>
              </w:rPr>
              <w:t>.</w:t>
            </w:r>
            <w:r w:rsidRPr="003D23BF">
              <w:rPr>
                <w:rFonts w:ascii="Arial" w:hAnsi="Arial" w:cs="Arial"/>
                <w:color w:val="000000"/>
                <w:sz w:val="20"/>
                <w:szCs w:val="20"/>
              </w:rPr>
              <w:t>046</w:t>
            </w:r>
          </w:p>
        </w:tc>
      </w:tr>
      <w:tr w:rsidR="00804315" w:rsidRPr="003D23BF" w14:paraId="5248F612" w14:textId="77777777" w:rsidTr="001C4F86">
        <w:tc>
          <w:tcPr>
            <w:tcW w:w="1888" w:type="dxa"/>
            <w:vAlign w:val="center"/>
          </w:tcPr>
          <w:p w14:paraId="49D265E8" w14:textId="77777777"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Week 12 – Week 16</w:t>
            </w:r>
          </w:p>
        </w:tc>
        <w:tc>
          <w:tcPr>
            <w:tcW w:w="1449" w:type="dxa"/>
            <w:vAlign w:val="center"/>
          </w:tcPr>
          <w:p w14:paraId="279C49A7" w14:textId="60D18DB6" w:rsidR="00804315" w:rsidRPr="003D23BF" w:rsidRDefault="00804315" w:rsidP="00FE76BD">
            <w:pPr>
              <w:jc w:val="both"/>
              <w:rPr>
                <w:rFonts w:ascii="Arial" w:hAnsi="Arial" w:cs="Arial"/>
                <w:sz w:val="20"/>
                <w:szCs w:val="20"/>
              </w:rPr>
            </w:pPr>
            <w:r w:rsidRPr="003D23BF">
              <w:rPr>
                <w:rFonts w:ascii="Arial" w:hAnsi="Arial" w:cs="Arial"/>
                <w:color w:val="000000"/>
                <w:sz w:val="20"/>
                <w:szCs w:val="20"/>
              </w:rPr>
              <w:t>2</w:t>
            </w:r>
            <w:r w:rsidR="00C80CEE">
              <w:rPr>
                <w:rFonts w:ascii="Arial" w:hAnsi="Arial" w:cs="Arial"/>
                <w:color w:val="000000"/>
                <w:sz w:val="20"/>
                <w:szCs w:val="20"/>
              </w:rPr>
              <w:t>.</w:t>
            </w:r>
            <w:r w:rsidRPr="003D23BF">
              <w:rPr>
                <w:rFonts w:ascii="Arial" w:hAnsi="Arial" w:cs="Arial"/>
                <w:color w:val="000000"/>
                <w:sz w:val="20"/>
                <w:szCs w:val="20"/>
              </w:rPr>
              <w:t>286</w:t>
            </w:r>
          </w:p>
        </w:tc>
        <w:tc>
          <w:tcPr>
            <w:tcW w:w="974" w:type="dxa"/>
            <w:vAlign w:val="center"/>
          </w:tcPr>
          <w:p w14:paraId="31C25360" w14:textId="0DD62B8E" w:rsidR="00804315" w:rsidRPr="003D23BF" w:rsidRDefault="00804315" w:rsidP="00FE76BD">
            <w:pPr>
              <w:jc w:val="both"/>
              <w:rPr>
                <w:rFonts w:ascii="Arial" w:hAnsi="Arial" w:cs="Arial"/>
                <w:sz w:val="20"/>
                <w:szCs w:val="20"/>
              </w:rPr>
            </w:pPr>
            <w:r w:rsidRPr="003D23BF">
              <w:rPr>
                <w:rFonts w:ascii="Arial" w:hAnsi="Arial" w:cs="Arial"/>
                <w:color w:val="000000"/>
                <w:sz w:val="20"/>
                <w:szCs w:val="20"/>
                <w:u w:val="single"/>
              </w:rPr>
              <w:t xml:space="preserve">&lt; </w:t>
            </w:r>
            <w:r w:rsidRPr="003D23BF">
              <w:rPr>
                <w:rFonts w:ascii="Arial" w:hAnsi="Arial" w:cs="Arial"/>
                <w:color w:val="000000"/>
                <w:sz w:val="20"/>
                <w:szCs w:val="20"/>
              </w:rPr>
              <w:t>0</w:t>
            </w:r>
            <w:r w:rsidR="00C80CEE">
              <w:rPr>
                <w:rFonts w:ascii="Arial" w:hAnsi="Arial" w:cs="Arial"/>
                <w:color w:val="000000"/>
                <w:sz w:val="20"/>
                <w:szCs w:val="20"/>
              </w:rPr>
              <w:t>.</w:t>
            </w:r>
            <w:r w:rsidRPr="003D23BF">
              <w:rPr>
                <w:rFonts w:ascii="Arial" w:hAnsi="Arial" w:cs="Arial"/>
                <w:color w:val="000000"/>
                <w:sz w:val="20"/>
                <w:szCs w:val="20"/>
              </w:rPr>
              <w:t>001</w:t>
            </w:r>
          </w:p>
        </w:tc>
        <w:tc>
          <w:tcPr>
            <w:tcW w:w="1368" w:type="dxa"/>
            <w:vAlign w:val="center"/>
          </w:tcPr>
          <w:p w14:paraId="07055D33" w14:textId="27D8AFC2" w:rsidR="00804315" w:rsidRPr="003D23BF" w:rsidRDefault="00804315" w:rsidP="00FE76BD">
            <w:pPr>
              <w:jc w:val="both"/>
              <w:rPr>
                <w:rFonts w:ascii="Arial" w:hAnsi="Arial" w:cs="Arial"/>
                <w:color w:val="000000"/>
                <w:sz w:val="20"/>
                <w:szCs w:val="20"/>
                <w:u w:val="single"/>
              </w:rPr>
            </w:pPr>
            <w:r w:rsidRPr="003D23BF">
              <w:rPr>
                <w:rFonts w:ascii="Arial" w:hAnsi="Arial" w:cs="Arial"/>
                <w:sz w:val="20"/>
                <w:szCs w:val="20"/>
              </w:rPr>
              <w:t>1</w:t>
            </w:r>
            <w:r w:rsidR="00C80CEE">
              <w:rPr>
                <w:rFonts w:ascii="Arial" w:hAnsi="Arial" w:cs="Arial"/>
                <w:sz w:val="20"/>
                <w:szCs w:val="20"/>
              </w:rPr>
              <w:t>.</w:t>
            </w:r>
            <w:r w:rsidRPr="003D23BF">
              <w:rPr>
                <w:rFonts w:ascii="Arial" w:hAnsi="Arial" w:cs="Arial"/>
                <w:sz w:val="20"/>
                <w:szCs w:val="20"/>
              </w:rPr>
              <w:t>929</w:t>
            </w:r>
          </w:p>
        </w:tc>
        <w:tc>
          <w:tcPr>
            <w:tcW w:w="974" w:type="dxa"/>
            <w:vAlign w:val="center"/>
          </w:tcPr>
          <w:p w14:paraId="73D52067" w14:textId="5858D30D" w:rsidR="00804315" w:rsidRPr="003D23BF" w:rsidRDefault="00804315" w:rsidP="00FE76BD">
            <w:pPr>
              <w:jc w:val="both"/>
              <w:rPr>
                <w:rFonts w:ascii="Arial" w:hAnsi="Arial" w:cs="Arial"/>
                <w:color w:val="000000"/>
                <w:sz w:val="20"/>
                <w:szCs w:val="20"/>
                <w:u w:val="single"/>
              </w:rPr>
            </w:pPr>
            <w:r w:rsidRPr="003D23BF">
              <w:rPr>
                <w:rFonts w:ascii="Arial" w:hAnsi="Arial" w:cs="Arial"/>
                <w:color w:val="000000"/>
                <w:sz w:val="20"/>
                <w:szCs w:val="20"/>
                <w:u w:val="single"/>
              </w:rPr>
              <w:t xml:space="preserve">&lt; </w:t>
            </w:r>
            <w:r w:rsidRPr="003D23BF">
              <w:rPr>
                <w:rFonts w:ascii="Arial" w:hAnsi="Arial" w:cs="Arial"/>
                <w:color w:val="000000"/>
                <w:sz w:val="20"/>
                <w:szCs w:val="20"/>
              </w:rPr>
              <w:t>0</w:t>
            </w:r>
            <w:r w:rsidR="00C80CEE">
              <w:rPr>
                <w:rFonts w:ascii="Arial" w:hAnsi="Arial" w:cs="Arial"/>
                <w:color w:val="000000"/>
                <w:sz w:val="20"/>
                <w:szCs w:val="20"/>
              </w:rPr>
              <w:t>.</w:t>
            </w:r>
            <w:r w:rsidRPr="003D23BF">
              <w:rPr>
                <w:rFonts w:ascii="Arial" w:hAnsi="Arial" w:cs="Arial"/>
                <w:color w:val="000000"/>
                <w:sz w:val="20"/>
                <w:szCs w:val="20"/>
              </w:rPr>
              <w:t>001</w:t>
            </w:r>
          </w:p>
        </w:tc>
      </w:tr>
      <w:tr w:rsidR="00804315" w:rsidRPr="003D23BF" w14:paraId="016A4FEC" w14:textId="77777777" w:rsidTr="001C4F86">
        <w:tc>
          <w:tcPr>
            <w:tcW w:w="1888" w:type="dxa"/>
            <w:tcBorders>
              <w:bottom w:val="single" w:sz="4" w:space="0" w:color="auto"/>
            </w:tcBorders>
            <w:vAlign w:val="center"/>
          </w:tcPr>
          <w:p w14:paraId="5414E4AF" w14:textId="77777777" w:rsidR="00804315" w:rsidRPr="003D23BF" w:rsidRDefault="00804315" w:rsidP="00FE76BD">
            <w:pPr>
              <w:jc w:val="both"/>
              <w:rPr>
                <w:rFonts w:ascii="Arial" w:hAnsi="Arial" w:cs="Arial"/>
                <w:color w:val="000000"/>
                <w:sz w:val="20"/>
                <w:szCs w:val="20"/>
              </w:rPr>
            </w:pPr>
            <w:r w:rsidRPr="003D23BF">
              <w:rPr>
                <w:rFonts w:ascii="Arial" w:hAnsi="Arial" w:cs="Arial"/>
                <w:color w:val="000000"/>
                <w:sz w:val="20"/>
                <w:szCs w:val="20"/>
              </w:rPr>
              <w:t>DHI+PRP - DHI</w:t>
            </w:r>
          </w:p>
        </w:tc>
        <w:tc>
          <w:tcPr>
            <w:tcW w:w="1449" w:type="dxa"/>
            <w:tcBorders>
              <w:bottom w:val="single" w:sz="4" w:space="0" w:color="auto"/>
            </w:tcBorders>
            <w:vAlign w:val="center"/>
          </w:tcPr>
          <w:p w14:paraId="4095E6BD" w14:textId="039D8472" w:rsidR="00804315" w:rsidRPr="003D23BF" w:rsidRDefault="00804315" w:rsidP="00FE76BD">
            <w:pPr>
              <w:jc w:val="both"/>
              <w:rPr>
                <w:rFonts w:ascii="Arial" w:hAnsi="Arial" w:cs="Arial"/>
                <w:color w:val="000000"/>
                <w:sz w:val="20"/>
                <w:szCs w:val="20"/>
              </w:rPr>
            </w:pPr>
            <w:r w:rsidRPr="003D23BF">
              <w:rPr>
                <w:rFonts w:ascii="Arial" w:hAnsi="Arial" w:cs="Arial"/>
                <w:color w:val="000000"/>
                <w:sz w:val="20"/>
                <w:szCs w:val="20"/>
              </w:rPr>
              <w:t>1</w:t>
            </w:r>
            <w:r w:rsidR="00C80CEE">
              <w:rPr>
                <w:rFonts w:ascii="Arial" w:hAnsi="Arial" w:cs="Arial"/>
                <w:color w:val="000000"/>
                <w:sz w:val="20"/>
                <w:szCs w:val="20"/>
              </w:rPr>
              <w:t>.</w:t>
            </w:r>
            <w:r w:rsidRPr="003D23BF">
              <w:rPr>
                <w:rFonts w:ascii="Arial" w:hAnsi="Arial" w:cs="Arial"/>
                <w:color w:val="000000"/>
                <w:sz w:val="20"/>
                <w:szCs w:val="20"/>
              </w:rPr>
              <w:t>036</w:t>
            </w:r>
          </w:p>
        </w:tc>
        <w:tc>
          <w:tcPr>
            <w:tcW w:w="974" w:type="dxa"/>
            <w:tcBorders>
              <w:bottom w:val="single" w:sz="4" w:space="0" w:color="auto"/>
            </w:tcBorders>
            <w:vAlign w:val="center"/>
          </w:tcPr>
          <w:p w14:paraId="51C1C058" w14:textId="5B73DEF7" w:rsidR="00804315" w:rsidRPr="003D23BF" w:rsidRDefault="00804315" w:rsidP="00FE76BD">
            <w:pPr>
              <w:jc w:val="both"/>
              <w:rPr>
                <w:rFonts w:ascii="Arial" w:hAnsi="Arial" w:cs="Arial"/>
                <w:color w:val="000000"/>
                <w:sz w:val="20"/>
                <w:szCs w:val="20"/>
              </w:rPr>
            </w:pPr>
            <w:r w:rsidRPr="003D23BF">
              <w:rPr>
                <w:rFonts w:ascii="Arial" w:hAnsi="Arial" w:cs="Arial"/>
                <w:color w:val="000000"/>
                <w:sz w:val="20"/>
                <w:szCs w:val="20"/>
              </w:rPr>
              <w:t>0</w:t>
            </w:r>
            <w:r w:rsidR="00C80CEE">
              <w:rPr>
                <w:rFonts w:ascii="Arial" w:hAnsi="Arial" w:cs="Arial"/>
                <w:color w:val="000000"/>
                <w:sz w:val="20"/>
                <w:szCs w:val="20"/>
              </w:rPr>
              <w:t>.</w:t>
            </w:r>
            <w:r w:rsidRPr="003D23BF">
              <w:rPr>
                <w:rFonts w:ascii="Arial" w:hAnsi="Arial" w:cs="Arial"/>
                <w:color w:val="000000"/>
                <w:sz w:val="20"/>
                <w:szCs w:val="20"/>
              </w:rPr>
              <w:t>060</w:t>
            </w:r>
          </w:p>
        </w:tc>
        <w:tc>
          <w:tcPr>
            <w:tcW w:w="1368" w:type="dxa"/>
            <w:tcBorders>
              <w:bottom w:val="single" w:sz="4" w:space="0" w:color="auto"/>
            </w:tcBorders>
            <w:vAlign w:val="center"/>
          </w:tcPr>
          <w:p w14:paraId="10FCC816" w14:textId="4DDA2352" w:rsidR="00804315" w:rsidRPr="003D23BF" w:rsidRDefault="00804315" w:rsidP="00FE76BD">
            <w:pPr>
              <w:jc w:val="both"/>
              <w:rPr>
                <w:rFonts w:ascii="Arial" w:hAnsi="Arial" w:cs="Arial"/>
                <w:color w:val="000000"/>
                <w:sz w:val="20"/>
                <w:szCs w:val="20"/>
                <w:u w:val="single"/>
              </w:rPr>
            </w:pPr>
            <w:r w:rsidRPr="003D23BF">
              <w:rPr>
                <w:rFonts w:ascii="Arial" w:hAnsi="Arial" w:cs="Arial"/>
                <w:color w:val="000000"/>
                <w:sz w:val="20"/>
                <w:szCs w:val="20"/>
              </w:rPr>
              <w:t>2</w:t>
            </w:r>
            <w:r w:rsidR="00C80CEE">
              <w:rPr>
                <w:rFonts w:ascii="Arial" w:hAnsi="Arial" w:cs="Arial"/>
                <w:color w:val="000000"/>
                <w:sz w:val="20"/>
                <w:szCs w:val="20"/>
              </w:rPr>
              <w:t>.</w:t>
            </w:r>
            <w:r w:rsidRPr="003D23BF">
              <w:rPr>
                <w:rFonts w:ascii="Arial" w:hAnsi="Arial" w:cs="Arial"/>
                <w:color w:val="000000"/>
                <w:sz w:val="20"/>
                <w:szCs w:val="20"/>
              </w:rPr>
              <w:t>429</w:t>
            </w:r>
          </w:p>
        </w:tc>
        <w:tc>
          <w:tcPr>
            <w:tcW w:w="974" w:type="dxa"/>
            <w:tcBorders>
              <w:bottom w:val="single" w:sz="4" w:space="0" w:color="auto"/>
            </w:tcBorders>
            <w:vAlign w:val="center"/>
          </w:tcPr>
          <w:p w14:paraId="4C94BED8" w14:textId="55F461BF" w:rsidR="00804315" w:rsidRPr="003D23BF" w:rsidRDefault="00804315" w:rsidP="00FE76BD">
            <w:pPr>
              <w:jc w:val="both"/>
              <w:rPr>
                <w:rFonts w:ascii="Arial" w:hAnsi="Arial" w:cs="Arial"/>
                <w:color w:val="000000"/>
                <w:sz w:val="20"/>
                <w:szCs w:val="20"/>
                <w:u w:val="single"/>
              </w:rPr>
            </w:pPr>
            <w:r w:rsidRPr="003D23BF">
              <w:rPr>
                <w:rFonts w:ascii="Arial" w:hAnsi="Arial" w:cs="Arial"/>
                <w:color w:val="000000"/>
                <w:sz w:val="20"/>
                <w:szCs w:val="20"/>
                <w:u w:val="single"/>
              </w:rPr>
              <w:t xml:space="preserve">&lt; </w:t>
            </w:r>
            <w:r w:rsidRPr="003D23BF">
              <w:rPr>
                <w:rFonts w:ascii="Arial" w:hAnsi="Arial" w:cs="Arial"/>
                <w:color w:val="000000"/>
                <w:sz w:val="20"/>
                <w:szCs w:val="20"/>
              </w:rPr>
              <w:t>0</w:t>
            </w:r>
            <w:r w:rsidR="00C80CEE">
              <w:rPr>
                <w:rFonts w:ascii="Arial" w:hAnsi="Arial" w:cs="Arial"/>
                <w:color w:val="000000"/>
                <w:sz w:val="20"/>
                <w:szCs w:val="20"/>
              </w:rPr>
              <w:t>.</w:t>
            </w:r>
            <w:r w:rsidRPr="003D23BF">
              <w:rPr>
                <w:rFonts w:ascii="Arial" w:hAnsi="Arial" w:cs="Arial"/>
                <w:color w:val="000000"/>
                <w:sz w:val="20"/>
                <w:szCs w:val="20"/>
              </w:rPr>
              <w:t>001</w:t>
            </w:r>
          </w:p>
        </w:tc>
      </w:tr>
    </w:tbl>
    <w:p w14:paraId="6688AFFA" w14:textId="77777777" w:rsidR="00804315" w:rsidRDefault="00804315" w:rsidP="00804315">
      <w:pPr>
        <w:pStyle w:val="Body"/>
        <w:spacing w:after="0"/>
        <w:rPr>
          <w:rFonts w:ascii="Arial" w:hAnsi="Arial" w:cs="Arial"/>
        </w:rPr>
      </w:pPr>
    </w:p>
    <w:p w14:paraId="1BFAD78E" w14:textId="77777777" w:rsidR="00804315" w:rsidRPr="00804315" w:rsidRDefault="00804315" w:rsidP="00804315">
      <w:pPr>
        <w:pStyle w:val="Body"/>
        <w:spacing w:after="0"/>
        <w:rPr>
          <w:rFonts w:ascii="Arial" w:hAnsi="Arial" w:cs="Arial"/>
          <w:lang w:val="en-ID"/>
        </w:rPr>
      </w:pPr>
    </w:p>
    <w:p w14:paraId="08483D8E" w14:textId="03867519" w:rsidR="00804315" w:rsidRPr="00804315" w:rsidRDefault="00804315" w:rsidP="00804315">
      <w:pPr>
        <w:pStyle w:val="Body"/>
        <w:spacing w:after="0"/>
        <w:rPr>
          <w:rFonts w:ascii="Arial" w:hAnsi="Arial" w:cs="Arial"/>
        </w:rPr>
      </w:pPr>
      <w:r w:rsidRPr="00774893">
        <w:rPr>
          <w:rFonts w:ascii="Arial" w:hAnsi="Arial" w:cs="Arial"/>
          <w:lang w:val="en-ID"/>
        </w:rPr>
        <w:t xml:space="preserve">In this study, PRP administered </w:t>
      </w:r>
      <w:r w:rsidRPr="00FE76BD">
        <w:rPr>
          <w:rFonts w:ascii="Arial" w:hAnsi="Arial" w:cs="Arial"/>
          <w:lang w:val="en-ID"/>
        </w:rPr>
        <w:t>intra</w:t>
      </w:r>
      <w:r w:rsidRPr="00774893">
        <w:rPr>
          <w:rFonts w:ascii="Arial" w:hAnsi="Arial" w:cs="Arial"/>
          <w:lang w:val="en-ID"/>
        </w:rPr>
        <w:t>operatively resulted in significantly greater hair length and density (p &lt; 0.05).</w:t>
      </w:r>
      <w:r w:rsidRPr="00FE76BD">
        <w:rPr>
          <w:rFonts w:ascii="Arial" w:hAnsi="Arial" w:cs="Arial"/>
          <w:lang w:val="en-ID"/>
        </w:rPr>
        <w:t xml:space="preserve"> </w:t>
      </w:r>
      <w:r w:rsidRPr="00FE76BD">
        <w:rPr>
          <w:rFonts w:ascii="Arial" w:hAnsi="Arial" w:cs="Arial"/>
        </w:rPr>
        <w:t xml:space="preserve">Table </w:t>
      </w:r>
      <w:r w:rsidR="001D497E">
        <w:rPr>
          <w:rFonts w:ascii="Arial" w:hAnsi="Arial" w:cs="Arial"/>
        </w:rPr>
        <w:t xml:space="preserve">5 </w:t>
      </w:r>
      <w:r w:rsidRPr="00FE76BD">
        <w:rPr>
          <w:rFonts w:ascii="Arial" w:hAnsi="Arial" w:cs="Arial"/>
        </w:rPr>
        <w:t>shows that hair follicles density at 2 cm from the midline differed significantly across all time pairs (</w:t>
      </w:r>
      <w:r w:rsidR="00C80CEE">
        <w:rPr>
          <w:rFonts w:ascii="Arial" w:hAnsi="Arial" w:cs="Arial"/>
        </w:rPr>
        <w:t>P</w:t>
      </w:r>
      <w:r w:rsidRPr="00FE76BD">
        <w:rPr>
          <w:rFonts w:ascii="Arial" w:hAnsi="Arial" w:cs="Arial"/>
        </w:rPr>
        <w:t xml:space="preserve"> &lt; 0.05), but no significant difference was found between the DHI+PRP and DHI groups (</w:t>
      </w:r>
      <w:r w:rsidR="00C80CEE">
        <w:rPr>
          <w:rFonts w:ascii="Arial" w:hAnsi="Arial" w:cs="Arial"/>
        </w:rPr>
        <w:t>P</w:t>
      </w:r>
      <w:r w:rsidRPr="00FE76BD">
        <w:rPr>
          <w:rFonts w:ascii="Arial" w:hAnsi="Arial" w:cs="Arial"/>
        </w:rPr>
        <w:t xml:space="preserve"> = 0.060). In contrast, the finding indicates that hair follicles density at 4 cm from the midline differed significantly across all time pairs (</w:t>
      </w:r>
      <w:r w:rsidR="00C80CEE">
        <w:rPr>
          <w:rFonts w:ascii="Arial" w:hAnsi="Arial" w:cs="Arial"/>
        </w:rPr>
        <w:t>P</w:t>
      </w:r>
      <w:r w:rsidRPr="00FE76BD">
        <w:rPr>
          <w:rFonts w:ascii="Arial" w:hAnsi="Arial" w:cs="Arial"/>
        </w:rPr>
        <w:t xml:space="preserve"> &lt; 0.05), with the DHI+PRP group showing significantly higher values than the DHI group (</w:t>
      </w:r>
      <w:r w:rsidR="00C80CEE">
        <w:rPr>
          <w:rFonts w:ascii="Arial" w:hAnsi="Arial" w:cs="Arial"/>
        </w:rPr>
        <w:t>P</w:t>
      </w:r>
      <w:r w:rsidRPr="00FE76BD">
        <w:rPr>
          <w:rFonts w:ascii="Arial" w:hAnsi="Arial" w:cs="Arial"/>
        </w:rPr>
        <w:t xml:space="preserve"> &lt; 0.001) </w:t>
      </w:r>
      <w:r w:rsidRPr="00804315">
        <w:rPr>
          <w:rFonts w:ascii="Arial" w:hAnsi="Arial" w:cs="Arial"/>
          <w:lang w:val="en-ID"/>
        </w:rPr>
        <w:t>At 16 weeks and beyond, PRP benefits remain evident, with patients demonstrating higher mean hair density and longer shafts compared to controls. Systematic reviews further highlight superior regrowth and graft survival in combined transplant and PRP groups (</w:t>
      </w:r>
      <w:proofErr w:type="spellStart"/>
      <w:r w:rsidRPr="00804315">
        <w:rPr>
          <w:rFonts w:ascii="Arial" w:hAnsi="Arial" w:cs="Arial"/>
          <w:lang w:val="en-ID"/>
        </w:rPr>
        <w:t>Sindhusen</w:t>
      </w:r>
      <w:proofErr w:type="spellEnd"/>
      <w:r w:rsidRPr="00804315">
        <w:rPr>
          <w:rFonts w:ascii="Arial" w:hAnsi="Arial" w:cs="Arial"/>
          <w:lang w:val="en-ID"/>
        </w:rPr>
        <w:t xml:space="preserve"> </w:t>
      </w:r>
      <w:r w:rsidRPr="00C80CEE">
        <w:rPr>
          <w:rFonts w:ascii="Arial" w:hAnsi="Arial" w:cs="Arial"/>
          <w:i/>
          <w:iCs/>
          <w:lang w:val="en-ID"/>
        </w:rPr>
        <w:t>et al</w:t>
      </w:r>
      <w:r w:rsidRPr="00804315">
        <w:rPr>
          <w:rFonts w:ascii="Arial" w:hAnsi="Arial" w:cs="Arial"/>
          <w:lang w:val="en-ID"/>
        </w:rPr>
        <w:t xml:space="preserve">., 2025). PRP is increasingly used as an adjunct in hair transplantation and as a direct therapy for hair loss, enhancing graft viability, healing, and hair thickness. Evidence indicates that PRP, whether injected at recipient sites or used as a graft storage medium, yields greater follicular unit survival and faster regrowth compared to saline controls (Lopes-Silva </w:t>
      </w:r>
      <w:r w:rsidRPr="00C80CEE">
        <w:rPr>
          <w:rFonts w:ascii="Arial" w:hAnsi="Arial" w:cs="Arial"/>
          <w:i/>
          <w:iCs/>
          <w:lang w:val="en-ID"/>
        </w:rPr>
        <w:t>et al</w:t>
      </w:r>
      <w:r w:rsidRPr="00804315">
        <w:rPr>
          <w:rFonts w:ascii="Arial" w:hAnsi="Arial" w:cs="Arial"/>
          <w:lang w:val="en-ID"/>
        </w:rPr>
        <w:t xml:space="preserve">., 2025; </w:t>
      </w:r>
      <w:proofErr w:type="spellStart"/>
      <w:r w:rsidRPr="00804315">
        <w:rPr>
          <w:rFonts w:ascii="Arial" w:hAnsi="Arial" w:cs="Arial"/>
          <w:lang w:val="en-ID"/>
        </w:rPr>
        <w:t>Paichitrojjana</w:t>
      </w:r>
      <w:proofErr w:type="spellEnd"/>
      <w:r w:rsidRPr="00804315">
        <w:rPr>
          <w:rFonts w:ascii="Arial" w:hAnsi="Arial" w:cs="Arial"/>
          <w:lang w:val="en-ID"/>
        </w:rPr>
        <w:t xml:space="preserve"> &amp; </w:t>
      </w:r>
      <w:proofErr w:type="spellStart"/>
      <w:r w:rsidRPr="00804315">
        <w:rPr>
          <w:rFonts w:ascii="Arial" w:hAnsi="Arial" w:cs="Arial"/>
          <w:lang w:val="en-ID"/>
        </w:rPr>
        <w:t>Paichitrojjana</w:t>
      </w:r>
      <w:proofErr w:type="spellEnd"/>
      <w:r w:rsidRPr="00804315">
        <w:rPr>
          <w:rFonts w:ascii="Arial" w:hAnsi="Arial" w:cs="Arial"/>
          <w:lang w:val="en-ID"/>
        </w:rPr>
        <w:t>, 2022).</w:t>
      </w:r>
    </w:p>
    <w:p w14:paraId="33B5C9F9" w14:textId="2FC6F1BE" w:rsidR="00804315" w:rsidRDefault="00804315" w:rsidP="00FE76BD">
      <w:pPr>
        <w:pStyle w:val="Body"/>
        <w:rPr>
          <w:rFonts w:ascii="Arial" w:hAnsi="Arial" w:cs="Arial"/>
          <w:lang w:val="en-ID"/>
        </w:rPr>
      </w:pPr>
      <w:r>
        <w:rPr>
          <w:rFonts w:ascii="Arial" w:hAnsi="Arial" w:cs="Arial"/>
          <w:lang w:val="en-ID"/>
        </w:rPr>
        <w:t xml:space="preserve">A </w:t>
      </w:r>
      <w:proofErr w:type="gramStart"/>
      <w:r>
        <w:rPr>
          <w:rFonts w:ascii="Arial" w:hAnsi="Arial" w:cs="Arial"/>
          <w:lang w:val="en-ID"/>
        </w:rPr>
        <w:t>previous r</w:t>
      </w:r>
      <w:r w:rsidRPr="00804315">
        <w:rPr>
          <w:rFonts w:ascii="Arial" w:hAnsi="Arial" w:cs="Arial"/>
          <w:lang w:val="en-ID"/>
        </w:rPr>
        <w:t>andomized controlled trials</w:t>
      </w:r>
      <w:proofErr w:type="gramEnd"/>
      <w:r w:rsidRPr="00804315">
        <w:rPr>
          <w:rFonts w:ascii="Arial" w:hAnsi="Arial" w:cs="Arial"/>
          <w:lang w:val="en-ID"/>
        </w:rPr>
        <w:t xml:space="preserve"> confirm that PRP significantly improves hair density and the an</w:t>
      </w:r>
      <w:r>
        <w:rPr>
          <w:rFonts w:ascii="Arial" w:hAnsi="Arial" w:cs="Arial"/>
          <w:lang w:val="en-ID"/>
        </w:rPr>
        <w:t>a</w:t>
      </w:r>
      <w:r w:rsidRPr="00804315">
        <w:rPr>
          <w:rFonts w:ascii="Arial" w:hAnsi="Arial" w:cs="Arial"/>
          <w:lang w:val="en-ID"/>
        </w:rPr>
        <w:t xml:space="preserve">gen/telogen ratio, indicating accelerated transition and prolonged anagen phase (Gentile </w:t>
      </w:r>
      <w:r w:rsidRPr="00C80CEE">
        <w:rPr>
          <w:rFonts w:ascii="Arial" w:hAnsi="Arial" w:cs="Arial"/>
          <w:i/>
          <w:iCs/>
          <w:lang w:val="en-ID"/>
        </w:rPr>
        <w:t>et al</w:t>
      </w:r>
      <w:r w:rsidRPr="00804315">
        <w:rPr>
          <w:rFonts w:ascii="Arial" w:hAnsi="Arial" w:cs="Arial"/>
          <w:lang w:val="en-ID"/>
        </w:rPr>
        <w:t xml:space="preserve">., 2015). Similarly, </w:t>
      </w:r>
      <w:proofErr w:type="spellStart"/>
      <w:r w:rsidRPr="00804315">
        <w:rPr>
          <w:rFonts w:ascii="Arial" w:hAnsi="Arial" w:cs="Arial"/>
          <w:lang w:val="en-ID"/>
        </w:rPr>
        <w:t>trichoscopic</w:t>
      </w:r>
      <w:proofErr w:type="spellEnd"/>
      <w:r w:rsidRPr="00804315">
        <w:rPr>
          <w:rFonts w:ascii="Arial" w:hAnsi="Arial" w:cs="Arial"/>
          <w:lang w:val="en-ID"/>
        </w:rPr>
        <w:t xml:space="preserve"> evaluation has </w:t>
      </w:r>
      <w:r w:rsidRPr="00804315">
        <w:rPr>
          <w:rFonts w:ascii="Arial" w:hAnsi="Arial" w:cs="Arial"/>
          <w:lang w:val="en-ID"/>
        </w:rPr>
        <w:lastRenderedPageBreak/>
        <w:t xml:space="preserve">shown increased hair thickness and follicle viability in androgenetic alopecia patients receiving PRP, with a higher proportion of hairs in anagen phase (Alves &amp; </w:t>
      </w:r>
      <w:proofErr w:type="spellStart"/>
      <w:r w:rsidRPr="00804315">
        <w:rPr>
          <w:rFonts w:ascii="Arial" w:hAnsi="Arial" w:cs="Arial"/>
          <w:lang w:val="en-ID"/>
        </w:rPr>
        <w:t>Grimalt</w:t>
      </w:r>
      <w:proofErr w:type="spellEnd"/>
      <w:r w:rsidRPr="00804315">
        <w:rPr>
          <w:rFonts w:ascii="Arial" w:hAnsi="Arial" w:cs="Arial"/>
          <w:lang w:val="en-ID"/>
        </w:rPr>
        <w:t>, 2016).</w:t>
      </w:r>
    </w:p>
    <w:p w14:paraId="52BE91C7" w14:textId="149C622B" w:rsidR="00804315" w:rsidRPr="00FE76BD" w:rsidRDefault="00804315" w:rsidP="00441B6F">
      <w:pPr>
        <w:pStyle w:val="Body"/>
        <w:spacing w:after="0"/>
        <w:rPr>
          <w:rFonts w:ascii="Arial" w:hAnsi="Arial" w:cs="Arial"/>
          <w:b/>
          <w:bCs/>
          <w:sz w:val="22"/>
          <w:szCs w:val="22"/>
          <w:lang w:val="en-ID"/>
        </w:rPr>
      </w:pPr>
      <w:r w:rsidRPr="00804315">
        <w:rPr>
          <w:rFonts w:ascii="Arial" w:hAnsi="Arial" w:cs="Arial"/>
          <w:b/>
          <w:bCs/>
          <w:sz w:val="22"/>
          <w:szCs w:val="22"/>
          <w:lang w:val="en-ID"/>
        </w:rPr>
        <w:t>3.5. Effects of PRP to hair length</w:t>
      </w:r>
    </w:p>
    <w:p w14:paraId="0976CD80" w14:textId="28A108E7" w:rsidR="00B234BA" w:rsidRDefault="00FD3526" w:rsidP="00FE76BD">
      <w:pPr>
        <w:pStyle w:val="Body"/>
        <w:rPr>
          <w:rFonts w:ascii="Arial" w:hAnsi="Arial" w:cs="Arial"/>
        </w:rPr>
      </w:pPr>
      <w:r w:rsidRPr="00FD3526">
        <w:rPr>
          <w:rFonts w:ascii="Arial" w:hAnsi="Arial" w:cs="Arial"/>
        </w:rPr>
        <w:t>Hair length at 2 cm from the midline changed significantly over time (</w:t>
      </w:r>
      <w:r w:rsidR="00C80CEE">
        <w:rPr>
          <w:rFonts w:ascii="Arial" w:hAnsi="Arial" w:cs="Arial"/>
        </w:rPr>
        <w:t>P</w:t>
      </w:r>
      <w:r w:rsidRPr="00FD3526">
        <w:rPr>
          <w:rFonts w:ascii="Arial" w:hAnsi="Arial" w:cs="Arial"/>
        </w:rPr>
        <w:t xml:space="preserve"> &lt; 0.001) and differed between the HT+PRP and HT groups (</w:t>
      </w:r>
      <w:r w:rsidR="00C80CEE">
        <w:rPr>
          <w:rFonts w:ascii="Arial" w:hAnsi="Arial" w:cs="Arial"/>
        </w:rPr>
        <w:t>P</w:t>
      </w:r>
      <w:r w:rsidRPr="00FD3526">
        <w:rPr>
          <w:rFonts w:ascii="Arial" w:hAnsi="Arial" w:cs="Arial"/>
        </w:rPr>
        <w:t xml:space="preserve"> &lt; 0.001), with distinct temporal patterns observed (</w:t>
      </w:r>
      <w:r w:rsidR="00C80CEE">
        <w:rPr>
          <w:rFonts w:ascii="Arial" w:hAnsi="Arial" w:cs="Arial"/>
        </w:rPr>
        <w:t>P</w:t>
      </w:r>
      <w:r w:rsidRPr="00FD3526">
        <w:rPr>
          <w:rFonts w:ascii="Arial" w:hAnsi="Arial" w:cs="Arial"/>
        </w:rPr>
        <w:t xml:space="preserve"> &lt; 0.001). Similar findings were noted at 4 cm from the midline, where hair length also changed significantly over time (</w:t>
      </w:r>
      <w:r w:rsidR="00C80CEE">
        <w:rPr>
          <w:rFonts w:ascii="Arial" w:hAnsi="Arial" w:cs="Arial"/>
        </w:rPr>
        <w:t>P</w:t>
      </w:r>
      <w:r w:rsidRPr="00FD3526">
        <w:rPr>
          <w:rFonts w:ascii="Arial" w:hAnsi="Arial" w:cs="Arial"/>
        </w:rPr>
        <w:t xml:space="preserve"> &lt; 0.001), differed between groups (</w:t>
      </w:r>
      <w:r w:rsidR="00C80CEE">
        <w:rPr>
          <w:rFonts w:ascii="Arial" w:hAnsi="Arial" w:cs="Arial"/>
        </w:rPr>
        <w:t>P</w:t>
      </w:r>
      <w:r w:rsidRPr="00FD3526">
        <w:rPr>
          <w:rFonts w:ascii="Arial" w:hAnsi="Arial" w:cs="Arial"/>
        </w:rPr>
        <w:t xml:space="preserve"> &lt; 0.001), and showed distinct temporal patterns (</w:t>
      </w:r>
      <w:r w:rsidR="00C80CEE">
        <w:rPr>
          <w:rFonts w:ascii="Arial" w:hAnsi="Arial" w:cs="Arial"/>
        </w:rPr>
        <w:t>P</w:t>
      </w:r>
      <w:r w:rsidRPr="00FD3526">
        <w:rPr>
          <w:rFonts w:ascii="Arial" w:hAnsi="Arial" w:cs="Arial"/>
        </w:rPr>
        <w:t xml:space="preserve"> &lt; 0.001) (Table </w:t>
      </w:r>
      <w:r w:rsidR="001D497E">
        <w:rPr>
          <w:rFonts w:ascii="Arial" w:hAnsi="Arial" w:cs="Arial"/>
        </w:rPr>
        <w:t>6</w:t>
      </w:r>
      <w:r w:rsidRPr="00FD3526">
        <w:rPr>
          <w:rFonts w:ascii="Arial" w:hAnsi="Arial" w:cs="Arial"/>
        </w:rPr>
        <w:t>).</w:t>
      </w:r>
    </w:p>
    <w:p w14:paraId="1CF24827" w14:textId="661A28FF" w:rsidR="00722B42" w:rsidRDefault="00804315" w:rsidP="00FE76BD">
      <w:pPr>
        <w:pStyle w:val="Body"/>
        <w:rPr>
          <w:rFonts w:ascii="Arial" w:hAnsi="Arial" w:cs="Arial"/>
        </w:rPr>
      </w:pPr>
      <w:r w:rsidRPr="00804315">
        <w:rPr>
          <w:rFonts w:ascii="Arial" w:hAnsi="Arial" w:cs="Arial"/>
        </w:rPr>
        <w:t xml:space="preserve">In this study, the DHI+PRP group achieved significantly greater hair length compared to DHI. The anagen phase, characterized by active follicular keratinocyte proliferation and visible hair shaft production, is critical for determining hair length and density, making it a key target in hair restoration. PRP has been shown to stimulate and prolong anagen through multiple biological pathways, as its growth factors—including PDGF, VEGF, TGF-β, and IGF-1—collectively enhance angiogenesis, dermal papilla activation, and extracellular matrix remodeling (White </w:t>
      </w:r>
      <w:r w:rsidRPr="00C80CEE">
        <w:rPr>
          <w:rFonts w:ascii="Arial" w:hAnsi="Arial" w:cs="Arial"/>
          <w:i/>
          <w:iCs/>
        </w:rPr>
        <w:t>et al</w:t>
      </w:r>
      <w:r w:rsidRPr="00804315">
        <w:rPr>
          <w:rFonts w:ascii="Arial" w:hAnsi="Arial" w:cs="Arial"/>
        </w:rPr>
        <w:t xml:space="preserve">., 2021; Pavlovic </w:t>
      </w:r>
      <w:r w:rsidRPr="00C80CEE">
        <w:rPr>
          <w:rFonts w:ascii="Arial" w:hAnsi="Arial" w:cs="Arial"/>
          <w:i/>
          <w:iCs/>
        </w:rPr>
        <w:t>et al</w:t>
      </w:r>
      <w:r w:rsidRPr="00804315">
        <w:rPr>
          <w:rFonts w:ascii="Arial" w:hAnsi="Arial" w:cs="Arial"/>
        </w:rPr>
        <w:t xml:space="preserve">., 2016; </w:t>
      </w:r>
      <w:proofErr w:type="spellStart"/>
      <w:r w:rsidRPr="00804315">
        <w:rPr>
          <w:rFonts w:ascii="Arial" w:hAnsi="Arial" w:cs="Arial"/>
        </w:rPr>
        <w:t>Pochini</w:t>
      </w:r>
      <w:proofErr w:type="spellEnd"/>
      <w:r w:rsidRPr="00804315">
        <w:rPr>
          <w:rFonts w:ascii="Arial" w:hAnsi="Arial" w:cs="Arial"/>
        </w:rPr>
        <w:t xml:space="preserve"> </w:t>
      </w:r>
      <w:r w:rsidRPr="00C80CEE">
        <w:rPr>
          <w:rFonts w:ascii="Arial" w:hAnsi="Arial" w:cs="Arial"/>
          <w:i/>
          <w:iCs/>
        </w:rPr>
        <w:t>et al</w:t>
      </w:r>
      <w:r w:rsidRPr="00804315">
        <w:rPr>
          <w:rFonts w:ascii="Arial" w:hAnsi="Arial" w:cs="Arial"/>
        </w:rPr>
        <w:t>., 2016).</w:t>
      </w:r>
    </w:p>
    <w:p w14:paraId="4DFDE1B6" w14:textId="2C18FC79" w:rsidR="00722B42" w:rsidRPr="00557352" w:rsidRDefault="00722B42" w:rsidP="00441B6F">
      <w:pPr>
        <w:pStyle w:val="Body"/>
        <w:spacing w:after="0"/>
        <w:rPr>
          <w:rFonts w:ascii="Arial" w:hAnsi="Arial" w:cs="Arial"/>
          <w:b/>
          <w:bCs/>
        </w:rPr>
      </w:pPr>
      <w:r w:rsidRPr="00557352">
        <w:rPr>
          <w:rFonts w:ascii="Arial" w:hAnsi="Arial" w:cs="Arial"/>
          <w:b/>
          <w:bCs/>
        </w:rPr>
        <w:t xml:space="preserve">Table </w:t>
      </w:r>
      <w:r w:rsidR="001D497E">
        <w:rPr>
          <w:rFonts w:ascii="Arial" w:hAnsi="Arial" w:cs="Arial"/>
          <w:b/>
          <w:bCs/>
        </w:rPr>
        <w:t>6</w:t>
      </w:r>
      <w:r w:rsidRPr="00557352">
        <w:rPr>
          <w:rFonts w:ascii="Arial" w:hAnsi="Arial" w:cs="Arial"/>
          <w:b/>
          <w:bCs/>
        </w:rPr>
        <w:t xml:space="preserve">. </w:t>
      </w:r>
      <w:r w:rsidR="00557352" w:rsidRPr="00557352">
        <w:rPr>
          <w:rFonts w:ascii="Arial" w:hAnsi="Arial" w:cs="Arial"/>
          <w:b/>
          <w:bCs/>
        </w:rPr>
        <w:t>Mixed ANOVA analysis of hair length in 2 cm and 4 cm from midline</w:t>
      </w:r>
    </w:p>
    <w:tbl>
      <w:tblPr>
        <w:tblStyle w:val="TableGrid"/>
        <w:tblpPr w:leftFromText="180" w:rightFromText="180" w:vertAnchor="text" w:horzAnchor="margin" w:tblpY="1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9"/>
        <w:gridCol w:w="917"/>
        <w:gridCol w:w="1056"/>
        <w:gridCol w:w="968"/>
        <w:gridCol w:w="705"/>
        <w:gridCol w:w="995"/>
        <w:gridCol w:w="1135"/>
      </w:tblGrid>
      <w:tr w:rsidR="00722B42" w:rsidRPr="002D649F" w14:paraId="15514F2B" w14:textId="77777777" w:rsidTr="00774893">
        <w:tc>
          <w:tcPr>
            <w:tcW w:w="1879" w:type="dxa"/>
            <w:vMerge w:val="restart"/>
            <w:tcBorders>
              <w:top w:val="single" w:sz="4" w:space="0" w:color="auto"/>
            </w:tcBorders>
            <w:vAlign w:val="center"/>
          </w:tcPr>
          <w:p w14:paraId="049789A6" w14:textId="77777777" w:rsidR="00722B42" w:rsidRPr="002D649F" w:rsidRDefault="00722B42" w:rsidP="00FD3526">
            <w:pPr>
              <w:jc w:val="center"/>
              <w:rPr>
                <w:rFonts w:ascii="Arial" w:hAnsi="Arial" w:cs="Arial"/>
                <w:b/>
                <w:bCs/>
                <w:sz w:val="20"/>
                <w:szCs w:val="20"/>
              </w:rPr>
            </w:pPr>
            <w:r w:rsidRPr="002D649F">
              <w:rPr>
                <w:rFonts w:ascii="Arial" w:hAnsi="Arial" w:cs="Arial"/>
                <w:b/>
                <w:bCs/>
                <w:sz w:val="20"/>
                <w:szCs w:val="20"/>
              </w:rPr>
              <w:t>Variances</w:t>
            </w:r>
          </w:p>
        </w:tc>
        <w:tc>
          <w:tcPr>
            <w:tcW w:w="2941" w:type="dxa"/>
            <w:gridSpan w:val="3"/>
            <w:tcBorders>
              <w:top w:val="single" w:sz="4" w:space="0" w:color="auto"/>
              <w:bottom w:val="single" w:sz="4" w:space="0" w:color="auto"/>
            </w:tcBorders>
            <w:vAlign w:val="center"/>
          </w:tcPr>
          <w:p w14:paraId="44885110" w14:textId="547FF9A9" w:rsidR="00722B42" w:rsidRPr="002D649F" w:rsidRDefault="00722B42" w:rsidP="00FD3526">
            <w:pPr>
              <w:jc w:val="center"/>
              <w:rPr>
                <w:rFonts w:ascii="Arial" w:hAnsi="Arial" w:cs="Arial"/>
                <w:b/>
                <w:bCs/>
                <w:sz w:val="20"/>
                <w:szCs w:val="20"/>
              </w:rPr>
            </w:pPr>
            <w:r w:rsidRPr="002D649F">
              <w:rPr>
                <w:rFonts w:ascii="Arial" w:hAnsi="Arial" w:cs="Arial"/>
                <w:b/>
                <w:bCs/>
                <w:sz w:val="20"/>
                <w:szCs w:val="20"/>
              </w:rPr>
              <w:t>Hair lengt</w:t>
            </w:r>
            <w:r>
              <w:rPr>
                <w:rFonts w:ascii="Arial" w:hAnsi="Arial" w:cs="Arial"/>
                <w:b/>
                <w:bCs/>
                <w:sz w:val="20"/>
                <w:szCs w:val="20"/>
              </w:rPr>
              <w:t>h</w:t>
            </w:r>
            <w:r w:rsidRPr="002D649F">
              <w:rPr>
                <w:rFonts w:ascii="Arial" w:hAnsi="Arial" w:cs="Arial"/>
                <w:b/>
                <w:bCs/>
                <w:sz w:val="20"/>
                <w:szCs w:val="20"/>
              </w:rPr>
              <w:t xml:space="preserve"> 2 cm from midline</w:t>
            </w:r>
          </w:p>
        </w:tc>
        <w:tc>
          <w:tcPr>
            <w:tcW w:w="2835" w:type="dxa"/>
            <w:gridSpan w:val="3"/>
            <w:tcBorders>
              <w:top w:val="single" w:sz="4" w:space="0" w:color="auto"/>
              <w:bottom w:val="single" w:sz="4" w:space="0" w:color="auto"/>
            </w:tcBorders>
          </w:tcPr>
          <w:p w14:paraId="3C9AAFA6" w14:textId="548FCA5F" w:rsidR="00722B42" w:rsidRPr="002D649F" w:rsidRDefault="00722B42" w:rsidP="00FD3526">
            <w:pPr>
              <w:jc w:val="center"/>
              <w:rPr>
                <w:rFonts w:ascii="Arial" w:hAnsi="Arial" w:cs="Arial"/>
                <w:b/>
                <w:bCs/>
                <w:sz w:val="20"/>
                <w:szCs w:val="20"/>
              </w:rPr>
            </w:pPr>
            <w:r w:rsidRPr="002D649F">
              <w:rPr>
                <w:rFonts w:ascii="Arial" w:hAnsi="Arial" w:cs="Arial"/>
                <w:b/>
                <w:bCs/>
                <w:sz w:val="20"/>
                <w:szCs w:val="20"/>
              </w:rPr>
              <w:t>Hair leng</w:t>
            </w:r>
            <w:r>
              <w:rPr>
                <w:rFonts w:ascii="Arial" w:hAnsi="Arial" w:cs="Arial"/>
                <w:b/>
                <w:bCs/>
                <w:sz w:val="20"/>
                <w:szCs w:val="20"/>
              </w:rPr>
              <w:t>th</w:t>
            </w:r>
            <w:r w:rsidRPr="002D649F">
              <w:rPr>
                <w:rFonts w:ascii="Arial" w:hAnsi="Arial" w:cs="Arial"/>
                <w:b/>
                <w:bCs/>
                <w:sz w:val="20"/>
                <w:szCs w:val="20"/>
              </w:rPr>
              <w:t xml:space="preserve"> 4 cm from midline</w:t>
            </w:r>
          </w:p>
        </w:tc>
      </w:tr>
      <w:tr w:rsidR="00722B42" w:rsidRPr="002D649F" w14:paraId="49D4FC76" w14:textId="77777777" w:rsidTr="00774893">
        <w:tc>
          <w:tcPr>
            <w:tcW w:w="1879" w:type="dxa"/>
            <w:vMerge/>
            <w:tcBorders>
              <w:bottom w:val="single" w:sz="4" w:space="0" w:color="auto"/>
            </w:tcBorders>
            <w:vAlign w:val="center"/>
          </w:tcPr>
          <w:p w14:paraId="6B56F29E" w14:textId="77777777" w:rsidR="00722B42" w:rsidRPr="002D649F" w:rsidRDefault="00722B42" w:rsidP="00FD3526">
            <w:pPr>
              <w:jc w:val="center"/>
              <w:rPr>
                <w:rFonts w:ascii="Arial" w:hAnsi="Arial" w:cs="Arial"/>
                <w:b/>
                <w:bCs/>
                <w:sz w:val="20"/>
                <w:szCs w:val="20"/>
              </w:rPr>
            </w:pPr>
          </w:p>
        </w:tc>
        <w:tc>
          <w:tcPr>
            <w:tcW w:w="917" w:type="dxa"/>
            <w:tcBorders>
              <w:top w:val="single" w:sz="4" w:space="0" w:color="auto"/>
              <w:bottom w:val="single" w:sz="4" w:space="0" w:color="auto"/>
            </w:tcBorders>
          </w:tcPr>
          <w:p w14:paraId="01A69AFA" w14:textId="77777777" w:rsidR="00722B42" w:rsidRPr="002D649F" w:rsidRDefault="00722B42" w:rsidP="00FD3526">
            <w:pPr>
              <w:jc w:val="center"/>
              <w:rPr>
                <w:rFonts w:ascii="Arial" w:hAnsi="Arial" w:cs="Arial"/>
                <w:b/>
                <w:bCs/>
                <w:sz w:val="20"/>
                <w:szCs w:val="20"/>
              </w:rPr>
            </w:pPr>
            <w:r w:rsidRPr="002D649F">
              <w:rPr>
                <w:rFonts w:ascii="Arial" w:hAnsi="Arial" w:cs="Arial"/>
                <w:b/>
                <w:bCs/>
                <w:sz w:val="20"/>
                <w:szCs w:val="20"/>
              </w:rPr>
              <w:t>df</w:t>
            </w:r>
          </w:p>
        </w:tc>
        <w:tc>
          <w:tcPr>
            <w:tcW w:w="1056" w:type="dxa"/>
            <w:tcBorders>
              <w:top w:val="single" w:sz="4" w:space="0" w:color="auto"/>
              <w:bottom w:val="single" w:sz="4" w:space="0" w:color="auto"/>
            </w:tcBorders>
          </w:tcPr>
          <w:p w14:paraId="6F941ACB" w14:textId="77777777" w:rsidR="00722B42" w:rsidRPr="002D649F" w:rsidRDefault="00722B42" w:rsidP="00FD3526">
            <w:pPr>
              <w:jc w:val="center"/>
              <w:rPr>
                <w:rFonts w:ascii="Arial" w:hAnsi="Arial" w:cs="Arial"/>
                <w:b/>
                <w:bCs/>
                <w:sz w:val="20"/>
                <w:szCs w:val="20"/>
              </w:rPr>
            </w:pPr>
            <w:r w:rsidRPr="002D649F">
              <w:rPr>
                <w:rFonts w:ascii="Arial" w:hAnsi="Arial" w:cs="Arial"/>
                <w:b/>
                <w:bCs/>
                <w:sz w:val="20"/>
                <w:szCs w:val="20"/>
              </w:rPr>
              <w:t>F</w:t>
            </w:r>
          </w:p>
        </w:tc>
        <w:tc>
          <w:tcPr>
            <w:tcW w:w="968" w:type="dxa"/>
            <w:tcBorders>
              <w:top w:val="single" w:sz="4" w:space="0" w:color="auto"/>
              <w:bottom w:val="single" w:sz="4" w:space="0" w:color="auto"/>
            </w:tcBorders>
          </w:tcPr>
          <w:p w14:paraId="1FD4E3DF" w14:textId="77777777" w:rsidR="00722B42" w:rsidRPr="002D649F" w:rsidRDefault="00722B42" w:rsidP="00FD3526">
            <w:pPr>
              <w:jc w:val="center"/>
              <w:rPr>
                <w:rFonts w:ascii="Arial" w:hAnsi="Arial" w:cs="Arial"/>
                <w:b/>
                <w:bCs/>
                <w:sz w:val="20"/>
                <w:szCs w:val="20"/>
              </w:rPr>
            </w:pPr>
            <w:r w:rsidRPr="002D649F">
              <w:rPr>
                <w:rFonts w:ascii="Arial" w:hAnsi="Arial" w:cs="Arial"/>
                <w:b/>
                <w:bCs/>
                <w:sz w:val="20"/>
                <w:szCs w:val="20"/>
              </w:rPr>
              <w:t>Sig. (P)</w:t>
            </w:r>
          </w:p>
        </w:tc>
        <w:tc>
          <w:tcPr>
            <w:tcW w:w="705" w:type="dxa"/>
            <w:tcBorders>
              <w:top w:val="single" w:sz="4" w:space="0" w:color="auto"/>
              <w:bottom w:val="single" w:sz="4" w:space="0" w:color="auto"/>
            </w:tcBorders>
          </w:tcPr>
          <w:p w14:paraId="4536A645" w14:textId="77777777" w:rsidR="00722B42" w:rsidRPr="002D649F" w:rsidRDefault="00722B42" w:rsidP="00FD3526">
            <w:pPr>
              <w:jc w:val="center"/>
              <w:rPr>
                <w:rFonts w:ascii="Arial" w:hAnsi="Arial" w:cs="Arial"/>
                <w:b/>
                <w:bCs/>
                <w:sz w:val="20"/>
                <w:szCs w:val="20"/>
              </w:rPr>
            </w:pPr>
            <w:r w:rsidRPr="002D649F">
              <w:rPr>
                <w:rFonts w:ascii="Arial" w:hAnsi="Arial" w:cs="Arial"/>
                <w:b/>
                <w:bCs/>
                <w:sz w:val="20"/>
                <w:szCs w:val="20"/>
              </w:rPr>
              <w:t>df</w:t>
            </w:r>
          </w:p>
        </w:tc>
        <w:tc>
          <w:tcPr>
            <w:tcW w:w="995" w:type="dxa"/>
            <w:tcBorders>
              <w:top w:val="single" w:sz="4" w:space="0" w:color="auto"/>
              <w:bottom w:val="single" w:sz="4" w:space="0" w:color="auto"/>
            </w:tcBorders>
          </w:tcPr>
          <w:p w14:paraId="5C95911D" w14:textId="77777777" w:rsidR="00722B42" w:rsidRPr="002D649F" w:rsidRDefault="00722B42" w:rsidP="00FD3526">
            <w:pPr>
              <w:jc w:val="center"/>
              <w:rPr>
                <w:rFonts w:ascii="Arial" w:hAnsi="Arial" w:cs="Arial"/>
                <w:b/>
                <w:bCs/>
                <w:sz w:val="20"/>
                <w:szCs w:val="20"/>
              </w:rPr>
            </w:pPr>
            <w:r w:rsidRPr="002D649F">
              <w:rPr>
                <w:rFonts w:ascii="Arial" w:hAnsi="Arial" w:cs="Arial"/>
                <w:b/>
                <w:bCs/>
                <w:sz w:val="20"/>
                <w:szCs w:val="20"/>
              </w:rPr>
              <w:t>F</w:t>
            </w:r>
          </w:p>
        </w:tc>
        <w:tc>
          <w:tcPr>
            <w:tcW w:w="1135" w:type="dxa"/>
            <w:tcBorders>
              <w:top w:val="single" w:sz="4" w:space="0" w:color="auto"/>
              <w:bottom w:val="single" w:sz="4" w:space="0" w:color="auto"/>
            </w:tcBorders>
          </w:tcPr>
          <w:p w14:paraId="70ECDC86" w14:textId="77777777" w:rsidR="00722B42" w:rsidRPr="002D649F" w:rsidRDefault="00722B42" w:rsidP="00FD3526">
            <w:pPr>
              <w:jc w:val="center"/>
              <w:rPr>
                <w:rFonts w:ascii="Arial" w:hAnsi="Arial" w:cs="Arial"/>
                <w:b/>
                <w:bCs/>
                <w:sz w:val="20"/>
                <w:szCs w:val="20"/>
              </w:rPr>
            </w:pPr>
            <w:r w:rsidRPr="002D649F">
              <w:rPr>
                <w:rFonts w:ascii="Arial" w:hAnsi="Arial" w:cs="Arial"/>
                <w:b/>
                <w:bCs/>
                <w:sz w:val="20"/>
                <w:szCs w:val="20"/>
              </w:rPr>
              <w:t>Sig. (P)</w:t>
            </w:r>
          </w:p>
        </w:tc>
      </w:tr>
      <w:tr w:rsidR="00722B42" w:rsidRPr="002D649F" w14:paraId="24EDCC3B" w14:textId="77777777" w:rsidTr="00774893">
        <w:tc>
          <w:tcPr>
            <w:tcW w:w="1879" w:type="dxa"/>
            <w:tcBorders>
              <w:top w:val="single" w:sz="4" w:space="0" w:color="auto"/>
            </w:tcBorders>
          </w:tcPr>
          <w:p w14:paraId="0AE61768" w14:textId="77777777" w:rsidR="00722B42" w:rsidRPr="002D649F" w:rsidRDefault="00722B42" w:rsidP="00FD3526">
            <w:pPr>
              <w:jc w:val="both"/>
              <w:rPr>
                <w:rFonts w:ascii="Arial" w:hAnsi="Arial" w:cs="Arial"/>
                <w:sz w:val="20"/>
                <w:szCs w:val="20"/>
              </w:rPr>
            </w:pPr>
            <w:r w:rsidRPr="002D649F">
              <w:rPr>
                <w:rFonts w:ascii="Arial" w:hAnsi="Arial" w:cs="Arial"/>
                <w:sz w:val="20"/>
                <w:szCs w:val="20"/>
              </w:rPr>
              <w:t>Follow up time</w:t>
            </w:r>
          </w:p>
        </w:tc>
        <w:tc>
          <w:tcPr>
            <w:tcW w:w="917" w:type="dxa"/>
            <w:tcBorders>
              <w:top w:val="single" w:sz="4" w:space="0" w:color="auto"/>
            </w:tcBorders>
          </w:tcPr>
          <w:p w14:paraId="381CB0C5" w14:textId="4CBE18DC" w:rsidR="00722B42" w:rsidRPr="002D649F" w:rsidRDefault="00722B42" w:rsidP="00FD3526">
            <w:pPr>
              <w:jc w:val="both"/>
              <w:rPr>
                <w:rFonts w:ascii="Arial" w:hAnsi="Arial" w:cs="Arial"/>
                <w:sz w:val="20"/>
                <w:szCs w:val="20"/>
              </w:rPr>
            </w:pPr>
            <w:r w:rsidRPr="002D649F">
              <w:rPr>
                <w:rFonts w:ascii="Arial" w:hAnsi="Arial" w:cs="Arial"/>
                <w:sz w:val="20"/>
                <w:szCs w:val="20"/>
              </w:rPr>
              <w:t>1</w:t>
            </w:r>
            <w:r w:rsidR="00721185">
              <w:rPr>
                <w:rFonts w:ascii="Arial" w:hAnsi="Arial" w:cs="Arial"/>
                <w:sz w:val="20"/>
                <w:szCs w:val="20"/>
              </w:rPr>
              <w:t>.</w:t>
            </w:r>
            <w:r w:rsidRPr="002D649F">
              <w:rPr>
                <w:rFonts w:ascii="Arial" w:hAnsi="Arial" w:cs="Arial"/>
                <w:sz w:val="20"/>
                <w:szCs w:val="20"/>
              </w:rPr>
              <w:t>006</w:t>
            </w:r>
          </w:p>
        </w:tc>
        <w:tc>
          <w:tcPr>
            <w:tcW w:w="1056" w:type="dxa"/>
            <w:tcBorders>
              <w:top w:val="single" w:sz="4" w:space="0" w:color="auto"/>
            </w:tcBorders>
          </w:tcPr>
          <w:p w14:paraId="3FB6540D" w14:textId="3C097BC5" w:rsidR="00722B42" w:rsidRPr="002D649F" w:rsidRDefault="00722B42" w:rsidP="00FD3526">
            <w:pPr>
              <w:jc w:val="both"/>
              <w:rPr>
                <w:rFonts w:ascii="Arial" w:hAnsi="Arial" w:cs="Arial"/>
                <w:sz w:val="20"/>
                <w:szCs w:val="20"/>
              </w:rPr>
            </w:pPr>
            <w:r w:rsidRPr="002D649F">
              <w:rPr>
                <w:rFonts w:ascii="Arial" w:hAnsi="Arial" w:cs="Arial"/>
                <w:sz w:val="20"/>
                <w:szCs w:val="20"/>
              </w:rPr>
              <w:t>2</w:t>
            </w:r>
            <w:r w:rsidR="00721185">
              <w:rPr>
                <w:rFonts w:ascii="Arial" w:hAnsi="Arial" w:cs="Arial"/>
                <w:sz w:val="20"/>
                <w:szCs w:val="20"/>
              </w:rPr>
              <w:t>,</w:t>
            </w:r>
            <w:r w:rsidRPr="002D649F">
              <w:rPr>
                <w:rFonts w:ascii="Arial" w:hAnsi="Arial" w:cs="Arial"/>
                <w:sz w:val="20"/>
                <w:szCs w:val="20"/>
              </w:rPr>
              <w:t>571</w:t>
            </w:r>
            <w:r w:rsidR="00721185">
              <w:rPr>
                <w:rFonts w:ascii="Arial" w:hAnsi="Arial" w:cs="Arial"/>
                <w:sz w:val="20"/>
                <w:szCs w:val="20"/>
              </w:rPr>
              <w:t>.</w:t>
            </w:r>
            <w:r w:rsidRPr="002D649F">
              <w:rPr>
                <w:rFonts w:ascii="Arial" w:hAnsi="Arial" w:cs="Arial"/>
                <w:sz w:val="20"/>
                <w:szCs w:val="20"/>
              </w:rPr>
              <w:t>01</w:t>
            </w:r>
          </w:p>
        </w:tc>
        <w:tc>
          <w:tcPr>
            <w:tcW w:w="968" w:type="dxa"/>
            <w:tcBorders>
              <w:top w:val="single" w:sz="4" w:space="0" w:color="auto"/>
            </w:tcBorders>
          </w:tcPr>
          <w:p w14:paraId="50C3526F" w14:textId="0578E9E2" w:rsidR="00722B42" w:rsidRPr="002D649F" w:rsidRDefault="00722B42" w:rsidP="00FD3526">
            <w:pPr>
              <w:jc w:val="both"/>
              <w:rPr>
                <w:rFonts w:ascii="Arial" w:hAnsi="Arial" w:cs="Arial"/>
                <w:sz w:val="20"/>
                <w:szCs w:val="20"/>
              </w:rPr>
            </w:pPr>
            <w:r w:rsidRPr="002D649F">
              <w:rPr>
                <w:rFonts w:ascii="Arial" w:hAnsi="Arial" w:cs="Arial"/>
                <w:sz w:val="20"/>
                <w:szCs w:val="20"/>
                <w:u w:val="single"/>
              </w:rPr>
              <w:t>&lt;</w:t>
            </w:r>
            <w:r w:rsidRPr="002D649F">
              <w:rPr>
                <w:rFonts w:ascii="Arial" w:hAnsi="Arial" w:cs="Arial"/>
                <w:sz w:val="20"/>
                <w:szCs w:val="20"/>
              </w:rPr>
              <w:t xml:space="preserve"> 0</w:t>
            </w:r>
            <w:r w:rsidR="00721185">
              <w:rPr>
                <w:rFonts w:ascii="Arial" w:hAnsi="Arial" w:cs="Arial"/>
                <w:sz w:val="20"/>
                <w:szCs w:val="20"/>
              </w:rPr>
              <w:t>.</w:t>
            </w:r>
            <w:r w:rsidRPr="002D649F">
              <w:rPr>
                <w:rFonts w:ascii="Arial" w:hAnsi="Arial" w:cs="Arial"/>
                <w:sz w:val="20"/>
                <w:szCs w:val="20"/>
              </w:rPr>
              <w:t>001</w:t>
            </w:r>
          </w:p>
        </w:tc>
        <w:tc>
          <w:tcPr>
            <w:tcW w:w="705" w:type="dxa"/>
            <w:tcBorders>
              <w:top w:val="single" w:sz="4" w:space="0" w:color="auto"/>
            </w:tcBorders>
          </w:tcPr>
          <w:p w14:paraId="703E52C0" w14:textId="12B7FD5B" w:rsidR="00722B42" w:rsidRPr="002D649F" w:rsidRDefault="00722B42" w:rsidP="00FD3526">
            <w:pPr>
              <w:jc w:val="both"/>
              <w:rPr>
                <w:rFonts w:ascii="Arial" w:hAnsi="Arial" w:cs="Arial"/>
                <w:sz w:val="20"/>
                <w:szCs w:val="20"/>
                <w:u w:val="single"/>
              </w:rPr>
            </w:pPr>
            <w:r w:rsidRPr="002D649F">
              <w:rPr>
                <w:rFonts w:ascii="Arial" w:hAnsi="Arial" w:cs="Arial"/>
                <w:sz w:val="20"/>
                <w:szCs w:val="20"/>
              </w:rPr>
              <w:t>1</w:t>
            </w:r>
            <w:r w:rsidR="00721185">
              <w:rPr>
                <w:rFonts w:ascii="Arial" w:hAnsi="Arial" w:cs="Arial"/>
                <w:sz w:val="20"/>
                <w:szCs w:val="20"/>
              </w:rPr>
              <w:t>.</w:t>
            </w:r>
            <w:r w:rsidRPr="002D649F">
              <w:rPr>
                <w:rFonts w:ascii="Arial" w:hAnsi="Arial" w:cs="Arial"/>
                <w:sz w:val="20"/>
                <w:szCs w:val="20"/>
              </w:rPr>
              <w:t>005</w:t>
            </w:r>
          </w:p>
        </w:tc>
        <w:tc>
          <w:tcPr>
            <w:tcW w:w="995" w:type="dxa"/>
            <w:tcBorders>
              <w:top w:val="single" w:sz="4" w:space="0" w:color="auto"/>
            </w:tcBorders>
          </w:tcPr>
          <w:p w14:paraId="21F97535" w14:textId="0C3AE479" w:rsidR="00722B42" w:rsidRPr="002D649F" w:rsidRDefault="00722B42" w:rsidP="00FD3526">
            <w:pPr>
              <w:jc w:val="both"/>
              <w:rPr>
                <w:rFonts w:ascii="Arial" w:hAnsi="Arial" w:cs="Arial"/>
                <w:sz w:val="20"/>
                <w:szCs w:val="20"/>
                <w:u w:val="single"/>
              </w:rPr>
            </w:pPr>
            <w:r w:rsidRPr="002D649F">
              <w:rPr>
                <w:rFonts w:ascii="Arial" w:hAnsi="Arial" w:cs="Arial"/>
                <w:sz w:val="20"/>
                <w:szCs w:val="20"/>
              </w:rPr>
              <w:t>2</w:t>
            </w:r>
            <w:r w:rsidR="00721185">
              <w:rPr>
                <w:rFonts w:ascii="Arial" w:hAnsi="Arial" w:cs="Arial"/>
                <w:sz w:val="20"/>
                <w:szCs w:val="20"/>
              </w:rPr>
              <w:t>,</w:t>
            </w:r>
            <w:r w:rsidRPr="002D649F">
              <w:rPr>
                <w:rFonts w:ascii="Arial" w:hAnsi="Arial" w:cs="Arial"/>
                <w:sz w:val="20"/>
                <w:szCs w:val="20"/>
              </w:rPr>
              <w:t>600</w:t>
            </w:r>
            <w:r w:rsidR="00721185">
              <w:rPr>
                <w:rFonts w:ascii="Arial" w:hAnsi="Arial" w:cs="Arial"/>
                <w:sz w:val="20"/>
                <w:szCs w:val="20"/>
              </w:rPr>
              <w:t>.</w:t>
            </w:r>
            <w:r w:rsidRPr="002D649F">
              <w:rPr>
                <w:rFonts w:ascii="Arial" w:hAnsi="Arial" w:cs="Arial"/>
                <w:sz w:val="20"/>
                <w:szCs w:val="20"/>
              </w:rPr>
              <w:t>82</w:t>
            </w:r>
          </w:p>
        </w:tc>
        <w:tc>
          <w:tcPr>
            <w:tcW w:w="1135" w:type="dxa"/>
            <w:tcBorders>
              <w:top w:val="single" w:sz="4" w:space="0" w:color="auto"/>
            </w:tcBorders>
          </w:tcPr>
          <w:p w14:paraId="7A1223A1" w14:textId="23897B65" w:rsidR="00722B42" w:rsidRPr="002D649F" w:rsidRDefault="00722B42" w:rsidP="00FD3526">
            <w:pPr>
              <w:jc w:val="both"/>
              <w:rPr>
                <w:rFonts w:ascii="Arial" w:hAnsi="Arial" w:cs="Arial"/>
                <w:sz w:val="20"/>
                <w:szCs w:val="20"/>
                <w:u w:val="single"/>
              </w:rPr>
            </w:pPr>
            <w:r w:rsidRPr="002D649F">
              <w:rPr>
                <w:rFonts w:ascii="Arial" w:hAnsi="Arial" w:cs="Arial"/>
                <w:sz w:val="20"/>
                <w:szCs w:val="20"/>
                <w:u w:val="single"/>
              </w:rPr>
              <w:t>&lt;</w:t>
            </w:r>
            <w:r w:rsidRPr="002D649F">
              <w:rPr>
                <w:rFonts w:ascii="Arial" w:hAnsi="Arial" w:cs="Arial"/>
                <w:sz w:val="20"/>
                <w:szCs w:val="20"/>
              </w:rPr>
              <w:t xml:space="preserve"> 0</w:t>
            </w:r>
            <w:r w:rsidR="00721185">
              <w:rPr>
                <w:rFonts w:ascii="Arial" w:hAnsi="Arial" w:cs="Arial"/>
                <w:sz w:val="20"/>
                <w:szCs w:val="20"/>
              </w:rPr>
              <w:t>.</w:t>
            </w:r>
            <w:r w:rsidRPr="002D649F">
              <w:rPr>
                <w:rFonts w:ascii="Arial" w:hAnsi="Arial" w:cs="Arial"/>
                <w:sz w:val="20"/>
                <w:szCs w:val="20"/>
              </w:rPr>
              <w:t>001</w:t>
            </w:r>
          </w:p>
        </w:tc>
      </w:tr>
      <w:tr w:rsidR="00722B42" w:rsidRPr="002D649F" w14:paraId="36062F69" w14:textId="77777777" w:rsidTr="00774893">
        <w:tc>
          <w:tcPr>
            <w:tcW w:w="1879" w:type="dxa"/>
          </w:tcPr>
          <w:p w14:paraId="51C0A6E9" w14:textId="77777777" w:rsidR="00722B42" w:rsidRPr="002D649F" w:rsidRDefault="00722B42" w:rsidP="00FD3526">
            <w:pPr>
              <w:jc w:val="both"/>
              <w:rPr>
                <w:rFonts w:ascii="Arial" w:hAnsi="Arial" w:cs="Arial"/>
                <w:sz w:val="20"/>
                <w:szCs w:val="20"/>
              </w:rPr>
            </w:pPr>
            <w:r w:rsidRPr="002D649F">
              <w:rPr>
                <w:rFonts w:ascii="Arial" w:hAnsi="Arial" w:cs="Arial"/>
                <w:sz w:val="20"/>
                <w:szCs w:val="20"/>
              </w:rPr>
              <w:t>Groups</w:t>
            </w:r>
          </w:p>
        </w:tc>
        <w:tc>
          <w:tcPr>
            <w:tcW w:w="917" w:type="dxa"/>
          </w:tcPr>
          <w:p w14:paraId="66D00A50" w14:textId="49F5E231" w:rsidR="00722B42" w:rsidRPr="002D649F" w:rsidRDefault="00722B42" w:rsidP="00FD3526">
            <w:pPr>
              <w:jc w:val="both"/>
              <w:rPr>
                <w:rFonts w:ascii="Arial" w:hAnsi="Arial" w:cs="Arial"/>
                <w:sz w:val="20"/>
                <w:szCs w:val="20"/>
              </w:rPr>
            </w:pPr>
            <w:r w:rsidRPr="002D649F">
              <w:rPr>
                <w:rFonts w:ascii="Arial" w:hAnsi="Arial" w:cs="Arial"/>
                <w:sz w:val="20"/>
                <w:szCs w:val="20"/>
              </w:rPr>
              <w:t>1</w:t>
            </w:r>
            <w:r w:rsidR="00721185">
              <w:rPr>
                <w:rFonts w:ascii="Arial" w:hAnsi="Arial" w:cs="Arial"/>
                <w:sz w:val="20"/>
                <w:szCs w:val="20"/>
              </w:rPr>
              <w:t>.</w:t>
            </w:r>
            <w:r w:rsidRPr="002D649F">
              <w:rPr>
                <w:rFonts w:ascii="Arial" w:hAnsi="Arial" w:cs="Arial"/>
                <w:sz w:val="20"/>
                <w:szCs w:val="20"/>
              </w:rPr>
              <w:t>000</w:t>
            </w:r>
          </w:p>
        </w:tc>
        <w:tc>
          <w:tcPr>
            <w:tcW w:w="1056" w:type="dxa"/>
          </w:tcPr>
          <w:p w14:paraId="56289ED0" w14:textId="4D947DC4" w:rsidR="00722B42" w:rsidRPr="002D649F" w:rsidRDefault="00722B42" w:rsidP="00FD3526">
            <w:pPr>
              <w:jc w:val="both"/>
              <w:rPr>
                <w:rFonts w:ascii="Arial" w:hAnsi="Arial" w:cs="Arial"/>
                <w:sz w:val="20"/>
                <w:szCs w:val="20"/>
              </w:rPr>
            </w:pPr>
            <w:r w:rsidRPr="002D649F">
              <w:rPr>
                <w:rFonts w:ascii="Arial" w:hAnsi="Arial" w:cs="Arial"/>
                <w:sz w:val="20"/>
                <w:szCs w:val="20"/>
              </w:rPr>
              <w:t>109</w:t>
            </w:r>
            <w:r w:rsidR="00721185">
              <w:rPr>
                <w:rFonts w:ascii="Arial" w:hAnsi="Arial" w:cs="Arial"/>
                <w:sz w:val="20"/>
                <w:szCs w:val="20"/>
              </w:rPr>
              <w:t>.</w:t>
            </w:r>
            <w:r w:rsidRPr="002D649F">
              <w:rPr>
                <w:rFonts w:ascii="Arial" w:hAnsi="Arial" w:cs="Arial"/>
                <w:sz w:val="20"/>
                <w:szCs w:val="20"/>
              </w:rPr>
              <w:t>13</w:t>
            </w:r>
          </w:p>
        </w:tc>
        <w:tc>
          <w:tcPr>
            <w:tcW w:w="968" w:type="dxa"/>
          </w:tcPr>
          <w:p w14:paraId="6F618626" w14:textId="4942F790" w:rsidR="00722B42" w:rsidRPr="002D649F" w:rsidRDefault="00722B42" w:rsidP="00FD3526">
            <w:pPr>
              <w:jc w:val="both"/>
              <w:rPr>
                <w:rFonts w:ascii="Arial" w:hAnsi="Arial" w:cs="Arial"/>
                <w:sz w:val="20"/>
                <w:szCs w:val="20"/>
              </w:rPr>
            </w:pPr>
            <w:r w:rsidRPr="002D649F">
              <w:rPr>
                <w:rFonts w:ascii="Arial" w:hAnsi="Arial" w:cs="Arial"/>
                <w:sz w:val="20"/>
                <w:szCs w:val="20"/>
                <w:u w:val="single"/>
              </w:rPr>
              <w:t>&lt;</w:t>
            </w:r>
            <w:r w:rsidRPr="002D649F">
              <w:rPr>
                <w:rFonts w:ascii="Arial" w:hAnsi="Arial" w:cs="Arial"/>
                <w:sz w:val="20"/>
                <w:szCs w:val="20"/>
              </w:rPr>
              <w:t xml:space="preserve"> 0</w:t>
            </w:r>
            <w:r w:rsidR="00721185">
              <w:rPr>
                <w:rFonts w:ascii="Arial" w:hAnsi="Arial" w:cs="Arial"/>
                <w:sz w:val="20"/>
                <w:szCs w:val="20"/>
              </w:rPr>
              <w:t>.</w:t>
            </w:r>
            <w:r w:rsidRPr="002D649F">
              <w:rPr>
                <w:rFonts w:ascii="Arial" w:hAnsi="Arial" w:cs="Arial"/>
                <w:sz w:val="20"/>
                <w:szCs w:val="20"/>
              </w:rPr>
              <w:t>001</w:t>
            </w:r>
          </w:p>
        </w:tc>
        <w:tc>
          <w:tcPr>
            <w:tcW w:w="705" w:type="dxa"/>
          </w:tcPr>
          <w:p w14:paraId="0B6451ED" w14:textId="398A55B5" w:rsidR="00722B42" w:rsidRPr="002D649F" w:rsidRDefault="00722B42" w:rsidP="00FD3526">
            <w:pPr>
              <w:jc w:val="both"/>
              <w:rPr>
                <w:rFonts w:ascii="Arial" w:hAnsi="Arial" w:cs="Arial"/>
                <w:sz w:val="20"/>
                <w:szCs w:val="20"/>
              </w:rPr>
            </w:pPr>
            <w:r w:rsidRPr="002D649F">
              <w:rPr>
                <w:rFonts w:ascii="Arial" w:hAnsi="Arial" w:cs="Arial"/>
                <w:sz w:val="20"/>
                <w:szCs w:val="20"/>
              </w:rPr>
              <w:t>1</w:t>
            </w:r>
            <w:r w:rsidR="00721185">
              <w:rPr>
                <w:rFonts w:ascii="Arial" w:hAnsi="Arial" w:cs="Arial"/>
                <w:sz w:val="20"/>
                <w:szCs w:val="20"/>
              </w:rPr>
              <w:t>.</w:t>
            </w:r>
            <w:r w:rsidRPr="002D649F">
              <w:rPr>
                <w:rFonts w:ascii="Arial" w:hAnsi="Arial" w:cs="Arial"/>
                <w:sz w:val="20"/>
                <w:szCs w:val="20"/>
              </w:rPr>
              <w:t>000</w:t>
            </w:r>
          </w:p>
        </w:tc>
        <w:tc>
          <w:tcPr>
            <w:tcW w:w="995" w:type="dxa"/>
          </w:tcPr>
          <w:p w14:paraId="22A796CA" w14:textId="2A321098" w:rsidR="00722B42" w:rsidRPr="002D649F" w:rsidRDefault="00722B42" w:rsidP="00FD3526">
            <w:pPr>
              <w:jc w:val="both"/>
              <w:rPr>
                <w:rFonts w:ascii="Arial" w:hAnsi="Arial" w:cs="Arial"/>
                <w:sz w:val="20"/>
                <w:szCs w:val="20"/>
              </w:rPr>
            </w:pPr>
            <w:r w:rsidRPr="002D649F">
              <w:rPr>
                <w:rFonts w:ascii="Arial" w:hAnsi="Arial" w:cs="Arial"/>
                <w:sz w:val="20"/>
                <w:szCs w:val="20"/>
              </w:rPr>
              <w:t>110</w:t>
            </w:r>
            <w:r w:rsidR="00721185">
              <w:rPr>
                <w:rFonts w:ascii="Arial" w:hAnsi="Arial" w:cs="Arial"/>
                <w:sz w:val="20"/>
                <w:szCs w:val="20"/>
              </w:rPr>
              <w:t>.</w:t>
            </w:r>
            <w:r w:rsidRPr="002D649F">
              <w:rPr>
                <w:rFonts w:ascii="Arial" w:hAnsi="Arial" w:cs="Arial"/>
                <w:sz w:val="20"/>
                <w:szCs w:val="20"/>
              </w:rPr>
              <w:t>79</w:t>
            </w:r>
          </w:p>
        </w:tc>
        <w:tc>
          <w:tcPr>
            <w:tcW w:w="1135" w:type="dxa"/>
          </w:tcPr>
          <w:p w14:paraId="125084E0" w14:textId="7C919D61" w:rsidR="00722B42" w:rsidRPr="002D649F" w:rsidRDefault="00722B42" w:rsidP="00FD3526">
            <w:pPr>
              <w:jc w:val="both"/>
              <w:rPr>
                <w:rFonts w:ascii="Arial" w:hAnsi="Arial" w:cs="Arial"/>
                <w:sz w:val="20"/>
                <w:szCs w:val="20"/>
              </w:rPr>
            </w:pPr>
            <w:r w:rsidRPr="002D649F">
              <w:rPr>
                <w:rFonts w:ascii="Arial" w:hAnsi="Arial" w:cs="Arial"/>
                <w:sz w:val="20"/>
                <w:szCs w:val="20"/>
                <w:u w:val="single"/>
              </w:rPr>
              <w:t>&lt;</w:t>
            </w:r>
            <w:r w:rsidRPr="002D649F">
              <w:rPr>
                <w:rFonts w:ascii="Arial" w:hAnsi="Arial" w:cs="Arial"/>
                <w:sz w:val="20"/>
                <w:szCs w:val="20"/>
              </w:rPr>
              <w:t xml:space="preserve"> 0</w:t>
            </w:r>
            <w:r w:rsidR="00721185">
              <w:rPr>
                <w:rFonts w:ascii="Arial" w:hAnsi="Arial" w:cs="Arial"/>
                <w:sz w:val="20"/>
                <w:szCs w:val="20"/>
              </w:rPr>
              <w:t>.</w:t>
            </w:r>
            <w:r w:rsidRPr="002D649F">
              <w:rPr>
                <w:rFonts w:ascii="Arial" w:hAnsi="Arial" w:cs="Arial"/>
                <w:sz w:val="20"/>
                <w:szCs w:val="20"/>
              </w:rPr>
              <w:t>001</w:t>
            </w:r>
          </w:p>
        </w:tc>
      </w:tr>
      <w:tr w:rsidR="00722B42" w:rsidRPr="002D649F" w14:paraId="53FD5B00" w14:textId="77777777" w:rsidTr="00774893">
        <w:tc>
          <w:tcPr>
            <w:tcW w:w="1879" w:type="dxa"/>
            <w:tcBorders>
              <w:bottom w:val="single" w:sz="4" w:space="0" w:color="auto"/>
            </w:tcBorders>
          </w:tcPr>
          <w:p w14:paraId="2655A52A" w14:textId="77777777" w:rsidR="00722B42" w:rsidRPr="002D649F" w:rsidRDefault="00722B42" w:rsidP="00FD3526">
            <w:pPr>
              <w:jc w:val="both"/>
              <w:rPr>
                <w:rFonts w:ascii="Arial" w:hAnsi="Arial" w:cs="Arial"/>
                <w:sz w:val="20"/>
                <w:szCs w:val="20"/>
              </w:rPr>
            </w:pPr>
            <w:r w:rsidRPr="002D649F">
              <w:rPr>
                <w:rFonts w:ascii="Arial" w:hAnsi="Arial" w:cs="Arial"/>
                <w:sz w:val="20"/>
                <w:szCs w:val="20"/>
              </w:rPr>
              <w:t>Follow up and group interaction</w:t>
            </w:r>
          </w:p>
        </w:tc>
        <w:tc>
          <w:tcPr>
            <w:tcW w:w="917" w:type="dxa"/>
            <w:tcBorders>
              <w:bottom w:val="single" w:sz="4" w:space="0" w:color="auto"/>
            </w:tcBorders>
          </w:tcPr>
          <w:p w14:paraId="3EAE03D1" w14:textId="2839894C" w:rsidR="00722B42" w:rsidRPr="002D649F" w:rsidRDefault="00722B42" w:rsidP="00FD3526">
            <w:pPr>
              <w:jc w:val="both"/>
              <w:rPr>
                <w:rFonts w:ascii="Arial" w:hAnsi="Arial" w:cs="Arial"/>
                <w:sz w:val="20"/>
                <w:szCs w:val="20"/>
              </w:rPr>
            </w:pPr>
            <w:r w:rsidRPr="002D649F">
              <w:rPr>
                <w:rFonts w:ascii="Arial" w:hAnsi="Arial" w:cs="Arial"/>
                <w:sz w:val="20"/>
                <w:szCs w:val="20"/>
              </w:rPr>
              <w:t>1</w:t>
            </w:r>
            <w:r w:rsidR="00721185">
              <w:rPr>
                <w:rFonts w:ascii="Arial" w:hAnsi="Arial" w:cs="Arial"/>
                <w:sz w:val="20"/>
                <w:szCs w:val="20"/>
              </w:rPr>
              <w:t>.</w:t>
            </w:r>
            <w:r w:rsidRPr="002D649F">
              <w:rPr>
                <w:rFonts w:ascii="Arial" w:hAnsi="Arial" w:cs="Arial"/>
                <w:sz w:val="20"/>
                <w:szCs w:val="20"/>
              </w:rPr>
              <w:t>006</w:t>
            </w:r>
          </w:p>
        </w:tc>
        <w:tc>
          <w:tcPr>
            <w:tcW w:w="1056" w:type="dxa"/>
            <w:tcBorders>
              <w:bottom w:val="single" w:sz="4" w:space="0" w:color="auto"/>
            </w:tcBorders>
          </w:tcPr>
          <w:p w14:paraId="34D52E4F" w14:textId="0B558AB0" w:rsidR="00722B42" w:rsidRPr="002D649F" w:rsidRDefault="00722B42" w:rsidP="00FD3526">
            <w:pPr>
              <w:jc w:val="both"/>
              <w:rPr>
                <w:rFonts w:ascii="Arial" w:hAnsi="Arial" w:cs="Arial"/>
                <w:sz w:val="20"/>
                <w:szCs w:val="20"/>
              </w:rPr>
            </w:pPr>
            <w:r w:rsidRPr="002D649F">
              <w:rPr>
                <w:rFonts w:ascii="Arial" w:hAnsi="Arial" w:cs="Arial"/>
                <w:sz w:val="20"/>
                <w:szCs w:val="20"/>
              </w:rPr>
              <w:t>106</w:t>
            </w:r>
            <w:r w:rsidR="00721185">
              <w:rPr>
                <w:rFonts w:ascii="Arial" w:hAnsi="Arial" w:cs="Arial"/>
                <w:sz w:val="20"/>
                <w:szCs w:val="20"/>
              </w:rPr>
              <w:t>.</w:t>
            </w:r>
            <w:r w:rsidRPr="002D649F">
              <w:rPr>
                <w:rFonts w:ascii="Arial" w:hAnsi="Arial" w:cs="Arial"/>
                <w:sz w:val="20"/>
                <w:szCs w:val="20"/>
              </w:rPr>
              <w:t>97</w:t>
            </w:r>
          </w:p>
        </w:tc>
        <w:tc>
          <w:tcPr>
            <w:tcW w:w="968" w:type="dxa"/>
            <w:tcBorders>
              <w:bottom w:val="single" w:sz="4" w:space="0" w:color="auto"/>
            </w:tcBorders>
          </w:tcPr>
          <w:p w14:paraId="715E6E2E" w14:textId="500BA388" w:rsidR="00722B42" w:rsidRPr="002D649F" w:rsidRDefault="00722B42" w:rsidP="00FD3526">
            <w:pPr>
              <w:jc w:val="both"/>
              <w:rPr>
                <w:rFonts w:ascii="Arial" w:hAnsi="Arial" w:cs="Arial"/>
                <w:sz w:val="20"/>
                <w:szCs w:val="20"/>
              </w:rPr>
            </w:pPr>
            <w:r w:rsidRPr="002D649F">
              <w:rPr>
                <w:rFonts w:ascii="Arial" w:hAnsi="Arial" w:cs="Arial"/>
                <w:sz w:val="20"/>
                <w:szCs w:val="20"/>
                <w:u w:val="single"/>
              </w:rPr>
              <w:t>&lt;</w:t>
            </w:r>
            <w:r w:rsidRPr="002D649F">
              <w:rPr>
                <w:rFonts w:ascii="Arial" w:hAnsi="Arial" w:cs="Arial"/>
                <w:sz w:val="20"/>
                <w:szCs w:val="20"/>
              </w:rPr>
              <w:t xml:space="preserve"> 0</w:t>
            </w:r>
            <w:r w:rsidR="00721185">
              <w:rPr>
                <w:rFonts w:ascii="Arial" w:hAnsi="Arial" w:cs="Arial"/>
                <w:sz w:val="20"/>
                <w:szCs w:val="20"/>
              </w:rPr>
              <w:t>.</w:t>
            </w:r>
            <w:r w:rsidRPr="002D649F">
              <w:rPr>
                <w:rFonts w:ascii="Arial" w:hAnsi="Arial" w:cs="Arial"/>
                <w:sz w:val="20"/>
                <w:szCs w:val="20"/>
              </w:rPr>
              <w:t>001</w:t>
            </w:r>
          </w:p>
        </w:tc>
        <w:tc>
          <w:tcPr>
            <w:tcW w:w="705" w:type="dxa"/>
            <w:tcBorders>
              <w:bottom w:val="single" w:sz="4" w:space="0" w:color="auto"/>
            </w:tcBorders>
          </w:tcPr>
          <w:p w14:paraId="4EB5C09D" w14:textId="30402296" w:rsidR="00722B42" w:rsidRPr="002D649F" w:rsidRDefault="00722B42" w:rsidP="00FD3526">
            <w:pPr>
              <w:jc w:val="both"/>
              <w:rPr>
                <w:rFonts w:ascii="Arial" w:hAnsi="Arial" w:cs="Arial"/>
                <w:sz w:val="20"/>
                <w:szCs w:val="20"/>
              </w:rPr>
            </w:pPr>
            <w:r w:rsidRPr="002D649F">
              <w:rPr>
                <w:rFonts w:ascii="Arial" w:hAnsi="Arial" w:cs="Arial"/>
                <w:sz w:val="20"/>
                <w:szCs w:val="20"/>
              </w:rPr>
              <w:t>1</w:t>
            </w:r>
            <w:r w:rsidR="00721185">
              <w:rPr>
                <w:rFonts w:ascii="Arial" w:hAnsi="Arial" w:cs="Arial"/>
                <w:sz w:val="20"/>
                <w:szCs w:val="20"/>
              </w:rPr>
              <w:t>.</w:t>
            </w:r>
            <w:r w:rsidRPr="002D649F">
              <w:rPr>
                <w:rFonts w:ascii="Arial" w:hAnsi="Arial" w:cs="Arial"/>
                <w:sz w:val="20"/>
                <w:szCs w:val="20"/>
              </w:rPr>
              <w:t>005</w:t>
            </w:r>
          </w:p>
        </w:tc>
        <w:tc>
          <w:tcPr>
            <w:tcW w:w="995" w:type="dxa"/>
            <w:tcBorders>
              <w:bottom w:val="single" w:sz="4" w:space="0" w:color="auto"/>
            </w:tcBorders>
          </w:tcPr>
          <w:p w14:paraId="2DAB2213" w14:textId="475E659F" w:rsidR="00722B42" w:rsidRPr="002D649F" w:rsidRDefault="00722B42" w:rsidP="00FD3526">
            <w:pPr>
              <w:jc w:val="both"/>
              <w:rPr>
                <w:rFonts w:ascii="Arial" w:hAnsi="Arial" w:cs="Arial"/>
                <w:sz w:val="20"/>
                <w:szCs w:val="20"/>
              </w:rPr>
            </w:pPr>
            <w:r w:rsidRPr="002D649F">
              <w:rPr>
                <w:rFonts w:ascii="Arial" w:hAnsi="Arial" w:cs="Arial"/>
                <w:sz w:val="20"/>
                <w:szCs w:val="20"/>
              </w:rPr>
              <w:t>108</w:t>
            </w:r>
            <w:r w:rsidR="00721185">
              <w:rPr>
                <w:rFonts w:ascii="Arial" w:hAnsi="Arial" w:cs="Arial"/>
                <w:sz w:val="20"/>
                <w:szCs w:val="20"/>
              </w:rPr>
              <w:t>.</w:t>
            </w:r>
            <w:r w:rsidRPr="002D649F">
              <w:rPr>
                <w:rFonts w:ascii="Arial" w:hAnsi="Arial" w:cs="Arial"/>
                <w:sz w:val="20"/>
                <w:szCs w:val="20"/>
              </w:rPr>
              <w:t>69</w:t>
            </w:r>
          </w:p>
        </w:tc>
        <w:tc>
          <w:tcPr>
            <w:tcW w:w="1135" w:type="dxa"/>
            <w:tcBorders>
              <w:bottom w:val="single" w:sz="4" w:space="0" w:color="auto"/>
            </w:tcBorders>
          </w:tcPr>
          <w:p w14:paraId="194700FB" w14:textId="3DA01E20" w:rsidR="00722B42" w:rsidRPr="002D649F" w:rsidRDefault="00722B42" w:rsidP="00FD3526">
            <w:pPr>
              <w:jc w:val="both"/>
              <w:rPr>
                <w:rFonts w:ascii="Arial" w:hAnsi="Arial" w:cs="Arial"/>
                <w:sz w:val="20"/>
                <w:szCs w:val="20"/>
              </w:rPr>
            </w:pPr>
            <w:r w:rsidRPr="002D649F">
              <w:rPr>
                <w:rFonts w:ascii="Arial" w:hAnsi="Arial" w:cs="Arial"/>
                <w:sz w:val="20"/>
                <w:szCs w:val="20"/>
                <w:u w:val="single"/>
              </w:rPr>
              <w:t>&lt;</w:t>
            </w:r>
            <w:r w:rsidRPr="002D649F">
              <w:rPr>
                <w:rFonts w:ascii="Arial" w:hAnsi="Arial" w:cs="Arial"/>
                <w:sz w:val="20"/>
                <w:szCs w:val="20"/>
              </w:rPr>
              <w:t xml:space="preserve"> 0</w:t>
            </w:r>
            <w:r w:rsidR="00721185">
              <w:rPr>
                <w:rFonts w:ascii="Arial" w:hAnsi="Arial" w:cs="Arial"/>
                <w:sz w:val="20"/>
                <w:szCs w:val="20"/>
              </w:rPr>
              <w:t>.</w:t>
            </w:r>
            <w:r w:rsidRPr="002D649F">
              <w:rPr>
                <w:rFonts w:ascii="Arial" w:hAnsi="Arial" w:cs="Arial"/>
                <w:sz w:val="20"/>
                <w:szCs w:val="20"/>
              </w:rPr>
              <w:t>001</w:t>
            </w:r>
          </w:p>
        </w:tc>
      </w:tr>
    </w:tbl>
    <w:p w14:paraId="0CDCC837" w14:textId="77777777" w:rsidR="009F6A06" w:rsidRDefault="009F6A06" w:rsidP="00970E5D">
      <w:pPr>
        <w:pStyle w:val="Body"/>
        <w:rPr>
          <w:rFonts w:ascii="Arial" w:hAnsi="Arial" w:cs="Arial"/>
        </w:rPr>
      </w:pPr>
    </w:p>
    <w:p w14:paraId="3A01A813" w14:textId="77777777" w:rsidR="00C80CEE" w:rsidRDefault="00C80CEE" w:rsidP="00970E5D">
      <w:pPr>
        <w:pStyle w:val="Body"/>
        <w:rPr>
          <w:rFonts w:ascii="Arial" w:hAnsi="Arial" w:cs="Arial"/>
        </w:rPr>
      </w:pPr>
    </w:p>
    <w:p w14:paraId="6DD5DADD" w14:textId="77777777" w:rsidR="00C80CEE" w:rsidRDefault="00C80CEE" w:rsidP="00970E5D">
      <w:pPr>
        <w:pStyle w:val="Body"/>
        <w:rPr>
          <w:rFonts w:ascii="Arial" w:hAnsi="Arial" w:cs="Arial"/>
        </w:rPr>
      </w:pPr>
    </w:p>
    <w:p w14:paraId="3B75D2F8" w14:textId="77777777" w:rsidR="00C80CEE" w:rsidRDefault="00C80CEE" w:rsidP="00970E5D">
      <w:pPr>
        <w:pStyle w:val="Body"/>
        <w:rPr>
          <w:rFonts w:ascii="Arial" w:hAnsi="Arial" w:cs="Arial"/>
        </w:rPr>
      </w:pPr>
    </w:p>
    <w:p w14:paraId="051A1E5B" w14:textId="77777777" w:rsidR="00C80CEE" w:rsidRDefault="00C80CEE" w:rsidP="00970E5D">
      <w:pPr>
        <w:pStyle w:val="Body"/>
        <w:rPr>
          <w:rFonts w:ascii="Arial" w:hAnsi="Arial" w:cs="Arial"/>
        </w:rPr>
      </w:pPr>
    </w:p>
    <w:p w14:paraId="7F623CD8" w14:textId="181303AD" w:rsidR="00FD3526" w:rsidRDefault="00FD3526" w:rsidP="00970E5D">
      <w:pPr>
        <w:pStyle w:val="Body"/>
        <w:rPr>
          <w:rFonts w:ascii="Arial" w:hAnsi="Arial" w:cs="Arial"/>
        </w:rPr>
      </w:pPr>
      <w:r>
        <w:rPr>
          <w:rFonts w:ascii="Arial" w:hAnsi="Arial" w:cs="Arial"/>
        </w:rPr>
        <w:t>Hair</w:t>
      </w:r>
      <w:r w:rsidRPr="00FD3526">
        <w:rPr>
          <w:rFonts w:ascii="Arial" w:hAnsi="Arial" w:cs="Arial"/>
        </w:rPr>
        <w:t xml:space="preserve"> length at 2 cm from the midline differed significantly across all time pairs (</w:t>
      </w:r>
      <w:r w:rsidR="00C80CEE">
        <w:rPr>
          <w:rFonts w:ascii="Arial" w:hAnsi="Arial" w:cs="Arial"/>
        </w:rPr>
        <w:t>P</w:t>
      </w:r>
      <w:r w:rsidRPr="00FD3526">
        <w:rPr>
          <w:rFonts w:ascii="Arial" w:hAnsi="Arial" w:cs="Arial"/>
        </w:rPr>
        <w:t xml:space="preserve"> &lt; 0.001), with the DHI+PRP group consistently higher than the DHI group (</w:t>
      </w:r>
      <w:r w:rsidR="00C80CEE">
        <w:rPr>
          <w:rFonts w:ascii="Arial" w:hAnsi="Arial" w:cs="Arial"/>
        </w:rPr>
        <w:t xml:space="preserve">P </w:t>
      </w:r>
      <w:r w:rsidRPr="00FD3526">
        <w:rPr>
          <w:rFonts w:ascii="Arial" w:hAnsi="Arial" w:cs="Arial"/>
        </w:rPr>
        <w:t xml:space="preserve">&lt; 0.001). Similarly, Table </w:t>
      </w:r>
      <w:r w:rsidR="001D497E">
        <w:rPr>
          <w:rFonts w:ascii="Arial" w:hAnsi="Arial" w:cs="Arial"/>
        </w:rPr>
        <w:t>7</w:t>
      </w:r>
      <w:r w:rsidRPr="00FD3526">
        <w:rPr>
          <w:rFonts w:ascii="Arial" w:hAnsi="Arial" w:cs="Arial"/>
        </w:rPr>
        <w:t xml:space="preserve"> indicates significant differences across all time pairs (</w:t>
      </w:r>
      <w:r w:rsidR="00C80CEE">
        <w:rPr>
          <w:rFonts w:ascii="Arial" w:hAnsi="Arial" w:cs="Arial"/>
        </w:rPr>
        <w:t>P</w:t>
      </w:r>
      <w:r w:rsidRPr="00FD3526">
        <w:rPr>
          <w:rFonts w:ascii="Arial" w:hAnsi="Arial" w:cs="Arial"/>
        </w:rPr>
        <w:t xml:space="preserve"> &lt; 0.001), with the HT+PRP group showing greater hair length at 4 cm from the midline compared to the HT group (</w:t>
      </w:r>
      <w:r w:rsidR="00C80CEE">
        <w:rPr>
          <w:rFonts w:ascii="Arial" w:hAnsi="Arial" w:cs="Arial"/>
        </w:rPr>
        <w:t>P</w:t>
      </w:r>
      <w:r w:rsidRPr="00FD3526">
        <w:rPr>
          <w:rFonts w:ascii="Arial" w:hAnsi="Arial" w:cs="Arial"/>
        </w:rPr>
        <w:t xml:space="preserve"> &lt; 0.001)</w:t>
      </w:r>
      <w:r>
        <w:rPr>
          <w:rFonts w:ascii="Arial" w:hAnsi="Arial" w:cs="Arial"/>
        </w:rPr>
        <w:t xml:space="preserve"> (Table </w:t>
      </w:r>
      <w:r w:rsidR="001D497E">
        <w:rPr>
          <w:rFonts w:ascii="Arial" w:hAnsi="Arial" w:cs="Arial"/>
        </w:rPr>
        <w:t>7</w:t>
      </w:r>
      <w:r>
        <w:rPr>
          <w:rFonts w:ascii="Arial" w:hAnsi="Arial" w:cs="Arial"/>
        </w:rPr>
        <w:t>)</w:t>
      </w:r>
      <w:r w:rsidRPr="00FD3526">
        <w:rPr>
          <w:rFonts w:ascii="Arial" w:hAnsi="Arial" w:cs="Arial"/>
        </w:rPr>
        <w:t>.</w:t>
      </w:r>
    </w:p>
    <w:p w14:paraId="6FE60FF0" w14:textId="303DCD0E" w:rsidR="008F15E2" w:rsidRPr="00ED3776" w:rsidRDefault="008F15E2" w:rsidP="008F15E2">
      <w:pPr>
        <w:pStyle w:val="Body"/>
        <w:spacing w:after="0"/>
        <w:rPr>
          <w:rFonts w:ascii="Arial" w:hAnsi="Arial" w:cs="Arial"/>
          <w:b/>
          <w:bCs/>
        </w:rPr>
      </w:pPr>
      <w:r w:rsidRPr="00ED3776">
        <w:rPr>
          <w:rFonts w:ascii="Arial" w:hAnsi="Arial" w:cs="Arial"/>
          <w:b/>
          <w:bCs/>
        </w:rPr>
        <w:t xml:space="preserve">Table </w:t>
      </w:r>
      <w:r w:rsidR="001D497E">
        <w:rPr>
          <w:rFonts w:ascii="Arial" w:hAnsi="Arial" w:cs="Arial"/>
          <w:b/>
          <w:bCs/>
        </w:rPr>
        <w:t>7</w:t>
      </w:r>
      <w:r w:rsidRPr="00ED3776">
        <w:rPr>
          <w:rFonts w:ascii="Arial" w:hAnsi="Arial" w:cs="Arial"/>
          <w:b/>
          <w:bCs/>
        </w:rPr>
        <w:t xml:space="preserve">. Post hoc analysis of hair </w:t>
      </w:r>
      <w:r>
        <w:rPr>
          <w:rFonts w:ascii="Arial" w:hAnsi="Arial" w:cs="Arial"/>
          <w:b/>
          <w:bCs/>
        </w:rPr>
        <w:t>length</w:t>
      </w:r>
    </w:p>
    <w:p w14:paraId="67FE661E" w14:textId="77777777" w:rsidR="008F15E2" w:rsidRDefault="008F15E2" w:rsidP="008F15E2">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1449"/>
        <w:gridCol w:w="974"/>
        <w:gridCol w:w="1368"/>
        <w:gridCol w:w="974"/>
      </w:tblGrid>
      <w:tr w:rsidR="008F15E2" w:rsidRPr="002D649F" w14:paraId="4F2012B6" w14:textId="77777777" w:rsidTr="001C4F86">
        <w:tc>
          <w:tcPr>
            <w:tcW w:w="1888" w:type="dxa"/>
            <w:vMerge w:val="restart"/>
            <w:tcBorders>
              <w:top w:val="single" w:sz="4" w:space="0" w:color="auto"/>
            </w:tcBorders>
            <w:vAlign w:val="center"/>
          </w:tcPr>
          <w:p w14:paraId="25A07786" w14:textId="77777777" w:rsidR="008F15E2" w:rsidRPr="002D649F" w:rsidRDefault="008F15E2" w:rsidP="001C4F86">
            <w:pPr>
              <w:jc w:val="center"/>
              <w:rPr>
                <w:rFonts w:ascii="Arial" w:hAnsi="Arial" w:cs="Arial"/>
                <w:b/>
                <w:bCs/>
                <w:sz w:val="20"/>
                <w:szCs w:val="20"/>
              </w:rPr>
            </w:pPr>
            <w:r w:rsidRPr="002D649F">
              <w:rPr>
                <w:rFonts w:ascii="Arial" w:hAnsi="Arial" w:cs="Arial"/>
                <w:b/>
                <w:bCs/>
                <w:sz w:val="20"/>
                <w:szCs w:val="20"/>
              </w:rPr>
              <w:t>Time/Group Pairs</w:t>
            </w:r>
          </w:p>
        </w:tc>
        <w:tc>
          <w:tcPr>
            <w:tcW w:w="2423" w:type="dxa"/>
            <w:gridSpan w:val="2"/>
            <w:tcBorders>
              <w:top w:val="single" w:sz="4" w:space="0" w:color="auto"/>
              <w:bottom w:val="single" w:sz="4" w:space="0" w:color="auto"/>
            </w:tcBorders>
            <w:vAlign w:val="center"/>
          </w:tcPr>
          <w:p w14:paraId="1816155E" w14:textId="77777777" w:rsidR="008F15E2" w:rsidRPr="002D649F" w:rsidRDefault="008F15E2" w:rsidP="001C4F86">
            <w:pPr>
              <w:jc w:val="center"/>
              <w:rPr>
                <w:rFonts w:ascii="Arial" w:hAnsi="Arial" w:cs="Arial"/>
                <w:b/>
                <w:bCs/>
                <w:sz w:val="20"/>
                <w:szCs w:val="20"/>
              </w:rPr>
            </w:pPr>
            <w:r w:rsidRPr="002D649F">
              <w:rPr>
                <w:rFonts w:ascii="Arial" w:hAnsi="Arial" w:cs="Arial"/>
                <w:b/>
                <w:bCs/>
                <w:sz w:val="20"/>
                <w:szCs w:val="20"/>
              </w:rPr>
              <w:t xml:space="preserve">Hair </w:t>
            </w:r>
            <w:r>
              <w:rPr>
                <w:rFonts w:ascii="Arial" w:hAnsi="Arial" w:cs="Arial"/>
                <w:b/>
                <w:bCs/>
                <w:sz w:val="20"/>
                <w:szCs w:val="20"/>
              </w:rPr>
              <w:t>length</w:t>
            </w:r>
            <w:r w:rsidRPr="002D649F">
              <w:rPr>
                <w:rFonts w:ascii="Arial" w:hAnsi="Arial" w:cs="Arial"/>
                <w:b/>
                <w:bCs/>
                <w:sz w:val="20"/>
                <w:szCs w:val="20"/>
              </w:rPr>
              <w:t xml:space="preserve"> 2 cm from midline</w:t>
            </w:r>
          </w:p>
        </w:tc>
        <w:tc>
          <w:tcPr>
            <w:tcW w:w="2342" w:type="dxa"/>
            <w:gridSpan w:val="2"/>
            <w:tcBorders>
              <w:top w:val="single" w:sz="4" w:space="0" w:color="auto"/>
              <w:bottom w:val="single" w:sz="4" w:space="0" w:color="auto"/>
            </w:tcBorders>
            <w:vAlign w:val="center"/>
          </w:tcPr>
          <w:p w14:paraId="223E67C7" w14:textId="77777777" w:rsidR="008F15E2" w:rsidRPr="002D649F" w:rsidRDefault="008F15E2" w:rsidP="001C4F86">
            <w:pPr>
              <w:jc w:val="center"/>
              <w:rPr>
                <w:rFonts w:ascii="Arial" w:hAnsi="Arial" w:cs="Arial"/>
                <w:b/>
                <w:bCs/>
                <w:sz w:val="20"/>
                <w:szCs w:val="20"/>
              </w:rPr>
            </w:pPr>
            <w:r w:rsidRPr="002D649F">
              <w:rPr>
                <w:rFonts w:ascii="Arial" w:hAnsi="Arial" w:cs="Arial"/>
                <w:b/>
                <w:bCs/>
                <w:sz w:val="20"/>
                <w:szCs w:val="20"/>
              </w:rPr>
              <w:t xml:space="preserve">Hair </w:t>
            </w:r>
            <w:r>
              <w:rPr>
                <w:rFonts w:ascii="Arial" w:hAnsi="Arial" w:cs="Arial"/>
                <w:b/>
                <w:bCs/>
                <w:sz w:val="20"/>
                <w:szCs w:val="20"/>
              </w:rPr>
              <w:t>length</w:t>
            </w:r>
            <w:r w:rsidRPr="002D649F">
              <w:rPr>
                <w:rFonts w:ascii="Arial" w:hAnsi="Arial" w:cs="Arial"/>
                <w:b/>
                <w:bCs/>
                <w:sz w:val="20"/>
                <w:szCs w:val="20"/>
              </w:rPr>
              <w:t xml:space="preserve"> 4 cm from midline</w:t>
            </w:r>
          </w:p>
        </w:tc>
      </w:tr>
      <w:tr w:rsidR="008F15E2" w:rsidRPr="002D649F" w14:paraId="37A2A174" w14:textId="77777777" w:rsidTr="001C4F86">
        <w:tc>
          <w:tcPr>
            <w:tcW w:w="1888" w:type="dxa"/>
            <w:vMerge/>
            <w:tcBorders>
              <w:bottom w:val="single" w:sz="4" w:space="0" w:color="auto"/>
            </w:tcBorders>
            <w:vAlign w:val="center"/>
          </w:tcPr>
          <w:p w14:paraId="1C7AACA8" w14:textId="77777777" w:rsidR="008F15E2" w:rsidRPr="002D649F" w:rsidRDefault="008F15E2" w:rsidP="001C4F86">
            <w:pPr>
              <w:jc w:val="center"/>
              <w:rPr>
                <w:rFonts w:ascii="Arial" w:hAnsi="Arial" w:cs="Arial"/>
                <w:b/>
                <w:bCs/>
                <w:sz w:val="20"/>
                <w:szCs w:val="20"/>
              </w:rPr>
            </w:pPr>
          </w:p>
        </w:tc>
        <w:tc>
          <w:tcPr>
            <w:tcW w:w="1449" w:type="dxa"/>
            <w:tcBorders>
              <w:top w:val="single" w:sz="4" w:space="0" w:color="auto"/>
              <w:bottom w:val="single" w:sz="4" w:space="0" w:color="auto"/>
            </w:tcBorders>
          </w:tcPr>
          <w:p w14:paraId="293E6906" w14:textId="77777777" w:rsidR="008F15E2" w:rsidRPr="002D649F" w:rsidRDefault="008F15E2" w:rsidP="001C4F86">
            <w:pPr>
              <w:jc w:val="center"/>
              <w:rPr>
                <w:rFonts w:ascii="Arial" w:hAnsi="Arial" w:cs="Arial"/>
                <w:b/>
                <w:bCs/>
                <w:sz w:val="20"/>
                <w:szCs w:val="20"/>
              </w:rPr>
            </w:pPr>
            <w:r w:rsidRPr="002D649F">
              <w:rPr>
                <w:rFonts w:ascii="Arial" w:hAnsi="Arial" w:cs="Arial"/>
                <w:b/>
                <w:bCs/>
                <w:sz w:val="20"/>
                <w:szCs w:val="20"/>
              </w:rPr>
              <w:t>Mean differences</w:t>
            </w:r>
          </w:p>
        </w:tc>
        <w:tc>
          <w:tcPr>
            <w:tcW w:w="974" w:type="dxa"/>
            <w:tcBorders>
              <w:top w:val="single" w:sz="4" w:space="0" w:color="auto"/>
              <w:bottom w:val="single" w:sz="4" w:space="0" w:color="auto"/>
            </w:tcBorders>
          </w:tcPr>
          <w:p w14:paraId="5A4FC34D" w14:textId="77777777" w:rsidR="008F15E2" w:rsidRPr="002D649F" w:rsidRDefault="008F15E2" w:rsidP="001C4F86">
            <w:pPr>
              <w:jc w:val="center"/>
              <w:rPr>
                <w:rFonts w:ascii="Arial" w:hAnsi="Arial" w:cs="Arial"/>
                <w:b/>
                <w:bCs/>
                <w:sz w:val="20"/>
                <w:szCs w:val="20"/>
              </w:rPr>
            </w:pPr>
            <w:r w:rsidRPr="002D649F">
              <w:rPr>
                <w:rFonts w:ascii="Arial" w:hAnsi="Arial" w:cs="Arial"/>
                <w:b/>
                <w:bCs/>
                <w:sz w:val="20"/>
                <w:szCs w:val="20"/>
              </w:rPr>
              <w:t>Sig. (P)</w:t>
            </w:r>
          </w:p>
        </w:tc>
        <w:tc>
          <w:tcPr>
            <w:tcW w:w="1368" w:type="dxa"/>
            <w:tcBorders>
              <w:top w:val="single" w:sz="4" w:space="0" w:color="auto"/>
              <w:bottom w:val="single" w:sz="4" w:space="0" w:color="auto"/>
            </w:tcBorders>
          </w:tcPr>
          <w:p w14:paraId="41043CAF" w14:textId="77777777" w:rsidR="008F15E2" w:rsidRPr="002D649F" w:rsidRDefault="008F15E2" w:rsidP="001C4F86">
            <w:pPr>
              <w:jc w:val="center"/>
              <w:rPr>
                <w:rFonts w:ascii="Arial" w:hAnsi="Arial" w:cs="Arial"/>
                <w:b/>
                <w:bCs/>
                <w:sz w:val="20"/>
                <w:szCs w:val="20"/>
              </w:rPr>
            </w:pPr>
            <w:r w:rsidRPr="002D649F">
              <w:rPr>
                <w:rFonts w:ascii="Arial" w:hAnsi="Arial" w:cs="Arial"/>
                <w:b/>
                <w:bCs/>
                <w:sz w:val="20"/>
                <w:szCs w:val="20"/>
              </w:rPr>
              <w:t>Mean differences</w:t>
            </w:r>
          </w:p>
        </w:tc>
        <w:tc>
          <w:tcPr>
            <w:tcW w:w="974" w:type="dxa"/>
            <w:tcBorders>
              <w:top w:val="single" w:sz="4" w:space="0" w:color="auto"/>
              <w:bottom w:val="single" w:sz="4" w:space="0" w:color="auto"/>
            </w:tcBorders>
          </w:tcPr>
          <w:p w14:paraId="5A98EC00" w14:textId="77777777" w:rsidR="008F15E2" w:rsidRPr="002D649F" w:rsidRDefault="008F15E2" w:rsidP="001C4F86">
            <w:pPr>
              <w:jc w:val="center"/>
              <w:rPr>
                <w:rFonts w:ascii="Arial" w:hAnsi="Arial" w:cs="Arial"/>
                <w:b/>
                <w:bCs/>
                <w:sz w:val="20"/>
                <w:szCs w:val="20"/>
              </w:rPr>
            </w:pPr>
            <w:r w:rsidRPr="002D649F">
              <w:rPr>
                <w:rFonts w:ascii="Arial" w:hAnsi="Arial" w:cs="Arial"/>
                <w:b/>
                <w:bCs/>
                <w:sz w:val="20"/>
                <w:szCs w:val="20"/>
              </w:rPr>
              <w:t>Sig. (P)</w:t>
            </w:r>
          </w:p>
        </w:tc>
      </w:tr>
      <w:tr w:rsidR="008F15E2" w:rsidRPr="002D649F" w14:paraId="66B5B22E" w14:textId="77777777" w:rsidTr="001C4F86">
        <w:tc>
          <w:tcPr>
            <w:tcW w:w="1888" w:type="dxa"/>
            <w:tcBorders>
              <w:top w:val="single" w:sz="4" w:space="0" w:color="auto"/>
            </w:tcBorders>
            <w:vAlign w:val="center"/>
          </w:tcPr>
          <w:p w14:paraId="7518B6BB" w14:textId="77777777" w:rsidR="008F15E2" w:rsidRPr="002D649F" w:rsidRDefault="008F15E2" w:rsidP="001C4F86">
            <w:pPr>
              <w:jc w:val="both"/>
              <w:rPr>
                <w:rFonts w:ascii="Arial" w:hAnsi="Arial" w:cs="Arial"/>
                <w:sz w:val="20"/>
                <w:szCs w:val="20"/>
              </w:rPr>
            </w:pPr>
            <w:r w:rsidRPr="002D649F">
              <w:rPr>
                <w:rFonts w:ascii="Arial" w:hAnsi="Arial" w:cs="Arial"/>
                <w:color w:val="000000"/>
                <w:sz w:val="20"/>
                <w:szCs w:val="20"/>
              </w:rPr>
              <w:t>Day 0 – Week 4</w:t>
            </w:r>
          </w:p>
        </w:tc>
        <w:tc>
          <w:tcPr>
            <w:tcW w:w="1449" w:type="dxa"/>
            <w:tcBorders>
              <w:top w:val="single" w:sz="4" w:space="0" w:color="auto"/>
            </w:tcBorders>
            <w:vAlign w:val="center"/>
          </w:tcPr>
          <w:p w14:paraId="50270ABC" w14:textId="4559758D" w:rsidR="008F15E2" w:rsidRPr="002D649F" w:rsidRDefault="008F15E2" w:rsidP="001C4F86">
            <w:pPr>
              <w:jc w:val="both"/>
              <w:rPr>
                <w:rFonts w:ascii="Arial" w:hAnsi="Arial" w:cs="Arial"/>
                <w:sz w:val="20"/>
                <w:szCs w:val="20"/>
              </w:rPr>
            </w:pPr>
            <w:r w:rsidRPr="002D649F">
              <w:rPr>
                <w:rFonts w:ascii="Arial" w:hAnsi="Arial" w:cs="Arial"/>
                <w:sz w:val="20"/>
                <w:szCs w:val="20"/>
              </w:rPr>
              <w:t>11</w:t>
            </w:r>
            <w:r w:rsidR="00721185">
              <w:rPr>
                <w:rFonts w:ascii="Arial" w:hAnsi="Arial" w:cs="Arial"/>
                <w:sz w:val="20"/>
                <w:szCs w:val="20"/>
              </w:rPr>
              <w:t>.</w:t>
            </w:r>
            <w:r w:rsidRPr="002D649F">
              <w:rPr>
                <w:rFonts w:ascii="Arial" w:hAnsi="Arial" w:cs="Arial"/>
                <w:sz w:val="20"/>
                <w:szCs w:val="20"/>
              </w:rPr>
              <w:t>186</w:t>
            </w:r>
          </w:p>
        </w:tc>
        <w:tc>
          <w:tcPr>
            <w:tcW w:w="974" w:type="dxa"/>
            <w:tcBorders>
              <w:top w:val="single" w:sz="4" w:space="0" w:color="auto"/>
            </w:tcBorders>
            <w:vAlign w:val="center"/>
          </w:tcPr>
          <w:p w14:paraId="04D3B03B" w14:textId="383EE77E" w:rsidR="008F15E2" w:rsidRPr="002D649F" w:rsidRDefault="008F15E2" w:rsidP="001C4F86">
            <w:pPr>
              <w:jc w:val="both"/>
              <w:rPr>
                <w:rFonts w:ascii="Arial" w:hAnsi="Arial" w:cs="Arial"/>
                <w:sz w:val="20"/>
                <w:szCs w:val="20"/>
              </w:rPr>
            </w:pPr>
            <w:r w:rsidRPr="002D649F">
              <w:rPr>
                <w:rFonts w:ascii="Arial" w:hAnsi="Arial" w:cs="Arial"/>
                <w:color w:val="000000"/>
                <w:sz w:val="20"/>
                <w:szCs w:val="20"/>
                <w:u w:val="single"/>
              </w:rPr>
              <w:t>&lt;</w:t>
            </w:r>
            <w:r w:rsidRPr="002D649F">
              <w:rPr>
                <w:rFonts w:ascii="Arial" w:hAnsi="Arial" w:cs="Arial"/>
                <w:color w:val="000000"/>
                <w:sz w:val="20"/>
                <w:szCs w:val="20"/>
              </w:rPr>
              <w:t xml:space="preserve"> 0</w:t>
            </w:r>
            <w:r w:rsidR="00721185">
              <w:rPr>
                <w:rFonts w:ascii="Arial" w:hAnsi="Arial" w:cs="Arial"/>
                <w:color w:val="000000"/>
                <w:sz w:val="20"/>
                <w:szCs w:val="20"/>
              </w:rPr>
              <w:t>.</w:t>
            </w:r>
            <w:r w:rsidRPr="002D649F">
              <w:rPr>
                <w:rFonts w:ascii="Arial" w:hAnsi="Arial" w:cs="Arial"/>
                <w:color w:val="000000"/>
                <w:sz w:val="20"/>
                <w:szCs w:val="20"/>
              </w:rPr>
              <w:t>001</w:t>
            </w:r>
          </w:p>
        </w:tc>
        <w:tc>
          <w:tcPr>
            <w:tcW w:w="1368" w:type="dxa"/>
            <w:tcBorders>
              <w:top w:val="single" w:sz="4" w:space="0" w:color="auto"/>
            </w:tcBorders>
            <w:vAlign w:val="center"/>
          </w:tcPr>
          <w:p w14:paraId="481C8A6B" w14:textId="35E84201" w:rsidR="008F15E2" w:rsidRPr="002D649F" w:rsidRDefault="008F15E2" w:rsidP="001C4F86">
            <w:pPr>
              <w:jc w:val="both"/>
              <w:rPr>
                <w:rFonts w:ascii="Arial" w:hAnsi="Arial" w:cs="Arial"/>
                <w:color w:val="000000"/>
                <w:sz w:val="20"/>
                <w:szCs w:val="20"/>
                <w:u w:val="single"/>
              </w:rPr>
            </w:pPr>
            <w:r w:rsidRPr="002D649F">
              <w:rPr>
                <w:rFonts w:ascii="Arial" w:hAnsi="Arial" w:cs="Arial"/>
                <w:sz w:val="20"/>
                <w:szCs w:val="20"/>
              </w:rPr>
              <w:t>10</w:t>
            </w:r>
            <w:r w:rsidR="00721185">
              <w:rPr>
                <w:rFonts w:ascii="Arial" w:hAnsi="Arial" w:cs="Arial"/>
                <w:sz w:val="20"/>
                <w:szCs w:val="20"/>
              </w:rPr>
              <w:t>.</w:t>
            </w:r>
            <w:r w:rsidRPr="002D649F">
              <w:rPr>
                <w:rFonts w:ascii="Arial" w:hAnsi="Arial" w:cs="Arial"/>
                <w:sz w:val="20"/>
                <w:szCs w:val="20"/>
              </w:rPr>
              <w:t>797</w:t>
            </w:r>
          </w:p>
        </w:tc>
        <w:tc>
          <w:tcPr>
            <w:tcW w:w="974" w:type="dxa"/>
            <w:tcBorders>
              <w:top w:val="single" w:sz="4" w:space="0" w:color="auto"/>
            </w:tcBorders>
            <w:vAlign w:val="center"/>
          </w:tcPr>
          <w:p w14:paraId="09F7138D" w14:textId="311D7A1F" w:rsidR="008F15E2" w:rsidRPr="002D649F" w:rsidRDefault="008F15E2" w:rsidP="001C4F86">
            <w:pPr>
              <w:jc w:val="both"/>
              <w:rPr>
                <w:rFonts w:ascii="Arial" w:hAnsi="Arial" w:cs="Arial"/>
                <w:color w:val="000000"/>
                <w:sz w:val="20"/>
                <w:szCs w:val="20"/>
                <w:u w:val="single"/>
              </w:rPr>
            </w:pPr>
            <w:r w:rsidRPr="002D649F">
              <w:rPr>
                <w:rFonts w:ascii="Arial" w:hAnsi="Arial" w:cs="Arial"/>
                <w:color w:val="000000"/>
                <w:sz w:val="20"/>
                <w:szCs w:val="20"/>
                <w:u w:val="single"/>
              </w:rPr>
              <w:t>&lt;</w:t>
            </w:r>
            <w:r w:rsidRPr="002D649F">
              <w:rPr>
                <w:rFonts w:ascii="Arial" w:hAnsi="Arial" w:cs="Arial"/>
                <w:color w:val="000000"/>
                <w:sz w:val="20"/>
                <w:szCs w:val="20"/>
              </w:rPr>
              <w:t xml:space="preserve"> 0</w:t>
            </w:r>
            <w:r w:rsidR="00721185">
              <w:rPr>
                <w:rFonts w:ascii="Arial" w:hAnsi="Arial" w:cs="Arial"/>
                <w:color w:val="000000"/>
                <w:sz w:val="20"/>
                <w:szCs w:val="20"/>
              </w:rPr>
              <w:t>.</w:t>
            </w:r>
            <w:r w:rsidRPr="002D649F">
              <w:rPr>
                <w:rFonts w:ascii="Arial" w:hAnsi="Arial" w:cs="Arial"/>
                <w:color w:val="000000"/>
                <w:sz w:val="20"/>
                <w:szCs w:val="20"/>
              </w:rPr>
              <w:t>001</w:t>
            </w:r>
          </w:p>
        </w:tc>
      </w:tr>
      <w:tr w:rsidR="008F15E2" w:rsidRPr="002D649F" w14:paraId="630DE300" w14:textId="77777777" w:rsidTr="001C4F86">
        <w:tc>
          <w:tcPr>
            <w:tcW w:w="1888" w:type="dxa"/>
            <w:vAlign w:val="center"/>
          </w:tcPr>
          <w:p w14:paraId="6381841F" w14:textId="77777777" w:rsidR="008F15E2" w:rsidRPr="002D649F" w:rsidRDefault="008F15E2" w:rsidP="001C4F86">
            <w:pPr>
              <w:jc w:val="both"/>
              <w:rPr>
                <w:rFonts w:ascii="Arial" w:hAnsi="Arial" w:cs="Arial"/>
                <w:sz w:val="20"/>
                <w:szCs w:val="20"/>
              </w:rPr>
            </w:pPr>
            <w:r w:rsidRPr="002D649F">
              <w:rPr>
                <w:rFonts w:ascii="Arial" w:hAnsi="Arial" w:cs="Arial"/>
                <w:color w:val="000000"/>
                <w:sz w:val="20"/>
                <w:szCs w:val="20"/>
              </w:rPr>
              <w:t>Day 0 – Week 12</w:t>
            </w:r>
          </w:p>
        </w:tc>
        <w:tc>
          <w:tcPr>
            <w:tcW w:w="1449" w:type="dxa"/>
            <w:vAlign w:val="center"/>
          </w:tcPr>
          <w:p w14:paraId="7AB68B4D" w14:textId="48B7E0F8" w:rsidR="008F15E2" w:rsidRPr="002D649F" w:rsidRDefault="008F15E2" w:rsidP="001C4F86">
            <w:pPr>
              <w:jc w:val="both"/>
              <w:rPr>
                <w:rFonts w:ascii="Arial" w:hAnsi="Arial" w:cs="Arial"/>
                <w:sz w:val="20"/>
                <w:szCs w:val="20"/>
              </w:rPr>
            </w:pPr>
            <w:r w:rsidRPr="002D649F">
              <w:rPr>
                <w:rFonts w:ascii="Arial" w:hAnsi="Arial" w:cs="Arial"/>
                <w:sz w:val="20"/>
                <w:szCs w:val="20"/>
              </w:rPr>
              <w:t>33</w:t>
            </w:r>
            <w:r w:rsidR="00721185">
              <w:rPr>
                <w:rFonts w:ascii="Arial" w:hAnsi="Arial" w:cs="Arial"/>
                <w:sz w:val="20"/>
                <w:szCs w:val="20"/>
              </w:rPr>
              <w:t>.</w:t>
            </w:r>
            <w:r w:rsidRPr="002D649F">
              <w:rPr>
                <w:rFonts w:ascii="Arial" w:hAnsi="Arial" w:cs="Arial"/>
                <w:sz w:val="20"/>
                <w:szCs w:val="20"/>
              </w:rPr>
              <w:t>614</w:t>
            </w:r>
          </w:p>
        </w:tc>
        <w:tc>
          <w:tcPr>
            <w:tcW w:w="974" w:type="dxa"/>
            <w:vAlign w:val="center"/>
          </w:tcPr>
          <w:p w14:paraId="480AF458" w14:textId="1C256030" w:rsidR="008F15E2" w:rsidRPr="002D649F" w:rsidRDefault="008F15E2" w:rsidP="001C4F86">
            <w:pPr>
              <w:jc w:val="both"/>
              <w:rPr>
                <w:rFonts w:ascii="Arial" w:hAnsi="Arial" w:cs="Arial"/>
                <w:sz w:val="20"/>
                <w:szCs w:val="20"/>
              </w:rPr>
            </w:pPr>
            <w:r w:rsidRPr="002D649F">
              <w:rPr>
                <w:rFonts w:ascii="Arial" w:hAnsi="Arial" w:cs="Arial"/>
                <w:color w:val="000000"/>
                <w:sz w:val="20"/>
                <w:szCs w:val="20"/>
                <w:u w:val="single"/>
              </w:rPr>
              <w:t>&lt;</w:t>
            </w:r>
            <w:r w:rsidRPr="002D649F">
              <w:rPr>
                <w:rFonts w:ascii="Arial" w:hAnsi="Arial" w:cs="Arial"/>
                <w:color w:val="000000"/>
                <w:sz w:val="20"/>
                <w:szCs w:val="20"/>
              </w:rPr>
              <w:t xml:space="preserve"> 0</w:t>
            </w:r>
            <w:r w:rsidR="00721185">
              <w:rPr>
                <w:rFonts w:ascii="Arial" w:hAnsi="Arial" w:cs="Arial"/>
                <w:color w:val="000000"/>
                <w:sz w:val="20"/>
                <w:szCs w:val="20"/>
              </w:rPr>
              <w:t>.</w:t>
            </w:r>
            <w:r w:rsidRPr="002D649F">
              <w:rPr>
                <w:rFonts w:ascii="Arial" w:hAnsi="Arial" w:cs="Arial"/>
                <w:color w:val="000000"/>
                <w:sz w:val="20"/>
                <w:szCs w:val="20"/>
              </w:rPr>
              <w:t>001</w:t>
            </w:r>
          </w:p>
        </w:tc>
        <w:tc>
          <w:tcPr>
            <w:tcW w:w="1368" w:type="dxa"/>
            <w:vAlign w:val="center"/>
          </w:tcPr>
          <w:p w14:paraId="674CB90C" w14:textId="6761E8DF" w:rsidR="008F15E2" w:rsidRPr="002D649F" w:rsidRDefault="008F15E2" w:rsidP="001C4F86">
            <w:pPr>
              <w:jc w:val="both"/>
              <w:rPr>
                <w:rFonts w:ascii="Arial" w:hAnsi="Arial" w:cs="Arial"/>
                <w:color w:val="000000"/>
                <w:sz w:val="20"/>
                <w:szCs w:val="20"/>
                <w:u w:val="single"/>
              </w:rPr>
            </w:pPr>
            <w:r w:rsidRPr="002D649F">
              <w:rPr>
                <w:rFonts w:ascii="Arial" w:hAnsi="Arial" w:cs="Arial"/>
                <w:sz w:val="20"/>
                <w:szCs w:val="20"/>
              </w:rPr>
              <w:t>33</w:t>
            </w:r>
            <w:r w:rsidR="00721185">
              <w:rPr>
                <w:rFonts w:ascii="Arial" w:hAnsi="Arial" w:cs="Arial"/>
                <w:sz w:val="20"/>
                <w:szCs w:val="20"/>
              </w:rPr>
              <w:t>.</w:t>
            </w:r>
            <w:r w:rsidRPr="002D649F">
              <w:rPr>
                <w:rFonts w:ascii="Arial" w:hAnsi="Arial" w:cs="Arial"/>
                <w:sz w:val="20"/>
                <w:szCs w:val="20"/>
              </w:rPr>
              <w:t>229</w:t>
            </w:r>
          </w:p>
        </w:tc>
        <w:tc>
          <w:tcPr>
            <w:tcW w:w="974" w:type="dxa"/>
            <w:vAlign w:val="center"/>
          </w:tcPr>
          <w:p w14:paraId="0563DC7A" w14:textId="61F2AA53" w:rsidR="008F15E2" w:rsidRPr="002D649F" w:rsidRDefault="008F15E2" w:rsidP="001C4F86">
            <w:pPr>
              <w:jc w:val="both"/>
              <w:rPr>
                <w:rFonts w:ascii="Arial" w:hAnsi="Arial" w:cs="Arial"/>
                <w:color w:val="000000"/>
                <w:sz w:val="20"/>
                <w:szCs w:val="20"/>
                <w:u w:val="single"/>
              </w:rPr>
            </w:pPr>
            <w:r w:rsidRPr="002D649F">
              <w:rPr>
                <w:rFonts w:ascii="Arial" w:hAnsi="Arial" w:cs="Arial"/>
                <w:color w:val="000000"/>
                <w:sz w:val="20"/>
                <w:szCs w:val="20"/>
                <w:u w:val="single"/>
              </w:rPr>
              <w:t>&lt;</w:t>
            </w:r>
            <w:r w:rsidRPr="002D649F">
              <w:rPr>
                <w:rFonts w:ascii="Arial" w:hAnsi="Arial" w:cs="Arial"/>
                <w:color w:val="000000"/>
                <w:sz w:val="20"/>
                <w:szCs w:val="20"/>
              </w:rPr>
              <w:t xml:space="preserve"> 0</w:t>
            </w:r>
            <w:r w:rsidR="00721185">
              <w:rPr>
                <w:rFonts w:ascii="Arial" w:hAnsi="Arial" w:cs="Arial"/>
                <w:color w:val="000000"/>
                <w:sz w:val="20"/>
                <w:szCs w:val="20"/>
              </w:rPr>
              <w:t>.</w:t>
            </w:r>
            <w:r w:rsidRPr="002D649F">
              <w:rPr>
                <w:rFonts w:ascii="Arial" w:hAnsi="Arial" w:cs="Arial"/>
                <w:color w:val="000000"/>
                <w:sz w:val="20"/>
                <w:szCs w:val="20"/>
              </w:rPr>
              <w:t>001</w:t>
            </w:r>
          </w:p>
        </w:tc>
      </w:tr>
      <w:tr w:rsidR="008F15E2" w:rsidRPr="002D649F" w14:paraId="5C53413A" w14:textId="77777777" w:rsidTr="001C4F86">
        <w:tc>
          <w:tcPr>
            <w:tcW w:w="1888" w:type="dxa"/>
            <w:vAlign w:val="center"/>
          </w:tcPr>
          <w:p w14:paraId="26CA570F" w14:textId="77777777" w:rsidR="008F15E2" w:rsidRPr="002D649F" w:rsidRDefault="008F15E2" w:rsidP="001C4F86">
            <w:pPr>
              <w:jc w:val="both"/>
              <w:rPr>
                <w:rFonts w:ascii="Arial" w:hAnsi="Arial" w:cs="Arial"/>
                <w:sz w:val="20"/>
                <w:szCs w:val="20"/>
              </w:rPr>
            </w:pPr>
            <w:r w:rsidRPr="002D649F">
              <w:rPr>
                <w:rFonts w:ascii="Arial" w:hAnsi="Arial" w:cs="Arial"/>
                <w:color w:val="000000"/>
                <w:sz w:val="20"/>
                <w:szCs w:val="20"/>
              </w:rPr>
              <w:t>Day 0 – Week 16</w:t>
            </w:r>
          </w:p>
        </w:tc>
        <w:tc>
          <w:tcPr>
            <w:tcW w:w="1449" w:type="dxa"/>
            <w:vAlign w:val="center"/>
          </w:tcPr>
          <w:p w14:paraId="3B7AAF0B" w14:textId="644FB9AE" w:rsidR="008F15E2" w:rsidRPr="002D649F" w:rsidRDefault="008F15E2" w:rsidP="001C4F86">
            <w:pPr>
              <w:jc w:val="both"/>
              <w:rPr>
                <w:rFonts w:ascii="Arial" w:hAnsi="Arial" w:cs="Arial"/>
                <w:sz w:val="20"/>
                <w:szCs w:val="20"/>
              </w:rPr>
            </w:pPr>
            <w:r w:rsidRPr="002D649F">
              <w:rPr>
                <w:rFonts w:ascii="Arial" w:hAnsi="Arial" w:cs="Arial"/>
                <w:sz w:val="20"/>
                <w:szCs w:val="20"/>
              </w:rPr>
              <w:t>44</w:t>
            </w:r>
            <w:r w:rsidR="00721185">
              <w:rPr>
                <w:rFonts w:ascii="Arial" w:hAnsi="Arial" w:cs="Arial"/>
                <w:sz w:val="20"/>
                <w:szCs w:val="20"/>
              </w:rPr>
              <w:t>.</w:t>
            </w:r>
            <w:r w:rsidRPr="002D649F">
              <w:rPr>
                <w:rFonts w:ascii="Arial" w:hAnsi="Arial" w:cs="Arial"/>
                <w:sz w:val="20"/>
                <w:szCs w:val="20"/>
              </w:rPr>
              <w:t>850</w:t>
            </w:r>
          </w:p>
        </w:tc>
        <w:tc>
          <w:tcPr>
            <w:tcW w:w="974" w:type="dxa"/>
            <w:vAlign w:val="center"/>
          </w:tcPr>
          <w:p w14:paraId="6C9A159B" w14:textId="37576CB9" w:rsidR="008F15E2" w:rsidRPr="002D649F" w:rsidRDefault="008F15E2" w:rsidP="001C4F86">
            <w:pPr>
              <w:jc w:val="both"/>
              <w:rPr>
                <w:rFonts w:ascii="Arial" w:hAnsi="Arial" w:cs="Arial"/>
                <w:sz w:val="20"/>
                <w:szCs w:val="20"/>
              </w:rPr>
            </w:pPr>
            <w:r w:rsidRPr="002D649F">
              <w:rPr>
                <w:rFonts w:ascii="Arial" w:hAnsi="Arial" w:cs="Arial"/>
                <w:color w:val="000000"/>
                <w:sz w:val="20"/>
                <w:szCs w:val="20"/>
                <w:u w:val="single"/>
              </w:rPr>
              <w:t>&lt;</w:t>
            </w:r>
            <w:r w:rsidRPr="002D649F">
              <w:rPr>
                <w:rFonts w:ascii="Arial" w:hAnsi="Arial" w:cs="Arial"/>
                <w:color w:val="000000"/>
                <w:sz w:val="20"/>
                <w:szCs w:val="20"/>
              </w:rPr>
              <w:t xml:space="preserve"> 0</w:t>
            </w:r>
            <w:r w:rsidR="00721185">
              <w:rPr>
                <w:rFonts w:ascii="Arial" w:hAnsi="Arial" w:cs="Arial"/>
                <w:color w:val="000000"/>
                <w:sz w:val="20"/>
                <w:szCs w:val="20"/>
              </w:rPr>
              <w:t>.</w:t>
            </w:r>
            <w:r w:rsidRPr="002D649F">
              <w:rPr>
                <w:rFonts w:ascii="Arial" w:hAnsi="Arial" w:cs="Arial"/>
                <w:color w:val="000000"/>
                <w:sz w:val="20"/>
                <w:szCs w:val="20"/>
              </w:rPr>
              <w:t>001</w:t>
            </w:r>
          </w:p>
        </w:tc>
        <w:tc>
          <w:tcPr>
            <w:tcW w:w="1368" w:type="dxa"/>
            <w:vAlign w:val="center"/>
          </w:tcPr>
          <w:p w14:paraId="6E3BC8A0" w14:textId="66BC8789" w:rsidR="008F15E2" w:rsidRPr="002D649F" w:rsidRDefault="008F15E2" w:rsidP="001C4F86">
            <w:pPr>
              <w:jc w:val="both"/>
              <w:rPr>
                <w:rFonts w:ascii="Arial" w:hAnsi="Arial" w:cs="Arial"/>
                <w:color w:val="000000"/>
                <w:sz w:val="20"/>
                <w:szCs w:val="20"/>
                <w:u w:val="single"/>
              </w:rPr>
            </w:pPr>
            <w:r w:rsidRPr="002D649F">
              <w:rPr>
                <w:rFonts w:ascii="Arial" w:hAnsi="Arial" w:cs="Arial"/>
                <w:sz w:val="20"/>
                <w:szCs w:val="20"/>
              </w:rPr>
              <w:t>44</w:t>
            </w:r>
            <w:r w:rsidR="00721185">
              <w:rPr>
                <w:rFonts w:ascii="Arial" w:hAnsi="Arial" w:cs="Arial"/>
                <w:sz w:val="20"/>
                <w:szCs w:val="20"/>
              </w:rPr>
              <w:t>.</w:t>
            </w:r>
            <w:r w:rsidRPr="002D649F">
              <w:rPr>
                <w:rFonts w:ascii="Arial" w:hAnsi="Arial" w:cs="Arial"/>
                <w:sz w:val="20"/>
                <w:szCs w:val="20"/>
              </w:rPr>
              <w:t>450</w:t>
            </w:r>
          </w:p>
        </w:tc>
        <w:tc>
          <w:tcPr>
            <w:tcW w:w="974" w:type="dxa"/>
            <w:vAlign w:val="center"/>
          </w:tcPr>
          <w:p w14:paraId="068CA2EE" w14:textId="1A169761" w:rsidR="008F15E2" w:rsidRPr="002D649F" w:rsidRDefault="008F15E2" w:rsidP="001C4F86">
            <w:pPr>
              <w:jc w:val="both"/>
              <w:rPr>
                <w:rFonts w:ascii="Arial" w:hAnsi="Arial" w:cs="Arial"/>
                <w:color w:val="000000"/>
                <w:sz w:val="20"/>
                <w:szCs w:val="20"/>
                <w:u w:val="single"/>
              </w:rPr>
            </w:pPr>
            <w:r w:rsidRPr="002D649F">
              <w:rPr>
                <w:rFonts w:ascii="Arial" w:hAnsi="Arial" w:cs="Arial"/>
                <w:color w:val="000000"/>
                <w:sz w:val="20"/>
                <w:szCs w:val="20"/>
                <w:u w:val="single"/>
              </w:rPr>
              <w:t>&lt;</w:t>
            </w:r>
            <w:r w:rsidRPr="002D649F">
              <w:rPr>
                <w:rFonts w:ascii="Arial" w:hAnsi="Arial" w:cs="Arial"/>
                <w:color w:val="000000"/>
                <w:sz w:val="20"/>
                <w:szCs w:val="20"/>
              </w:rPr>
              <w:t xml:space="preserve"> 0</w:t>
            </w:r>
            <w:r w:rsidR="00721185">
              <w:rPr>
                <w:rFonts w:ascii="Arial" w:hAnsi="Arial" w:cs="Arial"/>
                <w:color w:val="000000"/>
                <w:sz w:val="20"/>
                <w:szCs w:val="20"/>
              </w:rPr>
              <w:t>.</w:t>
            </w:r>
            <w:r w:rsidRPr="002D649F">
              <w:rPr>
                <w:rFonts w:ascii="Arial" w:hAnsi="Arial" w:cs="Arial"/>
                <w:color w:val="000000"/>
                <w:sz w:val="20"/>
                <w:szCs w:val="20"/>
              </w:rPr>
              <w:t>001</w:t>
            </w:r>
          </w:p>
        </w:tc>
      </w:tr>
      <w:tr w:rsidR="008F15E2" w:rsidRPr="002D649F" w14:paraId="5A5C100D" w14:textId="77777777" w:rsidTr="001C4F86">
        <w:tc>
          <w:tcPr>
            <w:tcW w:w="1888" w:type="dxa"/>
            <w:vAlign w:val="center"/>
          </w:tcPr>
          <w:p w14:paraId="00FA33D4" w14:textId="77777777" w:rsidR="008F15E2" w:rsidRPr="002D649F" w:rsidRDefault="008F15E2" w:rsidP="001C4F86">
            <w:pPr>
              <w:jc w:val="both"/>
              <w:rPr>
                <w:rFonts w:ascii="Arial" w:hAnsi="Arial" w:cs="Arial"/>
                <w:sz w:val="20"/>
                <w:szCs w:val="20"/>
              </w:rPr>
            </w:pPr>
            <w:r w:rsidRPr="002D649F">
              <w:rPr>
                <w:rFonts w:ascii="Arial" w:hAnsi="Arial" w:cs="Arial"/>
                <w:color w:val="000000"/>
                <w:sz w:val="20"/>
                <w:szCs w:val="20"/>
              </w:rPr>
              <w:t>Week 4 – Week 12</w:t>
            </w:r>
          </w:p>
        </w:tc>
        <w:tc>
          <w:tcPr>
            <w:tcW w:w="1449" w:type="dxa"/>
            <w:vAlign w:val="center"/>
          </w:tcPr>
          <w:p w14:paraId="19A2F2C2" w14:textId="67C9F926" w:rsidR="008F15E2" w:rsidRPr="002D649F" w:rsidRDefault="008F15E2" w:rsidP="001C4F86">
            <w:pPr>
              <w:jc w:val="both"/>
              <w:rPr>
                <w:rFonts w:ascii="Arial" w:hAnsi="Arial" w:cs="Arial"/>
                <w:sz w:val="20"/>
                <w:szCs w:val="20"/>
              </w:rPr>
            </w:pPr>
            <w:r w:rsidRPr="002D649F">
              <w:rPr>
                <w:rFonts w:ascii="Arial" w:hAnsi="Arial" w:cs="Arial"/>
                <w:sz w:val="20"/>
                <w:szCs w:val="20"/>
              </w:rPr>
              <w:t>22</w:t>
            </w:r>
            <w:r w:rsidR="00721185">
              <w:rPr>
                <w:rFonts w:ascii="Arial" w:hAnsi="Arial" w:cs="Arial"/>
                <w:sz w:val="20"/>
                <w:szCs w:val="20"/>
              </w:rPr>
              <w:t>.</w:t>
            </w:r>
            <w:r w:rsidRPr="002D649F">
              <w:rPr>
                <w:rFonts w:ascii="Arial" w:hAnsi="Arial" w:cs="Arial"/>
                <w:sz w:val="20"/>
                <w:szCs w:val="20"/>
              </w:rPr>
              <w:t>429</w:t>
            </w:r>
          </w:p>
        </w:tc>
        <w:tc>
          <w:tcPr>
            <w:tcW w:w="974" w:type="dxa"/>
            <w:vAlign w:val="center"/>
          </w:tcPr>
          <w:p w14:paraId="1B47AC6F" w14:textId="0F5D03C9" w:rsidR="008F15E2" w:rsidRPr="002D649F" w:rsidRDefault="008F15E2" w:rsidP="001C4F86">
            <w:pPr>
              <w:jc w:val="both"/>
              <w:rPr>
                <w:rFonts w:ascii="Arial" w:hAnsi="Arial" w:cs="Arial"/>
                <w:sz w:val="20"/>
                <w:szCs w:val="20"/>
              </w:rPr>
            </w:pPr>
            <w:r w:rsidRPr="002D649F">
              <w:rPr>
                <w:rFonts w:ascii="Arial" w:hAnsi="Arial" w:cs="Arial"/>
                <w:color w:val="000000"/>
                <w:sz w:val="20"/>
                <w:szCs w:val="20"/>
                <w:u w:val="single"/>
              </w:rPr>
              <w:t>&lt;</w:t>
            </w:r>
            <w:r w:rsidRPr="002D649F">
              <w:rPr>
                <w:rFonts w:ascii="Arial" w:hAnsi="Arial" w:cs="Arial"/>
                <w:color w:val="000000"/>
                <w:sz w:val="20"/>
                <w:szCs w:val="20"/>
              </w:rPr>
              <w:t xml:space="preserve"> 0</w:t>
            </w:r>
            <w:r w:rsidR="00721185">
              <w:rPr>
                <w:rFonts w:ascii="Arial" w:hAnsi="Arial" w:cs="Arial"/>
                <w:color w:val="000000"/>
                <w:sz w:val="20"/>
                <w:szCs w:val="20"/>
              </w:rPr>
              <w:t>.</w:t>
            </w:r>
            <w:r w:rsidRPr="002D649F">
              <w:rPr>
                <w:rFonts w:ascii="Arial" w:hAnsi="Arial" w:cs="Arial"/>
                <w:color w:val="000000"/>
                <w:sz w:val="20"/>
                <w:szCs w:val="20"/>
              </w:rPr>
              <w:t>001</w:t>
            </w:r>
          </w:p>
        </w:tc>
        <w:tc>
          <w:tcPr>
            <w:tcW w:w="1368" w:type="dxa"/>
            <w:vAlign w:val="center"/>
          </w:tcPr>
          <w:p w14:paraId="27AEE6E5" w14:textId="00C54708" w:rsidR="008F15E2" w:rsidRPr="002D649F" w:rsidRDefault="008F15E2" w:rsidP="001C4F86">
            <w:pPr>
              <w:jc w:val="both"/>
              <w:rPr>
                <w:rFonts w:ascii="Arial" w:hAnsi="Arial" w:cs="Arial"/>
                <w:color w:val="000000"/>
                <w:sz w:val="20"/>
                <w:szCs w:val="20"/>
                <w:u w:val="single"/>
              </w:rPr>
            </w:pPr>
            <w:r w:rsidRPr="002D649F">
              <w:rPr>
                <w:rFonts w:ascii="Arial" w:hAnsi="Arial" w:cs="Arial"/>
                <w:sz w:val="20"/>
                <w:szCs w:val="20"/>
              </w:rPr>
              <w:t>22</w:t>
            </w:r>
            <w:r w:rsidR="00721185">
              <w:rPr>
                <w:rFonts w:ascii="Arial" w:hAnsi="Arial" w:cs="Arial"/>
                <w:sz w:val="20"/>
                <w:szCs w:val="20"/>
              </w:rPr>
              <w:t>.</w:t>
            </w:r>
            <w:r w:rsidRPr="002D649F">
              <w:rPr>
                <w:rFonts w:ascii="Arial" w:hAnsi="Arial" w:cs="Arial"/>
                <w:sz w:val="20"/>
                <w:szCs w:val="20"/>
              </w:rPr>
              <w:t>250</w:t>
            </w:r>
          </w:p>
        </w:tc>
        <w:tc>
          <w:tcPr>
            <w:tcW w:w="974" w:type="dxa"/>
            <w:vAlign w:val="center"/>
          </w:tcPr>
          <w:p w14:paraId="7BDCA2BC" w14:textId="51661691" w:rsidR="008F15E2" w:rsidRPr="002D649F" w:rsidRDefault="008F15E2" w:rsidP="001C4F86">
            <w:pPr>
              <w:jc w:val="both"/>
              <w:rPr>
                <w:rFonts w:ascii="Arial" w:hAnsi="Arial" w:cs="Arial"/>
                <w:color w:val="000000"/>
                <w:sz w:val="20"/>
                <w:szCs w:val="20"/>
                <w:u w:val="single"/>
              </w:rPr>
            </w:pPr>
            <w:r w:rsidRPr="002D649F">
              <w:rPr>
                <w:rFonts w:ascii="Arial" w:hAnsi="Arial" w:cs="Arial"/>
                <w:color w:val="000000"/>
                <w:sz w:val="20"/>
                <w:szCs w:val="20"/>
                <w:u w:val="single"/>
              </w:rPr>
              <w:t>&lt;</w:t>
            </w:r>
            <w:r w:rsidRPr="002D649F">
              <w:rPr>
                <w:rFonts w:ascii="Arial" w:hAnsi="Arial" w:cs="Arial"/>
                <w:color w:val="000000"/>
                <w:sz w:val="20"/>
                <w:szCs w:val="20"/>
              </w:rPr>
              <w:t xml:space="preserve"> 0</w:t>
            </w:r>
            <w:r w:rsidR="00721185">
              <w:rPr>
                <w:rFonts w:ascii="Arial" w:hAnsi="Arial" w:cs="Arial"/>
                <w:color w:val="000000"/>
                <w:sz w:val="20"/>
                <w:szCs w:val="20"/>
              </w:rPr>
              <w:t>.</w:t>
            </w:r>
            <w:r w:rsidRPr="002D649F">
              <w:rPr>
                <w:rFonts w:ascii="Arial" w:hAnsi="Arial" w:cs="Arial"/>
                <w:color w:val="000000"/>
                <w:sz w:val="20"/>
                <w:szCs w:val="20"/>
              </w:rPr>
              <w:t>001</w:t>
            </w:r>
          </w:p>
        </w:tc>
      </w:tr>
      <w:tr w:rsidR="008F15E2" w:rsidRPr="002D649F" w14:paraId="4C4D2CB0" w14:textId="77777777" w:rsidTr="001C4F86">
        <w:tc>
          <w:tcPr>
            <w:tcW w:w="1888" w:type="dxa"/>
            <w:vAlign w:val="center"/>
          </w:tcPr>
          <w:p w14:paraId="18E0ADCC" w14:textId="77777777" w:rsidR="008F15E2" w:rsidRPr="002D649F" w:rsidRDefault="008F15E2" w:rsidP="001C4F86">
            <w:pPr>
              <w:jc w:val="both"/>
              <w:rPr>
                <w:rFonts w:ascii="Arial" w:hAnsi="Arial" w:cs="Arial"/>
                <w:sz w:val="20"/>
                <w:szCs w:val="20"/>
              </w:rPr>
            </w:pPr>
            <w:r w:rsidRPr="002D649F">
              <w:rPr>
                <w:rFonts w:ascii="Arial" w:hAnsi="Arial" w:cs="Arial"/>
                <w:color w:val="000000"/>
                <w:sz w:val="20"/>
                <w:szCs w:val="20"/>
              </w:rPr>
              <w:t>Week 4 – Week 16</w:t>
            </w:r>
          </w:p>
        </w:tc>
        <w:tc>
          <w:tcPr>
            <w:tcW w:w="1449" w:type="dxa"/>
            <w:vAlign w:val="center"/>
          </w:tcPr>
          <w:p w14:paraId="7E78343C" w14:textId="13384841" w:rsidR="008F15E2" w:rsidRPr="002D649F" w:rsidRDefault="008F15E2" w:rsidP="001C4F86">
            <w:pPr>
              <w:jc w:val="both"/>
              <w:rPr>
                <w:rFonts w:ascii="Arial" w:hAnsi="Arial" w:cs="Arial"/>
                <w:sz w:val="20"/>
                <w:szCs w:val="20"/>
              </w:rPr>
            </w:pPr>
            <w:r w:rsidRPr="002D649F">
              <w:rPr>
                <w:rFonts w:ascii="Arial" w:hAnsi="Arial" w:cs="Arial"/>
                <w:sz w:val="20"/>
                <w:szCs w:val="20"/>
              </w:rPr>
              <w:t>33</w:t>
            </w:r>
            <w:r w:rsidR="00721185">
              <w:rPr>
                <w:rFonts w:ascii="Arial" w:hAnsi="Arial" w:cs="Arial"/>
                <w:sz w:val="20"/>
                <w:szCs w:val="20"/>
              </w:rPr>
              <w:t>.</w:t>
            </w:r>
            <w:r w:rsidRPr="002D649F">
              <w:rPr>
                <w:rFonts w:ascii="Arial" w:hAnsi="Arial" w:cs="Arial"/>
                <w:sz w:val="20"/>
                <w:szCs w:val="20"/>
              </w:rPr>
              <w:t>664</w:t>
            </w:r>
          </w:p>
        </w:tc>
        <w:tc>
          <w:tcPr>
            <w:tcW w:w="974" w:type="dxa"/>
            <w:vAlign w:val="center"/>
          </w:tcPr>
          <w:p w14:paraId="6478ECC9" w14:textId="5057396F" w:rsidR="008F15E2" w:rsidRPr="002D649F" w:rsidRDefault="008F15E2" w:rsidP="001C4F86">
            <w:pPr>
              <w:jc w:val="both"/>
              <w:rPr>
                <w:rFonts w:ascii="Arial" w:hAnsi="Arial" w:cs="Arial"/>
                <w:sz w:val="20"/>
                <w:szCs w:val="20"/>
              </w:rPr>
            </w:pPr>
            <w:r w:rsidRPr="002D649F">
              <w:rPr>
                <w:rFonts w:ascii="Arial" w:hAnsi="Arial" w:cs="Arial"/>
                <w:color w:val="000000"/>
                <w:sz w:val="20"/>
                <w:szCs w:val="20"/>
                <w:u w:val="single"/>
              </w:rPr>
              <w:t>&lt;</w:t>
            </w:r>
            <w:r w:rsidRPr="002D649F">
              <w:rPr>
                <w:rFonts w:ascii="Arial" w:hAnsi="Arial" w:cs="Arial"/>
                <w:color w:val="000000"/>
                <w:sz w:val="20"/>
                <w:szCs w:val="20"/>
              </w:rPr>
              <w:t xml:space="preserve"> 0</w:t>
            </w:r>
            <w:r w:rsidR="00721185">
              <w:rPr>
                <w:rFonts w:ascii="Arial" w:hAnsi="Arial" w:cs="Arial"/>
                <w:color w:val="000000"/>
                <w:sz w:val="20"/>
                <w:szCs w:val="20"/>
              </w:rPr>
              <w:t>.</w:t>
            </w:r>
            <w:r w:rsidRPr="002D649F">
              <w:rPr>
                <w:rFonts w:ascii="Arial" w:hAnsi="Arial" w:cs="Arial"/>
                <w:color w:val="000000"/>
                <w:sz w:val="20"/>
                <w:szCs w:val="20"/>
              </w:rPr>
              <w:t>001</w:t>
            </w:r>
          </w:p>
        </w:tc>
        <w:tc>
          <w:tcPr>
            <w:tcW w:w="1368" w:type="dxa"/>
            <w:vAlign w:val="center"/>
          </w:tcPr>
          <w:p w14:paraId="0E20D921" w14:textId="3A84784A" w:rsidR="008F15E2" w:rsidRPr="002D649F" w:rsidRDefault="008F15E2" w:rsidP="001C4F86">
            <w:pPr>
              <w:jc w:val="both"/>
              <w:rPr>
                <w:rFonts w:ascii="Arial" w:hAnsi="Arial" w:cs="Arial"/>
                <w:color w:val="000000"/>
                <w:sz w:val="20"/>
                <w:szCs w:val="20"/>
                <w:u w:val="single"/>
              </w:rPr>
            </w:pPr>
            <w:r w:rsidRPr="002D649F">
              <w:rPr>
                <w:rFonts w:ascii="Arial" w:hAnsi="Arial" w:cs="Arial"/>
                <w:sz w:val="20"/>
                <w:szCs w:val="20"/>
              </w:rPr>
              <w:t>33</w:t>
            </w:r>
            <w:r w:rsidR="00721185">
              <w:rPr>
                <w:rFonts w:ascii="Arial" w:hAnsi="Arial" w:cs="Arial"/>
                <w:sz w:val="20"/>
                <w:szCs w:val="20"/>
              </w:rPr>
              <w:t>.</w:t>
            </w:r>
            <w:r w:rsidRPr="002D649F">
              <w:rPr>
                <w:rFonts w:ascii="Arial" w:hAnsi="Arial" w:cs="Arial"/>
                <w:sz w:val="20"/>
                <w:szCs w:val="20"/>
              </w:rPr>
              <w:t>471</w:t>
            </w:r>
          </w:p>
        </w:tc>
        <w:tc>
          <w:tcPr>
            <w:tcW w:w="974" w:type="dxa"/>
            <w:vAlign w:val="center"/>
          </w:tcPr>
          <w:p w14:paraId="1D366F01" w14:textId="4927ADF9" w:rsidR="008F15E2" w:rsidRPr="002D649F" w:rsidRDefault="008F15E2" w:rsidP="001C4F86">
            <w:pPr>
              <w:jc w:val="both"/>
              <w:rPr>
                <w:rFonts w:ascii="Arial" w:hAnsi="Arial" w:cs="Arial"/>
                <w:color w:val="000000"/>
                <w:sz w:val="20"/>
                <w:szCs w:val="20"/>
                <w:u w:val="single"/>
              </w:rPr>
            </w:pPr>
            <w:r w:rsidRPr="002D649F">
              <w:rPr>
                <w:rFonts w:ascii="Arial" w:hAnsi="Arial" w:cs="Arial"/>
                <w:color w:val="000000"/>
                <w:sz w:val="20"/>
                <w:szCs w:val="20"/>
                <w:u w:val="single"/>
              </w:rPr>
              <w:t>&lt;</w:t>
            </w:r>
            <w:r w:rsidRPr="002D649F">
              <w:rPr>
                <w:rFonts w:ascii="Arial" w:hAnsi="Arial" w:cs="Arial"/>
                <w:color w:val="000000"/>
                <w:sz w:val="20"/>
                <w:szCs w:val="20"/>
              </w:rPr>
              <w:t xml:space="preserve"> 0</w:t>
            </w:r>
            <w:r w:rsidR="00721185">
              <w:rPr>
                <w:rFonts w:ascii="Arial" w:hAnsi="Arial" w:cs="Arial"/>
                <w:color w:val="000000"/>
                <w:sz w:val="20"/>
                <w:szCs w:val="20"/>
              </w:rPr>
              <w:t>.</w:t>
            </w:r>
            <w:r w:rsidRPr="002D649F">
              <w:rPr>
                <w:rFonts w:ascii="Arial" w:hAnsi="Arial" w:cs="Arial"/>
                <w:color w:val="000000"/>
                <w:sz w:val="20"/>
                <w:szCs w:val="20"/>
              </w:rPr>
              <w:t>001</w:t>
            </w:r>
          </w:p>
        </w:tc>
      </w:tr>
      <w:tr w:rsidR="008F15E2" w:rsidRPr="002D649F" w14:paraId="7D5498EE" w14:textId="77777777" w:rsidTr="001C4F86">
        <w:tc>
          <w:tcPr>
            <w:tcW w:w="1888" w:type="dxa"/>
            <w:vAlign w:val="center"/>
          </w:tcPr>
          <w:p w14:paraId="47B84609" w14:textId="77777777" w:rsidR="008F15E2" w:rsidRPr="002D649F" w:rsidRDefault="008F15E2" w:rsidP="001C4F86">
            <w:pPr>
              <w:jc w:val="both"/>
              <w:rPr>
                <w:rFonts w:ascii="Arial" w:hAnsi="Arial" w:cs="Arial"/>
                <w:sz w:val="20"/>
                <w:szCs w:val="20"/>
              </w:rPr>
            </w:pPr>
            <w:r w:rsidRPr="002D649F">
              <w:rPr>
                <w:rFonts w:ascii="Arial" w:hAnsi="Arial" w:cs="Arial"/>
                <w:color w:val="000000"/>
                <w:sz w:val="20"/>
                <w:szCs w:val="20"/>
              </w:rPr>
              <w:t>Week 12 – Week 16</w:t>
            </w:r>
          </w:p>
        </w:tc>
        <w:tc>
          <w:tcPr>
            <w:tcW w:w="1449" w:type="dxa"/>
            <w:vAlign w:val="center"/>
          </w:tcPr>
          <w:p w14:paraId="0363A8E8" w14:textId="24754C19" w:rsidR="008F15E2" w:rsidRPr="002D649F" w:rsidRDefault="008F15E2" w:rsidP="001C4F86">
            <w:pPr>
              <w:jc w:val="both"/>
              <w:rPr>
                <w:rFonts w:ascii="Arial" w:hAnsi="Arial" w:cs="Arial"/>
                <w:sz w:val="20"/>
                <w:szCs w:val="20"/>
              </w:rPr>
            </w:pPr>
            <w:r w:rsidRPr="002D649F">
              <w:rPr>
                <w:rFonts w:ascii="Arial" w:hAnsi="Arial" w:cs="Arial"/>
                <w:sz w:val="20"/>
                <w:szCs w:val="20"/>
              </w:rPr>
              <w:t>11</w:t>
            </w:r>
            <w:r w:rsidR="00721185">
              <w:rPr>
                <w:rFonts w:ascii="Arial" w:hAnsi="Arial" w:cs="Arial"/>
                <w:sz w:val="20"/>
                <w:szCs w:val="20"/>
              </w:rPr>
              <w:t>.</w:t>
            </w:r>
            <w:r w:rsidRPr="002D649F">
              <w:rPr>
                <w:rFonts w:ascii="Arial" w:hAnsi="Arial" w:cs="Arial"/>
                <w:sz w:val="20"/>
                <w:szCs w:val="20"/>
              </w:rPr>
              <w:t>236</w:t>
            </w:r>
          </w:p>
        </w:tc>
        <w:tc>
          <w:tcPr>
            <w:tcW w:w="974" w:type="dxa"/>
            <w:vAlign w:val="center"/>
          </w:tcPr>
          <w:p w14:paraId="21537365" w14:textId="55716D8D" w:rsidR="008F15E2" w:rsidRPr="002D649F" w:rsidRDefault="008F15E2" w:rsidP="001C4F86">
            <w:pPr>
              <w:jc w:val="both"/>
              <w:rPr>
                <w:rFonts w:ascii="Arial" w:hAnsi="Arial" w:cs="Arial"/>
                <w:sz w:val="20"/>
                <w:szCs w:val="20"/>
              </w:rPr>
            </w:pPr>
            <w:r w:rsidRPr="002D649F">
              <w:rPr>
                <w:rFonts w:ascii="Arial" w:hAnsi="Arial" w:cs="Arial"/>
                <w:color w:val="000000"/>
                <w:sz w:val="20"/>
                <w:szCs w:val="20"/>
                <w:u w:val="single"/>
              </w:rPr>
              <w:t xml:space="preserve">&lt; </w:t>
            </w:r>
            <w:r w:rsidRPr="002D649F">
              <w:rPr>
                <w:rFonts w:ascii="Arial" w:hAnsi="Arial" w:cs="Arial"/>
                <w:color w:val="000000"/>
                <w:sz w:val="20"/>
                <w:szCs w:val="20"/>
              </w:rPr>
              <w:t>0</w:t>
            </w:r>
            <w:r w:rsidR="00721185">
              <w:rPr>
                <w:rFonts w:ascii="Arial" w:hAnsi="Arial" w:cs="Arial"/>
                <w:color w:val="000000"/>
                <w:sz w:val="20"/>
                <w:szCs w:val="20"/>
              </w:rPr>
              <w:t>.</w:t>
            </w:r>
            <w:r w:rsidRPr="002D649F">
              <w:rPr>
                <w:rFonts w:ascii="Arial" w:hAnsi="Arial" w:cs="Arial"/>
                <w:color w:val="000000"/>
                <w:sz w:val="20"/>
                <w:szCs w:val="20"/>
              </w:rPr>
              <w:t>001</w:t>
            </w:r>
          </w:p>
        </w:tc>
        <w:tc>
          <w:tcPr>
            <w:tcW w:w="1368" w:type="dxa"/>
            <w:vAlign w:val="center"/>
          </w:tcPr>
          <w:p w14:paraId="197EBC7D" w14:textId="473BC12C" w:rsidR="008F15E2" w:rsidRPr="002D649F" w:rsidRDefault="008F15E2" w:rsidP="001C4F86">
            <w:pPr>
              <w:jc w:val="both"/>
              <w:rPr>
                <w:rFonts w:ascii="Arial" w:hAnsi="Arial" w:cs="Arial"/>
                <w:color w:val="000000"/>
                <w:sz w:val="20"/>
                <w:szCs w:val="20"/>
                <w:u w:val="single"/>
              </w:rPr>
            </w:pPr>
            <w:r w:rsidRPr="002D649F">
              <w:rPr>
                <w:rFonts w:ascii="Arial" w:hAnsi="Arial" w:cs="Arial"/>
                <w:sz w:val="20"/>
                <w:szCs w:val="20"/>
              </w:rPr>
              <w:t>11</w:t>
            </w:r>
            <w:r w:rsidR="00721185">
              <w:rPr>
                <w:rFonts w:ascii="Arial" w:hAnsi="Arial" w:cs="Arial"/>
                <w:sz w:val="20"/>
                <w:szCs w:val="20"/>
              </w:rPr>
              <w:t>.</w:t>
            </w:r>
            <w:r w:rsidRPr="002D649F">
              <w:rPr>
                <w:rFonts w:ascii="Arial" w:hAnsi="Arial" w:cs="Arial"/>
                <w:sz w:val="20"/>
                <w:szCs w:val="20"/>
              </w:rPr>
              <w:t>221</w:t>
            </w:r>
          </w:p>
        </w:tc>
        <w:tc>
          <w:tcPr>
            <w:tcW w:w="974" w:type="dxa"/>
            <w:vAlign w:val="center"/>
          </w:tcPr>
          <w:p w14:paraId="2E11D63C" w14:textId="3A0627F5" w:rsidR="008F15E2" w:rsidRPr="002D649F" w:rsidRDefault="008F15E2" w:rsidP="001C4F86">
            <w:pPr>
              <w:jc w:val="both"/>
              <w:rPr>
                <w:rFonts w:ascii="Arial" w:hAnsi="Arial" w:cs="Arial"/>
                <w:color w:val="000000"/>
                <w:sz w:val="20"/>
                <w:szCs w:val="20"/>
                <w:u w:val="single"/>
              </w:rPr>
            </w:pPr>
            <w:r w:rsidRPr="002D649F">
              <w:rPr>
                <w:rFonts w:ascii="Arial" w:hAnsi="Arial" w:cs="Arial"/>
                <w:color w:val="000000"/>
                <w:sz w:val="20"/>
                <w:szCs w:val="20"/>
                <w:u w:val="single"/>
              </w:rPr>
              <w:t xml:space="preserve">&lt; </w:t>
            </w:r>
            <w:r w:rsidRPr="002D649F">
              <w:rPr>
                <w:rFonts w:ascii="Arial" w:hAnsi="Arial" w:cs="Arial"/>
                <w:color w:val="000000"/>
                <w:sz w:val="20"/>
                <w:szCs w:val="20"/>
              </w:rPr>
              <w:t>0</w:t>
            </w:r>
            <w:r w:rsidR="00721185">
              <w:rPr>
                <w:rFonts w:ascii="Arial" w:hAnsi="Arial" w:cs="Arial"/>
                <w:color w:val="000000"/>
                <w:sz w:val="20"/>
                <w:szCs w:val="20"/>
              </w:rPr>
              <w:t>.</w:t>
            </w:r>
            <w:r w:rsidRPr="002D649F">
              <w:rPr>
                <w:rFonts w:ascii="Arial" w:hAnsi="Arial" w:cs="Arial"/>
                <w:color w:val="000000"/>
                <w:sz w:val="20"/>
                <w:szCs w:val="20"/>
              </w:rPr>
              <w:t>001</w:t>
            </w:r>
          </w:p>
        </w:tc>
      </w:tr>
      <w:tr w:rsidR="008F15E2" w:rsidRPr="002D649F" w14:paraId="55B89E7A" w14:textId="77777777" w:rsidTr="001C4F86">
        <w:tc>
          <w:tcPr>
            <w:tcW w:w="1888" w:type="dxa"/>
            <w:tcBorders>
              <w:bottom w:val="single" w:sz="4" w:space="0" w:color="auto"/>
            </w:tcBorders>
            <w:vAlign w:val="center"/>
          </w:tcPr>
          <w:p w14:paraId="317BDA33" w14:textId="77777777" w:rsidR="008F15E2" w:rsidRPr="002D649F" w:rsidRDefault="008F15E2" w:rsidP="001C4F86">
            <w:pPr>
              <w:jc w:val="both"/>
              <w:rPr>
                <w:rFonts w:ascii="Arial" w:hAnsi="Arial" w:cs="Arial"/>
                <w:color w:val="000000"/>
                <w:sz w:val="20"/>
                <w:szCs w:val="20"/>
              </w:rPr>
            </w:pPr>
            <w:r w:rsidRPr="002D649F">
              <w:rPr>
                <w:rFonts w:ascii="Arial" w:hAnsi="Arial" w:cs="Arial"/>
                <w:color w:val="000000"/>
                <w:sz w:val="20"/>
                <w:szCs w:val="20"/>
              </w:rPr>
              <w:t>DHI+PRP - DHI</w:t>
            </w:r>
          </w:p>
        </w:tc>
        <w:tc>
          <w:tcPr>
            <w:tcW w:w="1449" w:type="dxa"/>
            <w:tcBorders>
              <w:bottom w:val="single" w:sz="4" w:space="0" w:color="auto"/>
            </w:tcBorders>
            <w:vAlign w:val="center"/>
          </w:tcPr>
          <w:p w14:paraId="776E9431" w14:textId="1EE28029" w:rsidR="008F15E2" w:rsidRPr="002D649F" w:rsidRDefault="008F15E2" w:rsidP="001C4F86">
            <w:pPr>
              <w:jc w:val="both"/>
              <w:rPr>
                <w:rFonts w:ascii="Arial" w:hAnsi="Arial" w:cs="Arial"/>
                <w:color w:val="000000"/>
                <w:sz w:val="20"/>
                <w:szCs w:val="20"/>
              </w:rPr>
            </w:pPr>
            <w:r w:rsidRPr="002D649F">
              <w:rPr>
                <w:rFonts w:ascii="Arial" w:hAnsi="Arial" w:cs="Arial"/>
                <w:color w:val="000000"/>
                <w:sz w:val="20"/>
                <w:szCs w:val="20"/>
              </w:rPr>
              <w:t>9</w:t>
            </w:r>
            <w:r w:rsidR="00721185">
              <w:rPr>
                <w:rFonts w:ascii="Arial" w:hAnsi="Arial" w:cs="Arial"/>
                <w:color w:val="000000"/>
                <w:sz w:val="20"/>
                <w:szCs w:val="20"/>
              </w:rPr>
              <w:t>.</w:t>
            </w:r>
            <w:r w:rsidRPr="002D649F">
              <w:rPr>
                <w:rFonts w:ascii="Arial" w:hAnsi="Arial" w:cs="Arial"/>
                <w:color w:val="000000"/>
                <w:sz w:val="20"/>
                <w:szCs w:val="20"/>
              </w:rPr>
              <w:t>218</w:t>
            </w:r>
          </w:p>
        </w:tc>
        <w:tc>
          <w:tcPr>
            <w:tcW w:w="974" w:type="dxa"/>
            <w:tcBorders>
              <w:bottom w:val="single" w:sz="4" w:space="0" w:color="auto"/>
            </w:tcBorders>
            <w:vAlign w:val="center"/>
          </w:tcPr>
          <w:p w14:paraId="68380872" w14:textId="1D9FC9A8" w:rsidR="008F15E2" w:rsidRPr="002D649F" w:rsidRDefault="008F15E2" w:rsidP="001C4F86">
            <w:pPr>
              <w:jc w:val="both"/>
              <w:rPr>
                <w:rFonts w:ascii="Arial" w:hAnsi="Arial" w:cs="Arial"/>
                <w:color w:val="000000"/>
                <w:sz w:val="20"/>
                <w:szCs w:val="20"/>
              </w:rPr>
            </w:pPr>
            <w:r w:rsidRPr="002D649F">
              <w:rPr>
                <w:rFonts w:ascii="Arial" w:hAnsi="Arial" w:cs="Arial"/>
                <w:color w:val="000000"/>
                <w:sz w:val="20"/>
                <w:szCs w:val="20"/>
                <w:u w:val="single"/>
              </w:rPr>
              <w:t xml:space="preserve">&lt; </w:t>
            </w:r>
            <w:r w:rsidRPr="002D649F">
              <w:rPr>
                <w:rFonts w:ascii="Arial" w:hAnsi="Arial" w:cs="Arial"/>
                <w:color w:val="000000"/>
                <w:sz w:val="20"/>
                <w:szCs w:val="20"/>
              </w:rPr>
              <w:t>0</w:t>
            </w:r>
            <w:r w:rsidR="00721185">
              <w:rPr>
                <w:rFonts w:ascii="Arial" w:hAnsi="Arial" w:cs="Arial"/>
                <w:color w:val="000000"/>
                <w:sz w:val="20"/>
                <w:szCs w:val="20"/>
              </w:rPr>
              <w:t>.</w:t>
            </w:r>
            <w:r w:rsidRPr="002D649F">
              <w:rPr>
                <w:rFonts w:ascii="Arial" w:hAnsi="Arial" w:cs="Arial"/>
                <w:color w:val="000000"/>
                <w:sz w:val="20"/>
                <w:szCs w:val="20"/>
              </w:rPr>
              <w:t>001</w:t>
            </w:r>
          </w:p>
        </w:tc>
        <w:tc>
          <w:tcPr>
            <w:tcW w:w="1368" w:type="dxa"/>
            <w:tcBorders>
              <w:bottom w:val="single" w:sz="4" w:space="0" w:color="auto"/>
            </w:tcBorders>
            <w:vAlign w:val="center"/>
          </w:tcPr>
          <w:p w14:paraId="48A8E5F0" w14:textId="4C3EE051" w:rsidR="008F15E2" w:rsidRPr="002D649F" w:rsidRDefault="008F15E2" w:rsidP="001C4F86">
            <w:pPr>
              <w:jc w:val="both"/>
              <w:rPr>
                <w:rFonts w:ascii="Arial" w:hAnsi="Arial" w:cs="Arial"/>
                <w:color w:val="000000"/>
                <w:sz w:val="20"/>
                <w:szCs w:val="20"/>
                <w:u w:val="single"/>
              </w:rPr>
            </w:pPr>
            <w:r w:rsidRPr="002D649F">
              <w:rPr>
                <w:rFonts w:ascii="Arial" w:hAnsi="Arial" w:cs="Arial"/>
                <w:color w:val="000000"/>
                <w:sz w:val="20"/>
                <w:szCs w:val="20"/>
              </w:rPr>
              <w:t>9</w:t>
            </w:r>
            <w:r w:rsidR="00721185">
              <w:rPr>
                <w:rFonts w:ascii="Arial" w:hAnsi="Arial" w:cs="Arial"/>
                <w:color w:val="000000"/>
                <w:sz w:val="20"/>
                <w:szCs w:val="20"/>
              </w:rPr>
              <w:t>.</w:t>
            </w:r>
            <w:r w:rsidRPr="002D649F">
              <w:rPr>
                <w:rFonts w:ascii="Arial" w:hAnsi="Arial" w:cs="Arial"/>
                <w:color w:val="000000"/>
                <w:sz w:val="20"/>
                <w:szCs w:val="20"/>
              </w:rPr>
              <w:t>164</w:t>
            </w:r>
          </w:p>
        </w:tc>
        <w:tc>
          <w:tcPr>
            <w:tcW w:w="974" w:type="dxa"/>
            <w:tcBorders>
              <w:bottom w:val="single" w:sz="4" w:space="0" w:color="auto"/>
            </w:tcBorders>
            <w:vAlign w:val="center"/>
          </w:tcPr>
          <w:p w14:paraId="128A10F1" w14:textId="7B208AC7" w:rsidR="008F15E2" w:rsidRPr="002D649F" w:rsidRDefault="008F15E2" w:rsidP="001C4F86">
            <w:pPr>
              <w:jc w:val="both"/>
              <w:rPr>
                <w:rFonts w:ascii="Arial" w:hAnsi="Arial" w:cs="Arial"/>
                <w:color w:val="000000"/>
                <w:sz w:val="20"/>
                <w:szCs w:val="20"/>
                <w:u w:val="single"/>
              </w:rPr>
            </w:pPr>
            <w:r w:rsidRPr="002D649F">
              <w:rPr>
                <w:rFonts w:ascii="Arial" w:hAnsi="Arial" w:cs="Arial"/>
                <w:color w:val="000000"/>
                <w:sz w:val="20"/>
                <w:szCs w:val="20"/>
                <w:u w:val="single"/>
              </w:rPr>
              <w:t xml:space="preserve">&lt; </w:t>
            </w:r>
            <w:r w:rsidRPr="002D649F">
              <w:rPr>
                <w:rFonts w:ascii="Arial" w:hAnsi="Arial" w:cs="Arial"/>
                <w:color w:val="000000"/>
                <w:sz w:val="20"/>
                <w:szCs w:val="20"/>
              </w:rPr>
              <w:t>0</w:t>
            </w:r>
            <w:r w:rsidR="00721185">
              <w:rPr>
                <w:rFonts w:ascii="Arial" w:hAnsi="Arial" w:cs="Arial"/>
                <w:color w:val="000000"/>
                <w:sz w:val="20"/>
                <w:szCs w:val="20"/>
              </w:rPr>
              <w:t>.</w:t>
            </w:r>
            <w:r w:rsidRPr="002D649F">
              <w:rPr>
                <w:rFonts w:ascii="Arial" w:hAnsi="Arial" w:cs="Arial"/>
                <w:color w:val="000000"/>
                <w:sz w:val="20"/>
                <w:szCs w:val="20"/>
              </w:rPr>
              <w:t>001</w:t>
            </w:r>
          </w:p>
        </w:tc>
      </w:tr>
    </w:tbl>
    <w:p w14:paraId="6F607065" w14:textId="77777777" w:rsidR="008F15E2" w:rsidRDefault="008F15E2" w:rsidP="00970E5D">
      <w:pPr>
        <w:pStyle w:val="Body"/>
        <w:rPr>
          <w:rFonts w:ascii="Arial" w:hAnsi="Arial" w:cs="Arial"/>
        </w:rPr>
      </w:pPr>
    </w:p>
    <w:p w14:paraId="0265AD40" w14:textId="77777777" w:rsidR="00FE76BD" w:rsidRDefault="00FE76BD" w:rsidP="00970E5D">
      <w:pPr>
        <w:pStyle w:val="Body"/>
        <w:rPr>
          <w:rFonts w:ascii="Arial" w:hAnsi="Arial" w:cs="Arial"/>
        </w:rPr>
      </w:pPr>
      <w:r w:rsidRPr="005C6E03">
        <w:rPr>
          <w:rFonts w:ascii="Arial" w:hAnsi="Arial" w:cs="Arial"/>
        </w:rPr>
        <w:t>The findings of this study are consistent with</w:t>
      </w:r>
      <w:r>
        <w:rPr>
          <w:rFonts w:ascii="Arial" w:hAnsi="Arial" w:cs="Arial"/>
        </w:rPr>
        <w:t xml:space="preserve"> previous study, which </w:t>
      </w:r>
      <w:r w:rsidRPr="005C6E03">
        <w:rPr>
          <w:rFonts w:ascii="Arial" w:hAnsi="Arial" w:cs="Arial"/>
        </w:rPr>
        <w:t xml:space="preserve">reported that both transplant-only and </w:t>
      </w:r>
      <w:proofErr w:type="spellStart"/>
      <w:r w:rsidRPr="005C6E03">
        <w:rPr>
          <w:rFonts w:ascii="Arial" w:hAnsi="Arial" w:cs="Arial"/>
        </w:rPr>
        <w:t>transplant+PRP</w:t>
      </w:r>
      <w:proofErr w:type="spellEnd"/>
      <w:r w:rsidRPr="005C6E03">
        <w:rPr>
          <w:rFonts w:ascii="Arial" w:hAnsi="Arial" w:cs="Arial"/>
        </w:rPr>
        <w:t xml:space="preserve"> groups showed modest hair shaft length at week 4 (1–3 mm), but by week 12 the PRP group demonstrated significantly faster growth, with longer and thicker shafts. By week 16 and month 6, differences became more pronounced; a randomized controlled trial showed that 100% of PRP-treated patients had hair shafts &gt;10 mm at 6 months compared to only 20% in the non-PRP group, most of whom remained at 7–10 mm. These results suggest earlier follicle activation and recovery in PRP-treated patients, supported by growth factor–rich microenvironments (Aldor </w:t>
      </w:r>
      <w:r w:rsidRPr="005C6E03">
        <w:rPr>
          <w:rFonts w:ascii="Arial" w:hAnsi="Arial" w:cs="Arial"/>
          <w:i/>
          <w:iCs/>
        </w:rPr>
        <w:t>et al</w:t>
      </w:r>
      <w:r w:rsidRPr="005C6E03">
        <w:rPr>
          <w:rFonts w:ascii="Arial" w:hAnsi="Arial" w:cs="Arial"/>
        </w:rPr>
        <w:t xml:space="preserve">., 2023; Pathania </w:t>
      </w:r>
      <w:r w:rsidRPr="005C6E03">
        <w:rPr>
          <w:rFonts w:ascii="Arial" w:hAnsi="Arial" w:cs="Arial"/>
          <w:i/>
          <w:iCs/>
        </w:rPr>
        <w:t>et al</w:t>
      </w:r>
      <w:r w:rsidRPr="005C6E03">
        <w:rPr>
          <w:rFonts w:ascii="Arial" w:hAnsi="Arial" w:cs="Arial"/>
        </w:rPr>
        <w:t>., 2023).</w:t>
      </w:r>
    </w:p>
    <w:p w14:paraId="626F92CC" w14:textId="706FF828" w:rsidR="00ED3776" w:rsidRDefault="00FE76BD" w:rsidP="008F15E2">
      <w:pPr>
        <w:pStyle w:val="Body"/>
        <w:rPr>
          <w:rFonts w:ascii="Arial" w:hAnsi="Arial" w:cs="Arial"/>
        </w:rPr>
      </w:pPr>
      <w:r w:rsidRPr="005C6E03">
        <w:rPr>
          <w:rFonts w:ascii="Arial" w:hAnsi="Arial" w:cs="Arial"/>
        </w:rPr>
        <w:t xml:space="preserve">Mechanistically, PRP appears to enhance β-catenin and FGF-7 signaling, both critical for initiating and sustaining anagen. Increased perifollicular vascularization after PRP injection improves nutrient delivery and oxygenation, creating a microenvironment conducive to follicle regeneration. Prior studies confirm that PRP not only prolongs anagen but also accelerates the transition from telogen to anagen, resulting in faster and more substantial hair growth (Han </w:t>
      </w:r>
      <w:r w:rsidRPr="005C6E03">
        <w:rPr>
          <w:rFonts w:ascii="Arial" w:hAnsi="Arial" w:cs="Arial"/>
          <w:i/>
          <w:iCs/>
        </w:rPr>
        <w:t>et al</w:t>
      </w:r>
      <w:r w:rsidRPr="005C6E03">
        <w:rPr>
          <w:rFonts w:ascii="Arial" w:hAnsi="Arial" w:cs="Arial"/>
        </w:rPr>
        <w:t>., 2022).</w:t>
      </w:r>
    </w:p>
    <w:p w14:paraId="247494A0" w14:textId="4C6651E0" w:rsidR="005C6E03" w:rsidRDefault="005C6E03" w:rsidP="00441B6F">
      <w:pPr>
        <w:pStyle w:val="Body"/>
        <w:spacing w:after="0"/>
        <w:rPr>
          <w:rFonts w:ascii="Arial" w:hAnsi="Arial" w:cs="Arial"/>
        </w:rPr>
      </w:pPr>
      <w:r w:rsidRPr="005C6E03">
        <w:rPr>
          <w:rFonts w:ascii="Arial" w:hAnsi="Arial" w:cs="Arial"/>
        </w:rPr>
        <w:lastRenderedPageBreak/>
        <w:t>Studies on the addition of platelet-rich plasma (PRP) to hair transplantation show promising results, with increased follicular density and hair length compared to transplantation. However, several limitations should be noted. First, the small sample size restricts generalizability. Second, the high cost of PRP and transplantation procedures poses challenges for replication and broader application. Third, inter-patient variability in hair cycle phases (anagen, catagen, telogen) may act as confounding factors, requiring better control or stratification in study design. These limitations highlight the need for cautious interpretation and underscore the importance of larger, more comprehensive future studies.</w:t>
      </w:r>
    </w:p>
    <w:p w14:paraId="56A1F149" w14:textId="77777777" w:rsidR="00790ADA" w:rsidRPr="00FB3A86" w:rsidRDefault="00790ADA" w:rsidP="00441B6F">
      <w:pPr>
        <w:pStyle w:val="Body"/>
        <w:spacing w:after="0"/>
        <w:rPr>
          <w:rFonts w:ascii="Arial" w:hAnsi="Arial" w:cs="Arial"/>
        </w:rPr>
      </w:pPr>
    </w:p>
    <w:p w14:paraId="60213B52" w14:textId="5046FAF3"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B8482BE" w14:textId="687FF1F2" w:rsidR="005C6E03" w:rsidRDefault="005C6E03" w:rsidP="00441B6F">
      <w:pPr>
        <w:pStyle w:val="Body"/>
        <w:spacing w:after="0"/>
        <w:rPr>
          <w:rFonts w:ascii="Arial" w:hAnsi="Arial" w:cs="Arial"/>
        </w:rPr>
      </w:pPr>
      <w:r w:rsidRPr="005C6E03">
        <w:rPr>
          <w:rFonts w:ascii="Arial" w:hAnsi="Arial" w:cs="Arial"/>
        </w:rPr>
        <w:t>This study demonstrates that the addition of platelet-rich plasma (PRP) to hair transplantation in patients with androgenetic alopecia significantly enhances hair growth rate and improves graft survival compared to transplantation. These findings support PRP as a valuable adjunctive therapy to optimize clinical outcomes in hair restoration.</w:t>
      </w:r>
    </w:p>
    <w:p w14:paraId="3A71AA5F" w14:textId="77777777" w:rsidR="00790ADA" w:rsidRPr="00FB3A86" w:rsidRDefault="00790ADA" w:rsidP="00441B6F">
      <w:pPr>
        <w:pStyle w:val="Body"/>
        <w:spacing w:after="0"/>
        <w:rPr>
          <w:rFonts w:ascii="Arial" w:hAnsi="Arial" w:cs="Arial"/>
        </w:rPr>
      </w:pPr>
    </w:p>
    <w:p w14:paraId="351BDF57" w14:textId="77777777" w:rsidR="002B685A" w:rsidRDefault="002B685A" w:rsidP="00441B6F">
      <w:pPr>
        <w:pStyle w:val="ReferHead"/>
        <w:spacing w:after="0"/>
        <w:jc w:val="both"/>
        <w:rPr>
          <w:rFonts w:ascii="Arial" w:hAnsi="Arial" w:cs="Arial"/>
          <w:b w:val="0"/>
          <w:caps w:val="0"/>
          <w:sz w:val="20"/>
        </w:rPr>
      </w:pPr>
    </w:p>
    <w:p w14:paraId="11789488" w14:textId="19F0FCD6" w:rsidR="005C784C" w:rsidRPr="002B685A"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1EA4D65" w14:textId="77777777" w:rsidR="00562808" w:rsidRDefault="00562808" w:rsidP="00441B6F">
      <w:pPr>
        <w:pStyle w:val="ReferHead"/>
        <w:spacing w:after="0"/>
        <w:jc w:val="both"/>
        <w:rPr>
          <w:rFonts w:ascii="Arial" w:hAnsi="Arial" w:cs="Arial"/>
          <w:b w:val="0"/>
          <w:caps w:val="0"/>
          <w:sz w:val="20"/>
        </w:rPr>
      </w:pPr>
      <w:r w:rsidRPr="00562808">
        <w:rPr>
          <w:rFonts w:ascii="Arial" w:hAnsi="Arial" w:cs="Arial"/>
          <w:b w:val="0"/>
          <w:caps w:val="0"/>
          <w:sz w:val="20"/>
        </w:rPr>
        <w:t>This study was approved by the Health Research Ethics Commission of the Faculty of Medicine, Udayana University (ethical clearance number 0304/UN14.2.2.VII.14/LT/2025), and all protocols were conducted in accordance with ethical standards for research involving human subjects. All authors declare that the experiments were reviewed and approved by the appropriate ethics committee and performed in compliance with the ethical principles outlined in the 1964 Declaration of Helsinki.</w:t>
      </w:r>
    </w:p>
    <w:p w14:paraId="7D322406" w14:textId="77777777" w:rsidR="00860000" w:rsidRDefault="00860000" w:rsidP="00441B6F">
      <w:pPr>
        <w:pStyle w:val="ReferHead"/>
        <w:spacing w:after="0"/>
        <w:jc w:val="both"/>
        <w:rPr>
          <w:rFonts w:ascii="Arial" w:hAnsi="Arial" w:cs="Arial"/>
        </w:rPr>
      </w:pPr>
    </w:p>
    <w:p w14:paraId="54F8806B" w14:textId="7237F87D" w:rsidR="00790ADA" w:rsidRPr="002C57D2" w:rsidRDefault="00B01FCD" w:rsidP="00515BD7">
      <w:pPr>
        <w:pStyle w:val="ReferHead"/>
        <w:spacing w:after="0"/>
        <w:jc w:val="both"/>
        <w:rPr>
          <w:rFonts w:ascii="Arial" w:hAnsi="Arial" w:cs="Arial"/>
        </w:rPr>
      </w:pPr>
      <w:r w:rsidRPr="00FB3A86">
        <w:rPr>
          <w:rFonts w:ascii="Arial" w:hAnsi="Arial" w:cs="Arial"/>
        </w:rPr>
        <w:t>References</w:t>
      </w:r>
    </w:p>
    <w:p w14:paraId="72FD50BD" w14:textId="6336E038"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t xml:space="preserve">Nasution, K., </w:t>
      </w:r>
      <w:proofErr w:type="spellStart"/>
      <w:r w:rsidRPr="006F1D3F">
        <w:rPr>
          <w:rFonts w:ascii="Arial" w:hAnsi="Arial" w:cs="Arial"/>
        </w:rPr>
        <w:t>Pradigo</w:t>
      </w:r>
      <w:proofErr w:type="spellEnd"/>
      <w:r w:rsidRPr="006F1D3F">
        <w:rPr>
          <w:rFonts w:ascii="Arial" w:hAnsi="Arial" w:cs="Arial"/>
        </w:rPr>
        <w:t>, R., &amp; Chandra, R. (2022). The type of androgenetic alopecia and quality of life (QoL) in male patients. J Med Sci, 54(1), 40-50.</w:t>
      </w:r>
      <w:r w:rsidR="00DF3DBF">
        <w:rPr>
          <w:rFonts w:ascii="Arial" w:hAnsi="Arial" w:cs="Arial"/>
        </w:rPr>
        <w:t xml:space="preserve"> </w:t>
      </w:r>
      <w:hyperlink r:id="rId14" w:history="1">
        <w:r w:rsidR="00DF3DBF" w:rsidRPr="00CE27AB">
          <w:rPr>
            <w:rStyle w:val="Hyperlink"/>
            <w:rFonts w:ascii="Arial" w:hAnsi="Arial" w:cs="Arial"/>
          </w:rPr>
          <w:t>https://doi.org/10.19106/jmedsci005401202205</w:t>
        </w:r>
      </w:hyperlink>
      <w:r w:rsidR="00DF3DBF">
        <w:rPr>
          <w:rFonts w:ascii="Arial" w:hAnsi="Arial" w:cs="Arial"/>
        </w:rPr>
        <w:t xml:space="preserve"> </w:t>
      </w:r>
    </w:p>
    <w:p w14:paraId="7B0F5DEA" w14:textId="05DAD304"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t xml:space="preserve">Putri, A. I., &amp; </w:t>
      </w:r>
      <w:proofErr w:type="spellStart"/>
      <w:r w:rsidRPr="006F1D3F">
        <w:rPr>
          <w:rFonts w:ascii="Arial" w:hAnsi="Arial" w:cs="Arial"/>
        </w:rPr>
        <w:t>Listiawan</w:t>
      </w:r>
      <w:proofErr w:type="spellEnd"/>
      <w:r w:rsidRPr="006F1D3F">
        <w:rPr>
          <w:rFonts w:ascii="Arial" w:hAnsi="Arial" w:cs="Arial"/>
        </w:rPr>
        <w:t xml:space="preserve">, M. Y. (2022). </w:t>
      </w:r>
      <w:proofErr w:type="spellStart"/>
      <w:r w:rsidRPr="006F1D3F">
        <w:rPr>
          <w:rFonts w:ascii="Arial" w:hAnsi="Arial" w:cs="Arial"/>
        </w:rPr>
        <w:t>Pendekatan</w:t>
      </w:r>
      <w:proofErr w:type="spellEnd"/>
      <w:r w:rsidRPr="006F1D3F">
        <w:rPr>
          <w:rFonts w:ascii="Arial" w:hAnsi="Arial" w:cs="Arial"/>
        </w:rPr>
        <w:t xml:space="preserve"> Diagnosis dan Tata </w:t>
      </w:r>
      <w:proofErr w:type="spellStart"/>
      <w:r w:rsidRPr="006F1D3F">
        <w:rPr>
          <w:rFonts w:ascii="Arial" w:hAnsi="Arial" w:cs="Arial"/>
        </w:rPr>
        <w:t>Laksana</w:t>
      </w:r>
      <w:proofErr w:type="spellEnd"/>
      <w:r w:rsidRPr="006F1D3F">
        <w:rPr>
          <w:rFonts w:ascii="Arial" w:hAnsi="Arial" w:cs="Arial"/>
        </w:rPr>
        <w:t xml:space="preserve"> </w:t>
      </w:r>
      <w:proofErr w:type="spellStart"/>
      <w:r w:rsidRPr="006F1D3F">
        <w:rPr>
          <w:rFonts w:ascii="Arial" w:hAnsi="Arial" w:cs="Arial"/>
        </w:rPr>
        <w:t>Alopesia</w:t>
      </w:r>
      <w:proofErr w:type="spellEnd"/>
      <w:r w:rsidRPr="006F1D3F">
        <w:rPr>
          <w:rFonts w:ascii="Arial" w:hAnsi="Arial" w:cs="Arial"/>
        </w:rPr>
        <w:t xml:space="preserve"> </w:t>
      </w:r>
      <w:proofErr w:type="spellStart"/>
      <w:r w:rsidRPr="006F1D3F">
        <w:rPr>
          <w:rFonts w:ascii="Arial" w:hAnsi="Arial" w:cs="Arial"/>
        </w:rPr>
        <w:t>Androgenetik</w:t>
      </w:r>
      <w:proofErr w:type="spellEnd"/>
      <w:r w:rsidRPr="006F1D3F">
        <w:rPr>
          <w:rFonts w:ascii="Arial" w:hAnsi="Arial" w:cs="Arial"/>
        </w:rPr>
        <w:t>. MEDICINUS, 35(1), 3-9.</w:t>
      </w:r>
      <w:r w:rsidR="00DF3DBF">
        <w:rPr>
          <w:rFonts w:ascii="Arial" w:hAnsi="Arial" w:cs="Arial"/>
        </w:rPr>
        <w:t xml:space="preserve"> </w:t>
      </w:r>
      <w:hyperlink r:id="rId15" w:history="1">
        <w:r w:rsidR="00DF3DBF" w:rsidRPr="00CE27AB">
          <w:rPr>
            <w:rStyle w:val="Hyperlink"/>
            <w:rFonts w:ascii="Arial" w:hAnsi="Arial" w:cs="Arial"/>
          </w:rPr>
          <w:t>https://doi.org/10.56951/medicinus.v35i1.88</w:t>
        </w:r>
      </w:hyperlink>
      <w:r w:rsidR="00DF3DBF">
        <w:rPr>
          <w:rFonts w:ascii="Arial" w:hAnsi="Arial" w:cs="Arial"/>
        </w:rPr>
        <w:t xml:space="preserve"> </w:t>
      </w:r>
    </w:p>
    <w:p w14:paraId="1792D292" w14:textId="150D46AE"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t xml:space="preserve">Lucky AW, Piacquadio DJ, Ditre CM, Dunlap F, Kantor I, Pandya AG, et al. A randomized, placebo-controlled trial of 5% and 2% topical minoxidil solutions in the treatment of female pattern hair loss. J Am </w:t>
      </w:r>
      <w:proofErr w:type="spellStart"/>
      <w:r w:rsidRPr="006F1D3F">
        <w:rPr>
          <w:rFonts w:ascii="Arial" w:hAnsi="Arial" w:cs="Arial"/>
        </w:rPr>
        <w:t>Acad</w:t>
      </w:r>
      <w:proofErr w:type="spellEnd"/>
      <w:r w:rsidRPr="006F1D3F">
        <w:rPr>
          <w:rFonts w:ascii="Arial" w:hAnsi="Arial" w:cs="Arial"/>
        </w:rPr>
        <w:t xml:space="preserve"> Dermatol. 2004;50(4):541-53. </w:t>
      </w:r>
      <w:proofErr w:type="spellStart"/>
      <w:r w:rsidRPr="006F1D3F">
        <w:rPr>
          <w:rFonts w:ascii="Arial" w:hAnsi="Arial" w:cs="Arial"/>
        </w:rPr>
        <w:t>Epub</w:t>
      </w:r>
      <w:proofErr w:type="spellEnd"/>
      <w:r w:rsidRPr="006F1D3F">
        <w:rPr>
          <w:rFonts w:ascii="Arial" w:hAnsi="Arial" w:cs="Arial"/>
        </w:rPr>
        <w:t xml:space="preserve"> 2004/03/23.</w:t>
      </w:r>
      <w:r w:rsidR="00DF3DBF">
        <w:rPr>
          <w:rFonts w:ascii="Arial" w:hAnsi="Arial" w:cs="Arial"/>
        </w:rPr>
        <w:t xml:space="preserve"> </w:t>
      </w:r>
      <w:hyperlink r:id="rId16" w:history="1">
        <w:r w:rsidR="00DF3DBF" w:rsidRPr="00CE27AB">
          <w:rPr>
            <w:rStyle w:val="Hyperlink"/>
            <w:rFonts w:ascii="Arial" w:hAnsi="Arial" w:cs="Arial"/>
          </w:rPr>
          <w:t>https://doi.org/10.1016/j.jaad.2003.06.014</w:t>
        </w:r>
      </w:hyperlink>
      <w:r w:rsidR="00DF3DBF">
        <w:rPr>
          <w:rFonts w:ascii="Arial" w:hAnsi="Arial" w:cs="Arial"/>
        </w:rPr>
        <w:t xml:space="preserve"> </w:t>
      </w:r>
    </w:p>
    <w:p w14:paraId="76A4E88D" w14:textId="55A71F31"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t xml:space="preserve">Stephanie, A. (2018). </w:t>
      </w:r>
      <w:proofErr w:type="spellStart"/>
      <w:r w:rsidRPr="006F1D3F">
        <w:rPr>
          <w:rFonts w:ascii="Arial" w:hAnsi="Arial" w:cs="Arial"/>
        </w:rPr>
        <w:t>Tatalaksana</w:t>
      </w:r>
      <w:proofErr w:type="spellEnd"/>
      <w:r w:rsidRPr="006F1D3F">
        <w:rPr>
          <w:rFonts w:ascii="Arial" w:hAnsi="Arial" w:cs="Arial"/>
        </w:rPr>
        <w:t xml:space="preserve"> </w:t>
      </w:r>
      <w:proofErr w:type="spellStart"/>
      <w:r w:rsidRPr="006F1D3F">
        <w:rPr>
          <w:rFonts w:ascii="Arial" w:hAnsi="Arial" w:cs="Arial"/>
        </w:rPr>
        <w:t>Alopesia</w:t>
      </w:r>
      <w:proofErr w:type="spellEnd"/>
      <w:r w:rsidRPr="006F1D3F">
        <w:rPr>
          <w:rFonts w:ascii="Arial" w:hAnsi="Arial" w:cs="Arial"/>
        </w:rPr>
        <w:t xml:space="preserve"> </w:t>
      </w:r>
      <w:proofErr w:type="spellStart"/>
      <w:r w:rsidRPr="006F1D3F">
        <w:rPr>
          <w:rFonts w:ascii="Arial" w:hAnsi="Arial" w:cs="Arial"/>
        </w:rPr>
        <w:t>Androgenetik</w:t>
      </w:r>
      <w:proofErr w:type="spellEnd"/>
      <w:r w:rsidRPr="006F1D3F">
        <w:rPr>
          <w:rFonts w:ascii="Arial" w:hAnsi="Arial" w:cs="Arial"/>
        </w:rPr>
        <w:t xml:space="preserve">. </w:t>
      </w:r>
      <w:proofErr w:type="spellStart"/>
      <w:r w:rsidRPr="006F1D3F">
        <w:rPr>
          <w:rFonts w:ascii="Arial" w:hAnsi="Arial" w:cs="Arial"/>
        </w:rPr>
        <w:t>Cermin</w:t>
      </w:r>
      <w:proofErr w:type="spellEnd"/>
      <w:r w:rsidRPr="006F1D3F">
        <w:rPr>
          <w:rFonts w:ascii="Arial" w:hAnsi="Arial" w:cs="Arial"/>
        </w:rPr>
        <w:t xml:space="preserve"> Dunia </w:t>
      </w:r>
      <w:proofErr w:type="spellStart"/>
      <w:r w:rsidRPr="006F1D3F">
        <w:rPr>
          <w:rFonts w:ascii="Arial" w:hAnsi="Arial" w:cs="Arial"/>
        </w:rPr>
        <w:t>Kedokteran</w:t>
      </w:r>
      <w:proofErr w:type="spellEnd"/>
      <w:r w:rsidRPr="006F1D3F">
        <w:rPr>
          <w:rFonts w:ascii="Arial" w:hAnsi="Arial" w:cs="Arial"/>
        </w:rPr>
        <w:t>, 45(8), 582-587.</w:t>
      </w:r>
      <w:r w:rsidR="00DF3DBF">
        <w:rPr>
          <w:rFonts w:ascii="Arial" w:hAnsi="Arial" w:cs="Arial"/>
        </w:rPr>
        <w:t xml:space="preserve"> </w:t>
      </w:r>
      <w:hyperlink r:id="rId17" w:history="1">
        <w:r w:rsidR="00DF3DBF" w:rsidRPr="00CE27AB">
          <w:rPr>
            <w:rStyle w:val="Hyperlink"/>
            <w:rFonts w:ascii="Arial" w:hAnsi="Arial" w:cs="Arial"/>
          </w:rPr>
          <w:t>https://doi.org/10.55175/cdk.v45i8.735</w:t>
        </w:r>
      </w:hyperlink>
      <w:r w:rsidR="00DF3DBF">
        <w:rPr>
          <w:rFonts w:ascii="Arial" w:hAnsi="Arial" w:cs="Arial"/>
        </w:rPr>
        <w:t xml:space="preserve"> </w:t>
      </w:r>
    </w:p>
    <w:p w14:paraId="2F7A6E4C" w14:textId="0C4EDA3B" w:rsidR="00D644BC" w:rsidRPr="006F1D3F" w:rsidRDefault="00D644BC" w:rsidP="00D644BC">
      <w:pPr>
        <w:pStyle w:val="BodyText"/>
        <w:numPr>
          <w:ilvl w:val="0"/>
          <w:numId w:val="31"/>
        </w:numPr>
        <w:spacing w:before="157" w:line="259" w:lineRule="auto"/>
        <w:ind w:right="-93"/>
        <w:jc w:val="both"/>
        <w:rPr>
          <w:rFonts w:ascii="Arial" w:hAnsi="Arial" w:cs="Arial"/>
        </w:rPr>
      </w:pPr>
      <w:proofErr w:type="spellStart"/>
      <w:r w:rsidRPr="006F1D3F">
        <w:rPr>
          <w:rFonts w:ascii="Arial" w:hAnsi="Arial" w:cs="Arial"/>
        </w:rPr>
        <w:t>Darmaningrat</w:t>
      </w:r>
      <w:proofErr w:type="spellEnd"/>
      <w:r w:rsidRPr="006F1D3F">
        <w:rPr>
          <w:rFonts w:ascii="Arial" w:hAnsi="Arial" w:cs="Arial"/>
        </w:rPr>
        <w:t xml:space="preserve">, A., Ari, S., </w:t>
      </w:r>
      <w:proofErr w:type="spellStart"/>
      <w:r w:rsidRPr="006F1D3F">
        <w:rPr>
          <w:rFonts w:ascii="Arial" w:hAnsi="Arial" w:cs="Arial"/>
        </w:rPr>
        <w:t>Lousiana</w:t>
      </w:r>
      <w:proofErr w:type="spellEnd"/>
      <w:r w:rsidRPr="006F1D3F">
        <w:rPr>
          <w:rFonts w:ascii="Arial" w:hAnsi="Arial" w:cs="Arial"/>
        </w:rPr>
        <w:t xml:space="preserve">, S., &amp; </w:t>
      </w:r>
      <w:proofErr w:type="spellStart"/>
      <w:r w:rsidRPr="006F1D3F">
        <w:rPr>
          <w:rFonts w:ascii="Arial" w:hAnsi="Arial" w:cs="Arial"/>
        </w:rPr>
        <w:t>Nurhidayati</w:t>
      </w:r>
      <w:proofErr w:type="spellEnd"/>
      <w:r w:rsidRPr="006F1D3F">
        <w:rPr>
          <w:rFonts w:ascii="Arial" w:hAnsi="Arial" w:cs="Arial"/>
        </w:rPr>
        <w:t xml:space="preserve">, N. (2022). </w:t>
      </w:r>
      <w:proofErr w:type="spellStart"/>
      <w:r w:rsidRPr="006F1D3F">
        <w:rPr>
          <w:rFonts w:ascii="Arial" w:hAnsi="Arial" w:cs="Arial"/>
        </w:rPr>
        <w:t>Alopesia</w:t>
      </w:r>
      <w:proofErr w:type="spellEnd"/>
      <w:r w:rsidRPr="006F1D3F">
        <w:rPr>
          <w:rFonts w:ascii="Arial" w:hAnsi="Arial" w:cs="Arial"/>
        </w:rPr>
        <w:t xml:space="preserve"> </w:t>
      </w:r>
      <w:proofErr w:type="spellStart"/>
      <w:r w:rsidRPr="006F1D3F">
        <w:rPr>
          <w:rFonts w:ascii="Arial" w:hAnsi="Arial" w:cs="Arial"/>
        </w:rPr>
        <w:t>Androgenetik</w:t>
      </w:r>
      <w:proofErr w:type="spellEnd"/>
      <w:r w:rsidRPr="006F1D3F">
        <w:rPr>
          <w:rFonts w:ascii="Arial" w:hAnsi="Arial" w:cs="Arial"/>
        </w:rPr>
        <w:t xml:space="preserve">: </w:t>
      </w:r>
      <w:proofErr w:type="spellStart"/>
      <w:r w:rsidRPr="006F1D3F">
        <w:rPr>
          <w:rFonts w:ascii="Arial" w:hAnsi="Arial" w:cs="Arial"/>
        </w:rPr>
        <w:t>Mengenali</w:t>
      </w:r>
      <w:proofErr w:type="spellEnd"/>
      <w:r w:rsidRPr="006F1D3F">
        <w:rPr>
          <w:rFonts w:ascii="Arial" w:hAnsi="Arial" w:cs="Arial"/>
        </w:rPr>
        <w:t xml:space="preserve"> </w:t>
      </w:r>
      <w:proofErr w:type="spellStart"/>
      <w:r w:rsidRPr="006F1D3F">
        <w:rPr>
          <w:rFonts w:ascii="Arial" w:hAnsi="Arial" w:cs="Arial"/>
        </w:rPr>
        <w:t>Manifestasi</w:t>
      </w:r>
      <w:proofErr w:type="spellEnd"/>
      <w:r w:rsidRPr="006F1D3F">
        <w:rPr>
          <w:rFonts w:ascii="Arial" w:hAnsi="Arial" w:cs="Arial"/>
        </w:rPr>
        <w:t xml:space="preserve"> Klinis Hingga Tatalaksana. JUKEJ: </w:t>
      </w:r>
      <w:proofErr w:type="spellStart"/>
      <w:r w:rsidRPr="006F1D3F">
        <w:rPr>
          <w:rFonts w:ascii="Arial" w:hAnsi="Arial" w:cs="Arial"/>
        </w:rPr>
        <w:t>Jurnal</w:t>
      </w:r>
      <w:proofErr w:type="spellEnd"/>
      <w:r w:rsidRPr="006F1D3F">
        <w:rPr>
          <w:rFonts w:ascii="Arial" w:hAnsi="Arial" w:cs="Arial"/>
        </w:rPr>
        <w:t xml:space="preserve"> </w:t>
      </w:r>
      <w:proofErr w:type="spellStart"/>
      <w:r w:rsidRPr="006F1D3F">
        <w:rPr>
          <w:rFonts w:ascii="Arial" w:hAnsi="Arial" w:cs="Arial"/>
        </w:rPr>
        <w:t>Kesehatan</w:t>
      </w:r>
      <w:proofErr w:type="spellEnd"/>
      <w:r w:rsidRPr="006F1D3F">
        <w:rPr>
          <w:rFonts w:ascii="Arial" w:hAnsi="Arial" w:cs="Arial"/>
        </w:rPr>
        <w:t xml:space="preserve"> </w:t>
      </w:r>
      <w:proofErr w:type="spellStart"/>
      <w:r w:rsidRPr="006F1D3F">
        <w:rPr>
          <w:rFonts w:ascii="Arial" w:hAnsi="Arial" w:cs="Arial"/>
        </w:rPr>
        <w:t>Jompa</w:t>
      </w:r>
      <w:proofErr w:type="spellEnd"/>
      <w:r w:rsidRPr="006F1D3F">
        <w:rPr>
          <w:rFonts w:ascii="Arial" w:hAnsi="Arial" w:cs="Arial"/>
        </w:rPr>
        <w:t>, 1(2), 109-117.</w:t>
      </w:r>
      <w:r w:rsidR="00DF3DBF">
        <w:rPr>
          <w:rFonts w:ascii="Arial" w:hAnsi="Arial" w:cs="Arial"/>
        </w:rPr>
        <w:t xml:space="preserve">  </w:t>
      </w:r>
      <w:hyperlink r:id="rId18" w:history="1">
        <w:r w:rsidR="00DF3DBF" w:rsidRPr="00CE27AB">
          <w:rPr>
            <w:rStyle w:val="Hyperlink"/>
            <w:rFonts w:ascii="Arial" w:hAnsi="Arial" w:cs="Arial"/>
          </w:rPr>
          <w:t>https://doi.org/10.57218/jkj.Vol1.Iss2.397</w:t>
        </w:r>
      </w:hyperlink>
      <w:r w:rsidR="00DF3DBF">
        <w:rPr>
          <w:rFonts w:ascii="Arial" w:hAnsi="Arial" w:cs="Arial"/>
        </w:rPr>
        <w:t xml:space="preserve"> </w:t>
      </w:r>
    </w:p>
    <w:p w14:paraId="06E623DE" w14:textId="182F9042" w:rsidR="00D644BC" w:rsidRPr="006F1D3F" w:rsidRDefault="00D644BC" w:rsidP="00D644BC">
      <w:pPr>
        <w:pStyle w:val="BodyText"/>
        <w:numPr>
          <w:ilvl w:val="0"/>
          <w:numId w:val="31"/>
        </w:numPr>
        <w:spacing w:before="157" w:line="259" w:lineRule="auto"/>
        <w:ind w:right="-93"/>
        <w:jc w:val="both"/>
        <w:rPr>
          <w:rFonts w:ascii="Arial" w:hAnsi="Arial" w:cs="Arial"/>
        </w:rPr>
      </w:pPr>
      <w:r w:rsidRPr="006F1D3F">
        <w:rPr>
          <w:rFonts w:ascii="Arial" w:hAnsi="Arial" w:cs="Arial"/>
        </w:rPr>
        <w:fldChar w:fldCharType="begin"/>
      </w:r>
      <w:r w:rsidRPr="006F1D3F">
        <w:rPr>
          <w:rFonts w:ascii="Arial" w:hAnsi="Arial" w:cs="Arial"/>
        </w:rPr>
        <w:instrText xml:space="preserve"> ADDIN ZOTERO_BIBL {"uncited":[],"omitted":[],"custom":[]} CSL_BIBLIOGRAPHY </w:instrText>
      </w:r>
      <w:r w:rsidRPr="006F1D3F">
        <w:rPr>
          <w:rFonts w:ascii="Arial" w:hAnsi="Arial" w:cs="Arial"/>
        </w:rPr>
        <w:fldChar w:fldCharType="separate"/>
      </w:r>
      <w:r w:rsidRPr="006F1D3F">
        <w:rPr>
          <w:rFonts w:ascii="Arial" w:hAnsi="Arial" w:cs="Arial"/>
        </w:rPr>
        <w:t xml:space="preserve">Gupta, J., Chouhan, K., Kumar, A., &amp; Chandrasegaran, A. (2019). A comparative study on the rate of anagen effluvium and survival rates of scalp, beard, and chest hair in hair restoration procedure of scalp. </w:t>
      </w:r>
      <w:r w:rsidRPr="006F1D3F">
        <w:rPr>
          <w:rFonts w:ascii="Arial" w:hAnsi="Arial" w:cs="Arial"/>
          <w:i/>
          <w:iCs/>
        </w:rPr>
        <w:t>Journal of Cutaneous and Aesthetic Surgery</w:t>
      </w:r>
      <w:r w:rsidRPr="006F1D3F">
        <w:rPr>
          <w:rFonts w:ascii="Arial" w:hAnsi="Arial" w:cs="Arial"/>
        </w:rPr>
        <w:t xml:space="preserve">, </w:t>
      </w:r>
      <w:r w:rsidRPr="006F1D3F">
        <w:rPr>
          <w:rFonts w:ascii="Arial" w:hAnsi="Arial" w:cs="Arial"/>
          <w:i/>
          <w:iCs/>
        </w:rPr>
        <w:t>12</w:t>
      </w:r>
      <w:r w:rsidRPr="006F1D3F">
        <w:rPr>
          <w:rFonts w:ascii="Arial" w:hAnsi="Arial" w:cs="Arial"/>
        </w:rPr>
        <w:t xml:space="preserve">(2), 118. </w:t>
      </w:r>
      <w:r w:rsidR="00DF3DBF" w:rsidRPr="00DF3DBF">
        <w:rPr>
          <w:rFonts w:ascii="Arial" w:hAnsi="Arial" w:cs="Arial"/>
        </w:rPr>
        <w:t>https://doi.org/10.4103/JCAS.JCAS_49_18</w:t>
      </w:r>
      <w:r w:rsidR="00DF3DBF">
        <w:rPr>
          <w:rFonts w:ascii="Arial" w:hAnsi="Arial" w:cs="Arial"/>
        </w:rPr>
        <w:t xml:space="preserve">  </w:t>
      </w:r>
    </w:p>
    <w:p w14:paraId="45FAAF59" w14:textId="5075852F" w:rsidR="00D644BC" w:rsidRPr="006F1D3F" w:rsidRDefault="00D644BC" w:rsidP="00D644BC">
      <w:pPr>
        <w:pStyle w:val="BodyText"/>
        <w:numPr>
          <w:ilvl w:val="0"/>
          <w:numId w:val="31"/>
        </w:numPr>
        <w:spacing w:before="157" w:line="259" w:lineRule="auto"/>
        <w:ind w:right="-93"/>
        <w:jc w:val="both"/>
        <w:rPr>
          <w:rFonts w:ascii="Arial" w:hAnsi="Arial" w:cs="Arial"/>
        </w:rPr>
      </w:pPr>
      <w:r w:rsidRPr="006F1D3F">
        <w:rPr>
          <w:rFonts w:ascii="Arial" w:hAnsi="Arial" w:cs="Arial"/>
        </w:rPr>
        <w:fldChar w:fldCharType="end"/>
      </w:r>
      <w:r w:rsidRPr="006F1D3F">
        <w:rPr>
          <w:rFonts w:ascii="Arial" w:hAnsi="Arial" w:cs="Arial"/>
        </w:rPr>
        <w:t xml:space="preserve"> Chen JX, Justicz N, Lee LN. Platelet-Rich Plasma for the Treatment of Androgenic Alopecia: A Systematic Review. Facial Plast Surg. 2018;34(6):631-40. 43.</w:t>
      </w:r>
      <w:r w:rsidR="00DF3DBF">
        <w:rPr>
          <w:rFonts w:ascii="Arial" w:hAnsi="Arial" w:cs="Arial"/>
        </w:rPr>
        <w:t xml:space="preserve"> </w:t>
      </w:r>
      <w:hyperlink r:id="rId19" w:history="1">
        <w:r w:rsidR="00DF3DBF" w:rsidRPr="00CE27AB">
          <w:rPr>
            <w:rStyle w:val="Hyperlink"/>
            <w:rFonts w:ascii="Arial" w:hAnsi="Arial" w:cs="Arial"/>
          </w:rPr>
          <w:t>https://doi.org/10.1055/s-0038-1660845</w:t>
        </w:r>
      </w:hyperlink>
      <w:r w:rsidR="00DF3DBF">
        <w:rPr>
          <w:rFonts w:ascii="Arial" w:hAnsi="Arial" w:cs="Arial"/>
        </w:rPr>
        <w:t xml:space="preserve"> </w:t>
      </w:r>
    </w:p>
    <w:p w14:paraId="3D25CFE9" w14:textId="406C2F27"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t xml:space="preserve">Stevens J, Khetarpal S. Platelet-rich plasma for androgenetic alopecia: A review of the literature and proposed treatment protocol. (2019). Int J </w:t>
      </w:r>
      <w:proofErr w:type="spellStart"/>
      <w:r w:rsidRPr="006F1D3F">
        <w:rPr>
          <w:rFonts w:ascii="Arial" w:hAnsi="Arial" w:cs="Arial"/>
        </w:rPr>
        <w:t>Womens</w:t>
      </w:r>
      <w:proofErr w:type="spellEnd"/>
      <w:r w:rsidRPr="006F1D3F">
        <w:rPr>
          <w:rFonts w:ascii="Arial" w:hAnsi="Arial" w:cs="Arial"/>
        </w:rPr>
        <w:t xml:space="preserve"> Dermatol. 5(1):46-51.</w:t>
      </w:r>
      <w:r w:rsidR="00DF3DBF">
        <w:rPr>
          <w:rFonts w:ascii="Arial" w:hAnsi="Arial" w:cs="Arial"/>
        </w:rPr>
        <w:t xml:space="preserve"> </w:t>
      </w:r>
      <w:hyperlink r:id="rId20" w:history="1">
        <w:r w:rsidR="00DF3DBF" w:rsidRPr="00CE27AB">
          <w:rPr>
            <w:rStyle w:val="Hyperlink"/>
            <w:rFonts w:ascii="Arial" w:hAnsi="Arial" w:cs="Arial"/>
          </w:rPr>
          <w:t>https://doi.org/10.1016/j.ijwd.2018.08.004</w:t>
        </w:r>
      </w:hyperlink>
      <w:r w:rsidR="00DF3DBF">
        <w:rPr>
          <w:rFonts w:ascii="Arial" w:hAnsi="Arial" w:cs="Arial"/>
        </w:rPr>
        <w:t xml:space="preserve"> </w:t>
      </w:r>
    </w:p>
    <w:p w14:paraId="6EA5EAAB" w14:textId="31E02F3B" w:rsidR="00D644BC" w:rsidRPr="006F1D3F" w:rsidRDefault="00D644BC" w:rsidP="00D644BC">
      <w:pPr>
        <w:pStyle w:val="BodyText"/>
        <w:numPr>
          <w:ilvl w:val="0"/>
          <w:numId w:val="31"/>
        </w:numPr>
        <w:spacing w:before="185" w:line="259" w:lineRule="auto"/>
        <w:ind w:right="-93"/>
        <w:jc w:val="both"/>
        <w:rPr>
          <w:rFonts w:ascii="Arial" w:hAnsi="Arial" w:cs="Arial"/>
        </w:rPr>
      </w:pPr>
      <w:r w:rsidRPr="006F1D3F">
        <w:rPr>
          <w:rFonts w:ascii="Arial" w:hAnsi="Arial" w:cs="Arial"/>
        </w:rPr>
        <w:t xml:space="preserve">Alves, R., &amp; </w:t>
      </w:r>
      <w:proofErr w:type="spellStart"/>
      <w:r w:rsidRPr="006F1D3F">
        <w:rPr>
          <w:rFonts w:ascii="Arial" w:hAnsi="Arial" w:cs="Arial"/>
        </w:rPr>
        <w:t>Grimalt</w:t>
      </w:r>
      <w:proofErr w:type="spellEnd"/>
      <w:r w:rsidRPr="006F1D3F">
        <w:rPr>
          <w:rFonts w:ascii="Arial" w:hAnsi="Arial" w:cs="Arial"/>
        </w:rPr>
        <w:t>, R. (2016). Randomized placebo-controlled, double-blind, half- head study to assess the efficacy of platelet-rich plasma on the treatment of androgenetic alopecia. Dermatologic Surgery, 42(4), 491-497.</w:t>
      </w:r>
      <w:r w:rsidR="00DF3DBF">
        <w:rPr>
          <w:rFonts w:ascii="Arial" w:hAnsi="Arial" w:cs="Arial"/>
        </w:rPr>
        <w:t xml:space="preserve"> </w:t>
      </w:r>
      <w:hyperlink r:id="rId21" w:history="1">
        <w:r w:rsidR="00DF3DBF" w:rsidRPr="00CE27AB">
          <w:rPr>
            <w:rStyle w:val="Hyperlink"/>
            <w:rFonts w:ascii="Arial" w:hAnsi="Arial" w:cs="Arial"/>
          </w:rPr>
          <w:t>https://doi.org/10.1097/DSS.0000000000000665</w:t>
        </w:r>
      </w:hyperlink>
      <w:r w:rsidR="00DF3DBF">
        <w:rPr>
          <w:rFonts w:ascii="Arial" w:hAnsi="Arial" w:cs="Arial"/>
        </w:rPr>
        <w:t xml:space="preserve"> </w:t>
      </w:r>
    </w:p>
    <w:p w14:paraId="6E2897D5" w14:textId="1FA477C6"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t>Kim, D. H., Je, Y. J., Kim, C. D., Lee, Y. H., Seo, Y. J., Lee, J. H., &amp; Lee, Y. (2011). Can platelet-rich plasma be used for skin rejuvenation? Evaluation of effects of platelet-rich plasma on human dermal fibroblast. Annals of dermatology, 23(4), 424-431.</w:t>
      </w:r>
      <w:r w:rsidR="00DF3DBF">
        <w:rPr>
          <w:rFonts w:ascii="Arial" w:hAnsi="Arial" w:cs="Arial"/>
        </w:rPr>
        <w:t xml:space="preserve"> </w:t>
      </w:r>
      <w:hyperlink r:id="rId22" w:history="1">
        <w:r w:rsidR="00DF3DBF" w:rsidRPr="00CE27AB">
          <w:rPr>
            <w:rStyle w:val="Hyperlink"/>
            <w:rFonts w:ascii="Arial" w:hAnsi="Arial" w:cs="Arial"/>
          </w:rPr>
          <w:t>https://doi.org/10.5021/ad.2011.23.4.424</w:t>
        </w:r>
      </w:hyperlink>
      <w:r w:rsidR="00DF3DBF">
        <w:rPr>
          <w:rFonts w:ascii="Arial" w:hAnsi="Arial" w:cs="Arial"/>
        </w:rPr>
        <w:t xml:space="preserve"> </w:t>
      </w:r>
    </w:p>
    <w:p w14:paraId="2655AE02" w14:textId="2279C552"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t xml:space="preserve">Uebel, C. O., da Silva, J. B., </w:t>
      </w:r>
      <w:proofErr w:type="spellStart"/>
      <w:r w:rsidRPr="006F1D3F">
        <w:rPr>
          <w:rFonts w:ascii="Arial" w:hAnsi="Arial" w:cs="Arial"/>
        </w:rPr>
        <w:t>Cantarelli</w:t>
      </w:r>
      <w:proofErr w:type="spellEnd"/>
      <w:r w:rsidRPr="006F1D3F">
        <w:rPr>
          <w:rFonts w:ascii="Arial" w:hAnsi="Arial" w:cs="Arial"/>
        </w:rPr>
        <w:t>, D., &amp; Martins, P. (2006). The role of platelet plasma growth factors in male pattern baldness surgery. Plastic and reconstructive surgery, 118(6), 1458-1466.</w:t>
      </w:r>
      <w:r w:rsidR="00DF3DBF">
        <w:rPr>
          <w:rFonts w:ascii="Arial" w:hAnsi="Arial" w:cs="Arial"/>
        </w:rPr>
        <w:t xml:space="preserve"> </w:t>
      </w:r>
      <w:hyperlink r:id="rId23" w:history="1">
        <w:r w:rsidR="00DB4AB8" w:rsidRPr="00CE27AB">
          <w:rPr>
            <w:rStyle w:val="Hyperlink"/>
            <w:rFonts w:ascii="Arial" w:hAnsi="Arial" w:cs="Arial"/>
          </w:rPr>
          <w:t>https://doi.org/10.1097/01.prs.0000239560.29172.33</w:t>
        </w:r>
      </w:hyperlink>
      <w:r w:rsidR="00DB4AB8">
        <w:rPr>
          <w:rFonts w:ascii="Arial" w:hAnsi="Arial" w:cs="Arial"/>
        </w:rPr>
        <w:t xml:space="preserve"> </w:t>
      </w:r>
    </w:p>
    <w:p w14:paraId="40013E4B" w14:textId="437D65C2"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lastRenderedPageBreak/>
        <w:t xml:space="preserve">Leo, M. S., Kumar, A. S., Kirit, R., </w:t>
      </w:r>
      <w:proofErr w:type="spellStart"/>
      <w:r w:rsidRPr="006F1D3F">
        <w:rPr>
          <w:rFonts w:ascii="Arial" w:hAnsi="Arial" w:cs="Arial"/>
        </w:rPr>
        <w:t>Konathan</w:t>
      </w:r>
      <w:proofErr w:type="spellEnd"/>
      <w:r w:rsidRPr="006F1D3F">
        <w:rPr>
          <w:rFonts w:ascii="Arial" w:hAnsi="Arial" w:cs="Arial"/>
        </w:rPr>
        <w:t xml:space="preserve">, R., &amp; </w:t>
      </w:r>
      <w:proofErr w:type="spellStart"/>
      <w:r w:rsidRPr="006F1D3F">
        <w:rPr>
          <w:rFonts w:ascii="Arial" w:hAnsi="Arial" w:cs="Arial"/>
        </w:rPr>
        <w:t>Sivamani</w:t>
      </w:r>
      <w:proofErr w:type="spellEnd"/>
      <w:r w:rsidRPr="006F1D3F">
        <w:rPr>
          <w:rFonts w:ascii="Arial" w:hAnsi="Arial" w:cs="Arial"/>
        </w:rPr>
        <w:t>, R. K. (2015). Systematic review of the use of platelet</w:t>
      </w:r>
      <w:r w:rsidRPr="006F1D3F">
        <w:rPr>
          <w:rFonts w:ascii="Cambria Math" w:hAnsi="Cambria Math" w:cs="Cambria Math"/>
        </w:rPr>
        <w:t>‐</w:t>
      </w:r>
      <w:r w:rsidRPr="006F1D3F">
        <w:rPr>
          <w:rFonts w:ascii="Arial" w:hAnsi="Arial" w:cs="Arial"/>
        </w:rPr>
        <w:t>rich plasma in aesthetic dermatology. Journal of cosmetic dermatology, 14(4), 315-323.</w:t>
      </w:r>
      <w:r w:rsidR="00DB4AB8">
        <w:rPr>
          <w:rFonts w:ascii="Arial" w:hAnsi="Arial" w:cs="Arial"/>
        </w:rPr>
        <w:t xml:space="preserve"> </w:t>
      </w:r>
      <w:hyperlink r:id="rId24" w:history="1">
        <w:r w:rsidR="00DB4AB8" w:rsidRPr="00CE27AB">
          <w:rPr>
            <w:rStyle w:val="Hyperlink"/>
            <w:rFonts w:ascii="Arial" w:hAnsi="Arial" w:cs="Arial"/>
          </w:rPr>
          <w:t>https://doi.org/10.1111/jocd.12167</w:t>
        </w:r>
      </w:hyperlink>
      <w:r w:rsidR="00DB4AB8">
        <w:rPr>
          <w:rFonts w:ascii="Arial" w:hAnsi="Arial" w:cs="Arial"/>
        </w:rPr>
        <w:t xml:space="preserve"> </w:t>
      </w:r>
    </w:p>
    <w:p w14:paraId="764D2BE4" w14:textId="394B74C2" w:rsidR="00D644BC" w:rsidRPr="0068475A" w:rsidRDefault="00D644BC" w:rsidP="0068475A">
      <w:pPr>
        <w:pStyle w:val="BodyText"/>
        <w:numPr>
          <w:ilvl w:val="0"/>
          <w:numId w:val="31"/>
        </w:numPr>
        <w:spacing w:before="153"/>
        <w:ind w:right="-93"/>
        <w:jc w:val="both"/>
        <w:rPr>
          <w:rFonts w:ascii="Arial" w:hAnsi="Arial" w:cs="Arial"/>
        </w:rPr>
      </w:pPr>
      <w:r w:rsidRPr="006F1D3F">
        <w:rPr>
          <w:rFonts w:ascii="Arial" w:hAnsi="Arial" w:cs="Arial"/>
          <w:spacing w:val="-2"/>
        </w:rPr>
        <w:t>Asadi,</w:t>
      </w:r>
      <w:r w:rsidRPr="006F1D3F">
        <w:rPr>
          <w:rFonts w:ascii="Arial" w:hAnsi="Arial" w:cs="Arial"/>
          <w:spacing w:val="-1"/>
        </w:rPr>
        <w:t xml:space="preserve"> </w:t>
      </w:r>
      <w:r w:rsidRPr="006F1D3F">
        <w:rPr>
          <w:rFonts w:ascii="Arial" w:hAnsi="Arial" w:cs="Arial"/>
          <w:spacing w:val="-2"/>
        </w:rPr>
        <w:t>M.,</w:t>
      </w:r>
      <w:r w:rsidRPr="006F1D3F">
        <w:rPr>
          <w:rFonts w:ascii="Arial" w:hAnsi="Arial" w:cs="Arial"/>
          <w:spacing w:val="-16"/>
        </w:rPr>
        <w:t xml:space="preserve"> </w:t>
      </w:r>
      <w:proofErr w:type="spellStart"/>
      <w:r w:rsidRPr="006F1D3F">
        <w:rPr>
          <w:rFonts w:ascii="Arial" w:hAnsi="Arial" w:cs="Arial"/>
          <w:spacing w:val="-2"/>
        </w:rPr>
        <w:t>Alamdari</w:t>
      </w:r>
      <w:proofErr w:type="spellEnd"/>
      <w:r w:rsidRPr="006F1D3F">
        <w:rPr>
          <w:rFonts w:ascii="Arial" w:hAnsi="Arial" w:cs="Arial"/>
          <w:spacing w:val="-2"/>
        </w:rPr>
        <w:t>,</w:t>
      </w:r>
      <w:r w:rsidRPr="006F1D3F">
        <w:rPr>
          <w:rFonts w:ascii="Arial" w:hAnsi="Arial" w:cs="Arial"/>
        </w:rPr>
        <w:t xml:space="preserve"> </w:t>
      </w:r>
      <w:r w:rsidRPr="006F1D3F">
        <w:rPr>
          <w:rFonts w:ascii="Arial" w:hAnsi="Arial" w:cs="Arial"/>
          <w:spacing w:val="-2"/>
        </w:rPr>
        <w:t>D.</w:t>
      </w:r>
      <w:r w:rsidRPr="006F1D3F">
        <w:rPr>
          <w:rFonts w:ascii="Arial" w:hAnsi="Arial" w:cs="Arial"/>
          <w:spacing w:val="-1"/>
        </w:rPr>
        <w:t xml:space="preserve"> </w:t>
      </w:r>
      <w:r w:rsidRPr="006F1D3F">
        <w:rPr>
          <w:rFonts w:ascii="Arial" w:hAnsi="Arial" w:cs="Arial"/>
          <w:spacing w:val="-2"/>
        </w:rPr>
        <w:t>H.,</w:t>
      </w:r>
      <w:r w:rsidRPr="006F1D3F">
        <w:rPr>
          <w:rFonts w:ascii="Arial" w:hAnsi="Arial" w:cs="Arial"/>
        </w:rPr>
        <w:t xml:space="preserve"> </w:t>
      </w:r>
      <w:r w:rsidRPr="006F1D3F">
        <w:rPr>
          <w:rFonts w:ascii="Arial" w:hAnsi="Arial" w:cs="Arial"/>
          <w:spacing w:val="-2"/>
        </w:rPr>
        <w:t>Rahimi,</w:t>
      </w:r>
      <w:r w:rsidRPr="006F1D3F">
        <w:rPr>
          <w:rFonts w:ascii="Arial" w:hAnsi="Arial" w:cs="Arial"/>
        </w:rPr>
        <w:t xml:space="preserve"> </w:t>
      </w:r>
      <w:r w:rsidRPr="006F1D3F">
        <w:rPr>
          <w:rFonts w:ascii="Arial" w:hAnsi="Arial" w:cs="Arial"/>
          <w:spacing w:val="-2"/>
        </w:rPr>
        <w:t>H.</w:t>
      </w:r>
      <w:r w:rsidRPr="006F1D3F">
        <w:rPr>
          <w:rFonts w:ascii="Arial" w:hAnsi="Arial" w:cs="Arial"/>
          <w:spacing w:val="-1"/>
        </w:rPr>
        <w:t xml:space="preserve"> </w:t>
      </w:r>
      <w:r w:rsidRPr="006F1D3F">
        <w:rPr>
          <w:rFonts w:ascii="Arial" w:hAnsi="Arial" w:cs="Arial"/>
          <w:spacing w:val="-2"/>
        </w:rPr>
        <w:t>R.,</w:t>
      </w:r>
      <w:r w:rsidRPr="006F1D3F">
        <w:rPr>
          <w:rFonts w:ascii="Arial" w:hAnsi="Arial" w:cs="Arial"/>
          <w:spacing w:val="-16"/>
        </w:rPr>
        <w:t xml:space="preserve"> </w:t>
      </w:r>
      <w:proofErr w:type="spellStart"/>
      <w:r w:rsidRPr="006F1D3F">
        <w:rPr>
          <w:rFonts w:ascii="Arial" w:hAnsi="Arial" w:cs="Arial"/>
          <w:spacing w:val="-2"/>
        </w:rPr>
        <w:t>Aliakbarian</w:t>
      </w:r>
      <w:proofErr w:type="spellEnd"/>
      <w:r w:rsidRPr="006F1D3F">
        <w:rPr>
          <w:rFonts w:ascii="Arial" w:hAnsi="Arial" w:cs="Arial"/>
          <w:spacing w:val="-2"/>
        </w:rPr>
        <w:t>,</w:t>
      </w:r>
      <w:r w:rsidRPr="006F1D3F">
        <w:rPr>
          <w:rFonts w:ascii="Arial" w:hAnsi="Arial" w:cs="Arial"/>
        </w:rPr>
        <w:t xml:space="preserve"> </w:t>
      </w:r>
      <w:r w:rsidRPr="006F1D3F">
        <w:rPr>
          <w:rFonts w:ascii="Arial" w:hAnsi="Arial" w:cs="Arial"/>
          <w:spacing w:val="-2"/>
        </w:rPr>
        <w:t>M.,</w:t>
      </w:r>
      <w:r w:rsidRPr="006F1D3F">
        <w:rPr>
          <w:rFonts w:ascii="Arial" w:hAnsi="Arial" w:cs="Arial"/>
        </w:rPr>
        <w:t xml:space="preserve"> </w:t>
      </w:r>
      <w:r w:rsidRPr="006F1D3F">
        <w:rPr>
          <w:rFonts w:ascii="Arial" w:hAnsi="Arial" w:cs="Arial"/>
          <w:spacing w:val="-2"/>
        </w:rPr>
        <w:t>Jangjoo,</w:t>
      </w:r>
      <w:r w:rsidRPr="006F1D3F">
        <w:rPr>
          <w:rFonts w:ascii="Arial" w:hAnsi="Arial" w:cs="Arial"/>
          <w:spacing w:val="-16"/>
        </w:rPr>
        <w:t xml:space="preserve"> </w:t>
      </w:r>
      <w:r w:rsidRPr="006F1D3F">
        <w:rPr>
          <w:rFonts w:ascii="Arial" w:hAnsi="Arial" w:cs="Arial"/>
          <w:spacing w:val="-2"/>
        </w:rPr>
        <w:t>A.,</w:t>
      </w:r>
      <w:r w:rsidRPr="006F1D3F">
        <w:rPr>
          <w:rFonts w:ascii="Arial" w:hAnsi="Arial" w:cs="Arial"/>
          <w:spacing w:val="-16"/>
        </w:rPr>
        <w:t xml:space="preserve"> </w:t>
      </w:r>
      <w:r w:rsidRPr="006F1D3F">
        <w:rPr>
          <w:rFonts w:ascii="Arial" w:hAnsi="Arial" w:cs="Arial"/>
          <w:spacing w:val="-2"/>
        </w:rPr>
        <w:t>Abdollahi,</w:t>
      </w:r>
      <w:r w:rsidRPr="006F1D3F">
        <w:rPr>
          <w:rFonts w:ascii="Arial" w:hAnsi="Arial" w:cs="Arial"/>
          <w:spacing w:val="-10"/>
        </w:rPr>
        <w:t xml:space="preserve"> </w:t>
      </w:r>
      <w:r w:rsidRPr="006F1D3F">
        <w:rPr>
          <w:rFonts w:ascii="Arial" w:hAnsi="Arial" w:cs="Arial"/>
          <w:spacing w:val="-5"/>
        </w:rPr>
        <w:t>A.,</w:t>
      </w:r>
      <w:r w:rsidR="0068475A">
        <w:rPr>
          <w:rFonts w:ascii="Arial" w:hAnsi="Arial" w:cs="Arial"/>
        </w:rPr>
        <w:t xml:space="preserve"> </w:t>
      </w:r>
      <w:proofErr w:type="spellStart"/>
      <w:r w:rsidRPr="0068475A">
        <w:rPr>
          <w:rFonts w:ascii="Arial" w:hAnsi="Arial" w:cs="Arial"/>
        </w:rPr>
        <w:t>Seifalian</w:t>
      </w:r>
      <w:proofErr w:type="spellEnd"/>
      <w:r w:rsidRPr="0068475A">
        <w:rPr>
          <w:rFonts w:ascii="Arial" w:hAnsi="Arial" w:cs="Arial"/>
        </w:rPr>
        <w:t xml:space="preserve">, A. (2014). Treatment of </w:t>
      </w:r>
      <w:proofErr w:type="gramStart"/>
      <w:r w:rsidRPr="0068475A">
        <w:rPr>
          <w:rFonts w:ascii="Arial" w:hAnsi="Arial" w:cs="Arial"/>
        </w:rPr>
        <w:t>life threatening</w:t>
      </w:r>
      <w:proofErr w:type="gramEnd"/>
      <w:r w:rsidRPr="0068475A">
        <w:rPr>
          <w:rFonts w:ascii="Arial" w:hAnsi="Arial" w:cs="Arial"/>
        </w:rPr>
        <w:t xml:space="preserve"> wounds with a combination</w:t>
      </w:r>
      <w:r w:rsidRPr="0068475A">
        <w:rPr>
          <w:rFonts w:ascii="Arial" w:hAnsi="Arial" w:cs="Arial"/>
          <w:spacing w:val="-9"/>
        </w:rPr>
        <w:t xml:space="preserve"> </w:t>
      </w:r>
      <w:r w:rsidRPr="0068475A">
        <w:rPr>
          <w:rFonts w:ascii="Arial" w:hAnsi="Arial" w:cs="Arial"/>
        </w:rPr>
        <w:t>of</w:t>
      </w:r>
      <w:r w:rsidRPr="0068475A">
        <w:rPr>
          <w:rFonts w:ascii="Arial" w:hAnsi="Arial" w:cs="Arial"/>
          <w:spacing w:val="-11"/>
        </w:rPr>
        <w:t xml:space="preserve"> </w:t>
      </w:r>
      <w:r w:rsidRPr="0068475A">
        <w:rPr>
          <w:rFonts w:ascii="Arial" w:hAnsi="Arial" w:cs="Arial"/>
        </w:rPr>
        <w:t>allogenic</w:t>
      </w:r>
      <w:r w:rsidRPr="0068475A">
        <w:rPr>
          <w:rFonts w:ascii="Arial" w:hAnsi="Arial" w:cs="Arial"/>
          <w:spacing w:val="-2"/>
        </w:rPr>
        <w:t xml:space="preserve"> </w:t>
      </w:r>
      <w:r w:rsidRPr="0068475A">
        <w:rPr>
          <w:rFonts w:ascii="Arial" w:hAnsi="Arial" w:cs="Arial"/>
          <w:i/>
        </w:rPr>
        <w:t>platelet-rich</w:t>
      </w:r>
      <w:r w:rsidRPr="0068475A">
        <w:rPr>
          <w:rFonts w:ascii="Arial" w:hAnsi="Arial" w:cs="Arial"/>
          <w:i/>
          <w:spacing w:val="-5"/>
        </w:rPr>
        <w:t xml:space="preserve"> </w:t>
      </w:r>
      <w:r w:rsidRPr="0068475A">
        <w:rPr>
          <w:rFonts w:ascii="Arial" w:hAnsi="Arial" w:cs="Arial"/>
          <w:i/>
        </w:rPr>
        <w:t>plasma</w:t>
      </w:r>
      <w:r w:rsidRPr="0068475A">
        <w:rPr>
          <w:rFonts w:ascii="Arial" w:hAnsi="Arial" w:cs="Arial"/>
        </w:rPr>
        <w:t>,</w:t>
      </w:r>
      <w:r w:rsidRPr="0068475A">
        <w:rPr>
          <w:rFonts w:ascii="Arial" w:hAnsi="Arial" w:cs="Arial"/>
          <w:spacing w:val="-2"/>
        </w:rPr>
        <w:t xml:space="preserve"> </w:t>
      </w:r>
      <w:r w:rsidRPr="0068475A">
        <w:rPr>
          <w:rFonts w:ascii="Arial" w:hAnsi="Arial" w:cs="Arial"/>
        </w:rPr>
        <w:t>fibrin</w:t>
      </w:r>
      <w:r w:rsidRPr="0068475A">
        <w:rPr>
          <w:rFonts w:ascii="Arial" w:hAnsi="Arial" w:cs="Arial"/>
          <w:spacing w:val="-9"/>
        </w:rPr>
        <w:t xml:space="preserve"> </w:t>
      </w:r>
      <w:r w:rsidRPr="0068475A">
        <w:rPr>
          <w:rFonts w:ascii="Arial" w:hAnsi="Arial" w:cs="Arial"/>
        </w:rPr>
        <w:t>glue</w:t>
      </w:r>
      <w:r w:rsidRPr="0068475A">
        <w:rPr>
          <w:rFonts w:ascii="Arial" w:hAnsi="Arial" w:cs="Arial"/>
          <w:spacing w:val="-5"/>
        </w:rPr>
        <w:t xml:space="preserve"> </w:t>
      </w:r>
      <w:r w:rsidRPr="0068475A">
        <w:rPr>
          <w:rFonts w:ascii="Arial" w:hAnsi="Arial" w:cs="Arial"/>
        </w:rPr>
        <w:t>and</w:t>
      </w:r>
      <w:r w:rsidRPr="0068475A">
        <w:rPr>
          <w:rFonts w:ascii="Arial" w:hAnsi="Arial" w:cs="Arial"/>
          <w:spacing w:val="-4"/>
        </w:rPr>
        <w:t xml:space="preserve"> </w:t>
      </w:r>
      <w:r w:rsidRPr="0068475A">
        <w:rPr>
          <w:rFonts w:ascii="Arial" w:hAnsi="Arial" w:cs="Arial"/>
        </w:rPr>
        <w:t>collagen</w:t>
      </w:r>
      <w:r w:rsidRPr="0068475A">
        <w:rPr>
          <w:rFonts w:ascii="Arial" w:hAnsi="Arial" w:cs="Arial"/>
          <w:spacing w:val="-4"/>
        </w:rPr>
        <w:t xml:space="preserve"> </w:t>
      </w:r>
      <w:r w:rsidRPr="0068475A">
        <w:rPr>
          <w:rFonts w:ascii="Arial" w:hAnsi="Arial" w:cs="Arial"/>
        </w:rPr>
        <w:t>matrix, and</w:t>
      </w:r>
      <w:r w:rsidRPr="0068475A">
        <w:rPr>
          <w:rFonts w:ascii="Arial" w:hAnsi="Arial" w:cs="Arial"/>
          <w:spacing w:val="-4"/>
        </w:rPr>
        <w:t xml:space="preserve"> </w:t>
      </w:r>
      <w:r w:rsidRPr="0068475A">
        <w:rPr>
          <w:rFonts w:ascii="Arial" w:hAnsi="Arial" w:cs="Arial"/>
        </w:rPr>
        <w:t>a literature</w:t>
      </w:r>
      <w:r w:rsidRPr="0068475A">
        <w:rPr>
          <w:rFonts w:ascii="Arial" w:hAnsi="Arial" w:cs="Arial"/>
          <w:spacing w:val="-5"/>
        </w:rPr>
        <w:t xml:space="preserve"> </w:t>
      </w:r>
      <w:r w:rsidRPr="0068475A">
        <w:rPr>
          <w:rFonts w:ascii="Arial" w:hAnsi="Arial" w:cs="Arial"/>
        </w:rPr>
        <w:t>review.</w:t>
      </w:r>
      <w:r w:rsidRPr="0068475A">
        <w:rPr>
          <w:rFonts w:ascii="Arial" w:hAnsi="Arial" w:cs="Arial"/>
          <w:spacing w:val="-2"/>
        </w:rPr>
        <w:t xml:space="preserve"> </w:t>
      </w:r>
      <w:r w:rsidRPr="0068475A">
        <w:rPr>
          <w:rFonts w:ascii="Arial" w:hAnsi="Arial" w:cs="Arial"/>
        </w:rPr>
        <w:t>Experimental</w:t>
      </w:r>
      <w:r w:rsidRPr="0068475A">
        <w:rPr>
          <w:rFonts w:ascii="Arial" w:hAnsi="Arial" w:cs="Arial"/>
          <w:spacing w:val="-12"/>
        </w:rPr>
        <w:t xml:space="preserve"> </w:t>
      </w:r>
      <w:r w:rsidRPr="0068475A">
        <w:rPr>
          <w:rFonts w:ascii="Arial" w:hAnsi="Arial" w:cs="Arial"/>
        </w:rPr>
        <w:t>and</w:t>
      </w:r>
      <w:r w:rsidRPr="0068475A">
        <w:rPr>
          <w:rFonts w:ascii="Arial" w:hAnsi="Arial" w:cs="Arial"/>
          <w:spacing w:val="-4"/>
        </w:rPr>
        <w:t xml:space="preserve"> </w:t>
      </w:r>
      <w:r w:rsidRPr="0068475A">
        <w:rPr>
          <w:rFonts w:ascii="Arial" w:hAnsi="Arial" w:cs="Arial"/>
        </w:rPr>
        <w:t>therapeutic medicine,</w:t>
      </w:r>
      <w:r w:rsidRPr="0068475A">
        <w:rPr>
          <w:rFonts w:ascii="Arial" w:hAnsi="Arial" w:cs="Arial"/>
          <w:spacing w:val="-2"/>
        </w:rPr>
        <w:t xml:space="preserve"> </w:t>
      </w:r>
      <w:r w:rsidRPr="0068475A">
        <w:rPr>
          <w:rFonts w:ascii="Arial" w:hAnsi="Arial" w:cs="Arial"/>
        </w:rPr>
        <w:t>8(2),</w:t>
      </w:r>
      <w:r w:rsidRPr="0068475A">
        <w:rPr>
          <w:rFonts w:ascii="Arial" w:hAnsi="Arial" w:cs="Arial"/>
          <w:spacing w:val="-7"/>
        </w:rPr>
        <w:t xml:space="preserve"> </w:t>
      </w:r>
      <w:r w:rsidRPr="0068475A">
        <w:rPr>
          <w:rFonts w:ascii="Arial" w:hAnsi="Arial" w:cs="Arial"/>
        </w:rPr>
        <w:t>423-429.</w:t>
      </w:r>
      <w:r w:rsidR="00DB4AB8">
        <w:rPr>
          <w:rFonts w:ascii="Arial" w:hAnsi="Arial" w:cs="Arial"/>
        </w:rPr>
        <w:t xml:space="preserve"> </w:t>
      </w:r>
      <w:hyperlink r:id="rId25" w:history="1">
        <w:r w:rsidR="00DB4AB8" w:rsidRPr="00CE27AB">
          <w:rPr>
            <w:rStyle w:val="Hyperlink"/>
            <w:rFonts w:ascii="Arial" w:hAnsi="Arial" w:cs="Arial"/>
          </w:rPr>
          <w:t>https://doi.org/10.3892/etm.2014.1747</w:t>
        </w:r>
      </w:hyperlink>
      <w:r w:rsidR="00DB4AB8">
        <w:rPr>
          <w:rFonts w:ascii="Arial" w:hAnsi="Arial" w:cs="Arial"/>
        </w:rPr>
        <w:t xml:space="preserve"> </w:t>
      </w:r>
    </w:p>
    <w:p w14:paraId="0999C085" w14:textId="2A111059"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t>Lee, Y., 2012. Autologous platelet-rich plasma: a potential therapeutic tool for promoting hair growth. Dermatologic Surgery, 38(7 pt1), pp.1040-1046.</w:t>
      </w:r>
      <w:r w:rsidR="00DB4AB8">
        <w:rPr>
          <w:rFonts w:ascii="Arial" w:hAnsi="Arial" w:cs="Arial"/>
        </w:rPr>
        <w:t xml:space="preserve"> </w:t>
      </w:r>
      <w:hyperlink r:id="rId26" w:history="1">
        <w:r w:rsidR="00DB4AB8" w:rsidRPr="00CE27AB">
          <w:rPr>
            <w:rStyle w:val="Hyperlink"/>
            <w:rFonts w:ascii="Arial" w:hAnsi="Arial" w:cs="Arial"/>
          </w:rPr>
          <w:t>https://doi.org/10.1111/j.1524-4725.2012.02394.x</w:t>
        </w:r>
      </w:hyperlink>
      <w:r w:rsidR="00DB4AB8">
        <w:rPr>
          <w:rFonts w:ascii="Arial" w:hAnsi="Arial" w:cs="Arial"/>
        </w:rPr>
        <w:t xml:space="preserve"> </w:t>
      </w:r>
    </w:p>
    <w:p w14:paraId="6A7B5700" w14:textId="77777777" w:rsidR="00D644BC" w:rsidRPr="006F1D3F" w:rsidRDefault="00D644BC" w:rsidP="00D644BC">
      <w:pPr>
        <w:pStyle w:val="Bibliography"/>
        <w:numPr>
          <w:ilvl w:val="0"/>
          <w:numId w:val="31"/>
        </w:numPr>
        <w:tabs>
          <w:tab w:val="left" w:pos="6941"/>
        </w:tabs>
        <w:spacing w:line="240" w:lineRule="auto"/>
        <w:ind w:right="-91"/>
        <w:jc w:val="both"/>
        <w:rPr>
          <w:rFonts w:ascii="Arial" w:hAnsi="Arial" w:cs="Arial"/>
          <w:sz w:val="20"/>
          <w:szCs w:val="20"/>
        </w:rPr>
      </w:pPr>
      <w:r w:rsidRPr="006F1D3F">
        <w:rPr>
          <w:rFonts w:ascii="Arial" w:hAnsi="Arial" w:cs="Arial"/>
          <w:sz w:val="20"/>
          <w:szCs w:val="20"/>
        </w:rPr>
        <w:t>Reddy, S. V.</w:t>
      </w:r>
      <w:proofErr w:type="gramStart"/>
      <w:r w:rsidRPr="006F1D3F">
        <w:rPr>
          <w:rFonts w:ascii="Arial" w:hAnsi="Arial" w:cs="Arial"/>
          <w:sz w:val="20"/>
          <w:szCs w:val="20"/>
        </w:rPr>
        <w:t>, .</w:t>
      </w:r>
      <w:proofErr w:type="gramEnd"/>
      <w:r w:rsidRPr="006F1D3F">
        <w:rPr>
          <w:rFonts w:ascii="Arial" w:hAnsi="Arial" w:cs="Arial"/>
          <w:sz w:val="20"/>
          <w:szCs w:val="20"/>
        </w:rPr>
        <w:t xml:space="preserve"> V., G, R., &amp; K, S. (2025). A </w:t>
      </w:r>
      <w:proofErr w:type="spellStart"/>
      <w:r w:rsidRPr="006F1D3F">
        <w:rPr>
          <w:rFonts w:ascii="Arial" w:hAnsi="Arial" w:cs="Arial"/>
          <w:sz w:val="20"/>
          <w:szCs w:val="20"/>
        </w:rPr>
        <w:t>clinico</w:t>
      </w:r>
      <w:proofErr w:type="spellEnd"/>
      <w:r w:rsidRPr="006F1D3F">
        <w:rPr>
          <w:rFonts w:ascii="Arial" w:hAnsi="Arial" w:cs="Arial"/>
          <w:sz w:val="20"/>
          <w:szCs w:val="20"/>
        </w:rPr>
        <w:t xml:space="preserve">-epidemiological study of non-scarring alopecia in a tertiary care centre. </w:t>
      </w:r>
      <w:r w:rsidRPr="006F1D3F">
        <w:rPr>
          <w:rFonts w:ascii="Arial" w:hAnsi="Arial" w:cs="Arial"/>
          <w:i/>
          <w:iCs/>
          <w:sz w:val="20"/>
          <w:szCs w:val="20"/>
        </w:rPr>
        <w:t>International Journal of Dermatology Sciences</w:t>
      </w:r>
      <w:r w:rsidRPr="006F1D3F">
        <w:rPr>
          <w:rFonts w:ascii="Arial" w:hAnsi="Arial" w:cs="Arial"/>
          <w:sz w:val="20"/>
          <w:szCs w:val="20"/>
        </w:rPr>
        <w:t xml:space="preserve">, </w:t>
      </w:r>
      <w:r w:rsidRPr="006F1D3F">
        <w:rPr>
          <w:rFonts w:ascii="Arial" w:hAnsi="Arial" w:cs="Arial"/>
          <w:i/>
          <w:iCs/>
          <w:sz w:val="20"/>
          <w:szCs w:val="20"/>
        </w:rPr>
        <w:t>7</w:t>
      </w:r>
      <w:r w:rsidRPr="006F1D3F">
        <w:rPr>
          <w:rFonts w:ascii="Arial" w:hAnsi="Arial" w:cs="Arial"/>
          <w:sz w:val="20"/>
          <w:szCs w:val="20"/>
        </w:rPr>
        <w:t>(1), 40–44. https://doi.org/10.33545/26649772.2025.v7.i1a.52</w:t>
      </w:r>
    </w:p>
    <w:p w14:paraId="18C58D0B" w14:textId="0C7682DA" w:rsidR="00D644BC" w:rsidRPr="006F1D3F" w:rsidRDefault="00D644BC" w:rsidP="00D644BC">
      <w:pPr>
        <w:pStyle w:val="Bibliography"/>
        <w:numPr>
          <w:ilvl w:val="0"/>
          <w:numId w:val="31"/>
        </w:numPr>
        <w:spacing w:line="240" w:lineRule="auto"/>
        <w:ind w:right="-91"/>
        <w:jc w:val="both"/>
        <w:rPr>
          <w:rFonts w:ascii="Arial" w:hAnsi="Arial" w:cs="Arial"/>
          <w:sz w:val="20"/>
          <w:szCs w:val="20"/>
        </w:rPr>
      </w:pPr>
      <w:r w:rsidRPr="006F1D3F">
        <w:rPr>
          <w:rFonts w:ascii="Arial" w:hAnsi="Arial" w:cs="Arial"/>
          <w:sz w:val="20"/>
          <w:szCs w:val="20"/>
        </w:rPr>
        <w:t xml:space="preserve">Gupta, A. K., Wang, T., &amp; Economopoulos, V. (2025). Epidemiological landscape of androgenetic alopecia in the US: An All of Us cross-sectional study. </w:t>
      </w:r>
      <w:r w:rsidRPr="006F1D3F">
        <w:rPr>
          <w:rFonts w:ascii="Arial" w:hAnsi="Arial" w:cs="Arial"/>
          <w:i/>
          <w:iCs/>
          <w:sz w:val="20"/>
          <w:szCs w:val="20"/>
        </w:rPr>
        <w:t>PLOS ONE</w:t>
      </w:r>
      <w:r w:rsidRPr="006F1D3F">
        <w:rPr>
          <w:rFonts w:ascii="Arial" w:hAnsi="Arial" w:cs="Arial"/>
          <w:sz w:val="20"/>
          <w:szCs w:val="20"/>
        </w:rPr>
        <w:t xml:space="preserve">, </w:t>
      </w:r>
      <w:r w:rsidRPr="006F1D3F">
        <w:rPr>
          <w:rFonts w:ascii="Arial" w:hAnsi="Arial" w:cs="Arial"/>
          <w:i/>
          <w:iCs/>
          <w:sz w:val="20"/>
          <w:szCs w:val="20"/>
        </w:rPr>
        <w:t>20</w:t>
      </w:r>
      <w:r w:rsidRPr="006F1D3F">
        <w:rPr>
          <w:rFonts w:ascii="Arial" w:hAnsi="Arial" w:cs="Arial"/>
          <w:sz w:val="20"/>
          <w:szCs w:val="20"/>
        </w:rPr>
        <w:t xml:space="preserve">(2), e0319040. </w:t>
      </w:r>
      <w:hyperlink r:id="rId27" w:history="1">
        <w:r w:rsidR="00DB4AB8" w:rsidRPr="00CE27AB">
          <w:rPr>
            <w:rStyle w:val="Hyperlink"/>
            <w:rFonts w:ascii="Arial" w:hAnsi="Arial" w:cs="Arial"/>
            <w:sz w:val="20"/>
            <w:szCs w:val="20"/>
          </w:rPr>
          <w:t>https://doi.org/10.1371/journal.pone.0319040</w:t>
        </w:r>
      </w:hyperlink>
      <w:r w:rsidR="00DB4AB8">
        <w:rPr>
          <w:rFonts w:ascii="Arial" w:hAnsi="Arial" w:cs="Arial"/>
          <w:sz w:val="20"/>
          <w:szCs w:val="20"/>
        </w:rPr>
        <w:t xml:space="preserve"> </w:t>
      </w:r>
    </w:p>
    <w:p w14:paraId="6DC0A401" w14:textId="637B1FA6"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t xml:space="preserve">Vasudevan, B., Neema, S., Ghosh, K., Singh, S., &amp; Khera, A. (2020). Hair transplantation by follicular unit extraction for male androgenetic alopecia: A retrospective observational study from two centers. Medical Journal Armed Forces India, 76(4), 430–437. </w:t>
      </w:r>
      <w:hyperlink r:id="rId28" w:history="1">
        <w:r w:rsidR="00DB4AB8" w:rsidRPr="00CE27AB">
          <w:rPr>
            <w:rStyle w:val="Hyperlink"/>
            <w:rFonts w:ascii="Arial" w:hAnsi="Arial" w:cs="Arial"/>
          </w:rPr>
          <w:t>https://doi.org/10.1016/j.mjafi.2019.11.001</w:t>
        </w:r>
      </w:hyperlink>
      <w:r w:rsidR="00DB4AB8">
        <w:rPr>
          <w:rFonts w:ascii="Arial" w:hAnsi="Arial" w:cs="Arial"/>
        </w:rPr>
        <w:t xml:space="preserve"> </w:t>
      </w:r>
    </w:p>
    <w:p w14:paraId="12609F5F" w14:textId="7244777B" w:rsidR="00D644BC" w:rsidRPr="006F1D3F" w:rsidRDefault="00D644BC" w:rsidP="00D644BC">
      <w:pPr>
        <w:pStyle w:val="BodyText"/>
        <w:numPr>
          <w:ilvl w:val="0"/>
          <w:numId w:val="31"/>
        </w:numPr>
        <w:spacing w:before="157" w:line="259" w:lineRule="auto"/>
        <w:ind w:right="-93"/>
        <w:jc w:val="both"/>
        <w:rPr>
          <w:rFonts w:ascii="Arial" w:hAnsi="Arial" w:cs="Arial"/>
        </w:rPr>
      </w:pPr>
      <w:r w:rsidRPr="006F1D3F">
        <w:rPr>
          <w:rFonts w:ascii="Arial" w:hAnsi="Arial" w:cs="Arial"/>
        </w:rPr>
        <w:t>Gupta, A. K., Versteeg, S. G., Rapaport, J., Hausauer, A. K., Shear, N. H., &amp; Piguet, V. (2019). The efficacy of platelet-rich plasma in the field of hair restoration and facial aesthetics—a systematic review and meta-analysis. Journal of Cutaneous Medicine and Surgery, 23(2), 185-203.</w:t>
      </w:r>
      <w:r w:rsidR="00DB4AB8">
        <w:rPr>
          <w:rFonts w:ascii="Arial" w:hAnsi="Arial" w:cs="Arial"/>
        </w:rPr>
        <w:t xml:space="preserve"> </w:t>
      </w:r>
      <w:hyperlink r:id="rId29" w:history="1">
        <w:r w:rsidR="00DB4AB8" w:rsidRPr="00CE27AB">
          <w:rPr>
            <w:rStyle w:val="Hyperlink"/>
            <w:rFonts w:ascii="Arial" w:hAnsi="Arial" w:cs="Arial"/>
          </w:rPr>
          <w:t>https://doi.org/10.1177/1203475418818073</w:t>
        </w:r>
      </w:hyperlink>
      <w:r w:rsidR="00DB4AB8">
        <w:rPr>
          <w:rFonts w:ascii="Arial" w:hAnsi="Arial" w:cs="Arial"/>
        </w:rPr>
        <w:t xml:space="preserve"> </w:t>
      </w:r>
    </w:p>
    <w:p w14:paraId="1FCEAD4C" w14:textId="4FCCFA2B" w:rsidR="00D644BC" w:rsidRPr="006F1D3F" w:rsidRDefault="00D644BC" w:rsidP="00D644BC">
      <w:pPr>
        <w:pStyle w:val="BodyText"/>
        <w:numPr>
          <w:ilvl w:val="0"/>
          <w:numId w:val="31"/>
        </w:numPr>
        <w:spacing w:before="157" w:line="259" w:lineRule="auto"/>
        <w:ind w:right="-93"/>
        <w:jc w:val="both"/>
        <w:rPr>
          <w:rFonts w:ascii="Arial" w:hAnsi="Arial" w:cs="Arial"/>
        </w:rPr>
      </w:pPr>
      <w:r w:rsidRPr="006F1D3F">
        <w:rPr>
          <w:rFonts w:ascii="Arial" w:hAnsi="Arial" w:cs="Arial"/>
        </w:rPr>
        <w:t xml:space="preserve">Chang, W. C., Chen, K. Y., Cheng, S. Y., Hsu, C. K., &amp; Yang, C. C. (2023). Mapping the hair density, thickness, and volume in normal and androgenetic alopecia subjects with the digital microscope. </w:t>
      </w:r>
      <w:r w:rsidRPr="006F1D3F">
        <w:rPr>
          <w:rFonts w:ascii="Arial" w:hAnsi="Arial" w:cs="Arial"/>
          <w:i/>
          <w:iCs/>
        </w:rPr>
        <w:t>JEADV Clinical Practice</w:t>
      </w:r>
      <w:r w:rsidRPr="006F1D3F">
        <w:rPr>
          <w:rFonts w:ascii="Arial" w:hAnsi="Arial" w:cs="Arial"/>
        </w:rPr>
        <w:t xml:space="preserve">, </w:t>
      </w:r>
      <w:r w:rsidRPr="006F1D3F">
        <w:rPr>
          <w:rFonts w:ascii="Arial" w:hAnsi="Arial" w:cs="Arial"/>
          <w:i/>
          <w:iCs/>
        </w:rPr>
        <w:t>2</w:t>
      </w:r>
      <w:r w:rsidRPr="006F1D3F">
        <w:rPr>
          <w:rFonts w:ascii="Arial" w:hAnsi="Arial" w:cs="Arial"/>
        </w:rPr>
        <w:t xml:space="preserve">(1), 174–178. </w:t>
      </w:r>
      <w:hyperlink r:id="rId30" w:history="1">
        <w:r w:rsidR="00DB4AB8" w:rsidRPr="00CE27AB">
          <w:rPr>
            <w:rStyle w:val="Hyperlink"/>
            <w:rFonts w:ascii="Arial" w:hAnsi="Arial" w:cs="Arial"/>
          </w:rPr>
          <w:t>https://doi.org/10.1002/jvc2.86</w:t>
        </w:r>
      </w:hyperlink>
      <w:r w:rsidR="00DB4AB8">
        <w:rPr>
          <w:rFonts w:ascii="Arial" w:hAnsi="Arial" w:cs="Arial"/>
        </w:rPr>
        <w:t xml:space="preserve">  </w:t>
      </w:r>
    </w:p>
    <w:p w14:paraId="56DAEF69" w14:textId="3805047A"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t xml:space="preserve">Jimenez, F., &amp; Higgins, C. (Eds.). (2022). Hair Follicle Regeneration (Vol. 72). Springer International Publishing. </w:t>
      </w:r>
      <w:hyperlink r:id="rId31" w:history="1">
        <w:r w:rsidR="00DB4AB8" w:rsidRPr="00CE27AB">
          <w:rPr>
            <w:rStyle w:val="Hyperlink"/>
            <w:rFonts w:ascii="Arial" w:hAnsi="Arial" w:cs="Arial"/>
          </w:rPr>
          <w:t>https://doi.org/10.1007/978-3-030-98331-4</w:t>
        </w:r>
      </w:hyperlink>
      <w:r w:rsidR="00DB4AB8">
        <w:rPr>
          <w:rFonts w:ascii="Arial" w:hAnsi="Arial" w:cs="Arial"/>
        </w:rPr>
        <w:t xml:space="preserve"> </w:t>
      </w:r>
    </w:p>
    <w:p w14:paraId="281F6ED4" w14:textId="0BCE38BD" w:rsidR="00D644BC" w:rsidRPr="006F1D3F" w:rsidRDefault="00D644BC" w:rsidP="00D644BC">
      <w:pPr>
        <w:pStyle w:val="BodyText"/>
        <w:numPr>
          <w:ilvl w:val="0"/>
          <w:numId w:val="31"/>
        </w:numPr>
        <w:spacing w:before="157" w:line="259" w:lineRule="auto"/>
        <w:ind w:right="-93"/>
        <w:jc w:val="both"/>
        <w:rPr>
          <w:rFonts w:ascii="Arial" w:hAnsi="Arial" w:cs="Arial"/>
        </w:rPr>
      </w:pPr>
      <w:r w:rsidRPr="006F1D3F">
        <w:rPr>
          <w:rFonts w:ascii="Arial" w:hAnsi="Arial" w:cs="Arial"/>
        </w:rPr>
        <w:t xml:space="preserve">Araújo, R., Fernandes, M., Cavaco-Paulo, A., &amp; Gomes, A. (2010). Biology of Human Hair: Know Your Hair to Control It. In G. S. Nyanhongo, W. Steiner, &amp; G. </w:t>
      </w:r>
      <w:proofErr w:type="spellStart"/>
      <w:r w:rsidRPr="006F1D3F">
        <w:rPr>
          <w:rFonts w:ascii="Arial" w:hAnsi="Arial" w:cs="Arial"/>
        </w:rPr>
        <w:t>Gübitz</w:t>
      </w:r>
      <w:proofErr w:type="spellEnd"/>
      <w:r w:rsidRPr="006F1D3F">
        <w:rPr>
          <w:rFonts w:ascii="Arial" w:hAnsi="Arial" w:cs="Arial"/>
        </w:rPr>
        <w:t xml:space="preserve"> (Eds.), Biofunctionalization of Polymers and their Applications (Vol. 125, pp. 121–143). Springer Berlin Heidelberg. </w:t>
      </w:r>
      <w:hyperlink r:id="rId32" w:history="1">
        <w:r w:rsidR="00194E86" w:rsidRPr="00CE27AB">
          <w:rPr>
            <w:rStyle w:val="Hyperlink"/>
            <w:rFonts w:ascii="Arial" w:hAnsi="Arial" w:cs="Arial"/>
          </w:rPr>
          <w:t>https://doi.org/10.1007/10_2010_88</w:t>
        </w:r>
      </w:hyperlink>
      <w:r w:rsidR="00194E86">
        <w:rPr>
          <w:rFonts w:ascii="Arial" w:hAnsi="Arial" w:cs="Arial"/>
        </w:rPr>
        <w:t xml:space="preserve"> </w:t>
      </w:r>
    </w:p>
    <w:p w14:paraId="58EB9321" w14:textId="4527DA81" w:rsidR="00D644BC" w:rsidRPr="00D644BC" w:rsidRDefault="00D644BC" w:rsidP="00D644BC">
      <w:pPr>
        <w:pStyle w:val="ListParagraph"/>
        <w:numPr>
          <w:ilvl w:val="0"/>
          <w:numId w:val="31"/>
        </w:numPr>
        <w:jc w:val="both"/>
        <w:rPr>
          <w:rFonts w:ascii="Arial" w:eastAsia="Aptos" w:hAnsi="Arial" w:cs="Arial"/>
          <w:kern w:val="2"/>
          <w:lang w:bidi="th-TH"/>
          <w14:ligatures w14:val="standardContextual"/>
        </w:rPr>
      </w:pPr>
      <w:r w:rsidRPr="00D644BC">
        <w:rPr>
          <w:rFonts w:ascii="Arial" w:eastAsia="Aptos" w:hAnsi="Arial" w:cs="Arial"/>
          <w:kern w:val="2"/>
          <w:lang w:bidi="th-TH"/>
          <w14:ligatures w14:val="standardContextual"/>
        </w:rPr>
        <w:t xml:space="preserve">Asakawa, K., Toyoshima, K., Ishibashi, N., </w:t>
      </w:r>
      <w:proofErr w:type="spellStart"/>
      <w:r w:rsidRPr="00D644BC">
        <w:rPr>
          <w:rFonts w:ascii="Arial" w:eastAsia="Aptos" w:hAnsi="Arial" w:cs="Arial"/>
          <w:kern w:val="2"/>
          <w:lang w:bidi="th-TH"/>
          <w14:ligatures w14:val="standardContextual"/>
        </w:rPr>
        <w:t>Tobe</w:t>
      </w:r>
      <w:proofErr w:type="spellEnd"/>
      <w:r w:rsidRPr="00D644BC">
        <w:rPr>
          <w:rFonts w:ascii="Arial" w:eastAsia="Aptos" w:hAnsi="Arial" w:cs="Arial"/>
          <w:kern w:val="2"/>
          <w:lang w:bidi="th-TH"/>
          <w14:ligatures w14:val="standardContextual"/>
        </w:rPr>
        <w:t xml:space="preserve">, H., </w:t>
      </w:r>
      <w:proofErr w:type="spellStart"/>
      <w:r w:rsidRPr="00D644BC">
        <w:rPr>
          <w:rFonts w:ascii="Arial" w:eastAsia="Aptos" w:hAnsi="Arial" w:cs="Arial"/>
          <w:kern w:val="2"/>
          <w:lang w:bidi="th-TH"/>
          <w14:ligatures w14:val="standardContextual"/>
        </w:rPr>
        <w:t>Iwadate</w:t>
      </w:r>
      <w:proofErr w:type="spellEnd"/>
      <w:r w:rsidRPr="00D644BC">
        <w:rPr>
          <w:rFonts w:ascii="Arial" w:eastAsia="Aptos" w:hAnsi="Arial" w:cs="Arial"/>
          <w:kern w:val="2"/>
          <w:lang w:bidi="th-TH"/>
          <w14:ligatures w14:val="standardContextual"/>
        </w:rPr>
        <w:t xml:space="preserve">, A., Kanayama, T., Hasegawa, T., Nakao, K., Toki, H., Noguchi, S., Ogawa, M., Sato, A., &amp; Tsuji, T. (2012). Hair organ regeneration via the bioengineered hair follicular unit transplantation. </w:t>
      </w:r>
      <w:r w:rsidRPr="00D644BC">
        <w:rPr>
          <w:rFonts w:ascii="Arial" w:eastAsia="Aptos" w:hAnsi="Arial" w:cs="Arial"/>
          <w:i/>
          <w:iCs/>
          <w:kern w:val="2"/>
          <w:lang w:bidi="th-TH"/>
          <w14:ligatures w14:val="standardContextual"/>
        </w:rPr>
        <w:t>Scientific Reports</w:t>
      </w:r>
      <w:r w:rsidRPr="00D644BC">
        <w:rPr>
          <w:rFonts w:ascii="Arial" w:eastAsia="Aptos" w:hAnsi="Arial" w:cs="Arial"/>
          <w:kern w:val="2"/>
          <w:lang w:bidi="th-TH"/>
          <w14:ligatures w14:val="standardContextual"/>
        </w:rPr>
        <w:t xml:space="preserve">, </w:t>
      </w:r>
      <w:r w:rsidRPr="00D644BC">
        <w:rPr>
          <w:rFonts w:ascii="Arial" w:eastAsia="Aptos" w:hAnsi="Arial" w:cs="Arial"/>
          <w:i/>
          <w:iCs/>
          <w:kern w:val="2"/>
          <w:lang w:bidi="th-TH"/>
          <w14:ligatures w14:val="standardContextual"/>
        </w:rPr>
        <w:t>2</w:t>
      </w:r>
      <w:r w:rsidRPr="00D644BC">
        <w:rPr>
          <w:rFonts w:ascii="Arial" w:eastAsia="Aptos" w:hAnsi="Arial" w:cs="Arial"/>
          <w:kern w:val="2"/>
          <w:lang w:bidi="th-TH"/>
          <w14:ligatures w14:val="standardContextual"/>
        </w:rPr>
        <w:t xml:space="preserve">(1), 424. </w:t>
      </w:r>
      <w:hyperlink r:id="rId33" w:history="1">
        <w:r w:rsidR="00194E86" w:rsidRPr="00CE27AB">
          <w:rPr>
            <w:rStyle w:val="Hyperlink"/>
            <w:rFonts w:ascii="Arial" w:eastAsia="Aptos" w:hAnsi="Arial" w:cs="Arial"/>
            <w:kern w:val="2"/>
            <w:lang w:bidi="th-TH"/>
            <w14:ligatures w14:val="standardContextual"/>
          </w:rPr>
          <w:t>https://doi.org/10.1038/srep00424</w:t>
        </w:r>
      </w:hyperlink>
      <w:r w:rsidR="00194E86">
        <w:rPr>
          <w:rFonts w:ascii="Arial" w:eastAsia="Aptos" w:hAnsi="Arial" w:cs="Arial"/>
          <w:kern w:val="2"/>
          <w:lang w:bidi="th-TH"/>
          <w14:ligatures w14:val="standardContextual"/>
        </w:rPr>
        <w:t xml:space="preserve"> </w:t>
      </w:r>
    </w:p>
    <w:p w14:paraId="5B31F126" w14:textId="4CF88F97" w:rsidR="00194E86" w:rsidRPr="00194E86" w:rsidRDefault="00D644BC" w:rsidP="00D049CF">
      <w:pPr>
        <w:pStyle w:val="ListParagraph"/>
        <w:numPr>
          <w:ilvl w:val="0"/>
          <w:numId w:val="31"/>
        </w:numPr>
        <w:spacing w:before="240"/>
        <w:jc w:val="both"/>
        <w:rPr>
          <w:rFonts w:ascii="Arial" w:eastAsia="Aptos" w:hAnsi="Arial" w:cs="Arial"/>
          <w:lang w:bidi="th-TH"/>
        </w:rPr>
      </w:pPr>
      <w:r w:rsidRPr="00194E86">
        <w:rPr>
          <w:rFonts w:ascii="Arial" w:eastAsia="Aptos" w:hAnsi="Arial" w:cs="Arial"/>
          <w:kern w:val="2"/>
          <w:lang w:bidi="th-TH"/>
          <w14:ligatures w14:val="standardContextual"/>
        </w:rPr>
        <w:t xml:space="preserve">Obara, K., Reynoso, J., Hamada, Y., Aoki, Y., Kubota, Y., Masaki, N., Amoh, Y., &amp; Hoffman, R. M. (2022). Hair follicle associated pluripotent (HAP) stem cells jump from transplanted whiskers to pelage follicles and stimulate hair growth. </w:t>
      </w:r>
      <w:r w:rsidRPr="00194E86">
        <w:rPr>
          <w:rFonts w:ascii="Arial" w:eastAsia="Aptos" w:hAnsi="Arial" w:cs="Arial"/>
          <w:i/>
          <w:iCs/>
          <w:kern w:val="2"/>
          <w:lang w:bidi="th-TH"/>
          <w14:ligatures w14:val="standardContextual"/>
        </w:rPr>
        <w:t>Scientific Reports</w:t>
      </w:r>
      <w:r w:rsidRPr="00194E86">
        <w:rPr>
          <w:rFonts w:ascii="Arial" w:eastAsia="Aptos" w:hAnsi="Arial" w:cs="Arial"/>
          <w:kern w:val="2"/>
          <w:lang w:bidi="th-TH"/>
          <w14:ligatures w14:val="standardContextual"/>
        </w:rPr>
        <w:t xml:space="preserve">, </w:t>
      </w:r>
      <w:r w:rsidRPr="00194E86">
        <w:rPr>
          <w:rFonts w:ascii="Arial" w:eastAsia="Aptos" w:hAnsi="Arial" w:cs="Arial"/>
          <w:i/>
          <w:iCs/>
          <w:kern w:val="2"/>
          <w:lang w:bidi="th-TH"/>
          <w14:ligatures w14:val="standardContextual"/>
        </w:rPr>
        <w:t>12</w:t>
      </w:r>
      <w:r w:rsidRPr="00194E86">
        <w:rPr>
          <w:rFonts w:ascii="Arial" w:eastAsia="Aptos" w:hAnsi="Arial" w:cs="Arial"/>
          <w:kern w:val="2"/>
          <w:lang w:bidi="th-TH"/>
          <w14:ligatures w14:val="standardContextual"/>
        </w:rPr>
        <w:t xml:space="preserve">(1), 21174. </w:t>
      </w:r>
      <w:hyperlink r:id="rId34" w:history="1">
        <w:r w:rsidR="00194E86" w:rsidRPr="00CE27AB">
          <w:rPr>
            <w:rStyle w:val="Hyperlink"/>
          </w:rPr>
          <w:t>https://doi.org/10.1038/s41598-022-25383-z</w:t>
        </w:r>
      </w:hyperlink>
      <w:r w:rsidR="00194E86">
        <w:t xml:space="preserve"> </w:t>
      </w:r>
      <w:r w:rsidR="00194E86" w:rsidRPr="00194E86">
        <w:t xml:space="preserve"> </w:t>
      </w:r>
      <w:r w:rsidR="00194E86">
        <w:t xml:space="preserve"> </w:t>
      </w:r>
    </w:p>
    <w:p w14:paraId="65C050A9" w14:textId="0D19E211" w:rsidR="00194E86" w:rsidRDefault="00D644BC" w:rsidP="008E2C84">
      <w:pPr>
        <w:pStyle w:val="ListParagraph"/>
        <w:numPr>
          <w:ilvl w:val="0"/>
          <w:numId w:val="31"/>
        </w:numPr>
        <w:spacing w:before="157" w:line="259" w:lineRule="auto"/>
        <w:ind w:right="-93"/>
        <w:jc w:val="both"/>
        <w:rPr>
          <w:rFonts w:ascii="Arial" w:hAnsi="Arial" w:cs="Arial"/>
        </w:rPr>
      </w:pPr>
      <w:r w:rsidRPr="00194E86">
        <w:rPr>
          <w:rFonts w:ascii="Arial" w:hAnsi="Arial" w:cs="Arial"/>
        </w:rPr>
        <w:t xml:space="preserve">Robbins, C. R. (2012). </w:t>
      </w:r>
      <w:r w:rsidRPr="00194E86">
        <w:rPr>
          <w:rFonts w:ascii="Arial" w:hAnsi="Arial" w:cs="Arial"/>
          <w:i/>
          <w:iCs/>
        </w:rPr>
        <w:t>Chemical and Physical Behavior of Human Hair</w:t>
      </w:r>
      <w:r w:rsidRPr="00194E86">
        <w:rPr>
          <w:rFonts w:ascii="Arial" w:hAnsi="Arial" w:cs="Arial"/>
        </w:rPr>
        <w:t xml:space="preserve">. Springer Berlin Heidelberg. </w:t>
      </w:r>
      <w:hyperlink r:id="rId35" w:history="1">
        <w:r w:rsidR="00194E86" w:rsidRPr="00CE27AB">
          <w:rPr>
            <w:rStyle w:val="Hyperlink"/>
            <w:rFonts w:ascii="Arial" w:hAnsi="Arial" w:cs="Arial"/>
          </w:rPr>
          <w:t>https://doi.org/10.1007/978-3-642-25611-0</w:t>
        </w:r>
      </w:hyperlink>
      <w:r w:rsidR="00194E86">
        <w:rPr>
          <w:rFonts w:ascii="Arial" w:hAnsi="Arial" w:cs="Arial"/>
        </w:rPr>
        <w:t xml:space="preserve"> </w:t>
      </w:r>
      <w:r w:rsidR="00194E86" w:rsidRPr="00194E86">
        <w:rPr>
          <w:rFonts w:ascii="Arial" w:hAnsi="Arial" w:cs="Arial"/>
        </w:rPr>
        <w:t xml:space="preserve"> </w:t>
      </w:r>
    </w:p>
    <w:p w14:paraId="47B80737" w14:textId="2AFF3F36" w:rsidR="00D644BC" w:rsidRPr="00194E86" w:rsidRDefault="00D644BC" w:rsidP="008E2C84">
      <w:pPr>
        <w:pStyle w:val="ListParagraph"/>
        <w:numPr>
          <w:ilvl w:val="0"/>
          <w:numId w:val="31"/>
        </w:numPr>
        <w:spacing w:before="157" w:line="259" w:lineRule="auto"/>
        <w:ind w:right="-93"/>
        <w:jc w:val="both"/>
        <w:rPr>
          <w:rFonts w:ascii="Arial" w:hAnsi="Arial" w:cs="Arial"/>
        </w:rPr>
      </w:pPr>
      <w:r w:rsidRPr="00194E86">
        <w:rPr>
          <w:rFonts w:ascii="Arial" w:hAnsi="Arial" w:cs="Arial"/>
        </w:rPr>
        <w:t xml:space="preserve">Garg, S. (2016). Outcome of intra-operative injected platelet-rich plasma therapy during follicular unit extraction hair transplant: A prospective </w:t>
      </w:r>
      <w:proofErr w:type="spellStart"/>
      <w:r w:rsidRPr="00194E86">
        <w:rPr>
          <w:rFonts w:ascii="Arial" w:hAnsi="Arial" w:cs="Arial"/>
        </w:rPr>
        <w:t>randomised</w:t>
      </w:r>
      <w:proofErr w:type="spellEnd"/>
      <w:r w:rsidRPr="00194E86">
        <w:rPr>
          <w:rFonts w:ascii="Arial" w:hAnsi="Arial" w:cs="Arial"/>
        </w:rPr>
        <w:t xml:space="preserve"> study in forty patients. Journal of Cutaneous and Aesthetic Surgery, 9(3), 157. </w:t>
      </w:r>
      <w:hyperlink r:id="rId36" w:history="1">
        <w:r w:rsidR="00194E86" w:rsidRPr="00CE27AB">
          <w:rPr>
            <w:rStyle w:val="Hyperlink"/>
            <w:rFonts w:ascii="Arial" w:hAnsi="Arial" w:cs="Arial"/>
          </w:rPr>
          <w:t>https://doi.org/10.4103/0974-2077.191657</w:t>
        </w:r>
      </w:hyperlink>
      <w:r w:rsidR="00194E86">
        <w:rPr>
          <w:rFonts w:ascii="Arial" w:hAnsi="Arial" w:cs="Arial"/>
        </w:rPr>
        <w:t xml:space="preserve"> </w:t>
      </w:r>
    </w:p>
    <w:p w14:paraId="79F99901" w14:textId="5EC9177B" w:rsidR="00D644BC" w:rsidRPr="006F1D3F" w:rsidRDefault="00D644BC" w:rsidP="00D644BC">
      <w:pPr>
        <w:pStyle w:val="BodyText"/>
        <w:numPr>
          <w:ilvl w:val="0"/>
          <w:numId w:val="31"/>
        </w:numPr>
        <w:tabs>
          <w:tab w:val="left" w:pos="6941"/>
        </w:tabs>
        <w:spacing w:before="157" w:line="259" w:lineRule="auto"/>
        <w:ind w:right="-93"/>
        <w:jc w:val="both"/>
        <w:rPr>
          <w:rFonts w:ascii="Arial" w:hAnsi="Arial" w:cs="Arial"/>
        </w:rPr>
      </w:pPr>
      <w:r w:rsidRPr="006F1D3F">
        <w:rPr>
          <w:rFonts w:ascii="Arial" w:hAnsi="Arial" w:cs="Arial"/>
        </w:rPr>
        <w:t xml:space="preserve">Olsen EA, Dunlap FE, </w:t>
      </w:r>
      <w:proofErr w:type="spellStart"/>
      <w:r w:rsidRPr="006F1D3F">
        <w:rPr>
          <w:rFonts w:ascii="Arial" w:hAnsi="Arial" w:cs="Arial"/>
        </w:rPr>
        <w:t>Funicella</w:t>
      </w:r>
      <w:proofErr w:type="spellEnd"/>
      <w:r w:rsidRPr="006F1D3F">
        <w:rPr>
          <w:rFonts w:ascii="Arial" w:hAnsi="Arial" w:cs="Arial"/>
        </w:rPr>
        <w:t xml:space="preserve"> T, </w:t>
      </w:r>
      <w:proofErr w:type="spellStart"/>
      <w:r w:rsidRPr="006F1D3F">
        <w:rPr>
          <w:rFonts w:ascii="Arial" w:hAnsi="Arial" w:cs="Arial"/>
        </w:rPr>
        <w:t>Koperski</w:t>
      </w:r>
      <w:proofErr w:type="spellEnd"/>
      <w:r w:rsidRPr="006F1D3F">
        <w:rPr>
          <w:rFonts w:ascii="Arial" w:hAnsi="Arial" w:cs="Arial"/>
        </w:rPr>
        <w:t xml:space="preserve"> JA, </w:t>
      </w:r>
      <w:proofErr w:type="spellStart"/>
      <w:r w:rsidRPr="006F1D3F">
        <w:rPr>
          <w:rFonts w:ascii="Arial" w:hAnsi="Arial" w:cs="Arial"/>
        </w:rPr>
        <w:t>Swinehart</w:t>
      </w:r>
      <w:proofErr w:type="spellEnd"/>
      <w:r w:rsidRPr="006F1D3F">
        <w:rPr>
          <w:rFonts w:ascii="Arial" w:hAnsi="Arial" w:cs="Arial"/>
        </w:rPr>
        <w:t xml:space="preserve"> JM, </w:t>
      </w:r>
      <w:proofErr w:type="spellStart"/>
      <w:r w:rsidRPr="006F1D3F">
        <w:rPr>
          <w:rFonts w:ascii="Arial" w:hAnsi="Arial" w:cs="Arial"/>
        </w:rPr>
        <w:t>Tschen</w:t>
      </w:r>
      <w:proofErr w:type="spellEnd"/>
      <w:r w:rsidRPr="006F1D3F">
        <w:rPr>
          <w:rFonts w:ascii="Arial" w:hAnsi="Arial" w:cs="Arial"/>
        </w:rPr>
        <w:t xml:space="preserve"> EH, et al. A randomized clinical trial of 5% topical minoxidil versus 2% topical minoxidil and placebo in the treatment of androgenetic alopecia in men. J Am </w:t>
      </w:r>
      <w:proofErr w:type="spellStart"/>
      <w:r w:rsidRPr="006F1D3F">
        <w:rPr>
          <w:rFonts w:ascii="Arial" w:hAnsi="Arial" w:cs="Arial"/>
        </w:rPr>
        <w:t>Acad</w:t>
      </w:r>
      <w:proofErr w:type="spellEnd"/>
      <w:r w:rsidRPr="006F1D3F">
        <w:rPr>
          <w:rFonts w:ascii="Arial" w:hAnsi="Arial" w:cs="Arial"/>
        </w:rPr>
        <w:t xml:space="preserve"> Dermatol. 2002;47(3):377-85.</w:t>
      </w:r>
      <w:r w:rsidR="00194E86">
        <w:rPr>
          <w:rFonts w:ascii="Arial" w:hAnsi="Arial" w:cs="Arial"/>
        </w:rPr>
        <w:t xml:space="preserve"> </w:t>
      </w:r>
      <w:hyperlink r:id="rId37" w:history="1">
        <w:r w:rsidR="00194E86" w:rsidRPr="00CE27AB">
          <w:rPr>
            <w:rStyle w:val="Hyperlink"/>
            <w:rFonts w:ascii="Arial" w:hAnsi="Arial" w:cs="Arial"/>
          </w:rPr>
          <w:t>https://doi.org/10.1067/mjd.2002.124088</w:t>
        </w:r>
      </w:hyperlink>
      <w:r w:rsidR="00194E86">
        <w:rPr>
          <w:rFonts w:ascii="Arial" w:hAnsi="Arial" w:cs="Arial"/>
        </w:rPr>
        <w:t xml:space="preserve"> </w:t>
      </w:r>
    </w:p>
    <w:p w14:paraId="776FABE7" w14:textId="22196BC2" w:rsidR="00D644BC" w:rsidRPr="00D644BC" w:rsidRDefault="00D644BC" w:rsidP="00D644BC">
      <w:pPr>
        <w:pStyle w:val="ListParagraph"/>
        <w:numPr>
          <w:ilvl w:val="0"/>
          <w:numId w:val="31"/>
        </w:numPr>
        <w:tabs>
          <w:tab w:val="left" w:pos="6941"/>
        </w:tabs>
        <w:ind w:right="-93"/>
        <w:jc w:val="both"/>
        <w:rPr>
          <w:rFonts w:ascii="Arial" w:hAnsi="Arial" w:cs="Arial"/>
        </w:rPr>
      </w:pPr>
      <w:r w:rsidRPr="00D644BC">
        <w:rPr>
          <w:rFonts w:ascii="Arial" w:hAnsi="Arial" w:cs="Arial"/>
        </w:rPr>
        <w:t>Xue, P., Guo, L., Dang, E., Dou, W., Zeng, X., Fan, X., &amp; Yang, Q. (2025). A Prospective and Comparative Study to Explore the Effects of Platelet</w:t>
      </w:r>
      <w:r w:rsidRPr="00D644BC">
        <w:rPr>
          <w:rFonts w:ascii="Cambria Math" w:hAnsi="Cambria Math" w:cs="Cambria Math"/>
        </w:rPr>
        <w:t>‐</w:t>
      </w:r>
      <w:r w:rsidRPr="00D644BC">
        <w:rPr>
          <w:rFonts w:ascii="Arial" w:hAnsi="Arial" w:cs="Arial"/>
        </w:rPr>
        <w:t xml:space="preserve">Rich Plasma in Hair Transplantation for Patients </w:t>
      </w:r>
      <w:proofErr w:type="gramStart"/>
      <w:r w:rsidRPr="00D644BC">
        <w:rPr>
          <w:rFonts w:ascii="Arial" w:hAnsi="Arial" w:cs="Arial"/>
        </w:rPr>
        <w:t>With</w:t>
      </w:r>
      <w:proofErr w:type="gramEnd"/>
      <w:r w:rsidRPr="00D644BC">
        <w:rPr>
          <w:rFonts w:ascii="Arial" w:hAnsi="Arial" w:cs="Arial"/>
        </w:rPr>
        <w:t xml:space="preserve"> Androgenetic Alopecia. Journal of Cosmetic Dermatology, 24(2), e16665. </w:t>
      </w:r>
      <w:hyperlink r:id="rId38" w:history="1">
        <w:r w:rsidR="00194E86" w:rsidRPr="00CE27AB">
          <w:rPr>
            <w:rStyle w:val="Hyperlink"/>
          </w:rPr>
          <w:t>https://doi.org/10.1111/jocd.16665</w:t>
        </w:r>
      </w:hyperlink>
      <w:r w:rsidR="00194E86">
        <w:t xml:space="preserve"> </w:t>
      </w:r>
    </w:p>
    <w:p w14:paraId="1222B688" w14:textId="69288B64" w:rsidR="00D644BC" w:rsidRPr="00D644BC" w:rsidRDefault="00D644BC" w:rsidP="00D644BC">
      <w:pPr>
        <w:pStyle w:val="ListParagraph"/>
        <w:numPr>
          <w:ilvl w:val="0"/>
          <w:numId w:val="31"/>
        </w:numPr>
        <w:tabs>
          <w:tab w:val="left" w:pos="6941"/>
        </w:tabs>
        <w:ind w:right="-93"/>
        <w:jc w:val="both"/>
        <w:rPr>
          <w:rFonts w:ascii="Arial" w:hAnsi="Arial" w:cs="Arial"/>
        </w:rPr>
      </w:pPr>
      <w:r w:rsidRPr="00D644BC">
        <w:rPr>
          <w:rFonts w:ascii="Arial" w:hAnsi="Arial" w:cs="Arial"/>
        </w:rPr>
        <w:t xml:space="preserve">Jagtap, N., Krishnaswamy, V., Bhaskaran, R., Krishnan, M., &amp; Kumar, S. (2025). </w:t>
      </w:r>
      <w:proofErr w:type="gramStart"/>
      <w:r w:rsidRPr="00D644BC">
        <w:rPr>
          <w:rFonts w:ascii="Arial" w:hAnsi="Arial" w:cs="Arial"/>
        </w:rPr>
        <w:t>Comparative  Evaluation</w:t>
      </w:r>
      <w:proofErr w:type="gramEnd"/>
      <w:r w:rsidRPr="00D644BC">
        <w:rPr>
          <w:rFonts w:ascii="Arial" w:hAnsi="Arial" w:cs="Arial"/>
        </w:rPr>
        <w:t xml:space="preserve">  of  Platelet  Rich  Plasma  Prepared  Recipient Site Over Conventional Technique for Hair Transplantation in Patients with Androgenetic Alopecia: A Prospective Study. </w:t>
      </w:r>
      <w:r w:rsidRPr="00D644BC">
        <w:rPr>
          <w:rFonts w:ascii="Arial" w:hAnsi="Arial" w:cs="Arial"/>
          <w:i/>
          <w:iCs/>
        </w:rPr>
        <w:t>Journal of Chemical Health Risks</w:t>
      </w:r>
      <w:r w:rsidRPr="00D644BC">
        <w:rPr>
          <w:rFonts w:ascii="Arial" w:hAnsi="Arial" w:cs="Arial"/>
        </w:rPr>
        <w:t xml:space="preserve">, </w:t>
      </w:r>
      <w:r w:rsidRPr="00D644BC">
        <w:rPr>
          <w:rFonts w:ascii="Arial" w:hAnsi="Arial" w:cs="Arial"/>
          <w:i/>
          <w:iCs/>
        </w:rPr>
        <w:t>15</w:t>
      </w:r>
      <w:r w:rsidRPr="00D644BC">
        <w:rPr>
          <w:rFonts w:ascii="Arial" w:hAnsi="Arial" w:cs="Arial"/>
        </w:rPr>
        <w:t>(3), 1137–1142.</w:t>
      </w:r>
      <w:r w:rsidR="00194E86">
        <w:rPr>
          <w:rFonts w:ascii="Arial" w:hAnsi="Arial" w:cs="Arial"/>
        </w:rPr>
        <w:t xml:space="preserve"> </w:t>
      </w:r>
      <w:hyperlink r:id="rId39" w:history="1">
        <w:r w:rsidR="00194E86" w:rsidRPr="00CE27AB">
          <w:rPr>
            <w:rStyle w:val="Hyperlink"/>
            <w:rFonts w:ascii="Arial" w:hAnsi="Arial" w:cs="Arial"/>
          </w:rPr>
          <w:t>https://www.jchr.org/index.php/jchr/issue/view/10</w:t>
        </w:r>
      </w:hyperlink>
      <w:r w:rsidR="00194E86">
        <w:rPr>
          <w:rFonts w:ascii="Arial" w:hAnsi="Arial" w:cs="Arial"/>
        </w:rPr>
        <w:t xml:space="preserve"> </w:t>
      </w:r>
    </w:p>
    <w:p w14:paraId="0B286A83" w14:textId="1A73EE66" w:rsidR="00194E86" w:rsidRPr="00194E86" w:rsidRDefault="00D644BC" w:rsidP="00AC75B5">
      <w:pPr>
        <w:pStyle w:val="ListParagraph"/>
        <w:numPr>
          <w:ilvl w:val="0"/>
          <w:numId w:val="31"/>
        </w:numPr>
        <w:tabs>
          <w:tab w:val="left" w:pos="6941"/>
        </w:tabs>
        <w:ind w:right="-93"/>
        <w:jc w:val="both"/>
        <w:rPr>
          <w:rFonts w:ascii="Arial" w:hAnsi="Arial" w:cs="Arial"/>
        </w:rPr>
      </w:pPr>
      <w:r w:rsidRPr="00194E86">
        <w:rPr>
          <w:rFonts w:ascii="Arial" w:hAnsi="Arial" w:cs="Arial"/>
        </w:rPr>
        <w:lastRenderedPageBreak/>
        <w:t xml:space="preserve">Lopes-Silva, R., Santos, M., Sequeira, M. L., Silva, A., Antunes, T., </w:t>
      </w:r>
      <w:proofErr w:type="spellStart"/>
      <w:r w:rsidRPr="00194E86">
        <w:rPr>
          <w:rFonts w:ascii="Arial" w:hAnsi="Arial" w:cs="Arial"/>
        </w:rPr>
        <w:t>Valejo</w:t>
      </w:r>
      <w:proofErr w:type="spellEnd"/>
      <w:r w:rsidRPr="00194E86">
        <w:rPr>
          <w:rFonts w:ascii="Arial" w:hAnsi="Arial" w:cs="Arial"/>
        </w:rPr>
        <w:t xml:space="preserve">-Coelho, P., &amp; Neiva-Sousa, M. (2025). Platelet-Rich Plasma Effectiveness in Treating Androgenetic Alopecia: A Comprehensive Evaluation. </w:t>
      </w:r>
      <w:r w:rsidRPr="00194E86">
        <w:rPr>
          <w:rFonts w:ascii="Arial" w:hAnsi="Arial" w:cs="Arial"/>
          <w:i/>
          <w:iCs/>
        </w:rPr>
        <w:t>Cureus</w:t>
      </w:r>
      <w:r w:rsidRPr="00194E86">
        <w:rPr>
          <w:rFonts w:ascii="Arial" w:hAnsi="Arial" w:cs="Arial"/>
        </w:rPr>
        <w:t xml:space="preserve">. </w:t>
      </w:r>
      <w:hyperlink r:id="rId40" w:history="1">
        <w:r w:rsidR="00194E86" w:rsidRPr="00CE27AB">
          <w:rPr>
            <w:rStyle w:val="Hyperlink"/>
          </w:rPr>
          <w:t>https://doi.org/10.7759/cureus.77371</w:t>
        </w:r>
      </w:hyperlink>
      <w:r w:rsidR="00194E86">
        <w:t xml:space="preserve"> </w:t>
      </w:r>
      <w:r w:rsidR="00194E86" w:rsidRPr="00194E86">
        <w:t xml:space="preserve"> </w:t>
      </w:r>
      <w:r w:rsidR="00194E86">
        <w:t xml:space="preserve"> </w:t>
      </w:r>
    </w:p>
    <w:p w14:paraId="05AA66B6" w14:textId="6EF69C7E" w:rsidR="00D644BC" w:rsidRPr="00194E86" w:rsidRDefault="00D644BC" w:rsidP="00AC75B5">
      <w:pPr>
        <w:pStyle w:val="ListParagraph"/>
        <w:numPr>
          <w:ilvl w:val="0"/>
          <w:numId w:val="31"/>
        </w:numPr>
        <w:tabs>
          <w:tab w:val="left" w:pos="6941"/>
        </w:tabs>
        <w:ind w:right="-93"/>
        <w:jc w:val="both"/>
        <w:rPr>
          <w:rFonts w:ascii="Arial" w:hAnsi="Arial" w:cs="Arial"/>
        </w:rPr>
      </w:pPr>
      <w:proofErr w:type="spellStart"/>
      <w:r w:rsidRPr="00194E86">
        <w:rPr>
          <w:rFonts w:ascii="Arial" w:hAnsi="Arial" w:cs="Arial"/>
        </w:rPr>
        <w:t>Paichitrojjana</w:t>
      </w:r>
      <w:proofErr w:type="spellEnd"/>
      <w:r w:rsidRPr="00194E86">
        <w:rPr>
          <w:rFonts w:ascii="Arial" w:hAnsi="Arial" w:cs="Arial"/>
        </w:rPr>
        <w:t xml:space="preserve">, A., &amp; </w:t>
      </w:r>
      <w:proofErr w:type="spellStart"/>
      <w:r w:rsidRPr="00194E86">
        <w:rPr>
          <w:rFonts w:ascii="Arial" w:hAnsi="Arial" w:cs="Arial"/>
        </w:rPr>
        <w:t>Paichitrojjana</w:t>
      </w:r>
      <w:proofErr w:type="spellEnd"/>
      <w:r w:rsidRPr="00194E86">
        <w:rPr>
          <w:rFonts w:ascii="Arial" w:hAnsi="Arial" w:cs="Arial"/>
        </w:rPr>
        <w:t xml:space="preserve">, A. (2022). Platelet Rich Plasma and Its Use in Hair Regrowth: A Review. </w:t>
      </w:r>
      <w:r w:rsidRPr="00194E86">
        <w:rPr>
          <w:rFonts w:ascii="Arial" w:hAnsi="Arial" w:cs="Arial"/>
          <w:i/>
          <w:iCs/>
        </w:rPr>
        <w:t>Drug Design, Development and Therapy</w:t>
      </w:r>
      <w:r w:rsidRPr="00194E86">
        <w:rPr>
          <w:rFonts w:ascii="Arial" w:hAnsi="Arial" w:cs="Arial"/>
        </w:rPr>
        <w:t xml:space="preserve">, </w:t>
      </w:r>
      <w:r w:rsidRPr="00194E86">
        <w:rPr>
          <w:rFonts w:ascii="Arial" w:hAnsi="Arial" w:cs="Arial"/>
          <w:i/>
          <w:iCs/>
        </w:rPr>
        <w:t>Volume 16</w:t>
      </w:r>
      <w:r w:rsidRPr="00194E86">
        <w:rPr>
          <w:rFonts w:ascii="Arial" w:hAnsi="Arial" w:cs="Arial"/>
        </w:rPr>
        <w:t xml:space="preserve">, 635–645. </w:t>
      </w:r>
      <w:hyperlink r:id="rId41" w:history="1">
        <w:r w:rsidR="00194E86" w:rsidRPr="00CE27AB">
          <w:rPr>
            <w:rStyle w:val="Hyperlink"/>
          </w:rPr>
          <w:t>https://doi.org/10.2147/DDDT.S356858</w:t>
        </w:r>
      </w:hyperlink>
      <w:r w:rsidR="00194E86">
        <w:t xml:space="preserve"> </w:t>
      </w:r>
    </w:p>
    <w:p w14:paraId="7532FD40" w14:textId="511B23AE" w:rsidR="00D644BC" w:rsidRPr="006F1D3F" w:rsidRDefault="00D644BC" w:rsidP="00D644BC">
      <w:pPr>
        <w:pStyle w:val="BodyText"/>
        <w:numPr>
          <w:ilvl w:val="0"/>
          <w:numId w:val="31"/>
        </w:numPr>
        <w:spacing w:before="157" w:line="259" w:lineRule="auto"/>
        <w:ind w:right="-93"/>
        <w:jc w:val="both"/>
        <w:rPr>
          <w:rFonts w:ascii="Arial" w:hAnsi="Arial" w:cs="Arial"/>
        </w:rPr>
      </w:pPr>
      <w:r w:rsidRPr="006F1D3F">
        <w:rPr>
          <w:rFonts w:ascii="Arial" w:hAnsi="Arial" w:cs="Arial"/>
        </w:rPr>
        <w:t xml:space="preserve">Gentile, P., </w:t>
      </w:r>
      <w:proofErr w:type="spellStart"/>
      <w:r w:rsidRPr="006F1D3F">
        <w:rPr>
          <w:rFonts w:ascii="Arial" w:hAnsi="Arial" w:cs="Arial"/>
        </w:rPr>
        <w:t>Garcovich</w:t>
      </w:r>
      <w:proofErr w:type="spellEnd"/>
      <w:r w:rsidRPr="006F1D3F">
        <w:rPr>
          <w:rFonts w:ascii="Arial" w:hAnsi="Arial" w:cs="Arial"/>
        </w:rPr>
        <w:t>, S., Bielli, A., Scioli, M. G., Orlandi, A., &amp; Cervelli, V. (2015). The effect of platelet-rich plasma in hair regrowth: a randomized placebo- controlled trial. Stem cells translational medicine, 4(11), 1317-1323.</w:t>
      </w:r>
      <w:r w:rsidR="006407AE">
        <w:rPr>
          <w:rFonts w:ascii="Arial" w:hAnsi="Arial" w:cs="Arial"/>
        </w:rPr>
        <w:t xml:space="preserve"> </w:t>
      </w:r>
      <w:hyperlink r:id="rId42" w:history="1">
        <w:r w:rsidR="006407AE" w:rsidRPr="00CE27AB">
          <w:rPr>
            <w:rStyle w:val="Hyperlink"/>
            <w:rFonts w:ascii="Arial" w:hAnsi="Arial" w:cs="Arial"/>
          </w:rPr>
          <w:t>https://doi.org/10.5966/sctm.2015-0107</w:t>
        </w:r>
      </w:hyperlink>
      <w:r w:rsidR="006407AE">
        <w:rPr>
          <w:rFonts w:ascii="Arial" w:hAnsi="Arial" w:cs="Arial"/>
        </w:rPr>
        <w:t xml:space="preserve"> </w:t>
      </w:r>
    </w:p>
    <w:p w14:paraId="402A75BD" w14:textId="3D1787C7" w:rsidR="00D644BC" w:rsidRPr="006F1D3F" w:rsidRDefault="00D644BC" w:rsidP="00D644BC">
      <w:pPr>
        <w:pStyle w:val="Bibliography"/>
        <w:numPr>
          <w:ilvl w:val="0"/>
          <w:numId w:val="31"/>
        </w:numPr>
        <w:tabs>
          <w:tab w:val="left" w:pos="6941"/>
        </w:tabs>
        <w:spacing w:line="240" w:lineRule="auto"/>
        <w:ind w:right="-93"/>
        <w:jc w:val="both"/>
        <w:rPr>
          <w:rFonts w:ascii="Arial" w:hAnsi="Arial" w:cs="Arial"/>
          <w:sz w:val="20"/>
          <w:szCs w:val="20"/>
        </w:rPr>
      </w:pPr>
      <w:r w:rsidRPr="006F1D3F">
        <w:rPr>
          <w:rFonts w:ascii="Arial" w:hAnsi="Arial" w:cs="Arial"/>
          <w:sz w:val="20"/>
          <w:szCs w:val="20"/>
        </w:rPr>
        <w:t xml:space="preserve">White, C., Brahs, A., Dorton, D., &amp; </w:t>
      </w:r>
      <w:proofErr w:type="spellStart"/>
      <w:r w:rsidRPr="006F1D3F">
        <w:rPr>
          <w:rFonts w:ascii="Arial" w:hAnsi="Arial" w:cs="Arial"/>
          <w:sz w:val="20"/>
          <w:szCs w:val="20"/>
        </w:rPr>
        <w:t>Witfill</w:t>
      </w:r>
      <w:proofErr w:type="spellEnd"/>
      <w:r w:rsidRPr="006F1D3F">
        <w:rPr>
          <w:rFonts w:ascii="Arial" w:hAnsi="Arial" w:cs="Arial"/>
          <w:sz w:val="20"/>
          <w:szCs w:val="20"/>
        </w:rPr>
        <w:t xml:space="preserve">, K. (2021). </w:t>
      </w:r>
      <w:r w:rsidRPr="006F1D3F">
        <w:rPr>
          <w:rFonts w:ascii="Arial" w:hAnsi="Arial" w:cs="Arial"/>
          <w:i/>
          <w:iCs/>
          <w:sz w:val="20"/>
          <w:szCs w:val="20"/>
        </w:rPr>
        <w:t>A Comprehensive Review of Emerging Applications in Medical and Aesthetic Dermatology</w:t>
      </w:r>
      <w:r w:rsidRPr="006F1D3F">
        <w:rPr>
          <w:rFonts w:ascii="Arial" w:hAnsi="Arial" w:cs="Arial"/>
          <w:sz w:val="20"/>
          <w:szCs w:val="20"/>
        </w:rPr>
        <w:t xml:space="preserve">. </w:t>
      </w:r>
      <w:r w:rsidRPr="006F1D3F">
        <w:rPr>
          <w:rFonts w:ascii="Arial" w:hAnsi="Arial" w:cs="Arial"/>
          <w:i/>
          <w:iCs/>
          <w:sz w:val="20"/>
          <w:szCs w:val="20"/>
        </w:rPr>
        <w:t>14</w:t>
      </w:r>
      <w:r w:rsidRPr="006F1D3F">
        <w:rPr>
          <w:rFonts w:ascii="Arial" w:hAnsi="Arial" w:cs="Arial"/>
          <w:sz w:val="20"/>
          <w:szCs w:val="20"/>
        </w:rPr>
        <w:t>(11).</w:t>
      </w:r>
      <w:r w:rsidR="006407AE">
        <w:rPr>
          <w:rFonts w:ascii="Arial" w:hAnsi="Arial" w:cs="Arial"/>
          <w:sz w:val="20"/>
          <w:szCs w:val="20"/>
        </w:rPr>
        <w:t xml:space="preserve"> </w:t>
      </w:r>
      <w:hyperlink r:id="rId43" w:history="1">
        <w:r w:rsidR="006407AE" w:rsidRPr="00CE27AB">
          <w:rPr>
            <w:rStyle w:val="Hyperlink"/>
            <w:rFonts w:ascii="Arial" w:hAnsi="Arial" w:cs="Arial"/>
            <w:sz w:val="20"/>
            <w:szCs w:val="20"/>
          </w:rPr>
          <w:t>https://www.ncbi.nlm.nih.gov/pmc/articles/PMC8675348/</w:t>
        </w:r>
      </w:hyperlink>
      <w:r w:rsidR="006407AE">
        <w:rPr>
          <w:rFonts w:ascii="Arial" w:hAnsi="Arial" w:cs="Arial"/>
          <w:sz w:val="20"/>
          <w:szCs w:val="20"/>
        </w:rPr>
        <w:t xml:space="preserve"> </w:t>
      </w:r>
    </w:p>
    <w:p w14:paraId="37F3A64F" w14:textId="3B2D5E34" w:rsidR="00D644BC" w:rsidRPr="006F1D3F" w:rsidRDefault="00D644BC" w:rsidP="00D644BC">
      <w:pPr>
        <w:pStyle w:val="Bibliography"/>
        <w:numPr>
          <w:ilvl w:val="0"/>
          <w:numId w:val="31"/>
        </w:numPr>
        <w:tabs>
          <w:tab w:val="left" w:pos="6941"/>
        </w:tabs>
        <w:spacing w:line="240" w:lineRule="auto"/>
        <w:ind w:right="-93"/>
        <w:jc w:val="both"/>
        <w:rPr>
          <w:rFonts w:ascii="Arial" w:hAnsi="Arial" w:cs="Arial"/>
          <w:sz w:val="20"/>
          <w:szCs w:val="20"/>
        </w:rPr>
      </w:pPr>
      <w:r w:rsidRPr="006F1D3F">
        <w:rPr>
          <w:rFonts w:ascii="Arial" w:hAnsi="Arial" w:cs="Arial"/>
          <w:sz w:val="20"/>
          <w:szCs w:val="20"/>
        </w:rPr>
        <w:t xml:space="preserve">Pavlovic, V., Ciric, M., Jovanovic, V., &amp; Stojanovic, P. (2016). Platelet Rich Plasma: A short overview of certain bioactive components. </w:t>
      </w:r>
      <w:r w:rsidRPr="006F1D3F">
        <w:rPr>
          <w:rFonts w:ascii="Arial" w:hAnsi="Arial" w:cs="Arial"/>
          <w:i/>
          <w:iCs/>
          <w:sz w:val="20"/>
          <w:szCs w:val="20"/>
        </w:rPr>
        <w:t>Open Medicine</w:t>
      </w:r>
      <w:r w:rsidRPr="006F1D3F">
        <w:rPr>
          <w:rFonts w:ascii="Arial" w:hAnsi="Arial" w:cs="Arial"/>
          <w:sz w:val="20"/>
          <w:szCs w:val="20"/>
        </w:rPr>
        <w:t xml:space="preserve">, </w:t>
      </w:r>
      <w:r w:rsidRPr="006F1D3F">
        <w:rPr>
          <w:rFonts w:ascii="Arial" w:hAnsi="Arial" w:cs="Arial"/>
          <w:i/>
          <w:iCs/>
          <w:sz w:val="20"/>
          <w:szCs w:val="20"/>
        </w:rPr>
        <w:t>11</w:t>
      </w:r>
      <w:r w:rsidRPr="006F1D3F">
        <w:rPr>
          <w:rFonts w:ascii="Arial" w:hAnsi="Arial" w:cs="Arial"/>
          <w:sz w:val="20"/>
          <w:szCs w:val="20"/>
        </w:rPr>
        <w:t xml:space="preserve">(1), 242–247. </w:t>
      </w:r>
      <w:hyperlink r:id="rId44" w:history="1">
        <w:r w:rsidR="006407AE" w:rsidRPr="00CE27AB">
          <w:rPr>
            <w:rStyle w:val="Hyperlink"/>
          </w:rPr>
          <w:t>https://doi.org/10.1515/med-2016-0048</w:t>
        </w:r>
      </w:hyperlink>
      <w:r w:rsidR="006407AE">
        <w:t xml:space="preserve"> </w:t>
      </w:r>
    </w:p>
    <w:p w14:paraId="2C6300F1" w14:textId="10EAF382" w:rsidR="006407AE" w:rsidRPr="006407AE" w:rsidRDefault="00D644BC" w:rsidP="004D3AF0">
      <w:pPr>
        <w:pStyle w:val="Bibliography"/>
        <w:numPr>
          <w:ilvl w:val="0"/>
          <w:numId w:val="31"/>
        </w:numPr>
        <w:tabs>
          <w:tab w:val="left" w:pos="6941"/>
        </w:tabs>
        <w:spacing w:line="240" w:lineRule="auto"/>
        <w:ind w:right="-93"/>
        <w:jc w:val="both"/>
        <w:rPr>
          <w:rFonts w:ascii="Arial" w:hAnsi="Arial" w:cs="Arial"/>
          <w:sz w:val="20"/>
          <w:szCs w:val="20"/>
        </w:rPr>
      </w:pPr>
      <w:r w:rsidRPr="006407AE">
        <w:rPr>
          <w:rFonts w:ascii="Arial" w:hAnsi="Arial" w:cs="Arial"/>
          <w:sz w:val="20"/>
          <w:szCs w:val="20"/>
        </w:rPr>
        <w:t xml:space="preserve">Pochini, A. D. C., Antonioli, E., Bucci, D. Z., Sardinha, L. R., Andreoli, C. V., Ferretti, M., </w:t>
      </w:r>
      <w:proofErr w:type="spellStart"/>
      <w:r w:rsidRPr="006407AE">
        <w:rPr>
          <w:rFonts w:ascii="Arial" w:hAnsi="Arial" w:cs="Arial"/>
          <w:sz w:val="20"/>
          <w:szCs w:val="20"/>
        </w:rPr>
        <w:t>Ejnisman</w:t>
      </w:r>
      <w:proofErr w:type="spellEnd"/>
      <w:r w:rsidRPr="006407AE">
        <w:rPr>
          <w:rFonts w:ascii="Arial" w:hAnsi="Arial" w:cs="Arial"/>
          <w:sz w:val="20"/>
          <w:szCs w:val="20"/>
        </w:rPr>
        <w:t xml:space="preserve">, B., Goldberg, A. C., &amp; Cohen, M. (2016). Analysis of cytokine profile and growth factors in platelet-rich plasma obtained by open systems and commercial columns. </w:t>
      </w:r>
      <w:r w:rsidRPr="006407AE">
        <w:rPr>
          <w:rFonts w:ascii="Arial" w:hAnsi="Arial" w:cs="Arial"/>
          <w:i/>
          <w:iCs/>
          <w:sz w:val="20"/>
          <w:szCs w:val="20"/>
        </w:rPr>
        <w:t>Einstein (São Paulo)</w:t>
      </w:r>
      <w:r w:rsidRPr="006407AE">
        <w:rPr>
          <w:rFonts w:ascii="Arial" w:hAnsi="Arial" w:cs="Arial"/>
          <w:sz w:val="20"/>
          <w:szCs w:val="20"/>
        </w:rPr>
        <w:t xml:space="preserve">, </w:t>
      </w:r>
      <w:r w:rsidRPr="006407AE">
        <w:rPr>
          <w:rFonts w:ascii="Arial" w:hAnsi="Arial" w:cs="Arial"/>
          <w:i/>
          <w:iCs/>
          <w:sz w:val="20"/>
          <w:szCs w:val="20"/>
        </w:rPr>
        <w:t>14</w:t>
      </w:r>
      <w:r w:rsidRPr="006407AE">
        <w:rPr>
          <w:rFonts w:ascii="Arial" w:hAnsi="Arial" w:cs="Arial"/>
          <w:sz w:val="20"/>
          <w:szCs w:val="20"/>
        </w:rPr>
        <w:t xml:space="preserve">(3), 391–397. </w:t>
      </w:r>
      <w:hyperlink r:id="rId45" w:history="1">
        <w:r w:rsidR="006407AE" w:rsidRPr="00CE27AB">
          <w:rPr>
            <w:rStyle w:val="Hyperlink"/>
          </w:rPr>
          <w:t>https://doi.org/10.1590/S1679-45082016AO3548</w:t>
        </w:r>
      </w:hyperlink>
      <w:r w:rsidR="006407AE">
        <w:t xml:space="preserve"> </w:t>
      </w:r>
      <w:r w:rsidR="006407AE" w:rsidRPr="006407AE">
        <w:t xml:space="preserve"> </w:t>
      </w:r>
      <w:r w:rsidR="006407AE">
        <w:t xml:space="preserve"> </w:t>
      </w:r>
    </w:p>
    <w:p w14:paraId="435790DF" w14:textId="3A3A6FD2" w:rsidR="00D644BC" w:rsidRPr="006407AE" w:rsidRDefault="00D644BC" w:rsidP="004D3AF0">
      <w:pPr>
        <w:pStyle w:val="Bibliography"/>
        <w:numPr>
          <w:ilvl w:val="0"/>
          <w:numId w:val="31"/>
        </w:numPr>
        <w:tabs>
          <w:tab w:val="left" w:pos="6941"/>
        </w:tabs>
        <w:spacing w:line="240" w:lineRule="auto"/>
        <w:ind w:right="-93"/>
        <w:jc w:val="both"/>
        <w:rPr>
          <w:rFonts w:ascii="Arial" w:hAnsi="Arial" w:cs="Arial"/>
          <w:sz w:val="20"/>
          <w:szCs w:val="20"/>
        </w:rPr>
      </w:pPr>
      <w:r w:rsidRPr="006407AE">
        <w:rPr>
          <w:rFonts w:ascii="Arial" w:hAnsi="Arial" w:cs="Arial"/>
          <w:sz w:val="20"/>
          <w:szCs w:val="20"/>
        </w:rPr>
        <w:t xml:space="preserve">Aldor, Y., Mohamed, E., Taha, A., &amp; Mahmoud, W. (2023). Efficacy and Safety of Platelet Rich Plasma after Hair Transplantation of Male Androgenetic Alopecia: A Pilot Study. </w:t>
      </w:r>
      <w:r w:rsidRPr="006407AE">
        <w:rPr>
          <w:rFonts w:ascii="Arial" w:hAnsi="Arial" w:cs="Arial"/>
          <w:i/>
          <w:iCs/>
          <w:sz w:val="20"/>
          <w:szCs w:val="20"/>
        </w:rPr>
        <w:t>International Journal of Medical Arts</w:t>
      </w:r>
      <w:r w:rsidRPr="006407AE">
        <w:rPr>
          <w:rFonts w:ascii="Arial" w:hAnsi="Arial" w:cs="Arial"/>
          <w:sz w:val="20"/>
          <w:szCs w:val="20"/>
        </w:rPr>
        <w:t xml:space="preserve">, </w:t>
      </w:r>
      <w:r w:rsidRPr="006407AE">
        <w:rPr>
          <w:rFonts w:ascii="Arial" w:hAnsi="Arial" w:cs="Arial"/>
          <w:i/>
          <w:iCs/>
          <w:sz w:val="20"/>
          <w:szCs w:val="20"/>
        </w:rPr>
        <w:t>0</w:t>
      </w:r>
      <w:r w:rsidRPr="006407AE">
        <w:rPr>
          <w:rFonts w:ascii="Arial" w:hAnsi="Arial" w:cs="Arial"/>
          <w:sz w:val="20"/>
          <w:szCs w:val="20"/>
        </w:rPr>
        <w:t xml:space="preserve">(0), 3093–3099. </w:t>
      </w:r>
      <w:hyperlink r:id="rId46" w:history="1">
        <w:r w:rsidR="006407AE" w:rsidRPr="00CE27AB">
          <w:rPr>
            <w:rStyle w:val="Hyperlink"/>
          </w:rPr>
          <w:t>https://doi.org/10.21608/ijma.2023.200184.1640</w:t>
        </w:r>
      </w:hyperlink>
      <w:r w:rsidR="006407AE">
        <w:t xml:space="preserve"> </w:t>
      </w:r>
    </w:p>
    <w:p w14:paraId="115D8BA3" w14:textId="338A9124" w:rsidR="00D644BC" w:rsidRPr="006F1D3F" w:rsidRDefault="00D644BC" w:rsidP="00D644BC">
      <w:pPr>
        <w:pStyle w:val="Bibliography"/>
        <w:numPr>
          <w:ilvl w:val="0"/>
          <w:numId w:val="31"/>
        </w:numPr>
        <w:tabs>
          <w:tab w:val="left" w:pos="6941"/>
        </w:tabs>
        <w:spacing w:line="240" w:lineRule="auto"/>
        <w:ind w:right="-93"/>
        <w:jc w:val="both"/>
        <w:rPr>
          <w:rFonts w:ascii="Arial" w:hAnsi="Arial" w:cs="Arial"/>
          <w:sz w:val="20"/>
          <w:szCs w:val="20"/>
        </w:rPr>
      </w:pPr>
      <w:r w:rsidRPr="006F1D3F">
        <w:rPr>
          <w:rFonts w:ascii="Arial" w:hAnsi="Arial" w:cs="Arial"/>
          <w:sz w:val="20"/>
          <w:szCs w:val="20"/>
        </w:rPr>
        <w:t>Pathania, V., Sood, A., Beniwal, N., Baveja, S., Shankar, P., &amp; Patrikar, S. (2023). Randomized control trial to study the efficacy and safety of platelet-rich plasma as intraoperative holding solution in hair restoration surgery: A pilot study. Medical Journal Armed Forces India, 79(1), 46–53.</w:t>
      </w:r>
      <w:r w:rsidR="006407AE">
        <w:rPr>
          <w:rFonts w:ascii="Arial" w:hAnsi="Arial" w:cs="Arial"/>
          <w:sz w:val="20"/>
          <w:szCs w:val="20"/>
        </w:rPr>
        <w:t xml:space="preserve"> </w:t>
      </w:r>
      <w:hyperlink r:id="rId47" w:history="1">
        <w:r w:rsidR="006407AE" w:rsidRPr="00CE27AB">
          <w:rPr>
            <w:rStyle w:val="Hyperlink"/>
            <w:rFonts w:ascii="Arial" w:hAnsi="Arial" w:cs="Arial"/>
            <w:sz w:val="20"/>
            <w:szCs w:val="20"/>
          </w:rPr>
          <w:t>https://doi.org/10.1016/j.mjafi.2021.04.015</w:t>
        </w:r>
      </w:hyperlink>
      <w:r w:rsidR="006407AE">
        <w:rPr>
          <w:rFonts w:ascii="Arial" w:hAnsi="Arial" w:cs="Arial"/>
          <w:sz w:val="20"/>
          <w:szCs w:val="20"/>
        </w:rPr>
        <w:t xml:space="preserve"> </w:t>
      </w:r>
    </w:p>
    <w:p w14:paraId="4CC2B0C6" w14:textId="3614D3C1" w:rsidR="00D644BC" w:rsidRPr="006F1D3F" w:rsidRDefault="00D644BC" w:rsidP="00D644BC">
      <w:pPr>
        <w:pStyle w:val="Bibliography"/>
        <w:numPr>
          <w:ilvl w:val="0"/>
          <w:numId w:val="31"/>
        </w:numPr>
        <w:tabs>
          <w:tab w:val="left" w:pos="6941"/>
        </w:tabs>
        <w:spacing w:line="240" w:lineRule="auto"/>
        <w:ind w:right="-93"/>
        <w:jc w:val="both"/>
        <w:rPr>
          <w:rFonts w:ascii="Arial" w:hAnsi="Arial" w:cs="Arial"/>
          <w:sz w:val="20"/>
          <w:szCs w:val="20"/>
        </w:rPr>
      </w:pPr>
      <w:r w:rsidRPr="006F1D3F">
        <w:rPr>
          <w:rFonts w:ascii="Arial" w:hAnsi="Arial" w:cs="Arial"/>
          <w:sz w:val="20"/>
          <w:szCs w:val="20"/>
        </w:rPr>
        <w:t xml:space="preserve">Han, J., Lin, K., Choo, H., He, J., Wang, X., Wu, Y., &amp; Chen, X. (2022). β-Catenin </w:t>
      </w:r>
      <w:proofErr w:type="spellStart"/>
      <w:r w:rsidRPr="006F1D3F">
        <w:rPr>
          <w:rFonts w:ascii="Arial" w:hAnsi="Arial" w:cs="Arial"/>
          <w:sz w:val="20"/>
          <w:szCs w:val="20"/>
        </w:rPr>
        <w:t>Signaling</w:t>
      </w:r>
      <w:proofErr w:type="spellEnd"/>
      <w:r w:rsidRPr="006F1D3F">
        <w:rPr>
          <w:rFonts w:ascii="Arial" w:hAnsi="Arial" w:cs="Arial"/>
          <w:sz w:val="20"/>
          <w:szCs w:val="20"/>
        </w:rPr>
        <w:t xml:space="preserve"> Evokes Hair Follicle Senescence by Accelerating the Differentiation of Hair Follicle Mesenchymal Progenitors. </w:t>
      </w:r>
      <w:r w:rsidRPr="006F1D3F">
        <w:rPr>
          <w:rFonts w:ascii="Arial" w:hAnsi="Arial" w:cs="Arial"/>
          <w:i/>
          <w:iCs/>
          <w:sz w:val="20"/>
          <w:szCs w:val="20"/>
        </w:rPr>
        <w:t>Frontiers in Cell and Developmental Biology</w:t>
      </w:r>
      <w:r w:rsidRPr="006F1D3F">
        <w:rPr>
          <w:rFonts w:ascii="Arial" w:hAnsi="Arial" w:cs="Arial"/>
          <w:sz w:val="20"/>
          <w:szCs w:val="20"/>
        </w:rPr>
        <w:t xml:space="preserve">, </w:t>
      </w:r>
      <w:r w:rsidRPr="006F1D3F">
        <w:rPr>
          <w:rFonts w:ascii="Arial" w:hAnsi="Arial" w:cs="Arial"/>
          <w:i/>
          <w:iCs/>
          <w:sz w:val="20"/>
          <w:szCs w:val="20"/>
        </w:rPr>
        <w:t>10</w:t>
      </w:r>
      <w:r w:rsidRPr="006F1D3F">
        <w:rPr>
          <w:rFonts w:ascii="Arial" w:hAnsi="Arial" w:cs="Arial"/>
          <w:sz w:val="20"/>
          <w:szCs w:val="20"/>
        </w:rPr>
        <w:t xml:space="preserve">, 839519. </w:t>
      </w:r>
      <w:hyperlink r:id="rId48" w:history="1">
        <w:r w:rsidR="006407AE" w:rsidRPr="00CE27AB">
          <w:rPr>
            <w:rStyle w:val="Hyperlink"/>
            <w:rFonts w:ascii="Arial" w:hAnsi="Arial" w:cs="Arial"/>
            <w:sz w:val="20"/>
            <w:szCs w:val="20"/>
          </w:rPr>
          <w:t>https://doi.org/10.3389/fcell.2022.839519</w:t>
        </w:r>
      </w:hyperlink>
      <w:r w:rsidR="006407AE">
        <w:rPr>
          <w:rFonts w:ascii="Arial" w:hAnsi="Arial" w:cs="Arial"/>
          <w:sz w:val="20"/>
          <w:szCs w:val="20"/>
        </w:rPr>
        <w:t xml:space="preserve"> </w:t>
      </w:r>
    </w:p>
    <w:p w14:paraId="64047D7C" w14:textId="77777777" w:rsidR="00D644BC" w:rsidRPr="006F1D3F" w:rsidRDefault="00D644BC" w:rsidP="00D644BC">
      <w:pPr>
        <w:tabs>
          <w:tab w:val="left" w:pos="6941"/>
        </w:tabs>
        <w:ind w:left="709" w:right="-93" w:hanging="720"/>
        <w:jc w:val="both"/>
        <w:rPr>
          <w:rFonts w:ascii="Arial" w:hAnsi="Arial" w:cs="Arial"/>
        </w:rPr>
      </w:pPr>
    </w:p>
    <w:p w14:paraId="1B4EEAEC" w14:textId="77777777" w:rsidR="00D644BC" w:rsidRPr="006F1D3F" w:rsidRDefault="00D644BC" w:rsidP="00D644BC">
      <w:pPr>
        <w:jc w:val="both"/>
        <w:rPr>
          <w:rFonts w:ascii="Arial" w:hAnsi="Arial" w:cs="Arial"/>
        </w:rPr>
      </w:pPr>
    </w:p>
    <w:p w14:paraId="59C2E739" w14:textId="77777777" w:rsidR="00B01FCD" w:rsidRPr="00FB3A86" w:rsidRDefault="00B01FCD" w:rsidP="00441B6F">
      <w:pPr>
        <w:pStyle w:val="Appendix"/>
        <w:spacing w:after="0"/>
        <w:jc w:val="both"/>
        <w:rPr>
          <w:rFonts w:ascii="Arial" w:hAnsi="Arial" w:cs="Arial"/>
          <w:b w:val="0"/>
        </w:rPr>
      </w:pPr>
    </w:p>
    <w:sectPr w:rsidR="00B01FCD" w:rsidRPr="00FB3A86" w:rsidSect="000F0C57">
      <w:headerReference w:type="even" r:id="rId49"/>
      <w:headerReference w:type="default" r:id="rId50"/>
      <w:footerReference w:type="default" r:id="rId51"/>
      <w:headerReference w:type="first" r:id="rId52"/>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8CE0F9" w16cex:dateUtc="2025-11-26T21:28:00Z"/>
  <w16cex:commentExtensible w16cex:durableId="6DBB078C" w16cex:dateUtc="2025-11-26T21: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582B5" w14:textId="77777777" w:rsidR="00867928" w:rsidRDefault="00867928" w:rsidP="00C37E61">
      <w:r>
        <w:separator/>
      </w:r>
    </w:p>
  </w:endnote>
  <w:endnote w:type="continuationSeparator" w:id="0">
    <w:p w14:paraId="650312A0" w14:textId="77777777" w:rsidR="00867928" w:rsidRDefault="008679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B3F22" w14:textId="77777777" w:rsidR="000F0C57" w:rsidRDefault="000F0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8D734" w14:textId="77777777" w:rsidR="000F0C57" w:rsidRDefault="000F0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E6BAB" w14:textId="3275CE95" w:rsidR="00754C9A" w:rsidRPr="00C9745F" w:rsidRDefault="00754C9A" w:rsidP="00C9745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629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2290C" w14:textId="77777777" w:rsidR="00867928" w:rsidRDefault="00867928" w:rsidP="00C37E61">
      <w:r>
        <w:separator/>
      </w:r>
    </w:p>
  </w:footnote>
  <w:footnote w:type="continuationSeparator" w:id="0">
    <w:p w14:paraId="4099A675" w14:textId="77777777" w:rsidR="00867928" w:rsidRDefault="008679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D4E36" w14:textId="03FAFD1C" w:rsidR="000F0C57" w:rsidRDefault="000F0C57">
    <w:pPr>
      <w:pStyle w:val="Header"/>
    </w:pPr>
    <w:r>
      <w:rPr>
        <w:noProof/>
      </w:rPr>
      <w:pict w14:anchorId="78AC4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63184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B159A" w14:textId="3EE3C3C4" w:rsidR="000F0C57" w:rsidRDefault="000F0C57">
    <w:pPr>
      <w:pStyle w:val="Header"/>
    </w:pPr>
    <w:r>
      <w:rPr>
        <w:noProof/>
      </w:rPr>
      <w:pict w14:anchorId="014E9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63184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C0DE" w14:textId="0938B7A9" w:rsidR="00296529" w:rsidRPr="00296529" w:rsidRDefault="000F0C57" w:rsidP="00296529">
    <w:pPr>
      <w:ind w:left="2160"/>
      <w:jc w:val="center"/>
      <w:rPr>
        <w:rFonts w:ascii="Times New Roman" w:eastAsia="Calibri" w:hAnsi="Times New Roman"/>
        <w:i/>
        <w:sz w:val="18"/>
        <w:szCs w:val="22"/>
      </w:rPr>
    </w:pPr>
    <w:r>
      <w:rPr>
        <w:noProof/>
      </w:rPr>
      <w:pict w14:anchorId="359DF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63184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50F7F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4587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6008C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3E0A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2F01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51BE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DA7A" w14:textId="26A10D01" w:rsidR="000F0C57" w:rsidRDefault="000F0C57">
    <w:pPr>
      <w:pStyle w:val="Header"/>
    </w:pPr>
    <w:r>
      <w:rPr>
        <w:noProof/>
      </w:rPr>
      <w:pict w14:anchorId="15959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63184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85CF" w14:textId="1F9F5CE5" w:rsidR="000F0C57" w:rsidRDefault="000F0C57">
    <w:pPr>
      <w:pStyle w:val="Header"/>
    </w:pPr>
    <w:r>
      <w:rPr>
        <w:noProof/>
      </w:rPr>
      <w:pict w14:anchorId="203B5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63184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C744C" w14:textId="48183101" w:rsidR="000F0C57" w:rsidRDefault="000F0C57">
    <w:pPr>
      <w:pStyle w:val="Header"/>
    </w:pPr>
    <w:r>
      <w:rPr>
        <w:noProof/>
      </w:rPr>
      <w:pict w14:anchorId="60A57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63184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83570F"/>
    <w:multiLevelType w:val="hybridMultilevel"/>
    <w:tmpl w:val="43B046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CEE"/>
    <w:rsid w:val="00012FAF"/>
    <w:rsid w:val="00017394"/>
    <w:rsid w:val="0002642E"/>
    <w:rsid w:val="00030174"/>
    <w:rsid w:val="0003776F"/>
    <w:rsid w:val="0004579C"/>
    <w:rsid w:val="00071EF9"/>
    <w:rsid w:val="00082E51"/>
    <w:rsid w:val="00096331"/>
    <w:rsid w:val="000A47FA"/>
    <w:rsid w:val="000A5AE2"/>
    <w:rsid w:val="000A65D3"/>
    <w:rsid w:val="000B1E33"/>
    <w:rsid w:val="000B4463"/>
    <w:rsid w:val="000D689F"/>
    <w:rsid w:val="000D6A33"/>
    <w:rsid w:val="000E0FB7"/>
    <w:rsid w:val="000E5B85"/>
    <w:rsid w:val="000E7B7B"/>
    <w:rsid w:val="000E7D62"/>
    <w:rsid w:val="000F0C57"/>
    <w:rsid w:val="00103357"/>
    <w:rsid w:val="00123C9F"/>
    <w:rsid w:val="00126190"/>
    <w:rsid w:val="00127CA8"/>
    <w:rsid w:val="00130F17"/>
    <w:rsid w:val="001320BF"/>
    <w:rsid w:val="001471CF"/>
    <w:rsid w:val="0015513A"/>
    <w:rsid w:val="00156178"/>
    <w:rsid w:val="001603EC"/>
    <w:rsid w:val="00163BC4"/>
    <w:rsid w:val="001815BE"/>
    <w:rsid w:val="00191062"/>
    <w:rsid w:val="00192B72"/>
    <w:rsid w:val="00193F86"/>
    <w:rsid w:val="00194E86"/>
    <w:rsid w:val="00195B63"/>
    <w:rsid w:val="001A29D8"/>
    <w:rsid w:val="001A5CAA"/>
    <w:rsid w:val="001B0427"/>
    <w:rsid w:val="001B3803"/>
    <w:rsid w:val="001D3A51"/>
    <w:rsid w:val="001D497E"/>
    <w:rsid w:val="001E10D2"/>
    <w:rsid w:val="001E25B4"/>
    <w:rsid w:val="001E44FE"/>
    <w:rsid w:val="001E474C"/>
    <w:rsid w:val="001F2B03"/>
    <w:rsid w:val="00200595"/>
    <w:rsid w:val="00204835"/>
    <w:rsid w:val="00211B3B"/>
    <w:rsid w:val="00211D38"/>
    <w:rsid w:val="00231920"/>
    <w:rsid w:val="0023195C"/>
    <w:rsid w:val="0024282C"/>
    <w:rsid w:val="002460DC"/>
    <w:rsid w:val="00250985"/>
    <w:rsid w:val="002521D4"/>
    <w:rsid w:val="002556F6"/>
    <w:rsid w:val="0027601C"/>
    <w:rsid w:val="00283105"/>
    <w:rsid w:val="00284722"/>
    <w:rsid w:val="00284C4C"/>
    <w:rsid w:val="00287E68"/>
    <w:rsid w:val="0029384C"/>
    <w:rsid w:val="00296529"/>
    <w:rsid w:val="002A5BBC"/>
    <w:rsid w:val="002B27FB"/>
    <w:rsid w:val="002B685A"/>
    <w:rsid w:val="002C3DAB"/>
    <w:rsid w:val="002C57D2"/>
    <w:rsid w:val="002D58BF"/>
    <w:rsid w:val="002D7114"/>
    <w:rsid w:val="002E0D56"/>
    <w:rsid w:val="003048FD"/>
    <w:rsid w:val="00315186"/>
    <w:rsid w:val="0033343E"/>
    <w:rsid w:val="00345CF2"/>
    <w:rsid w:val="003512C2"/>
    <w:rsid w:val="00371FB6"/>
    <w:rsid w:val="003763C1"/>
    <w:rsid w:val="00376BBE"/>
    <w:rsid w:val="0039224F"/>
    <w:rsid w:val="00393295"/>
    <w:rsid w:val="003971ED"/>
    <w:rsid w:val="003A3376"/>
    <w:rsid w:val="003A43A4"/>
    <w:rsid w:val="003A7E18"/>
    <w:rsid w:val="003C4C86"/>
    <w:rsid w:val="003C6258"/>
    <w:rsid w:val="003C798D"/>
    <w:rsid w:val="003D1CB5"/>
    <w:rsid w:val="003D2524"/>
    <w:rsid w:val="003D6047"/>
    <w:rsid w:val="003E2904"/>
    <w:rsid w:val="003E61C4"/>
    <w:rsid w:val="00401927"/>
    <w:rsid w:val="00404FC5"/>
    <w:rsid w:val="0041027F"/>
    <w:rsid w:val="00412475"/>
    <w:rsid w:val="00423789"/>
    <w:rsid w:val="00440F43"/>
    <w:rsid w:val="00441B6F"/>
    <w:rsid w:val="00446221"/>
    <w:rsid w:val="00450E62"/>
    <w:rsid w:val="0045378F"/>
    <w:rsid w:val="004539DB"/>
    <w:rsid w:val="00464D3E"/>
    <w:rsid w:val="00471A80"/>
    <w:rsid w:val="004840A0"/>
    <w:rsid w:val="00494AFD"/>
    <w:rsid w:val="004B0CEE"/>
    <w:rsid w:val="004D305E"/>
    <w:rsid w:val="004D4277"/>
    <w:rsid w:val="004D675A"/>
    <w:rsid w:val="004E4DD5"/>
    <w:rsid w:val="004F1A59"/>
    <w:rsid w:val="004F71A2"/>
    <w:rsid w:val="00502516"/>
    <w:rsid w:val="00505F06"/>
    <w:rsid w:val="00506828"/>
    <w:rsid w:val="00515BD7"/>
    <w:rsid w:val="00520521"/>
    <w:rsid w:val="0053056E"/>
    <w:rsid w:val="00547BD3"/>
    <w:rsid w:val="00554FDA"/>
    <w:rsid w:val="00557352"/>
    <w:rsid w:val="00562808"/>
    <w:rsid w:val="00563161"/>
    <w:rsid w:val="00567F9F"/>
    <w:rsid w:val="00576F80"/>
    <w:rsid w:val="005C6E03"/>
    <w:rsid w:val="005C784C"/>
    <w:rsid w:val="005D17F6"/>
    <w:rsid w:val="005D5B64"/>
    <w:rsid w:val="005E5539"/>
    <w:rsid w:val="006024D6"/>
    <w:rsid w:val="00602BF5"/>
    <w:rsid w:val="00613EC1"/>
    <w:rsid w:val="00617FDD"/>
    <w:rsid w:val="00626C2D"/>
    <w:rsid w:val="00633614"/>
    <w:rsid w:val="00633F68"/>
    <w:rsid w:val="00636EB2"/>
    <w:rsid w:val="00636ECA"/>
    <w:rsid w:val="006375B8"/>
    <w:rsid w:val="006407AE"/>
    <w:rsid w:val="0066250E"/>
    <w:rsid w:val="0066510A"/>
    <w:rsid w:val="00673CFC"/>
    <w:rsid w:val="00673F9F"/>
    <w:rsid w:val="0068475A"/>
    <w:rsid w:val="00686953"/>
    <w:rsid w:val="00687DEA"/>
    <w:rsid w:val="00687E50"/>
    <w:rsid w:val="00687E67"/>
    <w:rsid w:val="006967F7"/>
    <w:rsid w:val="006971E9"/>
    <w:rsid w:val="006A250C"/>
    <w:rsid w:val="006A7A46"/>
    <w:rsid w:val="006B21D3"/>
    <w:rsid w:val="006B57D0"/>
    <w:rsid w:val="006B6EFE"/>
    <w:rsid w:val="006D30FF"/>
    <w:rsid w:val="006D6940"/>
    <w:rsid w:val="006F11EC"/>
    <w:rsid w:val="006F6FEE"/>
    <w:rsid w:val="0070082C"/>
    <w:rsid w:val="00715ABD"/>
    <w:rsid w:val="00721185"/>
    <w:rsid w:val="0072122A"/>
    <w:rsid w:val="00722B42"/>
    <w:rsid w:val="007271CF"/>
    <w:rsid w:val="007369E6"/>
    <w:rsid w:val="00741583"/>
    <w:rsid w:val="00746E59"/>
    <w:rsid w:val="00750B17"/>
    <w:rsid w:val="00754C9A"/>
    <w:rsid w:val="0075599A"/>
    <w:rsid w:val="00761D52"/>
    <w:rsid w:val="0076675A"/>
    <w:rsid w:val="00774893"/>
    <w:rsid w:val="0077749E"/>
    <w:rsid w:val="00785C73"/>
    <w:rsid w:val="00790ADA"/>
    <w:rsid w:val="007C2627"/>
    <w:rsid w:val="007D2288"/>
    <w:rsid w:val="007D5C01"/>
    <w:rsid w:val="007E088F"/>
    <w:rsid w:val="007E0E73"/>
    <w:rsid w:val="007E4896"/>
    <w:rsid w:val="007F7B32"/>
    <w:rsid w:val="008036B5"/>
    <w:rsid w:val="00803BE1"/>
    <w:rsid w:val="00804315"/>
    <w:rsid w:val="00804BC2"/>
    <w:rsid w:val="008139A2"/>
    <w:rsid w:val="0081431A"/>
    <w:rsid w:val="00815993"/>
    <w:rsid w:val="0083216F"/>
    <w:rsid w:val="00860000"/>
    <w:rsid w:val="00863BD3"/>
    <w:rsid w:val="008641ED"/>
    <w:rsid w:val="0086598C"/>
    <w:rsid w:val="00866D66"/>
    <w:rsid w:val="008671C6"/>
    <w:rsid w:val="00867928"/>
    <w:rsid w:val="00875803"/>
    <w:rsid w:val="00876C21"/>
    <w:rsid w:val="00880022"/>
    <w:rsid w:val="008B459E"/>
    <w:rsid w:val="008B7086"/>
    <w:rsid w:val="008C63B5"/>
    <w:rsid w:val="008E13AE"/>
    <w:rsid w:val="008E1506"/>
    <w:rsid w:val="008E42C3"/>
    <w:rsid w:val="008E710C"/>
    <w:rsid w:val="008F0AA3"/>
    <w:rsid w:val="008F15E2"/>
    <w:rsid w:val="008F5554"/>
    <w:rsid w:val="008F69D6"/>
    <w:rsid w:val="008F7101"/>
    <w:rsid w:val="00902823"/>
    <w:rsid w:val="00915CA6"/>
    <w:rsid w:val="00926ABE"/>
    <w:rsid w:val="00927834"/>
    <w:rsid w:val="00946FE6"/>
    <w:rsid w:val="009500A6"/>
    <w:rsid w:val="00957C18"/>
    <w:rsid w:val="009659BA"/>
    <w:rsid w:val="00970E5D"/>
    <w:rsid w:val="00983040"/>
    <w:rsid w:val="009B1D48"/>
    <w:rsid w:val="009B3FB9"/>
    <w:rsid w:val="009C031A"/>
    <w:rsid w:val="009C2465"/>
    <w:rsid w:val="009C2A67"/>
    <w:rsid w:val="009D35A0"/>
    <w:rsid w:val="009D7EB7"/>
    <w:rsid w:val="009E048A"/>
    <w:rsid w:val="009E08E9"/>
    <w:rsid w:val="009E2423"/>
    <w:rsid w:val="009E3DB9"/>
    <w:rsid w:val="009E5316"/>
    <w:rsid w:val="009E6E35"/>
    <w:rsid w:val="009F0EDA"/>
    <w:rsid w:val="009F6A06"/>
    <w:rsid w:val="00A03B96"/>
    <w:rsid w:val="00A04222"/>
    <w:rsid w:val="00A04FDB"/>
    <w:rsid w:val="00A05B19"/>
    <w:rsid w:val="00A1134E"/>
    <w:rsid w:val="00A24E7E"/>
    <w:rsid w:val="00A258C3"/>
    <w:rsid w:val="00A347C0"/>
    <w:rsid w:val="00A51431"/>
    <w:rsid w:val="00A539AD"/>
    <w:rsid w:val="00A65679"/>
    <w:rsid w:val="00A66D1F"/>
    <w:rsid w:val="00A72D01"/>
    <w:rsid w:val="00A80CE3"/>
    <w:rsid w:val="00A94063"/>
    <w:rsid w:val="00A974B7"/>
    <w:rsid w:val="00AA6219"/>
    <w:rsid w:val="00AA74E0"/>
    <w:rsid w:val="00AB703F"/>
    <w:rsid w:val="00AC6BB8"/>
    <w:rsid w:val="00AE008F"/>
    <w:rsid w:val="00AF12CC"/>
    <w:rsid w:val="00B01FCD"/>
    <w:rsid w:val="00B1776C"/>
    <w:rsid w:val="00B234BA"/>
    <w:rsid w:val="00B2647E"/>
    <w:rsid w:val="00B31802"/>
    <w:rsid w:val="00B35E8A"/>
    <w:rsid w:val="00B40F01"/>
    <w:rsid w:val="00B416B2"/>
    <w:rsid w:val="00B442CF"/>
    <w:rsid w:val="00B52583"/>
    <w:rsid w:val="00B52896"/>
    <w:rsid w:val="00B56120"/>
    <w:rsid w:val="00B60B4A"/>
    <w:rsid w:val="00B61179"/>
    <w:rsid w:val="00B95236"/>
    <w:rsid w:val="00B96BD9"/>
    <w:rsid w:val="00BA1B01"/>
    <w:rsid w:val="00BA2641"/>
    <w:rsid w:val="00BA5A2E"/>
    <w:rsid w:val="00BA7329"/>
    <w:rsid w:val="00BB37AA"/>
    <w:rsid w:val="00BC0FB5"/>
    <w:rsid w:val="00BC244D"/>
    <w:rsid w:val="00BC53A0"/>
    <w:rsid w:val="00BE16D5"/>
    <w:rsid w:val="00BE62AD"/>
    <w:rsid w:val="00BF121F"/>
    <w:rsid w:val="00BF1F80"/>
    <w:rsid w:val="00C166EF"/>
    <w:rsid w:val="00C17EB0"/>
    <w:rsid w:val="00C2530B"/>
    <w:rsid w:val="00C27F5F"/>
    <w:rsid w:val="00C30A0F"/>
    <w:rsid w:val="00C3329A"/>
    <w:rsid w:val="00C37E61"/>
    <w:rsid w:val="00C5110F"/>
    <w:rsid w:val="00C570DA"/>
    <w:rsid w:val="00C65350"/>
    <w:rsid w:val="00C65C98"/>
    <w:rsid w:val="00C70F1B"/>
    <w:rsid w:val="00C71A47"/>
    <w:rsid w:val="00C71A49"/>
    <w:rsid w:val="00C7464C"/>
    <w:rsid w:val="00C77ACD"/>
    <w:rsid w:val="00C802E3"/>
    <w:rsid w:val="00C80CEE"/>
    <w:rsid w:val="00C85588"/>
    <w:rsid w:val="00C919C4"/>
    <w:rsid w:val="00C9745F"/>
    <w:rsid w:val="00CA5C97"/>
    <w:rsid w:val="00CC018D"/>
    <w:rsid w:val="00CD2CE9"/>
    <w:rsid w:val="00CD6755"/>
    <w:rsid w:val="00CD6856"/>
    <w:rsid w:val="00CE0089"/>
    <w:rsid w:val="00CE0D23"/>
    <w:rsid w:val="00CE2603"/>
    <w:rsid w:val="00CE3F10"/>
    <w:rsid w:val="00CE793C"/>
    <w:rsid w:val="00CF193C"/>
    <w:rsid w:val="00D06390"/>
    <w:rsid w:val="00D14CB6"/>
    <w:rsid w:val="00D173F1"/>
    <w:rsid w:val="00D24244"/>
    <w:rsid w:val="00D377D6"/>
    <w:rsid w:val="00D644BC"/>
    <w:rsid w:val="00D74CB0"/>
    <w:rsid w:val="00D8295D"/>
    <w:rsid w:val="00D86866"/>
    <w:rsid w:val="00D91EFA"/>
    <w:rsid w:val="00D93F95"/>
    <w:rsid w:val="00D97443"/>
    <w:rsid w:val="00DB4571"/>
    <w:rsid w:val="00DB4AB8"/>
    <w:rsid w:val="00DB7A12"/>
    <w:rsid w:val="00DC2A65"/>
    <w:rsid w:val="00DC7575"/>
    <w:rsid w:val="00DD0A28"/>
    <w:rsid w:val="00DE15F0"/>
    <w:rsid w:val="00DE5663"/>
    <w:rsid w:val="00DE78AA"/>
    <w:rsid w:val="00DF3DBF"/>
    <w:rsid w:val="00E053D0"/>
    <w:rsid w:val="00E060D1"/>
    <w:rsid w:val="00E15994"/>
    <w:rsid w:val="00E249A7"/>
    <w:rsid w:val="00E3114E"/>
    <w:rsid w:val="00E31A70"/>
    <w:rsid w:val="00E35B02"/>
    <w:rsid w:val="00E40D04"/>
    <w:rsid w:val="00E46C3B"/>
    <w:rsid w:val="00E66496"/>
    <w:rsid w:val="00E66B35"/>
    <w:rsid w:val="00E66E10"/>
    <w:rsid w:val="00E769F6"/>
    <w:rsid w:val="00E813C0"/>
    <w:rsid w:val="00E8407C"/>
    <w:rsid w:val="00E84F3C"/>
    <w:rsid w:val="00E94C3F"/>
    <w:rsid w:val="00EA012C"/>
    <w:rsid w:val="00EA450B"/>
    <w:rsid w:val="00EB290C"/>
    <w:rsid w:val="00EC6A55"/>
    <w:rsid w:val="00ED0288"/>
    <w:rsid w:val="00ED3776"/>
    <w:rsid w:val="00EE52CB"/>
    <w:rsid w:val="00EF02E7"/>
    <w:rsid w:val="00EF581D"/>
    <w:rsid w:val="00EF7FD8"/>
    <w:rsid w:val="00F045BE"/>
    <w:rsid w:val="00F05317"/>
    <w:rsid w:val="00F06F59"/>
    <w:rsid w:val="00F07117"/>
    <w:rsid w:val="00F14BBD"/>
    <w:rsid w:val="00F17988"/>
    <w:rsid w:val="00F2086C"/>
    <w:rsid w:val="00F222D0"/>
    <w:rsid w:val="00F26966"/>
    <w:rsid w:val="00F45CE9"/>
    <w:rsid w:val="00F469F0"/>
    <w:rsid w:val="00F513E9"/>
    <w:rsid w:val="00F53273"/>
    <w:rsid w:val="00F66B32"/>
    <w:rsid w:val="00F755E4"/>
    <w:rsid w:val="00F77D02"/>
    <w:rsid w:val="00FA668C"/>
    <w:rsid w:val="00FB3A86"/>
    <w:rsid w:val="00FD3526"/>
    <w:rsid w:val="00FD36C8"/>
    <w:rsid w:val="00FD66E7"/>
    <w:rsid w:val="00FE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C919C4"/>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1EF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472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D644BC"/>
    <w:pPr>
      <w:spacing w:after="120"/>
    </w:pPr>
  </w:style>
  <w:style w:type="character" w:customStyle="1" w:styleId="BodyTextChar">
    <w:name w:val="Body Text Char"/>
    <w:basedOn w:val="DefaultParagraphFont"/>
    <w:link w:val="BodyText"/>
    <w:semiHidden/>
    <w:rsid w:val="00D644BC"/>
    <w:rPr>
      <w:rFonts w:ascii="Helvetica" w:hAnsi="Helvetica"/>
    </w:rPr>
  </w:style>
  <w:style w:type="paragraph" w:styleId="Bibliography">
    <w:name w:val="Bibliography"/>
    <w:basedOn w:val="Normal"/>
    <w:next w:val="Normal"/>
    <w:uiPriority w:val="37"/>
    <w:unhideWhenUsed/>
    <w:rsid w:val="00D644BC"/>
    <w:pPr>
      <w:spacing w:after="160" w:line="259" w:lineRule="auto"/>
    </w:pPr>
    <w:rPr>
      <w:rFonts w:asciiTheme="minorHAnsi" w:eastAsiaTheme="minorHAnsi" w:hAnsiTheme="minorHAnsi" w:cstheme="minorBidi"/>
      <w:kern w:val="2"/>
      <w:sz w:val="22"/>
      <w:szCs w:val="22"/>
      <w:lang w:val="en-ID"/>
      <w14:ligatures w14:val="standardContextual"/>
    </w:rPr>
  </w:style>
  <w:style w:type="paragraph" w:styleId="ListParagraph">
    <w:name w:val="List Paragraph"/>
    <w:basedOn w:val="Normal"/>
    <w:uiPriority w:val="34"/>
    <w:qFormat/>
    <w:rsid w:val="00D644BC"/>
    <w:pPr>
      <w:ind w:left="720"/>
      <w:contextualSpacing/>
    </w:pPr>
  </w:style>
  <w:style w:type="paragraph" w:styleId="CommentSubject">
    <w:name w:val="annotation subject"/>
    <w:basedOn w:val="CommentText"/>
    <w:next w:val="CommentText"/>
    <w:link w:val="CommentSubjectChar"/>
    <w:semiHidden/>
    <w:unhideWhenUsed/>
    <w:rsid w:val="00F513E9"/>
    <w:rPr>
      <w:rFonts w:ascii="Helvetica" w:hAnsi="Helvetica"/>
      <w:b/>
      <w:bCs/>
      <w:lang w:val="en-US" w:eastAsia="en-US"/>
    </w:rPr>
  </w:style>
  <w:style w:type="character" w:customStyle="1" w:styleId="CommentSubjectChar">
    <w:name w:val="Comment Subject Char"/>
    <w:basedOn w:val="CommentTextChar"/>
    <w:link w:val="CommentSubject"/>
    <w:semiHidden/>
    <w:rsid w:val="00F513E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7218/jkj.Vol1.Iss2.397" TargetMode="External"/><Relationship Id="rId26" Type="http://schemas.openxmlformats.org/officeDocument/2006/relationships/hyperlink" Target="https://doi.org/10.1111/j.1524-4725.2012.02394.x" TargetMode="External"/><Relationship Id="rId39" Type="http://schemas.openxmlformats.org/officeDocument/2006/relationships/hyperlink" Target="https://www.jchr.org/index.php/jchr/issue/view/10" TargetMode="External"/><Relationship Id="rId21" Type="http://schemas.openxmlformats.org/officeDocument/2006/relationships/hyperlink" Target="https://doi.org/10.1097/DSS.0000000000000665" TargetMode="External"/><Relationship Id="rId34" Type="http://schemas.openxmlformats.org/officeDocument/2006/relationships/hyperlink" Target="https://doi.org/10.1038/s41598-022-25383-z" TargetMode="External"/><Relationship Id="rId42" Type="http://schemas.openxmlformats.org/officeDocument/2006/relationships/hyperlink" Target="https://doi.org/10.5966/sctm.2015-0107" TargetMode="External"/><Relationship Id="rId47" Type="http://schemas.openxmlformats.org/officeDocument/2006/relationships/hyperlink" Target="https://doi.org/10.1016/j.mjafi.2021.04.015" TargetMode="External"/><Relationship Id="rId50" Type="http://schemas.openxmlformats.org/officeDocument/2006/relationships/header" Target="header5.xml"/><Relationship Id="rId55"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aad.2003.06.014" TargetMode="External"/><Relationship Id="rId29" Type="http://schemas.openxmlformats.org/officeDocument/2006/relationships/hyperlink" Target="https://doi.org/10.1177/1203475418818073" TargetMode="External"/><Relationship Id="rId11" Type="http://schemas.openxmlformats.org/officeDocument/2006/relationships/footer" Target="footer2.xml"/><Relationship Id="rId24" Type="http://schemas.openxmlformats.org/officeDocument/2006/relationships/hyperlink" Target="https://doi.org/10.1111/jocd.12167" TargetMode="External"/><Relationship Id="rId32" Type="http://schemas.openxmlformats.org/officeDocument/2006/relationships/hyperlink" Target="https://doi.org/10.1007/10_2010_88" TargetMode="External"/><Relationship Id="rId37" Type="http://schemas.openxmlformats.org/officeDocument/2006/relationships/hyperlink" Target="https://doi.org/10.1067/mjd.2002.124088" TargetMode="External"/><Relationship Id="rId40" Type="http://schemas.openxmlformats.org/officeDocument/2006/relationships/hyperlink" Target="https://doi.org/10.7759/cureus.77371" TargetMode="External"/><Relationship Id="rId45" Type="http://schemas.openxmlformats.org/officeDocument/2006/relationships/hyperlink" Target="https://doi.org/10.1590/S1679-45082016AO354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55/s-0038-1660845" TargetMode="External"/><Relationship Id="rId31" Type="http://schemas.openxmlformats.org/officeDocument/2006/relationships/hyperlink" Target="https://doi.org/10.1007/978-3-030-98331-4" TargetMode="External"/><Relationship Id="rId44" Type="http://schemas.openxmlformats.org/officeDocument/2006/relationships/hyperlink" Target="https://doi.org/10.1515/med-2016-0048"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9106/jmedsci005401202205" TargetMode="External"/><Relationship Id="rId22" Type="http://schemas.openxmlformats.org/officeDocument/2006/relationships/hyperlink" Target="https://doi.org/10.5021/ad.2011.23.4.424" TargetMode="External"/><Relationship Id="rId27" Type="http://schemas.openxmlformats.org/officeDocument/2006/relationships/hyperlink" Target="https://doi.org/10.1371/journal.pone.0319040" TargetMode="External"/><Relationship Id="rId30" Type="http://schemas.openxmlformats.org/officeDocument/2006/relationships/hyperlink" Target="https://doi.org/10.1002/jvc2.86" TargetMode="External"/><Relationship Id="rId35" Type="http://schemas.openxmlformats.org/officeDocument/2006/relationships/hyperlink" Target="https://doi.org/10.1007/978-3-642-25611-0" TargetMode="External"/><Relationship Id="rId43" Type="http://schemas.openxmlformats.org/officeDocument/2006/relationships/hyperlink" Target="https://www.ncbi.nlm.nih.gov/pmc/articles/PMC8675348/" TargetMode="External"/><Relationship Id="rId48" Type="http://schemas.openxmlformats.org/officeDocument/2006/relationships/hyperlink" Target="https://doi.org/10.3389/fcell.2022.839519" TargetMode="Externa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55175/cdk.v45i8.735" TargetMode="External"/><Relationship Id="rId25" Type="http://schemas.openxmlformats.org/officeDocument/2006/relationships/hyperlink" Target="https://doi.org/10.3892/etm.2014.1747" TargetMode="External"/><Relationship Id="rId33" Type="http://schemas.openxmlformats.org/officeDocument/2006/relationships/hyperlink" Target="https://doi.org/10.1038/srep00424" TargetMode="External"/><Relationship Id="rId38" Type="http://schemas.openxmlformats.org/officeDocument/2006/relationships/hyperlink" Target="https://doi.org/10.1111/jocd.16665" TargetMode="External"/><Relationship Id="rId46" Type="http://schemas.openxmlformats.org/officeDocument/2006/relationships/hyperlink" Target="https://doi.org/10.21608/ijma.2023.200184.1640" TargetMode="External"/><Relationship Id="rId20" Type="http://schemas.openxmlformats.org/officeDocument/2006/relationships/hyperlink" Target="https://doi.org/10.1016/j.ijwd.2018.08.004" TargetMode="External"/><Relationship Id="rId41" Type="http://schemas.openxmlformats.org/officeDocument/2006/relationships/hyperlink" Target="https://doi.org/10.2147/DDDT.S35685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6951/medicinus.v35i1.88" TargetMode="External"/><Relationship Id="rId23" Type="http://schemas.openxmlformats.org/officeDocument/2006/relationships/hyperlink" Target="https://doi.org/10.1097/01.prs.0000239560.29172.33" TargetMode="External"/><Relationship Id="rId28" Type="http://schemas.openxmlformats.org/officeDocument/2006/relationships/hyperlink" Target="https://doi.org/10.1016/j.mjafi.2019.11.001" TargetMode="External"/><Relationship Id="rId36" Type="http://schemas.openxmlformats.org/officeDocument/2006/relationships/hyperlink" Target="https://doi.org/10.4103/0974-2077.191657" TargetMode="External"/><Relationship Id="rId4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04EC-90D7-40A9-B1BC-DF3F7A79E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11</Pages>
  <Words>6680</Words>
  <Characters>38082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2025-11-26T21:29:00Z</dcterms:created>
  <dcterms:modified xsi:type="dcterms:W3CDTF">2025-11-29T10:50:00Z</dcterms:modified>
</cp:coreProperties>
</file>