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C7CD8" w14:textId="77777777" w:rsidR="00BD5D0A" w:rsidRDefault="00BD5D0A">
      <w:pPr>
        <w:pStyle w:val="Title"/>
        <w:spacing w:after="0"/>
        <w:jc w:val="both"/>
        <w:rPr>
          <w:rFonts w:ascii="Arial" w:eastAsia="Arial" w:hAnsi="Arial" w:cs="Arial"/>
        </w:rPr>
      </w:pPr>
    </w:p>
    <w:p w14:paraId="5DCE607B" w14:textId="77777777" w:rsidR="00BD5D0A" w:rsidRDefault="00595E0A">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COVID-19 Vaccination Coverage among the Brazilian Indigenous Population between 2020 and 2024: A Scoping Review</w:t>
      </w:r>
    </w:p>
    <w:p w14:paraId="51582BBE" w14:textId="77777777" w:rsidR="00BD5D0A" w:rsidRDefault="00BD5D0A">
      <w:pPr>
        <w:pBdr>
          <w:top w:val="nil"/>
          <w:left w:val="nil"/>
          <w:bottom w:val="nil"/>
          <w:right w:val="nil"/>
          <w:between w:val="nil"/>
        </w:pBdr>
        <w:jc w:val="both"/>
        <w:rPr>
          <w:rFonts w:ascii="Arial" w:eastAsia="Arial" w:hAnsi="Arial" w:cs="Arial"/>
          <w:b/>
          <w:bCs/>
          <w:color w:val="000000"/>
          <w:sz w:val="36"/>
          <w:szCs w:val="36"/>
        </w:rPr>
      </w:pPr>
    </w:p>
    <w:p w14:paraId="025F7AF8" w14:textId="77777777" w:rsidR="00BD5D0A" w:rsidRDefault="00BD5D0A">
      <w:pPr>
        <w:pBdr>
          <w:top w:val="nil"/>
          <w:left w:val="nil"/>
          <w:bottom w:val="nil"/>
          <w:right w:val="nil"/>
          <w:between w:val="nil"/>
        </w:pBdr>
        <w:jc w:val="both"/>
        <w:rPr>
          <w:rFonts w:ascii="Arial" w:eastAsia="Arial" w:hAnsi="Arial" w:cs="Arial"/>
          <w:color w:val="000000"/>
        </w:rPr>
      </w:pPr>
    </w:p>
    <w:p w14:paraId="23FD1E0A" w14:textId="77777777" w:rsidR="00BD5D0A" w:rsidRDefault="00595E0A">
      <w:pPr>
        <w:pBdr>
          <w:top w:val="nil"/>
          <w:left w:val="nil"/>
          <w:bottom w:val="nil"/>
          <w:right w:val="nil"/>
          <w:between w:val="nil"/>
        </w:pBdr>
        <w:jc w:val="both"/>
        <w:rPr>
          <w:rFonts w:ascii="Arial" w:eastAsia="Arial" w:hAnsi="Arial" w:cs="Arial"/>
          <w:color w:val="000000"/>
          <w:sz w:val="16"/>
          <w:szCs w:val="16"/>
        </w:rPr>
        <w:sectPr w:rsidR="00BD5D0A" w:rsidSect="00B11286">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855CCA0" wp14:editId="3E9806BE">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407623FA" w14:textId="77777777"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0F4EFD19" w14:textId="77777777" w:rsidR="00BD5D0A" w:rsidRDefault="00BD5D0A">
      <w:pPr>
        <w:keepNext/>
        <w:pBdr>
          <w:top w:val="nil"/>
          <w:left w:val="nil"/>
          <w:bottom w:val="nil"/>
          <w:right w:val="nil"/>
          <w:between w:val="nil"/>
        </w:pBdr>
        <w:jc w:val="both"/>
        <w:rPr>
          <w:rFonts w:ascii="Arial" w:eastAsia="Arial" w:hAnsi="Arial" w:cs="Arial"/>
          <w:b/>
          <w:bCs/>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BD5D0A" w14:paraId="50B42E86" w14:textId="77777777">
        <w:tc>
          <w:tcPr>
            <w:tcW w:w="8424" w:type="dxa"/>
            <w:shd w:val="clear" w:color="auto" w:fill="F2F2F2"/>
          </w:tcPr>
          <w:p w14:paraId="6450624D" w14:textId="77777777" w:rsidR="00BD5D0A" w:rsidRDefault="00595E0A">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Objective: </w:t>
            </w:r>
            <w:r>
              <w:rPr>
                <w:rFonts w:ascii="Arial" w:eastAsia="Arial" w:hAnsi="Arial" w:cs="Arial"/>
              </w:rPr>
              <w:t>To analyze access and vaccination coverage of COVID-19 for the Brazilian indigenous population, through the efficiency of strategies, impact factors and disparities in coverage of the Special Indigenous Health Districts (SIHD).</w:t>
            </w:r>
          </w:p>
          <w:p w14:paraId="7AD802FA" w14:textId="77777777" w:rsidR="00BD5D0A" w:rsidRDefault="00595E0A">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Methods: </w:t>
            </w:r>
            <w:r>
              <w:rPr>
                <w:rFonts w:ascii="Arial" w:eastAsia="Arial" w:hAnsi="Arial" w:cs="Arial"/>
              </w:rPr>
              <w:t xml:space="preserve">This was a Scoping Review conducted in October 2024, with searches in EMBASE, LILACS, PUBMED, SCOPUS, </w:t>
            </w:r>
            <w:proofErr w:type="spellStart"/>
            <w:r>
              <w:rPr>
                <w:rFonts w:ascii="Arial" w:eastAsia="Arial" w:hAnsi="Arial" w:cs="Arial"/>
              </w:rPr>
              <w:t>SciELO</w:t>
            </w:r>
            <w:proofErr w:type="spellEnd"/>
            <w:r>
              <w:rPr>
                <w:rFonts w:ascii="Arial" w:eastAsia="Arial" w:hAnsi="Arial" w:cs="Arial"/>
              </w:rPr>
              <w:t>, and WEB OF SCIENCE, as well as gray literature. Inclusion criteria were full studies, available in Spanish, English, or Portuguese, addressing COVID-19 vaccination in the indigenous population.</w:t>
            </w:r>
            <w:r>
              <w:rPr>
                <w:rFonts w:ascii="Arial" w:eastAsia="Arial" w:hAnsi="Arial" w:cs="Arial"/>
                <w:b/>
                <w:bCs/>
              </w:rPr>
              <w:t xml:space="preserve"> </w:t>
            </w:r>
          </w:p>
          <w:p w14:paraId="4BF73D4F"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b/>
                <w:bCs/>
              </w:rPr>
              <w:t xml:space="preserve">Results:  </w:t>
            </w:r>
            <w:r>
              <w:rPr>
                <w:rFonts w:ascii="Arial" w:eastAsia="Arial" w:hAnsi="Arial" w:cs="Arial"/>
              </w:rPr>
              <w:t xml:space="preserve">Gaps in vaccination access among the DSEIs were identified. While some districts, such as Northeast Alagoas and Sergipe, exceeded 90% vaccination coverage, others, such as Rio </w:t>
            </w:r>
            <w:proofErr w:type="spellStart"/>
            <w:r>
              <w:rPr>
                <w:rFonts w:ascii="Arial" w:eastAsia="Arial" w:hAnsi="Arial" w:cs="Arial"/>
              </w:rPr>
              <w:t>Tapajós</w:t>
            </w:r>
            <w:proofErr w:type="spellEnd"/>
            <w:r>
              <w:rPr>
                <w:rFonts w:ascii="Arial" w:eastAsia="Arial" w:hAnsi="Arial" w:cs="Arial"/>
              </w:rPr>
              <w:t xml:space="preserve">, did not reach 70%. Logistical challenges and misinformation negatively impacted coverage in remote areas. </w:t>
            </w:r>
          </w:p>
          <w:p w14:paraId="66F7EFB7" w14:textId="77777777" w:rsidR="00BD5D0A" w:rsidRDefault="00595E0A">
            <w:pPr>
              <w:pBdr>
                <w:top w:val="nil"/>
                <w:left w:val="nil"/>
                <w:bottom w:val="nil"/>
                <w:right w:val="nil"/>
                <w:between w:val="nil"/>
              </w:pBdr>
              <w:jc w:val="both"/>
              <w:rPr>
                <w:rFonts w:ascii="Arial" w:eastAsia="Arial" w:hAnsi="Arial" w:cs="Arial"/>
                <w:color w:val="000000"/>
              </w:rPr>
            </w:pPr>
            <w:r>
              <w:rPr>
                <w:rFonts w:ascii="Arial" w:eastAsia="Arial" w:hAnsi="Arial" w:cs="Arial"/>
                <w:b/>
                <w:bCs/>
              </w:rPr>
              <w:t xml:space="preserve">Final considerations: </w:t>
            </w:r>
            <w:r>
              <w:rPr>
                <w:rFonts w:ascii="Arial" w:eastAsia="Arial" w:hAnsi="Arial" w:cs="Arial"/>
              </w:rPr>
              <w:t>Despite efforts, vaccination coverage did not reach its full potential, highlighting the need for public policies better adapted to the geographic and cultural particularities of the indigenous population.</w:t>
            </w:r>
          </w:p>
        </w:tc>
      </w:tr>
    </w:tbl>
    <w:p w14:paraId="2B69ABDD" w14:textId="77777777" w:rsidR="00BD5D0A" w:rsidRDefault="00BD5D0A">
      <w:pPr>
        <w:pBdr>
          <w:top w:val="nil"/>
          <w:left w:val="nil"/>
          <w:bottom w:val="nil"/>
          <w:right w:val="nil"/>
          <w:between w:val="nil"/>
        </w:pBdr>
        <w:jc w:val="both"/>
        <w:rPr>
          <w:rFonts w:ascii="Arial" w:eastAsia="Arial" w:hAnsi="Arial" w:cs="Arial"/>
          <w:i/>
          <w:iCs/>
          <w:color w:val="000000"/>
        </w:rPr>
      </w:pPr>
    </w:p>
    <w:p w14:paraId="0FF30751" w14:textId="77777777" w:rsidR="00BD5D0A" w:rsidRDefault="00595E0A">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Vaccination, COVID-19, Indigenous People, Brazil.</w:t>
      </w:r>
    </w:p>
    <w:p w14:paraId="796C7395" w14:textId="77777777" w:rsidR="00BD5D0A" w:rsidRDefault="00BD5D0A">
      <w:pPr>
        <w:pBdr>
          <w:top w:val="nil"/>
          <w:left w:val="nil"/>
          <w:bottom w:val="nil"/>
          <w:right w:val="nil"/>
          <w:between w:val="nil"/>
        </w:pBdr>
        <w:jc w:val="both"/>
        <w:rPr>
          <w:rFonts w:ascii="Arial" w:eastAsia="Arial" w:hAnsi="Arial" w:cs="Arial"/>
          <w:i/>
          <w:iCs/>
          <w:color w:val="000000"/>
        </w:rPr>
      </w:pPr>
    </w:p>
    <w:p w14:paraId="509B0E11" w14:textId="77777777"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67779497" w14:textId="77777777" w:rsidR="00BD5D0A" w:rsidRDefault="00BD5D0A">
      <w:pPr>
        <w:keepNext/>
        <w:pBdr>
          <w:top w:val="nil"/>
          <w:left w:val="nil"/>
          <w:bottom w:val="nil"/>
          <w:right w:val="nil"/>
          <w:between w:val="nil"/>
        </w:pBdr>
        <w:jc w:val="both"/>
        <w:rPr>
          <w:rFonts w:ascii="Arial" w:eastAsia="Arial" w:hAnsi="Arial" w:cs="Arial"/>
          <w:b/>
          <w:bCs/>
          <w:smallCaps/>
          <w:sz w:val="22"/>
          <w:szCs w:val="22"/>
        </w:rPr>
      </w:pPr>
    </w:p>
    <w:p w14:paraId="718C4CB4"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In 2022, Brazil recorded approximately 1,694,836 individuals who are or identify as Indigenous, representing 0.83% of the Brazilian population (IBGE, 2024). According to IBGE (2010), the 2010 Demographic Census registered 896,917 Indigenous people, showing an increase of approximately 88.8% between the two periods. Furthermore, this population was divided into 305 ethnic groups, speaking about 274 different Indigenous languages. These groups are distributed across the Brazilian territory, with the North Region concentrating the largest share of the Indigenous population, particularly in the state of Amazonas. Of this total, around 63% do not live in the 790 Indigenous Lands (ILs) that have already been demarcated or are in the process of demarcation (IBGE, 2012).</w:t>
      </w:r>
    </w:p>
    <w:p w14:paraId="2E678C27" w14:textId="77777777" w:rsidR="00BD5D0A" w:rsidRDefault="00BD5D0A">
      <w:pPr>
        <w:pBdr>
          <w:top w:val="nil"/>
          <w:left w:val="nil"/>
          <w:bottom w:val="nil"/>
          <w:right w:val="nil"/>
          <w:between w:val="nil"/>
        </w:pBdr>
        <w:jc w:val="both"/>
        <w:rPr>
          <w:rFonts w:ascii="Arial" w:eastAsia="Arial" w:hAnsi="Arial" w:cs="Arial"/>
        </w:rPr>
      </w:pPr>
    </w:p>
    <w:p w14:paraId="55788A42"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The vulnerability of the Brazilian Indigenous population is evident, as infectious, parasitic, and vaccine-preventable diseases are predominant among them (ISA, 2024). This condition also becomes explicit when analyzing inequalities in mortality rates between Indigenous and non-Indigenous people, with the former presenting higher rates than the latter (Coimbra et al., 2005). This occurs due to genetic susceptibility, cultural aspects, and economic activities carried out in Indigenous territories. Consequently, the evidence highlights substantial disparities in access to health services across Brazil's diverse ethnic groups.</w:t>
      </w:r>
    </w:p>
    <w:p w14:paraId="0C5CFADE" w14:textId="77777777" w:rsidR="00BD5D0A" w:rsidRDefault="00BD5D0A">
      <w:pPr>
        <w:pBdr>
          <w:top w:val="nil"/>
          <w:left w:val="nil"/>
          <w:bottom w:val="nil"/>
          <w:right w:val="nil"/>
          <w:between w:val="nil"/>
        </w:pBdr>
        <w:jc w:val="both"/>
        <w:rPr>
          <w:rFonts w:ascii="Arial" w:eastAsia="Arial" w:hAnsi="Arial" w:cs="Arial"/>
        </w:rPr>
      </w:pPr>
    </w:p>
    <w:p w14:paraId="6610D7E9"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Over the years, strategies have been implemented to ensure the right to health for Brazilian Indigenous peoples. These measures have primarily focused on expanding the Primary Health </w:t>
      </w:r>
      <w:r>
        <w:rPr>
          <w:rFonts w:ascii="Arial" w:eastAsia="Arial" w:hAnsi="Arial" w:cs="Arial"/>
        </w:rPr>
        <w:lastRenderedPageBreak/>
        <w:t>Care (PHC) network, aiming to improve access to health services and reduce disparities among different population groups. As a result of Indigenous mobilization and advocacy, the Indigenous Health Care Subsystem (SASI) was created in 1999, with the goal of establishing PHC, as well as other levels of health care, adapted to the specificities and demands of Indigenous peoples. This subsystem respects traditional knowledge and cultural aspects, while ensuring social participation in the implementation process (Campos et al., 2017).</w:t>
      </w:r>
    </w:p>
    <w:p w14:paraId="2F37E781" w14:textId="77777777" w:rsidR="00BD5D0A" w:rsidRDefault="00BD5D0A">
      <w:pPr>
        <w:pBdr>
          <w:top w:val="nil"/>
          <w:left w:val="nil"/>
          <w:bottom w:val="nil"/>
          <w:right w:val="nil"/>
          <w:between w:val="nil"/>
        </w:pBdr>
        <w:jc w:val="both"/>
        <w:rPr>
          <w:rFonts w:ascii="Arial" w:eastAsia="Arial" w:hAnsi="Arial" w:cs="Arial"/>
        </w:rPr>
      </w:pPr>
    </w:p>
    <w:p w14:paraId="0EB8FBE2"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From the SASI, the National Policy for Indigenous Peoples’ Health Care (PNASPI) was developed to consolidate the principles of the Brazilian Unified Health System (SUS), particularly universality, comprehensiveness, and equity, while taking into account cultural, epidemiological, and geographical issues. As an organizational model, Special Indigenous Health Districts (DSEIs) were created. There are currently 34 of them, responsible for structuring a network of primary health care services within Indigenous communities. This support network is coordinated and executed by the Secretariat of Indigenous Health (SESAI), which promotes PHC actions such as vaccination, as well as sanitation initiatives (Lima et al., 2022).</w:t>
      </w:r>
    </w:p>
    <w:p w14:paraId="69A3D388" w14:textId="77777777" w:rsidR="00BD5D0A" w:rsidRDefault="00BD5D0A">
      <w:pPr>
        <w:pBdr>
          <w:top w:val="nil"/>
          <w:left w:val="nil"/>
          <w:bottom w:val="nil"/>
          <w:right w:val="nil"/>
          <w:between w:val="nil"/>
        </w:pBdr>
        <w:jc w:val="both"/>
        <w:rPr>
          <w:rFonts w:ascii="Arial" w:eastAsia="Arial" w:hAnsi="Arial" w:cs="Arial"/>
        </w:rPr>
      </w:pPr>
    </w:p>
    <w:p w14:paraId="4CF6FEB8"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These measures also had an impact on vaccination coverage plans, as seen during the COVID-19 pandemic. To ensure faster vaccination among Indigenous peoples, the National Immunization Program (PNI) classified this group as a priority, given their higher susceptibility to severe illness. Thus, Indigenous peoples were included in Group A (priority group) in the COVID-19 vaccination scheme. For this group, the primary vaccination schedule recommended two doses for individuals over five years of age, with the Pfizer vaccine being the most widely administered (WHO, 2022).</w:t>
      </w:r>
    </w:p>
    <w:p w14:paraId="3A96AB6A" w14:textId="77777777" w:rsidR="00BD5D0A" w:rsidRDefault="00BD5D0A">
      <w:pPr>
        <w:pBdr>
          <w:top w:val="nil"/>
          <w:left w:val="nil"/>
          <w:bottom w:val="nil"/>
          <w:right w:val="nil"/>
          <w:between w:val="nil"/>
        </w:pBdr>
        <w:jc w:val="both"/>
        <w:rPr>
          <w:rFonts w:ascii="Arial" w:eastAsia="Arial" w:hAnsi="Arial" w:cs="Arial"/>
        </w:rPr>
      </w:pPr>
    </w:p>
    <w:p w14:paraId="413AE1CA"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However, with the emergence of new COVID-19 variants from 2024 onward, the PNI also recommended a booster dose for priority groups, including Indigenous populations (WHO, 2022). Additionally, a vaccination plan is considered effective when it reaches more than 90% coverage of the target population (WHO, 2022).</w:t>
      </w:r>
    </w:p>
    <w:p w14:paraId="0AF4EBE3" w14:textId="77777777" w:rsidR="00BD5D0A" w:rsidRDefault="00BD5D0A">
      <w:pPr>
        <w:pBdr>
          <w:top w:val="nil"/>
          <w:left w:val="nil"/>
          <w:bottom w:val="nil"/>
          <w:right w:val="nil"/>
          <w:between w:val="nil"/>
        </w:pBdr>
        <w:jc w:val="both"/>
        <w:rPr>
          <w:rFonts w:ascii="Arial" w:eastAsia="Arial" w:hAnsi="Arial" w:cs="Arial"/>
        </w:rPr>
      </w:pPr>
    </w:p>
    <w:p w14:paraId="710A0D59"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Achieving these goals involved overcoming several challenges, as highlighted by the “Strengths, Weaknesses, Opportunities and Threats” (SWOT) matrix, which allows for mapping the characteristics or qualities of an intervention (Mendes et al., 2018. The last two categories highlight barriers to Indigenous vaccination, such as poor organization or poorly executed activities, which compromise vaccine safety—for instance, conservation logistics, as vaccines must be kept at proper temperatures. Other external factors may also delay vaccine administration, such as geographical barriers (distance, difficult terrain) and climatic conditions, which hinder access to certain areas, as well as misinformation spread during the pandemic (Ministry of Health of Brazil, 2023).</w:t>
      </w:r>
    </w:p>
    <w:p w14:paraId="29AEFDC7" w14:textId="77777777" w:rsidR="00BD5D0A" w:rsidRDefault="00BD5D0A">
      <w:pPr>
        <w:pBdr>
          <w:top w:val="nil"/>
          <w:left w:val="nil"/>
          <w:bottom w:val="nil"/>
          <w:right w:val="nil"/>
          <w:between w:val="nil"/>
        </w:pBdr>
        <w:jc w:val="both"/>
        <w:rPr>
          <w:rFonts w:ascii="Arial" w:eastAsia="Arial" w:hAnsi="Arial" w:cs="Arial"/>
        </w:rPr>
      </w:pPr>
    </w:p>
    <w:p w14:paraId="394A8B3E"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In this scenario, it is crucial to understand how the PNI reached the Brazilian Indigenous population during the pandemic, particularly from 2020 to 2023, to ensure that the principles of SUS are being applied. Furthermore, there is a scarcity of publications addressing vaccination coverage among Indigenous peoples in Brazil. Therefore, this study aimed to analyze access to and coverage of COVID-19 vaccination among the Brazilian Indigenous population, by assessing the efficiency of strategies, impact factors, and disparities in DSEI coverage.</w:t>
      </w:r>
    </w:p>
    <w:p w14:paraId="7BCC9C17" w14:textId="77777777" w:rsidR="00BD5D0A" w:rsidRDefault="00BD5D0A">
      <w:pPr>
        <w:pBdr>
          <w:top w:val="nil"/>
          <w:left w:val="nil"/>
          <w:bottom w:val="nil"/>
          <w:right w:val="nil"/>
          <w:between w:val="nil"/>
        </w:pBdr>
        <w:jc w:val="both"/>
        <w:rPr>
          <w:rFonts w:ascii="Arial" w:eastAsia="Arial" w:hAnsi="Arial" w:cs="Arial"/>
          <w:color w:val="000000"/>
        </w:rPr>
      </w:pPr>
    </w:p>
    <w:p w14:paraId="738D2500" w14:textId="7ED0B0FB"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14:paraId="08D15A94" w14:textId="77777777" w:rsidR="00BD5D0A" w:rsidRDefault="00BD5D0A">
      <w:pPr>
        <w:keepNext/>
        <w:pBdr>
          <w:top w:val="nil"/>
          <w:left w:val="nil"/>
          <w:bottom w:val="nil"/>
          <w:right w:val="nil"/>
          <w:between w:val="nil"/>
        </w:pBdr>
        <w:jc w:val="both"/>
        <w:rPr>
          <w:rFonts w:ascii="Arial" w:eastAsia="Arial" w:hAnsi="Arial" w:cs="Arial"/>
          <w:b/>
          <w:bCs/>
          <w:smallCaps/>
          <w:sz w:val="22"/>
          <w:szCs w:val="22"/>
        </w:rPr>
      </w:pPr>
    </w:p>
    <w:p w14:paraId="628C90B1" w14:textId="77777777" w:rsidR="00BD5D0A" w:rsidRDefault="00595E0A">
      <w:pPr>
        <w:jc w:val="both"/>
        <w:rPr>
          <w:rFonts w:ascii="Arial" w:eastAsia="Arial" w:hAnsi="Arial" w:cs="Arial"/>
          <w:b/>
          <w:bCs/>
          <w:smallCaps/>
          <w:color w:val="000000"/>
          <w:sz w:val="22"/>
          <w:szCs w:val="22"/>
        </w:rPr>
      </w:pPr>
      <w:r>
        <w:rPr>
          <w:rFonts w:ascii="Arial" w:eastAsia="Arial" w:hAnsi="Arial" w:cs="Arial"/>
          <w:b/>
          <w:bCs/>
          <w:smallCaps/>
          <w:sz w:val="22"/>
          <w:szCs w:val="22"/>
        </w:rPr>
        <w:t xml:space="preserve">2.1 </w:t>
      </w:r>
      <w:r>
        <w:rPr>
          <w:rFonts w:ascii="Arial" w:eastAsia="Arial" w:hAnsi="Arial" w:cs="Arial"/>
          <w:b/>
          <w:bCs/>
          <w:sz w:val="22"/>
          <w:szCs w:val="22"/>
        </w:rPr>
        <w:t xml:space="preserve">Study design </w:t>
      </w:r>
    </w:p>
    <w:p w14:paraId="4597C798"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The present study is a Scoping Review, whose research design is characterized as descriptive, retrospective, cross-sectional, and based on secondary data collection. In this </w:t>
      </w:r>
      <w:r>
        <w:rPr>
          <w:rFonts w:ascii="Arial" w:eastAsia="Arial" w:hAnsi="Arial" w:cs="Arial"/>
        </w:rPr>
        <w:lastRenderedPageBreak/>
        <w:t>perspective, the research was developed in accordance with the methodological guidelines of the Joanna Briggs Institute (JBI) for scoping reviews and, as outlined by Peters MDJ, et al. (2020), followed the following steps: (1) formulation of the research question, (2) identification of information sources, (3) study selection, (4) data extraction, (5) data analysis, and (6) presentation of results. In addition, to ensure transparency and research quality, the study adhered to the PRISMA-</w:t>
      </w:r>
      <w:proofErr w:type="spellStart"/>
      <w:r>
        <w:rPr>
          <w:rFonts w:ascii="Arial" w:eastAsia="Arial" w:hAnsi="Arial" w:cs="Arial"/>
        </w:rPr>
        <w:t>ScR</w:t>
      </w:r>
      <w:proofErr w:type="spellEnd"/>
      <w:r>
        <w:rPr>
          <w:rFonts w:ascii="Arial" w:eastAsia="Arial" w:hAnsi="Arial" w:cs="Arial"/>
        </w:rPr>
        <w:t xml:space="preserve"> (Preferred Reporting Items for Systematic Reviews and Meta-Analyses extension for Scoping Reviews) checklist. The study was previously assigned a DOI: 10.6084/m9.figshare.27264456.</w:t>
      </w:r>
    </w:p>
    <w:p w14:paraId="6AD0DE45" w14:textId="77777777" w:rsidR="00BD5D0A" w:rsidRDefault="00BD5D0A">
      <w:pPr>
        <w:pBdr>
          <w:top w:val="nil"/>
          <w:left w:val="nil"/>
          <w:bottom w:val="nil"/>
          <w:right w:val="nil"/>
          <w:between w:val="nil"/>
        </w:pBdr>
        <w:jc w:val="both"/>
        <w:rPr>
          <w:rFonts w:ascii="Arial" w:eastAsia="Arial" w:hAnsi="Arial" w:cs="Arial"/>
        </w:rPr>
      </w:pPr>
    </w:p>
    <w:p w14:paraId="69EBE4EA" w14:textId="77777777" w:rsidR="00BD5D0A" w:rsidRDefault="00595E0A">
      <w:pPr>
        <w:jc w:val="both"/>
        <w:rPr>
          <w:rFonts w:ascii="Arial" w:eastAsia="Arial" w:hAnsi="Arial" w:cs="Arial"/>
        </w:rPr>
      </w:pPr>
      <w:r>
        <w:rPr>
          <w:rFonts w:ascii="Arial" w:eastAsia="Arial" w:hAnsi="Arial" w:cs="Arial"/>
          <w:b/>
          <w:bCs/>
          <w:smallCaps/>
          <w:sz w:val="22"/>
          <w:szCs w:val="22"/>
        </w:rPr>
        <w:t xml:space="preserve">2.2 </w:t>
      </w:r>
      <w:r>
        <w:rPr>
          <w:rFonts w:ascii="Arial" w:eastAsia="Arial" w:hAnsi="Arial" w:cs="Arial"/>
          <w:b/>
          <w:bCs/>
          <w:sz w:val="22"/>
          <w:szCs w:val="22"/>
        </w:rPr>
        <w:t>Research question</w:t>
      </w:r>
    </w:p>
    <w:p w14:paraId="19B9DBEC"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For the construction of the title and guiding research question, the PCC (Population, Concept, and Context) strategy was applied. First, the target population of interest was defined, which included Brazilian Indigenous peoples. Next, the main concept of interest was identified, namely, the assessment of COVID-19 vaccination coverage among Indigenous populations. Finally, the context of the studies was established as the implementation of vaccination in the national territory between 2020 and 2024. Thus, the guiding research question was formulated as: “How did COVID-19 vaccination coverage occur among the Brazilian Indigenous population between 2020 and 2024?”</w:t>
      </w:r>
    </w:p>
    <w:p w14:paraId="0A36AA54" w14:textId="77777777" w:rsidR="00BD5D0A" w:rsidRDefault="00BD5D0A">
      <w:pPr>
        <w:pBdr>
          <w:top w:val="nil"/>
          <w:left w:val="nil"/>
          <w:bottom w:val="nil"/>
          <w:right w:val="nil"/>
          <w:between w:val="nil"/>
        </w:pBdr>
        <w:jc w:val="both"/>
        <w:rPr>
          <w:rFonts w:ascii="Arial" w:eastAsia="Arial" w:hAnsi="Arial" w:cs="Arial"/>
        </w:rPr>
      </w:pPr>
    </w:p>
    <w:p w14:paraId="6E3117D4" w14:textId="77777777" w:rsidR="00BD5D0A" w:rsidRDefault="00595E0A">
      <w:pPr>
        <w:jc w:val="both"/>
        <w:rPr>
          <w:rFonts w:ascii="Arial" w:eastAsia="Arial" w:hAnsi="Arial" w:cs="Arial"/>
        </w:rPr>
      </w:pPr>
      <w:r>
        <w:rPr>
          <w:rFonts w:ascii="Arial" w:eastAsia="Arial" w:hAnsi="Arial" w:cs="Arial"/>
          <w:b/>
          <w:bCs/>
          <w:smallCaps/>
          <w:sz w:val="22"/>
          <w:szCs w:val="22"/>
        </w:rPr>
        <w:t xml:space="preserve">2.3 </w:t>
      </w:r>
      <w:r>
        <w:rPr>
          <w:rFonts w:ascii="Arial" w:eastAsia="Arial" w:hAnsi="Arial" w:cs="Arial"/>
          <w:b/>
          <w:bCs/>
          <w:sz w:val="22"/>
          <w:szCs w:val="22"/>
        </w:rPr>
        <w:t xml:space="preserve">Inclusion and exclusion criteria </w:t>
      </w:r>
    </w:p>
    <w:p w14:paraId="6C6C0C82"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Inclusion criteria were: full-text studies available in Spanish, English, or Portuguese that addressed COVID-19 vaccination among Indigenous populations. Exclusion criteria were: studies focusing on the differentiation of COVID-19 serotypes and studies that primarily discussed the mechanisms of action of vaccine models such as CoronaVac, Pfizer, Janssen, and AstraZeneca.</w:t>
      </w:r>
    </w:p>
    <w:p w14:paraId="0828D808" w14:textId="77777777" w:rsidR="00BD5D0A" w:rsidRDefault="00BD5D0A">
      <w:pPr>
        <w:pBdr>
          <w:top w:val="nil"/>
          <w:left w:val="nil"/>
          <w:bottom w:val="nil"/>
          <w:right w:val="nil"/>
          <w:between w:val="nil"/>
        </w:pBdr>
        <w:jc w:val="both"/>
        <w:rPr>
          <w:rFonts w:ascii="Arial" w:eastAsia="Arial" w:hAnsi="Arial" w:cs="Arial"/>
        </w:rPr>
      </w:pPr>
    </w:p>
    <w:p w14:paraId="21F467AD" w14:textId="77777777" w:rsidR="00BD5D0A" w:rsidRDefault="00595E0A">
      <w:pPr>
        <w:jc w:val="both"/>
        <w:rPr>
          <w:rFonts w:ascii="Arial" w:eastAsia="Arial" w:hAnsi="Arial" w:cs="Arial"/>
        </w:rPr>
      </w:pPr>
      <w:r>
        <w:rPr>
          <w:rFonts w:ascii="Arial" w:eastAsia="Arial" w:hAnsi="Arial" w:cs="Arial"/>
          <w:b/>
          <w:bCs/>
          <w:smallCaps/>
          <w:sz w:val="22"/>
          <w:szCs w:val="22"/>
        </w:rPr>
        <w:t xml:space="preserve">2.4 </w:t>
      </w:r>
      <w:r>
        <w:rPr>
          <w:rFonts w:ascii="Arial" w:eastAsia="Arial" w:hAnsi="Arial" w:cs="Arial"/>
          <w:b/>
          <w:bCs/>
          <w:sz w:val="22"/>
          <w:szCs w:val="22"/>
        </w:rPr>
        <w:t xml:space="preserve">Databases and search strategy  </w:t>
      </w:r>
    </w:p>
    <w:p w14:paraId="383A173D"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The literature search was conducted in the following databases: EMBASE, Latin American and Caribbean Literature on Health Sciences (LILACS), PUBMED, SCOPUS, Scientific Electronic Library Online (SCIELO), and WEB OF SCIENCE. The descriptors “Indigenous people,” “Brazil,” “Vaccines,” and “COVID-19,” along with their synonyms, were combined using the Boolean operator “AND.”</w:t>
      </w:r>
    </w:p>
    <w:p w14:paraId="279A4C43" w14:textId="77777777" w:rsidR="00BD5D0A" w:rsidRDefault="00BD5D0A">
      <w:pPr>
        <w:pBdr>
          <w:top w:val="nil"/>
          <w:left w:val="nil"/>
          <w:bottom w:val="nil"/>
          <w:right w:val="nil"/>
          <w:between w:val="nil"/>
        </w:pBdr>
        <w:jc w:val="both"/>
        <w:rPr>
          <w:rFonts w:ascii="Arial" w:eastAsia="Arial" w:hAnsi="Arial" w:cs="Arial"/>
        </w:rPr>
      </w:pPr>
    </w:p>
    <w:p w14:paraId="656C7CA8" w14:textId="77777777" w:rsidR="00BD5D0A" w:rsidRDefault="00595E0A">
      <w:pPr>
        <w:jc w:val="both"/>
        <w:rPr>
          <w:rFonts w:ascii="Arial" w:eastAsia="Arial" w:hAnsi="Arial" w:cs="Arial"/>
        </w:rPr>
      </w:pPr>
      <w:r>
        <w:rPr>
          <w:rFonts w:ascii="Arial" w:eastAsia="Arial" w:hAnsi="Arial" w:cs="Arial"/>
          <w:b/>
          <w:bCs/>
          <w:smallCaps/>
          <w:sz w:val="22"/>
          <w:szCs w:val="22"/>
        </w:rPr>
        <w:t xml:space="preserve">2.5 </w:t>
      </w:r>
      <w:r>
        <w:rPr>
          <w:rFonts w:ascii="Arial" w:eastAsia="Arial" w:hAnsi="Arial" w:cs="Arial"/>
          <w:b/>
          <w:bCs/>
          <w:sz w:val="22"/>
          <w:szCs w:val="22"/>
        </w:rPr>
        <w:t xml:space="preserve">Study selection </w:t>
      </w:r>
    </w:p>
    <w:p w14:paraId="0DF71C77" w14:textId="77777777" w:rsidR="00BD5D0A" w:rsidRDefault="00595E0A">
      <w:pPr>
        <w:pBdr>
          <w:top w:val="nil"/>
          <w:left w:val="nil"/>
          <w:bottom w:val="nil"/>
          <w:right w:val="nil"/>
          <w:between w:val="nil"/>
        </w:pBdr>
        <w:jc w:val="both"/>
        <w:rPr>
          <w:rFonts w:ascii="Arial" w:eastAsia="Arial" w:hAnsi="Arial" w:cs="Arial"/>
          <w:color w:val="000000"/>
        </w:rPr>
      </w:pPr>
      <w:r>
        <w:rPr>
          <w:rFonts w:ascii="Arial" w:eastAsia="Arial" w:hAnsi="Arial" w:cs="Arial"/>
        </w:rPr>
        <w:t>Study selection was carried out through paired reading of the articles: first, titles and abstracts were screened, followed by full-text reading of the selected studies according to the inclusion criteria. For data extraction, an adaptation of the form recommended by the JBI was used to facilitate information synthesis and recommendations. The following variables were collected: publication data (title, year, authors, journal, and country of publication); study object and/or research question and/or objectives; methodological characteristics (study type/design); instruments and/or techniques for data collection; participants and/or sample; main results (outcome measurements and key findings or contributions); and conclusions.</w:t>
      </w:r>
    </w:p>
    <w:p w14:paraId="5C0BB621" w14:textId="77777777" w:rsidR="00BD5D0A" w:rsidRDefault="00BD5D0A">
      <w:pPr>
        <w:pBdr>
          <w:top w:val="nil"/>
          <w:left w:val="nil"/>
          <w:bottom w:val="nil"/>
          <w:right w:val="nil"/>
          <w:between w:val="nil"/>
        </w:pBdr>
        <w:jc w:val="both"/>
        <w:rPr>
          <w:rFonts w:ascii="Arial" w:eastAsia="Arial" w:hAnsi="Arial" w:cs="Arial"/>
          <w:color w:val="000000"/>
        </w:rPr>
      </w:pPr>
    </w:p>
    <w:p w14:paraId="4856F2F8" w14:textId="77777777"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4AB3EBE9" w14:textId="77777777" w:rsidR="00BD5D0A" w:rsidRDefault="00BD5D0A">
      <w:pPr>
        <w:keepNext/>
        <w:pBdr>
          <w:top w:val="nil"/>
          <w:left w:val="nil"/>
          <w:bottom w:val="nil"/>
          <w:right w:val="nil"/>
          <w:between w:val="nil"/>
        </w:pBdr>
        <w:jc w:val="both"/>
        <w:rPr>
          <w:rFonts w:ascii="Arial" w:eastAsia="Arial" w:hAnsi="Arial" w:cs="Arial"/>
          <w:b/>
          <w:bCs/>
          <w:smallCaps/>
          <w:color w:val="000000"/>
          <w:sz w:val="22"/>
          <w:szCs w:val="22"/>
        </w:rPr>
      </w:pPr>
    </w:p>
    <w:p w14:paraId="736E1EFC"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The bibliographic search was conducted according to the established strategy and resulted in 124 articles from the mentioned databases and 10 materials from the grey literature. After removing duplicates, 74 records remained for evaluation and were screened by abstract reading, leading to the exclusion of 50 studies for not meeting the predefined selection criteria. Full-text reading was carried out for 24 selected records, of which 14 were excluded for not meeting the inclusion criteria and 2 for not having the full text available. Finally, 8 records met all the criteria and were included in the synthesis.</w:t>
      </w:r>
    </w:p>
    <w:p w14:paraId="62A7A57A" w14:textId="77777777" w:rsidR="00BD5D0A" w:rsidRDefault="00BD5D0A">
      <w:pPr>
        <w:pBdr>
          <w:top w:val="nil"/>
          <w:left w:val="nil"/>
          <w:bottom w:val="nil"/>
          <w:right w:val="nil"/>
          <w:between w:val="nil"/>
        </w:pBdr>
        <w:jc w:val="both"/>
        <w:rPr>
          <w:rFonts w:ascii="Arial" w:eastAsia="Arial" w:hAnsi="Arial" w:cs="Arial"/>
        </w:rPr>
      </w:pPr>
    </w:p>
    <w:p w14:paraId="548423F1" w14:textId="77777777" w:rsidR="00BD5D0A" w:rsidRDefault="00595E0A">
      <w:pPr>
        <w:spacing w:line="360" w:lineRule="auto"/>
        <w:ind w:right="229"/>
        <w:jc w:val="center"/>
        <w:rPr>
          <w:rFonts w:ascii="Arial" w:eastAsia="Arial" w:hAnsi="Arial" w:cs="Arial"/>
        </w:rPr>
      </w:pPr>
      <w:r>
        <w:rPr>
          <w:rFonts w:ascii="Arial" w:eastAsia="Arial" w:hAnsi="Arial" w:cs="Arial"/>
          <w:noProof/>
        </w:rPr>
        <w:lastRenderedPageBreak/>
        <w:drawing>
          <wp:inline distT="114300" distB="114300" distL="114300" distR="114300" wp14:anchorId="69478116" wp14:editId="77300F91">
            <wp:extent cx="3943350" cy="4320667"/>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l="5022" t="9005" r="26215" b="37448"/>
                    <a:stretch>
                      <a:fillRect/>
                    </a:stretch>
                  </pic:blipFill>
                  <pic:spPr>
                    <a:xfrm>
                      <a:off x="0" y="0"/>
                      <a:ext cx="3943350" cy="4320667"/>
                    </a:xfrm>
                    <a:prstGeom prst="rect">
                      <a:avLst/>
                    </a:prstGeom>
                    <a:ln/>
                  </pic:spPr>
                </pic:pic>
              </a:graphicData>
            </a:graphic>
          </wp:inline>
        </w:drawing>
      </w:r>
    </w:p>
    <w:p w14:paraId="6C63C098" w14:textId="77777777" w:rsidR="00BD5D0A" w:rsidRDefault="00595E0A">
      <w:pPr>
        <w:jc w:val="both"/>
        <w:rPr>
          <w:rFonts w:ascii="Arial" w:eastAsia="Arial" w:hAnsi="Arial" w:cs="Arial"/>
          <w:b/>
          <w:bCs/>
        </w:rPr>
      </w:pPr>
      <w:r>
        <w:rPr>
          <w:rFonts w:ascii="Arial" w:eastAsia="Arial" w:hAnsi="Arial" w:cs="Arial"/>
          <w:b/>
          <w:bCs/>
        </w:rPr>
        <w:t>Fig. 1. Flow diagram of the study selection process adapted from the PRISMA method.</w:t>
      </w:r>
    </w:p>
    <w:p w14:paraId="49E08493" w14:textId="77777777" w:rsidR="00BD5D0A" w:rsidRDefault="00BD5D0A">
      <w:pPr>
        <w:jc w:val="both"/>
        <w:rPr>
          <w:rFonts w:ascii="Arial" w:eastAsia="Arial" w:hAnsi="Arial" w:cs="Arial"/>
          <w:b/>
          <w:bCs/>
        </w:rPr>
      </w:pPr>
    </w:p>
    <w:p w14:paraId="454AD0E5" w14:textId="77777777" w:rsidR="00BD5D0A" w:rsidRDefault="00595E0A">
      <w:pPr>
        <w:spacing w:before="240" w:after="240" w:line="360" w:lineRule="auto"/>
        <w:jc w:val="both"/>
        <w:rPr>
          <w:rFonts w:ascii="Arial" w:eastAsia="Arial" w:hAnsi="Arial" w:cs="Arial"/>
          <w:b/>
          <w:bCs/>
        </w:rPr>
      </w:pPr>
      <w:r>
        <w:rPr>
          <w:rFonts w:ascii="Arial" w:eastAsia="Arial" w:hAnsi="Arial" w:cs="Arial"/>
          <w:b/>
          <w:bCs/>
        </w:rPr>
        <w:t>Table 1. Studies included in the scoping review by address, year, title, author, study type, language, and state of publication.</w:t>
      </w:r>
    </w:p>
    <w:tbl>
      <w:tblPr>
        <w:tblStyle w:val="a0"/>
        <w:tblW w:w="81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5"/>
        <w:gridCol w:w="1635"/>
        <w:gridCol w:w="2100"/>
        <w:gridCol w:w="1605"/>
        <w:gridCol w:w="1200"/>
      </w:tblGrid>
      <w:tr w:rsidR="00BD5D0A" w14:paraId="0BE6B258" w14:textId="77777777">
        <w:trPr>
          <w:trHeight w:val="1319"/>
        </w:trPr>
        <w:tc>
          <w:tcPr>
            <w:tcW w:w="16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14:paraId="623CC4B2"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NUMBER</w:t>
            </w:r>
          </w:p>
        </w:tc>
        <w:tc>
          <w:tcPr>
            <w:tcW w:w="16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14:paraId="5052C2E5"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ADDRESS</w:t>
            </w:r>
          </w:p>
        </w:tc>
        <w:tc>
          <w:tcPr>
            <w:tcW w:w="21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14:paraId="120BAA0E"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TITLE</w:t>
            </w:r>
          </w:p>
        </w:tc>
        <w:tc>
          <w:tcPr>
            <w:tcW w:w="16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14:paraId="64878CE9"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AUTHOR(S) AND YEAR OF PUBLICATION</w:t>
            </w:r>
          </w:p>
        </w:tc>
        <w:tc>
          <w:tcPr>
            <w:tcW w:w="12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14:paraId="3F35BED4"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STUDY TYPE</w:t>
            </w:r>
          </w:p>
        </w:tc>
      </w:tr>
      <w:tr w:rsidR="00BD5D0A" w14:paraId="6FA92D6F" w14:textId="77777777">
        <w:trPr>
          <w:trHeight w:val="689"/>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549FF4" w14:textId="77777777" w:rsidR="00BD5D0A" w:rsidRDefault="00595E0A">
            <w:pPr>
              <w:spacing w:before="240" w:after="240" w:line="360" w:lineRule="auto"/>
              <w:jc w:val="center"/>
              <w:rPr>
                <w:rFonts w:ascii="Arial" w:eastAsia="Arial" w:hAnsi="Arial" w:cs="Arial"/>
              </w:rPr>
            </w:pPr>
            <w:r>
              <w:rPr>
                <w:rFonts w:ascii="Arial" w:eastAsia="Arial" w:hAnsi="Arial" w:cs="Arial"/>
              </w:rPr>
              <w:t>1</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892024" w14:textId="77777777" w:rsidR="00BD5D0A" w:rsidRDefault="00595E0A">
            <w:pPr>
              <w:spacing w:before="240" w:after="240" w:line="360" w:lineRule="auto"/>
              <w:jc w:val="center"/>
              <w:rPr>
                <w:rFonts w:ascii="Arial" w:eastAsia="Arial" w:hAnsi="Arial" w:cs="Arial"/>
              </w:rPr>
            </w:pPr>
            <w:r>
              <w:rPr>
                <w:rFonts w:ascii="Arial" w:eastAsia="Arial" w:hAnsi="Arial" w:cs="Arial"/>
              </w:rPr>
              <w:t>10.1080/21645515.2021.1955607.</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A2F060" w14:textId="77777777" w:rsidR="00BD5D0A" w:rsidRDefault="00595E0A">
            <w:pPr>
              <w:spacing w:before="240" w:after="240" w:line="360" w:lineRule="auto"/>
              <w:jc w:val="center"/>
              <w:rPr>
                <w:rFonts w:ascii="Arial" w:eastAsia="Arial" w:hAnsi="Arial" w:cs="Arial"/>
              </w:rPr>
            </w:pPr>
            <w:r>
              <w:rPr>
                <w:rFonts w:ascii="Arial" w:eastAsia="Arial" w:hAnsi="Arial" w:cs="Arial"/>
              </w:rPr>
              <w:t>The hindrances to perform the COVID-19 vaccination in Brazil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C70E9" w14:textId="77777777" w:rsidR="00BD5D0A" w:rsidRDefault="00595E0A">
            <w:pPr>
              <w:spacing w:before="240" w:after="240" w:line="360" w:lineRule="auto"/>
              <w:jc w:val="center"/>
              <w:rPr>
                <w:rFonts w:ascii="Arial" w:eastAsia="Arial" w:hAnsi="Arial" w:cs="Arial"/>
              </w:rPr>
            </w:pPr>
            <w:r>
              <w:rPr>
                <w:rFonts w:ascii="Arial" w:eastAsia="Arial" w:hAnsi="Arial" w:cs="Arial"/>
              </w:rPr>
              <w:t>BOSCHIERO MN, et al. (2021)</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B472E9" w14:textId="77777777" w:rsidR="00BD5D0A" w:rsidRDefault="00595E0A">
            <w:pPr>
              <w:spacing w:before="240" w:after="240" w:line="360" w:lineRule="auto"/>
              <w:jc w:val="center"/>
              <w:rPr>
                <w:rFonts w:ascii="Arial" w:eastAsia="Arial" w:hAnsi="Arial" w:cs="Arial"/>
              </w:rPr>
            </w:pPr>
            <w:r>
              <w:rPr>
                <w:rFonts w:ascii="Arial" w:eastAsia="Arial" w:hAnsi="Arial" w:cs="Arial"/>
              </w:rPr>
              <w:t>Systematic review</w:t>
            </w:r>
          </w:p>
        </w:tc>
      </w:tr>
      <w:tr w:rsidR="00BD5D0A" w14:paraId="20F3A3FA" w14:textId="77777777">
        <w:trPr>
          <w:trHeight w:val="79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40DE87"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2</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A5CDC3" w14:textId="77777777" w:rsidR="00BD5D0A" w:rsidRDefault="00595E0A">
            <w:pPr>
              <w:spacing w:before="240" w:after="240" w:line="360" w:lineRule="auto"/>
              <w:jc w:val="center"/>
              <w:rPr>
                <w:rFonts w:ascii="Arial" w:eastAsia="Arial" w:hAnsi="Arial" w:cs="Arial"/>
              </w:rPr>
            </w:pPr>
            <w:r>
              <w:rPr>
                <w:rFonts w:ascii="Arial" w:eastAsia="Arial" w:hAnsi="Arial" w:cs="Arial"/>
              </w:rPr>
              <w:t>10.1038/d41586-021-00689-6.</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D3A12F" w14:textId="77777777" w:rsidR="00BD5D0A" w:rsidRDefault="00595E0A">
            <w:pPr>
              <w:spacing w:before="240" w:after="240" w:line="360" w:lineRule="auto"/>
              <w:jc w:val="center"/>
              <w:rPr>
                <w:rFonts w:ascii="Arial" w:eastAsia="Arial" w:hAnsi="Arial" w:cs="Arial"/>
              </w:rPr>
            </w:pPr>
            <w:r>
              <w:rPr>
                <w:rFonts w:ascii="Arial" w:eastAsia="Arial" w:hAnsi="Arial" w:cs="Arial"/>
              </w:rPr>
              <w:t>Brazil: Boost COVID-19 vaccine uptake in Indigenous people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DB5EEB" w14:textId="77777777" w:rsidR="00BD5D0A" w:rsidRDefault="00595E0A">
            <w:pPr>
              <w:spacing w:before="240" w:after="240" w:line="360" w:lineRule="auto"/>
              <w:jc w:val="center"/>
              <w:rPr>
                <w:rFonts w:ascii="Arial" w:eastAsia="Arial" w:hAnsi="Arial" w:cs="Arial"/>
              </w:rPr>
            </w:pPr>
            <w:r>
              <w:rPr>
                <w:rFonts w:ascii="Arial" w:eastAsia="Arial" w:hAnsi="Arial" w:cs="Arial"/>
              </w:rPr>
              <w:t>BENITES E, et al. (2021)</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D524DB" w14:textId="77777777" w:rsidR="00BD5D0A" w:rsidRDefault="00595E0A">
            <w:pPr>
              <w:spacing w:before="240" w:after="240" w:line="360" w:lineRule="auto"/>
              <w:jc w:val="center"/>
              <w:rPr>
                <w:rFonts w:ascii="Arial" w:eastAsia="Arial" w:hAnsi="Arial" w:cs="Arial"/>
              </w:rPr>
            </w:pPr>
            <w:r>
              <w:rPr>
                <w:rFonts w:ascii="Arial" w:eastAsia="Arial" w:hAnsi="Arial" w:cs="Arial"/>
              </w:rPr>
              <w:t>Cross-sectional observational study</w:t>
            </w:r>
          </w:p>
        </w:tc>
      </w:tr>
      <w:tr w:rsidR="00BD5D0A" w14:paraId="6079A991" w14:textId="77777777">
        <w:trPr>
          <w:trHeight w:val="22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E66D0F" w14:textId="77777777" w:rsidR="00BD5D0A" w:rsidRDefault="00595E0A">
            <w:pPr>
              <w:spacing w:before="240" w:after="240" w:line="360" w:lineRule="auto"/>
              <w:jc w:val="center"/>
              <w:rPr>
                <w:rFonts w:ascii="Arial" w:eastAsia="Arial" w:hAnsi="Arial" w:cs="Arial"/>
              </w:rPr>
            </w:pPr>
            <w:r>
              <w:rPr>
                <w:rFonts w:ascii="Arial" w:eastAsia="Arial" w:hAnsi="Arial" w:cs="Arial"/>
              </w:rPr>
              <w:t>3</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2BDFA" w14:textId="77777777" w:rsidR="00BD5D0A" w:rsidRDefault="00595E0A">
            <w:pPr>
              <w:spacing w:before="240" w:after="240" w:line="360" w:lineRule="auto"/>
              <w:jc w:val="center"/>
              <w:rPr>
                <w:rFonts w:ascii="Arial" w:eastAsia="Arial" w:hAnsi="Arial" w:cs="Arial"/>
              </w:rPr>
            </w:pPr>
            <w:r>
              <w:rPr>
                <w:rFonts w:ascii="Arial" w:eastAsia="Arial" w:hAnsi="Arial" w:cs="Arial"/>
              </w:rPr>
              <w:t>10.1186/s12889-023-16196-4.</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6EFE61" w14:textId="77777777" w:rsidR="00BD5D0A" w:rsidRDefault="00595E0A">
            <w:pPr>
              <w:spacing w:before="240" w:after="240" w:line="360" w:lineRule="auto"/>
              <w:jc w:val="center"/>
              <w:rPr>
                <w:rFonts w:ascii="Arial" w:eastAsia="Arial" w:hAnsi="Arial" w:cs="Arial"/>
              </w:rPr>
            </w:pPr>
            <w:r>
              <w:rPr>
                <w:rFonts w:ascii="Arial" w:eastAsia="Arial" w:hAnsi="Arial" w:cs="Arial"/>
              </w:rPr>
              <w:t>Vaccine coverage and effectiveness against laboratory-confirmed symptomatic and severe Covid-19 in indigenous people in Brazil: a cohort study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21B1EB" w14:textId="77777777" w:rsidR="00BD5D0A" w:rsidRDefault="00595E0A">
            <w:pPr>
              <w:spacing w:before="240" w:after="240" w:line="360" w:lineRule="auto"/>
              <w:jc w:val="center"/>
              <w:rPr>
                <w:rFonts w:ascii="Arial" w:eastAsia="Arial" w:hAnsi="Arial" w:cs="Arial"/>
              </w:rPr>
            </w:pPr>
            <w:r>
              <w:rPr>
                <w:rFonts w:ascii="Arial" w:eastAsia="Arial" w:hAnsi="Arial" w:cs="Arial"/>
              </w:rPr>
              <w:t>PESCARINI JM, et al.</w:t>
            </w:r>
          </w:p>
          <w:p w14:paraId="5AB366AD" w14:textId="77777777" w:rsidR="00BD5D0A" w:rsidRDefault="00595E0A">
            <w:pPr>
              <w:spacing w:before="240" w:after="240" w:line="360" w:lineRule="auto"/>
              <w:jc w:val="center"/>
              <w:rPr>
                <w:rFonts w:ascii="Arial" w:eastAsia="Arial" w:hAnsi="Arial" w:cs="Arial"/>
              </w:rPr>
            </w:pPr>
            <w:r>
              <w:rPr>
                <w:rFonts w:ascii="Arial" w:eastAsia="Arial" w:hAnsi="Arial" w:cs="Arial"/>
              </w:rPr>
              <w:t xml:space="preserve"> (2023)</w:t>
            </w:r>
          </w:p>
          <w:p w14:paraId="2F76E0AD" w14:textId="77777777" w:rsidR="00BD5D0A" w:rsidRDefault="00595E0A">
            <w:pPr>
              <w:spacing w:before="240" w:after="240" w:line="360" w:lineRule="auto"/>
              <w:jc w:val="center"/>
              <w:rPr>
                <w:rFonts w:ascii="Arial" w:eastAsia="Arial" w:hAnsi="Arial" w:cs="Arial"/>
              </w:rPr>
            </w:pPr>
            <w:r>
              <w:rPr>
                <w:rFonts w:ascii="Arial" w:eastAsia="Arial" w:hAnsi="Arial" w:cs="Arial"/>
              </w:rPr>
              <w:t xml:space="preserve">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9620EA" w14:textId="77777777" w:rsidR="00BD5D0A" w:rsidRDefault="00595E0A">
            <w:pPr>
              <w:spacing w:before="240" w:after="240" w:line="360" w:lineRule="auto"/>
              <w:jc w:val="center"/>
              <w:rPr>
                <w:rFonts w:ascii="Arial" w:eastAsia="Arial" w:hAnsi="Arial" w:cs="Arial"/>
              </w:rPr>
            </w:pPr>
            <w:r>
              <w:rPr>
                <w:rFonts w:ascii="Arial" w:eastAsia="Arial" w:hAnsi="Arial" w:cs="Arial"/>
              </w:rPr>
              <w:t>Retrospective cohort study</w:t>
            </w:r>
          </w:p>
        </w:tc>
      </w:tr>
      <w:tr w:rsidR="00BD5D0A" w14:paraId="2AF06EC0" w14:textId="77777777">
        <w:trPr>
          <w:trHeight w:val="169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6B038E" w14:textId="77777777" w:rsidR="00BD5D0A" w:rsidRDefault="00595E0A">
            <w:pPr>
              <w:spacing w:before="240" w:after="240" w:line="360" w:lineRule="auto"/>
              <w:jc w:val="center"/>
              <w:rPr>
                <w:rFonts w:ascii="Arial" w:eastAsia="Arial" w:hAnsi="Arial" w:cs="Arial"/>
              </w:rPr>
            </w:pPr>
            <w:r>
              <w:rPr>
                <w:rFonts w:ascii="Arial" w:eastAsia="Arial" w:hAnsi="Arial" w:cs="Arial"/>
              </w:rPr>
              <w:t>4</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743D4C" w14:textId="77777777" w:rsidR="00BD5D0A" w:rsidRDefault="00595E0A">
            <w:pPr>
              <w:spacing w:before="240" w:after="240" w:line="360" w:lineRule="auto"/>
              <w:jc w:val="center"/>
              <w:rPr>
                <w:rFonts w:ascii="Arial" w:eastAsia="Arial" w:hAnsi="Arial" w:cs="Arial"/>
              </w:rPr>
            </w:pPr>
            <w:r>
              <w:rPr>
                <w:rFonts w:ascii="Arial" w:eastAsia="Arial" w:hAnsi="Arial" w:cs="Arial"/>
              </w:rPr>
              <w:t>10.1186/s12879-022-07449-5.</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6056DE" w14:textId="77777777" w:rsidR="00BD5D0A" w:rsidRDefault="00595E0A">
            <w:pPr>
              <w:spacing w:before="240" w:after="240" w:line="360" w:lineRule="auto"/>
              <w:jc w:val="center"/>
              <w:rPr>
                <w:rFonts w:ascii="Arial" w:eastAsia="Arial" w:hAnsi="Arial" w:cs="Arial"/>
              </w:rPr>
            </w:pPr>
            <w:r>
              <w:rPr>
                <w:rFonts w:ascii="Arial" w:eastAsia="Arial" w:hAnsi="Arial" w:cs="Arial"/>
              </w:rPr>
              <w:t>The assistance gaps in combating COVID-19 in Brazil: for whom, where and when vaccination occurs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F1365A" w14:textId="77777777" w:rsidR="00BD5D0A" w:rsidRDefault="00595E0A">
            <w:pPr>
              <w:spacing w:before="240" w:after="240" w:line="360" w:lineRule="auto"/>
              <w:jc w:val="center"/>
              <w:rPr>
                <w:rFonts w:ascii="Arial" w:eastAsia="Arial" w:hAnsi="Arial" w:cs="Arial"/>
              </w:rPr>
            </w:pPr>
            <w:r>
              <w:rPr>
                <w:rFonts w:ascii="Arial" w:eastAsia="Arial" w:hAnsi="Arial" w:cs="Arial"/>
              </w:rPr>
              <w:t>MOREIRA RS, et al.</w:t>
            </w:r>
          </w:p>
          <w:p w14:paraId="62BEDAE9" w14:textId="77777777" w:rsidR="00BD5D0A" w:rsidRDefault="00595E0A">
            <w:pPr>
              <w:spacing w:before="240" w:after="240" w:line="360" w:lineRule="auto"/>
              <w:jc w:val="center"/>
              <w:rPr>
                <w:rFonts w:ascii="Arial" w:eastAsia="Arial" w:hAnsi="Arial" w:cs="Arial"/>
              </w:rPr>
            </w:pPr>
            <w:r>
              <w:rPr>
                <w:rFonts w:ascii="Arial" w:eastAsia="Arial" w:hAnsi="Arial" w:cs="Arial"/>
              </w:rPr>
              <w:t>(2022)</w:t>
            </w:r>
          </w:p>
          <w:p w14:paraId="4EE0F80C" w14:textId="77777777" w:rsidR="00BD5D0A" w:rsidRDefault="00595E0A">
            <w:pPr>
              <w:spacing w:before="240" w:after="240" w:line="360" w:lineRule="auto"/>
              <w:jc w:val="center"/>
              <w:rPr>
                <w:rFonts w:ascii="Arial" w:eastAsia="Arial" w:hAnsi="Arial" w:cs="Arial"/>
              </w:rPr>
            </w:pPr>
            <w:r>
              <w:rPr>
                <w:rFonts w:ascii="Arial" w:eastAsia="Arial" w:hAnsi="Arial" w:cs="Arial"/>
              </w:rPr>
              <w:t xml:space="preserve">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98C5FE" w14:textId="77777777" w:rsidR="00BD5D0A" w:rsidRDefault="00595E0A">
            <w:pPr>
              <w:spacing w:before="240" w:after="240" w:line="360" w:lineRule="auto"/>
              <w:jc w:val="center"/>
              <w:rPr>
                <w:rFonts w:ascii="Arial" w:eastAsia="Arial" w:hAnsi="Arial" w:cs="Arial"/>
              </w:rPr>
            </w:pPr>
            <w:r>
              <w:rPr>
                <w:rFonts w:ascii="Arial" w:eastAsia="Arial" w:hAnsi="Arial" w:cs="Arial"/>
              </w:rPr>
              <w:t>Cross-sectional observational study</w:t>
            </w:r>
          </w:p>
        </w:tc>
      </w:tr>
      <w:tr w:rsidR="00BD5D0A" w14:paraId="79FE6463" w14:textId="77777777">
        <w:trPr>
          <w:trHeight w:val="115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D58E8B" w14:textId="77777777" w:rsidR="00BD5D0A" w:rsidRDefault="00595E0A">
            <w:pPr>
              <w:spacing w:before="240" w:after="240" w:line="360" w:lineRule="auto"/>
              <w:jc w:val="center"/>
              <w:rPr>
                <w:rFonts w:ascii="Arial" w:eastAsia="Arial" w:hAnsi="Arial" w:cs="Arial"/>
              </w:rPr>
            </w:pPr>
            <w:r>
              <w:rPr>
                <w:rFonts w:ascii="Arial" w:eastAsia="Arial" w:hAnsi="Arial" w:cs="Arial"/>
              </w:rPr>
              <w:t>5</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CA5FAE" w14:textId="77777777" w:rsidR="00BD5D0A" w:rsidRDefault="00595E0A">
            <w:pPr>
              <w:spacing w:before="240" w:after="240" w:line="360" w:lineRule="auto"/>
              <w:jc w:val="center"/>
              <w:rPr>
                <w:rFonts w:ascii="Arial" w:eastAsia="Arial" w:hAnsi="Arial" w:cs="Arial"/>
              </w:rPr>
            </w:pPr>
            <w:r>
              <w:rPr>
                <w:rFonts w:ascii="Arial" w:eastAsia="Arial" w:hAnsi="Arial" w:cs="Arial"/>
              </w:rPr>
              <w:t>https://repositorio.ufpa.br/jspui/handle/2011/16329</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C599B6" w14:textId="77777777" w:rsidR="00BD5D0A" w:rsidRDefault="00595E0A">
            <w:pPr>
              <w:spacing w:before="240" w:after="240" w:line="360" w:lineRule="auto"/>
              <w:jc w:val="center"/>
              <w:rPr>
                <w:rFonts w:ascii="Arial" w:eastAsia="Arial" w:hAnsi="Arial" w:cs="Arial"/>
              </w:rPr>
            </w:pPr>
            <w:r>
              <w:rPr>
                <w:rFonts w:ascii="Arial" w:eastAsia="Arial" w:hAnsi="Arial" w:cs="Arial"/>
              </w:rPr>
              <w:t>Indigenous health in Pará and its interface with COVID-19: planning, implementation, and governance</w:t>
            </w:r>
          </w:p>
          <w:p w14:paraId="54A6AC90" w14:textId="77777777" w:rsidR="00BD5D0A" w:rsidRDefault="00595E0A">
            <w:pPr>
              <w:spacing w:before="240" w:after="240" w:line="360" w:lineRule="auto"/>
              <w:jc w:val="center"/>
              <w:rPr>
                <w:rFonts w:ascii="Arial" w:eastAsia="Arial" w:hAnsi="Arial" w:cs="Arial"/>
              </w:rPr>
            </w:pPr>
            <w:r>
              <w:rPr>
                <w:rFonts w:ascii="Arial" w:eastAsia="Arial" w:hAnsi="Arial" w:cs="Arial"/>
              </w:rPr>
              <w:t xml:space="preserve"> </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36FB2A" w14:textId="77777777" w:rsidR="00BD5D0A" w:rsidRDefault="00595E0A">
            <w:pPr>
              <w:spacing w:before="240" w:after="240" w:line="360" w:lineRule="auto"/>
              <w:jc w:val="center"/>
              <w:rPr>
                <w:rFonts w:ascii="Arial" w:eastAsia="Arial" w:hAnsi="Arial" w:cs="Arial"/>
              </w:rPr>
            </w:pPr>
            <w:r>
              <w:rPr>
                <w:rFonts w:ascii="Arial" w:eastAsia="Arial" w:hAnsi="Arial" w:cs="Arial"/>
              </w:rPr>
              <w:t>RODRIGUES RP</w:t>
            </w:r>
          </w:p>
          <w:p w14:paraId="6D4E2E7B" w14:textId="77777777" w:rsidR="00BD5D0A" w:rsidRDefault="00595E0A">
            <w:pPr>
              <w:spacing w:before="240" w:after="240" w:line="360" w:lineRule="auto"/>
              <w:jc w:val="center"/>
              <w:rPr>
                <w:rFonts w:ascii="Arial" w:eastAsia="Arial" w:hAnsi="Arial" w:cs="Arial"/>
              </w:rPr>
            </w:pPr>
            <w:r>
              <w:rPr>
                <w:rFonts w:ascii="Arial" w:eastAsia="Arial" w:hAnsi="Arial" w:cs="Arial"/>
              </w:rPr>
              <w:t>(2024)</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5A15AC" w14:textId="77777777" w:rsidR="00BD5D0A" w:rsidRDefault="00595E0A">
            <w:pPr>
              <w:spacing w:before="240" w:after="240" w:line="360" w:lineRule="auto"/>
              <w:jc w:val="center"/>
              <w:rPr>
                <w:rFonts w:ascii="Arial" w:eastAsia="Arial" w:hAnsi="Arial" w:cs="Arial"/>
              </w:rPr>
            </w:pPr>
            <w:r>
              <w:rPr>
                <w:rFonts w:ascii="Arial" w:eastAsia="Arial" w:hAnsi="Arial" w:cs="Arial"/>
              </w:rPr>
              <w:t>Mixed-methods approach</w:t>
            </w:r>
          </w:p>
        </w:tc>
      </w:tr>
      <w:tr w:rsidR="00BD5D0A" w14:paraId="4297494A" w14:textId="77777777">
        <w:trPr>
          <w:trHeight w:val="127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5E2260"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6</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5992D1" w14:textId="77777777" w:rsidR="00BD5D0A" w:rsidRDefault="00595E0A">
            <w:pPr>
              <w:spacing w:before="240" w:after="240" w:line="360" w:lineRule="auto"/>
              <w:jc w:val="center"/>
              <w:rPr>
                <w:rFonts w:ascii="Arial" w:eastAsia="Arial" w:hAnsi="Arial" w:cs="Arial"/>
              </w:rPr>
            </w:pPr>
            <w:r>
              <w:rPr>
                <w:rFonts w:ascii="Arial" w:eastAsia="Arial" w:hAnsi="Arial" w:cs="Arial"/>
              </w:rPr>
              <w:t>https://iris.who.int/handle/10665/352898</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6242E1" w14:textId="77777777" w:rsidR="00BD5D0A" w:rsidRDefault="00595E0A">
            <w:pPr>
              <w:spacing w:before="240" w:after="240" w:line="360" w:lineRule="auto"/>
              <w:jc w:val="center"/>
              <w:rPr>
                <w:rFonts w:ascii="Arial" w:eastAsia="Arial" w:hAnsi="Arial" w:cs="Arial"/>
              </w:rPr>
            </w:pPr>
            <w:r>
              <w:rPr>
                <w:rFonts w:ascii="Arial" w:eastAsia="Arial" w:hAnsi="Arial" w:cs="Arial"/>
              </w:rPr>
              <w:t>Epidemiology of COVID-19 among indigenous people living in the Amazon region of Brazil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AC7B3F" w14:textId="77777777" w:rsidR="00BD5D0A" w:rsidRDefault="00595E0A">
            <w:pPr>
              <w:spacing w:before="240" w:after="240" w:line="360" w:lineRule="auto"/>
              <w:jc w:val="center"/>
              <w:rPr>
                <w:rFonts w:ascii="Arial" w:eastAsia="Arial" w:hAnsi="Arial" w:cs="Arial"/>
              </w:rPr>
            </w:pPr>
            <w:r>
              <w:rPr>
                <w:rFonts w:ascii="Arial" w:eastAsia="Arial" w:hAnsi="Arial" w:cs="Arial"/>
              </w:rPr>
              <w:t>SANTANA RS, et al.</w:t>
            </w:r>
          </w:p>
          <w:p w14:paraId="6400DAA1" w14:textId="77777777" w:rsidR="00BD5D0A" w:rsidRDefault="00595E0A">
            <w:pPr>
              <w:spacing w:before="240" w:after="240" w:line="360" w:lineRule="auto"/>
              <w:jc w:val="center"/>
              <w:rPr>
                <w:rFonts w:ascii="Arial" w:eastAsia="Arial" w:hAnsi="Arial" w:cs="Arial"/>
              </w:rPr>
            </w:pPr>
            <w:r>
              <w:rPr>
                <w:rFonts w:ascii="Arial" w:eastAsia="Arial" w:hAnsi="Arial" w:cs="Arial"/>
              </w:rPr>
              <w:t>(2022)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D03BEA" w14:textId="77777777" w:rsidR="00BD5D0A" w:rsidRDefault="00595E0A">
            <w:pPr>
              <w:spacing w:before="240" w:after="240" w:line="360" w:lineRule="auto"/>
              <w:jc w:val="center"/>
              <w:rPr>
                <w:rFonts w:ascii="Arial" w:eastAsia="Arial" w:hAnsi="Arial" w:cs="Arial"/>
              </w:rPr>
            </w:pPr>
            <w:r>
              <w:rPr>
                <w:rFonts w:ascii="Arial" w:eastAsia="Arial" w:hAnsi="Arial" w:cs="Arial"/>
              </w:rPr>
              <w:t>Cross-sectional observational study</w:t>
            </w:r>
          </w:p>
        </w:tc>
      </w:tr>
      <w:tr w:rsidR="00BD5D0A" w14:paraId="69588B67" w14:textId="77777777">
        <w:trPr>
          <w:trHeight w:val="232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E36816" w14:textId="77777777" w:rsidR="00BD5D0A" w:rsidRDefault="00595E0A">
            <w:pPr>
              <w:spacing w:before="240" w:after="240" w:line="360" w:lineRule="auto"/>
              <w:jc w:val="center"/>
              <w:rPr>
                <w:rFonts w:ascii="Arial" w:eastAsia="Arial" w:hAnsi="Arial" w:cs="Arial"/>
              </w:rPr>
            </w:pPr>
            <w:r>
              <w:rPr>
                <w:rFonts w:ascii="Arial" w:eastAsia="Arial" w:hAnsi="Arial" w:cs="Arial"/>
              </w:rPr>
              <w:t>7</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1CE36A" w14:textId="77777777" w:rsidR="00BD5D0A" w:rsidRDefault="00595E0A">
            <w:pPr>
              <w:spacing w:before="240" w:after="240" w:line="360" w:lineRule="auto"/>
              <w:jc w:val="center"/>
              <w:rPr>
                <w:rFonts w:ascii="Arial" w:eastAsia="Arial" w:hAnsi="Arial" w:cs="Arial"/>
              </w:rPr>
            </w:pPr>
            <w:r>
              <w:rPr>
                <w:rFonts w:ascii="Arial" w:eastAsia="Arial" w:hAnsi="Arial" w:cs="Arial"/>
              </w:rPr>
              <w:t>https://ss-usa.s3.amazonaws.com/c/308481554/media/1824637bb2d1e9e9d74927413860285/Abrasco_Dossie_Pademia_de_Covid-19_versao2.pdf</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4D4807" w14:textId="77777777" w:rsidR="00BD5D0A" w:rsidRDefault="00595E0A">
            <w:pPr>
              <w:spacing w:before="240" w:after="240" w:line="360" w:lineRule="auto"/>
              <w:jc w:val="center"/>
              <w:rPr>
                <w:rFonts w:ascii="Arial" w:eastAsia="Arial" w:hAnsi="Arial" w:cs="Arial"/>
              </w:rPr>
            </w:pPr>
            <w:r>
              <w:rPr>
                <w:rFonts w:ascii="Arial" w:eastAsia="Arial" w:hAnsi="Arial" w:cs="Arial"/>
              </w:rPr>
              <w:t>ABRASCO Dossier: COVID-19 Pandemic</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D10B63" w14:textId="77777777" w:rsidR="00BD5D0A" w:rsidRDefault="00595E0A">
            <w:pPr>
              <w:spacing w:before="240" w:after="240" w:line="360" w:lineRule="auto"/>
              <w:jc w:val="center"/>
              <w:rPr>
                <w:rFonts w:ascii="Arial" w:eastAsia="Arial" w:hAnsi="Arial" w:cs="Arial"/>
              </w:rPr>
            </w:pPr>
            <w:r>
              <w:rPr>
                <w:rFonts w:ascii="Arial" w:eastAsia="Arial" w:hAnsi="Arial" w:cs="Arial"/>
              </w:rPr>
              <w:t xml:space="preserve"> ASSOCIAÇÃO BRASILEIRA DE SAÚDE COLETIVA</w:t>
            </w:r>
          </w:p>
          <w:p w14:paraId="53AE9C72" w14:textId="77777777" w:rsidR="00BD5D0A" w:rsidRDefault="00595E0A">
            <w:pPr>
              <w:spacing w:before="240" w:after="240" w:line="360" w:lineRule="auto"/>
              <w:jc w:val="center"/>
              <w:rPr>
                <w:rFonts w:ascii="Arial" w:eastAsia="Arial" w:hAnsi="Arial" w:cs="Arial"/>
              </w:rPr>
            </w:pPr>
            <w:r>
              <w:rPr>
                <w:rFonts w:ascii="Arial" w:eastAsia="Arial" w:hAnsi="Arial" w:cs="Arial"/>
              </w:rPr>
              <w:t>(2022)</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B4A631" w14:textId="77777777" w:rsidR="00BD5D0A" w:rsidRDefault="00595E0A">
            <w:pPr>
              <w:spacing w:before="240" w:after="240" w:line="360" w:lineRule="auto"/>
              <w:jc w:val="center"/>
              <w:rPr>
                <w:rFonts w:ascii="Arial" w:eastAsia="Arial" w:hAnsi="Arial" w:cs="Arial"/>
              </w:rPr>
            </w:pPr>
            <w:r>
              <w:rPr>
                <w:rFonts w:ascii="Arial" w:eastAsia="Arial" w:hAnsi="Arial" w:cs="Arial"/>
              </w:rPr>
              <w:t>Narrative review</w:t>
            </w:r>
          </w:p>
        </w:tc>
      </w:tr>
      <w:tr w:rsidR="00BD5D0A" w14:paraId="5DC8E8C0" w14:textId="77777777">
        <w:trPr>
          <w:trHeight w:val="914"/>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8D3F3" w14:textId="77777777" w:rsidR="00BD5D0A" w:rsidRDefault="00595E0A">
            <w:pPr>
              <w:spacing w:before="240" w:after="240" w:line="360" w:lineRule="auto"/>
              <w:jc w:val="center"/>
              <w:rPr>
                <w:rFonts w:ascii="Arial" w:eastAsia="Arial" w:hAnsi="Arial" w:cs="Arial"/>
              </w:rPr>
            </w:pPr>
            <w:r>
              <w:rPr>
                <w:rFonts w:ascii="Arial" w:eastAsia="Arial" w:hAnsi="Arial" w:cs="Arial"/>
              </w:rPr>
              <w:t>8</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17C979" w14:textId="77777777" w:rsidR="00BD5D0A" w:rsidRDefault="00595E0A">
            <w:pPr>
              <w:spacing w:before="240" w:after="240" w:line="360" w:lineRule="auto"/>
              <w:jc w:val="center"/>
              <w:rPr>
                <w:rFonts w:ascii="Arial" w:eastAsia="Arial" w:hAnsi="Arial" w:cs="Arial"/>
              </w:rPr>
            </w:pPr>
            <w:r>
              <w:rPr>
                <w:rFonts w:ascii="Arial" w:eastAsia="Arial" w:hAnsi="Arial" w:cs="Arial"/>
              </w:rPr>
              <w:t>https://repositorio.bvspovosindigenas.fiocruz.br/bitstreams/5d639eed-cd80-415f-81c5-94dda8073ef5/download</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9909A3" w14:textId="77777777" w:rsidR="00BD5D0A" w:rsidRDefault="00595E0A">
            <w:pPr>
              <w:spacing w:before="240" w:after="240" w:line="360" w:lineRule="auto"/>
              <w:jc w:val="center"/>
              <w:rPr>
                <w:rFonts w:ascii="Arial" w:eastAsia="Arial" w:hAnsi="Arial" w:cs="Arial"/>
              </w:rPr>
            </w:pPr>
            <w:r>
              <w:rPr>
                <w:rFonts w:ascii="Arial" w:eastAsia="Arial" w:hAnsi="Arial" w:cs="Arial"/>
              </w:rPr>
              <w:t>Pandemic and territory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139498" w14:textId="77777777" w:rsidR="00BD5D0A" w:rsidRDefault="00595E0A">
            <w:pPr>
              <w:spacing w:before="240" w:after="240" w:line="360" w:lineRule="auto"/>
              <w:jc w:val="center"/>
              <w:rPr>
                <w:rFonts w:ascii="Arial" w:eastAsia="Arial" w:hAnsi="Arial" w:cs="Arial"/>
              </w:rPr>
            </w:pPr>
            <w:r>
              <w:rPr>
                <w:rFonts w:ascii="Arial" w:eastAsia="Arial" w:hAnsi="Arial" w:cs="Arial"/>
              </w:rPr>
              <w:t>ALMEIDA AWB, et al.</w:t>
            </w:r>
          </w:p>
          <w:p w14:paraId="2E387817" w14:textId="77777777" w:rsidR="00BD5D0A" w:rsidRDefault="00595E0A">
            <w:pPr>
              <w:spacing w:before="240" w:after="240" w:line="360" w:lineRule="auto"/>
              <w:jc w:val="center"/>
              <w:rPr>
                <w:rFonts w:ascii="Arial" w:eastAsia="Arial" w:hAnsi="Arial" w:cs="Arial"/>
              </w:rPr>
            </w:pPr>
            <w:r>
              <w:rPr>
                <w:rFonts w:ascii="Arial" w:eastAsia="Arial" w:hAnsi="Arial" w:cs="Arial"/>
              </w:rPr>
              <w:t>(2020)</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63E159" w14:textId="77777777" w:rsidR="00BD5D0A" w:rsidRDefault="00595E0A">
            <w:pPr>
              <w:spacing w:before="240" w:after="240" w:line="360" w:lineRule="auto"/>
              <w:jc w:val="center"/>
              <w:rPr>
                <w:rFonts w:ascii="Arial" w:eastAsia="Arial" w:hAnsi="Arial" w:cs="Arial"/>
              </w:rPr>
            </w:pPr>
            <w:r>
              <w:rPr>
                <w:rFonts w:ascii="Arial" w:eastAsia="Arial" w:hAnsi="Arial" w:cs="Arial"/>
              </w:rPr>
              <w:t>Descriptive observational study</w:t>
            </w:r>
          </w:p>
        </w:tc>
      </w:tr>
    </w:tbl>
    <w:p w14:paraId="7F95EA48" w14:textId="77777777" w:rsidR="00BD5D0A" w:rsidRDefault="00BD5D0A">
      <w:pPr>
        <w:spacing w:line="360" w:lineRule="auto"/>
        <w:ind w:right="229"/>
        <w:jc w:val="both"/>
        <w:rPr>
          <w:rFonts w:ascii="Arial" w:eastAsia="Arial" w:hAnsi="Arial" w:cs="Arial"/>
          <w:b/>
          <w:bCs/>
        </w:rPr>
      </w:pPr>
    </w:p>
    <w:p w14:paraId="3549D8DF" w14:textId="77777777" w:rsidR="00BD5D0A" w:rsidRDefault="00595E0A">
      <w:pPr>
        <w:pBdr>
          <w:top w:val="nil"/>
          <w:left w:val="nil"/>
          <w:bottom w:val="nil"/>
          <w:right w:val="nil"/>
          <w:between w:val="nil"/>
        </w:pBdr>
        <w:jc w:val="both"/>
        <w:rPr>
          <w:rFonts w:ascii="Arial" w:eastAsia="Arial" w:hAnsi="Arial" w:cs="Arial"/>
          <w:b/>
          <w:bCs/>
        </w:rPr>
      </w:pPr>
      <w:r>
        <w:rPr>
          <w:rFonts w:ascii="Arial" w:eastAsia="Arial" w:hAnsi="Arial" w:cs="Arial"/>
          <w:b/>
          <w:bCs/>
        </w:rPr>
        <w:t>Table 2. Studies included in the scoping review by name and main findings.</w:t>
      </w:r>
    </w:p>
    <w:p w14:paraId="6D11C1A5" w14:textId="77777777" w:rsidR="00BD5D0A" w:rsidRDefault="00BD5D0A">
      <w:pPr>
        <w:pBdr>
          <w:top w:val="nil"/>
          <w:left w:val="nil"/>
          <w:bottom w:val="nil"/>
          <w:right w:val="nil"/>
          <w:between w:val="nil"/>
        </w:pBdr>
        <w:jc w:val="both"/>
        <w:rPr>
          <w:rFonts w:ascii="Arial" w:eastAsia="Arial" w:hAnsi="Arial" w:cs="Arial"/>
          <w:b/>
          <w:bCs/>
        </w:rPr>
      </w:pPr>
    </w:p>
    <w:tbl>
      <w:tblPr>
        <w:tblStyle w:val="a1"/>
        <w:tblW w:w="8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065"/>
      </w:tblGrid>
      <w:tr w:rsidR="00BD5D0A" w14:paraId="05D80895" w14:textId="77777777">
        <w:trPr>
          <w:trHeight w:val="500"/>
        </w:trPr>
        <w:tc>
          <w:tcPr>
            <w:tcW w:w="11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D3EC097"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NUMBER</w:t>
            </w:r>
          </w:p>
        </w:tc>
        <w:tc>
          <w:tcPr>
            <w:tcW w:w="70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4B6F3F31" w14:textId="77777777" w:rsidR="00BD5D0A" w:rsidRDefault="00595E0A">
            <w:pPr>
              <w:spacing w:before="240" w:after="240" w:line="360" w:lineRule="auto"/>
              <w:jc w:val="center"/>
              <w:rPr>
                <w:rFonts w:ascii="Arial" w:eastAsia="Arial" w:hAnsi="Arial" w:cs="Arial"/>
                <w:b/>
                <w:bCs/>
              </w:rPr>
            </w:pPr>
            <w:r>
              <w:rPr>
                <w:rFonts w:ascii="Arial" w:eastAsia="Arial" w:hAnsi="Arial" w:cs="Arial"/>
                <w:b/>
                <w:bCs/>
              </w:rPr>
              <w:t>MAIN FINDINGS</w:t>
            </w:r>
          </w:p>
        </w:tc>
      </w:tr>
      <w:tr w:rsidR="00BD5D0A" w14:paraId="11380402" w14:textId="77777777">
        <w:trPr>
          <w:trHeight w:val="2984"/>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DDE12"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1</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D3D3E" w14:textId="77777777" w:rsidR="00BD5D0A" w:rsidRDefault="00595E0A">
            <w:pPr>
              <w:numPr>
                <w:ilvl w:val="0"/>
                <w:numId w:val="2"/>
              </w:numPr>
              <w:spacing w:before="240" w:line="360" w:lineRule="auto"/>
              <w:jc w:val="both"/>
              <w:rPr>
                <w:rFonts w:ascii="Arial" w:eastAsia="Arial" w:hAnsi="Arial" w:cs="Arial"/>
              </w:rPr>
            </w:pPr>
            <w:r>
              <w:rPr>
                <w:rFonts w:ascii="Arial" w:eastAsia="Arial" w:hAnsi="Arial" w:cs="Arial"/>
              </w:rPr>
              <w:t>The state of Amazonas, with the largest Indigenous population, received the greatest number of vaccines.</w:t>
            </w:r>
          </w:p>
          <w:p w14:paraId="63B35228" w14:textId="77777777" w:rsidR="00BD5D0A" w:rsidRDefault="00595E0A">
            <w:pPr>
              <w:numPr>
                <w:ilvl w:val="0"/>
                <w:numId w:val="2"/>
              </w:numPr>
              <w:spacing w:line="360" w:lineRule="auto"/>
              <w:jc w:val="both"/>
              <w:rPr>
                <w:rFonts w:ascii="Arial" w:eastAsia="Arial" w:hAnsi="Arial" w:cs="Arial"/>
              </w:rPr>
            </w:pPr>
            <w:r>
              <w:rPr>
                <w:rFonts w:ascii="Arial" w:eastAsia="Arial" w:hAnsi="Arial" w:cs="Arial"/>
              </w:rPr>
              <w:t>Approximately 48,000 Indigenous people were infected with COVID-19, and at least 672 deaths occurred.</w:t>
            </w:r>
          </w:p>
          <w:p w14:paraId="7163B22D" w14:textId="77777777" w:rsidR="00BD5D0A" w:rsidRDefault="00595E0A">
            <w:pPr>
              <w:numPr>
                <w:ilvl w:val="0"/>
                <w:numId w:val="2"/>
              </w:numPr>
              <w:spacing w:line="360" w:lineRule="auto"/>
              <w:jc w:val="both"/>
              <w:rPr>
                <w:rFonts w:ascii="Arial" w:eastAsia="Arial" w:hAnsi="Arial" w:cs="Arial"/>
              </w:rPr>
            </w:pPr>
            <w:r>
              <w:rPr>
                <w:rFonts w:ascii="Arial" w:eastAsia="Arial" w:hAnsi="Arial" w:cs="Arial"/>
              </w:rPr>
              <w:t>Cultural characteristics made social isolation difficult.</w:t>
            </w:r>
          </w:p>
          <w:p w14:paraId="18B76CE6" w14:textId="77777777" w:rsidR="00BD5D0A" w:rsidRDefault="00595E0A">
            <w:pPr>
              <w:numPr>
                <w:ilvl w:val="0"/>
                <w:numId w:val="2"/>
              </w:numPr>
              <w:spacing w:line="360" w:lineRule="auto"/>
              <w:jc w:val="both"/>
              <w:rPr>
                <w:rFonts w:ascii="Arial" w:eastAsia="Arial" w:hAnsi="Arial" w:cs="Arial"/>
              </w:rPr>
            </w:pPr>
            <w:r>
              <w:rPr>
                <w:rFonts w:ascii="Arial" w:eastAsia="Arial" w:hAnsi="Arial" w:cs="Arial"/>
              </w:rPr>
              <w:t>Logistical challenges, such as distribution in remote areas, hindered vaccination; however, they justified the use of CoronaVac due to its greater logistical feasibility.</w:t>
            </w:r>
          </w:p>
          <w:p w14:paraId="4FD97378" w14:textId="77777777" w:rsidR="00BD5D0A" w:rsidRDefault="00595E0A">
            <w:pPr>
              <w:numPr>
                <w:ilvl w:val="0"/>
                <w:numId w:val="2"/>
              </w:numPr>
              <w:spacing w:line="360" w:lineRule="auto"/>
              <w:jc w:val="both"/>
              <w:rPr>
                <w:rFonts w:ascii="Arial" w:eastAsia="Arial" w:hAnsi="Arial" w:cs="Arial"/>
              </w:rPr>
            </w:pPr>
            <w:r>
              <w:rPr>
                <w:rFonts w:ascii="Arial" w:eastAsia="Arial" w:hAnsi="Arial" w:cs="Arial"/>
              </w:rPr>
              <w:t>There is an intrinsic Indigenous vulnerability, which is linked to issues within public health policy itself.</w:t>
            </w:r>
          </w:p>
          <w:p w14:paraId="642F9A1C" w14:textId="77777777" w:rsidR="00BD5D0A" w:rsidRDefault="00595E0A">
            <w:pPr>
              <w:numPr>
                <w:ilvl w:val="0"/>
                <w:numId w:val="2"/>
              </w:numPr>
              <w:spacing w:after="240" w:line="360" w:lineRule="auto"/>
              <w:jc w:val="both"/>
              <w:rPr>
                <w:rFonts w:ascii="Arial" w:eastAsia="Arial" w:hAnsi="Arial" w:cs="Arial"/>
              </w:rPr>
            </w:pPr>
            <w:r>
              <w:rPr>
                <w:rFonts w:ascii="Arial" w:eastAsia="Arial" w:hAnsi="Arial" w:cs="Arial"/>
              </w:rPr>
              <w:t>The anti-vaccine movement hindered Indigenous vaccination.</w:t>
            </w:r>
          </w:p>
        </w:tc>
      </w:tr>
      <w:tr w:rsidR="00BD5D0A" w14:paraId="4CF8EC15" w14:textId="77777777">
        <w:trPr>
          <w:trHeight w:val="2986"/>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E806B" w14:textId="77777777" w:rsidR="00BD5D0A" w:rsidRDefault="00595E0A">
            <w:pPr>
              <w:spacing w:before="240" w:after="240" w:line="360" w:lineRule="auto"/>
              <w:jc w:val="center"/>
              <w:rPr>
                <w:rFonts w:ascii="Arial" w:eastAsia="Arial" w:hAnsi="Arial" w:cs="Arial"/>
              </w:rPr>
            </w:pPr>
            <w:r>
              <w:rPr>
                <w:rFonts w:ascii="Arial" w:eastAsia="Arial" w:hAnsi="Arial" w:cs="Arial"/>
              </w:rPr>
              <w:t>2</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14B7C" w14:textId="77777777" w:rsidR="00BD5D0A" w:rsidRDefault="00595E0A">
            <w:pPr>
              <w:numPr>
                <w:ilvl w:val="0"/>
                <w:numId w:val="1"/>
              </w:numPr>
              <w:spacing w:before="240" w:line="360" w:lineRule="auto"/>
              <w:jc w:val="both"/>
              <w:rPr>
                <w:rFonts w:ascii="Arial" w:eastAsia="Arial" w:hAnsi="Arial" w:cs="Arial"/>
              </w:rPr>
            </w:pPr>
            <w:r>
              <w:rPr>
                <w:rFonts w:ascii="Arial" w:eastAsia="Arial" w:hAnsi="Arial" w:cs="Arial"/>
              </w:rPr>
              <w:t>Low adherence to vaccination was responsible for a mortality rate twice the national average.</w:t>
            </w:r>
          </w:p>
          <w:p w14:paraId="730999E1" w14:textId="77777777" w:rsidR="00BD5D0A" w:rsidRDefault="00595E0A">
            <w:pPr>
              <w:numPr>
                <w:ilvl w:val="0"/>
                <w:numId w:val="1"/>
              </w:numPr>
              <w:spacing w:line="360" w:lineRule="auto"/>
              <w:jc w:val="both"/>
              <w:rPr>
                <w:rFonts w:ascii="Arial" w:eastAsia="Arial" w:hAnsi="Arial" w:cs="Arial"/>
              </w:rPr>
            </w:pPr>
            <w:r>
              <w:rPr>
                <w:rFonts w:ascii="Arial" w:eastAsia="Arial" w:hAnsi="Arial" w:cs="Arial"/>
              </w:rPr>
              <w:t>Actions to combat misinformation must be based on building trust and ensuring access.</w:t>
            </w:r>
          </w:p>
          <w:p w14:paraId="526131AA" w14:textId="77777777" w:rsidR="00BD5D0A" w:rsidRDefault="00595E0A">
            <w:pPr>
              <w:numPr>
                <w:ilvl w:val="0"/>
                <w:numId w:val="1"/>
              </w:numPr>
              <w:spacing w:line="360" w:lineRule="auto"/>
              <w:jc w:val="both"/>
              <w:rPr>
                <w:rFonts w:ascii="Arial" w:eastAsia="Arial" w:hAnsi="Arial" w:cs="Arial"/>
              </w:rPr>
            </w:pPr>
            <w:r>
              <w:rPr>
                <w:rFonts w:ascii="Arial" w:eastAsia="Arial" w:hAnsi="Arial" w:cs="Arial"/>
              </w:rPr>
              <w:t>Acceptance rates reached approximately 85%.</w:t>
            </w:r>
          </w:p>
          <w:p w14:paraId="75BB3A5F" w14:textId="77777777" w:rsidR="00BD5D0A" w:rsidRDefault="00595E0A">
            <w:pPr>
              <w:numPr>
                <w:ilvl w:val="0"/>
                <w:numId w:val="1"/>
              </w:numPr>
              <w:spacing w:line="360" w:lineRule="auto"/>
              <w:jc w:val="both"/>
              <w:rPr>
                <w:rFonts w:ascii="Arial" w:eastAsia="Arial" w:hAnsi="Arial" w:cs="Arial"/>
              </w:rPr>
            </w:pPr>
            <w:r>
              <w:rPr>
                <w:rFonts w:ascii="Arial" w:eastAsia="Arial" w:hAnsi="Arial" w:cs="Arial"/>
              </w:rPr>
              <w:t>Although Indigenous peoples were considered priority groups, only half of them were vaccinated.</w:t>
            </w:r>
          </w:p>
          <w:p w14:paraId="2ABB32C4" w14:textId="77777777" w:rsidR="00BD5D0A" w:rsidRDefault="00595E0A">
            <w:pPr>
              <w:numPr>
                <w:ilvl w:val="0"/>
                <w:numId w:val="1"/>
              </w:numPr>
              <w:spacing w:line="360" w:lineRule="auto"/>
              <w:jc w:val="both"/>
              <w:rPr>
                <w:rFonts w:ascii="Arial" w:eastAsia="Arial" w:hAnsi="Arial" w:cs="Arial"/>
              </w:rPr>
            </w:pPr>
            <w:r>
              <w:rPr>
                <w:rFonts w:ascii="Arial" w:eastAsia="Arial" w:hAnsi="Arial" w:cs="Arial"/>
              </w:rPr>
              <w:t>The spread of “fake news” reduced acceptance rates and, consequently, vaccination coverage among Indigenous peoples.</w:t>
            </w:r>
          </w:p>
          <w:p w14:paraId="6A97648A" w14:textId="77777777" w:rsidR="00BD5D0A" w:rsidRDefault="00595E0A">
            <w:pPr>
              <w:numPr>
                <w:ilvl w:val="0"/>
                <w:numId w:val="1"/>
              </w:numPr>
              <w:spacing w:after="240" w:line="360" w:lineRule="auto"/>
              <w:jc w:val="both"/>
              <w:rPr>
                <w:rFonts w:ascii="Arial" w:eastAsia="Arial" w:hAnsi="Arial" w:cs="Arial"/>
              </w:rPr>
            </w:pPr>
            <w:r>
              <w:rPr>
                <w:rFonts w:ascii="Arial" w:eastAsia="Arial" w:hAnsi="Arial" w:cs="Arial"/>
              </w:rPr>
              <w:t>Coordination among the responsible health authorities is necessary.</w:t>
            </w:r>
          </w:p>
        </w:tc>
      </w:tr>
      <w:tr w:rsidR="00BD5D0A" w14:paraId="6B6AA769" w14:textId="77777777">
        <w:trPr>
          <w:trHeight w:val="33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5B554" w14:textId="77777777" w:rsidR="00BD5D0A" w:rsidRDefault="00595E0A">
            <w:pPr>
              <w:spacing w:before="240" w:after="240" w:line="360" w:lineRule="auto"/>
              <w:jc w:val="center"/>
              <w:rPr>
                <w:rFonts w:ascii="Arial" w:eastAsia="Arial" w:hAnsi="Arial" w:cs="Arial"/>
              </w:rPr>
            </w:pPr>
            <w:r>
              <w:rPr>
                <w:rFonts w:ascii="Arial" w:eastAsia="Arial" w:hAnsi="Arial" w:cs="Arial"/>
              </w:rPr>
              <w:t>3</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A06DF" w14:textId="77777777" w:rsidR="00BD5D0A" w:rsidRDefault="00595E0A">
            <w:pPr>
              <w:numPr>
                <w:ilvl w:val="0"/>
                <w:numId w:val="6"/>
              </w:numPr>
              <w:spacing w:before="240" w:line="360" w:lineRule="auto"/>
              <w:jc w:val="both"/>
              <w:rPr>
                <w:rFonts w:ascii="Arial" w:eastAsia="Arial" w:hAnsi="Arial" w:cs="Arial"/>
              </w:rPr>
            </w:pPr>
            <w:r>
              <w:rPr>
                <w:rFonts w:ascii="Arial" w:eastAsia="Arial" w:hAnsi="Arial" w:cs="Arial"/>
              </w:rPr>
              <w:t>By March 1, 2022, partial vaccination coverage (a single dose of AstraZeneca, CoronaVac, or Pfizer) reached 87.6% in the general Brazilian population and 65% among Indigenous peoples living in the DSEIs*. For full vaccination coverage (two doses), rates were 74.8% for the general Brazilian population and 48.7% for Indigenous peoples living in the DSEIs.</w:t>
            </w:r>
          </w:p>
          <w:p w14:paraId="02366B10" w14:textId="77777777" w:rsidR="00BD5D0A" w:rsidRDefault="00595E0A">
            <w:pPr>
              <w:numPr>
                <w:ilvl w:val="0"/>
                <w:numId w:val="6"/>
              </w:numPr>
              <w:spacing w:line="360" w:lineRule="auto"/>
              <w:jc w:val="both"/>
              <w:rPr>
                <w:rFonts w:ascii="Arial" w:eastAsia="Arial" w:hAnsi="Arial" w:cs="Arial"/>
              </w:rPr>
            </w:pPr>
            <w:r>
              <w:rPr>
                <w:rFonts w:ascii="Arial" w:eastAsia="Arial" w:hAnsi="Arial" w:cs="Arial"/>
              </w:rPr>
              <w:t>For partial vaccination coverage among Indigenous peoples living in the DSEIs, the highest rate was recorded in the Northeast (80.4%) and the lowest in the Southeast (47.9%).</w:t>
            </w:r>
          </w:p>
          <w:p w14:paraId="7CB5F450" w14:textId="77777777" w:rsidR="00BD5D0A" w:rsidRDefault="00595E0A">
            <w:pPr>
              <w:numPr>
                <w:ilvl w:val="0"/>
                <w:numId w:val="6"/>
              </w:numPr>
              <w:spacing w:after="240" w:line="360" w:lineRule="auto"/>
              <w:jc w:val="both"/>
              <w:rPr>
                <w:rFonts w:ascii="Arial" w:eastAsia="Arial" w:hAnsi="Arial" w:cs="Arial"/>
              </w:rPr>
            </w:pPr>
            <w:r>
              <w:rPr>
                <w:rFonts w:ascii="Arial" w:eastAsia="Arial" w:hAnsi="Arial" w:cs="Arial"/>
              </w:rPr>
              <w:lastRenderedPageBreak/>
              <w:t>For full vaccination coverage among Indigenous peoples living in the DSEIs, the highest rate was recorded in the Northeast (66.4%) and the lowest in the North (40.3%).</w:t>
            </w:r>
          </w:p>
        </w:tc>
      </w:tr>
      <w:tr w:rsidR="00BD5D0A" w14:paraId="0B625160" w14:textId="77777777">
        <w:trPr>
          <w:trHeight w:val="4124"/>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54BC5"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4</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8C2AB" w14:textId="77777777" w:rsidR="00BD5D0A" w:rsidRDefault="00595E0A">
            <w:pPr>
              <w:numPr>
                <w:ilvl w:val="0"/>
                <w:numId w:val="5"/>
              </w:numPr>
              <w:spacing w:before="240" w:line="360" w:lineRule="auto"/>
              <w:jc w:val="both"/>
              <w:rPr>
                <w:rFonts w:ascii="Arial" w:eastAsia="Arial" w:hAnsi="Arial" w:cs="Arial"/>
              </w:rPr>
            </w:pPr>
            <w:r>
              <w:rPr>
                <w:rFonts w:ascii="Arial" w:eastAsia="Arial" w:hAnsi="Arial" w:cs="Arial"/>
              </w:rPr>
              <w:t xml:space="preserve">Indigenous and </w:t>
            </w:r>
            <w:proofErr w:type="spellStart"/>
            <w:r>
              <w:rPr>
                <w:rFonts w:ascii="Arial" w:eastAsia="Arial" w:hAnsi="Arial" w:cs="Arial"/>
              </w:rPr>
              <w:t>quilombola</w:t>
            </w:r>
            <w:proofErr w:type="spellEnd"/>
            <w:r>
              <w:rPr>
                <w:rFonts w:ascii="Arial" w:eastAsia="Arial" w:hAnsi="Arial" w:cs="Arial"/>
              </w:rPr>
              <w:t xml:space="preserve"> populations generally showed lower vaccination coverage (78.30% with CoronaVac) compared to other priority groups during the first five months of 2021.</w:t>
            </w:r>
          </w:p>
          <w:p w14:paraId="25310EF0" w14:textId="77777777" w:rsidR="00BD5D0A" w:rsidRDefault="00595E0A">
            <w:pPr>
              <w:numPr>
                <w:ilvl w:val="0"/>
                <w:numId w:val="5"/>
              </w:numPr>
              <w:spacing w:line="360" w:lineRule="auto"/>
              <w:jc w:val="both"/>
              <w:rPr>
                <w:rFonts w:ascii="Arial" w:eastAsia="Arial" w:hAnsi="Arial" w:cs="Arial"/>
              </w:rPr>
            </w:pPr>
            <w:r>
              <w:rPr>
                <w:rFonts w:ascii="Arial" w:eastAsia="Arial" w:hAnsi="Arial" w:cs="Arial"/>
              </w:rPr>
              <w:t>The North Region presented the lowest percentages (66.51%), while the Southeast Region had the highest (89.58%).</w:t>
            </w:r>
          </w:p>
          <w:p w14:paraId="6616C77B" w14:textId="77777777" w:rsidR="00BD5D0A" w:rsidRDefault="00595E0A">
            <w:pPr>
              <w:numPr>
                <w:ilvl w:val="0"/>
                <w:numId w:val="5"/>
              </w:numPr>
              <w:spacing w:line="360" w:lineRule="auto"/>
              <w:jc w:val="both"/>
              <w:rPr>
                <w:rFonts w:ascii="Arial" w:eastAsia="Arial" w:hAnsi="Arial" w:cs="Arial"/>
              </w:rPr>
            </w:pPr>
            <w:r>
              <w:rPr>
                <w:rFonts w:ascii="Arial" w:eastAsia="Arial" w:hAnsi="Arial" w:cs="Arial"/>
              </w:rPr>
              <w:t>Clusters of low vaccination were observed in the Southeast, whereas in the Northeast more clusters of high vaccination were identified for both doses of CoronaVac.</w:t>
            </w:r>
          </w:p>
          <w:p w14:paraId="12EF9FAA" w14:textId="77777777" w:rsidR="00BD5D0A" w:rsidRDefault="00595E0A">
            <w:pPr>
              <w:numPr>
                <w:ilvl w:val="0"/>
                <w:numId w:val="5"/>
              </w:numPr>
              <w:spacing w:line="360" w:lineRule="auto"/>
              <w:jc w:val="both"/>
              <w:rPr>
                <w:rFonts w:ascii="Arial" w:eastAsia="Arial" w:hAnsi="Arial" w:cs="Arial"/>
              </w:rPr>
            </w:pPr>
            <w:r>
              <w:rPr>
                <w:rFonts w:ascii="Arial" w:eastAsia="Arial" w:hAnsi="Arial" w:cs="Arial"/>
              </w:rPr>
              <w:t>An inverse relationship was observed for the first dose of AstraZeneca.</w:t>
            </w:r>
          </w:p>
          <w:p w14:paraId="0DCCF867" w14:textId="77777777" w:rsidR="00BD5D0A" w:rsidRDefault="00595E0A">
            <w:pPr>
              <w:numPr>
                <w:ilvl w:val="0"/>
                <w:numId w:val="5"/>
              </w:numPr>
              <w:spacing w:after="240" w:line="360" w:lineRule="auto"/>
              <w:jc w:val="both"/>
              <w:rPr>
                <w:rFonts w:ascii="Arial" w:eastAsia="Arial" w:hAnsi="Arial" w:cs="Arial"/>
              </w:rPr>
            </w:pPr>
            <w:r>
              <w:rPr>
                <w:rFonts w:ascii="Arial" w:eastAsia="Arial" w:hAnsi="Arial" w:cs="Arial"/>
              </w:rPr>
              <w:t>The reduced vaccination coverage is explained by misinformation, the spread of fake news, and logistical challenges in accessing communities, in addition to overlooked shortcomings related to the exclusion, in the National Immunization Program during the early months of vaccination, of Indigenous populations living on lands still undergoing demarcation.</w:t>
            </w:r>
          </w:p>
        </w:tc>
      </w:tr>
      <w:tr w:rsidR="00BD5D0A" w14:paraId="1D539BE3" w14:textId="77777777">
        <w:trPr>
          <w:trHeight w:val="116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88E11" w14:textId="77777777" w:rsidR="00BD5D0A" w:rsidRDefault="00595E0A">
            <w:pPr>
              <w:spacing w:before="240" w:after="240" w:line="360" w:lineRule="auto"/>
              <w:jc w:val="center"/>
              <w:rPr>
                <w:rFonts w:ascii="Arial" w:eastAsia="Arial" w:hAnsi="Arial" w:cs="Arial"/>
              </w:rPr>
            </w:pPr>
            <w:r>
              <w:rPr>
                <w:rFonts w:ascii="Arial" w:eastAsia="Arial" w:hAnsi="Arial" w:cs="Arial"/>
              </w:rPr>
              <w:t>5</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EF2DF" w14:textId="77777777" w:rsidR="00BD5D0A" w:rsidRDefault="00595E0A">
            <w:pPr>
              <w:numPr>
                <w:ilvl w:val="0"/>
                <w:numId w:val="8"/>
              </w:numPr>
              <w:spacing w:before="240" w:line="360" w:lineRule="auto"/>
              <w:jc w:val="both"/>
              <w:rPr>
                <w:rFonts w:ascii="Arial" w:eastAsia="Arial" w:hAnsi="Arial" w:cs="Arial"/>
              </w:rPr>
            </w:pPr>
            <w:r>
              <w:rPr>
                <w:rFonts w:ascii="Arial" w:eastAsia="Arial" w:hAnsi="Arial" w:cs="Arial"/>
              </w:rPr>
              <w:t>There are cultural and religious barriers within each Indigenous ethnic group that lead to resistance in accepting vaccination and other health activities.</w:t>
            </w:r>
          </w:p>
          <w:p w14:paraId="714846E6" w14:textId="77777777" w:rsidR="00BD5D0A" w:rsidRDefault="00595E0A">
            <w:pPr>
              <w:numPr>
                <w:ilvl w:val="0"/>
                <w:numId w:val="8"/>
              </w:numPr>
              <w:spacing w:line="360" w:lineRule="auto"/>
              <w:jc w:val="both"/>
              <w:rPr>
                <w:rFonts w:ascii="Arial" w:eastAsia="Arial" w:hAnsi="Arial" w:cs="Arial"/>
              </w:rPr>
            </w:pPr>
            <w:r>
              <w:rPr>
                <w:rFonts w:ascii="Arial" w:eastAsia="Arial" w:hAnsi="Arial" w:cs="Arial"/>
              </w:rPr>
              <w:t>Denialism within Indigenous communities—driven by external factors such as social media and religious influences, as well as internal dynamics—is common.</w:t>
            </w:r>
          </w:p>
          <w:p w14:paraId="7CD4E95A" w14:textId="77777777" w:rsidR="00BD5D0A" w:rsidRDefault="00595E0A">
            <w:pPr>
              <w:numPr>
                <w:ilvl w:val="0"/>
                <w:numId w:val="8"/>
              </w:numPr>
              <w:spacing w:line="360" w:lineRule="auto"/>
              <w:jc w:val="both"/>
              <w:rPr>
                <w:rFonts w:ascii="Arial" w:eastAsia="Arial" w:hAnsi="Arial" w:cs="Arial"/>
              </w:rPr>
            </w:pPr>
            <w:r>
              <w:rPr>
                <w:rFonts w:ascii="Arial" w:eastAsia="Arial" w:hAnsi="Arial" w:cs="Arial"/>
              </w:rPr>
              <w:t>Failures in the implementation of local contingency plans and lack of adequate coordination between the DSEIs and municipal systems, in addition to the fact that Indigenous people living outside villages lack access to adequate care, represent logistical and planning challenges.</w:t>
            </w:r>
          </w:p>
          <w:p w14:paraId="0F090F05" w14:textId="77777777" w:rsidR="00BD5D0A" w:rsidRDefault="00595E0A">
            <w:pPr>
              <w:numPr>
                <w:ilvl w:val="0"/>
                <w:numId w:val="8"/>
              </w:numPr>
              <w:spacing w:line="360" w:lineRule="auto"/>
              <w:jc w:val="both"/>
              <w:rPr>
                <w:rFonts w:ascii="Arial" w:eastAsia="Arial" w:hAnsi="Arial" w:cs="Arial"/>
              </w:rPr>
            </w:pPr>
            <w:r>
              <w:rPr>
                <w:rFonts w:ascii="Arial" w:eastAsia="Arial" w:hAnsi="Arial" w:cs="Arial"/>
              </w:rPr>
              <w:t>The pandemic period itself disrupted spheres of power, affecting governance processes and the shared responsibility for the health of these peoples.</w:t>
            </w:r>
          </w:p>
          <w:p w14:paraId="6991E6E4" w14:textId="77777777" w:rsidR="00BD5D0A" w:rsidRDefault="00595E0A">
            <w:pPr>
              <w:numPr>
                <w:ilvl w:val="0"/>
                <w:numId w:val="8"/>
              </w:numPr>
              <w:spacing w:after="240" w:line="360" w:lineRule="auto"/>
              <w:jc w:val="both"/>
              <w:rPr>
                <w:rFonts w:ascii="Arial" w:eastAsia="Arial" w:hAnsi="Arial" w:cs="Arial"/>
              </w:rPr>
            </w:pPr>
            <w:r>
              <w:rPr>
                <w:rFonts w:ascii="Arial" w:eastAsia="Arial" w:hAnsi="Arial" w:cs="Arial"/>
              </w:rPr>
              <w:lastRenderedPageBreak/>
              <w:t xml:space="preserve">It was found that among the DSEIs, lower vaccination coverage resulted in higher incidence of cases, as seen in the </w:t>
            </w:r>
            <w:proofErr w:type="spellStart"/>
            <w:r>
              <w:rPr>
                <w:rFonts w:ascii="Arial" w:eastAsia="Arial" w:hAnsi="Arial" w:cs="Arial"/>
              </w:rPr>
              <w:t>Kaiapó</w:t>
            </w:r>
            <w:proofErr w:type="spellEnd"/>
            <w:r>
              <w:rPr>
                <w:rFonts w:ascii="Arial" w:eastAsia="Arial" w:hAnsi="Arial" w:cs="Arial"/>
              </w:rPr>
              <w:t xml:space="preserve"> DSEI, which recorded an increase in infections in 2022.</w:t>
            </w:r>
          </w:p>
        </w:tc>
      </w:tr>
      <w:tr w:rsidR="00BD5D0A" w14:paraId="4A6FB31A" w14:textId="77777777">
        <w:trPr>
          <w:trHeight w:val="462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00BE3"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6</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4D4B0" w14:textId="77777777" w:rsidR="00BD5D0A" w:rsidRDefault="00595E0A">
            <w:pPr>
              <w:numPr>
                <w:ilvl w:val="0"/>
                <w:numId w:val="4"/>
              </w:numPr>
              <w:spacing w:before="240" w:line="360" w:lineRule="auto"/>
              <w:jc w:val="both"/>
              <w:rPr>
                <w:rFonts w:ascii="Arial" w:eastAsia="Arial" w:hAnsi="Arial" w:cs="Arial"/>
              </w:rPr>
            </w:pPr>
            <w:r>
              <w:rPr>
                <w:rFonts w:ascii="Arial" w:eastAsia="Arial" w:hAnsi="Arial" w:cs="Arial"/>
              </w:rPr>
              <w:t>Most COVID-19 cases among Indigenous peoples in the Amazon region occurred between May and August 2020. In contrast to the general population, the second wave of infections among Indigenous peoples was smaller than the first.</w:t>
            </w:r>
          </w:p>
          <w:p w14:paraId="300039E2" w14:textId="77777777" w:rsidR="00BD5D0A" w:rsidRDefault="00595E0A">
            <w:pPr>
              <w:numPr>
                <w:ilvl w:val="0"/>
                <w:numId w:val="4"/>
              </w:numPr>
              <w:spacing w:line="360" w:lineRule="auto"/>
              <w:jc w:val="both"/>
              <w:rPr>
                <w:rFonts w:ascii="Arial" w:eastAsia="Arial" w:hAnsi="Arial" w:cs="Arial"/>
              </w:rPr>
            </w:pPr>
            <w:r>
              <w:rPr>
                <w:rFonts w:ascii="Arial" w:eastAsia="Arial" w:hAnsi="Arial" w:cs="Arial"/>
              </w:rPr>
              <w:t>After the beginning of vaccination, there was a decrease in the number of cases among Indigenous peoples, but a sharp increase in the general population.</w:t>
            </w:r>
          </w:p>
          <w:p w14:paraId="13B953B1" w14:textId="77777777" w:rsidR="00BD5D0A" w:rsidRDefault="00595E0A">
            <w:pPr>
              <w:numPr>
                <w:ilvl w:val="0"/>
                <w:numId w:val="4"/>
              </w:numPr>
              <w:spacing w:line="360" w:lineRule="auto"/>
              <w:jc w:val="both"/>
              <w:rPr>
                <w:rFonts w:ascii="Arial" w:eastAsia="Arial" w:hAnsi="Arial" w:cs="Arial"/>
              </w:rPr>
            </w:pPr>
            <w:r>
              <w:rPr>
                <w:rFonts w:ascii="Arial" w:eastAsia="Arial" w:hAnsi="Arial" w:cs="Arial"/>
              </w:rPr>
              <w:t xml:space="preserve">The first wave was observed between weeks 18 and 34 in most DSEIs, occurring mainly in Eastern Roraima, </w:t>
            </w:r>
            <w:proofErr w:type="spellStart"/>
            <w:r>
              <w:rPr>
                <w:rFonts w:ascii="Arial" w:eastAsia="Arial" w:hAnsi="Arial" w:cs="Arial"/>
              </w:rPr>
              <w:t>Kaiapó</w:t>
            </w:r>
            <w:proofErr w:type="spellEnd"/>
            <w:r>
              <w:rPr>
                <w:rFonts w:ascii="Arial" w:eastAsia="Arial" w:hAnsi="Arial" w:cs="Arial"/>
              </w:rPr>
              <w:t xml:space="preserve"> do Pará, and Rio </w:t>
            </w:r>
            <w:proofErr w:type="spellStart"/>
            <w:r>
              <w:rPr>
                <w:rFonts w:ascii="Arial" w:eastAsia="Arial" w:hAnsi="Arial" w:cs="Arial"/>
              </w:rPr>
              <w:t>Tapajós</w:t>
            </w:r>
            <w:proofErr w:type="spellEnd"/>
            <w:r>
              <w:rPr>
                <w:rFonts w:ascii="Arial" w:eastAsia="Arial" w:hAnsi="Arial" w:cs="Arial"/>
              </w:rPr>
              <w:t>.</w:t>
            </w:r>
          </w:p>
          <w:p w14:paraId="47CC76CE" w14:textId="77777777" w:rsidR="00BD5D0A" w:rsidRDefault="00595E0A">
            <w:pPr>
              <w:numPr>
                <w:ilvl w:val="0"/>
                <w:numId w:val="4"/>
              </w:numPr>
              <w:spacing w:line="360" w:lineRule="auto"/>
              <w:jc w:val="both"/>
              <w:rPr>
                <w:rFonts w:ascii="Arial" w:eastAsia="Arial" w:hAnsi="Arial" w:cs="Arial"/>
              </w:rPr>
            </w:pPr>
            <w:r>
              <w:rPr>
                <w:rFonts w:ascii="Arial" w:eastAsia="Arial" w:hAnsi="Arial" w:cs="Arial"/>
              </w:rPr>
              <w:t xml:space="preserve">The DSEIs with the lowest vaccination coverage were </w:t>
            </w:r>
            <w:proofErr w:type="spellStart"/>
            <w:r>
              <w:rPr>
                <w:rFonts w:ascii="Arial" w:eastAsia="Arial" w:hAnsi="Arial" w:cs="Arial"/>
              </w:rPr>
              <w:t>Kaiapó</w:t>
            </w:r>
            <w:proofErr w:type="spellEnd"/>
            <w:r>
              <w:rPr>
                <w:rFonts w:ascii="Arial" w:eastAsia="Arial" w:hAnsi="Arial" w:cs="Arial"/>
              </w:rPr>
              <w:t xml:space="preserve"> do Pará, Rio </w:t>
            </w:r>
            <w:proofErr w:type="spellStart"/>
            <w:r>
              <w:rPr>
                <w:rFonts w:ascii="Arial" w:eastAsia="Arial" w:hAnsi="Arial" w:cs="Arial"/>
              </w:rPr>
              <w:t>Tapajós</w:t>
            </w:r>
            <w:proofErr w:type="spellEnd"/>
            <w:r>
              <w:rPr>
                <w:rFonts w:ascii="Arial" w:eastAsia="Arial" w:hAnsi="Arial" w:cs="Arial"/>
              </w:rPr>
              <w:t xml:space="preserve">, and </w:t>
            </w:r>
            <w:proofErr w:type="spellStart"/>
            <w:r>
              <w:rPr>
                <w:rFonts w:ascii="Arial" w:eastAsia="Arial" w:hAnsi="Arial" w:cs="Arial"/>
              </w:rPr>
              <w:t>Kaiapó</w:t>
            </w:r>
            <w:proofErr w:type="spellEnd"/>
            <w:r>
              <w:rPr>
                <w:rFonts w:ascii="Arial" w:eastAsia="Arial" w:hAnsi="Arial" w:cs="Arial"/>
              </w:rPr>
              <w:t xml:space="preserve"> do Mato Grosso. On the other hand, the Altamira DSEI, which presented a high incidence of COVID-19 cases, achieved the highest vaccination coverage rates.</w:t>
            </w:r>
          </w:p>
          <w:p w14:paraId="09F69DF2" w14:textId="77777777" w:rsidR="00BD5D0A" w:rsidRDefault="00595E0A">
            <w:pPr>
              <w:numPr>
                <w:ilvl w:val="0"/>
                <w:numId w:val="4"/>
              </w:numPr>
              <w:spacing w:line="360" w:lineRule="auto"/>
              <w:jc w:val="both"/>
              <w:rPr>
                <w:rFonts w:ascii="Arial" w:eastAsia="Arial" w:hAnsi="Arial" w:cs="Arial"/>
              </w:rPr>
            </w:pPr>
            <w:r>
              <w:rPr>
                <w:rFonts w:ascii="Arial" w:eastAsia="Arial" w:hAnsi="Arial" w:cs="Arial"/>
              </w:rPr>
              <w:t xml:space="preserve">First-dose vaccination coverage was high in several DSEIs, with rates above 80%, such as Altamira (96%), Amapá and Northern Pará (90%), and Maranhão (94%). However, other DSEIs reported much lower coverage, such as </w:t>
            </w:r>
            <w:proofErr w:type="spellStart"/>
            <w:r>
              <w:rPr>
                <w:rFonts w:ascii="Arial" w:eastAsia="Arial" w:hAnsi="Arial" w:cs="Arial"/>
              </w:rPr>
              <w:t>Kaiapó</w:t>
            </w:r>
            <w:proofErr w:type="spellEnd"/>
            <w:r>
              <w:rPr>
                <w:rFonts w:ascii="Arial" w:eastAsia="Arial" w:hAnsi="Arial" w:cs="Arial"/>
              </w:rPr>
              <w:t xml:space="preserve"> do Pará (53%) and Rio </w:t>
            </w:r>
            <w:proofErr w:type="spellStart"/>
            <w:r>
              <w:rPr>
                <w:rFonts w:ascii="Arial" w:eastAsia="Arial" w:hAnsi="Arial" w:cs="Arial"/>
              </w:rPr>
              <w:t>Tapajós</w:t>
            </w:r>
            <w:proofErr w:type="spellEnd"/>
            <w:r>
              <w:rPr>
                <w:rFonts w:ascii="Arial" w:eastAsia="Arial" w:hAnsi="Arial" w:cs="Arial"/>
              </w:rPr>
              <w:t xml:space="preserve"> (56%).</w:t>
            </w:r>
          </w:p>
          <w:p w14:paraId="55160FF9" w14:textId="77777777" w:rsidR="00BD5D0A" w:rsidRDefault="00595E0A">
            <w:pPr>
              <w:numPr>
                <w:ilvl w:val="0"/>
                <w:numId w:val="4"/>
              </w:numPr>
              <w:spacing w:after="240" w:line="360" w:lineRule="auto"/>
              <w:jc w:val="both"/>
              <w:rPr>
                <w:rFonts w:ascii="Arial" w:eastAsia="Arial" w:hAnsi="Arial" w:cs="Arial"/>
              </w:rPr>
            </w:pPr>
            <w:r>
              <w:rPr>
                <w:rFonts w:ascii="Arial" w:eastAsia="Arial" w:hAnsi="Arial" w:cs="Arial"/>
              </w:rPr>
              <w:t>In all DSEIs, second-dose coverage rates were lower than those for the first dose.</w:t>
            </w:r>
          </w:p>
        </w:tc>
      </w:tr>
      <w:tr w:rsidR="00BD5D0A" w14:paraId="6800ED0B" w14:textId="77777777">
        <w:trPr>
          <w:trHeight w:val="638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6B8A6"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7</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87BA" w14:textId="77777777" w:rsidR="00BD5D0A" w:rsidRDefault="00595E0A">
            <w:pPr>
              <w:numPr>
                <w:ilvl w:val="0"/>
                <w:numId w:val="7"/>
              </w:numPr>
              <w:spacing w:before="240" w:line="360" w:lineRule="auto"/>
              <w:jc w:val="both"/>
              <w:rPr>
                <w:rFonts w:ascii="Arial" w:eastAsia="Arial" w:hAnsi="Arial" w:cs="Arial"/>
              </w:rPr>
            </w:pPr>
            <w:r>
              <w:rPr>
                <w:rFonts w:ascii="Arial" w:eastAsia="Arial" w:hAnsi="Arial" w:cs="Arial"/>
              </w:rPr>
              <w:t>Indigenous peoples are subject to social and health inequities, such as unfavorable housing conditions regarding basic sanitation, high morbidity and mortality rates from preventable causes, and infant mortality rates twice as high as those of non-Indigenous populations.</w:t>
            </w:r>
          </w:p>
          <w:p w14:paraId="72A1D916" w14:textId="77777777" w:rsidR="00BD5D0A" w:rsidRDefault="00595E0A">
            <w:pPr>
              <w:numPr>
                <w:ilvl w:val="0"/>
                <w:numId w:val="7"/>
              </w:numPr>
              <w:spacing w:line="360" w:lineRule="auto"/>
              <w:jc w:val="both"/>
              <w:rPr>
                <w:rFonts w:ascii="Arial" w:eastAsia="Arial" w:hAnsi="Arial" w:cs="Arial"/>
              </w:rPr>
            </w:pPr>
            <w:r>
              <w:rPr>
                <w:rFonts w:ascii="Arial" w:eastAsia="Arial" w:hAnsi="Arial" w:cs="Arial"/>
              </w:rPr>
              <w:t>Since the onset of COVID-19 transmission, the risk of infection among Indigenous peoples has increased rapidly, both in urban and rural areas.</w:t>
            </w:r>
          </w:p>
          <w:p w14:paraId="46121E1F" w14:textId="77777777" w:rsidR="00BD5D0A" w:rsidRDefault="00595E0A">
            <w:pPr>
              <w:numPr>
                <w:ilvl w:val="0"/>
                <w:numId w:val="7"/>
              </w:numPr>
              <w:spacing w:line="360" w:lineRule="auto"/>
              <w:jc w:val="both"/>
              <w:rPr>
                <w:rFonts w:ascii="Arial" w:eastAsia="Arial" w:hAnsi="Arial" w:cs="Arial"/>
              </w:rPr>
            </w:pPr>
            <w:r>
              <w:rPr>
                <w:rFonts w:ascii="Arial" w:eastAsia="Arial" w:hAnsi="Arial" w:cs="Arial"/>
              </w:rPr>
              <w:t>The COVID-19 pandemic exposed the shortcomings of the Indigenous Health Care Subsystem (</w:t>
            </w:r>
            <w:proofErr w:type="spellStart"/>
            <w:r>
              <w:rPr>
                <w:rFonts w:ascii="Arial" w:eastAsia="Arial" w:hAnsi="Arial" w:cs="Arial"/>
              </w:rPr>
              <w:t>SasiSUS</w:t>
            </w:r>
            <w:proofErr w:type="spellEnd"/>
            <w:r>
              <w:rPr>
                <w:rFonts w:ascii="Arial" w:eastAsia="Arial" w:hAnsi="Arial" w:cs="Arial"/>
              </w:rPr>
              <w:t>). Despite the efforts of specific Indigenous organizations, measures adopted largely reproduced Ministry of Health guidelines for non-Indigenous populations without proper adaptation to Indigenous contexts.</w:t>
            </w:r>
          </w:p>
          <w:p w14:paraId="401A724A" w14:textId="77777777" w:rsidR="00BD5D0A" w:rsidRDefault="00595E0A">
            <w:pPr>
              <w:numPr>
                <w:ilvl w:val="0"/>
                <w:numId w:val="7"/>
              </w:numPr>
              <w:spacing w:line="360" w:lineRule="auto"/>
              <w:jc w:val="both"/>
              <w:rPr>
                <w:rFonts w:ascii="Arial" w:eastAsia="Arial" w:hAnsi="Arial" w:cs="Arial"/>
              </w:rPr>
            </w:pPr>
            <w:r>
              <w:rPr>
                <w:rFonts w:ascii="Arial" w:eastAsia="Arial" w:hAnsi="Arial" w:cs="Arial"/>
              </w:rPr>
              <w:t>Obstacles to tracking COVID-19 transmission included: ineffective active case finding, low testing rates, outdated and poorly sensitive criteria for suspecting and confirming cases, inadequate technical training for response, insufficient use of Personal Protective Equipment (PPE), and limited access to remote communication tools.</w:t>
            </w:r>
          </w:p>
          <w:p w14:paraId="519F515B" w14:textId="77777777" w:rsidR="00BD5D0A" w:rsidRDefault="00595E0A">
            <w:pPr>
              <w:numPr>
                <w:ilvl w:val="0"/>
                <w:numId w:val="7"/>
              </w:numPr>
              <w:spacing w:after="240" w:line="360" w:lineRule="auto"/>
              <w:jc w:val="both"/>
              <w:rPr>
                <w:rFonts w:ascii="Arial" w:eastAsia="Arial" w:hAnsi="Arial" w:cs="Arial"/>
              </w:rPr>
            </w:pPr>
            <w:r>
              <w:rPr>
                <w:rFonts w:ascii="Arial" w:eastAsia="Arial" w:hAnsi="Arial" w:cs="Arial"/>
              </w:rPr>
              <w:t>From the first alerts of COVID-19 presence in the national territory, various Indigenous communities and organizations implemented self-protective measures: voluntary isolation, discouraging travel to urban centers, producing and disseminating educational materials, and organizing campaigns to ensure food security.</w:t>
            </w:r>
          </w:p>
        </w:tc>
      </w:tr>
      <w:tr w:rsidR="00BD5D0A" w14:paraId="462BA195" w14:textId="77777777">
        <w:trPr>
          <w:trHeight w:val="6389"/>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2A8CC" w14:textId="77777777" w:rsidR="00BD5D0A" w:rsidRDefault="00595E0A">
            <w:pPr>
              <w:spacing w:before="240" w:after="240" w:line="360" w:lineRule="auto"/>
              <w:jc w:val="center"/>
              <w:rPr>
                <w:rFonts w:ascii="Arial" w:eastAsia="Arial" w:hAnsi="Arial" w:cs="Arial"/>
              </w:rPr>
            </w:pPr>
            <w:r>
              <w:rPr>
                <w:rFonts w:ascii="Arial" w:eastAsia="Arial" w:hAnsi="Arial" w:cs="Arial"/>
              </w:rPr>
              <w:lastRenderedPageBreak/>
              <w:t>8</w:t>
            </w:r>
          </w:p>
        </w:tc>
        <w:tc>
          <w:tcPr>
            <w:tcW w:w="7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25FDE" w14:textId="77777777" w:rsidR="00BD5D0A" w:rsidRDefault="00595E0A">
            <w:pPr>
              <w:numPr>
                <w:ilvl w:val="0"/>
                <w:numId w:val="3"/>
              </w:numPr>
              <w:spacing w:before="240" w:line="360" w:lineRule="auto"/>
              <w:jc w:val="both"/>
              <w:rPr>
                <w:rFonts w:ascii="Arial" w:eastAsia="Arial" w:hAnsi="Arial" w:cs="Arial"/>
              </w:rPr>
            </w:pPr>
            <w:r>
              <w:rPr>
                <w:rFonts w:ascii="Arial" w:eastAsia="Arial" w:hAnsi="Arial" w:cs="Arial"/>
              </w:rPr>
              <w:t>Illegal mining and the invasion of Indigenous lands in search of mineral resources were major drivers of COVID-19 spread in these regions.</w:t>
            </w:r>
          </w:p>
          <w:p w14:paraId="3004A59C" w14:textId="77777777" w:rsidR="00BD5D0A" w:rsidRDefault="00595E0A">
            <w:pPr>
              <w:numPr>
                <w:ilvl w:val="0"/>
                <w:numId w:val="3"/>
              </w:numPr>
              <w:spacing w:line="360" w:lineRule="auto"/>
              <w:jc w:val="both"/>
              <w:rPr>
                <w:rFonts w:ascii="Arial" w:eastAsia="Arial" w:hAnsi="Arial" w:cs="Arial"/>
              </w:rPr>
            </w:pPr>
            <w:r>
              <w:rPr>
                <w:rFonts w:ascii="Arial" w:eastAsia="Arial" w:hAnsi="Arial" w:cs="Arial"/>
              </w:rPr>
              <w:t>The widespread dissemination of fake news during the pandemic hindered efforts to contain the spread of the virus in Indigenous areas.</w:t>
            </w:r>
            <w:r>
              <w:rPr>
                <w:rFonts w:ascii="Arial" w:eastAsia="Arial" w:hAnsi="Arial" w:cs="Arial"/>
              </w:rPr>
              <w:br/>
              <w:t>The strong interconnection between urban centers and Indigenous territories made it difficult to adopt isolation measures.</w:t>
            </w:r>
          </w:p>
          <w:p w14:paraId="3D5222F8" w14:textId="77777777" w:rsidR="00BD5D0A" w:rsidRDefault="00595E0A">
            <w:pPr>
              <w:numPr>
                <w:ilvl w:val="0"/>
                <w:numId w:val="3"/>
              </w:numPr>
              <w:spacing w:line="360" w:lineRule="auto"/>
              <w:jc w:val="both"/>
              <w:rPr>
                <w:rFonts w:ascii="Arial" w:eastAsia="Arial" w:hAnsi="Arial" w:cs="Arial"/>
              </w:rPr>
            </w:pPr>
            <w:r>
              <w:rPr>
                <w:rFonts w:ascii="Arial" w:eastAsia="Arial" w:hAnsi="Arial" w:cs="Arial"/>
              </w:rPr>
              <w:t>Mobility between villages and cities by Indigenous peoples facilitated the spread of SARS-CoV-2 in Indigenous areas.</w:t>
            </w:r>
          </w:p>
          <w:p w14:paraId="13146102" w14:textId="77777777" w:rsidR="00BD5D0A" w:rsidRDefault="00595E0A">
            <w:pPr>
              <w:numPr>
                <w:ilvl w:val="0"/>
                <w:numId w:val="3"/>
              </w:numPr>
              <w:spacing w:line="360" w:lineRule="auto"/>
              <w:jc w:val="both"/>
              <w:rPr>
                <w:rFonts w:ascii="Arial" w:eastAsia="Arial" w:hAnsi="Arial" w:cs="Arial"/>
              </w:rPr>
            </w:pPr>
            <w:r>
              <w:rPr>
                <w:rFonts w:ascii="Arial" w:eastAsia="Arial" w:hAnsi="Arial" w:cs="Arial"/>
              </w:rPr>
              <w:t>The pandemic highlighted inequalities in access to health care and protection for Indigenous and riverside populations, who depend on distant health posts and face logistical difficulties in transporting supplies and professionals.</w:t>
            </w:r>
          </w:p>
          <w:p w14:paraId="0FDA4632" w14:textId="77777777" w:rsidR="00BD5D0A" w:rsidRDefault="00595E0A">
            <w:pPr>
              <w:numPr>
                <w:ilvl w:val="0"/>
                <w:numId w:val="3"/>
              </w:numPr>
              <w:spacing w:line="360" w:lineRule="auto"/>
              <w:jc w:val="both"/>
              <w:rPr>
                <w:rFonts w:ascii="Arial" w:eastAsia="Arial" w:hAnsi="Arial" w:cs="Arial"/>
              </w:rPr>
            </w:pPr>
            <w:r>
              <w:rPr>
                <w:rFonts w:ascii="Arial" w:eastAsia="Arial" w:hAnsi="Arial" w:cs="Arial"/>
              </w:rPr>
              <w:t>During the pandemic, government measures focused mainly on urban centers, leaving remote communities underserved.</w:t>
            </w:r>
          </w:p>
          <w:p w14:paraId="43C3B60B" w14:textId="77777777" w:rsidR="00BD5D0A" w:rsidRDefault="00595E0A">
            <w:pPr>
              <w:numPr>
                <w:ilvl w:val="0"/>
                <w:numId w:val="3"/>
              </w:numPr>
              <w:spacing w:after="240" w:line="360" w:lineRule="auto"/>
              <w:jc w:val="both"/>
              <w:rPr>
                <w:rFonts w:ascii="Arial" w:eastAsia="Arial" w:hAnsi="Arial" w:cs="Arial"/>
              </w:rPr>
            </w:pPr>
            <w:r>
              <w:rPr>
                <w:rFonts w:ascii="Arial" w:eastAsia="Arial" w:hAnsi="Arial" w:cs="Arial"/>
              </w:rPr>
              <w:t>The denialist stance of authorities underestimated the severity of the disease and fostered resistance to vaccination, while the weakening of SUS and Indigenous health revealed chronic underfunding and system vulnerabilities, compromising basic health care especially in peripheral regions and rural communities.</w:t>
            </w:r>
          </w:p>
        </w:tc>
      </w:tr>
    </w:tbl>
    <w:p w14:paraId="12E2A5F3" w14:textId="77777777" w:rsidR="00BD5D0A" w:rsidRDefault="00595E0A">
      <w:pPr>
        <w:spacing w:before="240" w:after="240" w:line="360" w:lineRule="auto"/>
        <w:jc w:val="both"/>
        <w:rPr>
          <w:rFonts w:ascii="Arial" w:eastAsia="Arial" w:hAnsi="Arial" w:cs="Arial"/>
          <w:sz w:val="18"/>
          <w:szCs w:val="18"/>
        </w:rPr>
      </w:pPr>
      <w:r>
        <w:rPr>
          <w:rFonts w:ascii="Arial" w:eastAsia="Arial" w:hAnsi="Arial" w:cs="Arial"/>
          <w:i/>
          <w:iCs/>
          <w:sz w:val="18"/>
          <w:szCs w:val="18"/>
        </w:rPr>
        <w:t>DSEIs*: Special Indigenous Health Districts</w:t>
      </w:r>
      <w:r>
        <w:rPr>
          <w:rFonts w:ascii="Arial" w:eastAsia="Arial" w:hAnsi="Arial" w:cs="Arial"/>
          <w:sz w:val="18"/>
          <w:szCs w:val="18"/>
        </w:rPr>
        <w:t xml:space="preserve">. </w:t>
      </w:r>
    </w:p>
    <w:p w14:paraId="1C05266F" w14:textId="77777777" w:rsidR="00BD5D0A" w:rsidRDefault="00595E0A">
      <w:pPr>
        <w:spacing w:before="240" w:after="240"/>
        <w:jc w:val="both"/>
        <w:rPr>
          <w:rFonts w:ascii="Arial" w:eastAsia="Arial" w:hAnsi="Arial" w:cs="Arial"/>
        </w:rPr>
      </w:pPr>
      <w:r>
        <w:rPr>
          <w:rFonts w:ascii="Arial" w:eastAsia="Arial" w:hAnsi="Arial" w:cs="Arial"/>
        </w:rPr>
        <w:t xml:space="preserve">Based on the survey conducted for this study, it was identified that, in the context of COVID-19, the negligence in protecting the integrity of the Indigenous population was reinforced by gaps in access to the vaccination program. This was evidenced by the lower vaccination rate of this priority ethnic group compared to other strata defined as preferential in the National Operational Plan against COVID-19. In this regard, according to Study No. 4, which described the vaccination process during the first five months of 2021 in groups prioritized by the immunization plan against COVID-19, it was observed that, within the group “Indigenous and </w:t>
      </w:r>
      <w:proofErr w:type="spellStart"/>
      <w:r>
        <w:rPr>
          <w:rFonts w:ascii="Arial" w:eastAsia="Arial" w:hAnsi="Arial" w:cs="Arial"/>
        </w:rPr>
        <w:t>quilombola</w:t>
      </w:r>
      <w:proofErr w:type="spellEnd"/>
      <w:r>
        <w:rPr>
          <w:rFonts w:ascii="Arial" w:eastAsia="Arial" w:hAnsi="Arial" w:cs="Arial"/>
        </w:rPr>
        <w:t xml:space="preserve"> populations,” an average of 78.30% of individuals were fully vaccinated with CoronaVac—that is, they received both doses. This figure was lower than the average coverage for most adults aged 60 years and older, surpassing only the individual average of those in the 60–64-year age group. Furthermore, disparities in vaccination coverage among the DSEIs (Special Indigenous Health Districts) were identified, according to vaccination data presented in Study No. 5.</w:t>
      </w:r>
    </w:p>
    <w:p w14:paraId="0CA02AEC"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Even though Indigenous peoples were declared part of the priority groups for COVID-19 immunization logistics in Brazil by the competent authorities, according to the guidelines of the National Operational Plan for COVID-19 Vaccination, the vaccination coverage achieved fell short of expectations, which increased deaths associated with COVID-19. In this regard, </w:t>
      </w:r>
      <w:r>
        <w:rPr>
          <w:rFonts w:ascii="Arial" w:eastAsia="Arial" w:hAnsi="Arial" w:cs="Arial"/>
        </w:rPr>
        <w:lastRenderedPageBreak/>
        <w:t>this low overall coverage was reinforced by failures in the continuity of the immunization program when comparing the two doses. As demonstrated by Study No. 6, which covered epidemiological weeks 01/2020–44/2021, there was a considerable reduction in the percentage of Indigenous peoples who received the vaccine in the transition from the first to the second dose.</w:t>
      </w:r>
    </w:p>
    <w:p w14:paraId="779B54DB" w14:textId="77777777" w:rsidR="00BD5D0A" w:rsidRDefault="00BD5D0A">
      <w:pPr>
        <w:pBdr>
          <w:top w:val="nil"/>
          <w:left w:val="nil"/>
          <w:bottom w:val="nil"/>
          <w:right w:val="nil"/>
          <w:between w:val="nil"/>
        </w:pBdr>
        <w:jc w:val="both"/>
        <w:rPr>
          <w:rFonts w:ascii="Arial" w:eastAsia="Arial" w:hAnsi="Arial" w:cs="Arial"/>
        </w:rPr>
      </w:pPr>
    </w:p>
    <w:p w14:paraId="1D134D72"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Despite the formal establishment of Indigenous peoples' inclusion as a priority group, the execution of a specific and well-defined public policy for this population was insufficient. There were shortcomings both in the definition and in the implementation of protocols adapted to Indigenous needs, which hampered the operationalization of a mass vaccination campaign. Most of the studies analyzed (Nos. 1, 4, 5, 7, and 8) identified geographical challenges as the main barrier.</w:t>
      </w:r>
    </w:p>
    <w:p w14:paraId="088ED9DF" w14:textId="77777777" w:rsidR="00BD5D0A" w:rsidRDefault="00BD5D0A">
      <w:pPr>
        <w:pBdr>
          <w:top w:val="nil"/>
          <w:left w:val="nil"/>
          <w:bottom w:val="nil"/>
          <w:right w:val="nil"/>
          <w:between w:val="nil"/>
        </w:pBdr>
        <w:jc w:val="both"/>
        <w:rPr>
          <w:rFonts w:ascii="Arial" w:eastAsia="Arial" w:hAnsi="Arial" w:cs="Arial"/>
        </w:rPr>
      </w:pPr>
    </w:p>
    <w:p w14:paraId="6B48F01D"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A large part of Indigenous communities </w:t>
      </w:r>
      <w:proofErr w:type="gramStart"/>
      <w:r>
        <w:rPr>
          <w:rFonts w:ascii="Arial" w:eastAsia="Arial" w:hAnsi="Arial" w:cs="Arial"/>
        </w:rPr>
        <w:t>live</w:t>
      </w:r>
      <w:proofErr w:type="gramEnd"/>
      <w:r>
        <w:rPr>
          <w:rFonts w:ascii="Arial" w:eastAsia="Arial" w:hAnsi="Arial" w:cs="Arial"/>
        </w:rPr>
        <w:t xml:space="preserve"> in remote areas, often inaccessible by paved roads, with travel frequently carried out via rivers or forest trails, which posed a significant obstacle to vaccine distribution. This partly explains the disparate immunization data among regions. For example, Study No. 3 reported that for full vaccination coverage among Indigenous peoples living in DSEIs—considering two doses of ChAdOx-1, CoronaVac, or BNT162b2, or one dose of Janssen—the highest rate was recorded in the Northeast (66.4%) and the lowest in the North (40.3%) as of March 1, 2022, the latter being an area of difficult access due to physical barriers such as dense forest.</w:t>
      </w:r>
    </w:p>
    <w:p w14:paraId="683079E6" w14:textId="77777777" w:rsidR="00BD5D0A" w:rsidRDefault="00BD5D0A">
      <w:pPr>
        <w:pBdr>
          <w:top w:val="nil"/>
          <w:left w:val="nil"/>
          <w:bottom w:val="nil"/>
          <w:right w:val="nil"/>
          <w:between w:val="nil"/>
        </w:pBdr>
        <w:jc w:val="both"/>
        <w:rPr>
          <w:rFonts w:ascii="Arial" w:eastAsia="Arial" w:hAnsi="Arial" w:cs="Arial"/>
        </w:rPr>
      </w:pPr>
    </w:p>
    <w:p w14:paraId="26C16604"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In Brazil, more than 100 Indigenous groups live in voluntary isolation, reinforcing their physical and sociocultural vulnerability, particularly due to the absence of governmental actions and the presence of religious missionaries (GOMES TPO; DOS SANTOS DEL, 2022). Thus, dialogue between Indigenous and non-Indigenous peoples requires humanized and context-sensitive care tailored to each ethnic group.</w:t>
      </w:r>
    </w:p>
    <w:p w14:paraId="64736BC9" w14:textId="77777777" w:rsidR="00BD5D0A" w:rsidRDefault="00BD5D0A">
      <w:pPr>
        <w:pBdr>
          <w:top w:val="nil"/>
          <w:left w:val="nil"/>
          <w:bottom w:val="nil"/>
          <w:right w:val="nil"/>
          <w:between w:val="nil"/>
        </w:pBdr>
        <w:jc w:val="both"/>
        <w:rPr>
          <w:rFonts w:ascii="Arial" w:eastAsia="Arial" w:hAnsi="Arial" w:cs="Arial"/>
        </w:rPr>
      </w:pPr>
    </w:p>
    <w:p w14:paraId="3AFAF109"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Geographic isolation was compounded by the difficulty of maintaining the necessary conditions for vaccine storage and by limited access to health services. As a result, CoronaVac was widely distributed among Indigenous peoples because it posed fewer challenges for procurement and distribution in Brazilian territory, due to its less stringent logistical requirements compared to other vaccines such as Pfizer, which requires ultra-low temperatures (Study No. 1). CoronaVac could be stored at 2°C to 8°C, facilitating transportation to remote areas. In addition, in some regions, the lack of coordination between the Indigenous Health Care Subsystem (SASI-SUS) and the Special Indigenous Health Districts (DSEIs) undermined the effectiveness of vaccination strategies.</w:t>
      </w:r>
    </w:p>
    <w:p w14:paraId="47FDB924" w14:textId="77777777" w:rsidR="00BD5D0A" w:rsidRDefault="00BD5D0A">
      <w:pPr>
        <w:pBdr>
          <w:top w:val="nil"/>
          <w:left w:val="nil"/>
          <w:bottom w:val="nil"/>
          <w:right w:val="nil"/>
          <w:between w:val="nil"/>
        </w:pBdr>
        <w:jc w:val="both"/>
        <w:rPr>
          <w:rFonts w:ascii="Arial" w:eastAsia="Arial" w:hAnsi="Arial" w:cs="Arial"/>
        </w:rPr>
      </w:pPr>
    </w:p>
    <w:p w14:paraId="6BB46FDE"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Beyond geographic challenges, sociocultural factors played a crucial role in vaccination uptake and disease spread, given the cultural diversity among Indigenous ethnic groups, each with distinct beliefs, values, and social organization. Despite petitions and discussions led by Indigenous organizations, measures adopted during the COVID-19 pandemic largely reproduced Ministry of Health guidelines intended for non-Indigenous populations, without adaptations to Indigenous contexts, thereby exposing the shortcomings of SASI-SUS. This hindered the identification of Indigenous peoples with the program and its effectiveness, directly influencing vaccine acceptance (Study No. 7).</w:t>
      </w:r>
    </w:p>
    <w:p w14:paraId="04349708" w14:textId="77777777" w:rsidR="00BD5D0A" w:rsidRDefault="00BD5D0A">
      <w:pPr>
        <w:pBdr>
          <w:top w:val="nil"/>
          <w:left w:val="nil"/>
          <w:bottom w:val="nil"/>
          <w:right w:val="nil"/>
          <w:between w:val="nil"/>
        </w:pBdr>
        <w:jc w:val="both"/>
        <w:rPr>
          <w:rFonts w:ascii="Arial" w:eastAsia="Arial" w:hAnsi="Arial" w:cs="Arial"/>
        </w:rPr>
      </w:pPr>
    </w:p>
    <w:p w14:paraId="7092B949"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There is also a communication barrier between Indigenous and non-Indigenous populations which, when pronounced, can lead to inadequate care and dissatisfaction on both sides (Teoli et al., 2020). This barrier was also noted in a study conducted with Indigenous populations in the central highlands of Guatemala, which identified a lack of health and vaccination information in Indigenous languages—highlighting the ongoing scarcity of health materials tailored to these groups (Peters et al., 2020).</w:t>
      </w:r>
    </w:p>
    <w:p w14:paraId="47DB2C3E" w14:textId="77777777" w:rsidR="00BD5D0A" w:rsidRDefault="00BD5D0A">
      <w:pPr>
        <w:pBdr>
          <w:top w:val="nil"/>
          <w:left w:val="nil"/>
          <w:bottom w:val="nil"/>
          <w:right w:val="nil"/>
          <w:between w:val="nil"/>
        </w:pBdr>
        <w:jc w:val="both"/>
        <w:rPr>
          <w:rFonts w:ascii="Arial" w:eastAsia="Arial" w:hAnsi="Arial" w:cs="Arial"/>
        </w:rPr>
      </w:pPr>
    </w:p>
    <w:p w14:paraId="3E3D10C7"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Culturally, Indigenous elders—who were the most affected by the pandemic—are responsible for preserving the knowledge and culture of their ethnic groups, and thus their deaths represent great losses (Study No. 1). A study analyzing Facebook posts in Indigenous communities in Canada showed that pro-vaccination arguments frequently emphasized the protection of elders, aligning with the cultural values of these groups (Benites et al., 2021). Furthermore, the collective housing arrangements in many communities, such as malocas, facilitated viral spread, while distrust of Western medicine and the influence of local leaders opposing vaccination reinforced vaccine hesitancy (Study No. 1).</w:t>
      </w:r>
    </w:p>
    <w:p w14:paraId="47B97C5B" w14:textId="77777777" w:rsidR="00BD5D0A" w:rsidRDefault="00BD5D0A">
      <w:pPr>
        <w:pBdr>
          <w:top w:val="nil"/>
          <w:left w:val="nil"/>
          <w:bottom w:val="nil"/>
          <w:right w:val="nil"/>
          <w:between w:val="nil"/>
        </w:pBdr>
        <w:jc w:val="both"/>
        <w:rPr>
          <w:rFonts w:ascii="Arial" w:eastAsia="Arial" w:hAnsi="Arial" w:cs="Arial"/>
        </w:rPr>
      </w:pPr>
    </w:p>
    <w:p w14:paraId="31E495A3"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Conflicting information disseminated through social media and other communication platforms also fueled misinformation, which proved particularly harmful in Indigenous contexts. Fake news widely spread during the pandemic associated vaccines with nonexistent risks, undermining trust in immunization campaigns (Study No. 1). For instance, it was reported that 70% of Indigenous residents in the Rio </w:t>
      </w:r>
      <w:proofErr w:type="spellStart"/>
      <w:r>
        <w:rPr>
          <w:rFonts w:ascii="Arial" w:eastAsia="Arial" w:hAnsi="Arial" w:cs="Arial"/>
        </w:rPr>
        <w:t>Tapajós</w:t>
      </w:r>
      <w:proofErr w:type="spellEnd"/>
      <w:r>
        <w:rPr>
          <w:rFonts w:ascii="Arial" w:eastAsia="Arial" w:hAnsi="Arial" w:cs="Arial"/>
        </w:rPr>
        <w:t xml:space="preserve"> DSEI questioned the validity and safety of COVID-19 vaccines, such that, of the 6,420 doses available in March 2021, only 30.3% were administered, while 35.2% of individuals resisted or refused immunization (Study No. 4).</w:t>
      </w:r>
    </w:p>
    <w:p w14:paraId="294D5B3E" w14:textId="77777777" w:rsidR="00BD5D0A" w:rsidRDefault="00BD5D0A">
      <w:pPr>
        <w:pBdr>
          <w:top w:val="nil"/>
          <w:left w:val="nil"/>
          <w:bottom w:val="nil"/>
          <w:right w:val="nil"/>
          <w:between w:val="nil"/>
        </w:pBdr>
        <w:jc w:val="both"/>
        <w:rPr>
          <w:rFonts w:ascii="Arial" w:eastAsia="Arial" w:hAnsi="Arial" w:cs="Arial"/>
        </w:rPr>
      </w:pPr>
    </w:p>
    <w:p w14:paraId="17B228E0"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Misinformation was exacerbated by the absence of a coordinated communication strategy from health authorities, leaving Indigenous populations vulnerable to contradictory and often incorrect information. In comparison, the </w:t>
      </w:r>
      <w:proofErr w:type="spellStart"/>
      <w:r>
        <w:rPr>
          <w:rFonts w:ascii="Arial" w:eastAsia="Arial" w:hAnsi="Arial" w:cs="Arial"/>
        </w:rPr>
        <w:t>Nimiipuu</w:t>
      </w:r>
      <w:proofErr w:type="spellEnd"/>
      <w:r>
        <w:rPr>
          <w:rFonts w:ascii="Arial" w:eastAsia="Arial" w:hAnsi="Arial" w:cs="Arial"/>
        </w:rPr>
        <w:t xml:space="preserve"> people in the United States initially resisted vaccination due to skepticism about its effectiveness, reflecting broader sociopolitical dynamics. However, official communication channels, such as those from the Centers for Disease Control and Prevention (CDC), were essential for building trust in vaccination (</w:t>
      </w:r>
      <w:proofErr w:type="spellStart"/>
      <w:r>
        <w:rPr>
          <w:rFonts w:ascii="Arial" w:eastAsia="Arial" w:hAnsi="Arial" w:cs="Arial"/>
        </w:rPr>
        <w:t>Pescarini</w:t>
      </w:r>
      <w:proofErr w:type="spellEnd"/>
      <w:r>
        <w:rPr>
          <w:rFonts w:ascii="Arial" w:eastAsia="Arial" w:hAnsi="Arial" w:cs="Arial"/>
        </w:rPr>
        <w:t xml:space="preserve"> et al., 2023). In Brazil, although vaccination was eventually widely publicized among Indigenous peoples and acceptance rates reached about 85% after the pandemic’s peak, the initial phase of the campaign was marked by significant vaccine hesitancy, which delayed immunization and prolonged exposure to the virus (Study No. 2).</w:t>
      </w:r>
    </w:p>
    <w:p w14:paraId="28D6DA90" w14:textId="77777777" w:rsidR="00BD5D0A" w:rsidRDefault="00BD5D0A">
      <w:pPr>
        <w:pBdr>
          <w:top w:val="nil"/>
          <w:left w:val="nil"/>
          <w:bottom w:val="nil"/>
          <w:right w:val="nil"/>
          <w:between w:val="nil"/>
        </w:pBdr>
        <w:jc w:val="both"/>
        <w:rPr>
          <w:rFonts w:ascii="Arial" w:eastAsia="Arial" w:hAnsi="Arial" w:cs="Arial"/>
        </w:rPr>
      </w:pPr>
    </w:p>
    <w:p w14:paraId="558BA133"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Structural shortcomings in public policies for Indigenous health also contributed to increased mortality. The lack of effective coordination between DSEIs and other management spheres of the Unified Health System (SUS) led to a fragmented and insufficient pandemic response (Study No. 5). Many DSEIs failed to reach even 60% vaccination coverage by the end of 2021, falling short of immunization targets. In some regions, such as the Amazon, vaccine hesitancy was exacerbated by logistical difficulties, fragmented health services, and a lack of culturally appropriate awareness campaigns. Moreover, the distribution of primary health units across DSEIs was not proportional to the populations served. For example, the Xavante district, which has the largest Indigenous population in Mato Grosso, did not have the highest number of health units, evidencing the mismatch between SUS actions and the population’s needs (Moreira et al., 2022).</w:t>
      </w:r>
    </w:p>
    <w:p w14:paraId="68B40807" w14:textId="77777777" w:rsidR="00BD5D0A" w:rsidRDefault="00BD5D0A">
      <w:pPr>
        <w:pBdr>
          <w:top w:val="nil"/>
          <w:left w:val="nil"/>
          <w:bottom w:val="nil"/>
          <w:right w:val="nil"/>
          <w:between w:val="nil"/>
        </w:pBdr>
        <w:jc w:val="both"/>
        <w:rPr>
          <w:rFonts w:ascii="Arial" w:eastAsia="Arial" w:hAnsi="Arial" w:cs="Arial"/>
        </w:rPr>
      </w:pPr>
    </w:p>
    <w:p w14:paraId="5DA4E0F6"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Among the policies developed during this period, Law Project No. 1.142/2020 recognized Indigenous peoples and other traditional groups as vulnerable populations, prioritizing them in emergency actions during epidemics and pandemics. However, Veto 27/2020, imposed by the government at the time, limited its full implementation by excluding essential measures such as the provision of hygiene and disinfection materials, access to ICU beds, informational materials in native languages, and mechanisms facilitating access to emergency aid and welfare benefits. It also excluded the registration of race and ethnicity data in the SUS, which contributed to the invisibility of Indigenous COVID-19 cases and deaths, compromising vaccination planning and other health actions (Study No. 8).</w:t>
      </w:r>
    </w:p>
    <w:p w14:paraId="19573734" w14:textId="77777777" w:rsidR="00BD5D0A" w:rsidRDefault="00BD5D0A">
      <w:pPr>
        <w:pBdr>
          <w:top w:val="nil"/>
          <w:left w:val="nil"/>
          <w:bottom w:val="nil"/>
          <w:right w:val="nil"/>
          <w:between w:val="nil"/>
        </w:pBdr>
        <w:jc w:val="both"/>
        <w:rPr>
          <w:rFonts w:ascii="Arial" w:eastAsia="Arial" w:hAnsi="Arial" w:cs="Arial"/>
        </w:rPr>
      </w:pPr>
    </w:p>
    <w:p w14:paraId="41ED86B4"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 xml:space="preserve">Regarding response strategies, the National Contingency Plan for Human Infection by the Novel Coronavirus COVID-19, developed by the COVID-19 Emergency Operations Center </w:t>
      </w:r>
      <w:r>
        <w:rPr>
          <w:rFonts w:ascii="Arial" w:eastAsia="Arial" w:hAnsi="Arial" w:cs="Arial"/>
        </w:rPr>
        <w:lastRenderedPageBreak/>
        <w:t>(COE COVID-19) and made available by SESAI to the DSEIs, was intended to guide the pandemic response in Indigenous territories. However, Study No. 5 reported that DSEIs in Pará merely reproduced SESAI’s text without adapting it to local realities, limiting its implementation. This revealed evident weaknesses in contingency planning: Indigenous resistance to vaccination driven by misinformation and cultural issues, difficulties in transporting Indigenous people outside villages, resistance to the presence of non-Indigenous health professionals, and the exclusion of non-village Indigenous populations. These findings underscore the need for adaptation and coordination of plans to meet the specificities of each district.</w:t>
      </w:r>
    </w:p>
    <w:p w14:paraId="505585CD" w14:textId="77777777" w:rsidR="00BD5D0A" w:rsidRDefault="00BD5D0A">
      <w:pPr>
        <w:pBdr>
          <w:top w:val="nil"/>
          <w:left w:val="nil"/>
          <w:bottom w:val="nil"/>
          <w:right w:val="nil"/>
          <w:between w:val="nil"/>
        </w:pBdr>
        <w:jc w:val="both"/>
        <w:rPr>
          <w:rFonts w:ascii="Arial" w:eastAsia="Arial" w:hAnsi="Arial" w:cs="Arial"/>
        </w:rPr>
      </w:pPr>
    </w:p>
    <w:p w14:paraId="7BFADE37"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Beyond logistical inefficiencies in vaccination coverage for Indigenous groups formally recognized within DSEIs, gaps remained regarding the immunization needs of Indigenous communities not linked to any of the 34 districts and those residing in urban areas, who move constantly between cities and villages. Bureaucratic exclusion of these groups from the prioritized immunization plan hindered their access to vaccines, restricted their constitutional rights, and made them potential vectors of COVID-19 transmission (Rodrigues, 2024). This exclusion was exemplified by reports from the Indigenous movement in Rio Grande do Norte, which denounced that doses of vaccines were returned by the municipality of Natal in the early months of vaccination, as the presence of Indigenous populations in the territory was not officially recognized, thereby undermining continuity of the COVID-19 response program in the state (Rodrigues, 2024).</w:t>
      </w:r>
    </w:p>
    <w:p w14:paraId="622BCE87" w14:textId="77777777" w:rsidR="00BD5D0A" w:rsidRDefault="00BD5D0A">
      <w:pPr>
        <w:pBdr>
          <w:top w:val="nil"/>
          <w:left w:val="nil"/>
          <w:bottom w:val="nil"/>
          <w:right w:val="nil"/>
          <w:between w:val="nil"/>
        </w:pBdr>
        <w:jc w:val="both"/>
        <w:rPr>
          <w:rFonts w:ascii="Arial" w:eastAsia="Arial" w:hAnsi="Arial" w:cs="Arial"/>
        </w:rPr>
      </w:pPr>
    </w:p>
    <w:p w14:paraId="459EF645"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Confirming health inequities, an epidemiological study conducted in Mato Grosso do Sul—home to Brazil’s second largest Indigenous population—showed lower rates of COVID-19 diagnosis by RT-PCR and higher extra-hospital mortality among Indigenous peoples (11% versus 2.9% among non-Indigenous) (Almeida et al., 2020). Furthermore, infection patterns differed: cases among Indigenous peoples increased between July and September 2020, with no subsequent peaks, while the general population experienced another rise between late 2020 and March 2021, possibly mitigated among Indigenous peoples by the vaccination campaign initiated in January 2021 (Almeida et al., 2020).</w:t>
      </w:r>
    </w:p>
    <w:p w14:paraId="7E5A9E1D" w14:textId="77777777" w:rsidR="00BD5D0A" w:rsidRDefault="00BD5D0A">
      <w:pPr>
        <w:pBdr>
          <w:top w:val="nil"/>
          <w:left w:val="nil"/>
          <w:bottom w:val="nil"/>
          <w:right w:val="nil"/>
          <w:between w:val="nil"/>
        </w:pBdr>
        <w:jc w:val="both"/>
        <w:rPr>
          <w:rFonts w:ascii="Arial" w:eastAsia="Arial" w:hAnsi="Arial" w:cs="Arial"/>
        </w:rPr>
      </w:pPr>
    </w:p>
    <w:p w14:paraId="7570B1B2"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Currently, efforts are underway by responsible agencies to ensure vaccination in border regions, including for foreign populations, particularly those living along the limits of the Brazilian Amazon, reaffirming the essential need to expand overall vaccination coverage in Brazil (Gomes &amp; dos Santos, 2022).</w:t>
      </w:r>
    </w:p>
    <w:p w14:paraId="7F5E00E8" w14:textId="77777777" w:rsidR="00BD5D0A" w:rsidRDefault="00BD5D0A">
      <w:pPr>
        <w:pBdr>
          <w:top w:val="nil"/>
          <w:left w:val="nil"/>
          <w:bottom w:val="nil"/>
          <w:right w:val="nil"/>
          <w:between w:val="nil"/>
        </w:pBdr>
        <w:jc w:val="both"/>
        <w:rPr>
          <w:rFonts w:ascii="Arial" w:eastAsia="Arial" w:hAnsi="Arial" w:cs="Arial"/>
        </w:rPr>
      </w:pPr>
    </w:p>
    <w:p w14:paraId="5455BF3D" w14:textId="77777777" w:rsidR="00BD5D0A" w:rsidRDefault="00595E0A">
      <w:pPr>
        <w:pBdr>
          <w:top w:val="nil"/>
          <w:left w:val="nil"/>
          <w:bottom w:val="nil"/>
          <w:right w:val="nil"/>
          <w:between w:val="nil"/>
        </w:pBdr>
        <w:jc w:val="both"/>
        <w:rPr>
          <w:rFonts w:ascii="Arial" w:eastAsia="Arial" w:hAnsi="Arial" w:cs="Arial"/>
        </w:rPr>
      </w:pPr>
      <w:r>
        <w:rPr>
          <w:rFonts w:ascii="Arial" w:eastAsia="Arial" w:hAnsi="Arial" w:cs="Arial"/>
        </w:rPr>
        <w:t>As for the limitations of the present study, obstacles were faced regarding data availability, due to the scarcity of research on the topic in databases and grey literature, which hindered a comprehensive analysis. Therefore, new studies with more extensive data and ongoing analyses are needed to support the development of public policies directed at Indigenous populations.</w:t>
      </w:r>
    </w:p>
    <w:p w14:paraId="789663D8" w14:textId="77777777" w:rsidR="00BD5D0A" w:rsidRDefault="00BD5D0A">
      <w:pPr>
        <w:pBdr>
          <w:top w:val="nil"/>
          <w:left w:val="nil"/>
          <w:bottom w:val="nil"/>
          <w:right w:val="nil"/>
          <w:between w:val="nil"/>
        </w:pBdr>
        <w:jc w:val="both"/>
        <w:rPr>
          <w:rFonts w:ascii="Arial" w:eastAsia="Arial" w:hAnsi="Arial" w:cs="Arial"/>
          <w:color w:val="000000"/>
        </w:rPr>
      </w:pPr>
    </w:p>
    <w:p w14:paraId="3C8149C2" w14:textId="77777777"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46F76DB8" w14:textId="77777777" w:rsidR="00BD5D0A" w:rsidRDefault="00BD5D0A">
      <w:pPr>
        <w:keepNext/>
        <w:pBdr>
          <w:top w:val="nil"/>
          <w:left w:val="nil"/>
          <w:bottom w:val="nil"/>
          <w:right w:val="nil"/>
          <w:between w:val="nil"/>
        </w:pBdr>
        <w:jc w:val="both"/>
        <w:rPr>
          <w:rFonts w:ascii="Arial" w:eastAsia="Arial" w:hAnsi="Arial" w:cs="Arial"/>
          <w:b/>
          <w:bCs/>
          <w:smallCaps/>
          <w:color w:val="000000"/>
          <w:sz w:val="22"/>
          <w:szCs w:val="22"/>
        </w:rPr>
      </w:pPr>
    </w:p>
    <w:p w14:paraId="1D39084F" w14:textId="77777777" w:rsidR="00BD5D0A" w:rsidRDefault="00595E0A">
      <w:pPr>
        <w:pBdr>
          <w:top w:val="nil"/>
          <w:left w:val="nil"/>
          <w:bottom w:val="nil"/>
          <w:right w:val="nil"/>
          <w:between w:val="nil"/>
        </w:pBdr>
        <w:jc w:val="both"/>
      </w:pPr>
      <w:r>
        <w:rPr>
          <w:rFonts w:ascii="Arial" w:eastAsia="Arial" w:hAnsi="Arial" w:cs="Arial"/>
        </w:rPr>
        <w:t>The COVID-19 pandemic highlighted the deep structural inequalities affecting the Indigenous population in Brazil. Although vaccination played a crucial role in reducing infection and mortality rates, low vaccination coverage prevented immunization from reaching its full potential in terms of collective protection, compounded by misinformation as well as geographical and cultural challenges. Therefore, the absence of a well-coordinated public policy for Indigenous peoples, both in logistical and communication terms, resulted in a fragmented and insufficient vaccination response, increasing the vulnerability of this population.</w:t>
      </w:r>
    </w:p>
    <w:p w14:paraId="300077B9" w14:textId="77777777" w:rsidR="00BD5D0A" w:rsidRDefault="00BD5D0A"/>
    <w:p w14:paraId="4E5EA7A5" w14:textId="7B07D61A"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Consent </w:t>
      </w:r>
    </w:p>
    <w:p w14:paraId="20524467" w14:textId="77777777" w:rsidR="00BD5D0A" w:rsidRDefault="00BD5D0A">
      <w:pPr>
        <w:keepNext/>
        <w:pBdr>
          <w:top w:val="nil"/>
          <w:left w:val="nil"/>
          <w:bottom w:val="nil"/>
          <w:right w:val="nil"/>
          <w:between w:val="nil"/>
        </w:pBdr>
        <w:jc w:val="both"/>
        <w:rPr>
          <w:rFonts w:ascii="Arial" w:eastAsia="Arial" w:hAnsi="Arial" w:cs="Arial"/>
          <w:b/>
          <w:bCs/>
          <w:smallCaps/>
          <w:color w:val="000000"/>
          <w:sz w:val="22"/>
          <w:szCs w:val="22"/>
        </w:rPr>
      </w:pPr>
    </w:p>
    <w:p w14:paraId="0F16E6A2" w14:textId="77777777" w:rsidR="00BD5D0A" w:rsidRDefault="00595E0A">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rPr>
        <w:t>It is not applicable.</w:t>
      </w:r>
    </w:p>
    <w:p w14:paraId="7C9A85B4" w14:textId="77777777" w:rsidR="00BD5D0A" w:rsidRDefault="00BD5D0A">
      <w:pPr>
        <w:keepNext/>
        <w:pBdr>
          <w:top w:val="nil"/>
          <w:left w:val="nil"/>
          <w:bottom w:val="nil"/>
          <w:right w:val="nil"/>
          <w:between w:val="nil"/>
        </w:pBdr>
        <w:jc w:val="both"/>
        <w:rPr>
          <w:rFonts w:ascii="Arial" w:eastAsia="Arial" w:hAnsi="Arial" w:cs="Arial"/>
          <w:color w:val="000000"/>
        </w:rPr>
      </w:pPr>
    </w:p>
    <w:p w14:paraId="4F0834B7" w14:textId="77777777" w:rsidR="00BD5D0A" w:rsidRDefault="00BD5D0A">
      <w:pPr>
        <w:keepNext/>
        <w:pBdr>
          <w:top w:val="nil"/>
          <w:left w:val="nil"/>
          <w:bottom w:val="nil"/>
          <w:right w:val="nil"/>
          <w:between w:val="nil"/>
        </w:pBdr>
        <w:jc w:val="both"/>
        <w:rPr>
          <w:rFonts w:ascii="Arial" w:eastAsia="Arial" w:hAnsi="Arial" w:cs="Arial"/>
          <w:color w:val="000000"/>
        </w:rPr>
      </w:pPr>
    </w:p>
    <w:p w14:paraId="08DB20BB" w14:textId="2A128506" w:rsidR="00BD5D0A" w:rsidRDefault="00595E0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14:paraId="59836E03" w14:textId="77777777" w:rsidR="00BD5D0A" w:rsidRDefault="00BD5D0A">
      <w:pPr>
        <w:keepNext/>
        <w:pBdr>
          <w:top w:val="nil"/>
          <w:left w:val="nil"/>
          <w:bottom w:val="nil"/>
          <w:right w:val="nil"/>
          <w:between w:val="nil"/>
        </w:pBdr>
        <w:jc w:val="both"/>
        <w:rPr>
          <w:rFonts w:ascii="Arial" w:eastAsia="Arial" w:hAnsi="Arial" w:cs="Arial"/>
          <w:b/>
          <w:bCs/>
          <w:smallCaps/>
          <w:color w:val="000000"/>
          <w:sz w:val="22"/>
          <w:szCs w:val="22"/>
        </w:rPr>
      </w:pPr>
    </w:p>
    <w:p w14:paraId="22205F41" w14:textId="77777777" w:rsidR="00BD5D0A" w:rsidRDefault="00595E0A">
      <w:pPr>
        <w:keepNext/>
        <w:pBdr>
          <w:top w:val="nil"/>
          <w:left w:val="nil"/>
          <w:bottom w:val="nil"/>
          <w:right w:val="nil"/>
          <w:between w:val="nil"/>
        </w:pBdr>
        <w:jc w:val="both"/>
        <w:rPr>
          <w:rFonts w:ascii="Arial" w:eastAsia="Arial" w:hAnsi="Arial" w:cs="Arial"/>
          <w:color w:val="000000"/>
        </w:rPr>
      </w:pPr>
      <w:r>
        <w:rPr>
          <w:rFonts w:ascii="Arial" w:eastAsia="Arial" w:hAnsi="Arial" w:cs="Arial"/>
          <w:highlight w:val="white"/>
        </w:rPr>
        <w:t>It is not applicable.</w:t>
      </w:r>
    </w:p>
    <w:p w14:paraId="4EF3053F" w14:textId="77777777" w:rsidR="00BD5D0A" w:rsidRDefault="00BD5D0A">
      <w:pPr>
        <w:keepNext/>
        <w:pBdr>
          <w:top w:val="nil"/>
          <w:left w:val="nil"/>
          <w:bottom w:val="nil"/>
          <w:right w:val="nil"/>
          <w:between w:val="nil"/>
        </w:pBdr>
        <w:jc w:val="both"/>
        <w:rPr>
          <w:rFonts w:ascii="Arial" w:eastAsia="Arial" w:hAnsi="Arial" w:cs="Arial"/>
          <w:b/>
          <w:bCs/>
          <w:smallCaps/>
          <w:color w:val="000000"/>
          <w:sz w:val="22"/>
          <w:szCs w:val="22"/>
        </w:rPr>
      </w:pPr>
    </w:p>
    <w:p w14:paraId="5C1D2A69" w14:textId="77777777" w:rsidR="00BD5D0A" w:rsidRDefault="00595E0A">
      <w:pPr>
        <w:keepNext/>
        <w:pBdr>
          <w:top w:val="nil"/>
          <w:left w:val="nil"/>
          <w:bottom w:val="nil"/>
          <w:right w:val="nil"/>
          <w:between w:val="nil"/>
        </w:pBdr>
        <w:jc w:val="both"/>
      </w:pPr>
      <w:r>
        <w:rPr>
          <w:rFonts w:ascii="Arial" w:eastAsia="Arial" w:hAnsi="Arial" w:cs="Arial"/>
          <w:b/>
          <w:bCs/>
          <w:smallCaps/>
          <w:color w:val="000000"/>
          <w:sz w:val="22"/>
          <w:szCs w:val="22"/>
        </w:rPr>
        <w:t>References</w:t>
      </w:r>
    </w:p>
    <w:p w14:paraId="65F0E6E4" w14:textId="5BBF7EE9" w:rsidR="00BD5D0A" w:rsidRPr="0061499D" w:rsidRDefault="00595E0A">
      <w:pPr>
        <w:keepNext/>
        <w:jc w:val="both"/>
        <w:rPr>
          <w:sz w:val="14"/>
          <w:szCs w:val="14"/>
          <w:highlight w:val="yellow"/>
        </w:rPr>
      </w:pPr>
      <w:r w:rsidRPr="0061499D">
        <w:rPr>
          <w:highlight w:val="yellow"/>
        </w:rPr>
        <w:t>[1] Brazilian Institute of Geography and Statistics (IBGE). (2024). Brazilian Census 2022: Overview of Indicators.</w:t>
      </w:r>
      <w:hyperlink r:id="rId15">
        <w:r w:rsidR="00BD5D0A" w:rsidRPr="0061499D">
          <w:rPr>
            <w:highlight w:val="yellow"/>
          </w:rPr>
          <w:t xml:space="preserve"> </w:t>
        </w:r>
      </w:hyperlink>
      <w:r w:rsidR="00EA34EA" w:rsidRPr="00EA34EA">
        <w:t xml:space="preserve"> </w:t>
      </w:r>
      <w:hyperlink r:id="rId16" w:history="1">
        <w:r w:rsidR="00EA34EA" w:rsidRPr="0024667F">
          <w:rPr>
            <w:rStyle w:val="Hyperlink"/>
          </w:rPr>
          <w:t>https://censo2022.ibge.gov.br/panorama/indicadores.html?localidade=BR</w:t>
        </w:r>
      </w:hyperlink>
      <w:r w:rsidR="00EA34EA">
        <w:t xml:space="preserve"> </w:t>
      </w:r>
    </w:p>
    <w:p w14:paraId="65D6B67B" w14:textId="6CA6123A" w:rsidR="00BD5D0A" w:rsidRPr="0061499D" w:rsidRDefault="00595E0A">
      <w:pPr>
        <w:keepNext/>
        <w:jc w:val="both"/>
        <w:rPr>
          <w:highlight w:val="yellow"/>
        </w:rPr>
      </w:pPr>
      <w:r w:rsidRPr="0061499D">
        <w:rPr>
          <w:highlight w:val="yellow"/>
        </w:rPr>
        <w:t>[2] Brazilian Institute of Geography and Statistics (IBGE). (2012). Brazilian Census 2010.</w:t>
      </w:r>
      <w:hyperlink r:id="rId17">
        <w:r w:rsidR="00BD5D0A" w:rsidRPr="0061499D">
          <w:rPr>
            <w:highlight w:val="yellow"/>
          </w:rPr>
          <w:t xml:space="preserve"> </w:t>
        </w:r>
      </w:hyperlink>
      <w:r w:rsidR="002E5412" w:rsidRPr="002E5412">
        <w:t xml:space="preserve"> </w:t>
      </w:r>
      <w:hyperlink r:id="rId18" w:history="1">
        <w:r w:rsidR="002E5412" w:rsidRPr="0024667F">
          <w:rPr>
            <w:rStyle w:val="Hyperlink"/>
          </w:rPr>
          <w:t>https://censo2010.ibge.gov.br/</w:t>
        </w:r>
      </w:hyperlink>
      <w:r w:rsidR="002E5412">
        <w:t xml:space="preserve"> </w:t>
      </w:r>
    </w:p>
    <w:p w14:paraId="79237DF9" w14:textId="1E1EAFE3" w:rsidR="00BD5D0A" w:rsidRPr="0061499D" w:rsidRDefault="00595E0A">
      <w:pPr>
        <w:keepNext/>
        <w:jc w:val="both"/>
        <w:rPr>
          <w:highlight w:val="yellow"/>
        </w:rPr>
      </w:pPr>
      <w:r w:rsidRPr="0061499D">
        <w:rPr>
          <w:highlight w:val="yellow"/>
        </w:rPr>
        <w:t>[3] Socio-Environmental Institute (ISA). (2024). Indigenous Lands of Brazil.</w:t>
      </w:r>
      <w:hyperlink r:id="rId19">
        <w:r w:rsidR="00BD5D0A" w:rsidRPr="0061499D">
          <w:rPr>
            <w:highlight w:val="yellow"/>
          </w:rPr>
          <w:t xml:space="preserve"> </w:t>
        </w:r>
      </w:hyperlink>
      <w:r w:rsidR="002E5412" w:rsidRPr="002E5412">
        <w:t xml:space="preserve"> </w:t>
      </w:r>
      <w:hyperlink r:id="rId20" w:history="1">
        <w:r w:rsidR="002E5412" w:rsidRPr="0024667F">
          <w:rPr>
            <w:rStyle w:val="Hyperlink"/>
          </w:rPr>
          <w:t>https://terrasindigenas.org.br/</w:t>
        </w:r>
      </w:hyperlink>
      <w:r w:rsidR="002E5412">
        <w:t xml:space="preserve"> </w:t>
      </w:r>
    </w:p>
    <w:p w14:paraId="61A4ABDF" w14:textId="10D8F7CE" w:rsidR="00BD5D0A" w:rsidRPr="0061499D" w:rsidRDefault="00595E0A">
      <w:pPr>
        <w:keepNext/>
        <w:jc w:val="both"/>
        <w:rPr>
          <w:highlight w:val="yellow"/>
        </w:rPr>
      </w:pPr>
      <w:r w:rsidRPr="0061499D">
        <w:rPr>
          <w:highlight w:val="yellow"/>
        </w:rPr>
        <w:t>[4] Coimbra, C. E. A., Jr., Santos, R. V., &amp; Escobar, A. L. (Eds.). (2005). Epidemiology and health of Indigenous peoples in Brazil.</w:t>
      </w:r>
      <w:r w:rsidR="002E5412" w:rsidRPr="002E5412">
        <w:t xml:space="preserve"> </w:t>
      </w:r>
      <w:hyperlink r:id="rId21" w:history="1">
        <w:r w:rsidR="002E5412" w:rsidRPr="0024667F">
          <w:rPr>
            <w:rStyle w:val="Hyperlink"/>
          </w:rPr>
          <w:t>https://www.scielo.br/j/csp/a/XyY7zW8xY9zXwY7zXwY7zXw/</w:t>
        </w:r>
      </w:hyperlink>
      <w:r w:rsidR="002E5412">
        <w:t xml:space="preserve"> </w:t>
      </w:r>
    </w:p>
    <w:p w14:paraId="056271F1" w14:textId="18681C1F" w:rsidR="00BD5D0A" w:rsidRPr="0061499D" w:rsidRDefault="00595E0A">
      <w:pPr>
        <w:keepNext/>
        <w:jc w:val="both"/>
        <w:rPr>
          <w:highlight w:val="yellow"/>
        </w:rPr>
      </w:pPr>
      <w:r w:rsidRPr="0061499D">
        <w:rPr>
          <w:highlight w:val="yellow"/>
        </w:rPr>
        <w:t>[5] Campos, M. B., Borges, G. M., Queiroz, B. L., &amp; Santos, R. V. (2017). Mortality differentials between Indigenous and non-Indigenous populations in Brazil based on the 2010 Demographic Census. Cad Saude Publica, 33(5).</w:t>
      </w:r>
      <w:hyperlink r:id="rId22">
        <w:r w:rsidR="00BD5D0A" w:rsidRPr="0061499D">
          <w:rPr>
            <w:highlight w:val="yellow"/>
          </w:rPr>
          <w:t xml:space="preserve"> </w:t>
        </w:r>
      </w:hyperlink>
      <w:r w:rsidR="002E5412" w:rsidRPr="002E5412">
        <w:t xml:space="preserve"> </w:t>
      </w:r>
      <w:hyperlink r:id="rId23" w:history="1">
        <w:r w:rsidR="002E5412" w:rsidRPr="0024667F">
          <w:rPr>
            <w:rStyle w:val="Hyperlink"/>
          </w:rPr>
          <w:t>https://doi.org/10.1590/10.1590/0102-311X00015017</w:t>
        </w:r>
      </w:hyperlink>
      <w:r w:rsidR="002E5412">
        <w:t xml:space="preserve"> </w:t>
      </w:r>
    </w:p>
    <w:p w14:paraId="2CB9DB8E" w14:textId="5DE5160D" w:rsidR="00BD5D0A" w:rsidRPr="0061499D" w:rsidRDefault="00595E0A">
      <w:pPr>
        <w:keepNext/>
        <w:jc w:val="both"/>
        <w:rPr>
          <w:highlight w:val="yellow"/>
        </w:rPr>
      </w:pPr>
      <w:r w:rsidRPr="0061499D">
        <w:rPr>
          <w:highlight w:val="yellow"/>
        </w:rPr>
        <w:t>[6] Lima, C. N. C., Abreu, I. N., Rodrigues, E. P. S., Freitas, V. O., Botelho, B. J. S., Souza, S. L., et al. (2022). Anti-SARS-CoV-2 antibodies among indigenous populations of the Brazilian Amazon: a cross-sectional study. BMJ Open, 12, e054271.</w:t>
      </w:r>
      <w:r w:rsidR="002E5412" w:rsidRPr="002E5412">
        <w:t xml:space="preserve"> </w:t>
      </w:r>
      <w:hyperlink r:id="rId24" w:history="1">
        <w:r w:rsidR="002E5412" w:rsidRPr="0024667F">
          <w:rPr>
            <w:rStyle w:val="Hyperlink"/>
          </w:rPr>
          <w:t>https://doi.org/10.1136/bmjopen-2021-054271</w:t>
        </w:r>
      </w:hyperlink>
      <w:r w:rsidR="002E5412">
        <w:t xml:space="preserve"> </w:t>
      </w:r>
    </w:p>
    <w:p w14:paraId="7128A87B" w14:textId="1EA88B2F" w:rsidR="00BD5D0A" w:rsidRPr="0061499D" w:rsidRDefault="00595E0A">
      <w:pPr>
        <w:keepNext/>
        <w:jc w:val="both"/>
        <w:rPr>
          <w:highlight w:val="yellow"/>
        </w:rPr>
      </w:pPr>
      <w:r w:rsidRPr="0061499D">
        <w:rPr>
          <w:highlight w:val="yellow"/>
        </w:rPr>
        <w:t>[7] World Health Organization (WHO). (2022). Epidemiology of COVID-19 among Indigenous people living in the Amazon region of Brazil.</w:t>
      </w:r>
      <w:hyperlink r:id="rId25">
        <w:r w:rsidR="00BD5D0A" w:rsidRPr="0061499D">
          <w:rPr>
            <w:highlight w:val="yellow"/>
          </w:rPr>
          <w:t xml:space="preserve"> </w:t>
        </w:r>
      </w:hyperlink>
      <w:r w:rsidR="002E5412" w:rsidRPr="002E5412">
        <w:t xml:space="preserve"> </w:t>
      </w:r>
      <w:hyperlink r:id="rId26" w:history="1">
        <w:r w:rsidR="002E5412" w:rsidRPr="0024667F">
          <w:rPr>
            <w:rStyle w:val="Hyperlink"/>
          </w:rPr>
          <w:t>https://iris.who.int/handle/10665/352898</w:t>
        </w:r>
      </w:hyperlink>
      <w:r w:rsidR="002E5412">
        <w:t xml:space="preserve"> </w:t>
      </w:r>
    </w:p>
    <w:p w14:paraId="3FD464FA" w14:textId="15B6F07E" w:rsidR="00BD5D0A" w:rsidRPr="0061499D" w:rsidRDefault="00595E0A">
      <w:pPr>
        <w:keepNext/>
        <w:jc w:val="both"/>
        <w:rPr>
          <w:highlight w:val="yellow"/>
        </w:rPr>
      </w:pPr>
      <w:r w:rsidRPr="0061499D">
        <w:rPr>
          <w:highlight w:val="yellow"/>
        </w:rPr>
        <w:t xml:space="preserve">[8] Mendes, A. M., Leite, M. S., Langdon, E. J., &amp; </w:t>
      </w:r>
      <w:proofErr w:type="spellStart"/>
      <w:r w:rsidRPr="0061499D">
        <w:rPr>
          <w:highlight w:val="yellow"/>
        </w:rPr>
        <w:t>Grisotti</w:t>
      </w:r>
      <w:proofErr w:type="spellEnd"/>
      <w:r w:rsidRPr="0061499D">
        <w:rPr>
          <w:highlight w:val="yellow"/>
        </w:rPr>
        <w:t>, M. (2018). The challenge of primary care in Indigenous health in Brazil. Rev Panam Salud Publica, 48, e184.</w:t>
      </w:r>
      <w:hyperlink r:id="rId27">
        <w:r w:rsidR="00BD5D0A" w:rsidRPr="0061499D">
          <w:rPr>
            <w:highlight w:val="yellow"/>
          </w:rPr>
          <w:t xml:space="preserve"> </w:t>
        </w:r>
      </w:hyperlink>
      <w:r w:rsidR="002E5412" w:rsidRPr="002E5412">
        <w:t xml:space="preserve"> </w:t>
      </w:r>
      <w:hyperlink r:id="rId28" w:history="1">
        <w:r w:rsidR="002E5412" w:rsidRPr="0024667F">
          <w:rPr>
            <w:rStyle w:val="Hyperlink"/>
          </w:rPr>
          <w:t>https://doi.org/10.26633/RPSP.2018.184</w:t>
        </w:r>
      </w:hyperlink>
      <w:r w:rsidR="002E5412">
        <w:t xml:space="preserve"> </w:t>
      </w:r>
    </w:p>
    <w:p w14:paraId="5232B30B" w14:textId="32E91408" w:rsidR="00BD5D0A" w:rsidRPr="0061499D" w:rsidRDefault="00595E0A">
      <w:pPr>
        <w:keepNext/>
        <w:jc w:val="both"/>
        <w:rPr>
          <w:highlight w:val="yellow"/>
        </w:rPr>
      </w:pPr>
      <w:r w:rsidRPr="0061499D">
        <w:rPr>
          <w:highlight w:val="yellow"/>
        </w:rPr>
        <w:t>[9] Ministry of Health of Brazil. (2023). COVID-19 vaccination strategy – 2024. Department of Immunization and Vaccine-Preventable Diseases Reports.</w:t>
      </w:r>
      <w:hyperlink r:id="rId29">
        <w:r w:rsidR="00BD5D0A" w:rsidRPr="0061499D">
          <w:rPr>
            <w:highlight w:val="yellow"/>
          </w:rPr>
          <w:t xml:space="preserve"> </w:t>
        </w:r>
      </w:hyperlink>
      <w:r w:rsidR="002E5412" w:rsidRPr="002E5412">
        <w:t xml:space="preserve"> </w:t>
      </w:r>
      <w:hyperlink r:id="rId30" w:history="1">
        <w:r w:rsidR="002E5412" w:rsidRPr="0024667F">
          <w:rPr>
            <w:rStyle w:val="Hyperlink"/>
          </w:rPr>
          <w:t>https://infoms.saude.gov.br/content/Default/Informe%20vacinacao%20covid%202024_final_29dez23.pdf</w:t>
        </w:r>
      </w:hyperlink>
      <w:r w:rsidR="002E5412">
        <w:t xml:space="preserve"> </w:t>
      </w:r>
    </w:p>
    <w:p w14:paraId="7E0BA03B" w14:textId="1BAA3928" w:rsidR="00BD5D0A" w:rsidRDefault="00595E0A">
      <w:pPr>
        <w:keepNext/>
        <w:jc w:val="both"/>
      </w:pPr>
      <w:r w:rsidRPr="0061499D">
        <w:rPr>
          <w:highlight w:val="yellow"/>
        </w:rPr>
        <w:t xml:space="preserve">[10] Teoli, D., Sanvictores, T., &amp; An, J. (2025). SWOT Analysis. Treasure Island, FL: </w:t>
      </w:r>
      <w:proofErr w:type="spellStart"/>
      <w:r w:rsidRPr="0061499D">
        <w:rPr>
          <w:highlight w:val="yellow"/>
        </w:rPr>
        <w:t>StatPearls</w:t>
      </w:r>
      <w:proofErr w:type="spellEnd"/>
      <w:r w:rsidRPr="0061499D">
        <w:rPr>
          <w:highlight w:val="yellow"/>
        </w:rPr>
        <w:t xml:space="preserve"> Publishing.</w:t>
      </w:r>
      <w:r w:rsidR="002E5412" w:rsidRPr="002E5412">
        <w:t xml:space="preserve"> </w:t>
      </w:r>
      <w:hyperlink r:id="rId31" w:history="1">
        <w:r w:rsidR="002E5412" w:rsidRPr="0024667F">
          <w:rPr>
            <w:rStyle w:val="Hyperlink"/>
          </w:rPr>
          <w:t>https://www.ncbi.nlm.nih.gov/books/NBK537302/</w:t>
        </w:r>
      </w:hyperlink>
      <w:r w:rsidR="002E5412">
        <w:t xml:space="preserve"> </w:t>
      </w:r>
    </w:p>
    <w:p w14:paraId="1F0F0593" w14:textId="4F4B361D" w:rsidR="00BD5D0A" w:rsidRDefault="00595E0A">
      <w:pPr>
        <w:keepNext/>
        <w:jc w:val="both"/>
      </w:pPr>
      <w:r>
        <w:t xml:space="preserve">[11] Peters, M. D. J., Marnie, C., </w:t>
      </w:r>
      <w:proofErr w:type="spellStart"/>
      <w:r>
        <w:t>Tricco</w:t>
      </w:r>
      <w:proofErr w:type="spellEnd"/>
      <w:r>
        <w:t xml:space="preserve">, A. C., Pollock, D., Munn, Z., Alexander, L., et al. (2020). Updated methodological guidance for the conduct of scoping reviews. JBI </w:t>
      </w:r>
      <w:proofErr w:type="spellStart"/>
      <w:r>
        <w:t>Evid</w:t>
      </w:r>
      <w:proofErr w:type="spellEnd"/>
      <w:r>
        <w:t xml:space="preserve"> Synth, 18(10), 2119–2126.</w:t>
      </w:r>
      <w:r w:rsidR="00C63861" w:rsidRPr="00C63861">
        <w:t xml:space="preserve"> </w:t>
      </w:r>
      <w:hyperlink r:id="rId32" w:history="1">
        <w:r w:rsidR="00C63861" w:rsidRPr="0024667F">
          <w:rPr>
            <w:rStyle w:val="Hyperlink"/>
          </w:rPr>
          <w:t>https://doi.org/10.11124/JBIES-20-00167</w:t>
        </w:r>
      </w:hyperlink>
      <w:r w:rsidR="00C63861">
        <w:t xml:space="preserve"> </w:t>
      </w:r>
    </w:p>
    <w:p w14:paraId="1E55A1E9" w14:textId="63F794B1" w:rsidR="00BD5D0A" w:rsidRDefault="00595E0A">
      <w:pPr>
        <w:keepNext/>
        <w:jc w:val="both"/>
      </w:pPr>
      <w:r>
        <w:t xml:space="preserve">[12] </w:t>
      </w:r>
      <w:proofErr w:type="spellStart"/>
      <w:r>
        <w:t>Boschiero</w:t>
      </w:r>
      <w:proofErr w:type="spellEnd"/>
      <w:r>
        <w:t xml:space="preserve">, M. N., </w:t>
      </w:r>
      <w:proofErr w:type="spellStart"/>
      <w:r>
        <w:t>Palamim</w:t>
      </w:r>
      <w:proofErr w:type="spellEnd"/>
      <w:r>
        <w:t>, C. V. C., Ortega, M. M., Mauch, R. M., &amp; Marson, F. A. L. (2021). One year of coronavirus disease 2019 (COVID-19) in Brazil: A political and social overview. Ann Glob Health, 87(1), 44.</w:t>
      </w:r>
      <w:hyperlink r:id="rId33">
        <w:r w:rsidR="00BD5D0A">
          <w:t xml:space="preserve"> </w:t>
        </w:r>
      </w:hyperlink>
      <w:r w:rsidR="00676387" w:rsidRPr="00676387">
        <w:t xml:space="preserve"> </w:t>
      </w:r>
      <w:hyperlink r:id="rId34" w:history="1">
        <w:r w:rsidR="00676387" w:rsidRPr="0024667F">
          <w:rPr>
            <w:rStyle w:val="Hyperlink"/>
          </w:rPr>
          <w:t>https://doi.org/10.5334/aogh.3182</w:t>
        </w:r>
      </w:hyperlink>
      <w:r w:rsidR="00676387">
        <w:t xml:space="preserve"> </w:t>
      </w:r>
    </w:p>
    <w:p w14:paraId="36011964" w14:textId="24477B5F" w:rsidR="00BD5D0A" w:rsidRDefault="00595E0A">
      <w:pPr>
        <w:keepNext/>
        <w:jc w:val="both"/>
      </w:pPr>
      <w:r>
        <w:t>[13] Benites, E., Gisloti, L. J., &amp; Roque, F. O. (2021). Brazil: Boost COVID-19 vaccine uptake in Indigenous people. Nature, 591(7850), 369.</w:t>
      </w:r>
      <w:hyperlink r:id="rId35">
        <w:r w:rsidR="00BD5D0A">
          <w:t xml:space="preserve"> </w:t>
        </w:r>
      </w:hyperlink>
      <w:r w:rsidR="00676387" w:rsidRPr="00676387">
        <w:t xml:space="preserve"> </w:t>
      </w:r>
      <w:hyperlink r:id="rId36" w:history="1">
        <w:r w:rsidR="00676387" w:rsidRPr="0024667F">
          <w:rPr>
            <w:rStyle w:val="Hyperlink"/>
          </w:rPr>
          <w:t>https://doi.org/10.1038/d41586-021-00689-6</w:t>
        </w:r>
      </w:hyperlink>
      <w:r w:rsidR="00676387">
        <w:t xml:space="preserve"> </w:t>
      </w:r>
      <w:r w:rsidR="00676387" w:rsidRPr="00676387">
        <w:t xml:space="preserve"> </w:t>
      </w:r>
      <w:r w:rsidR="00676387">
        <w:t xml:space="preserve"> </w:t>
      </w:r>
      <w:r>
        <w:t xml:space="preserve">[14] </w:t>
      </w:r>
      <w:proofErr w:type="spellStart"/>
      <w:r>
        <w:t>Pescarini</w:t>
      </w:r>
      <w:proofErr w:type="spellEnd"/>
      <w:r>
        <w:t xml:space="preserve">, J. M., Cardoso, A. M., Santos, R. V., Scaff, P. F., Paixao, E. S., </w:t>
      </w:r>
      <w:proofErr w:type="spellStart"/>
      <w:r>
        <w:t>Ranzani</w:t>
      </w:r>
      <w:proofErr w:type="spellEnd"/>
      <w:r>
        <w:t xml:space="preserve">, O. T., et al. (2023). Vaccine coverage and effectiveness against laboratory-confirmed symptomatic </w:t>
      </w:r>
      <w:r>
        <w:lastRenderedPageBreak/>
        <w:t>and severe COVID-19 in Indigenous people in Brazil: A cohort study. BMC Public Health, 23, 1267.</w:t>
      </w:r>
      <w:hyperlink r:id="rId37">
        <w:r w:rsidR="00BD5D0A">
          <w:t xml:space="preserve"> </w:t>
        </w:r>
      </w:hyperlink>
      <w:r w:rsidR="0036544E" w:rsidRPr="0036544E">
        <w:t xml:space="preserve"> </w:t>
      </w:r>
      <w:hyperlink r:id="rId38" w:history="1">
        <w:r w:rsidR="0036544E" w:rsidRPr="0024667F">
          <w:rPr>
            <w:rStyle w:val="Hyperlink"/>
          </w:rPr>
          <w:t>https://doi.org/10.1186/s12889-023-16196-4</w:t>
        </w:r>
      </w:hyperlink>
      <w:r w:rsidR="0036544E">
        <w:t xml:space="preserve"> </w:t>
      </w:r>
    </w:p>
    <w:p w14:paraId="6337DA9B" w14:textId="14486294" w:rsidR="00BD5D0A" w:rsidRDefault="00595E0A">
      <w:pPr>
        <w:keepNext/>
        <w:jc w:val="both"/>
      </w:pPr>
      <w:r>
        <w:t>[15] Moreira, R. S., Costa, E. G., Santos, L. F. R., Miranda, L. H. L., Oliveira, R. R., Romão, R. F., et al. (2022). The assistance gaps in combating COVID-19 in Brazil: For whom, where and when vaccination occurs. BMC Infect Dis, 22, 473.</w:t>
      </w:r>
      <w:r w:rsidR="002E4B7E" w:rsidRPr="002E4B7E">
        <w:t xml:space="preserve"> </w:t>
      </w:r>
      <w:hyperlink r:id="rId39" w:history="1">
        <w:r w:rsidR="002E4B7E" w:rsidRPr="0024667F">
          <w:rPr>
            <w:rStyle w:val="Hyperlink"/>
          </w:rPr>
          <w:t>https://doi.org/10.1186/s12879-022-07449-5</w:t>
        </w:r>
      </w:hyperlink>
      <w:r w:rsidR="002E4B7E">
        <w:t xml:space="preserve"> </w:t>
      </w:r>
    </w:p>
    <w:p w14:paraId="70CA5EDF" w14:textId="29E13408" w:rsidR="00BD5D0A" w:rsidRDefault="00595E0A">
      <w:pPr>
        <w:keepNext/>
        <w:jc w:val="both"/>
      </w:pPr>
      <w:r>
        <w:t xml:space="preserve">[16] Rodrigues, R. P. (2024). </w:t>
      </w:r>
      <w:r>
        <w:rPr>
          <w:i/>
          <w:iCs/>
        </w:rPr>
        <w:t>Indigenous health in Pará and its interface with COVID-19: Planning, implementation and governance</w:t>
      </w:r>
      <w:r>
        <w:t xml:space="preserve"> (Master’s thesis). </w:t>
      </w:r>
      <w:proofErr w:type="spellStart"/>
      <w:r>
        <w:t>Universidade</w:t>
      </w:r>
      <w:proofErr w:type="spellEnd"/>
      <w:r>
        <w:t xml:space="preserve"> Federal do Pará.</w:t>
      </w:r>
      <w:r w:rsidR="002E4B7E" w:rsidRPr="002E4B7E">
        <w:t xml:space="preserve"> </w:t>
      </w:r>
      <w:hyperlink r:id="rId40" w:history="1">
        <w:r w:rsidR="002E4B7E" w:rsidRPr="0024667F">
          <w:rPr>
            <w:rStyle w:val="Hyperlink"/>
          </w:rPr>
          <w:t>https://repositorio.ufpa.br/jspui/handle/2011/16329</w:t>
        </w:r>
      </w:hyperlink>
      <w:r w:rsidR="002E4B7E">
        <w:t xml:space="preserve"> </w:t>
      </w:r>
    </w:p>
    <w:p w14:paraId="1EA686CD" w14:textId="6B306757" w:rsidR="00BD5D0A" w:rsidRDefault="00595E0A">
      <w:pPr>
        <w:keepNext/>
        <w:jc w:val="both"/>
      </w:pPr>
      <w:r>
        <w:t xml:space="preserve">[17] Almeida, A. W. B., Acevedo Marin, R. E., &amp; Aleixo de Melo, E. (2020). </w:t>
      </w:r>
      <w:proofErr w:type="spellStart"/>
      <w:r>
        <w:t>Pandemia</w:t>
      </w:r>
      <w:proofErr w:type="spellEnd"/>
      <w:r>
        <w:t xml:space="preserve"> e </w:t>
      </w:r>
      <w:proofErr w:type="spellStart"/>
      <w:r>
        <w:t>Território</w:t>
      </w:r>
      <w:proofErr w:type="spellEnd"/>
      <w:r>
        <w:t xml:space="preserve">. São Luís: UEMA </w:t>
      </w:r>
      <w:proofErr w:type="spellStart"/>
      <w:r>
        <w:t>Edições</w:t>
      </w:r>
      <w:proofErr w:type="spellEnd"/>
      <w:r>
        <w:t>/PNCSA.</w:t>
      </w:r>
      <w:r w:rsidR="009427B0" w:rsidRPr="009427B0">
        <w:t xml:space="preserve"> </w:t>
      </w:r>
      <w:hyperlink r:id="rId41" w:history="1">
        <w:r w:rsidR="009427B0" w:rsidRPr="0024667F">
          <w:rPr>
            <w:rStyle w:val="Hyperlink"/>
          </w:rPr>
          <w:t>https://api.saudeindigena.icict.fiocruz.br/api/core/bitstreams/0b7f578b-43c5-41a9-be7a-70bbec208abc/content</w:t>
        </w:r>
      </w:hyperlink>
      <w:r w:rsidR="009427B0">
        <w:t xml:space="preserve"> </w:t>
      </w:r>
    </w:p>
    <w:p w14:paraId="758E2EA0" w14:textId="77777777" w:rsidR="00BD5D0A" w:rsidRDefault="00595E0A">
      <w:pPr>
        <w:keepNext/>
        <w:jc w:val="both"/>
      </w:pPr>
      <w:r>
        <w:t>[18] Gomes, T. P. O., &amp; dos Santos, D. E. L. (2022). Indigenous ethnocide, depression and suicide in originating people related to the Coronavirus pandemic. Braz J Dev, 8(10), 66295–66307.</w:t>
      </w:r>
      <w:hyperlink r:id="rId42">
        <w:r w:rsidR="00BD5D0A">
          <w:t xml:space="preserve"> </w:t>
        </w:r>
      </w:hyperlink>
      <w:hyperlink r:id="rId43">
        <w:r w:rsidR="00BD5D0A">
          <w:t>https://doi.org/10.34117/bjdv8n10-198</w:t>
        </w:r>
      </w:hyperlink>
    </w:p>
    <w:p w14:paraId="6A9FAD41" w14:textId="153A4FD7" w:rsidR="00BD5D0A" w:rsidRDefault="00595E0A">
      <w:pPr>
        <w:keepNext/>
        <w:jc w:val="both"/>
      </w:pPr>
      <w:r>
        <w:t>[19] Oliveira, J. M. A., Lacerda, C. P., Nogueira, F. A. F., Cruz, C. B. A., Silva, G. C., Ferreira, S. T. S., et al. (2021). Indigenous peoples and COVID-19 in the Special Indigenous Health Districts (DSEIs) of Mato Grosso: An ecological study. Res Soc Dev, 10(1), e46510111178.</w:t>
      </w:r>
      <w:hyperlink r:id="rId44">
        <w:r w:rsidR="00BD5D0A">
          <w:t xml:space="preserve"> </w:t>
        </w:r>
      </w:hyperlink>
      <w:r w:rsidR="009427B0" w:rsidRPr="009427B0">
        <w:t xml:space="preserve"> </w:t>
      </w:r>
      <w:hyperlink r:id="rId45" w:history="1">
        <w:r w:rsidR="009427B0" w:rsidRPr="0024667F">
          <w:rPr>
            <w:rStyle w:val="Hyperlink"/>
          </w:rPr>
          <w:t>https://doi.org/10.33448/rsd-v10i1.11178</w:t>
        </w:r>
      </w:hyperlink>
      <w:r w:rsidR="009427B0">
        <w:t xml:space="preserve"> </w:t>
      </w:r>
    </w:p>
    <w:p w14:paraId="0AC67DA5" w14:textId="521213F6" w:rsidR="00BD5D0A" w:rsidRDefault="00595E0A">
      <w:pPr>
        <w:keepNext/>
        <w:jc w:val="both"/>
      </w:pPr>
      <w:r>
        <w:t xml:space="preserve">[20] Skinner, N. A., Sanders, K., Lopez, E., </w:t>
      </w:r>
      <w:proofErr w:type="spellStart"/>
      <w:r>
        <w:t>Sotz</w:t>
      </w:r>
      <w:proofErr w:type="spellEnd"/>
      <w:r>
        <w:t xml:space="preserve"> Mux, M. S., Miguel, L. A., Vosburg, K. B., et al. (2023). Barriers to COVID-19 vaccine acceptance to improve messages for vaccine uptake in Indigenous populations in the Central Highlands of Guatemala: A participatory qualitative study. BMJ Open, 13(1), e067210.</w:t>
      </w:r>
      <w:hyperlink r:id="rId46">
        <w:r w:rsidR="00BD5D0A">
          <w:t xml:space="preserve"> </w:t>
        </w:r>
      </w:hyperlink>
      <w:r w:rsidR="009427B0" w:rsidRPr="009427B0">
        <w:t xml:space="preserve"> </w:t>
      </w:r>
      <w:hyperlink r:id="rId47" w:history="1">
        <w:r w:rsidR="009427B0" w:rsidRPr="0024667F">
          <w:rPr>
            <w:rStyle w:val="Hyperlink"/>
          </w:rPr>
          <w:t>https://doi.org/10.1136/bmjopen-2022-067210</w:t>
        </w:r>
      </w:hyperlink>
      <w:r w:rsidR="009427B0">
        <w:t xml:space="preserve"> </w:t>
      </w:r>
    </w:p>
    <w:p w14:paraId="3B60DE2C" w14:textId="77777777" w:rsidR="004B34CF" w:rsidRDefault="00595E0A">
      <w:pPr>
        <w:keepNext/>
        <w:jc w:val="both"/>
      </w:pPr>
      <w:r>
        <w:t xml:space="preserve">[21] Labbé, F., Lapointe, M., Dubé, E., &amp; Fletcher, C. (2024). Perceptions of COVID-19 vaccination and factors influencing COVID-19 vaccine acceptance among Indigenous peoples in Quebec, Canada: Insights from a Facebook posts and comments analysis. Hum </w:t>
      </w:r>
      <w:proofErr w:type="spellStart"/>
      <w:r>
        <w:t>Vaccin</w:t>
      </w:r>
      <w:proofErr w:type="spellEnd"/>
      <w:r>
        <w:t xml:space="preserve"> </w:t>
      </w:r>
      <w:proofErr w:type="spellStart"/>
      <w:r>
        <w:t>Immunother</w:t>
      </w:r>
      <w:proofErr w:type="spellEnd"/>
      <w:r>
        <w:t>, 20(1), 2397868.</w:t>
      </w:r>
      <w:hyperlink r:id="rId48">
        <w:r w:rsidR="00BD5D0A">
          <w:t xml:space="preserve"> </w:t>
        </w:r>
      </w:hyperlink>
      <w:r w:rsidR="004B34CF" w:rsidRPr="004B34CF">
        <w:t xml:space="preserve"> </w:t>
      </w:r>
      <w:hyperlink r:id="rId49" w:history="1">
        <w:r w:rsidR="004B34CF" w:rsidRPr="0024667F">
          <w:rPr>
            <w:rStyle w:val="Hyperlink"/>
          </w:rPr>
          <w:t>https://doi.org/10.1080/21645515.2024.2397868</w:t>
        </w:r>
      </w:hyperlink>
      <w:r w:rsidR="004B34CF">
        <w:t xml:space="preserve"> </w:t>
      </w:r>
    </w:p>
    <w:p w14:paraId="479D48B5" w14:textId="45F2E25A" w:rsidR="00BD5D0A" w:rsidRDefault="004B34CF">
      <w:pPr>
        <w:keepNext/>
        <w:jc w:val="both"/>
      </w:pPr>
      <w:r w:rsidRPr="004B34CF">
        <w:t xml:space="preserve"> </w:t>
      </w:r>
      <w:r>
        <w:t xml:space="preserve"> </w:t>
      </w:r>
      <w:r w:rsidR="00595E0A">
        <w:t xml:space="preserve">[22] Ellenwood, R., Boyd, A. D., &amp; </w:t>
      </w:r>
      <w:proofErr w:type="spellStart"/>
      <w:r w:rsidR="00595E0A">
        <w:t>Higheagle</w:t>
      </w:r>
      <w:proofErr w:type="spellEnd"/>
      <w:r w:rsidR="00595E0A">
        <w:t xml:space="preserve"> Strong, Z. (2023). Communication and perspectives about COVID-19 and vaccinations among Native Americans. Sci Commun, 45(2), 172–194.</w:t>
      </w:r>
      <w:hyperlink r:id="rId50">
        <w:r w:rsidR="00BD5D0A">
          <w:t xml:space="preserve"> </w:t>
        </w:r>
      </w:hyperlink>
      <w:r w:rsidR="00EB20F5" w:rsidRPr="00EB20F5">
        <w:t xml:space="preserve"> </w:t>
      </w:r>
      <w:hyperlink r:id="rId51" w:history="1">
        <w:r w:rsidR="00EB20F5" w:rsidRPr="0024667F">
          <w:rPr>
            <w:rStyle w:val="Hyperlink"/>
          </w:rPr>
          <w:t>https://doi.org/10.1177/10755470221151184</w:t>
        </w:r>
      </w:hyperlink>
      <w:r w:rsidR="00EB20F5">
        <w:t xml:space="preserve"> </w:t>
      </w:r>
    </w:p>
    <w:p w14:paraId="77FB31A0" w14:textId="639FC9CF" w:rsidR="00BD5D0A" w:rsidRDefault="00595E0A">
      <w:pPr>
        <w:keepNext/>
        <w:jc w:val="both"/>
      </w:pPr>
      <w:r>
        <w:t xml:space="preserve">[23] Moura, A. D. M., Boaventura, L. C. L., &amp; Neves, R. C. M. (2021). Indigenous peoples in Rio Grande do Norte, rights and actions in times of COVID-19. </w:t>
      </w:r>
      <w:proofErr w:type="spellStart"/>
      <w:r>
        <w:t>Espaco</w:t>
      </w:r>
      <w:proofErr w:type="spellEnd"/>
      <w:r>
        <w:t xml:space="preserve"> </w:t>
      </w:r>
      <w:proofErr w:type="spellStart"/>
      <w:r>
        <w:t>Amerindio</w:t>
      </w:r>
      <w:proofErr w:type="spellEnd"/>
      <w:r>
        <w:t>, 15(2), 119–145.</w:t>
      </w:r>
      <w:hyperlink r:id="rId52">
        <w:r w:rsidR="00BD5D0A">
          <w:t xml:space="preserve"> </w:t>
        </w:r>
      </w:hyperlink>
      <w:r w:rsidR="00EB20F5" w:rsidRPr="00EB20F5">
        <w:t xml:space="preserve"> </w:t>
      </w:r>
      <w:hyperlink r:id="rId53" w:history="1">
        <w:r w:rsidR="00EB20F5" w:rsidRPr="0024667F">
          <w:rPr>
            <w:rStyle w:val="Hyperlink"/>
          </w:rPr>
          <w:t>https://doi.org/10.22456/1982-6524.117951</w:t>
        </w:r>
      </w:hyperlink>
      <w:r w:rsidR="00EB20F5">
        <w:t xml:space="preserve"> </w:t>
      </w:r>
    </w:p>
    <w:p w14:paraId="7AABBA36" w14:textId="52A509A7" w:rsidR="00BD5D0A" w:rsidRDefault="00595E0A">
      <w:pPr>
        <w:keepNext/>
        <w:jc w:val="both"/>
      </w:pPr>
      <w:r>
        <w:t>[24] Croda, M. G., Barbosa, M. S., Marchioro, S. B., do Nascimento, D. D. G., Melo, E. C. P., Cruz, O. G., et al. (2022). The first year of the COVID-19 pandemic in an Indigenous population in Brazil: An epidemiological study. Rev Inst Med Trop Sao Paulo, 64, e69.</w:t>
      </w:r>
      <w:hyperlink r:id="rId54">
        <w:r w:rsidR="00BD5D0A">
          <w:t xml:space="preserve"> </w:t>
        </w:r>
      </w:hyperlink>
      <w:r w:rsidR="00EB20F5" w:rsidRPr="00EB20F5">
        <w:t xml:space="preserve"> </w:t>
      </w:r>
      <w:hyperlink r:id="rId55" w:history="1">
        <w:r w:rsidR="00EB20F5" w:rsidRPr="0024667F">
          <w:rPr>
            <w:rStyle w:val="Hyperlink"/>
          </w:rPr>
          <w:t>https://doi.org/10.1590/S1678-9946202264069</w:t>
        </w:r>
      </w:hyperlink>
      <w:r w:rsidR="00EB20F5">
        <w:t xml:space="preserve"> </w:t>
      </w:r>
    </w:p>
    <w:p w14:paraId="2913A9D2" w14:textId="77777777" w:rsidR="00BD5D0A" w:rsidRDefault="00595E0A">
      <w:pPr>
        <w:keepNext/>
        <w:jc w:val="both"/>
        <w:rPr>
          <w:rFonts w:ascii="Arial" w:eastAsia="Arial" w:hAnsi="Arial" w:cs="Arial"/>
          <w:smallCaps/>
          <w:sz w:val="22"/>
          <w:szCs w:val="22"/>
        </w:rPr>
        <w:sectPr w:rsidR="00BD5D0A" w:rsidSect="00B11286">
          <w:headerReference w:type="even" r:id="rId56"/>
          <w:headerReference w:type="default" r:id="rId57"/>
          <w:footerReference w:type="default" r:id="rId58"/>
          <w:headerReference w:type="first" r:id="rId59"/>
          <w:type w:val="continuous"/>
          <w:pgSz w:w="12240" w:h="15840"/>
          <w:pgMar w:top="1440" w:right="2016" w:bottom="2016" w:left="2016" w:header="720" w:footer="1123" w:gutter="0"/>
          <w:cols w:space="720"/>
          <w:docGrid w:linePitch="272"/>
        </w:sectPr>
      </w:pPr>
      <w:r>
        <w:t xml:space="preserve">[25] Nascimento, L. M. D., Araújo, A. C. M., de Souza, P. C. A., </w:t>
      </w:r>
      <w:proofErr w:type="spellStart"/>
      <w:r>
        <w:t>Matozinhos</w:t>
      </w:r>
      <w:proofErr w:type="spellEnd"/>
      <w:r>
        <w:t>, F. P., da Silva, T. P. R., &amp; Fernandes, E. G. (2024). Strategy of the Ministry of Health of Brazil to increase vaccination coverage in border areas. Rev Panam Salud Publica, 48, e31.</w:t>
      </w:r>
      <w:hyperlink r:id="rId60">
        <w:r w:rsidR="00BD5D0A">
          <w:t xml:space="preserve"> </w:t>
        </w:r>
      </w:hyperlink>
      <w:hyperlink r:id="rId61">
        <w:r w:rsidR="00BD5D0A">
          <w:t>https://doi.org/10.26633/RPSP.2024.31</w:t>
        </w:r>
      </w:hyperlink>
    </w:p>
    <w:p w14:paraId="7266AF08" w14:textId="77777777" w:rsidR="00BD5D0A" w:rsidRDefault="00BD5D0A">
      <w:pPr>
        <w:keepNext/>
        <w:pBdr>
          <w:top w:val="nil"/>
          <w:left w:val="nil"/>
          <w:bottom w:val="nil"/>
          <w:right w:val="nil"/>
          <w:between w:val="nil"/>
        </w:pBdr>
        <w:jc w:val="both"/>
        <w:rPr>
          <w:rFonts w:ascii="Arial" w:eastAsia="Arial" w:hAnsi="Arial" w:cs="Arial"/>
          <w:smallCaps/>
          <w:color w:val="000000"/>
          <w:sz w:val="22"/>
          <w:szCs w:val="22"/>
        </w:rPr>
      </w:pPr>
    </w:p>
    <w:sectPr w:rsidR="00BD5D0A" w:rsidSect="00B1128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C8FDD" w14:textId="77777777" w:rsidR="00C6375E" w:rsidRDefault="00C6375E">
      <w:r>
        <w:separator/>
      </w:r>
    </w:p>
  </w:endnote>
  <w:endnote w:type="continuationSeparator" w:id="0">
    <w:p w14:paraId="25B17DDA" w14:textId="77777777" w:rsidR="00C6375E" w:rsidRDefault="00C63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E37DA7B-F436-4116-B098-98E9181FCCAF}"/>
    <w:embedBold r:id="rId2" w:fontKey="{8991ECD0-218C-456B-9F5F-C21D8CECE319}"/>
    <w:embedItalic r:id="rId3" w:fontKey="{F15C8A53-89E2-4E91-A7DB-6C0B1669072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EA5BB9B-F7B9-4837-8FBC-17A7936877F1}"/>
  </w:font>
  <w:font w:name="Calibri">
    <w:panose1 w:val="020F0502020204030204"/>
    <w:charset w:val="00"/>
    <w:family w:val="swiss"/>
    <w:pitch w:val="variable"/>
    <w:sig w:usb0="E4002EFF" w:usb1="C000247B" w:usb2="00000009" w:usb3="00000000" w:csb0="000001FF" w:csb1="00000000"/>
    <w:embedRegular r:id="rId5" w:fontKey="{FC2CA248-5B3B-486F-BC1A-3088251E3757}"/>
  </w:font>
  <w:font w:name="Cambria">
    <w:panose1 w:val="02040503050406030204"/>
    <w:charset w:val="00"/>
    <w:family w:val="roman"/>
    <w:pitch w:val="variable"/>
    <w:sig w:usb0="E00006FF" w:usb1="420024FF" w:usb2="02000000" w:usb3="00000000" w:csb0="0000019F" w:csb1="00000000"/>
    <w:embedRegular r:id="rId6" w:fontKey="{EA7A7428-7B6C-43C0-9A53-90FDBB4855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94A3" w14:textId="77777777" w:rsidR="00BD5D0A" w:rsidRDefault="00BD5D0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2EEC6" w14:textId="77777777" w:rsidR="00B11286" w:rsidRDefault="00B11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3133" w14:textId="6E64800B" w:rsidR="00BD5D0A" w:rsidRPr="00E4577F" w:rsidRDefault="00BD5D0A" w:rsidP="00E4577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1E7D" w14:textId="77777777" w:rsidR="00BD5D0A" w:rsidRDefault="00BD5D0A">
    <w:pPr>
      <w:spacing w:before="240" w:after="24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3D132" w14:textId="77777777" w:rsidR="00C6375E" w:rsidRDefault="00C6375E">
      <w:r>
        <w:separator/>
      </w:r>
    </w:p>
  </w:footnote>
  <w:footnote w:type="continuationSeparator" w:id="0">
    <w:p w14:paraId="1D918FB5" w14:textId="77777777" w:rsidR="00C6375E" w:rsidRDefault="00C63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5BE3E" w14:textId="054017AC" w:rsidR="00BD5D0A" w:rsidRDefault="00B11286">
    <w:pPr>
      <w:pBdr>
        <w:top w:val="nil"/>
        <w:left w:val="nil"/>
        <w:bottom w:val="nil"/>
        <w:right w:val="nil"/>
        <w:between w:val="nil"/>
      </w:pBdr>
      <w:tabs>
        <w:tab w:val="center" w:pos="4320"/>
        <w:tab w:val="right" w:pos="8640"/>
      </w:tabs>
      <w:rPr>
        <w:color w:val="000000"/>
      </w:rPr>
    </w:pPr>
    <w:r>
      <w:rPr>
        <w:noProof/>
      </w:rPr>
      <w:pict w14:anchorId="25D206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7069E" w14:textId="0AAFC51F" w:rsidR="00BD5D0A" w:rsidRDefault="00B11286">
    <w:pPr>
      <w:pBdr>
        <w:top w:val="nil"/>
        <w:left w:val="nil"/>
        <w:bottom w:val="nil"/>
        <w:right w:val="nil"/>
        <w:between w:val="nil"/>
      </w:pBdr>
      <w:tabs>
        <w:tab w:val="center" w:pos="4320"/>
        <w:tab w:val="right" w:pos="8640"/>
      </w:tabs>
      <w:rPr>
        <w:color w:val="000000"/>
      </w:rPr>
    </w:pPr>
    <w:r>
      <w:rPr>
        <w:noProof/>
      </w:rPr>
      <w:pict w14:anchorId="514CC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77B8" w14:textId="5C19DC91" w:rsidR="00BD5D0A" w:rsidRDefault="00B11286">
    <w:pPr>
      <w:ind w:left="2160"/>
      <w:jc w:val="center"/>
      <w:rPr>
        <w:rFonts w:ascii="Times New Roman" w:eastAsia="Times New Roman" w:hAnsi="Times New Roman" w:cs="Times New Roman"/>
        <w:i/>
        <w:iCs/>
        <w:sz w:val="18"/>
        <w:szCs w:val="18"/>
      </w:rPr>
    </w:pPr>
    <w:r>
      <w:rPr>
        <w:noProof/>
      </w:rPr>
      <w:pict w14:anchorId="26566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BCCAA4E" w14:textId="77777777" w:rsidR="00BD5D0A" w:rsidRDefault="00595E0A">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5AE51B9" w14:textId="77777777" w:rsidR="00BD5D0A" w:rsidRDefault="00595E0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B81E274" w14:textId="77777777" w:rsidR="00BD5D0A" w:rsidRDefault="00595E0A">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10D9311E" w14:textId="77777777" w:rsidR="00BD5D0A" w:rsidRDefault="00595E0A">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73E0F7B" w14:textId="77777777" w:rsidR="00BD5D0A" w:rsidRDefault="00595E0A">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2E4DBBE" w14:textId="77777777" w:rsidR="00BD5D0A" w:rsidRDefault="00595E0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0B1E" w14:textId="3F2FCBA0" w:rsidR="00B11286" w:rsidRDefault="00B11286">
    <w:pPr>
      <w:pStyle w:val="Header"/>
    </w:pPr>
    <w:r>
      <w:rPr>
        <w:noProof/>
      </w:rPr>
      <w:pict w14:anchorId="726F9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AA86" w14:textId="04F1C45C" w:rsidR="00B11286" w:rsidRDefault="00B11286">
    <w:pPr>
      <w:pStyle w:val="Header"/>
    </w:pPr>
    <w:r>
      <w:rPr>
        <w:noProof/>
      </w:rPr>
      <w:pict w14:anchorId="50D13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6E239" w14:textId="0B759C1D" w:rsidR="00B11286" w:rsidRDefault="00B11286">
    <w:pPr>
      <w:pStyle w:val="Header"/>
    </w:pPr>
    <w:r>
      <w:rPr>
        <w:noProof/>
      </w:rPr>
      <w:pict w14:anchorId="5B489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0456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72917"/>
    <w:multiLevelType w:val="multilevel"/>
    <w:tmpl w:val="19E49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5662E5"/>
    <w:multiLevelType w:val="multilevel"/>
    <w:tmpl w:val="732A7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B4632A"/>
    <w:multiLevelType w:val="multilevel"/>
    <w:tmpl w:val="24EE3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6D314A"/>
    <w:multiLevelType w:val="multilevel"/>
    <w:tmpl w:val="280CD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6C1D88"/>
    <w:multiLevelType w:val="multilevel"/>
    <w:tmpl w:val="28F0E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B97AF2"/>
    <w:multiLevelType w:val="multilevel"/>
    <w:tmpl w:val="CB60C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0B1126"/>
    <w:multiLevelType w:val="multilevel"/>
    <w:tmpl w:val="1F3C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11385A"/>
    <w:multiLevelType w:val="multilevel"/>
    <w:tmpl w:val="3D10F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0"/>
  </w:num>
  <w:num w:numId="4">
    <w:abstractNumId w:val="4"/>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0A"/>
    <w:rsid w:val="002E4B7E"/>
    <w:rsid w:val="002E5412"/>
    <w:rsid w:val="0036544E"/>
    <w:rsid w:val="004861DF"/>
    <w:rsid w:val="004B34CF"/>
    <w:rsid w:val="00595E0A"/>
    <w:rsid w:val="00600204"/>
    <w:rsid w:val="0061499D"/>
    <w:rsid w:val="00676387"/>
    <w:rsid w:val="00824F11"/>
    <w:rsid w:val="008728F6"/>
    <w:rsid w:val="009427B0"/>
    <w:rsid w:val="00B11286"/>
    <w:rsid w:val="00B61D91"/>
    <w:rsid w:val="00B8001B"/>
    <w:rsid w:val="00B81634"/>
    <w:rsid w:val="00BD5D0A"/>
    <w:rsid w:val="00C01D4C"/>
    <w:rsid w:val="00C6375E"/>
    <w:rsid w:val="00C63861"/>
    <w:rsid w:val="00CC04BF"/>
    <w:rsid w:val="00E4577F"/>
    <w:rsid w:val="00E930B2"/>
    <w:rsid w:val="00EA34EA"/>
    <w:rsid w:val="00EB20F5"/>
    <w:rsid w:val="00EC4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45FA9E"/>
  <w15:docId w15:val="{32E525EC-D216-4D2E-9124-3B6467209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LineNumber">
    <w:name w:val="line number"/>
    <w:basedOn w:val="DefaultParagraphFont"/>
    <w:uiPriority w:val="99"/>
    <w:semiHidden/>
    <w:unhideWhenUsed/>
    <w:rsid w:val="008728F6"/>
  </w:style>
  <w:style w:type="paragraph" w:styleId="Footer">
    <w:name w:val="footer"/>
    <w:basedOn w:val="Normal"/>
    <w:link w:val="FooterChar"/>
    <w:uiPriority w:val="99"/>
    <w:unhideWhenUsed/>
    <w:rsid w:val="00B81634"/>
    <w:pPr>
      <w:tabs>
        <w:tab w:val="center" w:pos="4513"/>
        <w:tab w:val="right" w:pos="9026"/>
      </w:tabs>
    </w:pPr>
  </w:style>
  <w:style w:type="character" w:customStyle="1" w:styleId="FooterChar">
    <w:name w:val="Footer Char"/>
    <w:basedOn w:val="DefaultParagraphFont"/>
    <w:link w:val="Footer"/>
    <w:uiPriority w:val="99"/>
    <w:rsid w:val="00B81634"/>
  </w:style>
  <w:style w:type="character" w:styleId="Hyperlink">
    <w:name w:val="Hyperlink"/>
    <w:basedOn w:val="DefaultParagraphFont"/>
    <w:uiPriority w:val="99"/>
    <w:unhideWhenUsed/>
    <w:rsid w:val="00B81634"/>
    <w:rPr>
      <w:color w:val="0000FF" w:themeColor="hyperlink"/>
      <w:u w:val="single"/>
    </w:rPr>
  </w:style>
  <w:style w:type="character" w:styleId="UnresolvedMention">
    <w:name w:val="Unresolved Mention"/>
    <w:basedOn w:val="DefaultParagraphFont"/>
    <w:uiPriority w:val="99"/>
    <w:semiHidden/>
    <w:unhideWhenUsed/>
    <w:rsid w:val="00B81634"/>
    <w:rPr>
      <w:color w:val="605E5C"/>
      <w:shd w:val="clear" w:color="auto" w:fill="E1DFDD"/>
    </w:rPr>
  </w:style>
  <w:style w:type="paragraph" w:styleId="Header">
    <w:name w:val="header"/>
    <w:basedOn w:val="Normal"/>
    <w:link w:val="HeaderChar"/>
    <w:uiPriority w:val="99"/>
    <w:unhideWhenUsed/>
    <w:rsid w:val="00B11286"/>
    <w:pPr>
      <w:tabs>
        <w:tab w:val="center" w:pos="4680"/>
        <w:tab w:val="right" w:pos="9360"/>
      </w:tabs>
    </w:pPr>
  </w:style>
  <w:style w:type="character" w:customStyle="1" w:styleId="HeaderChar">
    <w:name w:val="Header Char"/>
    <w:basedOn w:val="DefaultParagraphFont"/>
    <w:link w:val="Header"/>
    <w:uiPriority w:val="99"/>
    <w:rsid w:val="00B11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enso2010.ibge.gov.br/" TargetMode="External"/><Relationship Id="rId26" Type="http://schemas.openxmlformats.org/officeDocument/2006/relationships/hyperlink" Target="https://iris.who.int/handle/10665/352898" TargetMode="External"/><Relationship Id="rId39" Type="http://schemas.openxmlformats.org/officeDocument/2006/relationships/hyperlink" Target="https://doi.org/10.1186/s12879-022-07449-5" TargetMode="External"/><Relationship Id="rId21" Type="http://schemas.openxmlformats.org/officeDocument/2006/relationships/hyperlink" Target="https://www.scielo.br/j/csp/a/XyY7zW8xY9zXwY7zXwY7zXw/" TargetMode="External"/><Relationship Id="rId34" Type="http://schemas.openxmlformats.org/officeDocument/2006/relationships/hyperlink" Target="https://doi.org/10.5334/aogh.3182" TargetMode="External"/><Relationship Id="rId42" Type="http://schemas.openxmlformats.org/officeDocument/2006/relationships/hyperlink" Target="https://doi.org/10.34117/bjdv8n10-198" TargetMode="External"/><Relationship Id="rId47" Type="http://schemas.openxmlformats.org/officeDocument/2006/relationships/hyperlink" Target="https://doi.org/10.1136/bmjopen-2022-067210" TargetMode="External"/><Relationship Id="rId50" Type="http://schemas.openxmlformats.org/officeDocument/2006/relationships/hyperlink" Target="https://doi.org/10.1177/10755470221151184" TargetMode="External"/><Relationship Id="rId55" Type="http://schemas.openxmlformats.org/officeDocument/2006/relationships/hyperlink" Target="https://doi.org/10.1590/S1678-9946202264069"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nso2022.ibge.gov.br/panorama/indicadores.html?localidade=BR" TargetMode="External"/><Relationship Id="rId29" Type="http://schemas.openxmlformats.org/officeDocument/2006/relationships/hyperlink" Target="https://infoms.saude.gov.br/content/Default/Informe%20vacinacao%20covid%202024_final_29dez23.pdf" TargetMode="External"/><Relationship Id="rId11" Type="http://schemas.openxmlformats.org/officeDocument/2006/relationships/header" Target="header3.xml"/><Relationship Id="rId24" Type="http://schemas.openxmlformats.org/officeDocument/2006/relationships/hyperlink" Target="https://doi.org/10.1136/bmjopen-2021-054271" TargetMode="External"/><Relationship Id="rId32" Type="http://schemas.openxmlformats.org/officeDocument/2006/relationships/hyperlink" Target="https://doi.org/10.11124/JBIES-20-00167" TargetMode="External"/><Relationship Id="rId37" Type="http://schemas.openxmlformats.org/officeDocument/2006/relationships/hyperlink" Target="https://doi.org/10.1186/s12889-023-16196-4" TargetMode="External"/><Relationship Id="rId40" Type="http://schemas.openxmlformats.org/officeDocument/2006/relationships/hyperlink" Target="https://repositorio.ufpa.br/jspui/handle/2011/16329" TargetMode="External"/><Relationship Id="rId45" Type="http://schemas.openxmlformats.org/officeDocument/2006/relationships/hyperlink" Target="https://doi.org/10.33448/rsd-v10i1.11178" TargetMode="External"/><Relationship Id="rId53" Type="http://schemas.openxmlformats.org/officeDocument/2006/relationships/hyperlink" Target="https://doi.org/10.22456/1982-6524.117951" TargetMode="External"/><Relationship Id="rId58"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s://doi.org/10.26633/RPSP.2024.31" TargetMode="External"/><Relationship Id="rId19" Type="http://schemas.openxmlformats.org/officeDocument/2006/relationships/hyperlink" Target="https://terrasindigenas.org.br/" TargetMode="External"/><Relationship Id="rId14" Type="http://schemas.openxmlformats.org/officeDocument/2006/relationships/image" Target="media/image1.jpg"/><Relationship Id="rId22" Type="http://schemas.openxmlformats.org/officeDocument/2006/relationships/hyperlink" Target="https://doi.org/10.1590/10.1590/0102-311X00015017" TargetMode="External"/><Relationship Id="rId27" Type="http://schemas.openxmlformats.org/officeDocument/2006/relationships/hyperlink" Target="https://doi.org/10.26633/RPSP.2018.184" TargetMode="External"/><Relationship Id="rId30" Type="http://schemas.openxmlformats.org/officeDocument/2006/relationships/hyperlink" Target="https://infoms.saude.gov.br/content/Default/Informe%20vacinacao%20covid%202024_final_29dez23.pdf" TargetMode="External"/><Relationship Id="rId35" Type="http://schemas.openxmlformats.org/officeDocument/2006/relationships/hyperlink" Target="https://doi.org/10.1038/d41586-021-00696-2" TargetMode="External"/><Relationship Id="rId43" Type="http://schemas.openxmlformats.org/officeDocument/2006/relationships/hyperlink" Target="https://doi.org/10.34117/bjdv8n10-198" TargetMode="External"/><Relationship Id="rId48" Type="http://schemas.openxmlformats.org/officeDocument/2006/relationships/hyperlink" Target="https://doi.org/10.1080/21645515.2024.2397868" TargetMode="External"/><Relationship Id="rId56" Type="http://schemas.openxmlformats.org/officeDocument/2006/relationships/header" Target="header4.xml"/><Relationship Id="rId8" Type="http://schemas.openxmlformats.org/officeDocument/2006/relationships/header" Target="header2.xml"/><Relationship Id="rId51" Type="http://schemas.openxmlformats.org/officeDocument/2006/relationships/hyperlink" Target="https://doi.org/10.1177/10755470221151184"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censo2010.ibge.gov.br/" TargetMode="External"/><Relationship Id="rId25" Type="http://schemas.openxmlformats.org/officeDocument/2006/relationships/hyperlink" Target="https://iris.who.int/handle/10665/352898" TargetMode="External"/><Relationship Id="rId33" Type="http://schemas.openxmlformats.org/officeDocument/2006/relationships/hyperlink" Target="https://doi.org/10.5334/aogh.3182" TargetMode="External"/><Relationship Id="rId38" Type="http://schemas.openxmlformats.org/officeDocument/2006/relationships/hyperlink" Target="https://doi.org/10.1186/s12889-023-16196-4" TargetMode="External"/><Relationship Id="rId46" Type="http://schemas.openxmlformats.org/officeDocument/2006/relationships/hyperlink" Target="https://doi.org/10.1136/bmjopen-2022-067210" TargetMode="External"/><Relationship Id="rId59" Type="http://schemas.openxmlformats.org/officeDocument/2006/relationships/header" Target="header6.xml"/><Relationship Id="rId20" Type="http://schemas.openxmlformats.org/officeDocument/2006/relationships/hyperlink" Target="https://terrasindigenas.org.br/" TargetMode="External"/><Relationship Id="rId41" Type="http://schemas.openxmlformats.org/officeDocument/2006/relationships/hyperlink" Target="https://api.saudeindigena.icict.fiocruz.br/api/core/bitstreams/0b7f578b-43c5-41a9-be7a-70bbec208abc/content" TargetMode="External"/><Relationship Id="rId54" Type="http://schemas.openxmlformats.org/officeDocument/2006/relationships/hyperlink" Target="https://doi.org/10.1590/S1678-9946202264069"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nso2022.ibge.gov.br/panorama/indicadores.html?localidade=BR" TargetMode="External"/><Relationship Id="rId23" Type="http://schemas.openxmlformats.org/officeDocument/2006/relationships/hyperlink" Target="https://doi.org/10.1590/10.1590/0102-311X00015017" TargetMode="External"/><Relationship Id="rId28" Type="http://schemas.openxmlformats.org/officeDocument/2006/relationships/hyperlink" Target="https://doi.org/10.26633/RPSP.2018.184" TargetMode="External"/><Relationship Id="rId36" Type="http://schemas.openxmlformats.org/officeDocument/2006/relationships/hyperlink" Target="https://doi.org/10.1038/d41586-021-00689-6" TargetMode="External"/><Relationship Id="rId49" Type="http://schemas.openxmlformats.org/officeDocument/2006/relationships/hyperlink" Target="https://doi.org/10.1080/21645515.2024.2397868" TargetMode="External"/><Relationship Id="rId57" Type="http://schemas.openxmlformats.org/officeDocument/2006/relationships/header" Target="header5.xml"/><Relationship Id="rId10" Type="http://schemas.openxmlformats.org/officeDocument/2006/relationships/footer" Target="footer2.xml"/><Relationship Id="rId31" Type="http://schemas.openxmlformats.org/officeDocument/2006/relationships/hyperlink" Target="https://www.ncbi.nlm.nih.gov/books/NBK537302/" TargetMode="External"/><Relationship Id="rId44" Type="http://schemas.openxmlformats.org/officeDocument/2006/relationships/hyperlink" Target="https://doi.org/10.33448/rsd-v10i1.11178" TargetMode="External"/><Relationship Id="rId52" Type="http://schemas.openxmlformats.org/officeDocument/2006/relationships/hyperlink" Target="https://doi.org/10.22456/1982-6524.117951" TargetMode="External"/><Relationship Id="rId60" Type="http://schemas.openxmlformats.org/officeDocument/2006/relationships/hyperlink" Target="https://doi.org/10.26633/RPSP.2024.31"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6189</Words>
  <Characters>35281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20</cp:revision>
  <dcterms:created xsi:type="dcterms:W3CDTF">2025-11-27T12:32:00Z</dcterms:created>
  <dcterms:modified xsi:type="dcterms:W3CDTF">2025-11-29T08:10:00Z</dcterms:modified>
</cp:coreProperties>
</file>