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D553" w14:textId="7F9EE860" w:rsidR="002C7AD2" w:rsidRDefault="002C7AD2" w:rsidP="002C7AD2">
      <w:pPr>
        <w:spacing w:before="100" w:beforeAutospacing="1" w:after="100" w:afterAutospacing="1" w:line="240" w:lineRule="auto"/>
        <w:jc w:val="both"/>
        <w:rPr>
          <w:rFonts w:ascii="Times New Roman" w:hAnsi="Times New Roman" w:cs="Times New Roman"/>
          <w:b/>
          <w:bCs/>
          <w:sz w:val="24"/>
          <w:szCs w:val="24"/>
        </w:rPr>
      </w:pPr>
      <w:r w:rsidRPr="00B620C0">
        <w:rPr>
          <w:rFonts w:ascii="Times New Roman" w:hAnsi="Times New Roman" w:cs="Times New Roman"/>
          <w:b/>
          <w:bCs/>
          <w:sz w:val="24"/>
          <w:szCs w:val="24"/>
        </w:rPr>
        <w:t>Original Research Article</w:t>
      </w:r>
    </w:p>
    <w:p w14:paraId="5787BE19" w14:textId="77777777" w:rsidR="002C7AD2" w:rsidRDefault="002C7AD2" w:rsidP="001851C1">
      <w:pPr>
        <w:spacing w:after="0" w:line="240" w:lineRule="auto"/>
        <w:jc w:val="both"/>
        <w:outlineLvl w:val="0"/>
        <w:rPr>
          <w:rFonts w:ascii="Times New Roman" w:eastAsia="Times New Roman" w:hAnsi="Times New Roman" w:cs="Times New Roman"/>
          <w:b/>
          <w:bCs/>
          <w:kern w:val="36"/>
          <w:sz w:val="24"/>
          <w:szCs w:val="24"/>
          <w:lang w:val="en-US"/>
        </w:rPr>
      </w:pPr>
    </w:p>
    <w:p w14:paraId="0D94A2F8" w14:textId="3C285CBA" w:rsidR="001A6E2A" w:rsidRDefault="002C7AD2" w:rsidP="001851C1">
      <w:pPr>
        <w:spacing w:after="0" w:line="240" w:lineRule="auto"/>
        <w:jc w:val="both"/>
        <w:outlineLvl w:val="0"/>
        <w:rPr>
          <w:rFonts w:ascii="Times New Roman" w:eastAsia="Times New Roman" w:hAnsi="Times New Roman" w:cs="Times New Roman"/>
          <w:b/>
          <w:bCs/>
          <w:kern w:val="36"/>
          <w:sz w:val="24"/>
          <w:szCs w:val="24"/>
          <w:lang w:val="en-US"/>
        </w:rPr>
      </w:pPr>
      <w:bookmarkStart w:id="0" w:name="_Hlk214900081"/>
      <w:r>
        <w:rPr>
          <w:rFonts w:ascii="Times New Roman" w:eastAsia="Times New Roman" w:hAnsi="Times New Roman" w:cs="Times New Roman"/>
          <w:b/>
          <w:bCs/>
          <w:kern w:val="36"/>
          <w:sz w:val="24"/>
          <w:szCs w:val="24"/>
          <w:lang w:val="en-US"/>
        </w:rPr>
        <w:t>Eff</w:t>
      </w:r>
      <w:r w:rsidR="002C2471">
        <w:rPr>
          <w:rFonts w:ascii="Times New Roman" w:eastAsia="Times New Roman" w:hAnsi="Times New Roman" w:cs="Times New Roman"/>
          <w:b/>
          <w:bCs/>
          <w:kern w:val="36"/>
          <w:sz w:val="24"/>
          <w:szCs w:val="24"/>
          <w:lang w:val="en-US"/>
        </w:rPr>
        <w:t>icacy of</w:t>
      </w:r>
      <w:r w:rsidR="00FC190D">
        <w:rPr>
          <w:rFonts w:ascii="Times New Roman" w:eastAsia="Times New Roman" w:hAnsi="Times New Roman" w:cs="Times New Roman"/>
          <w:b/>
          <w:bCs/>
          <w:kern w:val="36"/>
          <w:sz w:val="24"/>
          <w:szCs w:val="24"/>
          <w:lang w:val="en-US"/>
        </w:rPr>
        <w:t xml:space="preserve"> </w:t>
      </w:r>
      <w:r w:rsidR="001A6E2A" w:rsidRPr="008F5BD3">
        <w:rPr>
          <w:rFonts w:ascii="Times New Roman" w:eastAsia="Times New Roman" w:hAnsi="Times New Roman" w:cs="Times New Roman"/>
          <w:b/>
          <w:bCs/>
          <w:kern w:val="36"/>
          <w:sz w:val="24"/>
          <w:szCs w:val="24"/>
          <w:lang w:val="en-US"/>
        </w:rPr>
        <w:t>Integrated Neuromuscular Inhibition Technique</w:t>
      </w:r>
      <w:r w:rsidR="002C2471">
        <w:rPr>
          <w:rFonts w:ascii="Times New Roman" w:eastAsia="Times New Roman" w:hAnsi="Times New Roman" w:cs="Times New Roman"/>
          <w:b/>
          <w:bCs/>
          <w:kern w:val="36"/>
          <w:sz w:val="24"/>
          <w:szCs w:val="24"/>
          <w:lang w:val="en-US"/>
        </w:rPr>
        <w:t xml:space="preserve"> and Neurodynamic </w:t>
      </w:r>
      <w:r w:rsidR="00FC190D">
        <w:rPr>
          <w:rFonts w:ascii="Times New Roman" w:eastAsia="Times New Roman" w:hAnsi="Times New Roman" w:cs="Times New Roman"/>
          <w:b/>
          <w:bCs/>
          <w:kern w:val="36"/>
          <w:sz w:val="24"/>
          <w:szCs w:val="24"/>
          <w:lang w:val="en-US"/>
        </w:rPr>
        <w:t>M</w:t>
      </w:r>
      <w:r w:rsidR="002C2471">
        <w:rPr>
          <w:rFonts w:ascii="Times New Roman" w:eastAsia="Times New Roman" w:hAnsi="Times New Roman" w:cs="Times New Roman"/>
          <w:b/>
          <w:bCs/>
          <w:kern w:val="36"/>
          <w:sz w:val="24"/>
          <w:szCs w:val="24"/>
          <w:lang w:val="en-US"/>
        </w:rPr>
        <w:t>obilization</w:t>
      </w:r>
      <w:r w:rsidR="00FC190D">
        <w:rPr>
          <w:rFonts w:ascii="Times New Roman" w:eastAsia="Times New Roman" w:hAnsi="Times New Roman" w:cs="Times New Roman"/>
          <w:b/>
          <w:bCs/>
          <w:kern w:val="36"/>
          <w:sz w:val="24"/>
          <w:szCs w:val="24"/>
          <w:lang w:val="en-US"/>
        </w:rPr>
        <w:t xml:space="preserve"> </w:t>
      </w:r>
      <w:r w:rsidR="002C2471">
        <w:rPr>
          <w:rFonts w:ascii="Times New Roman" w:eastAsia="Times New Roman" w:hAnsi="Times New Roman" w:cs="Times New Roman"/>
          <w:b/>
          <w:bCs/>
          <w:kern w:val="36"/>
          <w:sz w:val="24"/>
          <w:szCs w:val="24"/>
          <w:lang w:val="en-US"/>
        </w:rPr>
        <w:t>on pain, function and neck mobility in patients with Mechanical</w:t>
      </w:r>
      <w:r w:rsidR="001A6E2A" w:rsidRPr="008F5BD3">
        <w:rPr>
          <w:rFonts w:ascii="Times New Roman" w:eastAsia="Times New Roman" w:hAnsi="Times New Roman" w:cs="Times New Roman"/>
          <w:b/>
          <w:bCs/>
          <w:kern w:val="36"/>
          <w:sz w:val="24"/>
          <w:szCs w:val="24"/>
          <w:lang w:val="en-US"/>
        </w:rPr>
        <w:t xml:space="preserve"> Neck Pain: A Randomized Controlled Trial</w:t>
      </w:r>
      <w:r w:rsidR="002C2471">
        <w:rPr>
          <w:rFonts w:ascii="Times New Roman" w:eastAsia="Times New Roman" w:hAnsi="Times New Roman" w:cs="Times New Roman"/>
          <w:b/>
          <w:bCs/>
          <w:kern w:val="36"/>
          <w:sz w:val="24"/>
          <w:szCs w:val="24"/>
          <w:lang w:val="en-US"/>
        </w:rPr>
        <w:t>.</w:t>
      </w:r>
    </w:p>
    <w:p w14:paraId="60346D0D" w14:textId="77777777" w:rsidR="00CB25CC" w:rsidRDefault="00CB25CC" w:rsidP="001851C1">
      <w:pPr>
        <w:spacing w:after="0" w:line="240" w:lineRule="auto"/>
        <w:jc w:val="both"/>
        <w:outlineLvl w:val="0"/>
        <w:rPr>
          <w:rFonts w:ascii="Times New Roman" w:eastAsia="Times New Roman" w:hAnsi="Times New Roman" w:cs="Times New Roman"/>
          <w:b/>
          <w:bCs/>
          <w:kern w:val="36"/>
          <w:sz w:val="24"/>
          <w:szCs w:val="24"/>
          <w:lang w:val="en-US"/>
        </w:rPr>
      </w:pPr>
    </w:p>
    <w:p w14:paraId="1A3CCE6D" w14:textId="77777777" w:rsidR="002C7AD2" w:rsidRDefault="002C7AD2" w:rsidP="001851C1">
      <w:pPr>
        <w:spacing w:after="0" w:line="240" w:lineRule="auto"/>
        <w:jc w:val="both"/>
        <w:outlineLvl w:val="1"/>
        <w:rPr>
          <w:rFonts w:ascii="Times New Roman" w:eastAsia="Times New Roman" w:hAnsi="Times New Roman" w:cs="Times New Roman"/>
          <w:b/>
          <w:bCs/>
          <w:sz w:val="24"/>
          <w:szCs w:val="24"/>
          <w:lang w:val="en-US"/>
        </w:rPr>
      </w:pPr>
      <w:bookmarkStart w:id="1" w:name="_GoBack"/>
      <w:bookmarkEnd w:id="0"/>
      <w:bookmarkEnd w:id="1"/>
    </w:p>
    <w:p w14:paraId="29C7E645" w14:textId="77777777" w:rsidR="001A6E2A" w:rsidRPr="008F5BD3" w:rsidRDefault="001A6E2A"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Abstract</w:t>
      </w:r>
    </w:p>
    <w:p w14:paraId="74D9A128"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C086F4B" w14:textId="737A0FAD"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Background:</w:t>
      </w:r>
      <w:r w:rsidRPr="008F5BD3">
        <w:rPr>
          <w:rFonts w:ascii="Times New Roman" w:eastAsia="Times New Roman" w:hAnsi="Times New Roman" w:cs="Times New Roman"/>
          <w:sz w:val="24"/>
          <w:szCs w:val="24"/>
          <w:lang w:val="en-US"/>
        </w:rPr>
        <w:t xml:space="preserve"> Mechanical neck pain is a prevalent musculoskeletal disorder often associated with myofascial trigger points, restricted mobility, and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Integrated Neuromuscular Inhibition Technique (INIT), combining ischemic compression, strain–counter</w:t>
      </w:r>
      <w:r w:rsidR="00FC190D">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 xml:space="preserve">strain, and muscle energy technique, has shown promising effects in reducing pain and improving function. Neurodynamic mobilization aims to restore optimal neural tissue mobility and reduce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w:t>
      </w:r>
    </w:p>
    <w:p w14:paraId="4AA28283"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775B581"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Objective:</w:t>
      </w:r>
      <w:r w:rsidRPr="008F5BD3">
        <w:rPr>
          <w:rFonts w:ascii="Times New Roman" w:eastAsia="Times New Roman" w:hAnsi="Times New Roman" w:cs="Times New Roman"/>
          <w:sz w:val="24"/>
          <w:szCs w:val="24"/>
          <w:lang w:val="en-US"/>
        </w:rPr>
        <w:t xml:space="preserve"> To investigate the combined effect of INIT and neurodynamic mobilization on pain, cervical range of motion (CROM), and functional disability in individuals with mechanical neck pain.</w:t>
      </w:r>
    </w:p>
    <w:p w14:paraId="59C0EE81"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98AA021"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Methods:</w:t>
      </w:r>
      <w:r w:rsidRPr="008F5BD3">
        <w:rPr>
          <w:rFonts w:ascii="Times New Roman" w:eastAsia="Times New Roman" w:hAnsi="Times New Roman" w:cs="Times New Roman"/>
          <w:sz w:val="24"/>
          <w:szCs w:val="24"/>
          <w:lang w:val="en-US"/>
        </w:rPr>
        <w:t xml:space="preserve"> A randomized controlled trial was conducted on participants aged 20–50 years with unilateral mechanical neck pain for more than four weeks and presence of upper trapezius trigger points. </w:t>
      </w:r>
      <w:r w:rsidR="008F5BD3">
        <w:rPr>
          <w:rFonts w:ascii="Times New Roman" w:eastAsia="Times New Roman" w:hAnsi="Times New Roman" w:cs="Times New Roman"/>
          <w:sz w:val="24"/>
          <w:szCs w:val="24"/>
          <w:lang w:val="en-US"/>
        </w:rPr>
        <w:t xml:space="preserve">Total </w:t>
      </w:r>
      <w:r w:rsidRPr="008F5BD3">
        <w:rPr>
          <w:rFonts w:ascii="Times New Roman" w:eastAsia="Times New Roman" w:hAnsi="Times New Roman" w:cs="Times New Roman"/>
          <w:sz w:val="24"/>
          <w:szCs w:val="24"/>
          <w:lang w:val="en-US"/>
        </w:rPr>
        <w:t xml:space="preserve">Participants (n = </w:t>
      </w:r>
      <w:r w:rsidR="008F5BD3">
        <w:rPr>
          <w:rFonts w:ascii="Times New Roman" w:eastAsia="Times New Roman" w:hAnsi="Times New Roman" w:cs="Times New Roman"/>
          <w:sz w:val="24"/>
          <w:szCs w:val="24"/>
          <w:lang w:val="en-US"/>
        </w:rPr>
        <w:t>30</w:t>
      </w:r>
      <w:r w:rsidRPr="008F5BD3">
        <w:rPr>
          <w:rFonts w:ascii="Times New Roman" w:eastAsia="Times New Roman" w:hAnsi="Times New Roman" w:cs="Times New Roman"/>
          <w:sz w:val="24"/>
          <w:szCs w:val="24"/>
          <w:lang w:val="en-US"/>
        </w:rPr>
        <w:t xml:space="preserve">) were randomly </w:t>
      </w:r>
      <w:r w:rsidR="008F5BD3">
        <w:rPr>
          <w:rFonts w:ascii="Times New Roman" w:eastAsia="Times New Roman" w:hAnsi="Times New Roman" w:cs="Times New Roman"/>
          <w:sz w:val="24"/>
          <w:szCs w:val="24"/>
          <w:lang w:val="en-US"/>
        </w:rPr>
        <w:t xml:space="preserve">and equally </w:t>
      </w:r>
      <w:r w:rsidRPr="008F5BD3">
        <w:rPr>
          <w:rFonts w:ascii="Times New Roman" w:eastAsia="Times New Roman" w:hAnsi="Times New Roman" w:cs="Times New Roman"/>
          <w:sz w:val="24"/>
          <w:szCs w:val="24"/>
          <w:lang w:val="en-US"/>
        </w:rPr>
        <w:t>allocated</w:t>
      </w:r>
      <w:r w:rsidR="00D06F23">
        <w:rPr>
          <w:rFonts w:ascii="Times New Roman" w:eastAsia="Times New Roman" w:hAnsi="Times New Roman" w:cs="Times New Roman"/>
          <w:sz w:val="24"/>
          <w:szCs w:val="24"/>
          <w:lang w:val="en-US"/>
        </w:rPr>
        <w:t xml:space="preserve"> (15 in each group) </w:t>
      </w:r>
      <w:r w:rsidRPr="008F5BD3">
        <w:rPr>
          <w:rFonts w:ascii="Times New Roman" w:eastAsia="Times New Roman" w:hAnsi="Times New Roman" w:cs="Times New Roman"/>
          <w:sz w:val="24"/>
          <w:szCs w:val="24"/>
          <w:lang w:val="en-US"/>
        </w:rPr>
        <w:t>into Group A (INIT + neurodynamic mobilization) and Group B (INIT alone). Interventions were administered thrice weekly for four weeks. Outcome measures included Visual Analog Scale (VAS), Neck Disability Index (NDI), and CROM measured using a goniometer. Assessments were performed at baseline, 2nd week, and 4th week.</w:t>
      </w:r>
    </w:p>
    <w:p w14:paraId="362E06F4"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1ECD86E0"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Results:</w:t>
      </w:r>
      <w:r w:rsidRPr="008F5BD3">
        <w:rPr>
          <w:rFonts w:ascii="Times New Roman" w:eastAsia="Times New Roman" w:hAnsi="Times New Roman" w:cs="Times New Roman"/>
          <w:sz w:val="24"/>
          <w:szCs w:val="24"/>
          <w:lang w:val="en-US"/>
        </w:rPr>
        <w:t xml:space="preserve"> Group A showed significantly greater improvement in pain reduction, functional ability, and CROM compared to Group B (p &lt; 0.05). Between-group analysis revealed superior outcomes for INIT combined with neurodynamic mobilization across all measured domains.</w:t>
      </w:r>
    </w:p>
    <w:p w14:paraId="4DBBF6BF"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3EF5E025"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Conclusion:</w:t>
      </w:r>
      <w:r w:rsidRPr="008F5BD3">
        <w:rPr>
          <w:rFonts w:ascii="Times New Roman" w:eastAsia="Times New Roman" w:hAnsi="Times New Roman" w:cs="Times New Roman"/>
          <w:sz w:val="24"/>
          <w:szCs w:val="24"/>
          <w:lang w:val="en-US"/>
        </w:rPr>
        <w:t xml:space="preserve"> INIT combined with neurodynamic mobilization is more effective than INIT alone in managing mechanical neck pain. The integrated approach may enhance neural mobility and reduce myofascial dysfunction more efficiently.</w:t>
      </w:r>
    </w:p>
    <w:p w14:paraId="79A4AE59"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3DC19467"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Keywords:</w:t>
      </w:r>
      <w:r w:rsidRPr="008F5BD3">
        <w:rPr>
          <w:rFonts w:ascii="Times New Roman" w:eastAsia="Times New Roman" w:hAnsi="Times New Roman" w:cs="Times New Roman"/>
          <w:sz w:val="24"/>
          <w:szCs w:val="24"/>
          <w:lang w:val="en-US"/>
        </w:rPr>
        <w:t xml:space="preserve"> Mechanical neck pain, Integrated Neuromuscular Inhibition Technique, Neurodynamic mobilization, Randomized controlled trial, Myofascial trigger points</w:t>
      </w:r>
    </w:p>
    <w:p w14:paraId="466707D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79A577F5"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5BF7E791"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507B7F5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2CD1FCE3"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0EDF4BB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276938C6" w14:textId="77777777" w:rsidR="001851C1" w:rsidRPr="008F5BD3" w:rsidRDefault="001851C1" w:rsidP="001851C1">
      <w:pPr>
        <w:pStyle w:val="Heading2"/>
        <w:spacing w:before="0" w:beforeAutospacing="0" w:after="0" w:afterAutospacing="0"/>
        <w:jc w:val="both"/>
        <w:rPr>
          <w:sz w:val="24"/>
          <w:szCs w:val="24"/>
        </w:rPr>
      </w:pPr>
    </w:p>
    <w:p w14:paraId="0AB3D6BB" w14:textId="77777777" w:rsidR="001851C1" w:rsidRPr="008F5BD3" w:rsidRDefault="001851C1" w:rsidP="001851C1">
      <w:pPr>
        <w:pStyle w:val="Heading2"/>
        <w:spacing w:before="0" w:beforeAutospacing="0" w:after="0" w:afterAutospacing="0"/>
        <w:jc w:val="both"/>
        <w:rPr>
          <w:sz w:val="24"/>
          <w:szCs w:val="24"/>
        </w:rPr>
      </w:pPr>
    </w:p>
    <w:p w14:paraId="30416C65" w14:textId="77777777" w:rsidR="001851C1" w:rsidRPr="008F5BD3" w:rsidRDefault="001851C1" w:rsidP="001851C1">
      <w:pPr>
        <w:pStyle w:val="Heading2"/>
        <w:spacing w:before="0" w:beforeAutospacing="0" w:after="0" w:afterAutospacing="0"/>
        <w:jc w:val="both"/>
        <w:rPr>
          <w:sz w:val="24"/>
          <w:szCs w:val="24"/>
        </w:rPr>
      </w:pPr>
    </w:p>
    <w:p w14:paraId="58E83BD3" w14:textId="77777777" w:rsidR="001851C1" w:rsidRPr="008F5BD3" w:rsidRDefault="001851C1" w:rsidP="001851C1">
      <w:pPr>
        <w:pStyle w:val="Heading2"/>
        <w:spacing w:before="0" w:beforeAutospacing="0" w:after="0" w:afterAutospacing="0"/>
        <w:jc w:val="both"/>
        <w:rPr>
          <w:sz w:val="24"/>
          <w:szCs w:val="24"/>
        </w:rPr>
      </w:pPr>
    </w:p>
    <w:p w14:paraId="604C0563" w14:textId="77777777" w:rsidR="001851C1" w:rsidRPr="008F5BD3" w:rsidRDefault="001851C1" w:rsidP="001851C1">
      <w:pPr>
        <w:pStyle w:val="Heading2"/>
        <w:spacing w:before="0" w:beforeAutospacing="0" w:after="0" w:afterAutospacing="0"/>
        <w:jc w:val="both"/>
        <w:rPr>
          <w:sz w:val="24"/>
          <w:szCs w:val="24"/>
        </w:rPr>
      </w:pPr>
    </w:p>
    <w:p w14:paraId="5F778AD8" w14:textId="77777777" w:rsidR="001851C1" w:rsidRPr="008F5BD3" w:rsidRDefault="001851C1" w:rsidP="001851C1">
      <w:pPr>
        <w:pStyle w:val="Heading2"/>
        <w:spacing w:before="0" w:beforeAutospacing="0" w:after="0" w:afterAutospacing="0"/>
        <w:jc w:val="both"/>
        <w:rPr>
          <w:sz w:val="24"/>
          <w:szCs w:val="24"/>
        </w:rPr>
      </w:pPr>
    </w:p>
    <w:p w14:paraId="08165F2F" w14:textId="77777777" w:rsidR="001A6E2A" w:rsidRPr="008F5BD3" w:rsidRDefault="001A6E2A" w:rsidP="001851C1">
      <w:pPr>
        <w:pStyle w:val="Heading2"/>
        <w:spacing w:before="0" w:beforeAutospacing="0" w:after="0" w:afterAutospacing="0"/>
        <w:jc w:val="both"/>
        <w:rPr>
          <w:sz w:val="24"/>
          <w:szCs w:val="24"/>
        </w:rPr>
      </w:pPr>
      <w:r w:rsidRPr="008F5BD3">
        <w:rPr>
          <w:sz w:val="24"/>
          <w:szCs w:val="24"/>
        </w:rPr>
        <w:t>Introduction</w:t>
      </w:r>
    </w:p>
    <w:p w14:paraId="5D4E31F7" w14:textId="77777777" w:rsidR="001A6E2A" w:rsidRPr="008F5BD3" w:rsidRDefault="001A6E2A" w:rsidP="001851C1">
      <w:pPr>
        <w:pStyle w:val="NormalWeb"/>
        <w:spacing w:before="0" w:beforeAutospacing="0" w:after="0" w:afterAutospacing="0"/>
        <w:jc w:val="both"/>
      </w:pPr>
      <w:r w:rsidRPr="008F5BD3">
        <w:t>Mechanical neck pain is a widespread musculoskeletal disorder characterized by pain arising from the cervical spine and its associated soft tissues—muscles, ligaments, fascia, and zygapophyseal joints—without clear structural pathology such as fracture, instability, or nerve root compression. It commonly develops due to disturbed cervical biomechanics resulting from factors like prolonged static postures, poor ergonomic habits, repetitive strain, stress-induced muscle tension, and muscular imbalance between deep stabilizers and superficial movers. These biomechanical deviations alter normal cervical kinematics, causing uneven load distribution across vertebral segments and increased shear and compressive forces on facet joints and intervertebral structures.</w:t>
      </w:r>
    </w:p>
    <w:p w14:paraId="1BDFAACC" w14:textId="77777777" w:rsidR="001851C1" w:rsidRPr="008F5BD3" w:rsidRDefault="001851C1" w:rsidP="001851C1">
      <w:pPr>
        <w:pStyle w:val="NormalWeb"/>
        <w:spacing w:before="0" w:beforeAutospacing="0" w:after="0" w:afterAutospacing="0"/>
        <w:jc w:val="both"/>
      </w:pPr>
    </w:p>
    <w:p w14:paraId="6EA81452" w14:textId="77777777" w:rsidR="001A6E2A" w:rsidRPr="008F5BD3" w:rsidRDefault="001A6E2A" w:rsidP="001851C1">
      <w:pPr>
        <w:pStyle w:val="NormalWeb"/>
        <w:spacing w:before="0" w:beforeAutospacing="0" w:after="0" w:afterAutospacing="0"/>
        <w:jc w:val="both"/>
      </w:pPr>
      <w:r w:rsidRPr="008F5BD3">
        <w:t>Epidemiologically, mechanical neck pain poses a substantial public-health burden. Global estimates identify it as one of the leading causes of disability, and Indian data show wide prevalence variation depending on population and occupational exposure. Community-based studies have reported point prevalences as low as ~3%, whereas student and occupational cohorts—such as computer users, medical students, and garment workers—show considerably higher 12-month prevalences ranging from 50% to 60%. These elevated rates in India are strongly influenced by prolonged sitting, high screen time, poor ergonomics, repetitive work, and psychosocial stress, all of which contribute to the development and persistence of mechanical neck pain.</w:t>
      </w:r>
    </w:p>
    <w:p w14:paraId="4120812E" w14:textId="77777777" w:rsidR="001851C1" w:rsidRPr="008F5BD3" w:rsidRDefault="001851C1" w:rsidP="001851C1">
      <w:pPr>
        <w:pStyle w:val="NormalWeb"/>
        <w:spacing w:before="0" w:beforeAutospacing="0" w:after="0" w:afterAutospacing="0"/>
        <w:jc w:val="both"/>
      </w:pPr>
    </w:p>
    <w:p w14:paraId="17089110" w14:textId="5F3152B5" w:rsidR="001A6E2A" w:rsidRDefault="001A6E2A" w:rsidP="001851C1">
      <w:pPr>
        <w:pStyle w:val="NormalWeb"/>
        <w:spacing w:before="0" w:beforeAutospacing="0" w:after="0" w:afterAutospacing="0"/>
        <w:jc w:val="both"/>
      </w:pPr>
      <w:r w:rsidRPr="008F5BD3">
        <w:t>As a compensatory response, surrounding muscles—particularly the upper trapezius, levator scapulae, sternocleidomastoid, and cervical extensors—become overactive and fatigued, leading to the formation of myofascial trigger points</w:t>
      </w:r>
      <w:r w:rsidR="00AC7F2A" w:rsidRPr="00AC7F2A">
        <w:rPr>
          <w:vertAlign w:val="superscript"/>
        </w:rPr>
        <w:t>1</w:t>
      </w:r>
      <w:r w:rsidRPr="008F5BD3">
        <w:t xml:space="preserve">. These hyperirritable nodules within taut muscle bands produce localized tenderness, referred pain patterns, and muscle shortening, which further restrict cervical range of motion and perpetuate dysfunctional biomechanics. Over time, sustained mechanical stress may also influence the neural system; reduced muscle flexibility, fascial tightness, and altered joint mobility can impose abnormal tension or compression on peripheral nerves. This leads to heightened neural </w:t>
      </w:r>
      <w:proofErr w:type="spellStart"/>
      <w:r w:rsidRPr="008F5BD3">
        <w:t>mechanosensitivity</w:t>
      </w:r>
      <w:proofErr w:type="spellEnd"/>
      <w:r w:rsidRPr="008F5BD3">
        <w:t>, where nerves become more reactive to stretch or pressure, contributing to symptoms such as radiating discomfort, stiffness, paresthesia, and activity-related functional limitations</w:t>
      </w:r>
      <w:r w:rsidR="00AC7F2A" w:rsidRPr="00AC7F2A">
        <w:rPr>
          <w:vertAlign w:val="superscript"/>
        </w:rPr>
        <w:t>2</w:t>
      </w:r>
      <w:r w:rsidRPr="008F5BD3">
        <w:t>.</w:t>
      </w:r>
    </w:p>
    <w:p w14:paraId="38ED7D06" w14:textId="77777777" w:rsidR="00FC190D" w:rsidRPr="008F5BD3" w:rsidRDefault="00FC190D" w:rsidP="001851C1">
      <w:pPr>
        <w:pStyle w:val="NormalWeb"/>
        <w:spacing w:before="0" w:beforeAutospacing="0" w:after="0" w:afterAutospacing="0"/>
        <w:jc w:val="both"/>
      </w:pPr>
    </w:p>
    <w:p w14:paraId="3EB1D400" w14:textId="77777777" w:rsidR="001A6E2A" w:rsidRPr="008F5BD3" w:rsidRDefault="001A6E2A" w:rsidP="001851C1">
      <w:pPr>
        <w:pStyle w:val="NormalWeb"/>
        <w:spacing w:before="0" w:beforeAutospacing="0" w:after="0" w:afterAutospacing="0"/>
        <w:jc w:val="both"/>
      </w:pPr>
      <w:r w:rsidRPr="008F5BD3">
        <w:t>Traditional management of mechanical neck pain includes analgesics, heat therapy, stretching, soft tissue mobilization, strengthening exercises, and postural correction. While these methods provide symptomatic relief, many do not adequately address both myofascial dysfunction and neural mobility restrictions together. Techniques such as ischemic compression or strain–</w:t>
      </w:r>
      <w:proofErr w:type="spellStart"/>
      <w:r w:rsidRPr="008F5BD3">
        <w:t>counterstrain</w:t>
      </w:r>
      <w:proofErr w:type="spellEnd"/>
      <w:r w:rsidRPr="008F5BD3">
        <w:t xml:space="preserve"> target trigger points, while isolated stretching focuses on muscle length, leaving neural </w:t>
      </w:r>
      <w:proofErr w:type="spellStart"/>
      <w:r w:rsidRPr="008F5BD3">
        <w:t>mechanosensitivity</w:t>
      </w:r>
      <w:proofErr w:type="spellEnd"/>
      <w:r w:rsidRPr="008F5BD3">
        <w:t xml:space="preserve"> insufficiently treated.</w:t>
      </w:r>
    </w:p>
    <w:p w14:paraId="471EDEE3" w14:textId="77777777" w:rsidR="001851C1" w:rsidRPr="008F5BD3" w:rsidRDefault="001851C1" w:rsidP="001851C1">
      <w:pPr>
        <w:pStyle w:val="NormalWeb"/>
        <w:spacing w:before="0" w:beforeAutospacing="0" w:after="0" w:afterAutospacing="0"/>
        <w:jc w:val="both"/>
      </w:pPr>
    </w:p>
    <w:p w14:paraId="065990F8" w14:textId="32F106B6" w:rsidR="001A6E2A" w:rsidRPr="008F5BD3" w:rsidRDefault="001A6E2A" w:rsidP="001851C1">
      <w:pPr>
        <w:pStyle w:val="NormalWeb"/>
        <w:spacing w:before="0" w:beforeAutospacing="0" w:after="0" w:afterAutospacing="0"/>
        <w:jc w:val="both"/>
      </w:pPr>
      <w:r w:rsidRPr="008F5BD3">
        <w:t>Integrated Neuromuscular Inhibition Technique (INIT) offers a comprehensive, synergistic approach to managing mechanical neck pain by combining three well-established soft-tissue techniques: ischemic compression, strain–</w:t>
      </w:r>
      <w:proofErr w:type="spellStart"/>
      <w:r w:rsidRPr="008F5BD3">
        <w:t>counterstrain</w:t>
      </w:r>
      <w:proofErr w:type="spellEnd"/>
      <w:r w:rsidRPr="008F5BD3">
        <w:t>, and muscle energy technique. Through this multimodal strategy, INIT works to deactivate myofascial trigger points, restore optimal sarcomere length, and modulate aberrant neuromuscular activity</w:t>
      </w:r>
      <w:r w:rsidR="00AC7F2A" w:rsidRPr="00AC7F2A">
        <w:rPr>
          <w:vertAlign w:val="superscript"/>
        </w:rPr>
        <w:t>1,3,4,5</w:t>
      </w:r>
      <w:r w:rsidRPr="008F5BD3">
        <w:t>. Ischemic compression helps reduce local hyperirritability within taut bands, while strain</w:t>
      </w:r>
      <w:r w:rsidR="00FC190D">
        <w:t xml:space="preserve">- </w:t>
      </w:r>
      <w:r w:rsidR="00FC190D" w:rsidRPr="008F5BD3">
        <w:t>counter strain</w:t>
      </w:r>
      <w:r w:rsidRPr="008F5BD3">
        <w:t xml:space="preserve"> passively shortens dysfunctional muscles to alleviate nociceptive input and reflex guarding. Muscle energy technique further enhances muscle balance by using controlled isometric contractions to lengthen shortened tissues and improve joint mechanics. Collectively, these mechanisms facilitate normalization of muscle tone, reduction of pain, enhancement of </w:t>
      </w:r>
      <w:r w:rsidRPr="008F5BD3">
        <w:lastRenderedPageBreak/>
        <w:t>circulation, and improvement in soft-tissue extensibility. By directly addressing the myofascial dysfunction that is central to the pathophysiology of mechanical neck pain, INIT provides a targeted and effective therapeutic option.</w:t>
      </w:r>
    </w:p>
    <w:p w14:paraId="351B4027" w14:textId="77777777" w:rsidR="001851C1" w:rsidRPr="008F5BD3" w:rsidRDefault="001851C1" w:rsidP="001851C1">
      <w:pPr>
        <w:pStyle w:val="NormalWeb"/>
        <w:spacing w:before="0" w:beforeAutospacing="0" w:after="0" w:afterAutospacing="0"/>
        <w:jc w:val="both"/>
      </w:pPr>
    </w:p>
    <w:p w14:paraId="7178EBA3" w14:textId="58FBF6D0" w:rsidR="001A6E2A" w:rsidRPr="008F5BD3" w:rsidRDefault="001A6E2A" w:rsidP="001851C1">
      <w:pPr>
        <w:pStyle w:val="NormalWeb"/>
        <w:spacing w:before="0" w:beforeAutospacing="0" w:after="0" w:afterAutospacing="0"/>
        <w:jc w:val="both"/>
      </w:pPr>
      <w:r w:rsidRPr="008F5BD3">
        <w:t>Neurodynamic mobilization, on the other hand, specifically targets the mechanical and physiological behavior of peripheral nerves by facilitating controlled sliding, gliding, and tensioning movements along their anatomical pathways</w:t>
      </w:r>
      <w:r w:rsidR="00AC7F2A" w:rsidRPr="00AC7F2A">
        <w:rPr>
          <w:vertAlign w:val="superscript"/>
        </w:rPr>
        <w:t>6,7</w:t>
      </w:r>
      <w:r w:rsidRPr="008F5BD3">
        <w:t xml:space="preserve">. Neural tissues require adequate mobility relative to surrounding muscles, fascia, and joints to maintain normal axoplasmic transport—the bidirectional flow of nutrients, neurotransmitters, and cytoskeletal elements essential for neuronal health. When nerves become restricted due to muscle tightness, postural dysfunction, or entrapment within soft tissues, this mobility is compromised, leading to impaired axoplasmic flow, intraneural edema, ischemia, and heightened </w:t>
      </w:r>
      <w:proofErr w:type="spellStart"/>
      <w:r w:rsidRPr="008F5BD3">
        <w:t>mechanosensitivity</w:t>
      </w:r>
      <w:proofErr w:type="spellEnd"/>
      <w:r w:rsidRPr="008F5BD3">
        <w:t>.</w:t>
      </w:r>
    </w:p>
    <w:p w14:paraId="46F4B364" w14:textId="77777777" w:rsidR="001851C1" w:rsidRDefault="001851C1" w:rsidP="001851C1">
      <w:pPr>
        <w:pStyle w:val="NormalWeb"/>
        <w:spacing w:before="0" w:beforeAutospacing="0" w:after="0" w:afterAutospacing="0"/>
        <w:jc w:val="both"/>
      </w:pPr>
    </w:p>
    <w:p w14:paraId="3492E1D0" w14:textId="6F167A6A" w:rsidR="00DF054E" w:rsidRDefault="00DF054E" w:rsidP="001851C1">
      <w:pPr>
        <w:pStyle w:val="NormalWeb"/>
        <w:spacing w:before="0" w:beforeAutospacing="0" w:after="0" w:afterAutospacing="0"/>
        <w:jc w:val="both"/>
      </w:pPr>
      <w:r>
        <w:t>The median nerve was specifically selected for neurodynamic mobilization because it is the most commonly affected and mechanosensitive peripheral nerve in individuals with mechanical neck pain. Its anatomical pathway—passing through the cervical region, scalene triangle, and along the anterior upper limb—makes it highly susceptible to adverse neural tension resulting from forward-head posture, upper trapezius tightness, and myofascial trigger points. Among all upper-limb nerves, the median nerve demonstrates the greatest sensitivity in neurodynamic testing (ULNT1) and shows stronger associations with cervical dysfunction than radial or ulnar nerves</w:t>
      </w:r>
      <w:r w:rsidR="00AC7F2A" w:rsidRPr="00AC7F2A">
        <w:rPr>
          <w:vertAlign w:val="superscript"/>
        </w:rPr>
        <w:t>2,6</w:t>
      </w:r>
      <w:r>
        <w:t xml:space="preserve">. Therefore, mobilizing the median nerve provides the most clinically relevant and evidence-based approach to improving neural mobility, reducing </w:t>
      </w:r>
      <w:proofErr w:type="spellStart"/>
      <w:r>
        <w:t>mechanosensitivity</w:t>
      </w:r>
      <w:proofErr w:type="spellEnd"/>
      <w:r>
        <w:t>, and complementing the myofascial effects of INIT in individuals with mechanical neck pain.</w:t>
      </w:r>
    </w:p>
    <w:p w14:paraId="01EDC447" w14:textId="77777777" w:rsidR="00DF054E" w:rsidRPr="008F5BD3" w:rsidRDefault="00DF054E" w:rsidP="001851C1">
      <w:pPr>
        <w:pStyle w:val="NormalWeb"/>
        <w:spacing w:before="0" w:beforeAutospacing="0" w:after="0" w:afterAutospacing="0"/>
        <w:jc w:val="both"/>
      </w:pPr>
    </w:p>
    <w:p w14:paraId="198F97DC" w14:textId="340D4AC0" w:rsidR="001A6E2A" w:rsidRPr="008F5BD3" w:rsidRDefault="001A6E2A" w:rsidP="001851C1">
      <w:pPr>
        <w:pStyle w:val="NormalWeb"/>
        <w:spacing w:before="0" w:beforeAutospacing="0" w:after="0" w:afterAutospacing="0"/>
        <w:jc w:val="both"/>
      </w:pPr>
      <w:r w:rsidRPr="008F5BD3">
        <w:t>Through gentle oscillatory or sequential movements, neurodynamic mobilization helps to restore normal neural dynamics by reducing intraneural adhesions, improving interfascicular gliding, and enhancing perineural blood flow. These physiological effects decrease abnormal impulse generation from sensitized nociceptive fibers and normalize the threshold of mechanosensitive ion channels, resulting in reduced pain and improved tolerance to movement</w:t>
      </w:r>
      <w:r w:rsidR="00AC7F2A" w:rsidRPr="00AC7F2A">
        <w:rPr>
          <w:vertAlign w:val="superscript"/>
        </w:rPr>
        <w:t>6,7</w:t>
      </w:r>
      <w:r w:rsidRPr="008F5BD3">
        <w:t>. In the context of mechanical neck pain</w:t>
      </w:r>
      <w:r w:rsidR="00FC190D">
        <w:t xml:space="preserve">, </w:t>
      </w:r>
      <w:r w:rsidRPr="008F5BD3">
        <w:t>where neural irritation often arises from shortened cervical musculature, forward-head posture, or compression at anatomical tunnels</w:t>
      </w:r>
      <w:r w:rsidR="00FC190D">
        <w:t>-</w:t>
      </w:r>
      <w:r w:rsidRPr="008F5BD3">
        <w:t>neurodynamic mobilization plays a crucial therapeutic role. By addressing the neural component of the disorder, it complements muscular and joint-based interventions, contributing to more complete symptom resolution and improved functional outcomes.</w:t>
      </w:r>
    </w:p>
    <w:p w14:paraId="34C19204" w14:textId="77777777" w:rsidR="00D06F23" w:rsidRDefault="00D06F23" w:rsidP="001851C1">
      <w:pPr>
        <w:pStyle w:val="NormalWeb"/>
        <w:spacing w:before="0" w:beforeAutospacing="0" w:after="0" w:afterAutospacing="0"/>
        <w:jc w:val="both"/>
      </w:pPr>
    </w:p>
    <w:p w14:paraId="010B6BB0" w14:textId="46428FB7" w:rsidR="00B636C6" w:rsidRPr="008F5BD3" w:rsidRDefault="00B636C6" w:rsidP="001851C1">
      <w:pPr>
        <w:pStyle w:val="NormalWeb"/>
        <w:spacing w:before="0" w:beforeAutospacing="0" w:after="0" w:afterAutospacing="0"/>
        <w:jc w:val="both"/>
      </w:pPr>
      <w:r w:rsidRPr="008F5BD3">
        <w:t>The combination of INIT and neurodynamic mobilization represents a novel, integrated therapeutic strategy designed to address both myofascial and neural components of mechanical neck pain. INIT effectively resolves myofascial dysfunction by deactivating trigger points, reducing excessive muscle tone, and improving soft-tissue extensibility, thereby restoring balanced cervical biomechanics and decreasing nociceptive input from dysfunctional muscles</w:t>
      </w:r>
      <w:r w:rsidR="00AC7F2A" w:rsidRPr="00AC7F2A">
        <w:rPr>
          <w:vertAlign w:val="superscript"/>
        </w:rPr>
        <w:t>4,5</w:t>
      </w:r>
      <w:r w:rsidRPr="008F5BD3">
        <w:t>. Neurodynamic mobilization complements this by enhancing neural mobility through improved sliding, reduced intraneural tension, and restoration of normal axoplasmic flow and perineural blood supply</w:t>
      </w:r>
      <w:r w:rsidR="00AC7F2A" w:rsidRPr="00AC7F2A">
        <w:rPr>
          <w:vertAlign w:val="superscript"/>
        </w:rPr>
        <w:t>2,4,7</w:t>
      </w:r>
      <w:r w:rsidRPr="008F5BD3">
        <w:t xml:space="preserve">. These physiological effects reduce </w:t>
      </w:r>
      <w:proofErr w:type="spellStart"/>
      <w:r w:rsidRPr="008F5BD3">
        <w:t>mechanosensitivity</w:t>
      </w:r>
      <w:proofErr w:type="spellEnd"/>
      <w:r w:rsidRPr="008F5BD3">
        <w:t xml:space="preserve"> and alleviate neural irritation commonly associated with postural strain, muscle tightness, or nerve entrapment.</w:t>
      </w:r>
    </w:p>
    <w:p w14:paraId="2E2EF650" w14:textId="77777777" w:rsidR="001851C1" w:rsidRPr="008F5BD3" w:rsidRDefault="001851C1" w:rsidP="001851C1">
      <w:pPr>
        <w:pStyle w:val="NormalWeb"/>
        <w:spacing w:before="0" w:beforeAutospacing="0" w:after="0" w:afterAutospacing="0"/>
        <w:jc w:val="both"/>
        <w:rPr>
          <w:rStyle w:val="Strong"/>
        </w:rPr>
      </w:pPr>
    </w:p>
    <w:p w14:paraId="5AAC1774" w14:textId="77777777" w:rsidR="00B636C6" w:rsidRPr="008F5BD3" w:rsidRDefault="00B636C6" w:rsidP="001851C1">
      <w:pPr>
        <w:pStyle w:val="NormalWeb"/>
        <w:spacing w:before="0" w:beforeAutospacing="0" w:after="0" w:afterAutospacing="0"/>
        <w:jc w:val="both"/>
      </w:pPr>
      <w:r w:rsidRPr="008F5BD3">
        <w:rPr>
          <w:rStyle w:val="Strong"/>
        </w:rPr>
        <w:t xml:space="preserve">Lacunae in the existing literature </w:t>
      </w:r>
      <w:r w:rsidRPr="008F5BD3">
        <w:rPr>
          <w:rStyle w:val="Strong"/>
          <w:b w:val="0"/>
        </w:rPr>
        <w:t>indicate that most studies have examined INIT, MET, trigger point therapy, and neurodynamic techniques independently, with limited evidence exploring their combined effects.</w:t>
      </w:r>
      <w:r w:rsidRPr="008F5BD3">
        <w:t xml:space="preserve"> Although both myofascial and neural components contribute </w:t>
      </w:r>
      <w:r w:rsidRPr="008F5BD3">
        <w:lastRenderedPageBreak/>
        <w:t xml:space="preserve">to mechanical neck pain, current research largely treats them as separate domains, resulting in fragmented treatment strategies. Additionally, few studies have evaluated whether restoring soft-tissue extensibility alone is sufficient without addressing concurrent neural </w:t>
      </w:r>
      <w:proofErr w:type="spellStart"/>
      <w:r w:rsidRPr="008F5BD3">
        <w:t>mechanosensitivity</w:t>
      </w:r>
      <w:proofErr w:type="spellEnd"/>
      <w:r w:rsidRPr="008F5BD3">
        <w:t>. There is a lack of high-quality clinical trials investigating multimodal interventions that simultaneously target the muscular, fascial, and neural systems that are interdependently involved in cervical pain.</w:t>
      </w:r>
    </w:p>
    <w:p w14:paraId="170CB1EB" w14:textId="77777777" w:rsidR="001851C1" w:rsidRPr="008F5BD3" w:rsidRDefault="001851C1" w:rsidP="001851C1">
      <w:pPr>
        <w:pStyle w:val="NormalWeb"/>
        <w:spacing w:before="0" w:beforeAutospacing="0" w:after="0" w:afterAutospacing="0"/>
        <w:jc w:val="both"/>
        <w:rPr>
          <w:rStyle w:val="Strong"/>
        </w:rPr>
      </w:pPr>
    </w:p>
    <w:p w14:paraId="5D124E66" w14:textId="77777777" w:rsidR="00B636C6" w:rsidRDefault="00B636C6" w:rsidP="001851C1">
      <w:pPr>
        <w:pStyle w:val="NormalWeb"/>
        <w:spacing w:before="0" w:beforeAutospacing="0" w:after="0" w:afterAutospacing="0"/>
        <w:jc w:val="both"/>
      </w:pPr>
      <w:r w:rsidRPr="008F5BD3">
        <w:rPr>
          <w:rStyle w:val="Strong"/>
        </w:rPr>
        <w:t xml:space="preserve">The novelty </w:t>
      </w:r>
      <w:r w:rsidRPr="008F5BD3">
        <w:rPr>
          <w:rStyle w:val="Strong"/>
          <w:b w:val="0"/>
        </w:rPr>
        <w:t>of the present study lies in integrating INIT with neurodynamic mobilization as a unified approach</w:t>
      </w:r>
      <w:r w:rsidRPr="008F5BD3">
        <w:t xml:space="preserve">, addressing the full spectrum of underlying </w:t>
      </w:r>
      <w:proofErr w:type="spellStart"/>
      <w:r w:rsidRPr="008F5BD3">
        <w:t>pathomechanics</w:t>
      </w:r>
      <w:proofErr w:type="spellEnd"/>
      <w:r w:rsidRPr="008F5BD3">
        <w:t>. This combined method is expected to produce synergistic benefits by reducing myofascial restrictions that may perpetuate nerve irritation, while enhancing neural mobility to complement improvements in muscular function. No previous study has systematically evaluated whether adding neurodynamic mobilization to INIT enhances outcomes in terms of pain reduction, cervical range of motion, and functional performance.</w:t>
      </w:r>
    </w:p>
    <w:p w14:paraId="71C012C9" w14:textId="77777777" w:rsidR="00FC190D" w:rsidRPr="008F5BD3" w:rsidRDefault="00FC190D" w:rsidP="001851C1">
      <w:pPr>
        <w:pStyle w:val="NormalWeb"/>
        <w:spacing w:before="0" w:beforeAutospacing="0" w:after="0" w:afterAutospacing="0"/>
        <w:jc w:val="both"/>
      </w:pPr>
    </w:p>
    <w:p w14:paraId="22568A94" w14:textId="77777777" w:rsidR="001A6E2A" w:rsidRPr="008F5BD3" w:rsidRDefault="00B636C6" w:rsidP="00FC190D">
      <w:pPr>
        <w:pStyle w:val="NormalWeb"/>
        <w:spacing w:before="0" w:beforeAutospacing="0" w:after="0" w:afterAutospacing="0"/>
        <w:ind w:firstLine="720"/>
        <w:jc w:val="both"/>
      </w:pPr>
      <w:r w:rsidRPr="008F5BD3">
        <w:t>This comprehensive rationale underpins the current investigation, which seeks to determine whether the addition of neurodynamic mobilization to INIT offers superior therapeutic benefits compared to INIT alone in individuals with mechanical neck pain.</w:t>
      </w:r>
    </w:p>
    <w:p w14:paraId="6D0F1C57"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77BF27DE"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Methods</w:t>
      </w:r>
    </w:p>
    <w:p w14:paraId="6AFEDD8D" w14:textId="77777777" w:rsidR="00FC190D" w:rsidRDefault="00FC190D" w:rsidP="001851C1">
      <w:pPr>
        <w:spacing w:after="0" w:line="240" w:lineRule="auto"/>
        <w:jc w:val="both"/>
        <w:outlineLvl w:val="2"/>
        <w:rPr>
          <w:rFonts w:ascii="Times New Roman" w:eastAsia="Times New Roman" w:hAnsi="Times New Roman" w:cs="Times New Roman"/>
          <w:b/>
          <w:bCs/>
          <w:sz w:val="24"/>
          <w:szCs w:val="24"/>
          <w:lang w:val="en-US"/>
        </w:rPr>
      </w:pPr>
    </w:p>
    <w:p w14:paraId="7B696FFF" w14:textId="709DA639"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Study Design</w:t>
      </w:r>
    </w:p>
    <w:p w14:paraId="16FA8FB0"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 single-blind, randomized controlled trial was carried out in the outpatient physiotherapy department of a tertiary care hospital. The study followed CONSORT guidelines to ensure methodological rigor, transparency, and reproducibility. Participants were blinded to group allocation to minimize expectation bias, while the treating therapist—due to the nature of manual therapy interventions—could not be blinded. All assessments were performed by an independent physiotherapist who was blinded to the intervention groups.</w:t>
      </w:r>
    </w:p>
    <w:p w14:paraId="3CA53C8F" w14:textId="77777777" w:rsidR="00FC190D" w:rsidRDefault="00FC190D" w:rsidP="001851C1">
      <w:pPr>
        <w:spacing w:after="0" w:line="240" w:lineRule="auto"/>
        <w:jc w:val="both"/>
        <w:outlineLvl w:val="2"/>
        <w:rPr>
          <w:rFonts w:ascii="Times New Roman" w:eastAsia="Times New Roman" w:hAnsi="Times New Roman" w:cs="Times New Roman"/>
          <w:b/>
          <w:bCs/>
          <w:sz w:val="24"/>
          <w:szCs w:val="24"/>
          <w:lang w:val="en-US"/>
        </w:rPr>
      </w:pPr>
    </w:p>
    <w:p w14:paraId="256704C4" w14:textId="79D006E3"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Participants</w:t>
      </w:r>
    </w:p>
    <w:p w14:paraId="7C2EA505"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recruited through outpatient referrals and hospital-based advertisements. Eligible individuals underwent a detailed screening process that included history taking, clinical examination, and pain assessment performed by a qualified physiotherapist.</w:t>
      </w:r>
    </w:p>
    <w:p w14:paraId="247DBE82" w14:textId="77777777" w:rsidR="00B636C6" w:rsidRPr="008F5BD3" w:rsidRDefault="00B636C6" w:rsidP="001851C1">
      <w:pPr>
        <w:spacing w:after="0" w:line="240" w:lineRule="auto"/>
        <w:jc w:val="both"/>
        <w:outlineLvl w:val="3"/>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Inclusion Criteria</w:t>
      </w:r>
    </w:p>
    <w:p w14:paraId="0702474A"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included if they met the following criteria:</w:t>
      </w:r>
    </w:p>
    <w:p w14:paraId="7D758EFC"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Adults aged </w:t>
      </w:r>
      <w:r w:rsidRPr="008F5BD3">
        <w:rPr>
          <w:rFonts w:ascii="Times New Roman" w:eastAsia="Times New Roman" w:hAnsi="Times New Roman" w:cs="Times New Roman"/>
          <w:bCs/>
          <w:sz w:val="24"/>
          <w:szCs w:val="24"/>
          <w:lang w:val="en-US"/>
        </w:rPr>
        <w:t>20–50 years</w:t>
      </w:r>
      <w:r w:rsidRPr="008F5BD3">
        <w:rPr>
          <w:rFonts w:ascii="Times New Roman" w:eastAsia="Times New Roman" w:hAnsi="Times New Roman" w:cs="Times New Roman"/>
          <w:sz w:val="24"/>
          <w:szCs w:val="24"/>
          <w:lang w:val="en-US"/>
        </w:rPr>
        <w:t>, representing the typical age range for mechanical neck pain.</w:t>
      </w:r>
    </w:p>
    <w:p w14:paraId="21FB6717"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Unilateral mechanical neck pain</w:t>
      </w:r>
      <w:r w:rsidRPr="008F5BD3">
        <w:rPr>
          <w:rFonts w:ascii="Times New Roman" w:eastAsia="Times New Roman" w:hAnsi="Times New Roman" w:cs="Times New Roman"/>
          <w:sz w:val="24"/>
          <w:szCs w:val="24"/>
          <w:lang w:val="en-US"/>
        </w:rPr>
        <w:t xml:space="preserve"> persisting for </w:t>
      </w:r>
      <w:r w:rsidRPr="008F5BD3">
        <w:rPr>
          <w:rFonts w:ascii="Times New Roman" w:eastAsia="Times New Roman" w:hAnsi="Times New Roman" w:cs="Times New Roman"/>
          <w:bCs/>
          <w:sz w:val="24"/>
          <w:szCs w:val="24"/>
          <w:lang w:val="en-US"/>
        </w:rPr>
        <w:t>≥ 4 weeks</w:t>
      </w:r>
      <w:r w:rsidRPr="008F5BD3">
        <w:rPr>
          <w:rFonts w:ascii="Times New Roman" w:eastAsia="Times New Roman" w:hAnsi="Times New Roman" w:cs="Times New Roman"/>
          <w:sz w:val="24"/>
          <w:szCs w:val="24"/>
          <w:lang w:val="en-US"/>
        </w:rPr>
        <w:t>, indicating a subacute to chronic presentation.</w:t>
      </w:r>
    </w:p>
    <w:p w14:paraId="44AE957A"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Presence of </w:t>
      </w:r>
      <w:r w:rsidRPr="008F5BD3">
        <w:rPr>
          <w:rFonts w:ascii="Times New Roman" w:eastAsia="Times New Roman" w:hAnsi="Times New Roman" w:cs="Times New Roman"/>
          <w:bCs/>
          <w:sz w:val="24"/>
          <w:szCs w:val="24"/>
          <w:lang w:val="en-US"/>
        </w:rPr>
        <w:t>active or latent upper trapezius myofascial trigger points</w:t>
      </w:r>
      <w:r w:rsidRPr="008F5BD3">
        <w:rPr>
          <w:rFonts w:ascii="Times New Roman" w:eastAsia="Times New Roman" w:hAnsi="Times New Roman" w:cs="Times New Roman"/>
          <w:sz w:val="24"/>
          <w:szCs w:val="24"/>
          <w:lang w:val="en-US"/>
        </w:rPr>
        <w:t>, confirmed through palpation criteria such as taut band, hypersensitive spot, referred pain, or local twitch response.</w:t>
      </w:r>
    </w:p>
    <w:p w14:paraId="78A94508"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Pain intensity of </w:t>
      </w:r>
      <w:r w:rsidRPr="008F5BD3">
        <w:rPr>
          <w:rFonts w:ascii="Times New Roman" w:eastAsia="Times New Roman" w:hAnsi="Times New Roman" w:cs="Times New Roman"/>
          <w:bCs/>
          <w:sz w:val="24"/>
          <w:szCs w:val="24"/>
          <w:lang w:val="en-US"/>
        </w:rPr>
        <w:t>≥ 4/10 on the Visual Analog Scale (VAS)</w:t>
      </w:r>
      <w:r w:rsidRPr="008F5BD3">
        <w:rPr>
          <w:rFonts w:ascii="Times New Roman" w:eastAsia="Times New Roman" w:hAnsi="Times New Roman" w:cs="Times New Roman"/>
          <w:sz w:val="24"/>
          <w:szCs w:val="24"/>
          <w:lang w:val="en-US"/>
        </w:rPr>
        <w:t xml:space="preserve"> at baseline to ensure clinically significant symptoms.</w:t>
      </w:r>
    </w:p>
    <w:p w14:paraId="10CA2A56" w14:textId="77777777" w:rsidR="00B636C6" w:rsidRPr="008F5BD3" w:rsidRDefault="00B636C6" w:rsidP="001851C1">
      <w:pPr>
        <w:spacing w:after="0" w:line="240" w:lineRule="auto"/>
        <w:jc w:val="both"/>
        <w:outlineLvl w:val="3"/>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Exclusion Criteria</w:t>
      </w:r>
    </w:p>
    <w:p w14:paraId="36C6E468"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excluded if they had any contraindications that could affect outcomes or safety:</w:t>
      </w:r>
    </w:p>
    <w:p w14:paraId="07354858"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Clinical features of </w:t>
      </w:r>
      <w:r w:rsidRPr="008F5BD3">
        <w:rPr>
          <w:rFonts w:ascii="Times New Roman" w:eastAsia="Times New Roman" w:hAnsi="Times New Roman" w:cs="Times New Roman"/>
          <w:bCs/>
          <w:sz w:val="24"/>
          <w:szCs w:val="24"/>
          <w:lang w:val="en-US"/>
        </w:rPr>
        <w:t>cervical radiculopathy or myelopathy</w:t>
      </w:r>
      <w:r w:rsidRPr="008F5BD3">
        <w:rPr>
          <w:rFonts w:ascii="Times New Roman" w:eastAsia="Times New Roman" w:hAnsi="Times New Roman" w:cs="Times New Roman"/>
          <w:sz w:val="24"/>
          <w:szCs w:val="24"/>
          <w:lang w:val="en-US"/>
        </w:rPr>
        <w:t xml:space="preserve">, such as dermatomal sensory loss, </w:t>
      </w:r>
      <w:proofErr w:type="spellStart"/>
      <w:r w:rsidRPr="008F5BD3">
        <w:rPr>
          <w:rFonts w:ascii="Times New Roman" w:eastAsia="Times New Roman" w:hAnsi="Times New Roman" w:cs="Times New Roman"/>
          <w:sz w:val="24"/>
          <w:szCs w:val="24"/>
          <w:lang w:val="en-US"/>
        </w:rPr>
        <w:t>myotomal</w:t>
      </w:r>
      <w:proofErr w:type="spellEnd"/>
      <w:r w:rsidRPr="008F5BD3">
        <w:rPr>
          <w:rFonts w:ascii="Times New Roman" w:eastAsia="Times New Roman" w:hAnsi="Times New Roman" w:cs="Times New Roman"/>
          <w:sz w:val="24"/>
          <w:szCs w:val="24"/>
          <w:lang w:val="en-US"/>
        </w:rPr>
        <w:t xml:space="preserve"> weakness, or pathological reflexes.</w:t>
      </w:r>
    </w:p>
    <w:p w14:paraId="2225144A"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History of cervical trauma, fracture, or prior cervical spine surgery</w:t>
      </w:r>
      <w:r w:rsidRPr="008F5BD3">
        <w:rPr>
          <w:rFonts w:ascii="Times New Roman" w:eastAsia="Times New Roman" w:hAnsi="Times New Roman" w:cs="Times New Roman"/>
          <w:sz w:val="24"/>
          <w:szCs w:val="24"/>
          <w:lang w:val="en-US"/>
        </w:rPr>
        <w:t>, which could alter tissue integrity or response to manual therapy.</w:t>
      </w:r>
    </w:p>
    <w:p w14:paraId="038816D4"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Diagnosed </w:t>
      </w:r>
      <w:r w:rsidRPr="008F5BD3">
        <w:rPr>
          <w:rFonts w:ascii="Times New Roman" w:eastAsia="Times New Roman" w:hAnsi="Times New Roman" w:cs="Times New Roman"/>
          <w:bCs/>
          <w:sz w:val="24"/>
          <w:szCs w:val="24"/>
          <w:lang w:val="en-US"/>
        </w:rPr>
        <w:t>psychological or psychiatric disorders</w:t>
      </w:r>
      <w:r w:rsidRPr="008F5BD3">
        <w:rPr>
          <w:rFonts w:ascii="Times New Roman" w:eastAsia="Times New Roman" w:hAnsi="Times New Roman" w:cs="Times New Roman"/>
          <w:sz w:val="24"/>
          <w:szCs w:val="24"/>
          <w:lang w:val="en-US"/>
        </w:rPr>
        <w:t xml:space="preserve"> known to influence pain perception, such as major depression, somatoform disorder, or severe anxiety.</w:t>
      </w:r>
    </w:p>
    <w:p w14:paraId="16E0827C"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Systemic inflammatory or neuromuscular conditions</w:t>
      </w:r>
      <w:r w:rsidRPr="008F5BD3">
        <w:rPr>
          <w:rFonts w:ascii="Times New Roman" w:eastAsia="Times New Roman" w:hAnsi="Times New Roman" w:cs="Times New Roman"/>
          <w:sz w:val="24"/>
          <w:szCs w:val="24"/>
          <w:lang w:val="en-US"/>
        </w:rPr>
        <w:t>, including rheumatoid arthritis, fibromyalgia, or autoimmune disorders.</w:t>
      </w:r>
    </w:p>
    <w:p w14:paraId="3DFA7CC1"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Concurrent participation in </w:t>
      </w:r>
      <w:r w:rsidRPr="008F5BD3">
        <w:rPr>
          <w:rFonts w:ascii="Times New Roman" w:eastAsia="Times New Roman" w:hAnsi="Times New Roman" w:cs="Times New Roman"/>
          <w:bCs/>
          <w:sz w:val="24"/>
          <w:szCs w:val="24"/>
          <w:lang w:val="en-US"/>
        </w:rPr>
        <w:t>other physiotherapy or manual therapy treatments</w:t>
      </w:r>
      <w:r w:rsidRPr="008F5BD3">
        <w:rPr>
          <w:rFonts w:ascii="Times New Roman" w:eastAsia="Times New Roman" w:hAnsi="Times New Roman" w:cs="Times New Roman"/>
          <w:sz w:val="24"/>
          <w:szCs w:val="24"/>
          <w:lang w:val="en-US"/>
        </w:rPr>
        <w:t>, to avoid confounding effects and maintain intervention fidelity.</w:t>
      </w:r>
    </w:p>
    <w:p w14:paraId="4D90CA4F"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p>
    <w:p w14:paraId="46AE1C81"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Randomization and Allocation</w:t>
      </w:r>
    </w:p>
    <w:p w14:paraId="2088589B" w14:textId="2A110ACC"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 total of </w:t>
      </w:r>
      <w:r w:rsidR="004F1572" w:rsidRPr="008F5BD3">
        <w:rPr>
          <w:rFonts w:ascii="Times New Roman" w:eastAsia="Times New Roman" w:hAnsi="Times New Roman" w:cs="Times New Roman"/>
          <w:bCs/>
          <w:sz w:val="24"/>
          <w:szCs w:val="24"/>
          <w:lang w:val="en-US"/>
        </w:rPr>
        <w:t>30</w:t>
      </w:r>
      <w:r w:rsidRPr="008F5BD3">
        <w:rPr>
          <w:rFonts w:ascii="Times New Roman" w:eastAsia="Times New Roman" w:hAnsi="Times New Roman" w:cs="Times New Roman"/>
          <w:bCs/>
          <w:sz w:val="24"/>
          <w:szCs w:val="24"/>
          <w:lang w:val="en-US"/>
        </w:rPr>
        <w:t xml:space="preserve"> eligible participants</w:t>
      </w:r>
      <w:r w:rsidR="00FC190D">
        <w:rPr>
          <w:rFonts w:ascii="Times New Roman" w:eastAsia="Times New Roman" w:hAnsi="Times New Roman" w:cs="Times New Roman"/>
          <w:bCs/>
          <w:sz w:val="24"/>
          <w:szCs w:val="24"/>
          <w:lang w:val="en-US"/>
        </w:rPr>
        <w:t xml:space="preserve"> </w:t>
      </w:r>
      <w:r w:rsidR="00E365EB" w:rsidRPr="008F5BD3">
        <w:rPr>
          <w:rFonts w:ascii="Times New Roman" w:eastAsia="Times New Roman" w:hAnsi="Times New Roman" w:cs="Times New Roman"/>
          <w:sz w:val="24"/>
          <w:szCs w:val="24"/>
          <w:lang w:val="en-US"/>
        </w:rPr>
        <w:t xml:space="preserve">with 15 participants in each group </w:t>
      </w:r>
      <w:r w:rsidRPr="008F5BD3">
        <w:rPr>
          <w:rFonts w:ascii="Times New Roman" w:eastAsia="Times New Roman" w:hAnsi="Times New Roman" w:cs="Times New Roman"/>
          <w:sz w:val="24"/>
          <w:szCs w:val="24"/>
          <w:lang w:val="en-US"/>
        </w:rPr>
        <w:t>were randomly assigned to one of two intervention arms:</w:t>
      </w:r>
    </w:p>
    <w:p w14:paraId="29BC00AF" w14:textId="77777777" w:rsidR="00B636C6" w:rsidRPr="008F5BD3" w:rsidRDefault="00B636C6" w:rsidP="001851C1">
      <w:pPr>
        <w:numPr>
          <w:ilvl w:val="0"/>
          <w:numId w:val="1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Group A:</w:t>
      </w:r>
      <w:r w:rsidR="00E365EB" w:rsidRPr="008F5BD3">
        <w:rPr>
          <w:rFonts w:ascii="Times New Roman" w:eastAsia="Times New Roman" w:hAnsi="Times New Roman" w:cs="Times New Roman"/>
          <w:sz w:val="24"/>
          <w:szCs w:val="24"/>
          <w:lang w:val="en-US"/>
        </w:rPr>
        <w:t xml:space="preserve">15 participants - </w:t>
      </w:r>
      <w:r w:rsidRPr="008F5BD3">
        <w:rPr>
          <w:rFonts w:ascii="Times New Roman" w:eastAsia="Times New Roman" w:hAnsi="Times New Roman" w:cs="Times New Roman"/>
          <w:sz w:val="24"/>
          <w:szCs w:val="24"/>
          <w:lang w:val="en-US"/>
        </w:rPr>
        <w:t>Integrated Neuromuscular Inhibition Technique (INIT) + Neurodynamic Mobilization</w:t>
      </w:r>
    </w:p>
    <w:p w14:paraId="2C731344" w14:textId="77777777" w:rsidR="00B636C6" w:rsidRPr="008F5BD3" w:rsidRDefault="00B636C6" w:rsidP="001851C1">
      <w:pPr>
        <w:numPr>
          <w:ilvl w:val="0"/>
          <w:numId w:val="1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Group B:</w:t>
      </w:r>
      <w:r w:rsidR="00E365EB" w:rsidRPr="008F5BD3">
        <w:rPr>
          <w:rFonts w:ascii="Times New Roman" w:eastAsia="Times New Roman" w:hAnsi="Times New Roman" w:cs="Times New Roman"/>
          <w:sz w:val="24"/>
          <w:szCs w:val="24"/>
          <w:lang w:val="en-US"/>
        </w:rPr>
        <w:t xml:space="preserve">15 participants - </w:t>
      </w:r>
      <w:r w:rsidRPr="008F5BD3">
        <w:rPr>
          <w:rFonts w:ascii="Times New Roman" w:eastAsia="Times New Roman" w:hAnsi="Times New Roman" w:cs="Times New Roman"/>
          <w:sz w:val="24"/>
          <w:szCs w:val="24"/>
          <w:lang w:val="en-US"/>
        </w:rPr>
        <w:t>Integrated Neuromuscular Inhibition Technique (INIT) only</w:t>
      </w:r>
    </w:p>
    <w:p w14:paraId="55B6DB70"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Randomization was performed using a </w:t>
      </w:r>
      <w:r w:rsidRPr="008F5BD3">
        <w:rPr>
          <w:rFonts w:ascii="Times New Roman" w:eastAsia="Times New Roman" w:hAnsi="Times New Roman" w:cs="Times New Roman"/>
          <w:bCs/>
          <w:sz w:val="24"/>
          <w:szCs w:val="24"/>
          <w:lang w:val="en-US"/>
        </w:rPr>
        <w:t>computer-generated random sequence</w:t>
      </w:r>
      <w:r w:rsidRPr="008F5BD3">
        <w:rPr>
          <w:rFonts w:ascii="Times New Roman" w:eastAsia="Times New Roman" w:hAnsi="Times New Roman" w:cs="Times New Roman"/>
          <w:sz w:val="24"/>
          <w:szCs w:val="24"/>
          <w:lang w:val="en-US"/>
        </w:rPr>
        <w:t xml:space="preserve"> to ensure an unbiased and unpredictable allocation process. Allocation concealment was maintained using </w:t>
      </w:r>
      <w:r w:rsidRPr="008F5BD3">
        <w:rPr>
          <w:rFonts w:ascii="Times New Roman" w:eastAsia="Times New Roman" w:hAnsi="Times New Roman" w:cs="Times New Roman"/>
          <w:bCs/>
          <w:sz w:val="24"/>
          <w:szCs w:val="24"/>
          <w:lang w:val="en-US"/>
        </w:rPr>
        <w:t>sequentially numbered, sealed, opaque envelopes</w:t>
      </w:r>
      <w:r w:rsidRPr="008F5BD3">
        <w:rPr>
          <w:rFonts w:ascii="Times New Roman" w:eastAsia="Times New Roman" w:hAnsi="Times New Roman" w:cs="Times New Roman"/>
          <w:sz w:val="24"/>
          <w:szCs w:val="24"/>
          <w:lang w:val="en-US"/>
        </w:rPr>
        <w:t>, prepared by a researcher who was not involved in participant recruitment or treatment. Each envelope was opened only after the participant completed baseline assessments, ensuring strict concealment.</w:t>
      </w:r>
    </w:p>
    <w:p w14:paraId="630D3951"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This methodological approach minimized selection bias and ensured that both groups were comparable at baseline, strengthening the internal validity of the study.</w:t>
      </w:r>
    </w:p>
    <w:p w14:paraId="0D5CCC45" w14:textId="77777777" w:rsidR="004F1572" w:rsidRPr="008F5BD3" w:rsidRDefault="004F1572" w:rsidP="001851C1">
      <w:pPr>
        <w:spacing w:after="0" w:line="240" w:lineRule="auto"/>
        <w:jc w:val="both"/>
        <w:rPr>
          <w:rFonts w:ascii="Times New Roman" w:eastAsia="Times New Roman" w:hAnsi="Times New Roman" w:cs="Times New Roman"/>
          <w:sz w:val="24"/>
          <w:szCs w:val="24"/>
          <w:lang w:val="en-US"/>
        </w:rPr>
      </w:pPr>
    </w:p>
    <w:p w14:paraId="3C151F80"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Intervention Protocol</w:t>
      </w:r>
    </w:p>
    <w:p w14:paraId="11664054"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All interventions were administered by a licensed physiotherapist with a minimum of five years of clinical experience in manual therapy. Treatment sessions were conducted </w:t>
      </w:r>
      <w:r w:rsidRPr="008F5BD3">
        <w:rPr>
          <w:rFonts w:ascii="Times New Roman" w:eastAsia="Times New Roman" w:hAnsi="Times New Roman" w:cs="Times New Roman"/>
          <w:bCs/>
          <w:sz w:val="24"/>
          <w:szCs w:val="24"/>
          <w:lang w:val="en-US"/>
        </w:rPr>
        <w:t>three times per week over four weeks</w:t>
      </w:r>
      <w:r w:rsidRPr="008F5BD3">
        <w:rPr>
          <w:rFonts w:ascii="Times New Roman" w:eastAsia="Times New Roman" w:hAnsi="Times New Roman" w:cs="Times New Roman"/>
          <w:sz w:val="24"/>
          <w:szCs w:val="24"/>
          <w:lang w:val="en-US"/>
        </w:rPr>
        <w:t>, with each session lasting approximately 25–30 minutes. Both groups received standardized ergonomic advice and postural education to minimize external variability.</w:t>
      </w:r>
    </w:p>
    <w:p w14:paraId="1ABE8D4A" w14:textId="77777777" w:rsidR="001851C1" w:rsidRPr="008F5BD3" w:rsidRDefault="001851C1" w:rsidP="001851C1">
      <w:pPr>
        <w:spacing w:after="0" w:line="240" w:lineRule="auto"/>
        <w:jc w:val="both"/>
        <w:outlineLvl w:val="2"/>
        <w:rPr>
          <w:rFonts w:ascii="Times New Roman" w:eastAsia="Times New Roman" w:hAnsi="Times New Roman" w:cs="Times New Roman"/>
          <w:b/>
          <w:bCs/>
          <w:sz w:val="24"/>
          <w:szCs w:val="24"/>
          <w:lang w:val="en-US"/>
        </w:rPr>
      </w:pPr>
    </w:p>
    <w:p w14:paraId="1B3F2142" w14:textId="77777777" w:rsidR="004F1572"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 xml:space="preserve">Group A: </w:t>
      </w:r>
    </w:p>
    <w:p w14:paraId="5FEB9E7E"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INIT + Neurodynamic Mobilization</w:t>
      </w:r>
    </w:p>
    <w:p w14:paraId="6D2C267B"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assigned to Group A received the full Integrated Neuromuscular Inhibition Technique (INIT) protocol followed by neurodynamic mobilization targeting the median nerve. The combined approach was intended to address both myofascial dysfunction and altered neural mechanics.</w:t>
      </w:r>
    </w:p>
    <w:p w14:paraId="51CD2D4D"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Ischemic Compression (30–60 seconds)</w:t>
      </w:r>
    </w:p>
    <w:p w14:paraId="474FBD1C"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Localized pressure was applied directly to the identified upper trapezius trigger point using the therapist’s thumb or reinforced finger. Pressure was gradually increased until the patient reported moderate </w:t>
      </w:r>
      <w:r w:rsidR="004F1572" w:rsidRPr="008F5BD3">
        <w:rPr>
          <w:rFonts w:ascii="Times New Roman" w:eastAsia="Times New Roman" w:hAnsi="Times New Roman" w:cs="Times New Roman"/>
          <w:sz w:val="24"/>
          <w:szCs w:val="24"/>
          <w:lang w:val="en-US"/>
        </w:rPr>
        <w:t>discomfort (not exceeding 6/10)</w:t>
      </w:r>
      <w:r w:rsidRPr="008F5BD3">
        <w:rPr>
          <w:rFonts w:ascii="Times New Roman" w:eastAsia="Times New Roman" w:hAnsi="Times New Roman" w:cs="Times New Roman"/>
          <w:sz w:val="24"/>
          <w:szCs w:val="24"/>
          <w:lang w:val="en-US"/>
        </w:rPr>
        <w:t xml:space="preserve"> and maintained until a release was perceived or pain subsided.</w:t>
      </w:r>
    </w:p>
    <w:p w14:paraId="5916C8B7"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Strain–</w:t>
      </w:r>
      <w:proofErr w:type="spellStart"/>
      <w:r w:rsidRPr="008F5BD3">
        <w:rPr>
          <w:rFonts w:ascii="Times New Roman" w:eastAsia="Times New Roman" w:hAnsi="Times New Roman" w:cs="Times New Roman"/>
          <w:b/>
          <w:bCs/>
          <w:sz w:val="24"/>
          <w:szCs w:val="24"/>
          <w:lang w:val="en-US"/>
        </w:rPr>
        <w:t>Counterstrain</w:t>
      </w:r>
      <w:proofErr w:type="spellEnd"/>
      <w:r w:rsidRPr="008F5BD3">
        <w:rPr>
          <w:rFonts w:ascii="Times New Roman" w:eastAsia="Times New Roman" w:hAnsi="Times New Roman" w:cs="Times New Roman"/>
          <w:b/>
          <w:bCs/>
          <w:sz w:val="24"/>
          <w:szCs w:val="24"/>
          <w:lang w:val="en-US"/>
        </w:rPr>
        <w:t xml:space="preserve"> (90 seconds)</w:t>
      </w:r>
    </w:p>
    <w:p w14:paraId="5A1F03BF"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upper trapezius was positioned into a shortened, pain-free position to reduce muscle spindle activity and nociceptive reflexes. This position was held for 90 seconds, followed by a slow return to neutral.</w:t>
      </w:r>
    </w:p>
    <w:p w14:paraId="72DFAC79"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Muscle Energy Technique (3–5 repetitions)</w:t>
      </w:r>
    </w:p>
    <w:p w14:paraId="09E881FD"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Post–isometric relaxation technique was used. The participant performed a gentle isometric contraction of the upper trapezius against minimal resistance (20–25% of maximum effort) for 5–7 seconds, followed by relaxation and therapist-assisted stretch to a new barrier. This was repeated 3–5 times.</w:t>
      </w:r>
    </w:p>
    <w:p w14:paraId="37CF8D45"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Median Nerve Neurodynamic Mobilization</w:t>
      </w:r>
    </w:p>
    <w:p w14:paraId="306B590C"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Both </w:t>
      </w:r>
      <w:r w:rsidRPr="008F5BD3">
        <w:rPr>
          <w:rFonts w:ascii="Times New Roman" w:eastAsia="Times New Roman" w:hAnsi="Times New Roman" w:cs="Times New Roman"/>
          <w:bCs/>
          <w:sz w:val="24"/>
          <w:szCs w:val="24"/>
          <w:lang w:val="en-US"/>
        </w:rPr>
        <w:t>sliding (gliding)</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tensioning</w:t>
      </w:r>
      <w:r w:rsidRPr="008F5BD3">
        <w:rPr>
          <w:rFonts w:ascii="Times New Roman" w:eastAsia="Times New Roman" w:hAnsi="Times New Roman" w:cs="Times New Roman"/>
          <w:sz w:val="24"/>
          <w:szCs w:val="24"/>
          <w:lang w:val="en-US"/>
        </w:rPr>
        <w:t xml:space="preserve"> techniques were incorporated based on standard neurodynamic protocols.</w:t>
      </w:r>
    </w:p>
    <w:p w14:paraId="2143F80E" w14:textId="77777777" w:rsidR="00B636C6" w:rsidRPr="008F5BD3" w:rsidRDefault="00B636C6" w:rsidP="001851C1">
      <w:pPr>
        <w:numPr>
          <w:ilvl w:val="1"/>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shoulder was abducted and externally rotated with wrist and elbow movements coordinated to facilitate neural excursion.</w:t>
      </w:r>
    </w:p>
    <w:p w14:paraId="478FEAA1" w14:textId="77777777" w:rsidR="00B636C6" w:rsidRPr="008F5BD3" w:rsidRDefault="00B636C6" w:rsidP="008F5BD3">
      <w:pPr>
        <w:numPr>
          <w:ilvl w:val="1"/>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Three sets of 10 repetitions</w:t>
      </w:r>
      <w:r w:rsidRPr="008F5BD3">
        <w:rPr>
          <w:rFonts w:ascii="Times New Roman" w:eastAsia="Times New Roman" w:hAnsi="Times New Roman" w:cs="Times New Roman"/>
          <w:sz w:val="24"/>
          <w:szCs w:val="24"/>
          <w:lang w:val="en-US"/>
        </w:rPr>
        <w:t xml:space="preserve"> were performed, ensuring movements remained pain-free and within patient </w:t>
      </w:r>
      <w:proofErr w:type="spellStart"/>
      <w:proofErr w:type="gramStart"/>
      <w:r w:rsidRPr="008F5BD3">
        <w:rPr>
          <w:rFonts w:ascii="Times New Roman" w:eastAsia="Times New Roman" w:hAnsi="Times New Roman" w:cs="Times New Roman"/>
          <w:sz w:val="24"/>
          <w:szCs w:val="24"/>
          <w:lang w:val="en-US"/>
        </w:rPr>
        <w:t>tolerance.Sliding</w:t>
      </w:r>
      <w:proofErr w:type="spellEnd"/>
      <w:proofErr w:type="gramEnd"/>
      <w:r w:rsidRPr="008F5BD3">
        <w:rPr>
          <w:rFonts w:ascii="Times New Roman" w:eastAsia="Times New Roman" w:hAnsi="Times New Roman" w:cs="Times New Roman"/>
          <w:sz w:val="24"/>
          <w:szCs w:val="24"/>
          <w:lang w:val="en-US"/>
        </w:rPr>
        <w:t xml:space="preserve"> was emphasized during early sessions; tensioning was added gradually as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improved.</w:t>
      </w:r>
    </w:p>
    <w:p w14:paraId="77290F82" w14:textId="77777777" w:rsidR="001851C1" w:rsidRPr="008F5BD3" w:rsidRDefault="001851C1" w:rsidP="001851C1">
      <w:pPr>
        <w:spacing w:after="0" w:line="240" w:lineRule="auto"/>
        <w:jc w:val="both"/>
        <w:outlineLvl w:val="2"/>
        <w:rPr>
          <w:rFonts w:ascii="Times New Roman" w:eastAsia="Times New Roman" w:hAnsi="Times New Roman" w:cs="Times New Roman"/>
          <w:b/>
          <w:bCs/>
          <w:sz w:val="24"/>
          <w:szCs w:val="24"/>
          <w:lang w:val="en-US"/>
        </w:rPr>
      </w:pPr>
    </w:p>
    <w:p w14:paraId="7D44D314"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Group B: INIT Only</w:t>
      </w:r>
    </w:p>
    <w:p w14:paraId="546292D6"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in Group B received only the INIT components, matching steps 1–3 described above:</w:t>
      </w:r>
    </w:p>
    <w:p w14:paraId="64A7FD39"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Ischemic Compression</w:t>
      </w:r>
    </w:p>
    <w:p w14:paraId="1BAA599D"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Strain–</w:t>
      </w:r>
      <w:proofErr w:type="spellStart"/>
      <w:r w:rsidRPr="008F5BD3">
        <w:rPr>
          <w:rFonts w:ascii="Times New Roman" w:eastAsia="Times New Roman" w:hAnsi="Times New Roman" w:cs="Times New Roman"/>
          <w:sz w:val="24"/>
          <w:szCs w:val="24"/>
          <w:lang w:val="en-US"/>
        </w:rPr>
        <w:t>Counterstrain</w:t>
      </w:r>
      <w:proofErr w:type="spellEnd"/>
    </w:p>
    <w:p w14:paraId="713C90B5"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Muscle Energy Technique</w:t>
      </w:r>
    </w:p>
    <w:p w14:paraId="3B886431"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No neurodynamic mobilization was performed. Treatment duration and therapist interaction time were matched to Group A as closely as possible to control for nonspecific effects.</w:t>
      </w:r>
    </w:p>
    <w:p w14:paraId="7A788FFA" w14:textId="77777777" w:rsidR="001851C1" w:rsidRPr="008F5BD3" w:rsidRDefault="001851C1" w:rsidP="001851C1">
      <w:pPr>
        <w:spacing w:after="0" w:line="240" w:lineRule="auto"/>
        <w:jc w:val="both"/>
        <w:outlineLvl w:val="1"/>
        <w:rPr>
          <w:rFonts w:ascii="Times New Roman" w:eastAsia="Times New Roman" w:hAnsi="Times New Roman" w:cs="Times New Roman"/>
          <w:b/>
          <w:bCs/>
          <w:sz w:val="24"/>
          <w:szCs w:val="24"/>
          <w:lang w:val="en-US"/>
        </w:rPr>
      </w:pPr>
    </w:p>
    <w:p w14:paraId="7E386466" w14:textId="77777777" w:rsidR="00B636C6" w:rsidRPr="008F5BD3" w:rsidRDefault="00B636C6"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Home Exercise Protocol (Provided to Both Groups)</w:t>
      </w:r>
    </w:p>
    <w:p w14:paraId="5470A38D"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iCs/>
          <w:sz w:val="24"/>
          <w:szCs w:val="24"/>
          <w:lang w:val="en-US"/>
        </w:rPr>
        <w:t>Participants in both groups were instructed to perform the following exercises at home once daily throughout the 4-week intervention period. These exercises were selected to ensure uniformity while avoiding any techniques that could overlap or interfere with the study interventions.</w:t>
      </w:r>
    </w:p>
    <w:p w14:paraId="003F33D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1. Cervical Retraction (Chin Tucks)</w:t>
      </w:r>
    </w:p>
    <w:p w14:paraId="13B55E62"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 or standing with upright posture</w:t>
      </w:r>
    </w:p>
    <w:p w14:paraId="2FF298D1"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r w:rsidRPr="008F5BD3">
        <w:rPr>
          <w:rFonts w:ascii="Times New Roman" w:eastAsia="Times New Roman" w:hAnsi="Times New Roman" w:cs="Times New Roman"/>
          <w:sz w:val="24"/>
          <w:szCs w:val="24"/>
          <w:lang w:val="en-US"/>
        </w:rPr>
        <w:t xml:space="preserve"> Gently draw the chin backward, creating a “double chin,” without neck flexion or extension</w:t>
      </w:r>
    </w:p>
    <w:p w14:paraId="08DD4926"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w:t>
      </w:r>
    </w:p>
    <w:p w14:paraId="2C4BFDD7"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Sets:</w:t>
      </w:r>
      <w:r w:rsidRPr="008F5BD3">
        <w:rPr>
          <w:rFonts w:ascii="Times New Roman" w:eastAsia="Times New Roman" w:hAnsi="Times New Roman" w:cs="Times New Roman"/>
          <w:sz w:val="24"/>
          <w:szCs w:val="24"/>
          <w:lang w:val="en-US"/>
        </w:rPr>
        <w:t xml:space="preserve"> 2</w:t>
      </w:r>
    </w:p>
    <w:p w14:paraId="7A55DC12"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5 seconds</w:t>
      </w:r>
    </w:p>
    <w:p w14:paraId="4AE89CDE"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Improves postural alignment and reduces forward-head stress</w:t>
      </w:r>
    </w:p>
    <w:p w14:paraId="58D6D3E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2. Upper Trapezius Stretch</w:t>
      </w:r>
    </w:p>
    <w:p w14:paraId="448D1EC9"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w:t>
      </w:r>
    </w:p>
    <w:p w14:paraId="74E2F03D"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p>
    <w:p w14:paraId="41275197"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Tilt head to the opposite side</w:t>
      </w:r>
    </w:p>
    <w:p w14:paraId="1C71EA3F"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Use the opposite hand for gentle over-pressure</w:t>
      </w:r>
    </w:p>
    <w:p w14:paraId="593424F0"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Maintain relaxed breathing</w:t>
      </w:r>
    </w:p>
    <w:p w14:paraId="4079F1EA"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20–30 seconds</w:t>
      </w:r>
    </w:p>
    <w:p w14:paraId="214278F9"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3 each side</w:t>
      </w:r>
    </w:p>
    <w:p w14:paraId="0E27AF91"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Improves muscle flexibility without mimicking therapeutic techniques</w:t>
      </w:r>
    </w:p>
    <w:p w14:paraId="23870F9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3. Scapular Retraction Exercise</w:t>
      </w:r>
    </w:p>
    <w:p w14:paraId="0F6ECDE2"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 or standing</w:t>
      </w:r>
    </w:p>
    <w:p w14:paraId="28DD1465"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p>
    <w:p w14:paraId="4464307F" w14:textId="77777777" w:rsidR="00B636C6" w:rsidRPr="008F5BD3" w:rsidRDefault="00B636C6" w:rsidP="001851C1">
      <w:pPr>
        <w:numPr>
          <w:ilvl w:val="1"/>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Draw shoulder blades backward and downward</w:t>
      </w:r>
    </w:p>
    <w:p w14:paraId="52A54EC1" w14:textId="77777777" w:rsidR="00B636C6" w:rsidRPr="008F5BD3" w:rsidRDefault="00B636C6" w:rsidP="001851C1">
      <w:pPr>
        <w:numPr>
          <w:ilvl w:val="1"/>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Avoid shrugging</w:t>
      </w:r>
    </w:p>
    <w:p w14:paraId="2ACB1B0E"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w:t>
      </w:r>
    </w:p>
    <w:p w14:paraId="4CD9B2DD"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Sets:</w:t>
      </w:r>
      <w:r w:rsidRPr="008F5BD3">
        <w:rPr>
          <w:rFonts w:ascii="Times New Roman" w:eastAsia="Times New Roman" w:hAnsi="Times New Roman" w:cs="Times New Roman"/>
          <w:sz w:val="24"/>
          <w:szCs w:val="24"/>
          <w:lang w:val="en-US"/>
        </w:rPr>
        <w:t xml:space="preserve"> 2</w:t>
      </w:r>
    </w:p>
    <w:p w14:paraId="56AFACC3"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5 seconds</w:t>
      </w:r>
    </w:p>
    <w:p w14:paraId="2C83A4EF"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Enhances postural muscle activation, reducing cervical load</w:t>
      </w:r>
    </w:p>
    <w:p w14:paraId="515B3479"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4. Cervical Range-of-Motion Exercises</w:t>
      </w:r>
    </w:p>
    <w:p w14:paraId="32F8E305"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Performed slowly within a pain-free range:</w:t>
      </w:r>
    </w:p>
    <w:p w14:paraId="112A0139"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Flexion &amp; Extension</w:t>
      </w:r>
    </w:p>
    <w:p w14:paraId="137DA959"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Right &amp; left rotation</w:t>
      </w:r>
    </w:p>
    <w:p w14:paraId="56D6734D"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Right &amp; left side-bending</w:t>
      </w:r>
    </w:p>
    <w:p w14:paraId="7C12451C"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 each direction</w:t>
      </w:r>
    </w:p>
    <w:p w14:paraId="63F231D7"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Frequency:</w:t>
      </w:r>
      <w:r w:rsidRPr="008F5BD3">
        <w:rPr>
          <w:rFonts w:ascii="Times New Roman" w:eastAsia="Times New Roman" w:hAnsi="Times New Roman" w:cs="Times New Roman"/>
          <w:sz w:val="24"/>
          <w:szCs w:val="24"/>
          <w:lang w:val="en-US"/>
        </w:rPr>
        <w:t xml:space="preserve"> Once daily</w:t>
      </w:r>
    </w:p>
    <w:p w14:paraId="5D6EE9E2"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Maintains mobility without providing therapeutic mobilization</w:t>
      </w:r>
    </w:p>
    <w:p w14:paraId="030F68B5"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5. Ergonomic &amp; Postural Advice</w:t>
      </w:r>
    </w:p>
    <w:p w14:paraId="0130A6EC"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received uniform written instructions regarding:</w:t>
      </w:r>
    </w:p>
    <w:p w14:paraId="428063EF"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Avoiding prolonged neck flexion (e.g., mobile use)</w:t>
      </w:r>
    </w:p>
    <w:p w14:paraId="52869B23"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Maintaining neutral head posture at work</w:t>
      </w:r>
    </w:p>
    <w:p w14:paraId="10FA7A37"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Taking micro-breaks every 30–45 minutes</w:t>
      </w:r>
    </w:p>
    <w:p w14:paraId="742F440E"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Using appropriate pillow height (neutral cervical alignment)</w:t>
      </w:r>
    </w:p>
    <w:p w14:paraId="5452B024" w14:textId="77777777" w:rsidR="004F1572" w:rsidRPr="008F5BD3" w:rsidRDefault="004F1572" w:rsidP="001851C1">
      <w:pPr>
        <w:spacing w:after="0" w:line="240" w:lineRule="auto"/>
        <w:jc w:val="both"/>
        <w:outlineLvl w:val="2"/>
        <w:rPr>
          <w:rFonts w:ascii="Times New Roman" w:eastAsia="Times New Roman" w:hAnsi="Times New Roman" w:cs="Times New Roman"/>
          <w:b/>
          <w:bCs/>
          <w:sz w:val="24"/>
          <w:szCs w:val="24"/>
          <w:lang w:val="en-US"/>
        </w:rPr>
      </w:pPr>
    </w:p>
    <w:p w14:paraId="033C33DE" w14:textId="77777777" w:rsidR="004F1572" w:rsidRPr="008F5BD3" w:rsidRDefault="004F1572" w:rsidP="001851C1">
      <w:pPr>
        <w:spacing w:after="0" w:line="240" w:lineRule="auto"/>
        <w:jc w:val="both"/>
        <w:outlineLvl w:val="2"/>
        <w:rPr>
          <w:rFonts w:ascii="Times New Roman" w:eastAsia="Times New Roman" w:hAnsi="Times New Roman" w:cs="Times New Roman"/>
          <w:b/>
          <w:bCs/>
          <w:sz w:val="24"/>
          <w:szCs w:val="24"/>
          <w:lang w:val="en-US"/>
        </w:rPr>
      </w:pPr>
    </w:p>
    <w:p w14:paraId="379E7682"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 xml:space="preserve">Standardization </w:t>
      </w:r>
    </w:p>
    <w:p w14:paraId="55352F2C"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This home-exercise program was intentionally </w:t>
      </w:r>
      <w:r w:rsidRPr="008F5BD3">
        <w:rPr>
          <w:rFonts w:ascii="Times New Roman" w:eastAsia="Times New Roman" w:hAnsi="Times New Roman" w:cs="Times New Roman"/>
          <w:bCs/>
          <w:sz w:val="24"/>
          <w:szCs w:val="24"/>
          <w:lang w:val="en-US"/>
        </w:rPr>
        <w:t>generic</w:t>
      </w:r>
      <w:r w:rsidRPr="008F5BD3">
        <w:rPr>
          <w:rFonts w:ascii="Times New Roman" w:eastAsia="Times New Roman" w:hAnsi="Times New Roman" w:cs="Times New Roman"/>
          <w:sz w:val="24"/>
          <w:szCs w:val="24"/>
          <w:lang w:val="en-US"/>
        </w:rPr>
        <w:t>, ensuring it would not replicate or enhance the effects of INIT or neurodynamic mobilization.</w:t>
      </w:r>
    </w:p>
    <w:p w14:paraId="745F8293"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Both groups received the </w:t>
      </w:r>
      <w:r w:rsidRPr="008F5BD3">
        <w:rPr>
          <w:rFonts w:ascii="Times New Roman" w:eastAsia="Times New Roman" w:hAnsi="Times New Roman" w:cs="Times New Roman"/>
          <w:bCs/>
          <w:sz w:val="24"/>
          <w:szCs w:val="24"/>
          <w:lang w:val="en-US"/>
        </w:rPr>
        <w:t>same</w:t>
      </w:r>
      <w:r w:rsidRPr="008F5BD3">
        <w:rPr>
          <w:rFonts w:ascii="Times New Roman" w:eastAsia="Times New Roman" w:hAnsi="Times New Roman" w:cs="Times New Roman"/>
          <w:sz w:val="24"/>
          <w:szCs w:val="24"/>
          <w:lang w:val="en-US"/>
        </w:rPr>
        <w:t xml:space="preserve"> instructions to minimize bias and control for home-based influences.</w:t>
      </w:r>
    </w:p>
    <w:p w14:paraId="0F212835"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asked to maintain a simple daily log to improve adherence and document compliance without influencing treatment outcomes.</w:t>
      </w:r>
    </w:p>
    <w:p w14:paraId="061034D3"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p>
    <w:p w14:paraId="36C745A4"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Outcome Measures</w:t>
      </w:r>
    </w:p>
    <w:p w14:paraId="15C766E4"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Visual Analog Scale (VAS)</w:t>
      </w:r>
    </w:p>
    <w:p w14:paraId="1DC30927"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Pain intensity was quantified using a 10 cm horizontal VAS, where 0 indicated “no pain” and 10 indicated “worst imaginable pain.” Participants marked their pain level at rest and during movement.</w:t>
      </w:r>
    </w:p>
    <w:p w14:paraId="5E42EC37"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Neck Disability Index (NDI)</w:t>
      </w:r>
    </w:p>
    <w:p w14:paraId="486CEC05"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NDI was used to assess functional disability related to neck pain. It consists of 10 items evaluating pain intensity, personal care, lifting, concentration, work, and other functional domains. Scores range from 0 to 50, with higher scores indicating greater disability.</w:t>
      </w:r>
    </w:p>
    <w:p w14:paraId="15A76731"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Cervical Range of Motion (CROM)</w:t>
      </w:r>
    </w:p>
    <w:p w14:paraId="522E8171" w14:textId="77777777" w:rsidR="001851C1" w:rsidRPr="008F5BD3" w:rsidRDefault="00B636C6" w:rsidP="004F1572">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Cervical flexion, extension, lateral flexion, and rotation were measured using a </w:t>
      </w:r>
      <w:r w:rsidRPr="008F5BD3">
        <w:rPr>
          <w:rFonts w:ascii="Times New Roman" w:eastAsia="Times New Roman" w:hAnsi="Times New Roman" w:cs="Times New Roman"/>
          <w:bCs/>
          <w:sz w:val="24"/>
          <w:szCs w:val="24"/>
          <w:lang w:val="en-US"/>
        </w:rPr>
        <w:t>universal goniometer</w:t>
      </w:r>
      <w:r w:rsidRPr="008F5BD3">
        <w:rPr>
          <w:rFonts w:ascii="Times New Roman" w:eastAsia="Times New Roman" w:hAnsi="Times New Roman" w:cs="Times New Roman"/>
          <w:sz w:val="24"/>
          <w:szCs w:val="24"/>
          <w:lang w:val="en-US"/>
        </w:rPr>
        <w:t>. Standardized testing positions and stabilization techniques were used to ensure reliability.</w:t>
      </w:r>
    </w:p>
    <w:p w14:paraId="5D28A032"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Outcome assessments were conducted at </w:t>
      </w:r>
      <w:r w:rsidRPr="008F5BD3">
        <w:rPr>
          <w:rFonts w:ascii="Times New Roman" w:eastAsia="Times New Roman" w:hAnsi="Times New Roman" w:cs="Times New Roman"/>
          <w:bCs/>
          <w:sz w:val="24"/>
          <w:szCs w:val="24"/>
          <w:lang w:val="en-US"/>
        </w:rPr>
        <w:t>three time points</w:t>
      </w:r>
      <w:r w:rsidRPr="008F5BD3">
        <w:rPr>
          <w:rFonts w:ascii="Times New Roman" w:eastAsia="Times New Roman" w:hAnsi="Times New Roman" w:cs="Times New Roman"/>
          <w:sz w:val="24"/>
          <w:szCs w:val="24"/>
          <w:lang w:val="en-US"/>
        </w:rPr>
        <w:t>:</w:t>
      </w:r>
    </w:p>
    <w:p w14:paraId="7A967753"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Baseline (pre-intervention)</w:t>
      </w:r>
    </w:p>
    <w:p w14:paraId="796CB132"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Week 2 (mid-intervention)</w:t>
      </w:r>
    </w:p>
    <w:p w14:paraId="59D6C9B7"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Week 4 (post-intervention)</w:t>
      </w:r>
    </w:p>
    <w:p w14:paraId="200569BE"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All measurements were taken by an assessor blinded to group allocation to reduce assessment bias.</w:t>
      </w:r>
    </w:p>
    <w:p w14:paraId="0AB665F5" w14:textId="77777777" w:rsidR="004F1572" w:rsidRPr="008F5BD3" w:rsidRDefault="004F1572" w:rsidP="004F1572">
      <w:pPr>
        <w:spacing w:after="0" w:line="240" w:lineRule="auto"/>
        <w:ind w:left="360"/>
        <w:jc w:val="both"/>
        <w:rPr>
          <w:rFonts w:ascii="Times New Roman" w:eastAsia="Times New Roman" w:hAnsi="Times New Roman" w:cs="Times New Roman"/>
          <w:sz w:val="24"/>
          <w:szCs w:val="24"/>
          <w:lang w:val="en-US"/>
        </w:rPr>
      </w:pPr>
    </w:p>
    <w:p w14:paraId="127229DE" w14:textId="77777777" w:rsidR="001A6E2A" w:rsidRPr="008F5BD3" w:rsidRDefault="001A6E2A"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Statistical Analysis</w:t>
      </w:r>
    </w:p>
    <w:p w14:paraId="40BCF686"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Data were analyzed using SPSS 2</w:t>
      </w:r>
      <w:r w:rsidR="001851C1" w:rsidRPr="008F5BD3">
        <w:rPr>
          <w:rFonts w:ascii="Times New Roman" w:eastAsia="Times New Roman" w:hAnsi="Times New Roman" w:cs="Times New Roman"/>
          <w:sz w:val="24"/>
          <w:szCs w:val="24"/>
          <w:lang w:val="en-US"/>
        </w:rPr>
        <w:t>7</w:t>
      </w:r>
      <w:r w:rsidRPr="008F5BD3">
        <w:rPr>
          <w:rFonts w:ascii="Times New Roman" w:eastAsia="Times New Roman" w:hAnsi="Times New Roman" w:cs="Times New Roman"/>
          <w:sz w:val="24"/>
          <w:szCs w:val="24"/>
          <w:lang w:val="en-US"/>
        </w:rPr>
        <w:t>.0. Paired t-tests assessed within-group differences, while independent t-tests compared between-group changes. Significance level was set at p &lt; 0.05.</w:t>
      </w:r>
    </w:p>
    <w:p w14:paraId="2C4A5A75"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3B7D03EF" w14:textId="77777777" w:rsidR="001A6E2A" w:rsidRPr="008F5BD3" w:rsidRDefault="001A6E2A"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Results</w:t>
      </w:r>
    </w:p>
    <w:p w14:paraId="460CC1F7" w14:textId="77777777" w:rsidR="001A6E2A" w:rsidRPr="008F5BD3" w:rsidRDefault="001A6E2A"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Participant Flow</w:t>
      </w:r>
    </w:p>
    <w:p w14:paraId="7279E7E9" w14:textId="77777777" w:rsidR="001A6E2A" w:rsidRPr="008F5BD3" w:rsidRDefault="004F1572"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Of 6</w:t>
      </w:r>
      <w:r w:rsidR="00E365EB" w:rsidRPr="008F5BD3">
        <w:rPr>
          <w:rFonts w:ascii="Times New Roman" w:eastAsia="Times New Roman" w:hAnsi="Times New Roman" w:cs="Times New Roman"/>
          <w:sz w:val="24"/>
          <w:szCs w:val="24"/>
          <w:lang w:val="en-US"/>
        </w:rPr>
        <w:t>0 screened individuals, 3</w:t>
      </w:r>
      <w:r w:rsidR="001A6E2A" w:rsidRPr="008F5BD3">
        <w:rPr>
          <w:rFonts w:ascii="Times New Roman" w:eastAsia="Times New Roman" w:hAnsi="Times New Roman" w:cs="Times New Roman"/>
          <w:sz w:val="24"/>
          <w:szCs w:val="24"/>
          <w:lang w:val="en-US"/>
        </w:rPr>
        <w:t>0 met inclusion criteria and were randomized. All participants completed the 4-week study.</w:t>
      </w:r>
    </w:p>
    <w:p w14:paraId="49C2C4EA" w14:textId="77777777"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At baseline, both groups demonstrated statistical comparability in terms of pain intensity, functional disability, and cervical range of motion, indicating that the two cohorts were homogeneous prior to intervention. Independent t-tests performed for baseline values showed no significant differences between Group A and Group B (p &gt; 0.05), confirming that any subsequent changes were attributable to the respective treatment protocols rather than pre-existing disparities.</w:t>
      </w:r>
    </w:p>
    <w:p w14:paraId="500914CE" w14:textId="77777777"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Following the intervention period, both groups exhibited significant within-group improvements as determined through Repeated Measures ANOVA; however, the extent of improvement was noticeably greater in Group A. Participants in Group A, who received Neurodynamic Mobilization, demonstrated marked reductions in pain over time, with VAS scores declining from 7.27 ± 0.96 at baseline to 5.00 ± 1.13 at the second week and further down to 2.80 ± 1.15 by the fourth week (p &lt; 0.001). Functional disability, assessed using the NDI, also improved substantially, decreasing from 35.49 ± 6.56 to 25.56 ± 6.53 at the second week and reaching 19.15 ± 5.32 at the fourth week, indicating strong functional recovery (p &lt; 0.001). Cervical ROM values similarly demonstrated progressive enhancement across all measured directions, with flexion, extension, lateral flexion, and rotation showing statistically significant increases over the four-week period (all p &lt; 0.001).</w:t>
      </w:r>
    </w:p>
    <w:p w14:paraId="07700DD6" w14:textId="77777777"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Group B, which received Integrated Neuromuscular Inhibition Technique (INIT) alone, also showed statistically significant improvements across all outcome measures, although the magnitude of change was smaller compared to Group A. Pain scores reduced from 7.93 ± 1.10 at baseline to 6.47 ± 1.41 at the second week and further to 5.27 ± 1.16 at the fourth week (p &lt; 0.001). The NDI also showed moderate improvement, decreasing from 36.20 ± 5.43 to 31.92 ± 5.92 at the second week and 27.52 ± 5.87 at the fourth week (p &lt; 0.001). While cervical ROM improved significantly over time in flexion, extension, lateral flexion, and rotation (all p &lt; 0.001), the gains observed in Group B remained considerably less than those noted in Group A.</w:t>
      </w:r>
    </w:p>
    <w:p w14:paraId="70CF8CE7" w14:textId="77777777" w:rsidR="001C4D6E"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When comparing change scores between the groups using Independent t-tests</w:t>
      </w:r>
      <w:r w:rsidR="00DF054E">
        <w:rPr>
          <w:rFonts w:ascii="Times New Roman" w:eastAsia="Times New Roman" w:hAnsi="Times New Roman" w:cs="Times New Roman"/>
          <w:sz w:val="24"/>
          <w:szCs w:val="24"/>
          <w:lang w:val="en-US"/>
        </w:rPr>
        <w:t xml:space="preserve"> (Mann Whitney U)</w:t>
      </w:r>
      <w:r w:rsidRPr="008F5BD3">
        <w:rPr>
          <w:rFonts w:ascii="Times New Roman" w:eastAsia="Times New Roman" w:hAnsi="Times New Roman" w:cs="Times New Roman"/>
          <w:sz w:val="24"/>
          <w:szCs w:val="24"/>
          <w:lang w:val="en-US"/>
        </w:rPr>
        <w:t>, Group A consistently demonstrated superior improvement across all domains. Neurodynamic Mobilization resulted in substantially greater reductions in pain and functional disability, nearly double the improvement in NDI scores compared to INIT alone, and more pronounced gains in cervical ROM. By the end of the fourth week, Group A exhibited a 61.5% reduction in pain levels from baseline, whereas Group B showed only a 33.5% reduction. These findings collectively indicate that although both interventions were effective in improving symptoms of mechanical neck pain, Neurodynamic Mobilization offered significantly greater therapeutic benefits than INIT alone in enhancing pain relief, functional outcomes, and cervical mobility over the four-week intervention period.</w:t>
      </w:r>
    </w:p>
    <w:p w14:paraId="655D62AA"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Table 1: Showing Mean Values of Outcome Measures of Group A</w:t>
      </w:r>
    </w:p>
    <w:tbl>
      <w:tblPr>
        <w:tblStyle w:val="TableGrid"/>
        <w:tblW w:w="6952" w:type="dxa"/>
        <w:jc w:val="center"/>
        <w:tblLook w:val="04A0" w:firstRow="1" w:lastRow="0" w:firstColumn="1" w:lastColumn="0" w:noHBand="0" w:noVBand="1"/>
      </w:tblPr>
      <w:tblGrid>
        <w:gridCol w:w="1231"/>
        <w:gridCol w:w="1521"/>
        <w:gridCol w:w="1456"/>
        <w:gridCol w:w="1599"/>
        <w:gridCol w:w="1145"/>
      </w:tblGrid>
      <w:tr w:rsidR="0080703C" w:rsidRPr="008F5BD3" w14:paraId="536BDA6F" w14:textId="77777777" w:rsidTr="00A94C0C">
        <w:trPr>
          <w:trHeight w:val="630"/>
          <w:jc w:val="center"/>
        </w:trPr>
        <w:tc>
          <w:tcPr>
            <w:tcW w:w="6952" w:type="dxa"/>
            <w:gridSpan w:val="5"/>
            <w:noWrap/>
            <w:vAlign w:val="center"/>
            <w:hideMark/>
          </w:tcPr>
          <w:p w14:paraId="4A9F116A"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Group A</w:t>
            </w:r>
          </w:p>
        </w:tc>
      </w:tr>
      <w:tr w:rsidR="0080703C" w:rsidRPr="008F5BD3" w14:paraId="7910C332" w14:textId="77777777" w:rsidTr="00A94C0C">
        <w:trPr>
          <w:trHeight w:val="600"/>
          <w:jc w:val="center"/>
        </w:trPr>
        <w:tc>
          <w:tcPr>
            <w:tcW w:w="1231" w:type="dxa"/>
            <w:hideMark/>
          </w:tcPr>
          <w:p w14:paraId="6BA7C6B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Outcome Measure</w:t>
            </w:r>
          </w:p>
        </w:tc>
        <w:tc>
          <w:tcPr>
            <w:tcW w:w="1521" w:type="dxa"/>
            <w:noWrap/>
            <w:vAlign w:val="center"/>
            <w:hideMark/>
          </w:tcPr>
          <w:p w14:paraId="1E802883"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Baseline</w:t>
            </w:r>
          </w:p>
        </w:tc>
        <w:tc>
          <w:tcPr>
            <w:tcW w:w="1456" w:type="dxa"/>
            <w:noWrap/>
            <w:vAlign w:val="center"/>
            <w:hideMark/>
          </w:tcPr>
          <w:p w14:paraId="359EF9F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2nd week</w:t>
            </w:r>
          </w:p>
        </w:tc>
        <w:tc>
          <w:tcPr>
            <w:tcW w:w="1599" w:type="dxa"/>
            <w:noWrap/>
            <w:vAlign w:val="center"/>
            <w:hideMark/>
          </w:tcPr>
          <w:p w14:paraId="2EE934EE"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4th week</w:t>
            </w:r>
          </w:p>
        </w:tc>
        <w:tc>
          <w:tcPr>
            <w:tcW w:w="1145" w:type="dxa"/>
            <w:vAlign w:val="center"/>
          </w:tcPr>
          <w:p w14:paraId="43A05604"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P- value</w:t>
            </w:r>
          </w:p>
        </w:tc>
      </w:tr>
      <w:tr w:rsidR="0080703C" w:rsidRPr="008F5BD3" w14:paraId="5D7B64B9" w14:textId="77777777" w:rsidTr="00A94C0C">
        <w:trPr>
          <w:trHeight w:val="360"/>
          <w:jc w:val="center"/>
        </w:trPr>
        <w:tc>
          <w:tcPr>
            <w:tcW w:w="1231" w:type="dxa"/>
            <w:noWrap/>
            <w:hideMark/>
          </w:tcPr>
          <w:p w14:paraId="131D5D03"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VAS</w:t>
            </w:r>
          </w:p>
        </w:tc>
        <w:tc>
          <w:tcPr>
            <w:tcW w:w="1521" w:type="dxa"/>
            <w:noWrap/>
            <w:vAlign w:val="center"/>
            <w:hideMark/>
          </w:tcPr>
          <w:p w14:paraId="6885FBB4"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7.27 ± 0.96</w:t>
            </w:r>
          </w:p>
        </w:tc>
        <w:tc>
          <w:tcPr>
            <w:tcW w:w="1456" w:type="dxa"/>
            <w:noWrap/>
            <w:vAlign w:val="center"/>
            <w:hideMark/>
          </w:tcPr>
          <w:p w14:paraId="77160A65"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5.00 ± 1.13</w:t>
            </w:r>
          </w:p>
        </w:tc>
        <w:tc>
          <w:tcPr>
            <w:tcW w:w="1599" w:type="dxa"/>
            <w:noWrap/>
            <w:vAlign w:val="center"/>
            <w:hideMark/>
          </w:tcPr>
          <w:p w14:paraId="2399B503"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2.80 ± 1.15</w:t>
            </w:r>
          </w:p>
        </w:tc>
        <w:tc>
          <w:tcPr>
            <w:tcW w:w="1145" w:type="dxa"/>
            <w:vAlign w:val="center"/>
          </w:tcPr>
          <w:p w14:paraId="5AC1F25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5C9F303A" w14:textId="77777777" w:rsidTr="00A94C0C">
        <w:trPr>
          <w:trHeight w:val="300"/>
          <w:jc w:val="center"/>
        </w:trPr>
        <w:tc>
          <w:tcPr>
            <w:tcW w:w="1231" w:type="dxa"/>
            <w:noWrap/>
            <w:hideMark/>
          </w:tcPr>
          <w:p w14:paraId="61D3FAFA"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NDI</w:t>
            </w:r>
          </w:p>
        </w:tc>
        <w:tc>
          <w:tcPr>
            <w:tcW w:w="1521" w:type="dxa"/>
            <w:noWrap/>
            <w:vAlign w:val="center"/>
            <w:hideMark/>
          </w:tcPr>
          <w:p w14:paraId="1C5026A2"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35.49 ± 6.56</w:t>
            </w:r>
          </w:p>
        </w:tc>
        <w:tc>
          <w:tcPr>
            <w:tcW w:w="1456" w:type="dxa"/>
            <w:noWrap/>
            <w:vAlign w:val="center"/>
            <w:hideMark/>
          </w:tcPr>
          <w:p w14:paraId="49E6D836"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25.56 ± 6.53</w:t>
            </w:r>
          </w:p>
        </w:tc>
        <w:tc>
          <w:tcPr>
            <w:tcW w:w="1599" w:type="dxa"/>
            <w:noWrap/>
            <w:vAlign w:val="center"/>
            <w:hideMark/>
          </w:tcPr>
          <w:p w14:paraId="380174C5"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19.15 ± 5.32</w:t>
            </w:r>
          </w:p>
        </w:tc>
        <w:tc>
          <w:tcPr>
            <w:tcW w:w="1145" w:type="dxa"/>
            <w:vAlign w:val="center"/>
          </w:tcPr>
          <w:p w14:paraId="2AE98BA6"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0B615A7B" w14:textId="77777777" w:rsidTr="00A94C0C">
        <w:trPr>
          <w:trHeight w:val="300"/>
          <w:jc w:val="center"/>
        </w:trPr>
        <w:tc>
          <w:tcPr>
            <w:tcW w:w="1231" w:type="dxa"/>
            <w:noWrap/>
            <w:hideMark/>
          </w:tcPr>
          <w:p w14:paraId="620A018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Flexion</w:t>
            </w:r>
          </w:p>
        </w:tc>
        <w:tc>
          <w:tcPr>
            <w:tcW w:w="1521" w:type="dxa"/>
            <w:noWrap/>
            <w:vAlign w:val="center"/>
            <w:hideMark/>
          </w:tcPr>
          <w:p w14:paraId="34E882F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64.87 ± 5.60</w:t>
            </w:r>
          </w:p>
        </w:tc>
        <w:tc>
          <w:tcPr>
            <w:tcW w:w="1456" w:type="dxa"/>
            <w:noWrap/>
            <w:vAlign w:val="center"/>
            <w:hideMark/>
          </w:tcPr>
          <w:p w14:paraId="56F3F93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74.40 ± 5.79</w:t>
            </w:r>
          </w:p>
        </w:tc>
        <w:tc>
          <w:tcPr>
            <w:tcW w:w="1599" w:type="dxa"/>
            <w:noWrap/>
            <w:vAlign w:val="center"/>
            <w:hideMark/>
          </w:tcPr>
          <w:p w14:paraId="68ABBBFE"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82.20 ± 5.88</w:t>
            </w:r>
          </w:p>
        </w:tc>
        <w:tc>
          <w:tcPr>
            <w:tcW w:w="1145" w:type="dxa"/>
            <w:vAlign w:val="center"/>
          </w:tcPr>
          <w:p w14:paraId="1F57EE65"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0108C5F3" w14:textId="77777777" w:rsidTr="00A94C0C">
        <w:trPr>
          <w:trHeight w:val="300"/>
          <w:jc w:val="center"/>
        </w:trPr>
        <w:tc>
          <w:tcPr>
            <w:tcW w:w="1231" w:type="dxa"/>
            <w:noWrap/>
            <w:hideMark/>
          </w:tcPr>
          <w:p w14:paraId="30D8E698"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lastRenderedPageBreak/>
              <w:t>Extension</w:t>
            </w:r>
          </w:p>
        </w:tc>
        <w:tc>
          <w:tcPr>
            <w:tcW w:w="1521" w:type="dxa"/>
            <w:noWrap/>
            <w:vAlign w:val="center"/>
            <w:hideMark/>
          </w:tcPr>
          <w:p w14:paraId="0C131AC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48.13 ± 6.20</w:t>
            </w:r>
          </w:p>
        </w:tc>
        <w:tc>
          <w:tcPr>
            <w:tcW w:w="1456" w:type="dxa"/>
            <w:noWrap/>
            <w:vAlign w:val="center"/>
            <w:hideMark/>
          </w:tcPr>
          <w:p w14:paraId="53F6272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55.60 ± 6.83</w:t>
            </w:r>
          </w:p>
        </w:tc>
        <w:tc>
          <w:tcPr>
            <w:tcW w:w="1599" w:type="dxa"/>
            <w:noWrap/>
            <w:vAlign w:val="center"/>
            <w:hideMark/>
          </w:tcPr>
          <w:p w14:paraId="25497A49"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61.53 ± 6.60</w:t>
            </w:r>
          </w:p>
        </w:tc>
        <w:tc>
          <w:tcPr>
            <w:tcW w:w="1145" w:type="dxa"/>
            <w:vAlign w:val="center"/>
          </w:tcPr>
          <w:p w14:paraId="0EE4F7F2"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29558B59" w14:textId="77777777" w:rsidTr="00A94C0C">
        <w:trPr>
          <w:trHeight w:val="300"/>
          <w:jc w:val="center"/>
        </w:trPr>
        <w:tc>
          <w:tcPr>
            <w:tcW w:w="1231" w:type="dxa"/>
            <w:noWrap/>
            <w:hideMark/>
          </w:tcPr>
          <w:p w14:paraId="489EB63F"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Lateral Flexion</w:t>
            </w:r>
          </w:p>
        </w:tc>
        <w:tc>
          <w:tcPr>
            <w:tcW w:w="1521" w:type="dxa"/>
            <w:noWrap/>
            <w:vAlign w:val="center"/>
            <w:hideMark/>
          </w:tcPr>
          <w:p w14:paraId="0BC266D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21.20 ± 4.33</w:t>
            </w:r>
          </w:p>
        </w:tc>
        <w:tc>
          <w:tcPr>
            <w:tcW w:w="1456" w:type="dxa"/>
            <w:noWrap/>
            <w:vAlign w:val="center"/>
            <w:hideMark/>
          </w:tcPr>
          <w:p w14:paraId="3BF0A7F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25.47 ± 4.75</w:t>
            </w:r>
          </w:p>
        </w:tc>
        <w:tc>
          <w:tcPr>
            <w:tcW w:w="1599" w:type="dxa"/>
            <w:noWrap/>
            <w:vAlign w:val="center"/>
            <w:hideMark/>
          </w:tcPr>
          <w:p w14:paraId="1A678DD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29.40 ± 4.98</w:t>
            </w:r>
          </w:p>
        </w:tc>
        <w:tc>
          <w:tcPr>
            <w:tcW w:w="1145" w:type="dxa"/>
            <w:vAlign w:val="center"/>
          </w:tcPr>
          <w:p w14:paraId="11BA0B7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779250B5" w14:textId="77777777" w:rsidTr="00A94C0C">
        <w:trPr>
          <w:trHeight w:val="300"/>
          <w:jc w:val="center"/>
        </w:trPr>
        <w:tc>
          <w:tcPr>
            <w:tcW w:w="1231" w:type="dxa"/>
            <w:noWrap/>
            <w:hideMark/>
          </w:tcPr>
          <w:p w14:paraId="51CFAFFF"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Rotation</w:t>
            </w:r>
          </w:p>
        </w:tc>
        <w:tc>
          <w:tcPr>
            <w:tcW w:w="1521" w:type="dxa"/>
            <w:noWrap/>
            <w:vAlign w:val="center"/>
            <w:hideMark/>
          </w:tcPr>
          <w:p w14:paraId="279F9B3C"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56.93 ± 7.24</w:t>
            </w:r>
          </w:p>
        </w:tc>
        <w:tc>
          <w:tcPr>
            <w:tcW w:w="1456" w:type="dxa"/>
            <w:noWrap/>
            <w:vAlign w:val="center"/>
            <w:hideMark/>
          </w:tcPr>
          <w:p w14:paraId="31131F38"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66.73 ± 7.73</w:t>
            </w:r>
          </w:p>
        </w:tc>
        <w:tc>
          <w:tcPr>
            <w:tcW w:w="1599" w:type="dxa"/>
            <w:noWrap/>
            <w:vAlign w:val="center"/>
            <w:hideMark/>
          </w:tcPr>
          <w:p w14:paraId="45A179B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74.80 ± 8.04</w:t>
            </w:r>
          </w:p>
        </w:tc>
        <w:tc>
          <w:tcPr>
            <w:tcW w:w="1145" w:type="dxa"/>
            <w:vAlign w:val="center"/>
          </w:tcPr>
          <w:p w14:paraId="5EC646A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bl>
    <w:p w14:paraId="432F253E"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02B48E2C"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63BEEEDF"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r w:rsidRPr="00D50F1F">
        <w:rPr>
          <w:rFonts w:ascii="Times New Roman" w:eastAsia="Times New Roman" w:hAnsi="Times New Roman" w:cs="Times New Roman"/>
          <w:noProof/>
          <w:color w:val="333333"/>
          <w:sz w:val="24"/>
          <w:szCs w:val="24"/>
          <w:lang w:val="en-US"/>
        </w:rPr>
        <w:drawing>
          <wp:inline distT="0" distB="0" distL="0" distR="0" wp14:anchorId="0F9DDC2C" wp14:editId="36144D7D">
            <wp:extent cx="4457700" cy="2809875"/>
            <wp:effectExtent l="19050" t="0" r="19050" b="0"/>
            <wp:docPr id="1296593993" name="Chart 129659399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DEC665"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Fig 01:  Mean Values Differences of Outcome Measures of Group A</w:t>
      </w:r>
    </w:p>
    <w:p w14:paraId="336DD1F4"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171C5F80"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36886D85"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Table 2: Showing Mean Values of Outcome Measures of Group B</w:t>
      </w:r>
    </w:p>
    <w:tbl>
      <w:tblPr>
        <w:tblStyle w:val="TableGrid"/>
        <w:tblW w:w="8288" w:type="dxa"/>
        <w:jc w:val="center"/>
        <w:tblLook w:val="04A0" w:firstRow="1" w:lastRow="0" w:firstColumn="1" w:lastColumn="0" w:noHBand="0" w:noVBand="1"/>
      </w:tblPr>
      <w:tblGrid>
        <w:gridCol w:w="1512"/>
        <w:gridCol w:w="1833"/>
        <w:gridCol w:w="1664"/>
        <w:gridCol w:w="1787"/>
        <w:gridCol w:w="1492"/>
      </w:tblGrid>
      <w:tr w:rsidR="0080703C" w:rsidRPr="008F5BD3" w14:paraId="2D598EB3" w14:textId="77777777" w:rsidTr="00A94C0C">
        <w:trPr>
          <w:trHeight w:val="528"/>
          <w:jc w:val="center"/>
        </w:trPr>
        <w:tc>
          <w:tcPr>
            <w:tcW w:w="8288" w:type="dxa"/>
            <w:gridSpan w:val="5"/>
            <w:noWrap/>
            <w:vAlign w:val="center"/>
            <w:hideMark/>
          </w:tcPr>
          <w:p w14:paraId="2ADE4DC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Group B</w:t>
            </w:r>
          </w:p>
        </w:tc>
      </w:tr>
      <w:tr w:rsidR="0080703C" w:rsidRPr="008F5BD3" w14:paraId="094D8A9B" w14:textId="77777777" w:rsidTr="00A94C0C">
        <w:trPr>
          <w:trHeight w:val="503"/>
          <w:jc w:val="center"/>
        </w:trPr>
        <w:tc>
          <w:tcPr>
            <w:tcW w:w="1512" w:type="dxa"/>
            <w:hideMark/>
          </w:tcPr>
          <w:p w14:paraId="5FC43B99"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Outcome Measure</w:t>
            </w:r>
          </w:p>
        </w:tc>
        <w:tc>
          <w:tcPr>
            <w:tcW w:w="1833" w:type="dxa"/>
            <w:noWrap/>
            <w:hideMark/>
          </w:tcPr>
          <w:p w14:paraId="062F3CDE"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Baseline</w:t>
            </w:r>
          </w:p>
        </w:tc>
        <w:tc>
          <w:tcPr>
            <w:tcW w:w="1664" w:type="dxa"/>
            <w:noWrap/>
            <w:hideMark/>
          </w:tcPr>
          <w:p w14:paraId="5D3ED3C8"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2nd week</w:t>
            </w:r>
          </w:p>
        </w:tc>
        <w:tc>
          <w:tcPr>
            <w:tcW w:w="1787" w:type="dxa"/>
            <w:noWrap/>
            <w:hideMark/>
          </w:tcPr>
          <w:p w14:paraId="4E4F964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4th week</w:t>
            </w:r>
          </w:p>
        </w:tc>
        <w:tc>
          <w:tcPr>
            <w:tcW w:w="1492" w:type="dxa"/>
          </w:tcPr>
          <w:p w14:paraId="5E449D25"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P- value</w:t>
            </w:r>
          </w:p>
        </w:tc>
      </w:tr>
      <w:tr w:rsidR="0080703C" w:rsidRPr="008F5BD3" w14:paraId="695557DD" w14:textId="77777777" w:rsidTr="00A94C0C">
        <w:trPr>
          <w:trHeight w:val="302"/>
          <w:jc w:val="center"/>
        </w:trPr>
        <w:tc>
          <w:tcPr>
            <w:tcW w:w="1512" w:type="dxa"/>
            <w:noWrap/>
            <w:hideMark/>
          </w:tcPr>
          <w:p w14:paraId="7ECB20F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VAS</w:t>
            </w:r>
          </w:p>
        </w:tc>
        <w:tc>
          <w:tcPr>
            <w:tcW w:w="1833" w:type="dxa"/>
            <w:noWrap/>
            <w:hideMark/>
          </w:tcPr>
          <w:p w14:paraId="51BBA61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7.93 ± 1.10</w:t>
            </w:r>
          </w:p>
        </w:tc>
        <w:tc>
          <w:tcPr>
            <w:tcW w:w="1664" w:type="dxa"/>
            <w:noWrap/>
            <w:hideMark/>
          </w:tcPr>
          <w:p w14:paraId="26DF0FB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6.47 ± 1.41</w:t>
            </w:r>
          </w:p>
        </w:tc>
        <w:tc>
          <w:tcPr>
            <w:tcW w:w="1787" w:type="dxa"/>
            <w:noWrap/>
            <w:hideMark/>
          </w:tcPr>
          <w:p w14:paraId="566B30D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5.27 ± 1.16</w:t>
            </w:r>
          </w:p>
        </w:tc>
        <w:tc>
          <w:tcPr>
            <w:tcW w:w="1492" w:type="dxa"/>
          </w:tcPr>
          <w:p w14:paraId="693D222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681AAA6B" w14:textId="77777777" w:rsidTr="00A94C0C">
        <w:trPr>
          <w:trHeight w:val="250"/>
          <w:jc w:val="center"/>
        </w:trPr>
        <w:tc>
          <w:tcPr>
            <w:tcW w:w="1512" w:type="dxa"/>
            <w:noWrap/>
            <w:hideMark/>
          </w:tcPr>
          <w:p w14:paraId="0A189D9E"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NDI</w:t>
            </w:r>
          </w:p>
        </w:tc>
        <w:tc>
          <w:tcPr>
            <w:tcW w:w="1833" w:type="dxa"/>
            <w:noWrap/>
            <w:hideMark/>
          </w:tcPr>
          <w:p w14:paraId="6D63723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36.20 ± 5.43</w:t>
            </w:r>
          </w:p>
        </w:tc>
        <w:tc>
          <w:tcPr>
            <w:tcW w:w="1664" w:type="dxa"/>
            <w:noWrap/>
            <w:hideMark/>
          </w:tcPr>
          <w:p w14:paraId="1B2099B2"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31.92 ± 5.92</w:t>
            </w:r>
          </w:p>
        </w:tc>
        <w:tc>
          <w:tcPr>
            <w:tcW w:w="1787" w:type="dxa"/>
            <w:noWrap/>
            <w:hideMark/>
          </w:tcPr>
          <w:p w14:paraId="4CB4F7B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27.52 ± 5.87</w:t>
            </w:r>
          </w:p>
        </w:tc>
        <w:tc>
          <w:tcPr>
            <w:tcW w:w="1492" w:type="dxa"/>
          </w:tcPr>
          <w:p w14:paraId="558EF35A"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2C89D531" w14:textId="77777777" w:rsidTr="00A94C0C">
        <w:trPr>
          <w:trHeight w:val="250"/>
          <w:jc w:val="center"/>
        </w:trPr>
        <w:tc>
          <w:tcPr>
            <w:tcW w:w="1512" w:type="dxa"/>
            <w:noWrap/>
            <w:hideMark/>
          </w:tcPr>
          <w:p w14:paraId="6208CC32"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Flexion</w:t>
            </w:r>
          </w:p>
        </w:tc>
        <w:tc>
          <w:tcPr>
            <w:tcW w:w="1833" w:type="dxa"/>
            <w:noWrap/>
            <w:hideMark/>
          </w:tcPr>
          <w:p w14:paraId="068E87A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64.73 ± 6.35</w:t>
            </w:r>
          </w:p>
        </w:tc>
        <w:tc>
          <w:tcPr>
            <w:tcW w:w="1664" w:type="dxa"/>
            <w:noWrap/>
            <w:hideMark/>
          </w:tcPr>
          <w:p w14:paraId="24F63A2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69.93 ± 6.65</w:t>
            </w:r>
          </w:p>
        </w:tc>
        <w:tc>
          <w:tcPr>
            <w:tcW w:w="1787" w:type="dxa"/>
            <w:noWrap/>
            <w:hideMark/>
          </w:tcPr>
          <w:p w14:paraId="1521BE0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72.33 ± 6.61</w:t>
            </w:r>
          </w:p>
        </w:tc>
        <w:tc>
          <w:tcPr>
            <w:tcW w:w="1492" w:type="dxa"/>
          </w:tcPr>
          <w:p w14:paraId="4A835CB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7B52E9DA" w14:textId="77777777" w:rsidTr="00A94C0C">
        <w:trPr>
          <w:trHeight w:val="250"/>
          <w:jc w:val="center"/>
        </w:trPr>
        <w:tc>
          <w:tcPr>
            <w:tcW w:w="1512" w:type="dxa"/>
            <w:noWrap/>
            <w:hideMark/>
          </w:tcPr>
          <w:p w14:paraId="3EC48F6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Extension</w:t>
            </w:r>
          </w:p>
        </w:tc>
        <w:tc>
          <w:tcPr>
            <w:tcW w:w="1833" w:type="dxa"/>
            <w:noWrap/>
            <w:hideMark/>
          </w:tcPr>
          <w:p w14:paraId="15BED4D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52.53 ± 6.41</w:t>
            </w:r>
          </w:p>
        </w:tc>
        <w:tc>
          <w:tcPr>
            <w:tcW w:w="1664" w:type="dxa"/>
            <w:noWrap/>
            <w:hideMark/>
          </w:tcPr>
          <w:p w14:paraId="54F6FA5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55.47 ± 6.58</w:t>
            </w:r>
          </w:p>
        </w:tc>
        <w:tc>
          <w:tcPr>
            <w:tcW w:w="1787" w:type="dxa"/>
            <w:noWrap/>
            <w:hideMark/>
          </w:tcPr>
          <w:p w14:paraId="21EEC016"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58.13 ± 6.29</w:t>
            </w:r>
          </w:p>
        </w:tc>
        <w:tc>
          <w:tcPr>
            <w:tcW w:w="1492" w:type="dxa"/>
          </w:tcPr>
          <w:p w14:paraId="5F4BD5B8"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146C9F6B" w14:textId="77777777" w:rsidTr="00A94C0C">
        <w:trPr>
          <w:trHeight w:val="250"/>
          <w:jc w:val="center"/>
        </w:trPr>
        <w:tc>
          <w:tcPr>
            <w:tcW w:w="1512" w:type="dxa"/>
            <w:noWrap/>
            <w:hideMark/>
          </w:tcPr>
          <w:p w14:paraId="36E2539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Lateral Flexion</w:t>
            </w:r>
          </w:p>
        </w:tc>
        <w:tc>
          <w:tcPr>
            <w:tcW w:w="1833" w:type="dxa"/>
            <w:noWrap/>
            <w:hideMark/>
          </w:tcPr>
          <w:p w14:paraId="23AEC52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25.33 ± 4.99</w:t>
            </w:r>
          </w:p>
        </w:tc>
        <w:tc>
          <w:tcPr>
            <w:tcW w:w="1664" w:type="dxa"/>
            <w:noWrap/>
            <w:hideMark/>
          </w:tcPr>
          <w:p w14:paraId="02CEC44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27.07 ± 4.65</w:t>
            </w:r>
          </w:p>
        </w:tc>
        <w:tc>
          <w:tcPr>
            <w:tcW w:w="1787" w:type="dxa"/>
            <w:noWrap/>
            <w:hideMark/>
          </w:tcPr>
          <w:p w14:paraId="514BF65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29.53 ± 5.10</w:t>
            </w:r>
          </w:p>
        </w:tc>
        <w:tc>
          <w:tcPr>
            <w:tcW w:w="1492" w:type="dxa"/>
          </w:tcPr>
          <w:p w14:paraId="6A3528D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53277C27" w14:textId="77777777" w:rsidTr="00A94C0C">
        <w:trPr>
          <w:trHeight w:val="250"/>
          <w:jc w:val="center"/>
        </w:trPr>
        <w:tc>
          <w:tcPr>
            <w:tcW w:w="1512" w:type="dxa"/>
            <w:noWrap/>
            <w:hideMark/>
          </w:tcPr>
          <w:p w14:paraId="262C8126"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Rotation</w:t>
            </w:r>
          </w:p>
        </w:tc>
        <w:tc>
          <w:tcPr>
            <w:tcW w:w="1833" w:type="dxa"/>
            <w:noWrap/>
            <w:hideMark/>
          </w:tcPr>
          <w:p w14:paraId="146347E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58.53 ± 8.29</w:t>
            </w:r>
          </w:p>
        </w:tc>
        <w:tc>
          <w:tcPr>
            <w:tcW w:w="1664" w:type="dxa"/>
            <w:noWrap/>
            <w:hideMark/>
          </w:tcPr>
          <w:p w14:paraId="3FCA2C21"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63.00 ± 7.92</w:t>
            </w:r>
          </w:p>
        </w:tc>
        <w:tc>
          <w:tcPr>
            <w:tcW w:w="1787" w:type="dxa"/>
            <w:noWrap/>
            <w:hideMark/>
          </w:tcPr>
          <w:p w14:paraId="4A0BC53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66.80 ± 8.47</w:t>
            </w:r>
          </w:p>
        </w:tc>
        <w:tc>
          <w:tcPr>
            <w:tcW w:w="1492" w:type="dxa"/>
          </w:tcPr>
          <w:p w14:paraId="4099463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bl>
    <w:p w14:paraId="2CD2CBA5"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r w:rsidRPr="00D50F1F">
        <w:rPr>
          <w:rFonts w:ascii="Times New Roman" w:eastAsia="Times New Roman" w:hAnsi="Times New Roman" w:cs="Times New Roman"/>
          <w:noProof/>
          <w:color w:val="333333"/>
          <w:sz w:val="24"/>
          <w:szCs w:val="24"/>
          <w:lang w:val="en-US"/>
        </w:rPr>
        <w:lastRenderedPageBreak/>
        <w:drawing>
          <wp:inline distT="0" distB="0" distL="0" distR="0" wp14:anchorId="43ED9584" wp14:editId="0C8DD261">
            <wp:extent cx="4854723" cy="3199353"/>
            <wp:effectExtent l="19050" t="0" r="22077" b="1047"/>
            <wp:docPr id="1840344984" name="Chart 18403449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DB4CDD"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Fig 02:  Mean Values Differences of Outcome Measures of Group B</w:t>
      </w:r>
    </w:p>
    <w:p w14:paraId="51207E8B" w14:textId="77777777" w:rsidR="0080703C" w:rsidRPr="008F5BD3"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66A3868A" w14:textId="77777777" w:rsidR="007920BE" w:rsidRPr="008F5BD3" w:rsidRDefault="008F5BD3" w:rsidP="007920BE">
      <w:pPr>
        <w:spacing w:before="100" w:beforeAutospacing="1" w:after="100" w:afterAutospacing="1" w:line="240" w:lineRule="auto"/>
        <w:jc w:val="left"/>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Discussion</w:t>
      </w:r>
    </w:p>
    <w:p w14:paraId="2A6D597D"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present study compared the effectiveness of </w:t>
      </w:r>
      <w:r w:rsidRPr="008F5BD3">
        <w:rPr>
          <w:rFonts w:ascii="Times New Roman" w:eastAsia="Times New Roman" w:hAnsi="Times New Roman" w:cs="Times New Roman"/>
          <w:bCs/>
          <w:sz w:val="24"/>
          <w:szCs w:val="24"/>
          <w:lang w:val="en-US"/>
        </w:rPr>
        <w:t>Neurodynamic Mobilization</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in reducing pain, improving functional disability, and restoring cervical range of motion among individuals with mechanical neck pain. The findings demonstrate that although both groups showed significant improvements over the four-week period, </w:t>
      </w:r>
      <w:r w:rsidRPr="008F5BD3">
        <w:rPr>
          <w:rFonts w:ascii="Times New Roman" w:eastAsia="Times New Roman" w:hAnsi="Times New Roman" w:cs="Times New Roman"/>
          <w:bCs/>
          <w:sz w:val="24"/>
          <w:szCs w:val="24"/>
          <w:lang w:val="en-US"/>
        </w:rPr>
        <w:t>Group A receiving Neurodynamic Mobilization exhibited superior clinical outcomes</w:t>
      </w:r>
      <w:r w:rsidRPr="008F5BD3">
        <w:rPr>
          <w:rFonts w:ascii="Times New Roman" w:eastAsia="Times New Roman" w:hAnsi="Times New Roman" w:cs="Times New Roman"/>
          <w:sz w:val="24"/>
          <w:szCs w:val="24"/>
          <w:lang w:val="en-US"/>
        </w:rPr>
        <w:t xml:space="preserve"> compared to Group B.</w:t>
      </w:r>
    </w:p>
    <w:p w14:paraId="400EE5D4" w14:textId="6CC16AAC"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 substantial reduction in pain was observed in both groups, but in Group A the decline was more pronounced, with VAS scores decreasing from high baseline levels to nearly minimal pain by the fourth week. This aligns with previous work indicating that neurodynamic techniques reduce intraneural edema, restore axoplasmic flow, and decrease peripheral sensitization, thereby lowering pain levels more effectively than soft-tissue–based interventions alone (Shacklock, 2005; Nee et al., 2012)</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2</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3</w:t>
      </w:r>
      <w:r w:rsidRPr="008F5BD3">
        <w:rPr>
          <w:rFonts w:ascii="Times New Roman" w:eastAsia="Times New Roman" w:hAnsi="Times New Roman" w:cs="Times New Roman"/>
          <w:sz w:val="24"/>
          <w:szCs w:val="24"/>
          <w:lang w:val="en-US"/>
        </w:rPr>
        <w:t>. Neurodynamic Mobilization also stimulates mechanoreceptors and modulates nociceptive input at the spinal cord, which may explain the larger pain reduction seen in Group A.</w:t>
      </w:r>
    </w:p>
    <w:p w14:paraId="1693D28E" w14:textId="0A19A848"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Functional disability measured by the Neck Disability Index (NDI) also showed statistically significant improvement in both groups; however, participants receiving Neurodynamic Mobilization achieved nearly double the improvement seen in the INIT group. These findings are consistent with earlier studies reporting that neurodynamic techniques enhance functional performance by reducing nerve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improving neuromuscular control (Basson et al.</w:t>
      </w:r>
      <w:proofErr w:type="gramStart"/>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lang w:val="en-US"/>
        </w:rPr>
        <w:t xml:space="preserve"> </w:t>
      </w:r>
      <w:r w:rsidR="00C740C4" w:rsidRPr="008F5BD3">
        <w:rPr>
          <w:rFonts w:ascii="Times New Roman" w:eastAsia="Times New Roman" w:hAnsi="Times New Roman" w:cs="Times New Roman"/>
          <w:sz w:val="24"/>
          <w:szCs w:val="24"/>
          <w:lang w:val="en-US"/>
        </w:rPr>
        <w:t>;</w:t>
      </w:r>
      <w:proofErr w:type="gramEnd"/>
      <w:r w:rsidR="00C740C4"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2017</w:t>
      </w:r>
      <w:r w:rsidR="00C740C4" w:rsidRPr="00C740C4">
        <w:rPr>
          <w:rFonts w:ascii="Times New Roman" w:eastAsia="Times New Roman" w:hAnsi="Times New Roman" w:cs="Times New Roman"/>
          <w:sz w:val="24"/>
          <w:szCs w:val="24"/>
          <w:lang w:val="en-US"/>
        </w:rPr>
        <w:t xml:space="preserve"> </w:t>
      </w:r>
      <w:r w:rsidR="00C740C4" w:rsidRPr="008F5BD3">
        <w:rPr>
          <w:rFonts w:ascii="Times New Roman" w:eastAsia="Times New Roman" w:hAnsi="Times New Roman" w:cs="Times New Roman"/>
          <w:sz w:val="24"/>
          <w:szCs w:val="24"/>
          <w:lang w:val="en-US"/>
        </w:rPr>
        <w:t>Boyd &amp; Villa, 2012</w:t>
      </w:r>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vertAlign w:val="superscript"/>
          <w:lang w:val="en-US"/>
        </w:rPr>
        <w:t>8,9</w:t>
      </w:r>
      <w:r w:rsidRPr="008F5BD3">
        <w:rPr>
          <w:rFonts w:ascii="Times New Roman" w:eastAsia="Times New Roman" w:hAnsi="Times New Roman" w:cs="Times New Roman"/>
          <w:sz w:val="24"/>
          <w:szCs w:val="24"/>
          <w:lang w:val="en-US"/>
        </w:rPr>
        <w:t>. INIT, although effective for releasing myofascial trigger points and reducing muscle hypertonicity, may not sufficiently address neurodynamic impairments often present in mechanical neck pain, which may explain its comparatively smaller effect.</w:t>
      </w:r>
    </w:p>
    <w:p w14:paraId="40015193" w14:textId="1D571D08"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Cervical range of motion improved significantly across both intervention groups, but Group A demonstrated greater improvements in flexion, extension, lateral flexion, and rotation. Restoration of ROM following Neurodynamic Mobilization has been previously attributed to improved neural mobility, decreased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reduction of protective muscle guarding, and better gliding of the neural tissues relative to surrounding structures (Nee &amp; Butler, 2016)</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4</w:t>
      </w:r>
      <w:r w:rsidRPr="008F5BD3">
        <w:rPr>
          <w:rFonts w:ascii="Times New Roman" w:eastAsia="Times New Roman" w:hAnsi="Times New Roman" w:cs="Times New Roman"/>
          <w:sz w:val="24"/>
          <w:szCs w:val="24"/>
          <w:lang w:val="en-US"/>
        </w:rPr>
        <w:t>. In contrast, INIT primarily targets myofascial tightness, which improves ROM but may not produce the same magnitude of biomechanical restoration as neural mobilization. This is consistent with studies showing that soft-tissue release techniques, though beneficial, typically produce moderate improvements in cervical mobility compared to neurodynamic techniques (Fernández-de-las-</w:t>
      </w:r>
      <w:proofErr w:type="spellStart"/>
      <w:r w:rsidRPr="008F5BD3">
        <w:rPr>
          <w:rFonts w:ascii="Times New Roman" w:eastAsia="Times New Roman" w:hAnsi="Times New Roman" w:cs="Times New Roman"/>
          <w:sz w:val="24"/>
          <w:szCs w:val="24"/>
          <w:lang w:val="en-US"/>
        </w:rPr>
        <w:t>Peñas</w:t>
      </w:r>
      <w:proofErr w:type="spellEnd"/>
      <w:r w:rsidRPr="008F5BD3">
        <w:rPr>
          <w:rFonts w:ascii="Times New Roman" w:eastAsia="Times New Roman" w:hAnsi="Times New Roman" w:cs="Times New Roman"/>
          <w:sz w:val="24"/>
          <w:szCs w:val="24"/>
          <w:lang w:val="en-US"/>
        </w:rPr>
        <w:t xml:space="preserve"> et al., 2007)</w:t>
      </w:r>
      <w:r w:rsidR="00C740C4" w:rsidRPr="00C740C4">
        <w:rPr>
          <w:rFonts w:ascii="Times New Roman" w:eastAsia="Times New Roman" w:hAnsi="Times New Roman" w:cs="Times New Roman"/>
          <w:sz w:val="24"/>
          <w:szCs w:val="24"/>
          <w:vertAlign w:val="superscript"/>
          <w:lang w:val="en-US"/>
        </w:rPr>
        <w:t>11</w:t>
      </w:r>
      <w:r w:rsidRPr="008F5BD3">
        <w:rPr>
          <w:rFonts w:ascii="Times New Roman" w:eastAsia="Times New Roman" w:hAnsi="Times New Roman" w:cs="Times New Roman"/>
          <w:sz w:val="24"/>
          <w:szCs w:val="24"/>
          <w:lang w:val="en-US"/>
        </w:rPr>
        <w:t>.</w:t>
      </w:r>
    </w:p>
    <w:p w14:paraId="0DA352E4" w14:textId="14DDA340"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overall superiority of Neurodynamic Mobilization in this study is likely linked to its multifaceted mechanism of action. It addresses both </w:t>
      </w:r>
      <w:r w:rsidRPr="008F5BD3">
        <w:rPr>
          <w:rFonts w:ascii="Times New Roman" w:eastAsia="Times New Roman" w:hAnsi="Times New Roman" w:cs="Times New Roman"/>
          <w:bCs/>
          <w:sz w:val="24"/>
          <w:szCs w:val="24"/>
          <w:lang w:val="en-US"/>
        </w:rPr>
        <w:t>mechanical dysfunction</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neurophysiological sensitization</w:t>
      </w:r>
      <w:r w:rsidRPr="008F5BD3">
        <w:rPr>
          <w:rFonts w:ascii="Times New Roman" w:eastAsia="Times New Roman" w:hAnsi="Times New Roman" w:cs="Times New Roman"/>
          <w:sz w:val="24"/>
          <w:szCs w:val="24"/>
          <w:lang w:val="en-US"/>
        </w:rPr>
        <w:t xml:space="preserve">, whereas INIT primarily modifies </w:t>
      </w:r>
      <w:r w:rsidRPr="008F5BD3">
        <w:rPr>
          <w:rFonts w:ascii="Times New Roman" w:eastAsia="Times New Roman" w:hAnsi="Times New Roman" w:cs="Times New Roman"/>
          <w:bCs/>
          <w:sz w:val="24"/>
          <w:szCs w:val="24"/>
          <w:lang w:val="en-US"/>
        </w:rPr>
        <w:t>myofascial tone</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local trigger point sensitivity</w:t>
      </w:r>
      <w:r w:rsidRPr="008F5BD3">
        <w:rPr>
          <w:rFonts w:ascii="Times New Roman" w:eastAsia="Times New Roman" w:hAnsi="Times New Roman" w:cs="Times New Roman"/>
          <w:sz w:val="24"/>
          <w:szCs w:val="24"/>
          <w:lang w:val="en-US"/>
        </w:rPr>
        <w:t xml:space="preserve">. This broader therapeutic effect aligns with literature supporting neurodynamic techniques as an effective modality for cervical radiculopathy, mechanical neck pain, and neuromusculoskeletal conditions involving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w:t>
      </w:r>
      <w:r w:rsidR="00C740C4">
        <w:rPr>
          <w:rFonts w:ascii="Times New Roman" w:eastAsia="Times New Roman" w:hAnsi="Times New Roman" w:cs="Times New Roman"/>
          <w:sz w:val="24"/>
          <w:szCs w:val="24"/>
          <w:lang w:val="en-US"/>
        </w:rPr>
        <w:t xml:space="preserve">Cleland </w:t>
      </w:r>
      <w:proofErr w:type="gramStart"/>
      <w:r w:rsidR="00C740C4">
        <w:rPr>
          <w:rFonts w:ascii="Times New Roman" w:eastAsia="Times New Roman" w:hAnsi="Times New Roman" w:cs="Times New Roman"/>
          <w:sz w:val="24"/>
          <w:szCs w:val="24"/>
          <w:lang w:val="en-US"/>
        </w:rPr>
        <w:t>et al.,:</w:t>
      </w:r>
      <w:proofErr w:type="gramEnd"/>
      <w:r w:rsidR="00C740C4">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2007</w:t>
      </w:r>
      <w:r w:rsidR="00C740C4" w:rsidRPr="00C740C4">
        <w:rPr>
          <w:rFonts w:ascii="Times New Roman" w:eastAsia="Times New Roman" w:hAnsi="Times New Roman" w:cs="Times New Roman"/>
          <w:sz w:val="24"/>
          <w:szCs w:val="24"/>
          <w:lang w:val="en-US"/>
        </w:rPr>
        <w:t xml:space="preserve"> </w:t>
      </w:r>
      <w:r w:rsidR="00C740C4">
        <w:rPr>
          <w:rFonts w:ascii="Times New Roman" w:eastAsia="Times New Roman" w:hAnsi="Times New Roman" w:cs="Times New Roman"/>
          <w:sz w:val="24"/>
          <w:szCs w:val="24"/>
          <w:lang w:val="en-US"/>
        </w:rPr>
        <w:t>Santos et al., 2012</w:t>
      </w:r>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vertAlign w:val="superscript"/>
          <w:lang w:val="en-US"/>
        </w:rPr>
        <w:t>10</w:t>
      </w:r>
      <w:r w:rsidR="00FC190D">
        <w:rPr>
          <w:rFonts w:ascii="Times New Roman" w:eastAsia="Times New Roman" w:hAnsi="Times New Roman" w:cs="Times New Roman"/>
          <w:sz w:val="24"/>
          <w:szCs w:val="24"/>
          <w:vertAlign w:val="superscript"/>
          <w:lang w:val="en-US"/>
        </w:rPr>
        <w:t>,15</w:t>
      </w:r>
      <w:r w:rsidRPr="008F5BD3">
        <w:rPr>
          <w:rFonts w:ascii="Times New Roman" w:eastAsia="Times New Roman" w:hAnsi="Times New Roman" w:cs="Times New Roman"/>
          <w:sz w:val="24"/>
          <w:szCs w:val="24"/>
          <w:lang w:val="en-US"/>
        </w:rPr>
        <w:t>.</w:t>
      </w:r>
    </w:p>
    <w:p w14:paraId="4DAFAA2D"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Thus, the present results support the integration of Neurodynamic Mobilization as an effective intervention for patients with mechanical neck pain, offering superior improvements in pain, disability, and cervical mobility compared to INIT administered alone. The findings further reinforce the growing evidence that interventions targeting both neural and musculoskeletal components yield better clinically meaningful outcomes.</w:t>
      </w:r>
    </w:p>
    <w:p w14:paraId="672066C6"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 xml:space="preserve">Summary </w:t>
      </w:r>
    </w:p>
    <w:p w14:paraId="61139F62"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This study investigated the comparative effectiveness of </w:t>
      </w:r>
      <w:r w:rsidRPr="008F5BD3">
        <w:rPr>
          <w:rFonts w:ascii="Times New Roman" w:eastAsia="Times New Roman" w:hAnsi="Times New Roman" w:cs="Times New Roman"/>
          <w:bCs/>
          <w:sz w:val="24"/>
          <w:szCs w:val="24"/>
          <w:lang w:val="en-US"/>
        </w:rPr>
        <w:t>Neurodynamic Mobilization</w:t>
      </w:r>
      <w:r w:rsidRPr="008F5BD3">
        <w:rPr>
          <w:rFonts w:ascii="Times New Roman" w:eastAsia="Times New Roman" w:hAnsi="Times New Roman" w:cs="Times New Roman"/>
          <w:sz w:val="24"/>
          <w:szCs w:val="24"/>
          <w:lang w:val="en-US"/>
        </w:rPr>
        <w:t xml:space="preserve"> (Group A) and the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(Group B) in individuals with mechanical neck pain. A total of </w:t>
      </w:r>
      <w:r w:rsidRPr="008F5BD3">
        <w:rPr>
          <w:rFonts w:ascii="Times New Roman" w:eastAsia="Times New Roman" w:hAnsi="Times New Roman" w:cs="Times New Roman"/>
          <w:bCs/>
          <w:sz w:val="24"/>
          <w:szCs w:val="24"/>
          <w:lang w:val="en-US"/>
        </w:rPr>
        <w:t>30 participants</w:t>
      </w:r>
      <w:r w:rsidRPr="008F5BD3">
        <w:rPr>
          <w:rFonts w:ascii="Times New Roman" w:eastAsia="Times New Roman" w:hAnsi="Times New Roman" w:cs="Times New Roman"/>
          <w:sz w:val="24"/>
          <w:szCs w:val="24"/>
          <w:lang w:val="en-US"/>
        </w:rPr>
        <w:t xml:space="preserve"> were randomly assigned into two groups, each receiving the respective intervention for </w:t>
      </w:r>
      <w:r w:rsidRPr="008F5BD3">
        <w:rPr>
          <w:rFonts w:ascii="Times New Roman" w:eastAsia="Times New Roman" w:hAnsi="Times New Roman" w:cs="Times New Roman"/>
          <w:bCs/>
          <w:sz w:val="24"/>
          <w:szCs w:val="24"/>
          <w:lang w:val="en-US"/>
        </w:rPr>
        <w:t>4 weeks</w:t>
      </w:r>
      <w:r w:rsidRPr="008F5BD3">
        <w:rPr>
          <w:rFonts w:ascii="Times New Roman" w:eastAsia="Times New Roman" w:hAnsi="Times New Roman" w:cs="Times New Roman"/>
          <w:sz w:val="24"/>
          <w:szCs w:val="24"/>
          <w:lang w:val="en-US"/>
        </w:rPr>
        <w:t xml:space="preserve">, with outcomes assessed at baseline, 2nd week, and 4th week. The primary outcomes included </w:t>
      </w:r>
      <w:r w:rsidRPr="008F5BD3">
        <w:rPr>
          <w:rFonts w:ascii="Times New Roman" w:eastAsia="Times New Roman" w:hAnsi="Times New Roman" w:cs="Times New Roman"/>
          <w:bCs/>
          <w:sz w:val="24"/>
          <w:szCs w:val="24"/>
          <w:lang w:val="en-US"/>
        </w:rPr>
        <w:t>pain intensity (VAS)</w:t>
      </w:r>
      <w:r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bCs/>
          <w:sz w:val="24"/>
          <w:szCs w:val="24"/>
          <w:lang w:val="en-US"/>
        </w:rPr>
        <w:t>disability (NDI)</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cervical range of motion (flexion, extension, lateral flexion, and rotation)</w:t>
      </w:r>
      <w:r w:rsidRPr="008F5BD3">
        <w:rPr>
          <w:rFonts w:ascii="Times New Roman" w:eastAsia="Times New Roman" w:hAnsi="Times New Roman" w:cs="Times New Roman"/>
          <w:sz w:val="24"/>
          <w:szCs w:val="24"/>
          <w:lang w:val="en-US"/>
        </w:rPr>
        <w:t>.</w:t>
      </w:r>
    </w:p>
    <w:p w14:paraId="48D64A31" w14:textId="2A9FA2D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Both groups demonstrated statistically significant improvements across all outcome measures over time. However, </w:t>
      </w:r>
      <w:r w:rsidRPr="008F5BD3">
        <w:rPr>
          <w:rFonts w:ascii="Times New Roman" w:eastAsia="Times New Roman" w:hAnsi="Times New Roman" w:cs="Times New Roman"/>
          <w:bCs/>
          <w:sz w:val="24"/>
          <w:szCs w:val="24"/>
          <w:lang w:val="en-US"/>
        </w:rPr>
        <w:t>Group A (Neurodynamic Mobilization)</w:t>
      </w:r>
      <w:r w:rsidRPr="008F5BD3">
        <w:rPr>
          <w:rFonts w:ascii="Times New Roman" w:eastAsia="Times New Roman" w:hAnsi="Times New Roman" w:cs="Times New Roman"/>
          <w:sz w:val="24"/>
          <w:szCs w:val="24"/>
          <w:lang w:val="en-US"/>
        </w:rPr>
        <w:t xml:space="preserve"> showed superior improvements when compared to Group B, particularly in reducing pain and disability and enhancing cervical range of motion. Neurodynamic Mobilization produced faster and more pronounced changes, suggesting its efficacy in addressing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improving neural mobility, resulting in reduced pain and improved function. Conversely, INIT—effective in releasing myofascial trigger points and restoring muscular balance—showed positive but comparatively slower gains.</w:t>
      </w:r>
    </w:p>
    <w:p w14:paraId="5FE9209A" w14:textId="4C3318B9"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Overall, the study concludes that </w:t>
      </w:r>
      <w:r w:rsidRPr="008F5BD3">
        <w:rPr>
          <w:rFonts w:ascii="Times New Roman" w:eastAsia="Times New Roman" w:hAnsi="Times New Roman" w:cs="Times New Roman"/>
          <w:bCs/>
          <w:sz w:val="24"/>
          <w:szCs w:val="24"/>
          <w:lang w:val="en-US"/>
        </w:rPr>
        <w:t>Neurodynamic Mobilization</w:t>
      </w:r>
      <w:r w:rsidR="008C40C3">
        <w:rPr>
          <w:rFonts w:ascii="Times New Roman" w:eastAsia="Times New Roman" w:hAnsi="Times New Roman" w:cs="Times New Roman"/>
          <w:bCs/>
          <w:sz w:val="24"/>
          <w:szCs w:val="24"/>
          <w:lang w:val="en-US"/>
        </w:rPr>
        <w:t xml:space="preserve"> with INIT</w:t>
      </w:r>
      <w:r w:rsidRPr="008F5BD3">
        <w:rPr>
          <w:rFonts w:ascii="Times New Roman" w:eastAsia="Times New Roman" w:hAnsi="Times New Roman" w:cs="Times New Roman"/>
          <w:bCs/>
          <w:sz w:val="24"/>
          <w:szCs w:val="24"/>
          <w:lang w:val="en-US"/>
        </w:rPr>
        <w:t xml:space="preserve"> is more effective than INIT alone</w:t>
      </w:r>
      <w:r w:rsidRPr="008F5BD3">
        <w:rPr>
          <w:rFonts w:ascii="Times New Roman" w:eastAsia="Times New Roman" w:hAnsi="Times New Roman" w:cs="Times New Roman"/>
          <w:sz w:val="24"/>
          <w:szCs w:val="24"/>
          <w:lang w:val="en-US"/>
        </w:rPr>
        <w:t xml:space="preserve"> for improving pain, functional disability, and cervical mobility in mechanical neck pain over a 4-week intervention period. These findings support the integration of neurodynamic techniques in clinical practice for managing cervical radiculopathy or neural tension–related neck pain.</w:t>
      </w:r>
    </w:p>
    <w:p w14:paraId="5A993980"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0D9495E1" w14:textId="4936E919"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lastRenderedPageBreak/>
        <w:t>Limitations</w:t>
      </w:r>
    </w:p>
    <w:p w14:paraId="18469BBA"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Small sample size</w:t>
      </w:r>
      <w:r w:rsidRPr="008F5BD3">
        <w:rPr>
          <w:rFonts w:ascii="Times New Roman" w:eastAsia="Times New Roman" w:hAnsi="Times New Roman" w:cs="Times New Roman"/>
          <w:sz w:val="24"/>
          <w:szCs w:val="24"/>
          <w:lang w:val="en-US"/>
        </w:rPr>
        <w:t xml:space="preserve"> (n = 30) limits the generalizability of the findings to larger or more diverse populations.</w:t>
      </w:r>
    </w:p>
    <w:p w14:paraId="67D0F0E1"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duration of </w:t>
      </w:r>
      <w:r w:rsidRPr="008F5BD3">
        <w:rPr>
          <w:rFonts w:ascii="Times New Roman" w:eastAsia="Times New Roman" w:hAnsi="Times New Roman" w:cs="Times New Roman"/>
          <w:bCs/>
          <w:sz w:val="24"/>
          <w:szCs w:val="24"/>
          <w:lang w:val="en-US"/>
        </w:rPr>
        <w:t>4 weeks</w:t>
      </w:r>
      <w:r w:rsidRPr="008F5BD3">
        <w:rPr>
          <w:rFonts w:ascii="Times New Roman" w:eastAsia="Times New Roman" w:hAnsi="Times New Roman" w:cs="Times New Roman"/>
          <w:sz w:val="24"/>
          <w:szCs w:val="24"/>
          <w:lang w:val="en-US"/>
        </w:rPr>
        <w:t xml:space="preserve"> may not fully capture the long-term effects or sustainability of improvements in pain, disability, and cervical ROM.</w:t>
      </w:r>
    </w:p>
    <w:p w14:paraId="55B5DE6C"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Only </w:t>
      </w:r>
      <w:r w:rsidRPr="008F5BD3">
        <w:rPr>
          <w:rFonts w:ascii="Times New Roman" w:eastAsia="Times New Roman" w:hAnsi="Times New Roman" w:cs="Times New Roman"/>
          <w:bCs/>
          <w:sz w:val="24"/>
          <w:szCs w:val="24"/>
          <w:lang w:val="en-US"/>
        </w:rPr>
        <w:t>two specific intervention protocols</w:t>
      </w:r>
      <w:r w:rsidRPr="008F5BD3">
        <w:rPr>
          <w:rFonts w:ascii="Times New Roman" w:eastAsia="Times New Roman" w:hAnsi="Times New Roman" w:cs="Times New Roman"/>
          <w:sz w:val="24"/>
          <w:szCs w:val="24"/>
          <w:lang w:val="en-US"/>
        </w:rPr>
        <w:t xml:space="preserve"> were compared; combining these techniques could offer different outcomes that were not explored.</w:t>
      </w:r>
    </w:p>
    <w:p w14:paraId="3D22CAA6"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relied on </w:t>
      </w:r>
      <w:r w:rsidRPr="008F5BD3">
        <w:rPr>
          <w:rFonts w:ascii="Times New Roman" w:eastAsia="Times New Roman" w:hAnsi="Times New Roman" w:cs="Times New Roman"/>
          <w:bCs/>
          <w:sz w:val="24"/>
          <w:szCs w:val="24"/>
          <w:lang w:val="en-US"/>
        </w:rPr>
        <w:t>subjective outcome measures</w:t>
      </w:r>
      <w:r w:rsidRPr="008F5BD3">
        <w:rPr>
          <w:rFonts w:ascii="Times New Roman" w:eastAsia="Times New Roman" w:hAnsi="Times New Roman" w:cs="Times New Roman"/>
          <w:sz w:val="24"/>
          <w:szCs w:val="24"/>
          <w:lang w:val="en-US"/>
        </w:rPr>
        <w:t xml:space="preserve"> such as VAS and NDI, which may be influenced by patient perception.</w:t>
      </w:r>
    </w:p>
    <w:p w14:paraId="7AC50DFB"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No follow-up assessment was performed to determine whether benefits persisted after the cessation of treatment.</w:t>
      </w:r>
    </w:p>
    <w:p w14:paraId="74B6418E"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study did not control for factors such as occupation, ergonomics, psychological stress, or daily activity levels, which may influence neck pain symptoms.</w:t>
      </w:r>
    </w:p>
    <w:p w14:paraId="0EFDC9AB"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Blinding of participants and therapists was not possible due to the nature of manual therapy, introducing potential performance bias.</w:t>
      </w:r>
    </w:p>
    <w:p w14:paraId="392E59F2"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Future Recommendations</w:t>
      </w:r>
    </w:p>
    <w:p w14:paraId="423D74ED"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Conduct studies with a </w:t>
      </w:r>
      <w:r w:rsidRPr="008F5BD3">
        <w:rPr>
          <w:rFonts w:ascii="Times New Roman" w:eastAsia="Times New Roman" w:hAnsi="Times New Roman" w:cs="Times New Roman"/>
          <w:bCs/>
          <w:sz w:val="24"/>
          <w:szCs w:val="24"/>
          <w:lang w:val="en-US"/>
        </w:rPr>
        <w:t>larger sample size</w:t>
      </w:r>
      <w:r w:rsidRPr="008F5BD3">
        <w:rPr>
          <w:rFonts w:ascii="Times New Roman" w:eastAsia="Times New Roman" w:hAnsi="Times New Roman" w:cs="Times New Roman"/>
          <w:sz w:val="24"/>
          <w:szCs w:val="24"/>
          <w:lang w:val="en-US"/>
        </w:rPr>
        <w:t xml:space="preserve"> and multi-center recruitment to increase external validity.</w:t>
      </w:r>
    </w:p>
    <w:p w14:paraId="4ABB8409"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Include </w:t>
      </w:r>
      <w:r w:rsidRPr="008F5BD3">
        <w:rPr>
          <w:rFonts w:ascii="Times New Roman" w:eastAsia="Times New Roman" w:hAnsi="Times New Roman" w:cs="Times New Roman"/>
          <w:bCs/>
          <w:sz w:val="24"/>
          <w:szCs w:val="24"/>
          <w:lang w:val="en-US"/>
        </w:rPr>
        <w:t>long-term follow-ups</w:t>
      </w:r>
      <w:r w:rsidRPr="008F5BD3">
        <w:rPr>
          <w:rFonts w:ascii="Times New Roman" w:eastAsia="Times New Roman" w:hAnsi="Times New Roman" w:cs="Times New Roman"/>
          <w:sz w:val="24"/>
          <w:szCs w:val="24"/>
          <w:lang w:val="en-US"/>
        </w:rPr>
        <w:t xml:space="preserve"> (3–6 months) to determine the retention of therapeutic benefits.</w:t>
      </w:r>
    </w:p>
    <w:p w14:paraId="16C5223E"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Incorporate </w:t>
      </w:r>
      <w:r w:rsidRPr="008F5BD3">
        <w:rPr>
          <w:rFonts w:ascii="Times New Roman" w:eastAsia="Times New Roman" w:hAnsi="Times New Roman" w:cs="Times New Roman"/>
          <w:bCs/>
          <w:sz w:val="24"/>
          <w:szCs w:val="24"/>
          <w:lang w:val="en-US"/>
        </w:rPr>
        <w:t>objective outcome measures</w:t>
      </w:r>
      <w:r w:rsidRPr="008F5BD3">
        <w:rPr>
          <w:rFonts w:ascii="Times New Roman" w:eastAsia="Times New Roman" w:hAnsi="Times New Roman" w:cs="Times New Roman"/>
          <w:sz w:val="24"/>
          <w:szCs w:val="24"/>
          <w:lang w:val="en-US"/>
        </w:rPr>
        <w:t>, such as electromyography, cervical muscle endurance testing, or imaging-based measures of mobility.</w:t>
      </w:r>
    </w:p>
    <w:p w14:paraId="23BF5740"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Compare neurodynamic techniques with other commonly used interventions (e.g., Mulligan mobilization, MET, McKenzie exercises, myofascial release).</w:t>
      </w:r>
    </w:p>
    <w:p w14:paraId="7E830AF6"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Classify participants based on </w:t>
      </w:r>
      <w:r w:rsidRPr="008F5BD3">
        <w:rPr>
          <w:rFonts w:ascii="Times New Roman" w:eastAsia="Times New Roman" w:hAnsi="Times New Roman" w:cs="Times New Roman"/>
          <w:bCs/>
          <w:sz w:val="24"/>
          <w:szCs w:val="24"/>
          <w:lang w:val="en-US"/>
        </w:rPr>
        <w:t>symptom chronicity, neural involvement, or severity</w:t>
      </w:r>
      <w:r w:rsidRPr="008F5BD3">
        <w:rPr>
          <w:rFonts w:ascii="Times New Roman" w:eastAsia="Times New Roman" w:hAnsi="Times New Roman" w:cs="Times New Roman"/>
          <w:sz w:val="24"/>
          <w:szCs w:val="24"/>
          <w:lang w:val="en-US"/>
        </w:rPr>
        <w:t>, to determine which subgroups respond best to each intervention.</w:t>
      </w:r>
    </w:p>
    <w:p w14:paraId="044881F9"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Assess the role of </w:t>
      </w:r>
      <w:r w:rsidRPr="008F5BD3">
        <w:rPr>
          <w:rFonts w:ascii="Times New Roman" w:eastAsia="Times New Roman" w:hAnsi="Times New Roman" w:cs="Times New Roman"/>
          <w:bCs/>
          <w:sz w:val="24"/>
          <w:szCs w:val="24"/>
          <w:lang w:val="en-US"/>
        </w:rPr>
        <w:t>ergonomic training and home-exercise adherence</w:t>
      </w:r>
      <w:r w:rsidRPr="008F5BD3">
        <w:rPr>
          <w:rFonts w:ascii="Times New Roman" w:eastAsia="Times New Roman" w:hAnsi="Times New Roman" w:cs="Times New Roman"/>
          <w:sz w:val="24"/>
          <w:szCs w:val="24"/>
          <w:lang w:val="en-US"/>
        </w:rPr>
        <w:t>, which may strongly influence clinical outcomes.</w:t>
      </w:r>
    </w:p>
    <w:p w14:paraId="6CAED1A5"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Conclusion</w:t>
      </w:r>
    </w:p>
    <w:p w14:paraId="09AD9CE2" w14:textId="3DFD45AE"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demonstrated that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w:t>
      </w:r>
      <w:r w:rsidR="00FC190D">
        <w:rPr>
          <w:rFonts w:ascii="Times New Roman" w:eastAsia="Times New Roman" w:hAnsi="Times New Roman" w:cs="Times New Roman"/>
          <w:sz w:val="24"/>
          <w:szCs w:val="24"/>
          <w:lang w:val="en-US"/>
        </w:rPr>
        <w:t>is</w:t>
      </w:r>
      <w:r w:rsidRPr="008F5BD3">
        <w:rPr>
          <w:rFonts w:ascii="Times New Roman" w:eastAsia="Times New Roman" w:hAnsi="Times New Roman" w:cs="Times New Roman"/>
          <w:sz w:val="24"/>
          <w:szCs w:val="24"/>
          <w:lang w:val="en-US"/>
        </w:rPr>
        <w:t xml:space="preserve"> effective in reducing pain, improving functional disability, and enhancing cervical range of motion in individuals with mechanical neck pain. However,</w:t>
      </w:r>
      <w:r w:rsidR="00FC190D">
        <w:rPr>
          <w:rFonts w:ascii="Times New Roman" w:eastAsia="Times New Roman" w:hAnsi="Times New Roman" w:cs="Times New Roman"/>
          <w:sz w:val="24"/>
          <w:szCs w:val="24"/>
          <w:lang w:val="en-US"/>
        </w:rPr>
        <w:t xml:space="preserve"> </w:t>
      </w:r>
      <w:r w:rsidR="00FC190D" w:rsidRPr="008F5BD3">
        <w:rPr>
          <w:rFonts w:ascii="Times New Roman" w:eastAsia="Times New Roman" w:hAnsi="Times New Roman" w:cs="Times New Roman"/>
          <w:bCs/>
          <w:sz w:val="24"/>
          <w:szCs w:val="24"/>
          <w:lang w:val="en-US"/>
        </w:rPr>
        <w:t>Integrated Neuromuscular Inhibition Technique (INIT)</w:t>
      </w:r>
      <w:r w:rsidR="00FC190D">
        <w:rPr>
          <w:rFonts w:ascii="Times New Roman" w:eastAsia="Times New Roman" w:hAnsi="Times New Roman" w:cs="Times New Roman"/>
          <w:sz w:val="24"/>
          <w:szCs w:val="24"/>
          <w:lang w:val="en-US"/>
        </w:rPr>
        <w:t xml:space="preserve"> with</w:t>
      </w:r>
      <w:r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bCs/>
          <w:sz w:val="24"/>
          <w:szCs w:val="24"/>
          <w:lang w:val="en-US"/>
        </w:rPr>
        <w:t>Neurodynamic Mobilization produced significantly greater improvements</w:t>
      </w:r>
      <w:r w:rsidRPr="008F5BD3">
        <w:rPr>
          <w:rFonts w:ascii="Times New Roman" w:eastAsia="Times New Roman" w:hAnsi="Times New Roman" w:cs="Times New Roman"/>
          <w:sz w:val="24"/>
          <w:szCs w:val="24"/>
          <w:lang w:val="en-US"/>
        </w:rPr>
        <w:t xml:space="preserve"> across all outcome measures over the 4-week intervention period. These findings highlight the importance of addressing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restoring optimal neural mobility in the management of neck pain. Neurodynamic Mobilization </w:t>
      </w:r>
      <w:r w:rsidR="00FC190D">
        <w:rPr>
          <w:rFonts w:ascii="Times New Roman" w:eastAsia="Times New Roman" w:hAnsi="Times New Roman" w:cs="Times New Roman"/>
          <w:sz w:val="24"/>
          <w:szCs w:val="24"/>
          <w:lang w:val="en-US"/>
        </w:rPr>
        <w:t xml:space="preserve">along with INIT </w:t>
      </w:r>
      <w:r w:rsidRPr="008F5BD3">
        <w:rPr>
          <w:rFonts w:ascii="Times New Roman" w:eastAsia="Times New Roman" w:hAnsi="Times New Roman" w:cs="Times New Roman"/>
          <w:sz w:val="24"/>
          <w:szCs w:val="24"/>
          <w:lang w:val="en-US"/>
        </w:rPr>
        <w:t>can therefore be considered a more effective treatment option compared to INIT alone for short-term rehabilitation of mechanical neck pain. Further research is needed to investigate long-term outcomes and explore combined or individualized treatment strategies.</w:t>
      </w:r>
    </w:p>
    <w:p w14:paraId="798A8ADD"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7E8F9211"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0B7FA83B"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43825DA7"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646839D4" w14:textId="3B6597EE"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REFERENCES</w:t>
      </w:r>
    </w:p>
    <w:p w14:paraId="0D7F6EE8" w14:textId="77777777" w:rsidR="00AC7F2A" w:rsidRDefault="00AC7F2A" w:rsidP="00AC7F2A">
      <w:pPr>
        <w:pStyle w:val="NormalWeb"/>
        <w:numPr>
          <w:ilvl w:val="0"/>
          <w:numId w:val="21"/>
        </w:numPr>
        <w:jc w:val="both"/>
      </w:pPr>
      <w:r w:rsidRPr="008F5BD3">
        <w:rPr>
          <w:rStyle w:val="Strong"/>
          <w:b w:val="0"/>
        </w:rPr>
        <w:t xml:space="preserve">Murali, S., &amp; </w:t>
      </w:r>
      <w:proofErr w:type="spellStart"/>
      <w:r w:rsidRPr="008F5BD3">
        <w:rPr>
          <w:rStyle w:val="Strong"/>
          <w:b w:val="0"/>
        </w:rPr>
        <w:t>Jothilingam</w:t>
      </w:r>
      <w:proofErr w:type="spellEnd"/>
      <w:r w:rsidRPr="008F5BD3">
        <w:rPr>
          <w:rStyle w:val="Strong"/>
          <w:b w:val="0"/>
        </w:rPr>
        <w:t>, M.</w:t>
      </w:r>
      <w:r w:rsidRPr="008F5BD3">
        <w:t xml:space="preserve"> (2023). </w:t>
      </w:r>
      <w:r w:rsidRPr="008F5BD3">
        <w:rPr>
          <w:rStyle w:val="Emphasis"/>
        </w:rPr>
        <w:t>Integrated Neuromuscular Inhibition Technique for Myofascial Trigger Point Pain Relief: A Systematic Review.</w:t>
      </w:r>
      <w:r w:rsidRPr="008F5BD3">
        <w:t xml:space="preserve"> Journal for </w:t>
      </w:r>
      <w:proofErr w:type="spellStart"/>
      <w:r w:rsidRPr="008F5BD3">
        <w:t>ReAttach</w:t>
      </w:r>
      <w:proofErr w:type="spellEnd"/>
      <w:r w:rsidRPr="008F5BD3">
        <w:t xml:space="preserve"> Therapy and Developmental Diversities, 6(10</w:t>
      </w:r>
      <w:proofErr w:type="gramStart"/>
      <w:r w:rsidRPr="008F5BD3">
        <w:t>s(</w:t>
      </w:r>
      <w:proofErr w:type="gramEnd"/>
      <w:r w:rsidRPr="008F5BD3">
        <w:t>2)), 928–935.</w:t>
      </w:r>
    </w:p>
    <w:p w14:paraId="6CCE7B8B" w14:textId="77777777" w:rsidR="00AC7F2A" w:rsidRPr="008F5BD3" w:rsidRDefault="00AC7F2A" w:rsidP="00AC7F2A">
      <w:pPr>
        <w:pStyle w:val="NormalWeb"/>
        <w:numPr>
          <w:ilvl w:val="0"/>
          <w:numId w:val="21"/>
        </w:numPr>
        <w:jc w:val="both"/>
      </w:pPr>
      <w:proofErr w:type="spellStart"/>
      <w:r w:rsidRPr="008F5BD3">
        <w:rPr>
          <w:rStyle w:val="Strong"/>
          <w:b w:val="0"/>
        </w:rPr>
        <w:t>Pallewar</w:t>
      </w:r>
      <w:proofErr w:type="spellEnd"/>
      <w:r w:rsidRPr="008F5BD3">
        <w:rPr>
          <w:rStyle w:val="Strong"/>
          <w:b w:val="0"/>
        </w:rPr>
        <w:t xml:space="preserve">, M., Saharan, A. K., </w:t>
      </w:r>
      <w:proofErr w:type="spellStart"/>
      <w:r w:rsidRPr="008F5BD3">
        <w:rPr>
          <w:rStyle w:val="Strong"/>
          <w:b w:val="0"/>
        </w:rPr>
        <w:t>Ravikiran</w:t>
      </w:r>
      <w:proofErr w:type="spellEnd"/>
      <w:r w:rsidRPr="008F5BD3">
        <w:rPr>
          <w:rStyle w:val="Strong"/>
          <w:b w:val="0"/>
        </w:rPr>
        <w:t xml:space="preserve">, &amp; </w:t>
      </w:r>
      <w:proofErr w:type="spellStart"/>
      <w:r w:rsidRPr="008F5BD3">
        <w:rPr>
          <w:rStyle w:val="Strong"/>
          <w:b w:val="0"/>
        </w:rPr>
        <w:t>Gouru</w:t>
      </w:r>
      <w:proofErr w:type="spellEnd"/>
      <w:r w:rsidRPr="008F5BD3">
        <w:rPr>
          <w:rStyle w:val="Strong"/>
          <w:b w:val="0"/>
        </w:rPr>
        <w:t>, V.</w:t>
      </w:r>
      <w:r w:rsidRPr="008F5BD3">
        <w:t xml:space="preserve"> (2021). </w:t>
      </w:r>
      <w:r w:rsidRPr="008F5BD3">
        <w:rPr>
          <w:rStyle w:val="Emphasis"/>
        </w:rPr>
        <w:t>The Effect of Neural Mobilization with Cervical Traction in Cervical Radiculopathy Patients.</w:t>
      </w:r>
      <w:r w:rsidRPr="008F5BD3">
        <w:t xml:space="preserve"> International Journal of Development Research, 11, 21497-21497.</w:t>
      </w:r>
    </w:p>
    <w:p w14:paraId="4866655A" w14:textId="77777777" w:rsidR="007920BE" w:rsidRPr="008F5BD3" w:rsidRDefault="007920BE" w:rsidP="008F5BD3">
      <w:pPr>
        <w:pStyle w:val="NormalWeb"/>
        <w:numPr>
          <w:ilvl w:val="0"/>
          <w:numId w:val="21"/>
        </w:numPr>
        <w:jc w:val="both"/>
      </w:pPr>
      <w:r w:rsidRPr="008F5BD3">
        <w:rPr>
          <w:rStyle w:val="Strong"/>
          <w:b w:val="0"/>
        </w:rPr>
        <w:t>Ali Ismail, A. M., Abd El-Azeim, A. S., &amp; El-Sayed Felaya, E. E.</w:t>
      </w:r>
      <w:r w:rsidRPr="008F5BD3">
        <w:t xml:space="preserve"> (2023). </w:t>
      </w:r>
      <w:r w:rsidRPr="008F5BD3">
        <w:rPr>
          <w:rStyle w:val="Emphasis"/>
        </w:rPr>
        <w:t>Integrated Neuromuscular Inhibition Technique versus Spray-and-Stretch Technique in Neck Pain Patients with Upper Trapezius Trigger Points: A Randomized Clinical Trial</w:t>
      </w:r>
      <w:r w:rsidRPr="008F5BD3">
        <w:t>. Journal of Manual &amp; Manipulative Therapy, 32(2), 141–149.</w:t>
      </w:r>
    </w:p>
    <w:p w14:paraId="1B4B1014" w14:textId="77777777" w:rsidR="007920BE" w:rsidRPr="008F5BD3" w:rsidRDefault="007920BE" w:rsidP="008F5BD3">
      <w:pPr>
        <w:pStyle w:val="NormalWeb"/>
        <w:numPr>
          <w:ilvl w:val="0"/>
          <w:numId w:val="21"/>
        </w:numPr>
        <w:jc w:val="both"/>
      </w:pPr>
      <w:r w:rsidRPr="008F5BD3">
        <w:rPr>
          <w:rStyle w:val="Strong"/>
          <w:b w:val="0"/>
        </w:rPr>
        <w:t>Rafiq, S., Zafar, H., Gillani, S. A., Waqas, M. S., Zia, A., Liaqat, S., &amp; Rafiq, Y.</w:t>
      </w:r>
      <w:r w:rsidRPr="008F5BD3">
        <w:t xml:space="preserve"> (2022). </w:t>
      </w:r>
      <w:r w:rsidRPr="008F5BD3">
        <w:rPr>
          <w:rStyle w:val="Emphasis"/>
        </w:rPr>
        <w:t>Comparison of Integrated Neuromuscular Inhibition Technique versus Myofascial Release of Upper Trapezius on Neck Range of Motion and Dysfunction in Individuals with Nonspecific Neck Pain.</w:t>
      </w:r>
      <w:r w:rsidRPr="008F5BD3">
        <w:t xml:space="preserve"> Indian Journal of Physiotherapy &amp; Occupational Therapy, 16(4), 30–35.</w:t>
      </w:r>
    </w:p>
    <w:p w14:paraId="29B495B3" w14:textId="77777777" w:rsidR="007920BE" w:rsidRPr="008F5BD3" w:rsidRDefault="007920BE" w:rsidP="008F5BD3">
      <w:pPr>
        <w:pStyle w:val="NormalWeb"/>
        <w:numPr>
          <w:ilvl w:val="0"/>
          <w:numId w:val="21"/>
        </w:numPr>
        <w:jc w:val="both"/>
      </w:pPr>
      <w:r w:rsidRPr="008F5BD3">
        <w:rPr>
          <w:rStyle w:val="Strong"/>
          <w:b w:val="0"/>
        </w:rPr>
        <w:t xml:space="preserve">Thakur, R., Mande, P., &amp; </w:t>
      </w:r>
      <w:proofErr w:type="spellStart"/>
      <w:r w:rsidRPr="008F5BD3">
        <w:rPr>
          <w:rStyle w:val="Strong"/>
          <w:b w:val="0"/>
        </w:rPr>
        <w:t>Lokwani</w:t>
      </w:r>
      <w:proofErr w:type="spellEnd"/>
      <w:r w:rsidRPr="008F5BD3">
        <w:rPr>
          <w:rStyle w:val="Strong"/>
          <w:b w:val="0"/>
        </w:rPr>
        <w:t>, M.</w:t>
      </w:r>
      <w:r w:rsidRPr="008F5BD3">
        <w:t xml:space="preserve"> (2022). </w:t>
      </w:r>
      <w:r w:rsidRPr="008F5BD3">
        <w:rPr>
          <w:rStyle w:val="Emphasis"/>
        </w:rPr>
        <w:t xml:space="preserve">Effectiveness of Integrated Neuromuscular Inhibition Technique and Instrument-Assisted Soft Tissue </w:t>
      </w:r>
      <w:proofErr w:type="spellStart"/>
      <w:r w:rsidRPr="008F5BD3">
        <w:rPr>
          <w:rStyle w:val="Emphasis"/>
        </w:rPr>
        <w:t>Mobilisation</w:t>
      </w:r>
      <w:proofErr w:type="spellEnd"/>
      <w:r w:rsidRPr="008F5BD3">
        <w:rPr>
          <w:rStyle w:val="Emphasis"/>
        </w:rPr>
        <w:t xml:space="preserve"> in the Management of Upper Trapezius Myofascial Trigger Points.</w:t>
      </w:r>
      <w:r w:rsidRPr="008F5BD3">
        <w:t xml:space="preserve"> Indian Journal of Physiotherapy &amp; Occupational Therapy, 16(4), 94–100.</w:t>
      </w:r>
    </w:p>
    <w:p w14:paraId="0FDFC3FB" w14:textId="77777777" w:rsidR="007920BE" w:rsidRPr="008F5BD3" w:rsidRDefault="007920BE" w:rsidP="008F5BD3">
      <w:pPr>
        <w:pStyle w:val="NormalWeb"/>
        <w:numPr>
          <w:ilvl w:val="0"/>
          <w:numId w:val="21"/>
        </w:numPr>
        <w:jc w:val="both"/>
      </w:pPr>
      <w:r w:rsidRPr="008F5BD3">
        <w:rPr>
          <w:rStyle w:val="Strong"/>
          <w:b w:val="0"/>
        </w:rPr>
        <w:t>Rafiq, S., Zafar, H., Gillani, S. A., etc.</w:t>
      </w:r>
      <w:r w:rsidRPr="008F5BD3">
        <w:t xml:space="preserve"> (2022). </w:t>
      </w:r>
      <w:r w:rsidRPr="008F5BD3">
        <w:rPr>
          <w:rStyle w:val="Emphasis"/>
        </w:rPr>
        <w:t>Comparison of Neural Mobilization and Conservative Treatment on Pain, Range of Motion, and Disability in Cervical Radiculopathy: A Randomized Controlled Trial.</w:t>
      </w:r>
      <w:r w:rsidRPr="008F5BD3">
        <w:t xml:space="preserve"> (Note: This is a very relevant RCT)</w:t>
      </w:r>
    </w:p>
    <w:p w14:paraId="166E2065" w14:textId="77777777" w:rsidR="007920BE" w:rsidRPr="008F5BD3" w:rsidRDefault="007920BE" w:rsidP="008F5BD3">
      <w:pPr>
        <w:pStyle w:val="NormalWeb"/>
        <w:numPr>
          <w:ilvl w:val="0"/>
          <w:numId w:val="21"/>
        </w:numPr>
        <w:jc w:val="both"/>
      </w:pPr>
      <w:r w:rsidRPr="008F5BD3">
        <w:rPr>
          <w:rStyle w:val="Strong"/>
          <w:b w:val="0"/>
        </w:rPr>
        <w:t>Agarwal, S., et al.</w:t>
      </w:r>
      <w:r w:rsidRPr="008F5BD3">
        <w:t xml:space="preserve"> (2024). </w:t>
      </w:r>
      <w:r w:rsidRPr="008F5BD3">
        <w:rPr>
          <w:rStyle w:val="Emphasis"/>
        </w:rPr>
        <w:t>Optimizing Pain Relief and Range of Motion in Unilateral Cervical Radiculopathy: Neural Tissue Mobilization + Cervical Stabilization Exercises.</w:t>
      </w:r>
      <w:r w:rsidRPr="008F5BD3">
        <w:t xml:space="preserve"> (from 2024)</w:t>
      </w:r>
    </w:p>
    <w:p w14:paraId="19DD7C9D" w14:textId="77777777" w:rsidR="007920BE" w:rsidRDefault="007920BE" w:rsidP="008F5BD3">
      <w:pPr>
        <w:pStyle w:val="NormalWeb"/>
        <w:numPr>
          <w:ilvl w:val="0"/>
          <w:numId w:val="21"/>
        </w:numPr>
        <w:jc w:val="both"/>
      </w:pPr>
      <w:r w:rsidRPr="00680F00">
        <w:t xml:space="preserve">Basson, A., Olivier, B., Ellis, R., </w:t>
      </w:r>
      <w:proofErr w:type="spellStart"/>
      <w:r w:rsidRPr="00680F00">
        <w:t>Coppieters</w:t>
      </w:r>
      <w:proofErr w:type="spellEnd"/>
      <w:r w:rsidRPr="00680F00">
        <w:t xml:space="preserve">, M., Stewart, A., &amp; </w:t>
      </w:r>
      <w:proofErr w:type="spellStart"/>
      <w:r w:rsidRPr="00680F00">
        <w:t>Mudzi</w:t>
      </w:r>
      <w:proofErr w:type="spellEnd"/>
      <w:r w:rsidRPr="00680F00">
        <w:t xml:space="preserve">, W. (2017). The effectiveness of neural mobilization for neuromusculoskeletal conditions: A systematic review and meta-analysis. </w:t>
      </w:r>
      <w:r w:rsidRPr="00680F00">
        <w:rPr>
          <w:iCs/>
        </w:rPr>
        <w:t xml:space="preserve">Journal of </w:t>
      </w:r>
      <w:proofErr w:type="spellStart"/>
      <w:r w:rsidRPr="00680F00">
        <w:rPr>
          <w:iCs/>
        </w:rPr>
        <w:t>Orthopaedic</w:t>
      </w:r>
      <w:proofErr w:type="spellEnd"/>
      <w:r w:rsidRPr="00680F00">
        <w:rPr>
          <w:iCs/>
        </w:rPr>
        <w:t xml:space="preserve"> &amp; Sports Physical Therapy, 47</w:t>
      </w:r>
      <w:r w:rsidRPr="00680F00">
        <w:t>(9), 593–615.</w:t>
      </w:r>
    </w:p>
    <w:p w14:paraId="6102562B" w14:textId="77777777" w:rsidR="007920BE" w:rsidRDefault="007920BE" w:rsidP="008F5BD3">
      <w:pPr>
        <w:pStyle w:val="NormalWeb"/>
        <w:numPr>
          <w:ilvl w:val="0"/>
          <w:numId w:val="21"/>
        </w:numPr>
        <w:jc w:val="both"/>
      </w:pPr>
      <w:r w:rsidRPr="00680F00">
        <w:t xml:space="preserve">Boyd, B., &amp; Villa, P. (2012). The efficacy of neural mobilization in the management of musculoskeletal conditions: A systematic review. </w:t>
      </w:r>
      <w:r w:rsidRPr="00680F00">
        <w:rPr>
          <w:iCs/>
        </w:rPr>
        <w:t>Journal of Manual &amp; Manipulative Therapy, 20</w:t>
      </w:r>
      <w:r w:rsidRPr="00680F00">
        <w:t>(3), 152–160.</w:t>
      </w:r>
    </w:p>
    <w:p w14:paraId="31B0A63C" w14:textId="77777777" w:rsidR="007920BE" w:rsidRDefault="007920BE" w:rsidP="008F5BD3">
      <w:pPr>
        <w:pStyle w:val="NormalWeb"/>
        <w:numPr>
          <w:ilvl w:val="0"/>
          <w:numId w:val="21"/>
        </w:numPr>
        <w:jc w:val="both"/>
      </w:pPr>
      <w:r w:rsidRPr="00680F00">
        <w:t xml:space="preserve">Cleland, J. A., Childs, J. D., Fritz, J. M., &amp; Whitman, J. M. (2007). Interventions for neck pain: A clinical prediction rule. </w:t>
      </w:r>
      <w:r w:rsidRPr="00680F00">
        <w:rPr>
          <w:iCs/>
        </w:rPr>
        <w:t>Spine, 32</w:t>
      </w:r>
      <w:r w:rsidRPr="00680F00">
        <w:t>(1), 43–48.</w:t>
      </w:r>
    </w:p>
    <w:p w14:paraId="60E613E0" w14:textId="77777777" w:rsidR="007920BE" w:rsidRDefault="007920BE" w:rsidP="008F5BD3">
      <w:pPr>
        <w:pStyle w:val="NormalWeb"/>
        <w:numPr>
          <w:ilvl w:val="0"/>
          <w:numId w:val="21"/>
        </w:numPr>
        <w:jc w:val="both"/>
      </w:pPr>
      <w:r w:rsidRPr="00680F00">
        <w:t>Fernández-de-las-</w:t>
      </w:r>
      <w:proofErr w:type="spellStart"/>
      <w:r w:rsidRPr="00680F00">
        <w:t>Peñas</w:t>
      </w:r>
      <w:proofErr w:type="spellEnd"/>
      <w:r w:rsidRPr="00680F00">
        <w:t xml:space="preserve">, C., Alonso-Blanco, C., &amp; </w:t>
      </w:r>
      <w:proofErr w:type="spellStart"/>
      <w:r w:rsidRPr="00680F00">
        <w:t>Miangolarra</w:t>
      </w:r>
      <w:proofErr w:type="spellEnd"/>
      <w:r w:rsidRPr="00680F00">
        <w:t xml:space="preserve">, J. C. (2007). Myofascial trigger points in subjects presenting with mechanical neck pain: A blinded, controlled study. </w:t>
      </w:r>
      <w:r w:rsidRPr="00680F00">
        <w:rPr>
          <w:iCs/>
        </w:rPr>
        <w:t>Journal of Manual &amp; Manipulative Therapy, 15</w:t>
      </w:r>
      <w:r w:rsidRPr="00680F00">
        <w:t>(1), 7–12.</w:t>
      </w:r>
    </w:p>
    <w:p w14:paraId="75956E89" w14:textId="77777777" w:rsidR="007920BE" w:rsidRDefault="007920BE" w:rsidP="008F5BD3">
      <w:pPr>
        <w:pStyle w:val="NormalWeb"/>
        <w:numPr>
          <w:ilvl w:val="0"/>
          <w:numId w:val="21"/>
        </w:numPr>
        <w:jc w:val="both"/>
      </w:pPr>
      <w:r w:rsidRPr="00680F00">
        <w:t xml:space="preserve">Nee, R. J., Jull, G. A., Vicenzino, B., &amp; </w:t>
      </w:r>
      <w:proofErr w:type="spellStart"/>
      <w:r w:rsidRPr="00680F00">
        <w:t>Coppieters</w:t>
      </w:r>
      <w:proofErr w:type="spellEnd"/>
      <w:r w:rsidRPr="00680F00">
        <w:t xml:space="preserve">, M. W. (2012). The validity of upper-limb neurodynamic tests for detecting peripheral neuropathic pain. </w:t>
      </w:r>
      <w:r w:rsidRPr="00680F00">
        <w:rPr>
          <w:iCs/>
        </w:rPr>
        <w:t>Clinical Journal of Pain, 28</w:t>
      </w:r>
      <w:r w:rsidRPr="00680F00">
        <w:t>(7), 667–674.</w:t>
      </w:r>
    </w:p>
    <w:p w14:paraId="00BE68C5" w14:textId="77777777" w:rsidR="00C740C4" w:rsidRPr="00360B7F" w:rsidRDefault="00C740C4" w:rsidP="00C740C4">
      <w:pPr>
        <w:pStyle w:val="NormalWeb"/>
        <w:numPr>
          <w:ilvl w:val="0"/>
          <w:numId w:val="21"/>
        </w:numPr>
        <w:jc w:val="both"/>
      </w:pPr>
      <w:r w:rsidRPr="00680F00">
        <w:t xml:space="preserve">Shacklock, M. (2005). </w:t>
      </w:r>
      <w:r w:rsidRPr="00680F00">
        <w:rPr>
          <w:iCs/>
        </w:rPr>
        <w:t xml:space="preserve">Clinical </w:t>
      </w:r>
      <w:proofErr w:type="spellStart"/>
      <w:r w:rsidRPr="00680F00">
        <w:rPr>
          <w:iCs/>
        </w:rPr>
        <w:t>Neurodynamics</w:t>
      </w:r>
      <w:proofErr w:type="spellEnd"/>
      <w:r w:rsidRPr="00680F00">
        <w:rPr>
          <w:iCs/>
        </w:rPr>
        <w:t>: A New System of Neuromusculoskeletal Treatment</w:t>
      </w:r>
      <w:r w:rsidRPr="00680F00">
        <w:t>. Elsevier.</w:t>
      </w:r>
      <w:r w:rsidRPr="00680F00">
        <w:rPr>
          <w:color w:val="333333"/>
        </w:rPr>
        <w:t> </w:t>
      </w:r>
    </w:p>
    <w:p w14:paraId="23C60FBB" w14:textId="77777777" w:rsidR="007920BE" w:rsidRDefault="007920BE" w:rsidP="008F5BD3">
      <w:pPr>
        <w:pStyle w:val="NormalWeb"/>
        <w:numPr>
          <w:ilvl w:val="0"/>
          <w:numId w:val="21"/>
        </w:numPr>
        <w:jc w:val="both"/>
      </w:pPr>
      <w:r w:rsidRPr="00680F00">
        <w:t xml:space="preserve">Nee, R. J., &amp; Butler, D. S. (2016). Management of peripheral neuropathic pain: Integrating neurobiology, </w:t>
      </w:r>
      <w:proofErr w:type="spellStart"/>
      <w:r w:rsidRPr="00680F00">
        <w:t>neurodynamics</w:t>
      </w:r>
      <w:proofErr w:type="spellEnd"/>
      <w:r w:rsidRPr="00680F00">
        <w:t xml:space="preserve">, and clinical evidence. </w:t>
      </w:r>
      <w:r w:rsidRPr="00680F00">
        <w:rPr>
          <w:iCs/>
        </w:rPr>
        <w:t>Physical Therapy Reviews, 21</w:t>
      </w:r>
      <w:r w:rsidRPr="00680F00">
        <w:t>(5–6), 331–340.</w:t>
      </w:r>
    </w:p>
    <w:p w14:paraId="00563B53" w14:textId="77777777" w:rsidR="007920BE" w:rsidRDefault="007920BE" w:rsidP="008F5BD3">
      <w:pPr>
        <w:pStyle w:val="NormalWeb"/>
        <w:numPr>
          <w:ilvl w:val="0"/>
          <w:numId w:val="21"/>
        </w:numPr>
        <w:jc w:val="both"/>
      </w:pPr>
      <w:r w:rsidRPr="00680F00">
        <w:lastRenderedPageBreak/>
        <w:t xml:space="preserve">Santos, M. M., Oliveira, V. C., Medeiros, F. C., &amp; Marques, A. P. (2012). Effects of neural mobilization in patients with cervical radiculopathy: A randomized controlled trial. </w:t>
      </w:r>
      <w:r w:rsidRPr="00680F00">
        <w:rPr>
          <w:iCs/>
        </w:rPr>
        <w:t>Journal of Manipulative and Physiological Therapeutics, 35</w:t>
      </w:r>
      <w:r w:rsidRPr="00680F00">
        <w:t>(9), 644–652.</w:t>
      </w:r>
    </w:p>
    <w:p w14:paraId="072E9B96" w14:textId="77777777" w:rsidR="00680F00" w:rsidRDefault="00680F00" w:rsidP="00680F00">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60A40698" w14:textId="77777777" w:rsidR="00555162" w:rsidRPr="008F5BD3" w:rsidRDefault="00555162" w:rsidP="001851C1">
      <w:pPr>
        <w:spacing w:after="0" w:line="240" w:lineRule="auto"/>
        <w:jc w:val="both"/>
        <w:rPr>
          <w:rFonts w:ascii="Times New Roman" w:hAnsi="Times New Roman" w:cs="Times New Roman"/>
          <w:sz w:val="24"/>
          <w:szCs w:val="24"/>
        </w:rPr>
      </w:pPr>
    </w:p>
    <w:sectPr w:rsidR="00555162" w:rsidRPr="008F5BD3" w:rsidSect="00C83F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24B0" w14:textId="77777777" w:rsidR="00324982" w:rsidRDefault="00324982" w:rsidP="003D5E02">
      <w:pPr>
        <w:spacing w:after="0" w:line="240" w:lineRule="auto"/>
      </w:pPr>
      <w:r>
        <w:separator/>
      </w:r>
    </w:p>
  </w:endnote>
  <w:endnote w:type="continuationSeparator" w:id="0">
    <w:p w14:paraId="5E3E016F" w14:textId="77777777" w:rsidR="00324982" w:rsidRDefault="00324982" w:rsidP="003D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8593" w14:textId="77777777" w:rsidR="003D5E02" w:rsidRDefault="003D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DE82" w14:textId="77777777" w:rsidR="003D5E02" w:rsidRDefault="003D5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DDFE" w14:textId="77777777" w:rsidR="003D5E02" w:rsidRDefault="003D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E18B" w14:textId="77777777" w:rsidR="00324982" w:rsidRDefault="00324982" w:rsidP="003D5E02">
      <w:pPr>
        <w:spacing w:after="0" w:line="240" w:lineRule="auto"/>
      </w:pPr>
      <w:r>
        <w:separator/>
      </w:r>
    </w:p>
  </w:footnote>
  <w:footnote w:type="continuationSeparator" w:id="0">
    <w:p w14:paraId="10A353A9" w14:textId="77777777" w:rsidR="00324982" w:rsidRDefault="00324982" w:rsidP="003D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D895" w14:textId="414CD351" w:rsidR="003D5E02" w:rsidRDefault="003D5E02">
    <w:pPr>
      <w:pStyle w:val="Header"/>
    </w:pPr>
    <w:r>
      <w:rPr>
        <w:noProof/>
      </w:rPr>
      <w:pict w14:anchorId="51F1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3970" w14:textId="3BEBB8C5" w:rsidR="003D5E02" w:rsidRDefault="003D5E02">
    <w:pPr>
      <w:pStyle w:val="Header"/>
    </w:pPr>
    <w:r>
      <w:rPr>
        <w:noProof/>
      </w:rPr>
      <w:pict w14:anchorId="0E3C5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C0B1" w14:textId="1A136F5F" w:rsidR="003D5E02" w:rsidRDefault="003D5E02">
    <w:pPr>
      <w:pStyle w:val="Header"/>
    </w:pPr>
    <w:r>
      <w:rPr>
        <w:noProof/>
      </w:rPr>
      <w:pict w14:anchorId="0A2A7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F33"/>
    <w:multiLevelType w:val="multilevel"/>
    <w:tmpl w:val="98D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F9D"/>
    <w:multiLevelType w:val="multilevel"/>
    <w:tmpl w:val="5DD6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7E80"/>
    <w:multiLevelType w:val="multilevel"/>
    <w:tmpl w:val="898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6BCD"/>
    <w:multiLevelType w:val="multilevel"/>
    <w:tmpl w:val="B7EE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D02A1"/>
    <w:multiLevelType w:val="multilevel"/>
    <w:tmpl w:val="1C8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F5240"/>
    <w:multiLevelType w:val="multilevel"/>
    <w:tmpl w:val="71A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1543"/>
    <w:multiLevelType w:val="multilevel"/>
    <w:tmpl w:val="D096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34AD4"/>
    <w:multiLevelType w:val="multilevel"/>
    <w:tmpl w:val="BB16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139EF"/>
    <w:multiLevelType w:val="multilevel"/>
    <w:tmpl w:val="A6F8F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63FFC"/>
    <w:multiLevelType w:val="multilevel"/>
    <w:tmpl w:val="E394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77CC3"/>
    <w:multiLevelType w:val="multilevel"/>
    <w:tmpl w:val="34C2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51348"/>
    <w:multiLevelType w:val="multilevel"/>
    <w:tmpl w:val="D792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4665F"/>
    <w:multiLevelType w:val="multilevel"/>
    <w:tmpl w:val="48FE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12A64"/>
    <w:multiLevelType w:val="multilevel"/>
    <w:tmpl w:val="CF9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3778"/>
    <w:multiLevelType w:val="multilevel"/>
    <w:tmpl w:val="5B1A5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D1E87"/>
    <w:multiLevelType w:val="multilevel"/>
    <w:tmpl w:val="9B3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71B36"/>
    <w:multiLevelType w:val="multilevel"/>
    <w:tmpl w:val="47EC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5462D"/>
    <w:multiLevelType w:val="multilevel"/>
    <w:tmpl w:val="D0B4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A64FD"/>
    <w:multiLevelType w:val="multilevel"/>
    <w:tmpl w:val="50F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42E1F"/>
    <w:multiLevelType w:val="multilevel"/>
    <w:tmpl w:val="50E4A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54A7E"/>
    <w:multiLevelType w:val="multilevel"/>
    <w:tmpl w:val="ED4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F35E7"/>
    <w:multiLevelType w:val="multilevel"/>
    <w:tmpl w:val="5B2E7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F1457"/>
    <w:multiLevelType w:val="multilevel"/>
    <w:tmpl w:val="279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0"/>
  </w:num>
  <w:num w:numId="4">
    <w:abstractNumId w:val="6"/>
  </w:num>
  <w:num w:numId="5">
    <w:abstractNumId w:val="15"/>
  </w:num>
  <w:num w:numId="6">
    <w:abstractNumId w:val="4"/>
  </w:num>
  <w:num w:numId="7">
    <w:abstractNumId w:val="13"/>
  </w:num>
  <w:num w:numId="8">
    <w:abstractNumId w:val="22"/>
  </w:num>
  <w:num w:numId="9">
    <w:abstractNumId w:val="5"/>
  </w:num>
  <w:num w:numId="10">
    <w:abstractNumId w:val="17"/>
  </w:num>
  <w:num w:numId="11">
    <w:abstractNumId w:val="8"/>
  </w:num>
  <w:num w:numId="12">
    <w:abstractNumId w:val="1"/>
  </w:num>
  <w:num w:numId="13">
    <w:abstractNumId w:val="2"/>
  </w:num>
  <w:num w:numId="14">
    <w:abstractNumId w:val="9"/>
  </w:num>
  <w:num w:numId="15">
    <w:abstractNumId w:val="12"/>
  </w:num>
  <w:num w:numId="16">
    <w:abstractNumId w:val="21"/>
  </w:num>
  <w:num w:numId="17">
    <w:abstractNumId w:val="14"/>
  </w:num>
  <w:num w:numId="18">
    <w:abstractNumId w:val="7"/>
  </w:num>
  <w:num w:numId="19">
    <w:abstractNumId w:val="16"/>
  </w:num>
  <w:num w:numId="20">
    <w:abstractNumId w:val="0"/>
  </w:num>
  <w:num w:numId="21">
    <w:abstractNumId w:val="19"/>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A"/>
    <w:rsid w:val="00080A76"/>
    <w:rsid w:val="00093B2C"/>
    <w:rsid w:val="001851C1"/>
    <w:rsid w:val="001A6E2A"/>
    <w:rsid w:val="001C4D6E"/>
    <w:rsid w:val="002C2471"/>
    <w:rsid w:val="002C7AD2"/>
    <w:rsid w:val="00324982"/>
    <w:rsid w:val="00360B7F"/>
    <w:rsid w:val="0038058E"/>
    <w:rsid w:val="00385665"/>
    <w:rsid w:val="003D5E02"/>
    <w:rsid w:val="00441D1B"/>
    <w:rsid w:val="004614C7"/>
    <w:rsid w:val="00497044"/>
    <w:rsid w:val="004D7027"/>
    <w:rsid w:val="004F1572"/>
    <w:rsid w:val="00555162"/>
    <w:rsid w:val="005D02C2"/>
    <w:rsid w:val="006408E9"/>
    <w:rsid w:val="00680F00"/>
    <w:rsid w:val="00694A94"/>
    <w:rsid w:val="00697B93"/>
    <w:rsid w:val="006B1C27"/>
    <w:rsid w:val="007920BE"/>
    <w:rsid w:val="007C7D52"/>
    <w:rsid w:val="0080703C"/>
    <w:rsid w:val="008323E7"/>
    <w:rsid w:val="008C40C3"/>
    <w:rsid w:val="008F5BD3"/>
    <w:rsid w:val="00917031"/>
    <w:rsid w:val="0098154E"/>
    <w:rsid w:val="009C2901"/>
    <w:rsid w:val="009E7ADD"/>
    <w:rsid w:val="009F1D6D"/>
    <w:rsid w:val="00A17993"/>
    <w:rsid w:val="00A3153C"/>
    <w:rsid w:val="00AC7F2A"/>
    <w:rsid w:val="00B50681"/>
    <w:rsid w:val="00B636C6"/>
    <w:rsid w:val="00BC4F44"/>
    <w:rsid w:val="00BD3722"/>
    <w:rsid w:val="00C12812"/>
    <w:rsid w:val="00C740C4"/>
    <w:rsid w:val="00C83F63"/>
    <w:rsid w:val="00CB25CC"/>
    <w:rsid w:val="00D06F23"/>
    <w:rsid w:val="00D21372"/>
    <w:rsid w:val="00D37BF7"/>
    <w:rsid w:val="00D50F1F"/>
    <w:rsid w:val="00DD3FEC"/>
    <w:rsid w:val="00DF054E"/>
    <w:rsid w:val="00E365EB"/>
    <w:rsid w:val="00E86B45"/>
    <w:rsid w:val="00FC190D"/>
    <w:rsid w:val="00FC2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C6DAF"/>
  <w15:docId w15:val="{B7FE8BD2-9455-8C4F-BD2D-8DD52028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F63"/>
  </w:style>
  <w:style w:type="paragraph" w:styleId="Heading1">
    <w:name w:val="heading 1"/>
    <w:basedOn w:val="Normal"/>
    <w:link w:val="Heading1Char"/>
    <w:uiPriority w:val="9"/>
    <w:qFormat/>
    <w:rsid w:val="001A6E2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A6E2A"/>
    <w:pPr>
      <w:spacing w:before="100" w:beforeAutospacing="1" w:after="100" w:afterAutospacing="1" w:line="240" w:lineRule="auto"/>
      <w:jc w:val="left"/>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1A6E2A"/>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1A6E2A"/>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2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A6E2A"/>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1A6E2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1A6E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1A6E2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A6E2A"/>
    <w:rPr>
      <w:b/>
      <w:bCs/>
    </w:rPr>
  </w:style>
  <w:style w:type="character" w:styleId="Emphasis">
    <w:name w:val="Emphasis"/>
    <w:basedOn w:val="DefaultParagraphFont"/>
    <w:uiPriority w:val="20"/>
    <w:qFormat/>
    <w:rsid w:val="001A6E2A"/>
    <w:rPr>
      <w:i/>
      <w:iCs/>
    </w:rPr>
  </w:style>
  <w:style w:type="table" w:styleId="TableGrid">
    <w:name w:val="Table Grid"/>
    <w:basedOn w:val="TableNormal"/>
    <w:uiPriority w:val="39"/>
    <w:rsid w:val="005551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1">
    <w:name w:val="ms-1"/>
    <w:basedOn w:val="DefaultParagraphFont"/>
    <w:rsid w:val="007920BE"/>
  </w:style>
  <w:style w:type="character" w:styleId="Hyperlink">
    <w:name w:val="Hyperlink"/>
    <w:basedOn w:val="DefaultParagraphFont"/>
    <w:uiPriority w:val="99"/>
    <w:unhideWhenUsed/>
    <w:rsid w:val="007920BE"/>
    <w:rPr>
      <w:color w:val="0000FF"/>
      <w:u w:val="single"/>
    </w:rPr>
  </w:style>
  <w:style w:type="character" w:customStyle="1" w:styleId="max-w-15ch">
    <w:name w:val="max-w-[15ch]"/>
    <w:basedOn w:val="DefaultParagraphFont"/>
    <w:rsid w:val="007920BE"/>
  </w:style>
  <w:style w:type="character" w:customStyle="1" w:styleId="-me-1">
    <w:name w:val="-me-1"/>
    <w:basedOn w:val="DefaultParagraphFont"/>
    <w:rsid w:val="007920BE"/>
  </w:style>
  <w:style w:type="paragraph" w:styleId="BalloonText">
    <w:name w:val="Balloon Text"/>
    <w:basedOn w:val="Normal"/>
    <w:link w:val="BalloonTextChar"/>
    <w:uiPriority w:val="99"/>
    <w:semiHidden/>
    <w:unhideWhenUsed/>
    <w:rsid w:val="00680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F00"/>
    <w:rPr>
      <w:rFonts w:ascii="Tahoma" w:hAnsi="Tahoma" w:cs="Tahoma"/>
      <w:sz w:val="16"/>
      <w:szCs w:val="16"/>
    </w:rPr>
  </w:style>
  <w:style w:type="character" w:styleId="UnresolvedMention">
    <w:name w:val="Unresolved Mention"/>
    <w:basedOn w:val="DefaultParagraphFont"/>
    <w:uiPriority w:val="99"/>
    <w:semiHidden/>
    <w:unhideWhenUsed/>
    <w:rsid w:val="00CB25CC"/>
    <w:rPr>
      <w:color w:val="605E5C"/>
      <w:shd w:val="clear" w:color="auto" w:fill="E1DFDD"/>
    </w:rPr>
  </w:style>
  <w:style w:type="paragraph" w:styleId="Header">
    <w:name w:val="header"/>
    <w:basedOn w:val="Normal"/>
    <w:link w:val="HeaderChar"/>
    <w:uiPriority w:val="99"/>
    <w:unhideWhenUsed/>
    <w:rsid w:val="003D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E02"/>
  </w:style>
  <w:style w:type="paragraph" w:styleId="Footer">
    <w:name w:val="footer"/>
    <w:basedOn w:val="Normal"/>
    <w:link w:val="FooterChar"/>
    <w:uiPriority w:val="99"/>
    <w:unhideWhenUsed/>
    <w:rsid w:val="003D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140">
      <w:bodyDiv w:val="1"/>
      <w:marLeft w:val="0"/>
      <w:marRight w:val="0"/>
      <w:marTop w:val="0"/>
      <w:marBottom w:val="0"/>
      <w:divBdr>
        <w:top w:val="none" w:sz="0" w:space="0" w:color="auto"/>
        <w:left w:val="none" w:sz="0" w:space="0" w:color="auto"/>
        <w:bottom w:val="none" w:sz="0" w:space="0" w:color="auto"/>
        <w:right w:val="none" w:sz="0" w:space="0" w:color="auto"/>
      </w:divBdr>
    </w:div>
    <w:div w:id="41949102">
      <w:bodyDiv w:val="1"/>
      <w:marLeft w:val="0"/>
      <w:marRight w:val="0"/>
      <w:marTop w:val="0"/>
      <w:marBottom w:val="0"/>
      <w:divBdr>
        <w:top w:val="none" w:sz="0" w:space="0" w:color="auto"/>
        <w:left w:val="none" w:sz="0" w:space="0" w:color="auto"/>
        <w:bottom w:val="none" w:sz="0" w:space="0" w:color="auto"/>
        <w:right w:val="none" w:sz="0" w:space="0" w:color="auto"/>
      </w:divBdr>
    </w:div>
    <w:div w:id="198903868">
      <w:bodyDiv w:val="1"/>
      <w:marLeft w:val="0"/>
      <w:marRight w:val="0"/>
      <w:marTop w:val="0"/>
      <w:marBottom w:val="0"/>
      <w:divBdr>
        <w:top w:val="none" w:sz="0" w:space="0" w:color="auto"/>
        <w:left w:val="none" w:sz="0" w:space="0" w:color="auto"/>
        <w:bottom w:val="none" w:sz="0" w:space="0" w:color="auto"/>
        <w:right w:val="none" w:sz="0" w:space="0" w:color="auto"/>
      </w:divBdr>
    </w:div>
    <w:div w:id="310868957">
      <w:bodyDiv w:val="1"/>
      <w:marLeft w:val="0"/>
      <w:marRight w:val="0"/>
      <w:marTop w:val="0"/>
      <w:marBottom w:val="0"/>
      <w:divBdr>
        <w:top w:val="none" w:sz="0" w:space="0" w:color="auto"/>
        <w:left w:val="none" w:sz="0" w:space="0" w:color="auto"/>
        <w:bottom w:val="none" w:sz="0" w:space="0" w:color="auto"/>
        <w:right w:val="none" w:sz="0" w:space="0" w:color="auto"/>
      </w:divBdr>
    </w:div>
    <w:div w:id="414982438">
      <w:bodyDiv w:val="1"/>
      <w:marLeft w:val="0"/>
      <w:marRight w:val="0"/>
      <w:marTop w:val="0"/>
      <w:marBottom w:val="0"/>
      <w:divBdr>
        <w:top w:val="none" w:sz="0" w:space="0" w:color="auto"/>
        <w:left w:val="none" w:sz="0" w:space="0" w:color="auto"/>
        <w:bottom w:val="none" w:sz="0" w:space="0" w:color="auto"/>
        <w:right w:val="none" w:sz="0" w:space="0" w:color="auto"/>
      </w:divBdr>
    </w:div>
    <w:div w:id="426387647">
      <w:bodyDiv w:val="1"/>
      <w:marLeft w:val="0"/>
      <w:marRight w:val="0"/>
      <w:marTop w:val="0"/>
      <w:marBottom w:val="0"/>
      <w:divBdr>
        <w:top w:val="none" w:sz="0" w:space="0" w:color="auto"/>
        <w:left w:val="none" w:sz="0" w:space="0" w:color="auto"/>
        <w:bottom w:val="none" w:sz="0" w:space="0" w:color="auto"/>
        <w:right w:val="none" w:sz="0" w:space="0" w:color="auto"/>
      </w:divBdr>
    </w:div>
    <w:div w:id="621233821">
      <w:bodyDiv w:val="1"/>
      <w:marLeft w:val="360"/>
      <w:marRight w:val="360"/>
      <w:marTop w:val="360"/>
      <w:marBottom w:val="360"/>
      <w:divBdr>
        <w:top w:val="none" w:sz="0" w:space="0" w:color="auto"/>
        <w:left w:val="none" w:sz="0" w:space="0" w:color="auto"/>
        <w:bottom w:val="none" w:sz="0" w:space="0" w:color="auto"/>
        <w:right w:val="none" w:sz="0" w:space="0" w:color="auto"/>
      </w:divBdr>
    </w:div>
    <w:div w:id="647709218">
      <w:bodyDiv w:val="1"/>
      <w:marLeft w:val="0"/>
      <w:marRight w:val="0"/>
      <w:marTop w:val="0"/>
      <w:marBottom w:val="0"/>
      <w:divBdr>
        <w:top w:val="none" w:sz="0" w:space="0" w:color="auto"/>
        <w:left w:val="none" w:sz="0" w:space="0" w:color="auto"/>
        <w:bottom w:val="none" w:sz="0" w:space="0" w:color="auto"/>
        <w:right w:val="none" w:sz="0" w:space="0" w:color="auto"/>
      </w:divBdr>
    </w:div>
    <w:div w:id="818348388">
      <w:bodyDiv w:val="1"/>
      <w:marLeft w:val="0"/>
      <w:marRight w:val="0"/>
      <w:marTop w:val="0"/>
      <w:marBottom w:val="0"/>
      <w:divBdr>
        <w:top w:val="none" w:sz="0" w:space="0" w:color="auto"/>
        <w:left w:val="none" w:sz="0" w:space="0" w:color="auto"/>
        <w:bottom w:val="none" w:sz="0" w:space="0" w:color="auto"/>
        <w:right w:val="none" w:sz="0" w:space="0" w:color="auto"/>
      </w:divBdr>
    </w:div>
    <w:div w:id="858280348">
      <w:bodyDiv w:val="1"/>
      <w:marLeft w:val="0"/>
      <w:marRight w:val="0"/>
      <w:marTop w:val="0"/>
      <w:marBottom w:val="0"/>
      <w:divBdr>
        <w:top w:val="none" w:sz="0" w:space="0" w:color="auto"/>
        <w:left w:val="none" w:sz="0" w:space="0" w:color="auto"/>
        <w:bottom w:val="none" w:sz="0" w:space="0" w:color="auto"/>
        <w:right w:val="none" w:sz="0" w:space="0" w:color="auto"/>
      </w:divBdr>
    </w:div>
    <w:div w:id="945230026">
      <w:bodyDiv w:val="1"/>
      <w:marLeft w:val="0"/>
      <w:marRight w:val="0"/>
      <w:marTop w:val="0"/>
      <w:marBottom w:val="0"/>
      <w:divBdr>
        <w:top w:val="none" w:sz="0" w:space="0" w:color="auto"/>
        <w:left w:val="none" w:sz="0" w:space="0" w:color="auto"/>
        <w:bottom w:val="none" w:sz="0" w:space="0" w:color="auto"/>
        <w:right w:val="none" w:sz="0" w:space="0" w:color="auto"/>
      </w:divBdr>
    </w:div>
    <w:div w:id="1067148330">
      <w:bodyDiv w:val="1"/>
      <w:marLeft w:val="0"/>
      <w:marRight w:val="0"/>
      <w:marTop w:val="0"/>
      <w:marBottom w:val="0"/>
      <w:divBdr>
        <w:top w:val="none" w:sz="0" w:space="0" w:color="auto"/>
        <w:left w:val="none" w:sz="0" w:space="0" w:color="auto"/>
        <w:bottom w:val="none" w:sz="0" w:space="0" w:color="auto"/>
        <w:right w:val="none" w:sz="0" w:space="0" w:color="auto"/>
      </w:divBdr>
    </w:div>
    <w:div w:id="1113792080">
      <w:bodyDiv w:val="1"/>
      <w:marLeft w:val="0"/>
      <w:marRight w:val="0"/>
      <w:marTop w:val="0"/>
      <w:marBottom w:val="0"/>
      <w:divBdr>
        <w:top w:val="none" w:sz="0" w:space="0" w:color="auto"/>
        <w:left w:val="none" w:sz="0" w:space="0" w:color="auto"/>
        <w:bottom w:val="none" w:sz="0" w:space="0" w:color="auto"/>
        <w:right w:val="none" w:sz="0" w:space="0" w:color="auto"/>
      </w:divBdr>
    </w:div>
    <w:div w:id="1159156107">
      <w:bodyDiv w:val="1"/>
      <w:marLeft w:val="0"/>
      <w:marRight w:val="0"/>
      <w:marTop w:val="0"/>
      <w:marBottom w:val="0"/>
      <w:divBdr>
        <w:top w:val="none" w:sz="0" w:space="0" w:color="auto"/>
        <w:left w:val="none" w:sz="0" w:space="0" w:color="auto"/>
        <w:bottom w:val="none" w:sz="0" w:space="0" w:color="auto"/>
        <w:right w:val="none" w:sz="0" w:space="0" w:color="auto"/>
      </w:divBdr>
    </w:div>
    <w:div w:id="1331561516">
      <w:bodyDiv w:val="1"/>
      <w:marLeft w:val="0"/>
      <w:marRight w:val="0"/>
      <w:marTop w:val="0"/>
      <w:marBottom w:val="0"/>
      <w:divBdr>
        <w:top w:val="none" w:sz="0" w:space="0" w:color="auto"/>
        <w:left w:val="none" w:sz="0" w:space="0" w:color="auto"/>
        <w:bottom w:val="none" w:sz="0" w:space="0" w:color="auto"/>
        <w:right w:val="none" w:sz="0" w:space="0" w:color="auto"/>
      </w:divBdr>
    </w:div>
    <w:div w:id="1402022501">
      <w:bodyDiv w:val="1"/>
      <w:marLeft w:val="0"/>
      <w:marRight w:val="0"/>
      <w:marTop w:val="0"/>
      <w:marBottom w:val="0"/>
      <w:divBdr>
        <w:top w:val="none" w:sz="0" w:space="0" w:color="auto"/>
        <w:left w:val="none" w:sz="0" w:space="0" w:color="auto"/>
        <w:bottom w:val="none" w:sz="0" w:space="0" w:color="auto"/>
        <w:right w:val="none" w:sz="0" w:space="0" w:color="auto"/>
      </w:divBdr>
    </w:div>
    <w:div w:id="1468740154">
      <w:bodyDiv w:val="1"/>
      <w:marLeft w:val="0"/>
      <w:marRight w:val="0"/>
      <w:marTop w:val="0"/>
      <w:marBottom w:val="0"/>
      <w:divBdr>
        <w:top w:val="none" w:sz="0" w:space="0" w:color="auto"/>
        <w:left w:val="none" w:sz="0" w:space="0" w:color="auto"/>
        <w:bottom w:val="none" w:sz="0" w:space="0" w:color="auto"/>
        <w:right w:val="none" w:sz="0" w:space="0" w:color="auto"/>
      </w:divBdr>
    </w:div>
    <w:div w:id="1521505446">
      <w:bodyDiv w:val="1"/>
      <w:marLeft w:val="0"/>
      <w:marRight w:val="0"/>
      <w:marTop w:val="0"/>
      <w:marBottom w:val="0"/>
      <w:divBdr>
        <w:top w:val="none" w:sz="0" w:space="0" w:color="auto"/>
        <w:left w:val="none" w:sz="0" w:space="0" w:color="auto"/>
        <w:bottom w:val="none" w:sz="0" w:space="0" w:color="auto"/>
        <w:right w:val="none" w:sz="0" w:space="0" w:color="auto"/>
      </w:divBdr>
    </w:div>
    <w:div w:id="1783644641">
      <w:bodyDiv w:val="1"/>
      <w:marLeft w:val="0"/>
      <w:marRight w:val="0"/>
      <w:marTop w:val="0"/>
      <w:marBottom w:val="0"/>
      <w:divBdr>
        <w:top w:val="none" w:sz="0" w:space="0" w:color="auto"/>
        <w:left w:val="none" w:sz="0" w:space="0" w:color="auto"/>
        <w:bottom w:val="none" w:sz="0" w:space="0" w:color="auto"/>
        <w:right w:val="none" w:sz="0" w:space="0" w:color="auto"/>
      </w:divBdr>
    </w:div>
    <w:div w:id="2040743326">
      <w:bodyDiv w:val="1"/>
      <w:marLeft w:val="0"/>
      <w:marRight w:val="0"/>
      <w:marTop w:val="0"/>
      <w:marBottom w:val="0"/>
      <w:divBdr>
        <w:top w:val="none" w:sz="0" w:space="0" w:color="auto"/>
        <w:left w:val="none" w:sz="0" w:space="0" w:color="auto"/>
        <w:bottom w:val="none" w:sz="0" w:space="0" w:color="auto"/>
        <w:right w:val="none" w:sz="0" w:space="0" w:color="auto"/>
      </w:divBdr>
    </w:div>
    <w:div w:id="20531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Baseline</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Sheet1!$B$2:$B$7</c:f>
              <c:numCache>
                <c:formatCode>General</c:formatCode>
                <c:ptCount val="6"/>
                <c:pt idx="0">
                  <c:v>7.2700000000000014</c:v>
                </c:pt>
                <c:pt idx="1">
                  <c:v>35.49</c:v>
                </c:pt>
                <c:pt idx="2">
                  <c:v>64.86999999999999</c:v>
                </c:pt>
                <c:pt idx="3">
                  <c:v>48.13</c:v>
                </c:pt>
                <c:pt idx="4">
                  <c:v>21.2</c:v>
                </c:pt>
                <c:pt idx="5">
                  <c:v>56.93</c:v>
                </c:pt>
              </c:numCache>
            </c:numRef>
          </c:val>
          <c:extLst>
            <c:ext xmlns:c16="http://schemas.microsoft.com/office/drawing/2014/chart" uri="{C3380CC4-5D6E-409C-BE32-E72D297353CC}">
              <c16:uniqueId val="{00000000-1406-4FA8-AA1E-F962D4AE5D39}"/>
            </c:ext>
          </c:extLst>
        </c:ser>
        <c:ser>
          <c:idx val="1"/>
          <c:order val="1"/>
          <c:tx>
            <c:strRef>
              <c:f>Sheet1!$C$1</c:f>
              <c:strCache>
                <c:ptCount val="1"/>
                <c:pt idx="0">
                  <c:v>2nd week</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Sheet1!$C$2:$C$7</c:f>
              <c:numCache>
                <c:formatCode>General</c:formatCode>
                <c:ptCount val="6"/>
                <c:pt idx="0">
                  <c:v>5</c:v>
                </c:pt>
                <c:pt idx="1">
                  <c:v>25.56</c:v>
                </c:pt>
                <c:pt idx="2">
                  <c:v>74.400000000000006</c:v>
                </c:pt>
                <c:pt idx="3">
                  <c:v>55.6</c:v>
                </c:pt>
                <c:pt idx="4">
                  <c:v>25.47</c:v>
                </c:pt>
                <c:pt idx="5">
                  <c:v>66.73</c:v>
                </c:pt>
              </c:numCache>
            </c:numRef>
          </c:val>
          <c:extLst>
            <c:ext xmlns:c16="http://schemas.microsoft.com/office/drawing/2014/chart" uri="{C3380CC4-5D6E-409C-BE32-E72D297353CC}">
              <c16:uniqueId val="{00000001-1406-4FA8-AA1E-F962D4AE5D39}"/>
            </c:ext>
          </c:extLst>
        </c:ser>
        <c:ser>
          <c:idx val="2"/>
          <c:order val="2"/>
          <c:tx>
            <c:strRef>
              <c:f>Sheet1!$D$1</c:f>
              <c:strCache>
                <c:ptCount val="1"/>
                <c:pt idx="0">
                  <c:v>4th week</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Sheet1!$D$2:$D$7</c:f>
              <c:numCache>
                <c:formatCode>General</c:formatCode>
                <c:ptCount val="6"/>
                <c:pt idx="0">
                  <c:v>2.8</c:v>
                </c:pt>
                <c:pt idx="1">
                  <c:v>19.149999999999999</c:v>
                </c:pt>
                <c:pt idx="2">
                  <c:v>82.2</c:v>
                </c:pt>
                <c:pt idx="3">
                  <c:v>61.53</c:v>
                </c:pt>
                <c:pt idx="4">
                  <c:v>29.4</c:v>
                </c:pt>
                <c:pt idx="5">
                  <c:v>74.8</c:v>
                </c:pt>
              </c:numCache>
            </c:numRef>
          </c:val>
          <c:extLst>
            <c:ext xmlns:c16="http://schemas.microsoft.com/office/drawing/2014/chart" uri="{C3380CC4-5D6E-409C-BE32-E72D297353CC}">
              <c16:uniqueId val="{00000002-1406-4FA8-AA1E-F962D4AE5D39}"/>
            </c:ext>
          </c:extLst>
        </c:ser>
        <c:dLbls>
          <c:showLegendKey val="0"/>
          <c:showVal val="0"/>
          <c:showCatName val="0"/>
          <c:showSerName val="0"/>
          <c:showPercent val="0"/>
          <c:showBubbleSize val="0"/>
        </c:dLbls>
        <c:gapWidth val="75"/>
        <c:overlap val="-25"/>
        <c:axId val="133805568"/>
        <c:axId val="133807488"/>
      </c:barChart>
      <c:catAx>
        <c:axId val="133805568"/>
        <c:scaling>
          <c:orientation val="minMax"/>
        </c:scaling>
        <c:delete val="0"/>
        <c:axPos val="b"/>
        <c:numFmt formatCode="General" sourceLinked="0"/>
        <c:majorTickMark val="none"/>
        <c:minorTickMark val="none"/>
        <c:tickLblPos val="nextTo"/>
        <c:crossAx val="133807488"/>
        <c:crosses val="autoZero"/>
        <c:auto val="1"/>
        <c:lblAlgn val="ctr"/>
        <c:lblOffset val="100"/>
        <c:noMultiLvlLbl val="0"/>
      </c:catAx>
      <c:valAx>
        <c:axId val="133807488"/>
        <c:scaling>
          <c:orientation val="minMax"/>
        </c:scaling>
        <c:delete val="0"/>
        <c:axPos val="l"/>
        <c:majorGridlines/>
        <c:numFmt formatCode="General" sourceLinked="1"/>
        <c:majorTickMark val="none"/>
        <c:minorTickMark val="none"/>
        <c:tickLblPos val="nextTo"/>
        <c:spPr>
          <a:ln w="9525">
            <a:noFill/>
          </a:ln>
        </c:spPr>
        <c:crossAx val="133805568"/>
        <c:crosses val="autoZero"/>
        <c:crossBetween val="between"/>
      </c:valAx>
    </c:plotArea>
    <c:legend>
      <c:legendPos val="b"/>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Sheet1!$B$12</c:f>
              <c:strCache>
                <c:ptCount val="1"/>
                <c:pt idx="0">
                  <c:v>Baseline</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Sheet1!$B$13:$B$18</c:f>
              <c:numCache>
                <c:formatCode>General</c:formatCode>
                <c:ptCount val="6"/>
                <c:pt idx="0">
                  <c:v>7.9300000000000024</c:v>
                </c:pt>
                <c:pt idx="1">
                  <c:v>36.200000000000003</c:v>
                </c:pt>
                <c:pt idx="2">
                  <c:v>64.73</c:v>
                </c:pt>
                <c:pt idx="3">
                  <c:v>52.53</c:v>
                </c:pt>
                <c:pt idx="4">
                  <c:v>25.330000000000005</c:v>
                </c:pt>
                <c:pt idx="5">
                  <c:v>58.53</c:v>
                </c:pt>
              </c:numCache>
            </c:numRef>
          </c:val>
          <c:extLst>
            <c:ext xmlns:c16="http://schemas.microsoft.com/office/drawing/2014/chart" uri="{C3380CC4-5D6E-409C-BE32-E72D297353CC}">
              <c16:uniqueId val="{00000000-0EC1-464D-9D3B-F097ADBBBFA9}"/>
            </c:ext>
          </c:extLst>
        </c:ser>
        <c:ser>
          <c:idx val="1"/>
          <c:order val="1"/>
          <c:tx>
            <c:strRef>
              <c:f>Sheet1!$C$12</c:f>
              <c:strCache>
                <c:ptCount val="1"/>
                <c:pt idx="0">
                  <c:v>2nd week</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Sheet1!$C$13:$C$18</c:f>
              <c:numCache>
                <c:formatCode>General</c:formatCode>
                <c:ptCount val="6"/>
                <c:pt idx="0">
                  <c:v>6.4700000000000024</c:v>
                </c:pt>
                <c:pt idx="1">
                  <c:v>31.919999999999987</c:v>
                </c:pt>
                <c:pt idx="2">
                  <c:v>69.930000000000007</c:v>
                </c:pt>
                <c:pt idx="3">
                  <c:v>55.47</c:v>
                </c:pt>
                <c:pt idx="4">
                  <c:v>27.07</c:v>
                </c:pt>
                <c:pt idx="5">
                  <c:v>63</c:v>
                </c:pt>
              </c:numCache>
            </c:numRef>
          </c:val>
          <c:extLst>
            <c:ext xmlns:c16="http://schemas.microsoft.com/office/drawing/2014/chart" uri="{C3380CC4-5D6E-409C-BE32-E72D297353CC}">
              <c16:uniqueId val="{00000001-0EC1-464D-9D3B-F097ADBBBFA9}"/>
            </c:ext>
          </c:extLst>
        </c:ser>
        <c:ser>
          <c:idx val="2"/>
          <c:order val="2"/>
          <c:tx>
            <c:strRef>
              <c:f>Sheet1!$D$12</c:f>
              <c:strCache>
                <c:ptCount val="1"/>
                <c:pt idx="0">
                  <c:v>4th week</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Sheet1!$D$13:$D$18</c:f>
              <c:numCache>
                <c:formatCode>General</c:formatCode>
                <c:ptCount val="6"/>
                <c:pt idx="0">
                  <c:v>5.2700000000000014</c:v>
                </c:pt>
                <c:pt idx="1">
                  <c:v>27.52</c:v>
                </c:pt>
                <c:pt idx="2">
                  <c:v>72.33</c:v>
                </c:pt>
                <c:pt idx="3">
                  <c:v>58.13</c:v>
                </c:pt>
                <c:pt idx="4">
                  <c:v>29.53</c:v>
                </c:pt>
                <c:pt idx="5">
                  <c:v>66.8</c:v>
                </c:pt>
              </c:numCache>
            </c:numRef>
          </c:val>
          <c:extLst>
            <c:ext xmlns:c16="http://schemas.microsoft.com/office/drawing/2014/chart" uri="{C3380CC4-5D6E-409C-BE32-E72D297353CC}">
              <c16:uniqueId val="{00000002-0EC1-464D-9D3B-F097ADBBBFA9}"/>
            </c:ext>
          </c:extLst>
        </c:ser>
        <c:dLbls>
          <c:showLegendKey val="0"/>
          <c:showVal val="0"/>
          <c:showCatName val="0"/>
          <c:showSerName val="0"/>
          <c:showPercent val="0"/>
          <c:showBubbleSize val="0"/>
        </c:dLbls>
        <c:gapWidth val="75"/>
        <c:overlap val="-25"/>
        <c:axId val="149796736"/>
        <c:axId val="149798912"/>
      </c:barChart>
      <c:catAx>
        <c:axId val="149796736"/>
        <c:scaling>
          <c:orientation val="minMax"/>
        </c:scaling>
        <c:delete val="0"/>
        <c:axPos val="b"/>
        <c:numFmt formatCode="General" sourceLinked="0"/>
        <c:majorTickMark val="none"/>
        <c:minorTickMark val="none"/>
        <c:tickLblPos val="nextTo"/>
        <c:crossAx val="149798912"/>
        <c:crosses val="autoZero"/>
        <c:auto val="1"/>
        <c:lblAlgn val="ctr"/>
        <c:lblOffset val="100"/>
        <c:noMultiLvlLbl val="0"/>
      </c:catAx>
      <c:valAx>
        <c:axId val="149798912"/>
        <c:scaling>
          <c:orientation val="minMax"/>
        </c:scaling>
        <c:delete val="0"/>
        <c:axPos val="l"/>
        <c:majorGridlines/>
        <c:numFmt formatCode="General" sourceLinked="1"/>
        <c:majorTickMark val="none"/>
        <c:minorTickMark val="none"/>
        <c:tickLblPos val="nextTo"/>
        <c:spPr>
          <a:ln w="9525">
            <a:noFill/>
          </a:ln>
        </c:spPr>
        <c:crossAx val="149796736"/>
        <c:crosses val="autoZero"/>
        <c:crossBetween val="between"/>
      </c:valAx>
    </c:plotArea>
    <c:legend>
      <c:legendPos val="b"/>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33AF-CD16-433E-A04D-02371550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5339</Words>
  <Characters>30436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cp:revision>
  <cp:lastPrinted>2025-11-22T10:14:00Z</cp:lastPrinted>
  <dcterms:created xsi:type="dcterms:W3CDTF">2025-11-25T07:33:00Z</dcterms:created>
  <dcterms:modified xsi:type="dcterms:W3CDTF">2025-11-26T09:12:00Z</dcterms:modified>
</cp:coreProperties>
</file>